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EA2" w:rsidRPr="00A45996" w:rsidRDefault="009E4A22">
      <w:pPr>
        <w:keepLines w:val="0"/>
        <w:jc w:val="center"/>
        <w:rPr>
          <w:szCs w:val="56"/>
        </w:rPr>
      </w:pPr>
      <w:bookmarkStart w:id="0" w:name="_GoBack"/>
      <w:bookmarkEnd w:id="0"/>
      <w:r w:rsidRPr="00A45996">
        <w:rPr>
          <w:rFonts w:ascii="Verdana" w:hAnsi="Verdana"/>
          <w:b/>
          <w:sz w:val="56"/>
          <w:szCs w:val="56"/>
        </w:rPr>
        <w:t>VELCADE</w:t>
      </w:r>
      <w:r w:rsidRPr="00A45996">
        <w:rPr>
          <w:rFonts w:ascii="Verdana" w:hAnsi="Verdana"/>
          <w:b/>
          <w:sz w:val="56"/>
          <w:szCs w:val="56"/>
          <w:vertAlign w:val="superscript"/>
        </w:rPr>
        <w:sym w:font="Symbol" w:char="F0E2"/>
      </w:r>
    </w:p>
    <w:p w:rsidR="00326C73" w:rsidRPr="00A45996" w:rsidRDefault="00326C73" w:rsidP="00326C73">
      <w:pPr>
        <w:pStyle w:val="PIProductInfo"/>
      </w:pPr>
      <w:r w:rsidRPr="00A45996">
        <w:rPr>
          <w:rFonts w:ascii="Verdana" w:hAnsi="Verdana"/>
        </w:rPr>
        <w:t>PRODUCT INFORMATION</w:t>
      </w:r>
    </w:p>
    <w:p w:rsidR="00326C73" w:rsidRPr="00A45996" w:rsidRDefault="00326C73" w:rsidP="00326C73">
      <w:pPr>
        <w:pStyle w:val="PIHEADTOP"/>
        <w:keepLines/>
        <w:spacing w:before="360"/>
      </w:pPr>
      <w:r w:rsidRPr="00A45996">
        <w:t>name of the MEDICINE</w:t>
      </w:r>
    </w:p>
    <w:p w:rsidR="00326C73" w:rsidRPr="00A45996" w:rsidRDefault="00326C73" w:rsidP="00326C73">
      <w:pPr>
        <w:pStyle w:val="PIEXPLAIN"/>
        <w:keepLines/>
      </w:pPr>
      <w:proofErr w:type="spellStart"/>
      <w:r w:rsidRPr="00A45996">
        <w:t>Bortezomib</w:t>
      </w:r>
      <w:proofErr w:type="spellEnd"/>
      <w:r w:rsidRPr="00A45996">
        <w:t xml:space="preserve"> </w:t>
      </w:r>
    </w:p>
    <w:p w:rsidR="00326C73" w:rsidRPr="00A45996" w:rsidRDefault="00326C73" w:rsidP="00326C73">
      <w:pPr>
        <w:pStyle w:val="PIEXPLAIN"/>
        <w:keepLines/>
      </w:pPr>
      <w:proofErr w:type="spellStart"/>
      <w:r w:rsidRPr="00A45996">
        <w:t>Bortezomib</w:t>
      </w:r>
      <w:proofErr w:type="spellEnd"/>
      <w:r w:rsidRPr="00A45996">
        <w:t xml:space="preserve"> has the following chemical structure:</w:t>
      </w:r>
    </w:p>
    <w:p w:rsidR="00326C73" w:rsidRPr="00A45996" w:rsidRDefault="00326C73" w:rsidP="00326C73">
      <w:pPr>
        <w:pStyle w:val="PIEXPLAIN"/>
        <w:keepLines/>
        <w:spacing w:line="360" w:lineRule="auto"/>
      </w:pPr>
      <w:r w:rsidRPr="00A45996">
        <w:rPr>
          <w:noProof/>
          <w:sz w:val="20"/>
          <w:lang w:eastAsia="en-AU"/>
        </w:rPr>
        <w:drawing>
          <wp:anchor distT="0" distB="0" distL="114300" distR="114300" simplePos="0" relativeHeight="251663360" behindDoc="0" locked="0" layoutInCell="1" allowOverlap="1" wp14:anchorId="2A044AEA" wp14:editId="01BAAAAF">
            <wp:simplePos x="0" y="0"/>
            <wp:positionH relativeFrom="column">
              <wp:posOffset>1475740</wp:posOffset>
            </wp:positionH>
            <wp:positionV relativeFrom="paragraph">
              <wp:posOffset>76835</wp:posOffset>
            </wp:positionV>
            <wp:extent cx="2340610" cy="1682750"/>
            <wp:effectExtent l="19050" t="0" r="2540" b="0"/>
            <wp:wrapTopAndBottom/>
            <wp:docPr id="8" name="Picture 215"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UT0000"/>
                    <pic:cNvPicPr>
                      <a:picLocks noChangeAspect="1" noChangeArrowheads="1"/>
                    </pic:cNvPicPr>
                  </pic:nvPicPr>
                  <pic:blipFill>
                    <a:blip r:embed="rId9" cstate="print"/>
                    <a:srcRect/>
                    <a:stretch>
                      <a:fillRect/>
                    </a:stretch>
                  </pic:blipFill>
                  <pic:spPr bwMode="auto">
                    <a:xfrm>
                      <a:off x="0" y="0"/>
                      <a:ext cx="2340610" cy="1682750"/>
                    </a:xfrm>
                    <a:prstGeom prst="rect">
                      <a:avLst/>
                    </a:prstGeom>
                    <a:noFill/>
                    <a:ln w="9525">
                      <a:noFill/>
                      <a:miter lim="800000"/>
                      <a:headEnd/>
                      <a:tailEnd/>
                    </a:ln>
                  </pic:spPr>
                </pic:pic>
              </a:graphicData>
            </a:graphic>
          </wp:anchor>
        </w:drawing>
      </w:r>
      <w:r w:rsidRPr="00A45996">
        <w:t>C</w:t>
      </w:r>
      <w:r w:rsidRPr="00A45996">
        <w:rPr>
          <w:vertAlign w:val="subscript"/>
        </w:rPr>
        <w:t>19</w:t>
      </w:r>
      <w:r w:rsidRPr="00A45996">
        <w:t>H</w:t>
      </w:r>
      <w:r w:rsidRPr="00A45996">
        <w:rPr>
          <w:vertAlign w:val="subscript"/>
        </w:rPr>
        <w:t>25</w:t>
      </w:r>
      <w:r w:rsidRPr="00A45996">
        <w:t>BN</w:t>
      </w:r>
      <w:r w:rsidRPr="00A45996">
        <w:rPr>
          <w:vertAlign w:val="subscript"/>
        </w:rPr>
        <w:t>4</w:t>
      </w:r>
      <w:r w:rsidRPr="00A45996">
        <w:t>O</w:t>
      </w:r>
      <w:r w:rsidRPr="00A45996">
        <w:rPr>
          <w:vertAlign w:val="subscript"/>
        </w:rPr>
        <w:t>4</w:t>
      </w:r>
      <w:r w:rsidRPr="00A45996">
        <w:tab/>
      </w:r>
      <w:r w:rsidRPr="00A45996">
        <w:tab/>
      </w:r>
      <w:r w:rsidRPr="00A45996">
        <w:tab/>
        <w:t>MW: 384.24</w:t>
      </w:r>
      <w:r w:rsidRPr="00A45996">
        <w:tab/>
      </w:r>
      <w:r w:rsidRPr="00A45996">
        <w:tab/>
      </w:r>
      <w:r w:rsidRPr="00A45996">
        <w:tab/>
        <w:t>CAS Registry No. 179324-69-7</w:t>
      </w:r>
    </w:p>
    <w:p w:rsidR="00326C73" w:rsidRPr="00A45996" w:rsidRDefault="00326C73" w:rsidP="00326C73">
      <w:pPr>
        <w:pStyle w:val="PIEXPLAIN"/>
        <w:keepLines/>
        <w:spacing w:line="360" w:lineRule="auto"/>
      </w:pPr>
      <w:r w:rsidRPr="00A45996">
        <w:t xml:space="preserve">The chemical name for </w:t>
      </w:r>
      <w:proofErr w:type="spellStart"/>
      <w:r w:rsidRPr="00A45996">
        <w:t>bortezomib</w:t>
      </w:r>
      <w:proofErr w:type="spellEnd"/>
      <w:r w:rsidRPr="00A45996">
        <w:t xml:space="preserve">, the monomeric </w:t>
      </w:r>
      <w:proofErr w:type="spellStart"/>
      <w:r w:rsidRPr="00A45996">
        <w:t>boronic</w:t>
      </w:r>
      <w:proofErr w:type="spellEnd"/>
      <w:r w:rsidRPr="00A45996">
        <w:t xml:space="preserve"> acid, is [(1R)-3-methyl-1-[[(2S)-1-oxo-3-phenyl-2-[(pyrazinylcarbonyl</w:t>
      </w:r>
      <w:proofErr w:type="gramStart"/>
      <w:r w:rsidRPr="00A45996">
        <w:t>)amino</w:t>
      </w:r>
      <w:proofErr w:type="gramEnd"/>
      <w:r w:rsidRPr="00A45996">
        <w:t xml:space="preserve">]propyl]amino]butyl] </w:t>
      </w:r>
      <w:proofErr w:type="spellStart"/>
      <w:r w:rsidRPr="00A45996">
        <w:t>boronic</w:t>
      </w:r>
      <w:proofErr w:type="spellEnd"/>
      <w:r w:rsidRPr="00A45996">
        <w:t xml:space="preserve"> acid.</w:t>
      </w:r>
    </w:p>
    <w:p w:rsidR="00326C73" w:rsidRPr="00A45996" w:rsidRDefault="00326C73" w:rsidP="00326C73">
      <w:pPr>
        <w:pStyle w:val="PIHEADING1"/>
        <w:keepLines/>
      </w:pPr>
      <w:r w:rsidRPr="00A45996">
        <w:t>DESCRIPTION</w:t>
      </w:r>
    </w:p>
    <w:p w:rsidR="00E24549" w:rsidRPr="00A45996" w:rsidRDefault="00326C73" w:rsidP="00326C73">
      <w:pPr>
        <w:pStyle w:val="PIEXPLAIN"/>
        <w:keepLines/>
      </w:pPr>
      <w:r w:rsidRPr="00A45996">
        <w:t>VELCADE (</w:t>
      </w:r>
      <w:proofErr w:type="spellStart"/>
      <w:r w:rsidRPr="00A45996">
        <w:t>bortezomib</w:t>
      </w:r>
      <w:proofErr w:type="spellEnd"/>
      <w:r w:rsidRPr="00A45996">
        <w:t xml:space="preserve">) is an antineoplastic agent for intravenous injection (IV) </w:t>
      </w:r>
      <w:r w:rsidR="00E13AD4" w:rsidRPr="00A45996">
        <w:t xml:space="preserve">or subcutaneous (SC) </w:t>
      </w:r>
      <w:r w:rsidRPr="00A45996">
        <w:t>use only.  Each single dose vial contains</w:t>
      </w:r>
      <w:r w:rsidR="00E24549" w:rsidRPr="00A45996">
        <w:t>:</w:t>
      </w:r>
    </w:p>
    <w:p w:rsidR="00E24549" w:rsidRPr="00A45996" w:rsidRDefault="00E24549" w:rsidP="00E24549">
      <w:pPr>
        <w:pStyle w:val="PIEXPLAIN"/>
        <w:keepLines/>
        <w:numPr>
          <w:ilvl w:val="0"/>
          <w:numId w:val="10"/>
        </w:numPr>
      </w:pPr>
      <w:r w:rsidRPr="00A45996">
        <w:t xml:space="preserve">1mg of </w:t>
      </w:r>
      <w:proofErr w:type="spellStart"/>
      <w:r w:rsidRPr="00A45996">
        <w:t>bortezomib</w:t>
      </w:r>
      <w:proofErr w:type="spellEnd"/>
      <w:r w:rsidRPr="00A45996">
        <w:t xml:space="preserve"> as a sterile </w:t>
      </w:r>
      <w:r w:rsidR="00BC5BBA" w:rsidRPr="00A45996">
        <w:t>lyophilised</w:t>
      </w:r>
      <w:r w:rsidRPr="00A45996">
        <w:t xml:space="preserve"> powder. Inactive ingredients: 10mg mannitol and nitrogen </w:t>
      </w:r>
      <w:proofErr w:type="spellStart"/>
      <w:r w:rsidRPr="00A45996">
        <w:t>qs</w:t>
      </w:r>
      <w:proofErr w:type="spellEnd"/>
      <w:r w:rsidRPr="00A45996">
        <w:t>, or</w:t>
      </w:r>
    </w:p>
    <w:p w:rsidR="00F15A1A" w:rsidRPr="00A45996" w:rsidRDefault="00F15A1A" w:rsidP="00F15A1A">
      <w:pPr>
        <w:pStyle w:val="ListParagraph"/>
        <w:numPr>
          <w:ilvl w:val="0"/>
          <w:numId w:val="10"/>
        </w:numPr>
        <w:rPr>
          <w:spacing w:val="-2"/>
          <w:sz w:val="22"/>
        </w:rPr>
      </w:pPr>
      <w:r w:rsidRPr="00A45996">
        <w:rPr>
          <w:spacing w:val="-2"/>
          <w:sz w:val="22"/>
        </w:rPr>
        <w:t xml:space="preserve">3.0 mg of </w:t>
      </w:r>
      <w:proofErr w:type="spellStart"/>
      <w:r w:rsidRPr="00A45996">
        <w:rPr>
          <w:spacing w:val="-2"/>
          <w:sz w:val="22"/>
        </w:rPr>
        <w:t>bortezomib</w:t>
      </w:r>
      <w:proofErr w:type="spellEnd"/>
      <w:r w:rsidRPr="00A45996">
        <w:rPr>
          <w:spacing w:val="-2"/>
          <w:sz w:val="22"/>
        </w:rPr>
        <w:t xml:space="preserve"> as a sterile lyophilized powder.  Inactive ingredients:  30 mg  mannitol </w:t>
      </w:r>
      <w:r w:rsidRPr="00A45996">
        <w:t xml:space="preserve">and nitrogen </w:t>
      </w:r>
      <w:proofErr w:type="spellStart"/>
      <w:r w:rsidRPr="00A45996">
        <w:t>qs</w:t>
      </w:r>
      <w:proofErr w:type="spellEnd"/>
      <w:r w:rsidRPr="00A45996">
        <w:rPr>
          <w:spacing w:val="-2"/>
          <w:sz w:val="22"/>
        </w:rPr>
        <w:t xml:space="preserve">, or </w:t>
      </w:r>
    </w:p>
    <w:p w:rsidR="00326C73" w:rsidRPr="00A45996" w:rsidRDefault="00326C73" w:rsidP="00E24549">
      <w:pPr>
        <w:pStyle w:val="PIEXPLAIN"/>
        <w:keepLines/>
        <w:numPr>
          <w:ilvl w:val="0"/>
          <w:numId w:val="10"/>
        </w:numPr>
      </w:pPr>
      <w:r w:rsidRPr="00A45996">
        <w:t>3.5</w:t>
      </w:r>
      <w:r w:rsidR="00F15A1A" w:rsidRPr="00A45996">
        <w:t xml:space="preserve"> </w:t>
      </w:r>
      <w:r w:rsidRPr="00A45996">
        <w:t xml:space="preserve">mg of </w:t>
      </w:r>
      <w:proofErr w:type="spellStart"/>
      <w:r w:rsidRPr="00A45996">
        <w:t>bortezomib</w:t>
      </w:r>
      <w:proofErr w:type="spellEnd"/>
      <w:r w:rsidRPr="00A45996">
        <w:t xml:space="preserve"> as a sterile lyophilised powder.  Inactive ingredients: 35mg mannitol and nitrogen </w:t>
      </w:r>
      <w:proofErr w:type="spellStart"/>
      <w:r w:rsidRPr="00A45996">
        <w:t>qs</w:t>
      </w:r>
      <w:proofErr w:type="spellEnd"/>
      <w:r w:rsidRPr="00A45996">
        <w:t>.</w:t>
      </w:r>
    </w:p>
    <w:p w:rsidR="00326C73" w:rsidRPr="00A45996" w:rsidRDefault="00326C73" w:rsidP="00326C73">
      <w:pPr>
        <w:pStyle w:val="PIEXPLAIN"/>
        <w:keepLines/>
      </w:pPr>
      <w:proofErr w:type="spellStart"/>
      <w:r w:rsidRPr="00A45996">
        <w:t>Bortezomib</w:t>
      </w:r>
      <w:proofErr w:type="spellEnd"/>
      <w:r w:rsidRPr="00A45996">
        <w:t xml:space="preserve"> is a modified dipeptidyl </w:t>
      </w:r>
      <w:proofErr w:type="spellStart"/>
      <w:r w:rsidRPr="00A45996">
        <w:t>boronic</w:t>
      </w:r>
      <w:proofErr w:type="spellEnd"/>
      <w:r w:rsidRPr="00A45996">
        <w:t xml:space="preserve"> acid.  The product is provided as a mannitol </w:t>
      </w:r>
      <w:proofErr w:type="spellStart"/>
      <w:r w:rsidRPr="00A45996">
        <w:t>boronic</w:t>
      </w:r>
      <w:proofErr w:type="spellEnd"/>
      <w:r w:rsidRPr="00A45996">
        <w:t xml:space="preserve"> ester which, in reconstituted form, consists of the mannitol ester in equilibrium with its hydrolysis product, the monomeric </w:t>
      </w:r>
      <w:proofErr w:type="spellStart"/>
      <w:r w:rsidRPr="00A45996">
        <w:t>boronic</w:t>
      </w:r>
      <w:proofErr w:type="spellEnd"/>
      <w:r w:rsidRPr="00A45996">
        <w:t xml:space="preserve"> acid.  The drug substance exists in its cyclic anhydride form as a trimeric </w:t>
      </w:r>
      <w:proofErr w:type="spellStart"/>
      <w:r w:rsidRPr="00A45996">
        <w:t>boroxine</w:t>
      </w:r>
      <w:proofErr w:type="spellEnd"/>
      <w:r w:rsidRPr="00A45996">
        <w:t>.</w:t>
      </w:r>
    </w:p>
    <w:p w:rsidR="00326C73" w:rsidRPr="00A45996" w:rsidRDefault="00326C73" w:rsidP="00326C73">
      <w:pPr>
        <w:pStyle w:val="PIEXPLAIN"/>
        <w:keepLines/>
        <w:rPr>
          <w:sz w:val="16"/>
        </w:rPr>
      </w:pPr>
      <w:r w:rsidRPr="00A45996">
        <w:t xml:space="preserve">The chemical name for </w:t>
      </w:r>
      <w:proofErr w:type="spellStart"/>
      <w:r w:rsidRPr="00A45996">
        <w:t>bortezomib</w:t>
      </w:r>
      <w:proofErr w:type="spellEnd"/>
      <w:r w:rsidRPr="00A45996">
        <w:t xml:space="preserve">, the monomeric </w:t>
      </w:r>
      <w:proofErr w:type="spellStart"/>
      <w:r w:rsidRPr="00A45996">
        <w:t>boronic</w:t>
      </w:r>
      <w:proofErr w:type="spellEnd"/>
      <w:r w:rsidRPr="00A45996">
        <w:t xml:space="preserve"> acid, is [(1R)-3-methyl-1-[[(2S)-1-oxo-3-phenyl-2-[(pyrazinylcarbonyl</w:t>
      </w:r>
      <w:proofErr w:type="gramStart"/>
      <w:r w:rsidRPr="00A45996">
        <w:t>)amino</w:t>
      </w:r>
      <w:proofErr w:type="gramEnd"/>
      <w:r w:rsidRPr="00A45996">
        <w:t xml:space="preserve">]propyl]amino]butyl] </w:t>
      </w:r>
      <w:proofErr w:type="spellStart"/>
      <w:r w:rsidRPr="00A45996">
        <w:t>boronic</w:t>
      </w:r>
      <w:proofErr w:type="spellEnd"/>
      <w:r w:rsidRPr="00A45996">
        <w:t xml:space="preserve"> acid.</w:t>
      </w:r>
    </w:p>
    <w:p w:rsidR="00326C73" w:rsidRPr="00A45996" w:rsidRDefault="00326C73" w:rsidP="00326C73">
      <w:pPr>
        <w:pStyle w:val="PIEXPLAIN"/>
        <w:keepLines/>
        <w:tabs>
          <w:tab w:val="clear" w:pos="-720"/>
        </w:tabs>
        <w:suppressAutoHyphens w:val="0"/>
      </w:pPr>
      <w:r w:rsidRPr="00A45996">
        <w:t xml:space="preserve">The solubility of </w:t>
      </w:r>
      <w:proofErr w:type="spellStart"/>
      <w:r w:rsidRPr="00A45996">
        <w:t>bortezomib</w:t>
      </w:r>
      <w:proofErr w:type="spellEnd"/>
      <w:r w:rsidRPr="00A45996">
        <w:t xml:space="preserve">, as the monomeric </w:t>
      </w:r>
      <w:proofErr w:type="spellStart"/>
      <w:r w:rsidRPr="00A45996">
        <w:t>boronic</w:t>
      </w:r>
      <w:proofErr w:type="spellEnd"/>
      <w:r w:rsidRPr="00A45996">
        <w:t xml:space="preserve"> acid, in water is: 3.3 – 3.8 mg/mL in a pH range of 2 – 6.5. </w:t>
      </w:r>
    </w:p>
    <w:p w:rsidR="00326C73" w:rsidRPr="00A45996" w:rsidRDefault="00326C73" w:rsidP="00326C73">
      <w:pPr>
        <w:pStyle w:val="PIHEADING1"/>
        <w:keepLines/>
      </w:pPr>
      <w:r w:rsidRPr="00A45996">
        <w:br w:type="page"/>
      </w:r>
      <w:r w:rsidRPr="00A45996">
        <w:lastRenderedPageBreak/>
        <w:t>Pharmacology</w:t>
      </w:r>
    </w:p>
    <w:p w:rsidR="00326C73" w:rsidRPr="00A45996" w:rsidRDefault="00326C73" w:rsidP="00326C73">
      <w:pPr>
        <w:pStyle w:val="PIHEADING2"/>
        <w:keepNext/>
        <w:keepLines/>
        <w:rPr>
          <w:sz w:val="24"/>
        </w:rPr>
      </w:pPr>
      <w:r w:rsidRPr="00A45996">
        <w:rPr>
          <w:sz w:val="24"/>
        </w:rPr>
        <w:t>Pharmacodynamics</w:t>
      </w:r>
    </w:p>
    <w:p w:rsidR="00326C73" w:rsidRPr="00A45996" w:rsidRDefault="00326C73" w:rsidP="00326C73">
      <w:pPr>
        <w:pStyle w:val="Heading5"/>
        <w:spacing w:before="20" w:after="80"/>
        <w:rPr>
          <w:i/>
          <w:iCs/>
          <w:u w:val="none"/>
        </w:rPr>
      </w:pPr>
      <w:r w:rsidRPr="00A45996">
        <w:rPr>
          <w:i/>
          <w:iCs/>
          <w:u w:val="none"/>
        </w:rPr>
        <w:t>Mechanism of Action</w:t>
      </w:r>
    </w:p>
    <w:p w:rsidR="00326C73" w:rsidRPr="00A45996" w:rsidRDefault="00326C73" w:rsidP="00326C73">
      <w:pPr>
        <w:spacing w:before="20" w:after="80"/>
        <w:rPr>
          <w:sz w:val="22"/>
        </w:rPr>
      </w:pPr>
      <w:proofErr w:type="spellStart"/>
      <w:r w:rsidRPr="00A45996">
        <w:rPr>
          <w:sz w:val="22"/>
        </w:rPr>
        <w:t>Bortezomib</w:t>
      </w:r>
      <w:proofErr w:type="spellEnd"/>
      <w:r w:rsidRPr="00A45996">
        <w:rPr>
          <w:sz w:val="22"/>
        </w:rPr>
        <w:t xml:space="preserve"> is a reversible inhibitor of the chymotrypsin-like activity of the 26S proteasome in mammalian cells.  The 26S proteasome is a large protein complex that degrades </w:t>
      </w:r>
      <w:proofErr w:type="spellStart"/>
      <w:r w:rsidRPr="00A45996">
        <w:rPr>
          <w:sz w:val="22"/>
        </w:rPr>
        <w:t>ubiquitinated</w:t>
      </w:r>
      <w:proofErr w:type="spellEnd"/>
      <w:r w:rsidRPr="00A45996">
        <w:rPr>
          <w:sz w:val="22"/>
        </w:rPr>
        <w:t xml:space="preserve"> proteins. The ubiquitin-proteasome pathway plays an essential role in regulating the intracellular concentration of specific proteins, thereby maintaining homeostasis within cells.  Inhibition of the 26S proteasome prevents this targeted proteolysis which can affect multiple signalling cascades within the cell.  This disruption of normal homeostatic mechanisms can lead to cell death.  Experiments have demonstrated that </w:t>
      </w:r>
      <w:proofErr w:type="spellStart"/>
      <w:r w:rsidRPr="00A45996">
        <w:rPr>
          <w:sz w:val="22"/>
        </w:rPr>
        <w:t>bortezomib</w:t>
      </w:r>
      <w:proofErr w:type="spellEnd"/>
      <w:r w:rsidRPr="00A45996">
        <w:rPr>
          <w:sz w:val="22"/>
        </w:rPr>
        <w:t xml:space="preserve"> is cytotoxic to a variety of cancer cell types </w:t>
      </w:r>
      <w:r w:rsidRPr="00A45996">
        <w:rPr>
          <w:i/>
          <w:iCs/>
          <w:sz w:val="22"/>
        </w:rPr>
        <w:t xml:space="preserve">in vitro. </w:t>
      </w:r>
      <w:proofErr w:type="spellStart"/>
      <w:r w:rsidRPr="00A45996">
        <w:rPr>
          <w:sz w:val="22"/>
        </w:rPr>
        <w:t>Bortezomib</w:t>
      </w:r>
      <w:proofErr w:type="spellEnd"/>
      <w:r w:rsidRPr="00A45996">
        <w:rPr>
          <w:sz w:val="22"/>
        </w:rPr>
        <w:t xml:space="preserve"> causes a delay in tumour growth </w:t>
      </w:r>
      <w:r w:rsidRPr="00A45996">
        <w:rPr>
          <w:i/>
          <w:iCs/>
          <w:sz w:val="22"/>
        </w:rPr>
        <w:t xml:space="preserve">in vivo </w:t>
      </w:r>
      <w:r w:rsidRPr="00A45996">
        <w:rPr>
          <w:sz w:val="22"/>
        </w:rPr>
        <w:t xml:space="preserve">in nonclinical tumour models, including multiple myeloma. </w:t>
      </w:r>
    </w:p>
    <w:p w:rsidR="00326C73" w:rsidRPr="00A45996" w:rsidRDefault="00326C73" w:rsidP="00326C73">
      <w:pPr>
        <w:spacing w:before="20" w:after="80"/>
        <w:rPr>
          <w:sz w:val="22"/>
        </w:rPr>
      </w:pPr>
      <w:r w:rsidRPr="00A45996">
        <w:rPr>
          <w:sz w:val="22"/>
        </w:rPr>
        <w:t xml:space="preserve">Data from </w:t>
      </w:r>
      <w:r w:rsidRPr="00A45996">
        <w:rPr>
          <w:i/>
          <w:sz w:val="22"/>
        </w:rPr>
        <w:t>in vitro</w:t>
      </w:r>
      <w:r w:rsidRPr="00A45996">
        <w:rPr>
          <w:sz w:val="22"/>
        </w:rPr>
        <w:t xml:space="preserve">, </w:t>
      </w:r>
      <w:r w:rsidRPr="00A45996">
        <w:rPr>
          <w:i/>
          <w:sz w:val="22"/>
        </w:rPr>
        <w:t>ex-vivo</w:t>
      </w:r>
      <w:r w:rsidRPr="00A45996">
        <w:rPr>
          <w:sz w:val="22"/>
        </w:rPr>
        <w:t xml:space="preserve">, and animal models with </w:t>
      </w:r>
      <w:proofErr w:type="spellStart"/>
      <w:r w:rsidRPr="00A45996">
        <w:rPr>
          <w:sz w:val="22"/>
        </w:rPr>
        <w:t>bortezomib</w:t>
      </w:r>
      <w:proofErr w:type="spellEnd"/>
      <w:r w:rsidRPr="00A45996">
        <w:rPr>
          <w:sz w:val="22"/>
        </w:rPr>
        <w:t xml:space="preserve"> suggest that it increases osteoblast differentiation and activity and inhibits osteoclast function. These effects have been observed in patients with multiple myeloma affected by an advanced osteolytic disease and treated with </w:t>
      </w:r>
      <w:proofErr w:type="spellStart"/>
      <w:r w:rsidRPr="00A45996">
        <w:rPr>
          <w:sz w:val="22"/>
        </w:rPr>
        <w:t>bortezomib</w:t>
      </w:r>
      <w:proofErr w:type="spellEnd"/>
      <w:r w:rsidRPr="00A45996">
        <w:rPr>
          <w:sz w:val="22"/>
        </w:rPr>
        <w:t>.</w:t>
      </w:r>
    </w:p>
    <w:p w:rsidR="00326C73" w:rsidRPr="00A45996" w:rsidRDefault="00326C73" w:rsidP="00326C73">
      <w:pPr>
        <w:pStyle w:val="PIHEADING2"/>
        <w:keepLines/>
        <w:rPr>
          <w:sz w:val="24"/>
        </w:rPr>
      </w:pPr>
      <w:r w:rsidRPr="00A45996">
        <w:rPr>
          <w:sz w:val="24"/>
        </w:rPr>
        <w:t xml:space="preserve">Pharmacokinetics </w:t>
      </w:r>
    </w:p>
    <w:p w:rsidR="00DE0059" w:rsidRPr="00A45996" w:rsidRDefault="00326C73" w:rsidP="00326C73">
      <w:pPr>
        <w:spacing w:before="20" w:after="80"/>
        <w:rPr>
          <w:snapToGrid w:val="0"/>
          <w:sz w:val="22"/>
        </w:rPr>
      </w:pPr>
      <w:r w:rsidRPr="00A45996">
        <w:rPr>
          <w:snapToGrid w:val="0"/>
          <w:sz w:val="22"/>
        </w:rPr>
        <w:t>Following intravenous bolus administration of a 1.0 mg/m</w:t>
      </w:r>
      <w:r w:rsidRPr="00A45996">
        <w:rPr>
          <w:snapToGrid w:val="0"/>
          <w:sz w:val="22"/>
          <w:vertAlign w:val="superscript"/>
        </w:rPr>
        <w:t>2</w:t>
      </w:r>
      <w:r w:rsidRPr="00A45996">
        <w:rPr>
          <w:snapToGrid w:val="0"/>
          <w:sz w:val="22"/>
        </w:rPr>
        <w:t xml:space="preserve"> and 1.3 mg/m</w:t>
      </w:r>
      <w:r w:rsidRPr="00A45996">
        <w:rPr>
          <w:snapToGrid w:val="0"/>
          <w:sz w:val="22"/>
          <w:vertAlign w:val="superscript"/>
        </w:rPr>
        <w:t>2</w:t>
      </w:r>
      <w:r w:rsidRPr="00A45996">
        <w:rPr>
          <w:snapToGrid w:val="0"/>
          <w:sz w:val="22"/>
        </w:rPr>
        <w:t xml:space="preserve"> dose to eleven patients with multiple myeloma, the mean first-dose maximum plasma concentrations of </w:t>
      </w:r>
      <w:proofErr w:type="spellStart"/>
      <w:r w:rsidRPr="00A45996">
        <w:rPr>
          <w:snapToGrid w:val="0"/>
          <w:sz w:val="22"/>
        </w:rPr>
        <w:t>bortezomib</w:t>
      </w:r>
      <w:proofErr w:type="spellEnd"/>
      <w:r w:rsidRPr="00A45996">
        <w:rPr>
          <w:snapToGrid w:val="0"/>
          <w:sz w:val="22"/>
        </w:rPr>
        <w:t xml:space="preserve"> were 57 and 112 ng/mL respectively.  In subsequent doses, mean maximum observed plasma concentrations ranged from 67 to 106ng/mL for the 1.0mg/m</w:t>
      </w:r>
      <w:r w:rsidRPr="00A45996">
        <w:rPr>
          <w:snapToGrid w:val="0"/>
          <w:sz w:val="22"/>
          <w:vertAlign w:val="superscript"/>
        </w:rPr>
        <w:t>2</w:t>
      </w:r>
      <w:r w:rsidRPr="00A45996">
        <w:rPr>
          <w:snapToGrid w:val="0"/>
          <w:sz w:val="22"/>
        </w:rPr>
        <w:t xml:space="preserve"> dose and 89 to 120ng/mL for the 1.3mg/m</w:t>
      </w:r>
      <w:r w:rsidRPr="00A45996">
        <w:rPr>
          <w:snapToGrid w:val="0"/>
          <w:sz w:val="22"/>
          <w:vertAlign w:val="superscript"/>
        </w:rPr>
        <w:t>2</w:t>
      </w:r>
      <w:r w:rsidRPr="00A45996">
        <w:rPr>
          <w:snapToGrid w:val="0"/>
          <w:sz w:val="22"/>
        </w:rPr>
        <w:t xml:space="preserve"> dose. </w:t>
      </w:r>
      <w:r w:rsidRPr="00A45996">
        <w:rPr>
          <w:sz w:val="22"/>
        </w:rPr>
        <w:t xml:space="preserve">The mean elimination half-life of </w:t>
      </w:r>
      <w:proofErr w:type="spellStart"/>
      <w:r w:rsidRPr="00A45996">
        <w:rPr>
          <w:sz w:val="22"/>
        </w:rPr>
        <w:t>bortezomib</w:t>
      </w:r>
      <w:proofErr w:type="spellEnd"/>
      <w:r w:rsidRPr="00A45996">
        <w:rPr>
          <w:sz w:val="22"/>
        </w:rPr>
        <w:t xml:space="preserve"> upon multiple dosing ranged from 40-193 hours.  </w:t>
      </w:r>
      <w:proofErr w:type="spellStart"/>
      <w:r w:rsidRPr="00A45996">
        <w:rPr>
          <w:snapToGrid w:val="0"/>
          <w:sz w:val="22"/>
        </w:rPr>
        <w:t>Bortezomib</w:t>
      </w:r>
      <w:proofErr w:type="spellEnd"/>
      <w:r w:rsidRPr="00A45996">
        <w:rPr>
          <w:snapToGrid w:val="0"/>
          <w:sz w:val="22"/>
        </w:rPr>
        <w:t xml:space="preserve"> is eliminated more rapidly following the first dose </w:t>
      </w:r>
      <w:r w:rsidRPr="00A45996">
        <w:rPr>
          <w:sz w:val="22"/>
          <w:szCs w:val="22"/>
          <w:lang w:val="en-GB"/>
        </w:rPr>
        <w:t>compared to subsequent doses</w:t>
      </w:r>
      <w:r w:rsidRPr="00A45996">
        <w:rPr>
          <w:snapToGrid w:val="0"/>
          <w:sz w:val="22"/>
        </w:rPr>
        <w:t>. Mean total body clearances were 102 and 112 L/h following the first dose for doses of 1.0mg/m</w:t>
      </w:r>
      <w:r w:rsidRPr="00A45996">
        <w:rPr>
          <w:snapToGrid w:val="0"/>
          <w:sz w:val="22"/>
          <w:vertAlign w:val="superscript"/>
        </w:rPr>
        <w:t>2</w:t>
      </w:r>
      <w:r w:rsidRPr="00A45996">
        <w:rPr>
          <w:snapToGrid w:val="0"/>
          <w:sz w:val="22"/>
        </w:rPr>
        <w:t xml:space="preserve"> and 1.3mg/m</w:t>
      </w:r>
      <w:r w:rsidRPr="00A45996">
        <w:rPr>
          <w:snapToGrid w:val="0"/>
          <w:sz w:val="22"/>
          <w:vertAlign w:val="superscript"/>
        </w:rPr>
        <w:t>2</w:t>
      </w:r>
      <w:r w:rsidRPr="00A45996">
        <w:rPr>
          <w:snapToGrid w:val="0"/>
          <w:sz w:val="22"/>
        </w:rPr>
        <w:t>, respectively, and ranged from 15 to 32 L/h following subsequent doses of 1.0mg/m</w:t>
      </w:r>
      <w:r w:rsidRPr="00A45996">
        <w:rPr>
          <w:snapToGrid w:val="0"/>
          <w:sz w:val="22"/>
          <w:vertAlign w:val="superscript"/>
        </w:rPr>
        <w:t>2</w:t>
      </w:r>
      <w:r w:rsidRPr="00A45996">
        <w:rPr>
          <w:snapToGrid w:val="0"/>
          <w:sz w:val="22"/>
        </w:rPr>
        <w:t xml:space="preserve"> and 1.3mg/m</w:t>
      </w:r>
      <w:r w:rsidRPr="00A45996">
        <w:rPr>
          <w:snapToGrid w:val="0"/>
          <w:sz w:val="22"/>
          <w:vertAlign w:val="superscript"/>
        </w:rPr>
        <w:t>2</w:t>
      </w:r>
      <w:r w:rsidRPr="00A45996">
        <w:rPr>
          <w:snapToGrid w:val="0"/>
          <w:sz w:val="22"/>
        </w:rPr>
        <w:t xml:space="preserve">, respectively.  </w:t>
      </w:r>
    </w:p>
    <w:p w:rsidR="00DE0059" w:rsidRPr="00A45996" w:rsidRDefault="00DE0059" w:rsidP="00326C73">
      <w:pPr>
        <w:spacing w:before="20" w:after="80"/>
        <w:rPr>
          <w:snapToGrid w:val="0"/>
          <w:sz w:val="22"/>
          <w:szCs w:val="22"/>
        </w:rPr>
      </w:pPr>
      <w:r w:rsidRPr="00A45996">
        <w:rPr>
          <w:sz w:val="22"/>
          <w:szCs w:val="22"/>
        </w:rPr>
        <w:t xml:space="preserve">In the PK/PD </w:t>
      </w:r>
      <w:proofErr w:type="spellStart"/>
      <w:r w:rsidRPr="00A45996">
        <w:rPr>
          <w:sz w:val="22"/>
          <w:szCs w:val="22"/>
        </w:rPr>
        <w:t>substudy</w:t>
      </w:r>
      <w:proofErr w:type="spellEnd"/>
      <w:r w:rsidRPr="00A45996">
        <w:rPr>
          <w:sz w:val="22"/>
          <w:szCs w:val="22"/>
        </w:rPr>
        <w:t xml:space="preserve"> in Phase III trial, following an IV bolus or subcutaneous (SC) injection of a 1.3 mg/m</w:t>
      </w:r>
      <w:r w:rsidRPr="00A45996">
        <w:rPr>
          <w:sz w:val="22"/>
          <w:szCs w:val="22"/>
          <w:vertAlign w:val="superscript"/>
        </w:rPr>
        <w:t>2</w:t>
      </w:r>
      <w:r w:rsidRPr="00A45996">
        <w:rPr>
          <w:sz w:val="22"/>
          <w:szCs w:val="22"/>
        </w:rPr>
        <w:t xml:space="preserve"> dose to multiple myeloma patients (n = 14 for IV, n = 17 for SC) , the total systemic exposure after repeat dose administration (</w:t>
      </w:r>
      <w:proofErr w:type="spellStart"/>
      <w:r w:rsidRPr="00A45996">
        <w:rPr>
          <w:sz w:val="22"/>
          <w:szCs w:val="22"/>
        </w:rPr>
        <w:t>AUC</w:t>
      </w:r>
      <w:r w:rsidRPr="00A45996">
        <w:rPr>
          <w:sz w:val="22"/>
          <w:szCs w:val="22"/>
          <w:vertAlign w:val="subscript"/>
        </w:rPr>
        <w:t>last</w:t>
      </w:r>
      <w:proofErr w:type="spellEnd"/>
      <w:r w:rsidRPr="00A45996">
        <w:rPr>
          <w:sz w:val="22"/>
          <w:szCs w:val="22"/>
        </w:rPr>
        <w:t xml:space="preserve">) was equivalent (151 </w:t>
      </w:r>
      <w:proofErr w:type="spellStart"/>
      <w:r w:rsidRPr="00A45996">
        <w:rPr>
          <w:sz w:val="22"/>
          <w:szCs w:val="22"/>
        </w:rPr>
        <w:t>ng.h</w:t>
      </w:r>
      <w:proofErr w:type="spellEnd"/>
      <w:r w:rsidRPr="00A45996">
        <w:rPr>
          <w:sz w:val="22"/>
          <w:szCs w:val="22"/>
        </w:rPr>
        <w:t xml:space="preserve">/mL vs 155 </w:t>
      </w:r>
      <w:proofErr w:type="spellStart"/>
      <w:r w:rsidRPr="00A45996">
        <w:rPr>
          <w:sz w:val="22"/>
          <w:szCs w:val="22"/>
        </w:rPr>
        <w:t>ng.h</w:t>
      </w:r>
      <w:proofErr w:type="spellEnd"/>
      <w:r w:rsidRPr="00A45996">
        <w:rPr>
          <w:sz w:val="22"/>
          <w:szCs w:val="22"/>
        </w:rPr>
        <w:t xml:space="preserve">/mL)for SC and IV administration. The </w:t>
      </w:r>
      <w:proofErr w:type="spellStart"/>
      <w:r w:rsidRPr="00A45996">
        <w:rPr>
          <w:sz w:val="22"/>
          <w:szCs w:val="22"/>
        </w:rPr>
        <w:t>C</w:t>
      </w:r>
      <w:r w:rsidRPr="00A45996">
        <w:rPr>
          <w:sz w:val="22"/>
          <w:szCs w:val="22"/>
          <w:vertAlign w:val="subscript"/>
        </w:rPr>
        <w:t>max</w:t>
      </w:r>
      <w:proofErr w:type="spellEnd"/>
      <w:r w:rsidRPr="00A45996">
        <w:rPr>
          <w:sz w:val="22"/>
          <w:szCs w:val="22"/>
        </w:rPr>
        <w:t xml:space="preserve"> after SC administration </w:t>
      </w:r>
      <w:proofErr w:type="gramStart"/>
      <w:r w:rsidRPr="00A45996">
        <w:rPr>
          <w:sz w:val="22"/>
          <w:szCs w:val="22"/>
        </w:rPr>
        <w:t>(20.4 ng/mL)</w:t>
      </w:r>
      <w:proofErr w:type="gramEnd"/>
      <w:r w:rsidRPr="00A45996">
        <w:rPr>
          <w:sz w:val="22"/>
          <w:szCs w:val="22"/>
        </w:rPr>
        <w:t xml:space="preserve"> was lower than IV (223 ng/mL). The </w:t>
      </w:r>
      <w:proofErr w:type="spellStart"/>
      <w:r w:rsidRPr="00A45996">
        <w:rPr>
          <w:sz w:val="22"/>
          <w:szCs w:val="22"/>
        </w:rPr>
        <w:t>AUC</w:t>
      </w:r>
      <w:r w:rsidRPr="00A45996">
        <w:rPr>
          <w:sz w:val="22"/>
          <w:szCs w:val="22"/>
          <w:vertAlign w:val="subscript"/>
        </w:rPr>
        <w:t>last</w:t>
      </w:r>
      <w:proofErr w:type="spellEnd"/>
      <w:r w:rsidRPr="00A45996">
        <w:rPr>
          <w:sz w:val="22"/>
          <w:szCs w:val="22"/>
          <w:vertAlign w:val="subscript"/>
        </w:rPr>
        <w:softHyphen/>
      </w:r>
      <w:r w:rsidRPr="00A45996">
        <w:rPr>
          <w:sz w:val="22"/>
          <w:szCs w:val="22"/>
        </w:rPr>
        <w:t xml:space="preserve"> geometric mean ratio was 0.99 and 90% confidence intervals were 80.18% - 122.80%.</w:t>
      </w:r>
    </w:p>
    <w:p w:rsidR="00326C73" w:rsidRPr="00A45996" w:rsidRDefault="00DE0059" w:rsidP="00326C73">
      <w:pPr>
        <w:spacing w:before="20" w:after="80"/>
        <w:rPr>
          <w:sz w:val="22"/>
        </w:rPr>
      </w:pPr>
      <w:r w:rsidRPr="00A45996">
        <w:rPr>
          <w:b/>
          <w:i/>
          <w:snapToGrid w:val="0"/>
          <w:sz w:val="22"/>
        </w:rPr>
        <w:t>Distribution:</w:t>
      </w:r>
      <w:r w:rsidRPr="00A45996">
        <w:rPr>
          <w:snapToGrid w:val="0"/>
          <w:sz w:val="22"/>
        </w:rPr>
        <w:t xml:space="preserve"> </w:t>
      </w:r>
      <w:r w:rsidR="00326C73" w:rsidRPr="00A45996">
        <w:rPr>
          <w:sz w:val="22"/>
        </w:rPr>
        <w:t xml:space="preserve">The mean distribution volume of </w:t>
      </w:r>
      <w:proofErr w:type="spellStart"/>
      <w:r w:rsidR="00326C73" w:rsidRPr="00A45996">
        <w:rPr>
          <w:sz w:val="22"/>
        </w:rPr>
        <w:t>bortezomib</w:t>
      </w:r>
      <w:proofErr w:type="spellEnd"/>
      <w:r w:rsidR="00326C73" w:rsidRPr="00A45996">
        <w:rPr>
          <w:sz w:val="22"/>
        </w:rPr>
        <w:t xml:space="preserve"> ranged from 1659 litres to 3294 litres </w:t>
      </w:r>
      <w:r w:rsidR="00326C73" w:rsidRPr="00A45996">
        <w:rPr>
          <w:b/>
          <w:bCs/>
          <w:sz w:val="22"/>
        </w:rPr>
        <w:t>(</w:t>
      </w:r>
      <w:r w:rsidR="00326C73" w:rsidRPr="00A45996">
        <w:rPr>
          <w:sz w:val="22"/>
        </w:rPr>
        <w:t>489 to 1884L/</w:t>
      </w:r>
      <w:r w:rsidR="00326C73" w:rsidRPr="00A45996">
        <w:rPr>
          <w:rFonts w:cs="Arial"/>
          <w:sz w:val="22"/>
        </w:rPr>
        <w:t>m</w:t>
      </w:r>
      <w:r w:rsidR="00326C73" w:rsidRPr="00A45996">
        <w:rPr>
          <w:rFonts w:cs="Arial"/>
          <w:sz w:val="22"/>
          <w:vertAlign w:val="superscript"/>
        </w:rPr>
        <w:t>2</w:t>
      </w:r>
      <w:r w:rsidR="00326C73" w:rsidRPr="00A45996">
        <w:rPr>
          <w:rFonts w:cs="Arial"/>
          <w:b/>
          <w:bCs/>
          <w:sz w:val="22"/>
        </w:rPr>
        <w:t>)</w:t>
      </w:r>
      <w:r w:rsidR="00326C73" w:rsidRPr="00A45996">
        <w:rPr>
          <w:sz w:val="22"/>
        </w:rPr>
        <w:t xml:space="preserve"> following single- or repeat-dose </w:t>
      </w:r>
      <w:r w:rsidRPr="00A45996">
        <w:rPr>
          <w:sz w:val="22"/>
        </w:rPr>
        <w:t xml:space="preserve">IV </w:t>
      </w:r>
      <w:r w:rsidR="00326C73" w:rsidRPr="00A45996">
        <w:rPr>
          <w:sz w:val="22"/>
        </w:rPr>
        <w:t>administration of 1.0mg/m</w:t>
      </w:r>
      <w:r w:rsidR="00326C73" w:rsidRPr="00A45996">
        <w:rPr>
          <w:sz w:val="22"/>
          <w:vertAlign w:val="superscript"/>
        </w:rPr>
        <w:t>2</w:t>
      </w:r>
      <w:r w:rsidR="00326C73" w:rsidRPr="00A45996">
        <w:rPr>
          <w:sz w:val="22"/>
        </w:rPr>
        <w:t xml:space="preserve"> or 1.3mg/m</w:t>
      </w:r>
      <w:r w:rsidR="00326C73" w:rsidRPr="00A45996">
        <w:rPr>
          <w:sz w:val="22"/>
          <w:vertAlign w:val="superscript"/>
        </w:rPr>
        <w:t>2</w:t>
      </w:r>
      <w:r w:rsidR="00326C73" w:rsidRPr="00A45996">
        <w:rPr>
          <w:sz w:val="22"/>
        </w:rPr>
        <w:t xml:space="preserve"> to patients with multiple myeloma.  This suggests that </w:t>
      </w:r>
      <w:proofErr w:type="spellStart"/>
      <w:r w:rsidR="00326C73" w:rsidRPr="00A45996">
        <w:rPr>
          <w:sz w:val="22"/>
        </w:rPr>
        <w:t>bortezomib</w:t>
      </w:r>
      <w:proofErr w:type="spellEnd"/>
      <w:r w:rsidR="00326C73" w:rsidRPr="00A45996">
        <w:rPr>
          <w:sz w:val="22"/>
        </w:rPr>
        <w:t xml:space="preserve"> distributes widely to peripheral tissues.</w:t>
      </w:r>
    </w:p>
    <w:p w:rsidR="00326C73" w:rsidRPr="00A45996" w:rsidRDefault="00326C73" w:rsidP="00326C73">
      <w:pPr>
        <w:pStyle w:val="BodyText"/>
        <w:spacing w:before="20" w:after="80"/>
        <w:jc w:val="both"/>
        <w:rPr>
          <w:rFonts w:ascii="Arial" w:hAnsi="Arial" w:cs="Arial"/>
          <w:b w:val="0"/>
          <w:bCs/>
          <w:i w:val="0"/>
          <w:szCs w:val="24"/>
        </w:rPr>
      </w:pPr>
      <w:r w:rsidRPr="00A45996">
        <w:rPr>
          <w:rFonts w:ascii="Arial" w:hAnsi="Arial" w:cs="Arial"/>
          <w:iCs/>
          <w:szCs w:val="24"/>
        </w:rPr>
        <w:t>Protein Binding</w:t>
      </w:r>
      <w:r w:rsidRPr="00A45996">
        <w:rPr>
          <w:rFonts w:ascii="Arial" w:hAnsi="Arial" w:cs="Arial"/>
          <w:b w:val="0"/>
          <w:bCs/>
          <w:iCs/>
          <w:szCs w:val="24"/>
        </w:rPr>
        <w:t xml:space="preserve">: </w:t>
      </w:r>
      <w:r w:rsidRPr="00A45996">
        <w:rPr>
          <w:rFonts w:ascii="Arial" w:hAnsi="Arial" w:cs="Arial"/>
          <w:b w:val="0"/>
          <w:bCs/>
          <w:i w:val="0"/>
          <w:szCs w:val="24"/>
        </w:rPr>
        <w:t xml:space="preserve">Over a </w:t>
      </w:r>
      <w:proofErr w:type="spellStart"/>
      <w:r w:rsidRPr="00A45996">
        <w:rPr>
          <w:rFonts w:ascii="Arial" w:hAnsi="Arial" w:cs="Arial"/>
          <w:b w:val="0"/>
          <w:bCs/>
          <w:i w:val="0"/>
          <w:szCs w:val="24"/>
        </w:rPr>
        <w:t>bortezomib</w:t>
      </w:r>
      <w:proofErr w:type="spellEnd"/>
      <w:r w:rsidRPr="00A45996">
        <w:rPr>
          <w:rFonts w:ascii="Arial" w:hAnsi="Arial" w:cs="Arial"/>
          <w:b w:val="0"/>
          <w:bCs/>
          <w:i w:val="0"/>
          <w:szCs w:val="24"/>
        </w:rPr>
        <w:t xml:space="preserve"> concentration range </w:t>
      </w:r>
      <w:proofErr w:type="gramStart"/>
      <w:r w:rsidRPr="00A45996">
        <w:rPr>
          <w:rFonts w:ascii="Arial" w:hAnsi="Arial" w:cs="Arial"/>
          <w:b w:val="0"/>
          <w:bCs/>
          <w:i w:val="0"/>
          <w:szCs w:val="24"/>
        </w:rPr>
        <w:t>of 10 to 1000 ng/mL,</w:t>
      </w:r>
      <w:proofErr w:type="gramEnd"/>
      <w:r w:rsidRPr="00A45996">
        <w:rPr>
          <w:rFonts w:ascii="Arial" w:hAnsi="Arial" w:cs="Arial"/>
          <w:b w:val="0"/>
          <w:bCs/>
          <w:i w:val="0"/>
          <w:szCs w:val="24"/>
        </w:rPr>
        <w:t xml:space="preserve"> the </w:t>
      </w:r>
      <w:r w:rsidRPr="00A45996">
        <w:rPr>
          <w:rFonts w:ascii="Arial" w:hAnsi="Arial" w:cs="Arial"/>
          <w:b w:val="0"/>
          <w:bCs/>
          <w:iCs/>
          <w:szCs w:val="24"/>
        </w:rPr>
        <w:t>in vitro</w:t>
      </w:r>
      <w:r w:rsidRPr="00A45996">
        <w:rPr>
          <w:rFonts w:ascii="Arial" w:hAnsi="Arial" w:cs="Arial"/>
          <w:b w:val="0"/>
          <w:bCs/>
          <w:i w:val="0"/>
          <w:szCs w:val="24"/>
        </w:rPr>
        <w:t xml:space="preserve"> protein binding averaged 83% in human plasma.  The percent of </w:t>
      </w:r>
      <w:proofErr w:type="spellStart"/>
      <w:r w:rsidRPr="00A45996">
        <w:rPr>
          <w:rFonts w:ascii="Arial" w:hAnsi="Arial" w:cs="Arial"/>
          <w:b w:val="0"/>
          <w:bCs/>
          <w:i w:val="0"/>
          <w:szCs w:val="24"/>
        </w:rPr>
        <w:t>bortezomib</w:t>
      </w:r>
      <w:proofErr w:type="spellEnd"/>
      <w:r w:rsidRPr="00A45996">
        <w:rPr>
          <w:rFonts w:ascii="Arial" w:hAnsi="Arial" w:cs="Arial"/>
          <w:b w:val="0"/>
          <w:bCs/>
          <w:i w:val="0"/>
          <w:szCs w:val="24"/>
        </w:rPr>
        <w:t xml:space="preserve"> bound to plasma proteins was not concentration dependent.</w:t>
      </w:r>
    </w:p>
    <w:p w:rsidR="00326C73" w:rsidRPr="00A45996" w:rsidRDefault="00326C73" w:rsidP="00326C73">
      <w:pPr>
        <w:pStyle w:val="BodyText"/>
        <w:spacing w:before="20" w:after="80"/>
        <w:jc w:val="both"/>
        <w:rPr>
          <w:rFonts w:ascii="Arial" w:hAnsi="Arial" w:cs="Arial"/>
          <w:b w:val="0"/>
          <w:bCs/>
          <w:i w:val="0"/>
        </w:rPr>
      </w:pPr>
      <w:r w:rsidRPr="00A45996">
        <w:rPr>
          <w:rFonts w:ascii="Arial" w:hAnsi="Arial" w:cs="Arial"/>
          <w:szCs w:val="24"/>
        </w:rPr>
        <w:t>Metabolism</w:t>
      </w:r>
      <w:r w:rsidRPr="00A45996">
        <w:rPr>
          <w:rFonts w:ascii="Arial" w:hAnsi="Arial" w:cs="Arial"/>
          <w:b w:val="0"/>
          <w:bCs/>
          <w:szCs w:val="24"/>
        </w:rPr>
        <w:t>:</w:t>
      </w:r>
      <w:r w:rsidRPr="00A45996">
        <w:rPr>
          <w:rFonts w:ascii="Arial" w:hAnsi="Arial" w:cs="Arial"/>
          <w:b w:val="0"/>
          <w:bCs/>
          <w:iCs/>
          <w:szCs w:val="24"/>
        </w:rPr>
        <w:t xml:space="preserve"> </w:t>
      </w:r>
      <w:r w:rsidRPr="00A45996">
        <w:rPr>
          <w:rFonts w:ascii="Arial" w:hAnsi="Arial" w:cs="Arial"/>
          <w:b w:val="0"/>
          <w:bCs/>
          <w:iCs/>
        </w:rPr>
        <w:t>In vitro</w:t>
      </w:r>
      <w:r w:rsidRPr="00A45996">
        <w:rPr>
          <w:rFonts w:ascii="Arial" w:hAnsi="Arial" w:cs="Arial"/>
          <w:b w:val="0"/>
          <w:bCs/>
          <w:i w:val="0"/>
        </w:rPr>
        <w:t xml:space="preserve"> studies with human liver </w:t>
      </w:r>
      <w:proofErr w:type="spellStart"/>
      <w:r w:rsidRPr="00A45996">
        <w:rPr>
          <w:rFonts w:ascii="Arial" w:hAnsi="Arial" w:cs="Arial"/>
          <w:b w:val="0"/>
          <w:bCs/>
          <w:i w:val="0"/>
        </w:rPr>
        <w:t>microsomes</w:t>
      </w:r>
      <w:proofErr w:type="spellEnd"/>
      <w:r w:rsidRPr="00A45996">
        <w:rPr>
          <w:rFonts w:ascii="Arial" w:hAnsi="Arial" w:cs="Arial"/>
          <w:b w:val="0"/>
          <w:bCs/>
          <w:i w:val="0"/>
        </w:rPr>
        <w:t xml:space="preserve"> and human cDNA-expressed cytochrome P450 isozymes indicate that </w:t>
      </w:r>
      <w:proofErr w:type="spellStart"/>
      <w:r w:rsidRPr="00A45996">
        <w:rPr>
          <w:rFonts w:ascii="Arial" w:hAnsi="Arial" w:cs="Arial"/>
          <w:b w:val="0"/>
          <w:bCs/>
          <w:i w:val="0"/>
        </w:rPr>
        <w:t>bortezomib</w:t>
      </w:r>
      <w:proofErr w:type="spellEnd"/>
      <w:r w:rsidRPr="00A45996">
        <w:rPr>
          <w:rFonts w:ascii="Arial" w:hAnsi="Arial" w:cs="Arial"/>
          <w:b w:val="0"/>
          <w:bCs/>
          <w:i w:val="0"/>
        </w:rPr>
        <w:t xml:space="preserve"> is primarily </w:t>
      </w:r>
      <w:proofErr w:type="spellStart"/>
      <w:r w:rsidRPr="00A45996">
        <w:rPr>
          <w:rFonts w:ascii="Arial" w:hAnsi="Arial" w:cs="Arial"/>
          <w:b w:val="0"/>
          <w:bCs/>
          <w:i w:val="0"/>
        </w:rPr>
        <w:t>oxidatively</w:t>
      </w:r>
      <w:proofErr w:type="spellEnd"/>
      <w:r w:rsidRPr="00A45996">
        <w:rPr>
          <w:rFonts w:ascii="Arial" w:hAnsi="Arial" w:cs="Arial"/>
          <w:b w:val="0"/>
          <w:bCs/>
          <w:i w:val="0"/>
        </w:rPr>
        <w:t xml:space="preserve"> metabolised via cytochrome P450 enzymes, 3A4, 2C19, 2D6, 2C9, and 1A2.  The major metabolic pathway is </w:t>
      </w:r>
      <w:proofErr w:type="spellStart"/>
      <w:r w:rsidRPr="00A45996">
        <w:rPr>
          <w:rFonts w:ascii="Arial" w:hAnsi="Arial" w:cs="Arial"/>
          <w:b w:val="0"/>
          <w:bCs/>
          <w:i w:val="0"/>
        </w:rPr>
        <w:t>deboronation</w:t>
      </w:r>
      <w:proofErr w:type="spellEnd"/>
      <w:r w:rsidRPr="00A45996">
        <w:rPr>
          <w:rFonts w:ascii="Arial" w:hAnsi="Arial" w:cs="Arial"/>
          <w:b w:val="0"/>
          <w:bCs/>
          <w:i w:val="0"/>
        </w:rPr>
        <w:t xml:space="preserve">, with the two main metabolites formed undergoing subsequent hydroxylation.  One of the two main </w:t>
      </w:r>
      <w:proofErr w:type="spellStart"/>
      <w:r w:rsidRPr="00A45996">
        <w:rPr>
          <w:rFonts w:ascii="Arial" w:hAnsi="Arial" w:cs="Arial"/>
          <w:b w:val="0"/>
          <w:bCs/>
          <w:i w:val="0"/>
        </w:rPr>
        <w:t>deboronated</w:t>
      </w:r>
      <w:proofErr w:type="spellEnd"/>
      <w:r w:rsidRPr="00A45996">
        <w:rPr>
          <w:rFonts w:ascii="Arial" w:hAnsi="Arial" w:cs="Arial"/>
          <w:b w:val="0"/>
          <w:bCs/>
          <w:i w:val="0"/>
        </w:rPr>
        <w:t xml:space="preserve"> metabolites was shown to be inactive as a 26S proteasome inhibitor.  Pooled plasma data from 8 patients at 10 min and 30 min after </w:t>
      </w:r>
      <w:r w:rsidR="00DE0059" w:rsidRPr="00A45996">
        <w:rPr>
          <w:rFonts w:ascii="Arial" w:hAnsi="Arial" w:cs="Arial"/>
          <w:b w:val="0"/>
          <w:bCs/>
          <w:i w:val="0"/>
        </w:rPr>
        <w:t xml:space="preserve">IV </w:t>
      </w:r>
      <w:r w:rsidRPr="00A45996">
        <w:rPr>
          <w:rFonts w:ascii="Arial" w:hAnsi="Arial" w:cs="Arial"/>
          <w:b w:val="0"/>
          <w:bCs/>
          <w:i w:val="0"/>
        </w:rPr>
        <w:t xml:space="preserve">dosing indicate that the plasma levels of metabolites are low compared to the parent drug. </w:t>
      </w:r>
    </w:p>
    <w:p w:rsidR="00326C73" w:rsidRPr="00A45996" w:rsidRDefault="00326C73" w:rsidP="00326C73">
      <w:pPr>
        <w:pStyle w:val="BodyText"/>
        <w:spacing w:before="20" w:after="80"/>
        <w:jc w:val="both"/>
        <w:rPr>
          <w:rFonts w:ascii="Arial" w:hAnsi="Arial" w:cs="Arial"/>
          <w:b w:val="0"/>
          <w:bCs/>
          <w:i w:val="0"/>
          <w:iCs/>
          <w:snapToGrid w:val="0"/>
        </w:rPr>
      </w:pPr>
      <w:r w:rsidRPr="00A45996">
        <w:rPr>
          <w:rFonts w:ascii="Arial" w:hAnsi="Arial" w:cs="Arial"/>
        </w:rPr>
        <w:t>Elimination</w:t>
      </w:r>
      <w:r w:rsidRPr="00A45996">
        <w:rPr>
          <w:rFonts w:ascii="Arial" w:hAnsi="Arial" w:cs="Arial"/>
          <w:b w:val="0"/>
          <w:bCs/>
        </w:rPr>
        <w:t xml:space="preserve">: </w:t>
      </w:r>
      <w:r w:rsidRPr="00A45996">
        <w:rPr>
          <w:rFonts w:ascii="Arial" w:hAnsi="Arial" w:cs="Arial"/>
          <w:b w:val="0"/>
          <w:bCs/>
          <w:i w:val="0"/>
          <w:iCs/>
          <w:snapToGrid w:val="0"/>
        </w:rPr>
        <w:t xml:space="preserve">The elimination pathways of </w:t>
      </w:r>
      <w:proofErr w:type="spellStart"/>
      <w:r w:rsidRPr="00A45996">
        <w:rPr>
          <w:rFonts w:ascii="Arial" w:hAnsi="Arial" w:cs="Arial"/>
          <w:b w:val="0"/>
          <w:bCs/>
          <w:i w:val="0"/>
          <w:iCs/>
          <w:snapToGrid w:val="0"/>
        </w:rPr>
        <w:t>bortezomib</w:t>
      </w:r>
      <w:proofErr w:type="spellEnd"/>
      <w:r w:rsidRPr="00A45996">
        <w:rPr>
          <w:rFonts w:ascii="Arial" w:hAnsi="Arial" w:cs="Arial"/>
          <w:b w:val="0"/>
          <w:bCs/>
          <w:i w:val="0"/>
          <w:iCs/>
          <w:snapToGrid w:val="0"/>
        </w:rPr>
        <w:t xml:space="preserve"> have not been evaluated </w:t>
      </w:r>
      <w:r w:rsidRPr="00A45996">
        <w:rPr>
          <w:rFonts w:ascii="Arial" w:hAnsi="Arial" w:cs="Arial"/>
          <w:b w:val="0"/>
          <w:bCs/>
          <w:snapToGrid w:val="0"/>
        </w:rPr>
        <w:t>in vivo</w:t>
      </w:r>
      <w:r w:rsidRPr="00A45996">
        <w:rPr>
          <w:rFonts w:ascii="Arial" w:hAnsi="Arial" w:cs="Arial"/>
          <w:b w:val="0"/>
          <w:bCs/>
          <w:i w:val="0"/>
          <w:iCs/>
          <w:snapToGrid w:val="0"/>
        </w:rPr>
        <w:t xml:space="preserve">. </w:t>
      </w:r>
    </w:p>
    <w:p w:rsidR="00201211" w:rsidRPr="00A45996" w:rsidRDefault="00326C73">
      <w:pPr>
        <w:spacing w:before="20" w:after="80"/>
        <w:jc w:val="left"/>
        <w:rPr>
          <w:bCs/>
          <w:sz w:val="22"/>
        </w:rPr>
      </w:pPr>
      <w:r w:rsidRPr="00A45996">
        <w:rPr>
          <w:b/>
          <w:bCs/>
          <w:i/>
          <w:sz w:val="22"/>
        </w:rPr>
        <w:lastRenderedPageBreak/>
        <w:t xml:space="preserve">Renal Impairment: </w:t>
      </w:r>
      <w:r w:rsidRPr="00A45996">
        <w:rPr>
          <w:bCs/>
          <w:sz w:val="22"/>
        </w:rPr>
        <w:t>A pharmacokinetic study was conducted in patients with various degrees of renal impairment who were classified according to their creatinine clearance values (</w:t>
      </w:r>
      <w:proofErr w:type="spellStart"/>
      <w:r w:rsidRPr="00A45996">
        <w:rPr>
          <w:bCs/>
          <w:sz w:val="22"/>
        </w:rPr>
        <w:t>CrCL</w:t>
      </w:r>
      <w:proofErr w:type="spellEnd"/>
      <w:r w:rsidRPr="00A45996">
        <w:rPr>
          <w:bCs/>
          <w:sz w:val="22"/>
        </w:rPr>
        <w:t>) into the following groups: Normal (</w:t>
      </w:r>
      <w:proofErr w:type="spellStart"/>
      <w:r w:rsidRPr="00A45996">
        <w:rPr>
          <w:bCs/>
          <w:sz w:val="22"/>
        </w:rPr>
        <w:t>CrCL</w:t>
      </w:r>
      <w:proofErr w:type="spellEnd"/>
      <w:r w:rsidRPr="00A45996">
        <w:rPr>
          <w:bCs/>
          <w:sz w:val="22"/>
        </w:rPr>
        <w:t xml:space="preserve"> ≥60 mL/min/1.73 m</w:t>
      </w:r>
      <w:r w:rsidRPr="00A45996">
        <w:rPr>
          <w:bCs/>
          <w:sz w:val="22"/>
          <w:vertAlign w:val="superscript"/>
        </w:rPr>
        <w:t>2</w:t>
      </w:r>
      <w:r w:rsidRPr="00A45996">
        <w:rPr>
          <w:bCs/>
          <w:sz w:val="22"/>
        </w:rPr>
        <w:t>, n=12), Mild (</w:t>
      </w:r>
      <w:proofErr w:type="spellStart"/>
      <w:r w:rsidRPr="00A45996">
        <w:rPr>
          <w:bCs/>
          <w:sz w:val="22"/>
        </w:rPr>
        <w:t>CrCL</w:t>
      </w:r>
      <w:proofErr w:type="spellEnd"/>
      <w:r w:rsidRPr="00A45996">
        <w:rPr>
          <w:bCs/>
          <w:sz w:val="22"/>
        </w:rPr>
        <w:t>=40-59 mL/min/1.73 m</w:t>
      </w:r>
      <w:r w:rsidRPr="00A45996">
        <w:rPr>
          <w:bCs/>
          <w:sz w:val="22"/>
          <w:vertAlign w:val="superscript"/>
        </w:rPr>
        <w:t>2</w:t>
      </w:r>
      <w:r w:rsidRPr="00A45996">
        <w:rPr>
          <w:bCs/>
          <w:sz w:val="22"/>
        </w:rPr>
        <w:t>, n=10), Moderate (</w:t>
      </w:r>
      <w:proofErr w:type="spellStart"/>
      <w:r w:rsidRPr="00A45996">
        <w:rPr>
          <w:bCs/>
          <w:sz w:val="22"/>
        </w:rPr>
        <w:t>CrCL</w:t>
      </w:r>
      <w:proofErr w:type="spellEnd"/>
      <w:r w:rsidRPr="00A45996">
        <w:rPr>
          <w:bCs/>
          <w:sz w:val="22"/>
        </w:rPr>
        <w:t>=20-39 mL/min/1.73 m</w:t>
      </w:r>
      <w:r w:rsidRPr="00A45996">
        <w:rPr>
          <w:bCs/>
          <w:sz w:val="22"/>
          <w:vertAlign w:val="superscript"/>
        </w:rPr>
        <w:t>2</w:t>
      </w:r>
      <w:r w:rsidRPr="00A45996">
        <w:rPr>
          <w:bCs/>
          <w:sz w:val="22"/>
        </w:rPr>
        <w:t>, n=9), and Severe (</w:t>
      </w:r>
      <w:proofErr w:type="spellStart"/>
      <w:r w:rsidRPr="00A45996">
        <w:rPr>
          <w:bCs/>
          <w:sz w:val="22"/>
        </w:rPr>
        <w:t>CrCL</w:t>
      </w:r>
      <w:proofErr w:type="spellEnd"/>
      <w:r w:rsidRPr="00A45996">
        <w:rPr>
          <w:bCs/>
          <w:sz w:val="22"/>
        </w:rPr>
        <w:t xml:space="preserve"> &lt; 20 mL/min/1.73 m</w:t>
      </w:r>
      <w:r w:rsidRPr="00A45996">
        <w:rPr>
          <w:bCs/>
          <w:sz w:val="22"/>
          <w:vertAlign w:val="superscript"/>
        </w:rPr>
        <w:t>2</w:t>
      </w:r>
      <w:r w:rsidRPr="00A45996">
        <w:rPr>
          <w:bCs/>
          <w:sz w:val="22"/>
        </w:rPr>
        <w:t>, n=3).  A group of dialysis patients who were dosed after dialysis was also included in the study (n=8).  Patients were administered intravenous doses of 0.7 to 1.3 mg/m</w:t>
      </w:r>
      <w:r w:rsidRPr="00A45996">
        <w:rPr>
          <w:bCs/>
          <w:sz w:val="22"/>
          <w:vertAlign w:val="superscript"/>
        </w:rPr>
        <w:t>2</w:t>
      </w:r>
      <w:r w:rsidRPr="00A45996">
        <w:rPr>
          <w:bCs/>
          <w:sz w:val="22"/>
        </w:rPr>
        <w:t xml:space="preserve"> of </w:t>
      </w:r>
      <w:proofErr w:type="spellStart"/>
      <w:r w:rsidRPr="00A45996">
        <w:rPr>
          <w:bCs/>
          <w:sz w:val="22"/>
        </w:rPr>
        <w:t>bortezomib</w:t>
      </w:r>
      <w:proofErr w:type="spellEnd"/>
      <w:r w:rsidRPr="00A45996">
        <w:rPr>
          <w:bCs/>
          <w:sz w:val="22"/>
        </w:rPr>
        <w:t xml:space="preserve"> twice weekly.  Clearance of </w:t>
      </w:r>
      <w:proofErr w:type="spellStart"/>
      <w:r w:rsidRPr="00A45996">
        <w:rPr>
          <w:bCs/>
          <w:sz w:val="22"/>
        </w:rPr>
        <w:t>bortezomib</w:t>
      </w:r>
      <w:proofErr w:type="spellEnd"/>
      <w:r w:rsidRPr="00A45996">
        <w:rPr>
          <w:bCs/>
          <w:sz w:val="22"/>
        </w:rPr>
        <w:t xml:space="preserve"> was comparable among all the groups.  However, the number of patients with severe renal impairment was insufficient to allow reliable conclusions regarding this group (see </w:t>
      </w:r>
      <w:r w:rsidRPr="00A45996">
        <w:rPr>
          <w:b/>
          <w:bCs/>
          <w:sz w:val="22"/>
        </w:rPr>
        <w:t>PRECAUTIONS</w:t>
      </w:r>
      <w:r w:rsidRPr="00A45996">
        <w:rPr>
          <w:bCs/>
          <w:sz w:val="22"/>
        </w:rPr>
        <w:t>).</w:t>
      </w:r>
    </w:p>
    <w:p w:rsidR="00326C73" w:rsidRPr="00A45996" w:rsidRDefault="00326C73" w:rsidP="00326C73">
      <w:pPr>
        <w:spacing w:before="20" w:after="80"/>
        <w:rPr>
          <w:bCs/>
          <w:sz w:val="22"/>
        </w:rPr>
      </w:pPr>
      <w:r w:rsidRPr="00A45996">
        <w:rPr>
          <w:b/>
          <w:bCs/>
          <w:i/>
          <w:sz w:val="22"/>
        </w:rPr>
        <w:t>Hepatic Impairment:</w:t>
      </w:r>
      <w:r w:rsidRPr="00A45996">
        <w:rPr>
          <w:bCs/>
          <w:sz w:val="22"/>
        </w:rPr>
        <w:t xml:space="preserve"> formal studies in patients with severely impaired hepatic function have not been conducted to date; consequently caution is recommended when administering </w:t>
      </w:r>
      <w:proofErr w:type="spellStart"/>
      <w:r w:rsidRPr="00A45996">
        <w:rPr>
          <w:bCs/>
          <w:sz w:val="22"/>
        </w:rPr>
        <w:t>bortezomib</w:t>
      </w:r>
      <w:proofErr w:type="spellEnd"/>
      <w:r w:rsidRPr="00A45996">
        <w:rPr>
          <w:bCs/>
          <w:sz w:val="22"/>
        </w:rPr>
        <w:t xml:space="preserve"> to these classes of patients (see </w:t>
      </w:r>
      <w:r w:rsidRPr="00A45996">
        <w:rPr>
          <w:b/>
          <w:bCs/>
          <w:sz w:val="22"/>
        </w:rPr>
        <w:t>PRECAUTIONS</w:t>
      </w:r>
      <w:r w:rsidRPr="00A45996">
        <w:rPr>
          <w:bCs/>
          <w:sz w:val="22"/>
        </w:rPr>
        <w:t>).</w:t>
      </w:r>
    </w:p>
    <w:p w:rsidR="00326C73" w:rsidRPr="00A45996" w:rsidRDefault="00326C73" w:rsidP="00326C73">
      <w:pPr>
        <w:pStyle w:val="PIHEADING1"/>
        <w:keepLines/>
        <w:jc w:val="both"/>
      </w:pPr>
      <w:r w:rsidRPr="00A45996">
        <w:t>Clinical trials</w:t>
      </w:r>
    </w:p>
    <w:p w:rsidR="00326C73" w:rsidRPr="00A45996" w:rsidRDefault="00326C73" w:rsidP="00326C73">
      <w:pPr>
        <w:pStyle w:val="PIHEADING2"/>
        <w:keepLines/>
        <w:tabs>
          <w:tab w:val="clear" w:pos="-720"/>
        </w:tabs>
        <w:suppressAutoHyphens w:val="0"/>
        <w:spacing w:before="20"/>
        <w:rPr>
          <w:rFonts w:cs="Arial"/>
          <w:b w:val="0"/>
          <w:bCs/>
          <w:spacing w:val="0"/>
        </w:rPr>
      </w:pPr>
      <w:r w:rsidRPr="00A45996">
        <w:rPr>
          <w:rFonts w:cs="Arial"/>
          <w:b w:val="0"/>
          <w:bCs/>
          <w:lang w:val="en-US"/>
        </w:rPr>
        <w:t>All response and progression data listed below for both previously untreated multiple myeloma in non-transplant eligible patients and relapsed / refractory multiple myeloma were assessed using the European Group for Blood and Marrow Transplantation (EBMT) criteria.</w:t>
      </w:r>
      <w:r w:rsidRPr="00A45996">
        <w:rPr>
          <w:rFonts w:cs="Arial"/>
          <w:b w:val="0"/>
          <w:bCs/>
          <w:szCs w:val="16"/>
          <w:lang w:val="en-US"/>
        </w:rPr>
        <w:t xml:space="preserve"> The response and progression data for transplant-eligible multiple myeloma patients were assessed using the International Myeloma Working Group (IMWG) criteria.</w:t>
      </w:r>
    </w:p>
    <w:p w:rsidR="00326C73" w:rsidRPr="00A45996" w:rsidRDefault="00326C73" w:rsidP="00326C73">
      <w:pPr>
        <w:pStyle w:val="PIHEADING2"/>
        <w:keepLines/>
        <w:tabs>
          <w:tab w:val="clear" w:pos="-720"/>
        </w:tabs>
        <w:suppressAutoHyphens w:val="0"/>
        <w:rPr>
          <w:rFonts w:cs="Arial"/>
          <w:bCs/>
          <w:spacing w:val="0"/>
          <w:sz w:val="24"/>
        </w:rPr>
      </w:pPr>
      <w:r w:rsidRPr="00A45996">
        <w:rPr>
          <w:rFonts w:cs="Arial"/>
          <w:bCs/>
          <w:spacing w:val="0"/>
          <w:sz w:val="24"/>
        </w:rPr>
        <w:t xml:space="preserve">Previously Untreated Multiple Myeloma </w:t>
      </w:r>
    </w:p>
    <w:p w:rsidR="00326C73" w:rsidRPr="00A45996" w:rsidRDefault="00326C73" w:rsidP="00326C73">
      <w:pPr>
        <w:pStyle w:val="PIHEADING2"/>
        <w:keepLines/>
        <w:tabs>
          <w:tab w:val="clear" w:pos="-720"/>
        </w:tabs>
        <w:suppressAutoHyphens w:val="0"/>
        <w:rPr>
          <w:rFonts w:cs="Arial"/>
          <w:bCs/>
          <w:i/>
          <w:spacing w:val="0"/>
          <w:sz w:val="24"/>
        </w:rPr>
      </w:pPr>
      <w:r w:rsidRPr="00A45996">
        <w:rPr>
          <w:rFonts w:cs="Arial"/>
          <w:bCs/>
          <w:i/>
          <w:spacing w:val="0"/>
          <w:sz w:val="24"/>
        </w:rPr>
        <w:t>Transplant Eligible</w:t>
      </w:r>
    </w:p>
    <w:p w:rsidR="00326C73" w:rsidRPr="00A45996" w:rsidRDefault="00326C73" w:rsidP="00326C73">
      <w:pPr>
        <w:rPr>
          <w:lang w:val="en-US"/>
        </w:rPr>
      </w:pPr>
      <w:r w:rsidRPr="00A45996">
        <w:rPr>
          <w:lang w:val="en-US"/>
        </w:rPr>
        <w:t>The safety and efficacy of VELCADE, as induction therapy prior to stem cell transplantation in previously untreated multiple myeloma patients, has been assessed in two Phase III trials.</w:t>
      </w:r>
    </w:p>
    <w:p w:rsidR="00326C73" w:rsidRPr="00A45996" w:rsidRDefault="00326C73" w:rsidP="00326C73">
      <w:pPr>
        <w:rPr>
          <w:lang w:val="en-US"/>
        </w:rPr>
      </w:pPr>
    </w:p>
    <w:p w:rsidR="00326C73" w:rsidRPr="00A45996" w:rsidRDefault="00326C73" w:rsidP="00326C73">
      <w:pPr>
        <w:rPr>
          <w:lang w:val="en-US"/>
        </w:rPr>
      </w:pPr>
      <w:r w:rsidRPr="00A45996">
        <w:rPr>
          <w:lang w:val="en-US"/>
        </w:rPr>
        <w:t xml:space="preserve">A Phase III, </w:t>
      </w:r>
      <w:proofErr w:type="spellStart"/>
      <w:r w:rsidRPr="00A45996">
        <w:rPr>
          <w:lang w:val="en-US"/>
        </w:rPr>
        <w:t>randomised</w:t>
      </w:r>
      <w:proofErr w:type="spellEnd"/>
      <w:r w:rsidRPr="00A45996">
        <w:rPr>
          <w:lang w:val="en-US"/>
        </w:rPr>
        <w:t xml:space="preserve"> (1:1), open-label, multi-</w:t>
      </w:r>
      <w:proofErr w:type="spellStart"/>
      <w:r w:rsidRPr="00A45996">
        <w:rPr>
          <w:lang w:val="en-US"/>
        </w:rPr>
        <w:t>centre</w:t>
      </w:r>
      <w:proofErr w:type="spellEnd"/>
      <w:r w:rsidRPr="00A45996">
        <w:rPr>
          <w:lang w:val="en-US"/>
        </w:rPr>
        <w:t xml:space="preserve"> study conducted by the Italian Myeloma Network - GIMEMA, </w:t>
      </w:r>
      <w:proofErr w:type="spellStart"/>
      <w:r w:rsidRPr="00A45996">
        <w:rPr>
          <w:lang w:val="en-US"/>
        </w:rPr>
        <w:t>randomised</w:t>
      </w:r>
      <w:proofErr w:type="spellEnd"/>
      <w:r w:rsidRPr="00A45996">
        <w:rPr>
          <w:lang w:val="en-US"/>
        </w:rPr>
        <w:t xml:space="preserve"> 480 transplant-eligible patients under the age of 65 to receive three 3-week cycles of VELCADE (1.3 mg/m</w:t>
      </w:r>
      <w:r w:rsidRPr="00A45996">
        <w:rPr>
          <w:vertAlign w:val="superscript"/>
          <w:lang w:val="en-US"/>
        </w:rPr>
        <w:t>2</w:t>
      </w:r>
      <w:r w:rsidRPr="00A45996">
        <w:rPr>
          <w:lang w:val="en-US"/>
        </w:rPr>
        <w:t>, days 1, 4, 8, 11) in combination with thalidomide (100 mg, days 1-14 in cycle 1, then 200 mg daily) and dexamethasone (40 mg, days 1, 2, 4, 5, 8, 9, 11, 12) (</w:t>
      </w:r>
      <w:proofErr w:type="spellStart"/>
      <w:r w:rsidRPr="00A45996">
        <w:rPr>
          <w:lang w:val="en-US"/>
        </w:rPr>
        <w:t>Vc</w:t>
      </w:r>
      <w:proofErr w:type="spellEnd"/>
      <w:r w:rsidRPr="00A45996">
        <w:rPr>
          <w:lang w:val="en-US"/>
        </w:rPr>
        <w:t xml:space="preserve">-TD), or thalidomide and dexamethasone (TD) prior to tandem autologous transplant. Three months following transplant, patients received two cycles of consolidation treatment; patients randomized to receive </w:t>
      </w:r>
      <w:proofErr w:type="spellStart"/>
      <w:r w:rsidRPr="00A45996">
        <w:rPr>
          <w:lang w:val="en-US"/>
        </w:rPr>
        <w:t>Vc</w:t>
      </w:r>
      <w:proofErr w:type="spellEnd"/>
      <w:r w:rsidRPr="00A45996">
        <w:rPr>
          <w:lang w:val="en-US"/>
        </w:rPr>
        <w:t>-TD induction received two 35-day cycles of VELCADE (1.3 mg/m</w:t>
      </w:r>
      <w:r w:rsidRPr="00A45996">
        <w:rPr>
          <w:vertAlign w:val="superscript"/>
          <w:lang w:val="en-US"/>
        </w:rPr>
        <w:t>2</w:t>
      </w:r>
      <w:r w:rsidRPr="00A45996">
        <w:rPr>
          <w:lang w:val="en-US"/>
        </w:rPr>
        <w:t xml:space="preserve">, days 1, 8, 15, 22), thalidomide (100 mg daily) and dexamethasone (40 mg, days 1, 2, 8, 9, 15, 16, 22, 23) consolidation; patients randomized to receive thalidomide-dexamethasone induction received two 35-day cycles of thalidomide-dexamethasone consolidation. The primary endpoint of the study was response rate </w:t>
      </w:r>
      <w:r w:rsidRPr="00A45996">
        <w:rPr>
          <w:rFonts w:cs="Arial"/>
          <w:lang w:val="en-US"/>
        </w:rPr>
        <w:t>≥</w:t>
      </w:r>
      <w:r w:rsidR="00CF7146" w:rsidRPr="00A45996">
        <w:rPr>
          <w:rFonts w:cs="Arial"/>
          <w:lang w:val="en-US"/>
        </w:rPr>
        <w:t xml:space="preserve"> </w:t>
      </w:r>
      <w:proofErr w:type="spellStart"/>
      <w:r w:rsidRPr="00A45996">
        <w:rPr>
          <w:lang w:val="en-US"/>
        </w:rPr>
        <w:t>nCR</w:t>
      </w:r>
      <w:proofErr w:type="spellEnd"/>
      <w:r w:rsidRPr="00A45996">
        <w:rPr>
          <w:lang w:val="en-US"/>
        </w:rPr>
        <w:t xml:space="preserve"> following induction therapy.</w:t>
      </w:r>
    </w:p>
    <w:p w:rsidR="00326C73" w:rsidRPr="00A45996" w:rsidRDefault="00326C73" w:rsidP="00326C73">
      <w:pPr>
        <w:rPr>
          <w:lang w:val="en-US"/>
        </w:rPr>
      </w:pPr>
    </w:p>
    <w:p w:rsidR="00326C73" w:rsidRPr="00A45996" w:rsidRDefault="00326C73" w:rsidP="00326C73">
      <w:pPr>
        <w:rPr>
          <w:lang w:val="en-US"/>
        </w:rPr>
      </w:pPr>
      <w:r w:rsidRPr="00A45996">
        <w:rPr>
          <w:lang w:val="en-US"/>
        </w:rPr>
        <w:t xml:space="preserve">Patients randomized to </w:t>
      </w:r>
      <w:proofErr w:type="spellStart"/>
      <w:r w:rsidRPr="00A45996">
        <w:rPr>
          <w:lang w:val="en-US"/>
        </w:rPr>
        <w:t>Vc</w:t>
      </w:r>
      <w:proofErr w:type="spellEnd"/>
      <w:r w:rsidRPr="00A45996">
        <w:rPr>
          <w:lang w:val="en-US"/>
        </w:rPr>
        <w:t>-TD arm achieved significantly higher rates of complete plus near complete response and very good partial response or better, compared to the thalidomide-dexamethasone arm following induction treatment. This difference was maintained following both transplant and consolidation therapy. Response rates are presented in Table 1.</w:t>
      </w:r>
    </w:p>
    <w:p w:rsidR="00326C73" w:rsidRPr="00A45996" w:rsidRDefault="00326C73" w:rsidP="00326C73">
      <w:pPr>
        <w:pStyle w:val="TableFootnoteCharChar1"/>
        <w:keepNext w:val="0"/>
        <w:spacing w:before="0" w:after="0" w:line="240" w:lineRule="auto"/>
        <w:ind w:left="0" w:firstLine="0"/>
        <w:rPr>
          <w:rFonts w:ascii="Arial" w:hAnsi="Arial" w:cs="Arial"/>
          <w:bCs/>
          <w:sz w:val="18"/>
          <w:szCs w:val="18"/>
        </w:rPr>
      </w:pPr>
    </w:p>
    <w:p w:rsidR="00326C73" w:rsidRPr="00A45996" w:rsidRDefault="00326C73" w:rsidP="00326C73">
      <w:pPr>
        <w:rPr>
          <w:b/>
          <w:sz w:val="20"/>
        </w:rPr>
      </w:pPr>
      <w:r w:rsidRPr="00A45996">
        <w:rPr>
          <w:b/>
          <w:sz w:val="20"/>
        </w:rPr>
        <w:t>Table 1:</w:t>
      </w:r>
      <w:r w:rsidRPr="00A45996">
        <w:rPr>
          <w:sz w:val="20"/>
        </w:rPr>
        <w:t xml:space="preserve"> </w:t>
      </w:r>
      <w:r w:rsidR="00913EA2" w:rsidRPr="00A45996">
        <w:rPr>
          <w:b/>
          <w:sz w:val="20"/>
        </w:rPr>
        <w:t>Summary of Response Rates by IMWG criteria in the GIMEMA study</w:t>
      </w:r>
    </w:p>
    <w:tbl>
      <w:tblPr>
        <w:tblStyle w:val="TableGrid"/>
        <w:tblpPr w:leftFromText="180" w:rightFromText="180" w:vertAnchor="text" w:horzAnchor="margin" w:tblpY="224"/>
        <w:tblW w:w="0" w:type="auto"/>
        <w:tblLook w:val="04A0" w:firstRow="1" w:lastRow="0" w:firstColumn="1" w:lastColumn="0" w:noHBand="0" w:noVBand="1"/>
      </w:tblPr>
      <w:tblGrid>
        <w:gridCol w:w="4786"/>
        <w:gridCol w:w="1559"/>
        <w:gridCol w:w="1560"/>
        <w:gridCol w:w="1484"/>
      </w:tblGrid>
      <w:tr w:rsidR="00326C73" w:rsidRPr="00A45996" w:rsidTr="00326C73">
        <w:tc>
          <w:tcPr>
            <w:tcW w:w="4786" w:type="dxa"/>
          </w:tcPr>
          <w:p w:rsidR="00326C73" w:rsidRPr="00A45996" w:rsidRDefault="00326C73" w:rsidP="00326C73">
            <w:pPr>
              <w:pStyle w:val="TableFootnoteCharChar1"/>
              <w:keepNext w:val="0"/>
              <w:spacing w:before="0" w:after="0" w:line="240" w:lineRule="auto"/>
              <w:ind w:left="0" w:firstLine="0"/>
              <w:rPr>
                <w:rFonts w:ascii="Arial" w:hAnsi="Arial" w:cs="Arial"/>
                <w:b/>
                <w:bCs/>
              </w:rPr>
            </w:pPr>
            <w:r w:rsidRPr="00A45996">
              <w:rPr>
                <w:rFonts w:ascii="Arial" w:hAnsi="Arial" w:cs="Arial"/>
                <w:b/>
                <w:bCs/>
              </w:rPr>
              <w:t>Response Rate n (%)</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rPr>
            </w:pPr>
            <w:proofErr w:type="spellStart"/>
            <w:r w:rsidRPr="00A45996">
              <w:rPr>
                <w:rFonts w:ascii="Arial" w:hAnsi="Arial" w:cs="Arial"/>
                <w:b/>
                <w:bCs/>
              </w:rPr>
              <w:t>Vc</w:t>
            </w:r>
            <w:proofErr w:type="spellEnd"/>
            <w:r w:rsidRPr="00A45996">
              <w:rPr>
                <w:rFonts w:ascii="Arial" w:hAnsi="Arial" w:cs="Arial"/>
                <w:b/>
                <w:bCs/>
              </w:rPr>
              <w:t>-TD</w:t>
            </w:r>
          </w:p>
          <w:p w:rsidR="00326C73" w:rsidRPr="00A45996" w:rsidRDefault="00326C73" w:rsidP="00326C73">
            <w:pPr>
              <w:jc w:val="center"/>
              <w:rPr>
                <w:b/>
                <w:kern w:val="28"/>
              </w:rPr>
            </w:pPr>
            <w:r w:rsidRPr="00A45996">
              <w:rPr>
                <w:b/>
                <w:sz w:val="20"/>
                <w:lang w:val="en-US"/>
              </w:rPr>
              <w:t>n=236</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kern w:val="28"/>
              </w:rPr>
            </w:pPr>
            <w:r w:rsidRPr="00A45996">
              <w:rPr>
                <w:rFonts w:ascii="Arial" w:hAnsi="Arial" w:cs="Arial"/>
                <w:b/>
                <w:bCs/>
              </w:rPr>
              <w:t>TD</w:t>
            </w:r>
          </w:p>
          <w:p w:rsidR="00326C73" w:rsidRPr="00A45996" w:rsidRDefault="00326C73" w:rsidP="00326C73">
            <w:pPr>
              <w:jc w:val="center"/>
            </w:pPr>
            <w:r w:rsidRPr="00A45996">
              <w:rPr>
                <w:rFonts w:cs="Arial"/>
                <w:b/>
                <w:bCs/>
                <w:sz w:val="20"/>
              </w:rPr>
              <w:t>n=238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rPr>
            </w:pPr>
            <w:r w:rsidRPr="00A45996">
              <w:rPr>
                <w:rFonts w:ascii="Arial" w:hAnsi="Arial" w:cs="Arial"/>
                <w:b/>
                <w:bCs/>
                <w:i/>
              </w:rPr>
              <w:t>p</w:t>
            </w:r>
            <w:r w:rsidRPr="00A45996">
              <w:rPr>
                <w:rFonts w:ascii="Arial" w:hAnsi="Arial" w:cs="Arial"/>
                <w:b/>
                <w:bCs/>
              </w:rPr>
              <w:t>-value</w:t>
            </w:r>
          </w:p>
        </w:tc>
      </w:tr>
      <w:tr w:rsidR="00326C73" w:rsidRPr="00A45996" w:rsidTr="00326C73">
        <w:tc>
          <w:tcPr>
            <w:tcW w:w="9389" w:type="dxa"/>
            <w:gridSpan w:val="4"/>
          </w:tcPr>
          <w:p w:rsidR="00326C73" w:rsidRPr="00A45996" w:rsidRDefault="00326C73" w:rsidP="00326C73">
            <w:pPr>
              <w:pStyle w:val="TableFootnoteCharChar1"/>
              <w:keepNext w:val="0"/>
              <w:spacing w:before="0" w:after="0" w:line="240" w:lineRule="auto"/>
              <w:ind w:left="0" w:firstLine="0"/>
              <w:rPr>
                <w:rFonts w:ascii="Arial" w:hAnsi="Arial" w:cs="Arial"/>
                <w:b/>
                <w:bCs/>
              </w:rPr>
            </w:pPr>
            <w:r w:rsidRPr="00A45996">
              <w:rPr>
                <w:rFonts w:ascii="Arial" w:hAnsi="Arial" w:cs="Arial"/>
                <w:b/>
                <w:bCs/>
              </w:rPr>
              <w:t>Post-induction Therapy*</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CR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44 (19)</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11 (5)</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proofErr w:type="spellStart"/>
            <w:r w:rsidRPr="00A45996">
              <w:rPr>
                <w:rFonts w:ascii="Arial" w:hAnsi="Arial" w:cs="Arial"/>
                <w:bCs/>
              </w:rPr>
              <w:t>CR+nCR</w:t>
            </w:r>
            <w:proofErr w:type="spellEnd"/>
            <w:r w:rsidRPr="00A45996">
              <w:rPr>
                <w:rFonts w:ascii="Arial" w:hAnsi="Arial" w:cs="Arial"/>
                <w:bCs/>
              </w:rPr>
              <w:t>**</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73 (31)</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27 (11)</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VGPR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146 (62)</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66 (28)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220 (93)</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187 (79)</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MR/SD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16 (7)</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39 (16)</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0.0011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PD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12 (5)</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0.0005</w:t>
            </w:r>
          </w:p>
        </w:tc>
      </w:tr>
      <w:tr w:rsidR="00326C73" w:rsidRPr="00A45996" w:rsidTr="00326C73">
        <w:tc>
          <w:tcPr>
            <w:tcW w:w="9389" w:type="dxa"/>
            <w:gridSpan w:val="4"/>
          </w:tcPr>
          <w:p w:rsidR="00326C73" w:rsidRPr="00A45996" w:rsidRDefault="00326C73" w:rsidP="00326C73">
            <w:pPr>
              <w:pStyle w:val="TableFootnoteCharChar1"/>
              <w:keepNext w:val="0"/>
              <w:spacing w:before="0" w:after="0" w:line="240" w:lineRule="auto"/>
              <w:ind w:left="0" w:firstLine="0"/>
              <w:rPr>
                <w:rFonts w:ascii="Arial" w:hAnsi="Arial" w:cs="Arial"/>
                <w:b/>
                <w:bCs/>
              </w:rPr>
            </w:pPr>
            <w:r w:rsidRPr="00A45996">
              <w:rPr>
                <w:rFonts w:ascii="Arial" w:hAnsi="Arial" w:cs="Arial"/>
                <w:b/>
                <w:bCs/>
              </w:rPr>
              <w:t>Post-first ASCT</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CR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89 (38)</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54 (23)</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0.0004</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proofErr w:type="spellStart"/>
            <w:r w:rsidRPr="00A45996">
              <w:rPr>
                <w:rFonts w:ascii="Arial" w:hAnsi="Arial" w:cs="Arial"/>
                <w:bCs/>
              </w:rPr>
              <w:t>CR+nCR</w:t>
            </w:r>
            <w:proofErr w:type="spellEnd"/>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123 (52)</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74 (31)</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VGPR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186 (79)</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137 (58)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220 (93)</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201 (84)</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0.0025</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lastRenderedPageBreak/>
              <w:t>MR/SD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15 (6)</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20 (8)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0.3941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PD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 (0)</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17 (7)</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0.0001</w:t>
            </w:r>
          </w:p>
        </w:tc>
      </w:tr>
      <w:tr w:rsidR="00326C73" w:rsidRPr="00A45996" w:rsidTr="00326C73">
        <w:tc>
          <w:tcPr>
            <w:tcW w:w="9389" w:type="dxa"/>
            <w:gridSpan w:val="4"/>
          </w:tcPr>
          <w:p w:rsidR="00326C73" w:rsidRPr="00A45996" w:rsidRDefault="00326C73" w:rsidP="00326C73">
            <w:pPr>
              <w:pStyle w:val="TableFootnoteCharChar1"/>
              <w:keepNext w:val="0"/>
              <w:spacing w:before="0" w:after="0" w:line="240" w:lineRule="auto"/>
              <w:ind w:left="0" w:firstLine="0"/>
              <w:rPr>
                <w:rFonts w:ascii="Arial" w:hAnsi="Arial" w:cs="Arial"/>
                <w:bCs/>
              </w:rPr>
            </w:pPr>
            <w:r w:rsidRPr="00A45996">
              <w:rPr>
                <w:rFonts w:ascii="Arial" w:hAnsi="Arial" w:cs="Arial"/>
                <w:b/>
                <w:bCs/>
              </w:rPr>
              <w:t>Post-second ASCT</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CR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98 (42)</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72 (30)</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0.0105</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proofErr w:type="spellStart"/>
            <w:r w:rsidRPr="00A45996">
              <w:rPr>
                <w:rFonts w:ascii="Arial" w:hAnsi="Arial" w:cs="Arial"/>
                <w:bCs/>
              </w:rPr>
              <w:t>CR+nCR</w:t>
            </w:r>
            <w:proofErr w:type="spellEnd"/>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130 (55)</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98 (41)</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0.0024</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VGPR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193 (82)</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152 (64)</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220 (93)</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199 (84)</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0.0011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MR/SD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14 (6)</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19 (8)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0.3804</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PD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 (1)</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20 (8)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0.0001</w:t>
            </w:r>
          </w:p>
        </w:tc>
      </w:tr>
      <w:tr w:rsidR="00326C73" w:rsidRPr="00A45996" w:rsidTr="00326C73">
        <w:tc>
          <w:tcPr>
            <w:tcW w:w="9389" w:type="dxa"/>
            <w:gridSpan w:val="4"/>
          </w:tcPr>
          <w:p w:rsidR="00326C73" w:rsidRPr="00A45996" w:rsidRDefault="00326C73" w:rsidP="00326C73">
            <w:pPr>
              <w:pStyle w:val="TableFootnoteCharChar1"/>
              <w:keepNext w:val="0"/>
              <w:spacing w:before="0" w:after="0" w:line="240" w:lineRule="auto"/>
              <w:ind w:left="0" w:firstLine="0"/>
              <w:rPr>
                <w:rFonts w:ascii="Arial" w:hAnsi="Arial" w:cs="Arial"/>
                <w:b/>
                <w:bCs/>
                <w:kern w:val="28"/>
              </w:rPr>
            </w:pPr>
            <w:r w:rsidRPr="00A45996">
              <w:rPr>
                <w:rFonts w:ascii="Arial" w:hAnsi="Arial" w:cs="Arial"/>
                <w:b/>
                <w:bCs/>
              </w:rPr>
              <w:t>Post-consolidation</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CR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116 (49)</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82 (34)</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0.0012</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proofErr w:type="spellStart"/>
            <w:r w:rsidRPr="00A45996">
              <w:rPr>
                <w:rFonts w:ascii="Arial" w:hAnsi="Arial" w:cs="Arial"/>
                <w:bCs/>
              </w:rPr>
              <w:t>CR+nCR</w:t>
            </w:r>
            <w:proofErr w:type="spellEnd"/>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147 (62)</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108 (45)</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0.0002</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VGPR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201 (85)</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162 (68)</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218 (92)</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201 (84)</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0.0071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r w:rsidRPr="00A45996">
              <w:rPr>
                <w:rFonts w:ascii="Arial" w:hAnsi="Arial" w:cs="Arial"/>
                <w:bCs/>
              </w:rPr>
              <w:t>MR/SD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12 (5)</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16 (7)</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0.4495</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r w:rsidRPr="00A45996">
              <w:rPr>
                <w:rFonts w:ascii="Arial" w:hAnsi="Arial" w:cs="Arial"/>
                <w:bCs/>
              </w:rPr>
              <w:t>PD</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6 (3)</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21 (9)</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0.0032</w:t>
            </w:r>
          </w:p>
        </w:tc>
      </w:tr>
      <w:tr w:rsidR="00326C73" w:rsidRPr="00A45996" w:rsidTr="00326C73">
        <w:tc>
          <w:tcPr>
            <w:tcW w:w="9389" w:type="dxa"/>
            <w:gridSpan w:val="4"/>
          </w:tcPr>
          <w:p w:rsidR="00326C73" w:rsidRPr="00A45996" w:rsidRDefault="00326C73" w:rsidP="00326C73">
            <w:pPr>
              <w:pStyle w:val="TableFootnoteCharChar1"/>
              <w:keepNext w:val="0"/>
              <w:spacing w:before="0" w:after="0" w:line="240" w:lineRule="auto"/>
              <w:ind w:left="0" w:firstLine="0"/>
              <w:rPr>
                <w:rFonts w:ascii="Arial" w:hAnsi="Arial" w:cs="Arial"/>
                <w:b/>
                <w:bCs/>
                <w:kern w:val="28"/>
              </w:rPr>
            </w:pPr>
            <w:r w:rsidRPr="00A45996">
              <w:rPr>
                <w:rFonts w:ascii="Arial" w:hAnsi="Arial" w:cs="Arial"/>
                <w:b/>
                <w:bCs/>
              </w:rPr>
              <w:t>Best overall response</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r w:rsidRPr="00A45996">
              <w:rPr>
                <w:rFonts w:ascii="Arial" w:hAnsi="Arial" w:cs="Arial"/>
                <w:bCs/>
              </w:rPr>
              <w:t>CR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136 (58)</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97 (41)</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proofErr w:type="spellStart"/>
            <w:r w:rsidRPr="00A45996">
              <w:rPr>
                <w:rFonts w:ascii="Arial" w:hAnsi="Arial" w:cs="Arial"/>
                <w:bCs/>
              </w:rPr>
              <w:t>CR+nCR</w:t>
            </w:r>
            <w:proofErr w:type="spellEnd"/>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168 (71)</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128 (54)</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VGPR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210 (89)</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175 (73.5)</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&lt;0.0001</w:t>
            </w:r>
          </w:p>
        </w:tc>
      </w:tr>
      <w:tr w:rsidR="00326C73" w:rsidRPr="00A45996" w:rsidTr="00326C73">
        <w:tc>
          <w:tcPr>
            <w:tcW w:w="4786" w:type="dxa"/>
          </w:tcPr>
          <w:p w:rsidR="00326C73" w:rsidRPr="00A45996" w:rsidRDefault="00326C73" w:rsidP="00326C73">
            <w:pPr>
              <w:pStyle w:val="TableFootnoteCharChar1"/>
              <w:keepNext w:val="0"/>
              <w:spacing w:before="0" w:after="0" w:line="240" w:lineRule="auto"/>
              <w:ind w:left="227" w:firstLine="0"/>
              <w:rPr>
                <w:rFonts w:ascii="Arial" w:hAnsi="Arial" w:cs="Arial"/>
                <w:b/>
                <w:bCs/>
                <w:kern w:val="28"/>
              </w:rPr>
            </w:pPr>
            <w:r w:rsidRPr="00A45996">
              <w:rPr>
                <w:rFonts w:ascii="Arial" w:hAnsi="Arial" w:cs="Arial"/>
                <w:bCs/>
              </w:rPr>
              <w:t>≥</w:t>
            </w:r>
            <w:r w:rsidR="00161DFF" w:rsidRPr="00A45996">
              <w:rPr>
                <w:rFonts w:ascii="Arial" w:hAnsi="Arial" w:cs="Arial"/>
                <w:bCs/>
              </w:rPr>
              <w:t xml:space="preserve"> </w:t>
            </w:r>
            <w:r w:rsidRPr="00A45996">
              <w:rPr>
                <w:rFonts w:ascii="Arial" w:hAnsi="Arial" w:cs="Arial"/>
                <w:bCs/>
              </w:rPr>
              <w:t>PR</w:t>
            </w:r>
          </w:p>
        </w:tc>
        <w:tc>
          <w:tcPr>
            <w:tcW w:w="1559"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227 (96)</w:t>
            </w:r>
          </w:p>
        </w:tc>
        <w:tc>
          <w:tcPr>
            <w:tcW w:w="156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212 (89)</w:t>
            </w:r>
          </w:p>
        </w:tc>
        <w:tc>
          <w:tcPr>
            <w:tcW w:w="1484"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0.0074</w:t>
            </w:r>
          </w:p>
        </w:tc>
      </w:tr>
    </w:tbl>
    <w:p w:rsidR="00326C73" w:rsidRPr="00A45996" w:rsidRDefault="00326C73" w:rsidP="00326C73">
      <w:pPr>
        <w:rPr>
          <w:sz w:val="18"/>
          <w:szCs w:val="18"/>
          <w:vertAlign w:val="superscript"/>
        </w:rPr>
      </w:pPr>
    </w:p>
    <w:p w:rsidR="00326C73" w:rsidRPr="00A45996" w:rsidRDefault="00326C73" w:rsidP="00326C73">
      <w:pPr>
        <w:rPr>
          <w:sz w:val="16"/>
          <w:szCs w:val="16"/>
        </w:rPr>
      </w:pPr>
      <w:r w:rsidRPr="00A45996">
        <w:rPr>
          <w:sz w:val="16"/>
          <w:szCs w:val="16"/>
        </w:rPr>
        <w:t>* Similar differences in post-induction response rates were reported by study investigators (</w:t>
      </w:r>
      <w:proofErr w:type="spellStart"/>
      <w:r w:rsidRPr="00A45996">
        <w:rPr>
          <w:sz w:val="16"/>
          <w:szCs w:val="16"/>
        </w:rPr>
        <w:t>CR+nCR</w:t>
      </w:r>
      <w:proofErr w:type="spellEnd"/>
      <w:r w:rsidRPr="00A45996">
        <w:rPr>
          <w:sz w:val="16"/>
          <w:szCs w:val="16"/>
        </w:rPr>
        <w:t xml:space="preserve">: 32% vs. 13%, </w:t>
      </w:r>
      <w:r w:rsidRPr="00A45996">
        <w:rPr>
          <w:i/>
          <w:sz w:val="16"/>
          <w:szCs w:val="16"/>
        </w:rPr>
        <w:t>p</w:t>
      </w:r>
      <w:r w:rsidRPr="00A45996">
        <w:rPr>
          <w:rFonts w:cs="Arial"/>
          <w:sz w:val="16"/>
          <w:szCs w:val="16"/>
        </w:rPr>
        <w:t>&lt;</w:t>
      </w:r>
      <w:r w:rsidRPr="00A45996">
        <w:rPr>
          <w:sz w:val="16"/>
          <w:szCs w:val="16"/>
        </w:rPr>
        <w:t>0.0001). Differences in RR following transplantation and consolidation by investigator assessment were also similar to those centrally assessed.</w:t>
      </w:r>
    </w:p>
    <w:p w:rsidR="00326C73" w:rsidRPr="00A45996" w:rsidRDefault="00326C73" w:rsidP="00326C73">
      <w:pPr>
        <w:rPr>
          <w:sz w:val="16"/>
          <w:szCs w:val="16"/>
        </w:rPr>
      </w:pPr>
      <w:r w:rsidRPr="00A45996">
        <w:rPr>
          <w:sz w:val="16"/>
          <w:szCs w:val="16"/>
        </w:rPr>
        <w:t xml:space="preserve">** These significant differences in </w:t>
      </w:r>
      <w:proofErr w:type="spellStart"/>
      <w:r w:rsidRPr="00A45996">
        <w:rPr>
          <w:sz w:val="16"/>
          <w:szCs w:val="16"/>
        </w:rPr>
        <w:t>CR+nCR</w:t>
      </w:r>
      <w:proofErr w:type="spellEnd"/>
      <w:r w:rsidRPr="00A45996">
        <w:rPr>
          <w:sz w:val="16"/>
          <w:szCs w:val="16"/>
        </w:rPr>
        <w:t xml:space="preserve"> rates between arms were maintained following cyclophosphamide to collect peripheral blood stem cells (42% vs 21%, </w:t>
      </w:r>
      <w:r w:rsidRPr="00A45996">
        <w:rPr>
          <w:i/>
          <w:sz w:val="16"/>
          <w:szCs w:val="16"/>
        </w:rPr>
        <w:t>p</w:t>
      </w:r>
      <w:r w:rsidRPr="00A45996">
        <w:rPr>
          <w:rFonts w:cs="Arial"/>
          <w:sz w:val="16"/>
          <w:szCs w:val="16"/>
        </w:rPr>
        <w:t>&lt;</w:t>
      </w:r>
      <w:r w:rsidRPr="00A45996">
        <w:rPr>
          <w:sz w:val="16"/>
          <w:szCs w:val="16"/>
        </w:rPr>
        <w:t>0.0001).</w:t>
      </w:r>
    </w:p>
    <w:p w:rsidR="00326C73" w:rsidRPr="00A45996" w:rsidRDefault="00326C73" w:rsidP="00326C73">
      <w:pPr>
        <w:rPr>
          <w:sz w:val="16"/>
          <w:szCs w:val="16"/>
        </w:rPr>
      </w:pPr>
      <w:r w:rsidRPr="00A45996">
        <w:rPr>
          <w:sz w:val="16"/>
          <w:szCs w:val="16"/>
        </w:rPr>
        <w:t xml:space="preserve">ASCT: autologous stem cell transplantation; CR: complete response; MR: minimal response; </w:t>
      </w:r>
      <w:proofErr w:type="spellStart"/>
      <w:r w:rsidRPr="00A45996">
        <w:rPr>
          <w:sz w:val="16"/>
          <w:szCs w:val="16"/>
        </w:rPr>
        <w:t>nCR</w:t>
      </w:r>
      <w:proofErr w:type="spellEnd"/>
      <w:r w:rsidRPr="00A45996">
        <w:rPr>
          <w:sz w:val="16"/>
          <w:szCs w:val="16"/>
        </w:rPr>
        <w:t xml:space="preserve">: near-complete response; PD: progressive disease; PR: partial response; SD: stable disease; TD = thalidomide-dexamethasone; VGPR: very good partial response; </w:t>
      </w:r>
      <w:proofErr w:type="spellStart"/>
      <w:r w:rsidRPr="00A45996">
        <w:rPr>
          <w:sz w:val="16"/>
          <w:szCs w:val="16"/>
        </w:rPr>
        <w:t>Vc</w:t>
      </w:r>
      <w:proofErr w:type="spellEnd"/>
      <w:r w:rsidRPr="00A45996">
        <w:rPr>
          <w:sz w:val="16"/>
          <w:szCs w:val="16"/>
        </w:rPr>
        <w:t>-TD: VELCADE-thalidomide-dexamethasone</w:t>
      </w:r>
    </w:p>
    <w:p w:rsidR="00326C73" w:rsidRPr="00A45996" w:rsidRDefault="00326C73" w:rsidP="00326C73">
      <w:pPr>
        <w:rPr>
          <w:sz w:val="18"/>
          <w:szCs w:val="18"/>
        </w:rPr>
      </w:pPr>
    </w:p>
    <w:p w:rsidR="00326C73" w:rsidRPr="00A45996" w:rsidRDefault="00326C73" w:rsidP="00326C73">
      <w:pPr>
        <w:rPr>
          <w:rFonts w:cs="Arial"/>
          <w:bCs/>
          <w:sz w:val="22"/>
          <w:szCs w:val="22"/>
        </w:rPr>
      </w:pPr>
      <w:r w:rsidRPr="00A45996">
        <w:rPr>
          <w:rFonts w:cs="Arial"/>
          <w:bCs/>
          <w:sz w:val="22"/>
          <w:szCs w:val="22"/>
        </w:rPr>
        <w:t xml:space="preserve">In addition, compared with the TD arm, Progression Free Survival (PFS) was also significantly longer for patients randomized to the </w:t>
      </w:r>
      <w:proofErr w:type="spellStart"/>
      <w:r w:rsidRPr="00A45996">
        <w:rPr>
          <w:rFonts w:cs="Arial"/>
          <w:bCs/>
          <w:sz w:val="22"/>
          <w:szCs w:val="22"/>
        </w:rPr>
        <w:t>Vc</w:t>
      </w:r>
      <w:proofErr w:type="spellEnd"/>
      <w:r w:rsidRPr="00A45996">
        <w:rPr>
          <w:rFonts w:cs="Arial"/>
          <w:bCs/>
          <w:sz w:val="22"/>
          <w:szCs w:val="22"/>
        </w:rPr>
        <w:t xml:space="preserve">-TD arm (HR, 0.629 [CI: 0.451-0.878], </w:t>
      </w:r>
      <w:r w:rsidRPr="00A45996">
        <w:rPr>
          <w:rFonts w:cs="Arial"/>
          <w:bCs/>
          <w:i/>
          <w:sz w:val="22"/>
          <w:szCs w:val="22"/>
        </w:rPr>
        <w:t>p</w:t>
      </w:r>
      <w:r w:rsidRPr="00A45996">
        <w:rPr>
          <w:rFonts w:cs="Arial"/>
          <w:bCs/>
          <w:sz w:val="22"/>
          <w:szCs w:val="22"/>
        </w:rPr>
        <w:t>=0.0061). The estimated 3-year PFS rate was 68% in the VTD arm and 56% in TD (</w:t>
      </w:r>
      <w:r w:rsidRPr="00A45996">
        <w:rPr>
          <w:rFonts w:cs="Arial"/>
          <w:bCs/>
          <w:i/>
          <w:sz w:val="22"/>
          <w:szCs w:val="22"/>
        </w:rPr>
        <w:t>p</w:t>
      </w:r>
      <w:r w:rsidRPr="00A45996">
        <w:rPr>
          <w:rFonts w:cs="Arial"/>
          <w:bCs/>
          <w:sz w:val="22"/>
          <w:szCs w:val="22"/>
        </w:rPr>
        <w:t xml:space="preserve">=0.0057) (see Figure 1). 58 (24.5%) and 86 (36%) patients progressed or died, respectively. The estimated 3-year probability of progression or relapse was 29% in the </w:t>
      </w:r>
      <w:proofErr w:type="spellStart"/>
      <w:r w:rsidRPr="00A45996">
        <w:rPr>
          <w:rFonts w:cs="Arial"/>
          <w:bCs/>
          <w:sz w:val="22"/>
          <w:szCs w:val="22"/>
        </w:rPr>
        <w:t>Vc</w:t>
      </w:r>
      <w:proofErr w:type="spellEnd"/>
      <w:r w:rsidRPr="00A45996">
        <w:rPr>
          <w:rFonts w:cs="Arial"/>
          <w:bCs/>
          <w:sz w:val="22"/>
          <w:szCs w:val="22"/>
        </w:rPr>
        <w:t xml:space="preserve">-TD versus 39% in the TD arm (HR, 0.609 [CI: 0.425-0.873], </w:t>
      </w:r>
      <w:r w:rsidRPr="00A45996">
        <w:rPr>
          <w:rFonts w:cs="Arial"/>
          <w:bCs/>
          <w:i/>
          <w:sz w:val="22"/>
          <w:szCs w:val="22"/>
        </w:rPr>
        <w:t>p</w:t>
      </w:r>
      <w:r w:rsidRPr="00A45996">
        <w:rPr>
          <w:rFonts w:cs="Arial"/>
          <w:bCs/>
          <w:sz w:val="22"/>
          <w:szCs w:val="22"/>
        </w:rPr>
        <w:t xml:space="preserve">=0.0073; </w:t>
      </w:r>
      <w:r w:rsidRPr="00A45996">
        <w:rPr>
          <w:rFonts w:cs="Arial"/>
          <w:bCs/>
          <w:i/>
          <w:sz w:val="22"/>
          <w:szCs w:val="22"/>
        </w:rPr>
        <w:t>p</w:t>
      </w:r>
      <w:r w:rsidRPr="00A45996">
        <w:rPr>
          <w:rFonts w:cs="Arial"/>
          <w:bCs/>
          <w:sz w:val="22"/>
          <w:szCs w:val="22"/>
        </w:rPr>
        <w:t>=0.0061 by Kaplan-Meier analysis) (see Figure 2).</w:t>
      </w: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F511BE" w:rsidRPr="00A45996" w:rsidRDefault="00F511BE" w:rsidP="00326C73">
      <w:pPr>
        <w:jc w:val="center"/>
        <w:rPr>
          <w:rFonts w:cs="Arial"/>
          <w:bCs/>
          <w:sz w:val="22"/>
          <w:szCs w:val="22"/>
        </w:rPr>
      </w:pPr>
    </w:p>
    <w:p w:rsidR="00B13221" w:rsidRPr="00A45996" w:rsidRDefault="00B13221" w:rsidP="00326C73">
      <w:pPr>
        <w:jc w:val="center"/>
        <w:rPr>
          <w:rFonts w:cs="Arial"/>
          <w:bCs/>
          <w:sz w:val="22"/>
          <w:szCs w:val="22"/>
        </w:rPr>
      </w:pPr>
    </w:p>
    <w:p w:rsidR="00B13221" w:rsidRPr="00A45996" w:rsidRDefault="00B13221" w:rsidP="00326C73">
      <w:pPr>
        <w:jc w:val="center"/>
        <w:rPr>
          <w:rFonts w:cs="Arial"/>
          <w:bCs/>
          <w:sz w:val="22"/>
          <w:szCs w:val="22"/>
        </w:rPr>
      </w:pPr>
    </w:p>
    <w:p w:rsidR="00326C73" w:rsidRPr="00A45996" w:rsidRDefault="00326C73" w:rsidP="00326C73">
      <w:pPr>
        <w:jc w:val="center"/>
        <w:rPr>
          <w:rFonts w:cs="Arial"/>
          <w:b/>
          <w:bCs/>
          <w:sz w:val="20"/>
        </w:rPr>
      </w:pPr>
      <w:r w:rsidRPr="00A45996">
        <w:rPr>
          <w:rFonts w:cs="Arial"/>
          <w:b/>
          <w:bCs/>
          <w:sz w:val="20"/>
        </w:rPr>
        <w:lastRenderedPageBreak/>
        <w:t>Figure 1: Progression-Free Survival</w:t>
      </w:r>
    </w:p>
    <w:p w:rsidR="00326C73" w:rsidRPr="00A45996" w:rsidRDefault="00326C73" w:rsidP="00326C73">
      <w:pPr>
        <w:jc w:val="center"/>
        <w:rPr>
          <w:rFonts w:cs="Arial"/>
          <w:b/>
          <w:bCs/>
          <w:sz w:val="20"/>
        </w:rPr>
      </w:pPr>
      <w:r w:rsidRPr="00A45996">
        <w:rPr>
          <w:rFonts w:cs="Arial"/>
          <w:b/>
          <w:bCs/>
          <w:sz w:val="20"/>
        </w:rPr>
        <w:t>Study GIMEMA: All Randomised Subjects Analysis Set)</w:t>
      </w:r>
    </w:p>
    <w:p w:rsidR="00326C73" w:rsidRPr="00A45996" w:rsidRDefault="00326C73" w:rsidP="00326C73">
      <w:pPr>
        <w:rPr>
          <w:rFonts w:cs="Arial"/>
          <w:bCs/>
          <w:sz w:val="22"/>
          <w:szCs w:val="22"/>
        </w:rPr>
      </w:pPr>
      <w:r w:rsidRPr="00A45996">
        <w:rPr>
          <w:rFonts w:cs="Arial"/>
          <w:bCs/>
          <w:noProof/>
          <w:sz w:val="22"/>
          <w:szCs w:val="22"/>
          <w:lang w:eastAsia="en-AU"/>
        </w:rPr>
        <w:drawing>
          <wp:inline distT="0" distB="0" distL="0" distR="0" wp14:anchorId="7132AD79" wp14:editId="4035FA1D">
            <wp:extent cx="5824855" cy="4367123"/>
            <wp:effectExtent l="19050" t="0" r="444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24855" cy="4367123"/>
                    </a:xfrm>
                    <a:prstGeom prst="rect">
                      <a:avLst/>
                    </a:prstGeom>
                    <a:noFill/>
                    <a:ln w="9525">
                      <a:noFill/>
                      <a:miter lim="800000"/>
                      <a:headEnd/>
                      <a:tailEnd/>
                    </a:ln>
                  </pic:spPr>
                </pic:pic>
              </a:graphicData>
            </a:graphic>
          </wp:inline>
        </w:drawing>
      </w:r>
    </w:p>
    <w:p w:rsidR="00326C73" w:rsidRPr="00A45996" w:rsidRDefault="00326C73" w:rsidP="00326C73">
      <w:pPr>
        <w:rPr>
          <w:rFonts w:cs="Arial"/>
          <w:bCs/>
          <w:sz w:val="22"/>
          <w:szCs w:val="22"/>
        </w:rPr>
      </w:pPr>
    </w:p>
    <w:p w:rsidR="00326C73" w:rsidRPr="00A45996" w:rsidRDefault="00326C73" w:rsidP="00326C73">
      <w:pPr>
        <w:tabs>
          <w:tab w:val="left" w:pos="2100"/>
        </w:tabs>
        <w:jc w:val="center"/>
        <w:rPr>
          <w:rFonts w:cs="Arial"/>
          <w:b/>
          <w:bCs/>
          <w:sz w:val="20"/>
        </w:rPr>
      </w:pPr>
      <w:r w:rsidRPr="00A45996">
        <w:rPr>
          <w:rFonts w:cs="Arial"/>
          <w:b/>
          <w:bCs/>
          <w:sz w:val="20"/>
        </w:rPr>
        <w:t>Figure 2: Time to Disease Progression</w:t>
      </w:r>
    </w:p>
    <w:p w:rsidR="00326C73" w:rsidRPr="00A45996" w:rsidRDefault="00326C73" w:rsidP="00326C73">
      <w:pPr>
        <w:tabs>
          <w:tab w:val="left" w:pos="2100"/>
        </w:tabs>
        <w:jc w:val="center"/>
        <w:rPr>
          <w:rFonts w:cs="Arial"/>
          <w:b/>
          <w:bCs/>
          <w:sz w:val="20"/>
        </w:rPr>
      </w:pPr>
      <w:r w:rsidRPr="00A45996">
        <w:rPr>
          <w:rFonts w:cs="Arial"/>
          <w:b/>
          <w:bCs/>
          <w:sz w:val="20"/>
        </w:rPr>
        <w:t>(Study GIMEMA: All Randomised Subjects Analysis Set)</w:t>
      </w:r>
    </w:p>
    <w:p w:rsidR="00326C73" w:rsidRPr="00A45996" w:rsidRDefault="00326C73" w:rsidP="00326C73">
      <w:pPr>
        <w:rPr>
          <w:rFonts w:cs="Arial"/>
          <w:bCs/>
          <w:sz w:val="22"/>
          <w:szCs w:val="22"/>
        </w:rPr>
      </w:pPr>
      <w:r w:rsidRPr="00A45996">
        <w:rPr>
          <w:rFonts w:cs="Arial"/>
          <w:bCs/>
          <w:noProof/>
          <w:sz w:val="22"/>
          <w:szCs w:val="22"/>
          <w:lang w:eastAsia="en-AU"/>
        </w:rPr>
        <w:drawing>
          <wp:inline distT="0" distB="0" distL="0" distR="0" wp14:anchorId="71C8FE61" wp14:editId="46D3B2E5">
            <wp:extent cx="5824412" cy="4146697"/>
            <wp:effectExtent l="19050" t="0" r="4888"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24855" cy="4147012"/>
                    </a:xfrm>
                    <a:prstGeom prst="rect">
                      <a:avLst/>
                    </a:prstGeom>
                    <a:noFill/>
                    <a:ln w="9525">
                      <a:noFill/>
                      <a:miter lim="800000"/>
                      <a:headEnd/>
                      <a:tailEnd/>
                    </a:ln>
                  </pic:spPr>
                </pic:pic>
              </a:graphicData>
            </a:graphic>
          </wp:inline>
        </w:drawing>
      </w:r>
    </w:p>
    <w:p w:rsidR="00326C73" w:rsidRPr="00A45996" w:rsidRDefault="00326C73" w:rsidP="00326C73">
      <w:pPr>
        <w:rPr>
          <w:rFonts w:cs="Arial"/>
          <w:bCs/>
          <w:sz w:val="22"/>
          <w:szCs w:val="22"/>
        </w:rPr>
      </w:pPr>
      <w:r w:rsidRPr="00A45996">
        <w:rPr>
          <w:rFonts w:cs="Arial"/>
          <w:bCs/>
          <w:sz w:val="22"/>
          <w:szCs w:val="22"/>
        </w:rPr>
        <w:lastRenderedPageBreak/>
        <w:t>The IFM-2005, Phase III, randomised (1:1:1:1), multi-centre, open-label study was conducted to compare the efficacy and safety of VELCADE-dexamethasone (</w:t>
      </w:r>
      <w:proofErr w:type="spellStart"/>
      <w:r w:rsidRPr="00A45996">
        <w:rPr>
          <w:rFonts w:cs="Arial"/>
          <w:bCs/>
          <w:sz w:val="22"/>
          <w:szCs w:val="22"/>
        </w:rPr>
        <w:t>Vc-Dex</w:t>
      </w:r>
      <w:proofErr w:type="spellEnd"/>
      <w:r w:rsidRPr="00A45996">
        <w:rPr>
          <w:rFonts w:cs="Arial"/>
          <w:bCs/>
          <w:sz w:val="22"/>
          <w:szCs w:val="22"/>
        </w:rPr>
        <w:t>) and vincristine-doxorubicin-dexamethasone (VAD) as induction therapy prior to HDT-ASCT, and to evaluate the impact of post-induction consolidation therapy. Patients in this study were randomised to receive VAD plus no consolidation (arm A1), VAD plus dexamethasone, cyclophosphamide, etoposide, cis-</w:t>
      </w:r>
      <w:proofErr w:type="spellStart"/>
      <w:r w:rsidRPr="00A45996">
        <w:rPr>
          <w:rFonts w:cs="Arial"/>
          <w:bCs/>
          <w:sz w:val="22"/>
          <w:szCs w:val="22"/>
        </w:rPr>
        <w:t>platin</w:t>
      </w:r>
      <w:proofErr w:type="spellEnd"/>
      <w:r w:rsidRPr="00A45996">
        <w:rPr>
          <w:rFonts w:cs="Arial"/>
          <w:bCs/>
          <w:sz w:val="22"/>
          <w:szCs w:val="22"/>
        </w:rPr>
        <w:t xml:space="preserve"> (DCEP) consolidation (arm A2), </w:t>
      </w:r>
      <w:proofErr w:type="spellStart"/>
      <w:r w:rsidRPr="00A45996">
        <w:rPr>
          <w:rFonts w:cs="Arial"/>
          <w:bCs/>
          <w:sz w:val="22"/>
          <w:szCs w:val="22"/>
        </w:rPr>
        <w:t>Vc-Dex</w:t>
      </w:r>
      <w:proofErr w:type="spellEnd"/>
      <w:r w:rsidRPr="00A45996">
        <w:rPr>
          <w:rFonts w:cs="Arial"/>
          <w:bCs/>
          <w:sz w:val="22"/>
          <w:szCs w:val="22"/>
        </w:rPr>
        <w:t xml:space="preserve"> plus no consolidation (arm B1), or </w:t>
      </w:r>
      <w:proofErr w:type="spellStart"/>
      <w:r w:rsidRPr="00A45996">
        <w:rPr>
          <w:rFonts w:cs="Arial"/>
          <w:bCs/>
          <w:sz w:val="22"/>
          <w:szCs w:val="22"/>
        </w:rPr>
        <w:t>Vc-Dex</w:t>
      </w:r>
      <w:proofErr w:type="spellEnd"/>
      <w:r w:rsidRPr="00A45996">
        <w:rPr>
          <w:rFonts w:cs="Arial"/>
          <w:bCs/>
          <w:sz w:val="22"/>
          <w:szCs w:val="22"/>
        </w:rPr>
        <w:t xml:space="preserve"> plus DCEP consolidation (arm B2).  </w:t>
      </w:r>
    </w:p>
    <w:p w:rsidR="00326C73" w:rsidRPr="00A45996" w:rsidRDefault="00326C73" w:rsidP="00326C73">
      <w:pPr>
        <w:rPr>
          <w:rFonts w:cs="Arial"/>
          <w:bCs/>
          <w:sz w:val="22"/>
          <w:szCs w:val="22"/>
        </w:rPr>
      </w:pPr>
    </w:p>
    <w:p w:rsidR="00326C73" w:rsidRPr="00A45996" w:rsidRDefault="00326C73" w:rsidP="00326C73">
      <w:pPr>
        <w:rPr>
          <w:rFonts w:cs="Arial"/>
          <w:bCs/>
          <w:sz w:val="22"/>
          <w:szCs w:val="22"/>
        </w:rPr>
      </w:pPr>
      <w:r w:rsidRPr="00A45996">
        <w:rPr>
          <w:rFonts w:cs="Arial"/>
          <w:bCs/>
          <w:sz w:val="22"/>
          <w:szCs w:val="22"/>
        </w:rPr>
        <w:t>A total of 482 patients aged ≤65 years were randomised; 240 patients received four 3-week cycles of VELCADE (1.3 mg/m</w:t>
      </w:r>
      <w:r w:rsidRPr="00A45996">
        <w:rPr>
          <w:rFonts w:cs="Arial"/>
          <w:bCs/>
          <w:sz w:val="22"/>
          <w:szCs w:val="22"/>
          <w:vertAlign w:val="superscript"/>
        </w:rPr>
        <w:t>2</w:t>
      </w:r>
      <w:r w:rsidRPr="00A45996">
        <w:rPr>
          <w:rFonts w:cs="Arial"/>
          <w:bCs/>
          <w:sz w:val="22"/>
          <w:szCs w:val="22"/>
        </w:rPr>
        <w:t>), days 1, 4, 8 and 11  plus dexamethasone (40 mg) days 1-4 (all cycles) and days 9-12 (cycles 1 and 2), while 242 patients received four 4-week cycles of VAD. The primary endpoint of this study was the CR/</w:t>
      </w:r>
      <w:proofErr w:type="spellStart"/>
      <w:r w:rsidRPr="00A45996">
        <w:rPr>
          <w:rFonts w:cs="Arial"/>
          <w:bCs/>
          <w:sz w:val="22"/>
          <w:szCs w:val="22"/>
        </w:rPr>
        <w:t>nCR</w:t>
      </w:r>
      <w:proofErr w:type="spellEnd"/>
      <w:r w:rsidRPr="00A45996">
        <w:rPr>
          <w:rFonts w:cs="Arial"/>
          <w:bCs/>
          <w:sz w:val="22"/>
          <w:szCs w:val="22"/>
        </w:rPr>
        <w:t xml:space="preserve"> rate post-induction.</w:t>
      </w:r>
    </w:p>
    <w:p w:rsidR="00326C73" w:rsidRPr="00A45996" w:rsidRDefault="00326C73" w:rsidP="00326C73">
      <w:pPr>
        <w:rPr>
          <w:rFonts w:cs="Arial"/>
          <w:bCs/>
          <w:sz w:val="22"/>
          <w:szCs w:val="22"/>
        </w:rPr>
      </w:pPr>
    </w:p>
    <w:p w:rsidR="00326C73" w:rsidRPr="00A45996" w:rsidRDefault="00326C73" w:rsidP="00326C73">
      <w:pPr>
        <w:rPr>
          <w:rFonts w:cs="Arial"/>
          <w:bCs/>
          <w:sz w:val="22"/>
          <w:szCs w:val="22"/>
        </w:rPr>
      </w:pPr>
      <w:r w:rsidRPr="00A45996">
        <w:rPr>
          <w:rFonts w:cs="Arial"/>
          <w:bCs/>
          <w:sz w:val="22"/>
          <w:szCs w:val="22"/>
        </w:rPr>
        <w:t xml:space="preserve">Patients randomized to the </w:t>
      </w:r>
      <w:proofErr w:type="spellStart"/>
      <w:r w:rsidRPr="00A45996">
        <w:rPr>
          <w:rFonts w:cs="Arial"/>
          <w:bCs/>
          <w:sz w:val="22"/>
          <w:szCs w:val="22"/>
        </w:rPr>
        <w:t>Vc-Dex</w:t>
      </w:r>
      <w:proofErr w:type="spellEnd"/>
      <w:r w:rsidRPr="00A45996">
        <w:rPr>
          <w:rFonts w:cs="Arial"/>
          <w:bCs/>
          <w:sz w:val="22"/>
          <w:szCs w:val="22"/>
        </w:rPr>
        <w:t xml:space="preserve"> arm achieved significantly higher rates of complete plus near complete response and very good partial response or better, compared to the VAD arm following induction treatment. Based on an intention to treat analysis, response rates were similar regardless of whether patients received DCEP consolidation or not. Efficacy results are presented in Table 2:</w:t>
      </w:r>
    </w:p>
    <w:p w:rsidR="00326C73" w:rsidRPr="00A45996" w:rsidRDefault="00326C73" w:rsidP="00326C73">
      <w:pPr>
        <w:rPr>
          <w:rFonts w:cs="Arial"/>
          <w:bCs/>
          <w:sz w:val="22"/>
          <w:szCs w:val="22"/>
        </w:rPr>
      </w:pPr>
    </w:p>
    <w:p w:rsidR="00326C73" w:rsidRPr="00A45996" w:rsidRDefault="00326C73" w:rsidP="00326C73">
      <w:pPr>
        <w:rPr>
          <w:sz w:val="20"/>
        </w:rPr>
      </w:pPr>
      <w:r w:rsidRPr="00A45996">
        <w:rPr>
          <w:b/>
          <w:sz w:val="20"/>
        </w:rPr>
        <w:t>Table 2:</w:t>
      </w:r>
      <w:r w:rsidRPr="00A45996">
        <w:rPr>
          <w:sz w:val="20"/>
        </w:rPr>
        <w:t xml:space="preserve"> </w:t>
      </w:r>
      <w:r w:rsidR="009E4A22" w:rsidRPr="00A45996">
        <w:rPr>
          <w:b/>
          <w:sz w:val="20"/>
        </w:rPr>
        <w:t>Response to induction therapy (overall) in the IFM2005 study*</w:t>
      </w:r>
    </w:p>
    <w:tbl>
      <w:tblPr>
        <w:tblStyle w:val="TableGrid"/>
        <w:tblW w:w="0" w:type="auto"/>
        <w:tblLook w:val="04A0" w:firstRow="1" w:lastRow="0" w:firstColumn="1" w:lastColumn="0" w:noHBand="0" w:noVBand="1"/>
      </w:tblPr>
      <w:tblGrid>
        <w:gridCol w:w="2518"/>
        <w:gridCol w:w="2410"/>
        <w:gridCol w:w="2835"/>
        <w:gridCol w:w="1626"/>
      </w:tblGrid>
      <w:tr w:rsidR="00326C73" w:rsidRPr="00A45996" w:rsidTr="00326C73">
        <w:tc>
          <w:tcPr>
            <w:tcW w:w="2518" w:type="dxa"/>
          </w:tcPr>
          <w:p w:rsidR="00326C73" w:rsidRPr="00A45996" w:rsidRDefault="00326C73" w:rsidP="00326C73">
            <w:pPr>
              <w:rPr>
                <w:rFonts w:cs="Arial"/>
                <w:b/>
                <w:sz w:val="20"/>
              </w:rPr>
            </w:pPr>
          </w:p>
        </w:tc>
        <w:tc>
          <w:tcPr>
            <w:tcW w:w="2410" w:type="dxa"/>
          </w:tcPr>
          <w:p w:rsidR="00326C73" w:rsidRPr="00A45996" w:rsidRDefault="00326C73" w:rsidP="00326C73">
            <w:pPr>
              <w:jc w:val="center"/>
              <w:rPr>
                <w:rFonts w:cs="Arial"/>
                <w:b/>
                <w:sz w:val="20"/>
              </w:rPr>
            </w:pPr>
            <w:r w:rsidRPr="00A45996">
              <w:rPr>
                <w:rFonts w:cs="Arial"/>
                <w:b/>
                <w:sz w:val="20"/>
              </w:rPr>
              <w:t>VAD (A1+A2)</w:t>
            </w:r>
          </w:p>
          <w:p w:rsidR="00326C73" w:rsidRPr="00A45996" w:rsidRDefault="00326C73" w:rsidP="00326C73">
            <w:pPr>
              <w:jc w:val="center"/>
              <w:rPr>
                <w:rFonts w:cs="Arial"/>
                <w:b/>
                <w:sz w:val="20"/>
              </w:rPr>
            </w:pPr>
            <w:r w:rsidRPr="00A45996">
              <w:rPr>
                <w:rFonts w:cs="Arial"/>
                <w:b/>
                <w:sz w:val="20"/>
              </w:rPr>
              <w:t>N=242</w:t>
            </w:r>
          </w:p>
        </w:tc>
        <w:tc>
          <w:tcPr>
            <w:tcW w:w="2835" w:type="dxa"/>
          </w:tcPr>
          <w:p w:rsidR="00326C73" w:rsidRPr="00A45996" w:rsidRDefault="00326C73" w:rsidP="00326C73">
            <w:pPr>
              <w:jc w:val="center"/>
              <w:rPr>
                <w:rFonts w:cs="Arial"/>
                <w:b/>
                <w:sz w:val="20"/>
              </w:rPr>
            </w:pPr>
            <w:proofErr w:type="spellStart"/>
            <w:r w:rsidRPr="00A45996">
              <w:rPr>
                <w:rFonts w:cs="Arial"/>
                <w:b/>
                <w:sz w:val="20"/>
              </w:rPr>
              <w:t>Vc-Dex</w:t>
            </w:r>
            <w:proofErr w:type="spellEnd"/>
            <w:r w:rsidRPr="00A45996">
              <w:rPr>
                <w:rFonts w:cs="Arial"/>
                <w:b/>
                <w:sz w:val="20"/>
              </w:rPr>
              <w:t xml:space="preserve"> (B1+B2)</w:t>
            </w:r>
          </w:p>
          <w:p w:rsidR="00326C73" w:rsidRPr="00A45996" w:rsidRDefault="00326C73" w:rsidP="00326C73">
            <w:pPr>
              <w:jc w:val="center"/>
              <w:rPr>
                <w:rFonts w:cs="Arial"/>
                <w:b/>
                <w:sz w:val="20"/>
              </w:rPr>
            </w:pPr>
            <w:r w:rsidRPr="00A45996">
              <w:rPr>
                <w:rFonts w:cs="Arial"/>
                <w:b/>
                <w:sz w:val="20"/>
              </w:rPr>
              <w:t>N=240</w:t>
            </w:r>
          </w:p>
        </w:tc>
        <w:tc>
          <w:tcPr>
            <w:tcW w:w="1626" w:type="dxa"/>
          </w:tcPr>
          <w:p w:rsidR="00326C73" w:rsidRPr="00A45996" w:rsidRDefault="00326C73" w:rsidP="00326C73">
            <w:pPr>
              <w:jc w:val="center"/>
              <w:rPr>
                <w:rFonts w:cs="Arial"/>
                <w:b/>
                <w:sz w:val="20"/>
              </w:rPr>
            </w:pPr>
            <w:r w:rsidRPr="00A45996">
              <w:rPr>
                <w:rFonts w:cs="Arial"/>
                <w:b/>
                <w:i/>
                <w:sz w:val="20"/>
              </w:rPr>
              <w:t>p</w:t>
            </w:r>
            <w:r w:rsidRPr="00A45996">
              <w:rPr>
                <w:rFonts w:cs="Arial"/>
                <w:b/>
                <w:sz w:val="20"/>
              </w:rPr>
              <w:t>-value</w:t>
            </w:r>
          </w:p>
        </w:tc>
      </w:tr>
      <w:tr w:rsidR="00326C73" w:rsidRPr="00A45996" w:rsidTr="00326C73">
        <w:tc>
          <w:tcPr>
            <w:tcW w:w="2518" w:type="dxa"/>
          </w:tcPr>
          <w:p w:rsidR="00326C73" w:rsidRPr="00A45996" w:rsidRDefault="00326C73" w:rsidP="00326C73">
            <w:pPr>
              <w:rPr>
                <w:rFonts w:cs="Arial"/>
                <w:b/>
                <w:sz w:val="20"/>
              </w:rPr>
            </w:pPr>
            <w:r w:rsidRPr="00A45996">
              <w:rPr>
                <w:rFonts w:cs="Arial"/>
                <w:b/>
                <w:sz w:val="20"/>
              </w:rPr>
              <w:t>Evaluable population, N</w:t>
            </w:r>
          </w:p>
        </w:tc>
        <w:tc>
          <w:tcPr>
            <w:tcW w:w="2410" w:type="dxa"/>
          </w:tcPr>
          <w:p w:rsidR="00326C73" w:rsidRPr="00A45996" w:rsidRDefault="00326C73" w:rsidP="00326C73">
            <w:pPr>
              <w:jc w:val="center"/>
              <w:rPr>
                <w:rFonts w:cs="Arial"/>
                <w:b/>
                <w:sz w:val="20"/>
              </w:rPr>
            </w:pPr>
            <w:r w:rsidRPr="00A45996">
              <w:rPr>
                <w:rFonts w:cs="Arial"/>
                <w:b/>
                <w:sz w:val="20"/>
              </w:rPr>
              <w:t>218</w:t>
            </w:r>
          </w:p>
        </w:tc>
        <w:tc>
          <w:tcPr>
            <w:tcW w:w="2835" w:type="dxa"/>
          </w:tcPr>
          <w:p w:rsidR="00326C73" w:rsidRPr="00A45996" w:rsidRDefault="00326C73" w:rsidP="00326C73">
            <w:pPr>
              <w:jc w:val="center"/>
              <w:rPr>
                <w:rFonts w:cs="Arial"/>
                <w:b/>
                <w:sz w:val="20"/>
              </w:rPr>
            </w:pPr>
            <w:r w:rsidRPr="00A45996">
              <w:rPr>
                <w:rFonts w:cs="Arial"/>
                <w:b/>
                <w:sz w:val="20"/>
              </w:rPr>
              <w:t>223</w:t>
            </w:r>
          </w:p>
        </w:tc>
        <w:tc>
          <w:tcPr>
            <w:tcW w:w="1626" w:type="dxa"/>
          </w:tcPr>
          <w:p w:rsidR="00326C73" w:rsidRPr="00A45996" w:rsidRDefault="00326C73" w:rsidP="00326C73">
            <w:pPr>
              <w:jc w:val="center"/>
              <w:rPr>
                <w:rFonts w:cs="Arial"/>
                <w:b/>
                <w:sz w:val="20"/>
              </w:rPr>
            </w:pPr>
          </w:p>
        </w:tc>
      </w:tr>
      <w:tr w:rsidR="00326C73" w:rsidRPr="00A45996" w:rsidTr="00326C73">
        <w:tc>
          <w:tcPr>
            <w:tcW w:w="2518" w:type="dxa"/>
          </w:tcPr>
          <w:p w:rsidR="00326C73" w:rsidRPr="00A45996" w:rsidRDefault="00326C73" w:rsidP="00326C73">
            <w:pPr>
              <w:rPr>
                <w:rFonts w:cs="Arial"/>
                <w:sz w:val="20"/>
              </w:rPr>
            </w:pPr>
            <w:r w:rsidRPr="00A45996">
              <w:rPr>
                <w:rFonts w:cs="Arial"/>
                <w:sz w:val="20"/>
              </w:rPr>
              <w:t>ORR (≥PR), n (%)</w:t>
            </w:r>
          </w:p>
        </w:tc>
        <w:tc>
          <w:tcPr>
            <w:tcW w:w="2410" w:type="dxa"/>
          </w:tcPr>
          <w:p w:rsidR="00326C73" w:rsidRPr="00A45996" w:rsidRDefault="00326C73" w:rsidP="00326C73">
            <w:pPr>
              <w:jc w:val="center"/>
              <w:rPr>
                <w:rFonts w:cs="Arial"/>
                <w:sz w:val="20"/>
              </w:rPr>
            </w:pPr>
            <w:r w:rsidRPr="00A45996">
              <w:rPr>
                <w:rFonts w:cs="Arial"/>
                <w:sz w:val="20"/>
              </w:rPr>
              <w:t>137 (62.8)</w:t>
            </w:r>
          </w:p>
        </w:tc>
        <w:tc>
          <w:tcPr>
            <w:tcW w:w="2835" w:type="dxa"/>
          </w:tcPr>
          <w:p w:rsidR="00326C73" w:rsidRPr="00A45996" w:rsidRDefault="00326C73" w:rsidP="00326C73">
            <w:pPr>
              <w:jc w:val="center"/>
              <w:rPr>
                <w:rFonts w:cs="Arial"/>
                <w:sz w:val="20"/>
              </w:rPr>
            </w:pPr>
            <w:r w:rsidRPr="00A45996">
              <w:rPr>
                <w:rFonts w:cs="Arial"/>
                <w:sz w:val="20"/>
              </w:rPr>
              <w:t>175 (78.5)</w:t>
            </w:r>
          </w:p>
        </w:tc>
        <w:tc>
          <w:tcPr>
            <w:tcW w:w="1626" w:type="dxa"/>
          </w:tcPr>
          <w:p w:rsidR="00326C73" w:rsidRPr="00A45996" w:rsidRDefault="00326C73" w:rsidP="00326C73">
            <w:pPr>
              <w:jc w:val="center"/>
              <w:rPr>
                <w:rFonts w:cs="Arial"/>
                <w:sz w:val="20"/>
              </w:rPr>
            </w:pPr>
            <w:r w:rsidRPr="00A45996">
              <w:rPr>
                <w:rFonts w:cs="Arial"/>
                <w:sz w:val="20"/>
              </w:rPr>
              <w:t>&lt;0.001</w:t>
            </w:r>
          </w:p>
        </w:tc>
      </w:tr>
      <w:tr w:rsidR="00326C73" w:rsidRPr="00A45996" w:rsidTr="00326C73">
        <w:tc>
          <w:tcPr>
            <w:tcW w:w="2518" w:type="dxa"/>
          </w:tcPr>
          <w:p w:rsidR="00326C73" w:rsidRPr="00A45996" w:rsidRDefault="00326C73" w:rsidP="00326C73">
            <w:pPr>
              <w:ind w:left="113"/>
              <w:rPr>
                <w:rFonts w:cs="Arial"/>
                <w:sz w:val="20"/>
              </w:rPr>
            </w:pPr>
            <w:r w:rsidRPr="00A45996">
              <w:rPr>
                <w:rFonts w:cs="Arial"/>
                <w:sz w:val="20"/>
              </w:rPr>
              <w:t>≥VGPR</w:t>
            </w:r>
          </w:p>
        </w:tc>
        <w:tc>
          <w:tcPr>
            <w:tcW w:w="2410" w:type="dxa"/>
          </w:tcPr>
          <w:p w:rsidR="00326C73" w:rsidRPr="00A45996" w:rsidRDefault="00326C73" w:rsidP="00326C73">
            <w:pPr>
              <w:jc w:val="center"/>
              <w:rPr>
                <w:rFonts w:cs="Arial"/>
                <w:sz w:val="20"/>
              </w:rPr>
            </w:pPr>
            <w:r w:rsidRPr="00A45996">
              <w:rPr>
                <w:rFonts w:cs="Arial"/>
                <w:sz w:val="20"/>
              </w:rPr>
              <w:t>33 (15.1)</w:t>
            </w:r>
          </w:p>
        </w:tc>
        <w:tc>
          <w:tcPr>
            <w:tcW w:w="2835" w:type="dxa"/>
          </w:tcPr>
          <w:p w:rsidR="00326C73" w:rsidRPr="00A45996" w:rsidRDefault="00326C73" w:rsidP="00326C73">
            <w:pPr>
              <w:jc w:val="center"/>
              <w:rPr>
                <w:rFonts w:cs="Arial"/>
                <w:sz w:val="20"/>
              </w:rPr>
            </w:pPr>
            <w:r w:rsidRPr="00A45996">
              <w:rPr>
                <w:rFonts w:cs="Arial"/>
                <w:sz w:val="20"/>
              </w:rPr>
              <w:t>84 (37.7)</w:t>
            </w:r>
          </w:p>
        </w:tc>
        <w:tc>
          <w:tcPr>
            <w:tcW w:w="1626" w:type="dxa"/>
          </w:tcPr>
          <w:p w:rsidR="00326C73" w:rsidRPr="00A45996" w:rsidRDefault="00326C73" w:rsidP="00326C73">
            <w:pPr>
              <w:jc w:val="center"/>
              <w:rPr>
                <w:rFonts w:cs="Arial"/>
                <w:sz w:val="20"/>
              </w:rPr>
            </w:pPr>
            <w:r w:rsidRPr="00A45996">
              <w:rPr>
                <w:rFonts w:cs="Arial"/>
                <w:sz w:val="20"/>
              </w:rPr>
              <w:t>&lt;0.001</w:t>
            </w:r>
          </w:p>
        </w:tc>
      </w:tr>
      <w:tr w:rsidR="00326C73" w:rsidRPr="00A45996" w:rsidTr="00326C73">
        <w:tc>
          <w:tcPr>
            <w:tcW w:w="2518" w:type="dxa"/>
          </w:tcPr>
          <w:p w:rsidR="00326C73" w:rsidRPr="00A45996" w:rsidRDefault="00326C73" w:rsidP="00326C73">
            <w:pPr>
              <w:ind w:left="170"/>
              <w:rPr>
                <w:rFonts w:cs="Arial"/>
                <w:sz w:val="20"/>
              </w:rPr>
            </w:pPr>
            <w:r w:rsidRPr="00A45996">
              <w:rPr>
                <w:rFonts w:cs="Arial"/>
                <w:sz w:val="20"/>
              </w:rPr>
              <w:t>CR/</w:t>
            </w:r>
            <w:proofErr w:type="spellStart"/>
            <w:r w:rsidRPr="00A45996">
              <w:rPr>
                <w:rFonts w:cs="Arial"/>
                <w:sz w:val="20"/>
              </w:rPr>
              <w:t>nCR</w:t>
            </w:r>
            <w:proofErr w:type="spellEnd"/>
          </w:p>
        </w:tc>
        <w:tc>
          <w:tcPr>
            <w:tcW w:w="2410" w:type="dxa"/>
          </w:tcPr>
          <w:p w:rsidR="00326C73" w:rsidRPr="00A45996" w:rsidRDefault="00326C73" w:rsidP="00326C73">
            <w:pPr>
              <w:jc w:val="center"/>
              <w:rPr>
                <w:rFonts w:cs="Arial"/>
                <w:sz w:val="20"/>
              </w:rPr>
            </w:pPr>
            <w:r w:rsidRPr="00A45996">
              <w:rPr>
                <w:rFonts w:cs="Arial"/>
                <w:sz w:val="20"/>
              </w:rPr>
              <w:t>14 (6.4)</w:t>
            </w:r>
          </w:p>
        </w:tc>
        <w:tc>
          <w:tcPr>
            <w:tcW w:w="2835" w:type="dxa"/>
          </w:tcPr>
          <w:p w:rsidR="00326C73" w:rsidRPr="00A45996" w:rsidRDefault="00326C73" w:rsidP="00326C73">
            <w:pPr>
              <w:jc w:val="center"/>
              <w:rPr>
                <w:rFonts w:cs="Arial"/>
                <w:sz w:val="20"/>
              </w:rPr>
            </w:pPr>
            <w:r w:rsidRPr="00A45996">
              <w:rPr>
                <w:rFonts w:cs="Arial"/>
                <w:sz w:val="20"/>
              </w:rPr>
              <w:t>33 (14.8)</w:t>
            </w:r>
          </w:p>
        </w:tc>
        <w:tc>
          <w:tcPr>
            <w:tcW w:w="1626" w:type="dxa"/>
          </w:tcPr>
          <w:p w:rsidR="00326C73" w:rsidRPr="00A45996" w:rsidRDefault="00326C73" w:rsidP="00326C73">
            <w:pPr>
              <w:jc w:val="center"/>
              <w:rPr>
                <w:rFonts w:cs="Arial"/>
                <w:sz w:val="20"/>
              </w:rPr>
            </w:pPr>
            <w:r w:rsidRPr="00A45996">
              <w:rPr>
                <w:rFonts w:cs="Arial"/>
                <w:sz w:val="20"/>
              </w:rPr>
              <w:t>0.004</w:t>
            </w:r>
          </w:p>
        </w:tc>
      </w:tr>
      <w:tr w:rsidR="00326C73" w:rsidRPr="00A45996" w:rsidTr="00326C73">
        <w:tc>
          <w:tcPr>
            <w:tcW w:w="2518" w:type="dxa"/>
          </w:tcPr>
          <w:p w:rsidR="00326C73" w:rsidRPr="00A45996" w:rsidRDefault="00326C73" w:rsidP="00326C73">
            <w:pPr>
              <w:ind w:left="227"/>
              <w:rPr>
                <w:rFonts w:cs="Arial"/>
                <w:sz w:val="20"/>
              </w:rPr>
            </w:pPr>
            <w:r w:rsidRPr="00A45996">
              <w:rPr>
                <w:rFonts w:cs="Arial"/>
                <w:sz w:val="20"/>
              </w:rPr>
              <w:t>CR</w:t>
            </w:r>
          </w:p>
        </w:tc>
        <w:tc>
          <w:tcPr>
            <w:tcW w:w="2410" w:type="dxa"/>
          </w:tcPr>
          <w:p w:rsidR="00326C73" w:rsidRPr="00A45996" w:rsidRDefault="00326C73" w:rsidP="00326C73">
            <w:pPr>
              <w:jc w:val="center"/>
              <w:rPr>
                <w:rFonts w:cs="Arial"/>
                <w:sz w:val="20"/>
              </w:rPr>
            </w:pPr>
            <w:r w:rsidRPr="00A45996">
              <w:rPr>
                <w:rFonts w:cs="Arial"/>
                <w:sz w:val="20"/>
              </w:rPr>
              <w:t>3 (1.4)</w:t>
            </w:r>
          </w:p>
        </w:tc>
        <w:tc>
          <w:tcPr>
            <w:tcW w:w="2835" w:type="dxa"/>
          </w:tcPr>
          <w:p w:rsidR="00326C73" w:rsidRPr="00A45996" w:rsidRDefault="00326C73" w:rsidP="00326C73">
            <w:pPr>
              <w:jc w:val="center"/>
              <w:rPr>
                <w:rFonts w:cs="Arial"/>
                <w:sz w:val="20"/>
              </w:rPr>
            </w:pPr>
            <w:r w:rsidRPr="00A45996">
              <w:rPr>
                <w:rFonts w:cs="Arial"/>
                <w:sz w:val="20"/>
              </w:rPr>
              <w:t>13 (5.8)</w:t>
            </w:r>
          </w:p>
        </w:tc>
        <w:tc>
          <w:tcPr>
            <w:tcW w:w="1626" w:type="dxa"/>
          </w:tcPr>
          <w:p w:rsidR="00326C73" w:rsidRPr="00A45996" w:rsidRDefault="00326C73" w:rsidP="00326C73">
            <w:pPr>
              <w:jc w:val="center"/>
              <w:rPr>
                <w:rFonts w:cs="Arial"/>
                <w:sz w:val="20"/>
              </w:rPr>
            </w:pPr>
            <w:r w:rsidRPr="00A45996">
              <w:rPr>
                <w:rFonts w:cs="Arial"/>
                <w:sz w:val="20"/>
              </w:rPr>
              <w:t>0.012</w:t>
            </w:r>
          </w:p>
        </w:tc>
      </w:tr>
      <w:tr w:rsidR="00326C73" w:rsidRPr="00A45996" w:rsidTr="00326C73">
        <w:tc>
          <w:tcPr>
            <w:tcW w:w="2518" w:type="dxa"/>
          </w:tcPr>
          <w:p w:rsidR="00326C73" w:rsidRPr="00A45996" w:rsidRDefault="00326C73" w:rsidP="00326C73">
            <w:pPr>
              <w:rPr>
                <w:rFonts w:cs="Arial"/>
                <w:sz w:val="20"/>
              </w:rPr>
            </w:pPr>
            <w:r w:rsidRPr="00A45996">
              <w:rPr>
                <w:rFonts w:cs="Arial"/>
                <w:sz w:val="20"/>
              </w:rPr>
              <w:t>MR+SD</w:t>
            </w:r>
          </w:p>
        </w:tc>
        <w:tc>
          <w:tcPr>
            <w:tcW w:w="2410" w:type="dxa"/>
          </w:tcPr>
          <w:p w:rsidR="00326C73" w:rsidRPr="00A45996" w:rsidRDefault="00326C73" w:rsidP="00326C73">
            <w:pPr>
              <w:jc w:val="center"/>
              <w:rPr>
                <w:rFonts w:cs="Arial"/>
                <w:sz w:val="20"/>
              </w:rPr>
            </w:pPr>
            <w:r w:rsidRPr="00A45996">
              <w:rPr>
                <w:rFonts w:cs="Arial"/>
                <w:sz w:val="20"/>
              </w:rPr>
              <w:t>58 (26.6)</w:t>
            </w:r>
          </w:p>
        </w:tc>
        <w:tc>
          <w:tcPr>
            <w:tcW w:w="2835" w:type="dxa"/>
          </w:tcPr>
          <w:p w:rsidR="00326C73" w:rsidRPr="00A45996" w:rsidRDefault="00326C73" w:rsidP="00326C73">
            <w:pPr>
              <w:jc w:val="center"/>
              <w:rPr>
                <w:rFonts w:cs="Arial"/>
                <w:sz w:val="20"/>
              </w:rPr>
            </w:pPr>
            <w:r w:rsidRPr="00A45996">
              <w:rPr>
                <w:rFonts w:cs="Arial"/>
                <w:sz w:val="20"/>
              </w:rPr>
              <w:t>28 (12.6)</w:t>
            </w:r>
          </w:p>
        </w:tc>
        <w:tc>
          <w:tcPr>
            <w:tcW w:w="1626" w:type="dxa"/>
          </w:tcPr>
          <w:p w:rsidR="00326C73" w:rsidRPr="00A45996" w:rsidRDefault="00326C73" w:rsidP="00326C73">
            <w:pPr>
              <w:jc w:val="center"/>
              <w:rPr>
                <w:rFonts w:cs="Arial"/>
                <w:sz w:val="20"/>
              </w:rPr>
            </w:pPr>
          </w:p>
        </w:tc>
      </w:tr>
      <w:tr w:rsidR="00326C73" w:rsidRPr="00A45996" w:rsidTr="00326C73">
        <w:tc>
          <w:tcPr>
            <w:tcW w:w="2518" w:type="dxa"/>
          </w:tcPr>
          <w:p w:rsidR="00326C73" w:rsidRPr="00A45996" w:rsidRDefault="00326C73" w:rsidP="00326C73">
            <w:pPr>
              <w:rPr>
                <w:rFonts w:cs="Arial"/>
                <w:sz w:val="20"/>
              </w:rPr>
            </w:pPr>
            <w:r w:rsidRPr="00A45996">
              <w:rPr>
                <w:rFonts w:cs="Arial"/>
                <w:sz w:val="20"/>
              </w:rPr>
              <w:t>PD</w:t>
            </w:r>
          </w:p>
        </w:tc>
        <w:tc>
          <w:tcPr>
            <w:tcW w:w="2410" w:type="dxa"/>
          </w:tcPr>
          <w:p w:rsidR="00326C73" w:rsidRPr="00A45996" w:rsidRDefault="00326C73" w:rsidP="00326C73">
            <w:pPr>
              <w:jc w:val="center"/>
              <w:rPr>
                <w:rFonts w:cs="Arial"/>
                <w:sz w:val="20"/>
              </w:rPr>
            </w:pPr>
            <w:r w:rsidRPr="00A45996">
              <w:rPr>
                <w:rFonts w:cs="Arial"/>
                <w:sz w:val="20"/>
              </w:rPr>
              <w:t>9 (4.1)</w:t>
            </w:r>
          </w:p>
        </w:tc>
        <w:tc>
          <w:tcPr>
            <w:tcW w:w="2835" w:type="dxa"/>
          </w:tcPr>
          <w:p w:rsidR="00326C73" w:rsidRPr="00A45996" w:rsidRDefault="00326C73" w:rsidP="00326C73">
            <w:pPr>
              <w:jc w:val="center"/>
              <w:rPr>
                <w:rFonts w:cs="Arial"/>
                <w:sz w:val="20"/>
              </w:rPr>
            </w:pPr>
            <w:r w:rsidRPr="00A45996">
              <w:rPr>
                <w:rFonts w:cs="Arial"/>
                <w:sz w:val="20"/>
              </w:rPr>
              <w:t>10 (4.5)</w:t>
            </w:r>
          </w:p>
        </w:tc>
        <w:tc>
          <w:tcPr>
            <w:tcW w:w="1626" w:type="dxa"/>
          </w:tcPr>
          <w:p w:rsidR="00326C73" w:rsidRPr="00A45996" w:rsidRDefault="00326C73" w:rsidP="00326C73">
            <w:pPr>
              <w:jc w:val="center"/>
              <w:rPr>
                <w:rFonts w:cs="Arial"/>
                <w:sz w:val="20"/>
              </w:rPr>
            </w:pPr>
          </w:p>
        </w:tc>
      </w:tr>
      <w:tr w:rsidR="00326C73" w:rsidRPr="00A45996" w:rsidTr="00326C73">
        <w:tc>
          <w:tcPr>
            <w:tcW w:w="2518" w:type="dxa"/>
          </w:tcPr>
          <w:p w:rsidR="00326C73" w:rsidRPr="00A45996" w:rsidRDefault="00326C73" w:rsidP="00326C73">
            <w:pPr>
              <w:rPr>
                <w:rFonts w:cs="Arial"/>
                <w:sz w:val="20"/>
              </w:rPr>
            </w:pPr>
            <w:r w:rsidRPr="00A45996">
              <w:rPr>
                <w:rFonts w:cs="Arial"/>
                <w:sz w:val="20"/>
              </w:rPr>
              <w:t>Death</w:t>
            </w:r>
          </w:p>
        </w:tc>
        <w:tc>
          <w:tcPr>
            <w:tcW w:w="2410" w:type="dxa"/>
          </w:tcPr>
          <w:p w:rsidR="00326C73" w:rsidRPr="00A45996" w:rsidRDefault="00326C73" w:rsidP="00326C73">
            <w:pPr>
              <w:jc w:val="center"/>
              <w:rPr>
                <w:rFonts w:cs="Arial"/>
                <w:sz w:val="20"/>
              </w:rPr>
            </w:pPr>
            <w:r w:rsidRPr="00A45996">
              <w:rPr>
                <w:rFonts w:cs="Arial"/>
                <w:sz w:val="20"/>
              </w:rPr>
              <w:t>6 (2.8)</w:t>
            </w:r>
          </w:p>
        </w:tc>
        <w:tc>
          <w:tcPr>
            <w:tcW w:w="2835" w:type="dxa"/>
          </w:tcPr>
          <w:p w:rsidR="00326C73" w:rsidRPr="00A45996" w:rsidRDefault="00326C73" w:rsidP="00326C73">
            <w:pPr>
              <w:jc w:val="center"/>
              <w:rPr>
                <w:rFonts w:cs="Arial"/>
                <w:sz w:val="20"/>
              </w:rPr>
            </w:pPr>
            <w:r w:rsidRPr="00A45996">
              <w:rPr>
                <w:rFonts w:cs="Arial"/>
                <w:sz w:val="20"/>
              </w:rPr>
              <w:t>1 (0.5)</w:t>
            </w:r>
          </w:p>
        </w:tc>
        <w:tc>
          <w:tcPr>
            <w:tcW w:w="1626" w:type="dxa"/>
          </w:tcPr>
          <w:p w:rsidR="00326C73" w:rsidRPr="00A45996" w:rsidRDefault="00326C73" w:rsidP="00326C73">
            <w:pPr>
              <w:jc w:val="center"/>
              <w:rPr>
                <w:rFonts w:cs="Arial"/>
                <w:sz w:val="20"/>
              </w:rPr>
            </w:pPr>
          </w:p>
        </w:tc>
      </w:tr>
      <w:tr w:rsidR="00326C73" w:rsidRPr="00A45996" w:rsidTr="00326C73">
        <w:tc>
          <w:tcPr>
            <w:tcW w:w="2518" w:type="dxa"/>
          </w:tcPr>
          <w:p w:rsidR="00326C73" w:rsidRPr="00A45996" w:rsidRDefault="00326C73" w:rsidP="00326C73">
            <w:pPr>
              <w:rPr>
                <w:rFonts w:cs="Arial"/>
                <w:sz w:val="20"/>
              </w:rPr>
            </w:pPr>
            <w:r w:rsidRPr="00A45996">
              <w:rPr>
                <w:rFonts w:cs="Arial"/>
                <w:sz w:val="20"/>
              </w:rPr>
              <w:t>Not assessable</w:t>
            </w:r>
          </w:p>
        </w:tc>
        <w:tc>
          <w:tcPr>
            <w:tcW w:w="2410" w:type="dxa"/>
          </w:tcPr>
          <w:p w:rsidR="00326C73" w:rsidRPr="00A45996" w:rsidRDefault="00326C73" w:rsidP="00326C73">
            <w:pPr>
              <w:jc w:val="center"/>
              <w:rPr>
                <w:rFonts w:cs="Arial"/>
                <w:sz w:val="20"/>
              </w:rPr>
            </w:pPr>
            <w:r w:rsidRPr="00A45996">
              <w:rPr>
                <w:rFonts w:cs="Arial"/>
                <w:sz w:val="20"/>
              </w:rPr>
              <w:t>8 (3.7)</w:t>
            </w:r>
          </w:p>
        </w:tc>
        <w:tc>
          <w:tcPr>
            <w:tcW w:w="2835" w:type="dxa"/>
          </w:tcPr>
          <w:p w:rsidR="00326C73" w:rsidRPr="00A45996" w:rsidRDefault="00326C73" w:rsidP="00326C73">
            <w:pPr>
              <w:jc w:val="center"/>
              <w:rPr>
                <w:rFonts w:cs="Arial"/>
                <w:sz w:val="20"/>
              </w:rPr>
            </w:pPr>
            <w:r w:rsidRPr="00A45996">
              <w:rPr>
                <w:rFonts w:cs="Arial"/>
                <w:sz w:val="20"/>
              </w:rPr>
              <w:t>9 (4.0)</w:t>
            </w:r>
          </w:p>
        </w:tc>
        <w:tc>
          <w:tcPr>
            <w:tcW w:w="1626" w:type="dxa"/>
          </w:tcPr>
          <w:p w:rsidR="00326C73" w:rsidRPr="00A45996" w:rsidRDefault="00326C73" w:rsidP="00326C73">
            <w:pPr>
              <w:jc w:val="center"/>
              <w:rPr>
                <w:rFonts w:cs="Arial"/>
                <w:sz w:val="20"/>
              </w:rPr>
            </w:pPr>
          </w:p>
        </w:tc>
      </w:tr>
    </w:tbl>
    <w:p w:rsidR="00326C73" w:rsidRPr="00A45996" w:rsidRDefault="00326C73" w:rsidP="00326C73">
      <w:pPr>
        <w:pStyle w:val="TableFootnoteCharChar1"/>
        <w:keepNext w:val="0"/>
        <w:spacing w:before="0" w:after="0" w:line="240" w:lineRule="auto"/>
        <w:ind w:left="0" w:firstLine="0"/>
        <w:rPr>
          <w:rFonts w:ascii="Arial" w:hAnsi="Arial"/>
          <w:sz w:val="18"/>
          <w:szCs w:val="18"/>
          <w:lang w:val="en-AU"/>
        </w:rPr>
      </w:pPr>
    </w:p>
    <w:p w:rsidR="00326C73" w:rsidRPr="00A45996" w:rsidRDefault="00326C73" w:rsidP="00326C73">
      <w:pPr>
        <w:pStyle w:val="TableFootnoteCharChar1"/>
        <w:keepNext w:val="0"/>
        <w:spacing w:before="0" w:after="0" w:line="240" w:lineRule="auto"/>
        <w:ind w:left="0" w:firstLine="0"/>
        <w:jc w:val="both"/>
        <w:rPr>
          <w:rFonts w:ascii="Arial" w:hAnsi="Arial" w:cs="Arial"/>
          <w:bCs/>
          <w:sz w:val="22"/>
          <w:szCs w:val="22"/>
        </w:rPr>
      </w:pPr>
      <w:r w:rsidRPr="00A45996">
        <w:rPr>
          <w:rFonts w:ascii="Arial" w:hAnsi="Arial" w:cs="Arial"/>
          <w:bCs/>
          <w:sz w:val="22"/>
          <w:szCs w:val="22"/>
        </w:rPr>
        <w:t xml:space="preserve">A total of 184/218 (84.4%) and 197/223 (88.3%) evaluable patients who received VAD and </w:t>
      </w:r>
      <w:proofErr w:type="spellStart"/>
      <w:r w:rsidRPr="00A45996">
        <w:rPr>
          <w:rFonts w:ascii="Arial" w:hAnsi="Arial" w:cs="Arial"/>
          <w:bCs/>
          <w:sz w:val="22"/>
          <w:szCs w:val="22"/>
        </w:rPr>
        <w:t>Vc-Dex</w:t>
      </w:r>
      <w:proofErr w:type="spellEnd"/>
      <w:r w:rsidRPr="00A45996">
        <w:rPr>
          <w:rFonts w:ascii="Arial" w:hAnsi="Arial" w:cs="Arial"/>
          <w:bCs/>
          <w:sz w:val="22"/>
          <w:szCs w:val="22"/>
        </w:rPr>
        <w:t xml:space="preserve"> induction, respectively, underwent </w:t>
      </w:r>
      <w:proofErr w:type="spellStart"/>
      <w:r w:rsidRPr="00A45996">
        <w:rPr>
          <w:rFonts w:ascii="Arial" w:hAnsi="Arial" w:cs="Arial"/>
          <w:bCs/>
          <w:sz w:val="22"/>
          <w:szCs w:val="22"/>
        </w:rPr>
        <w:t>autologus</w:t>
      </w:r>
      <w:proofErr w:type="spellEnd"/>
      <w:r w:rsidRPr="00A45996">
        <w:rPr>
          <w:rFonts w:ascii="Arial" w:hAnsi="Arial" w:cs="Arial"/>
          <w:bCs/>
          <w:sz w:val="22"/>
          <w:szCs w:val="22"/>
        </w:rPr>
        <w:t xml:space="preserve"> stem cell transplantation. The number of patients who received a second transplantation was 41 (20.8%) in the </w:t>
      </w:r>
      <w:proofErr w:type="spellStart"/>
      <w:r w:rsidRPr="00A45996">
        <w:rPr>
          <w:rFonts w:ascii="Arial" w:hAnsi="Arial" w:cs="Arial"/>
          <w:bCs/>
          <w:sz w:val="22"/>
          <w:szCs w:val="22"/>
        </w:rPr>
        <w:t>Vc-Dex</w:t>
      </w:r>
      <w:proofErr w:type="spellEnd"/>
      <w:r w:rsidRPr="00A45996">
        <w:rPr>
          <w:rFonts w:ascii="Arial" w:hAnsi="Arial" w:cs="Arial"/>
          <w:bCs/>
          <w:sz w:val="22"/>
          <w:szCs w:val="22"/>
        </w:rPr>
        <w:t xml:space="preserve"> arm, compared to 50 (27.2%) for patients in the VAD arm. Post-transplant response rates are shown in Table 3.</w:t>
      </w:r>
    </w:p>
    <w:p w:rsidR="00326C73" w:rsidRPr="00A45996" w:rsidRDefault="00326C73" w:rsidP="00326C73">
      <w:pPr>
        <w:pStyle w:val="TableFootnoteCharChar1"/>
        <w:keepNext w:val="0"/>
        <w:spacing w:before="0" w:after="0" w:line="240" w:lineRule="auto"/>
        <w:ind w:left="0" w:firstLine="0"/>
        <w:rPr>
          <w:rFonts w:ascii="Arial" w:hAnsi="Arial" w:cs="Arial"/>
          <w:bCs/>
          <w:sz w:val="22"/>
          <w:szCs w:val="22"/>
        </w:rPr>
      </w:pPr>
    </w:p>
    <w:p w:rsidR="00326C73" w:rsidRPr="00A45996" w:rsidRDefault="00326C73" w:rsidP="00326C73">
      <w:pPr>
        <w:pStyle w:val="TableFootnoteCharChar1"/>
        <w:keepNext w:val="0"/>
        <w:spacing w:before="0" w:after="0" w:line="240" w:lineRule="auto"/>
        <w:ind w:left="0" w:firstLine="0"/>
        <w:rPr>
          <w:rFonts w:ascii="Arial" w:hAnsi="Arial" w:cs="Arial"/>
          <w:b/>
          <w:bCs/>
        </w:rPr>
      </w:pPr>
      <w:r w:rsidRPr="00A45996">
        <w:rPr>
          <w:rFonts w:ascii="Arial" w:hAnsi="Arial" w:cs="Arial"/>
          <w:b/>
          <w:bCs/>
        </w:rPr>
        <w:t>Table 3:</w:t>
      </w:r>
      <w:r w:rsidRPr="00A45996">
        <w:rPr>
          <w:rFonts w:ascii="Arial" w:hAnsi="Arial" w:cs="Arial"/>
          <w:bCs/>
        </w:rPr>
        <w:t xml:space="preserve"> </w:t>
      </w:r>
      <w:r w:rsidR="009E4A22" w:rsidRPr="00A45996">
        <w:rPr>
          <w:rFonts w:ascii="Arial" w:hAnsi="Arial" w:cs="Arial"/>
          <w:b/>
          <w:bCs/>
        </w:rPr>
        <w:t>Response rates post-transplantation*</w:t>
      </w:r>
    </w:p>
    <w:tbl>
      <w:tblPr>
        <w:tblStyle w:val="TableGrid"/>
        <w:tblW w:w="0" w:type="auto"/>
        <w:tblLook w:val="04A0" w:firstRow="1" w:lastRow="0" w:firstColumn="1" w:lastColumn="0" w:noHBand="0" w:noVBand="1"/>
      </w:tblPr>
      <w:tblGrid>
        <w:gridCol w:w="2518"/>
        <w:gridCol w:w="2410"/>
        <w:gridCol w:w="2835"/>
        <w:gridCol w:w="1626"/>
      </w:tblGrid>
      <w:tr w:rsidR="00326C73" w:rsidRPr="00A45996" w:rsidTr="00326C73">
        <w:tc>
          <w:tcPr>
            <w:tcW w:w="2518" w:type="dxa"/>
          </w:tcPr>
          <w:p w:rsidR="00326C73" w:rsidRPr="00A45996" w:rsidRDefault="00326C73" w:rsidP="00326C73">
            <w:pPr>
              <w:pStyle w:val="TableFootnoteCharChar1"/>
              <w:keepNext w:val="0"/>
              <w:spacing w:before="0" w:after="0" w:line="240" w:lineRule="auto"/>
              <w:ind w:left="0" w:firstLine="0"/>
              <w:rPr>
                <w:rFonts w:ascii="Arial" w:hAnsi="Arial" w:cs="Arial"/>
                <w:bCs/>
              </w:rPr>
            </w:pP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rPr>
            </w:pPr>
            <w:r w:rsidRPr="00A45996">
              <w:rPr>
                <w:rFonts w:ascii="Arial" w:hAnsi="Arial" w:cs="Arial"/>
                <w:b/>
                <w:bCs/>
              </w:rPr>
              <w:t xml:space="preserve">VAD (A1+A2) </w:t>
            </w:r>
          </w:p>
          <w:p w:rsidR="00326C73" w:rsidRPr="00A45996" w:rsidRDefault="00326C73" w:rsidP="00326C73">
            <w:pPr>
              <w:jc w:val="center"/>
              <w:rPr>
                <w:b/>
                <w:sz w:val="20"/>
              </w:rPr>
            </w:pPr>
            <w:r w:rsidRPr="00A45996">
              <w:rPr>
                <w:b/>
                <w:sz w:val="20"/>
                <w:lang w:val="en-US"/>
              </w:rPr>
              <w:t>N=218</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rPr>
            </w:pPr>
            <w:proofErr w:type="spellStart"/>
            <w:r w:rsidRPr="00A45996">
              <w:rPr>
                <w:rFonts w:ascii="Arial" w:hAnsi="Arial" w:cs="Arial"/>
                <w:b/>
                <w:bCs/>
              </w:rPr>
              <w:t>Vc-Dex</w:t>
            </w:r>
            <w:proofErr w:type="spellEnd"/>
            <w:r w:rsidRPr="00A45996">
              <w:rPr>
                <w:rFonts w:ascii="Arial" w:hAnsi="Arial" w:cs="Arial"/>
                <w:b/>
                <w:bCs/>
              </w:rPr>
              <w:t xml:space="preserve"> (B1+B2)</w:t>
            </w:r>
          </w:p>
          <w:p w:rsidR="00326C73" w:rsidRPr="00A45996" w:rsidRDefault="00326C73" w:rsidP="00326C73">
            <w:pPr>
              <w:jc w:val="center"/>
              <w:rPr>
                <w:b/>
                <w:sz w:val="20"/>
              </w:rPr>
            </w:pPr>
            <w:r w:rsidRPr="00A45996">
              <w:rPr>
                <w:b/>
                <w:sz w:val="20"/>
                <w:lang w:val="en-US"/>
              </w:rPr>
              <w:t>N=223</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rPr>
            </w:pPr>
            <w:r w:rsidRPr="00A45996">
              <w:rPr>
                <w:rFonts w:ascii="Arial" w:hAnsi="Arial" w:cs="Arial"/>
                <w:b/>
                <w:bCs/>
                <w:i/>
              </w:rPr>
              <w:t>p</w:t>
            </w:r>
            <w:r w:rsidRPr="00A45996">
              <w:rPr>
                <w:rFonts w:ascii="Arial" w:hAnsi="Arial" w:cs="Arial"/>
                <w:b/>
                <w:bCs/>
              </w:rPr>
              <w:t>-value</w:t>
            </w:r>
          </w:p>
        </w:tc>
      </w:tr>
      <w:tr w:rsidR="00326C73" w:rsidRPr="00A45996" w:rsidTr="00326C73">
        <w:tc>
          <w:tcPr>
            <w:tcW w:w="9389" w:type="dxa"/>
            <w:gridSpan w:val="4"/>
          </w:tcPr>
          <w:p w:rsidR="00326C73" w:rsidRPr="00A45996" w:rsidRDefault="00326C73" w:rsidP="00326C73">
            <w:pPr>
              <w:pStyle w:val="TableFootnoteCharChar1"/>
              <w:keepNext w:val="0"/>
              <w:pBdr>
                <w:top w:val="single" w:sz="6" w:space="1" w:color="auto"/>
              </w:pBdr>
              <w:spacing w:before="0" w:after="0" w:line="240" w:lineRule="auto"/>
              <w:ind w:left="0" w:firstLine="0"/>
              <w:rPr>
                <w:rFonts w:ascii="Arial" w:hAnsi="Arial" w:cs="Arial"/>
                <w:b/>
                <w:bCs/>
              </w:rPr>
            </w:pPr>
            <w:r w:rsidRPr="00A45996">
              <w:rPr>
                <w:rFonts w:ascii="Arial" w:hAnsi="Arial" w:cs="Arial"/>
                <w:b/>
                <w:bCs/>
              </w:rPr>
              <w:t>Response to first transplant</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0" w:firstLine="0"/>
              <w:rPr>
                <w:rFonts w:ascii="Arial" w:hAnsi="Arial" w:cs="Arial"/>
                <w:bCs/>
              </w:rPr>
            </w:pPr>
            <w:r w:rsidRPr="00A45996">
              <w:rPr>
                <w:rFonts w:ascii="Arial" w:hAnsi="Arial" w:cs="Arial"/>
              </w:rPr>
              <w:t>ORR (≥PR), n (%)</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kern w:val="28"/>
              </w:rPr>
            </w:pPr>
            <w:r w:rsidRPr="00A45996">
              <w:rPr>
                <w:rFonts w:ascii="Arial" w:hAnsi="Arial" w:cs="Arial"/>
                <w:bCs/>
              </w:rPr>
              <w:t>168 (77.1)</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kern w:val="28"/>
              </w:rPr>
            </w:pPr>
            <w:r w:rsidRPr="00A45996">
              <w:rPr>
                <w:rFonts w:ascii="Arial" w:hAnsi="Arial" w:cs="Arial"/>
                <w:bCs/>
              </w:rPr>
              <w:t>179 (80.3)</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
                <w:bCs/>
                <w:kern w:val="28"/>
              </w:rPr>
            </w:pPr>
            <w:r w:rsidRPr="00A45996">
              <w:rPr>
                <w:rFonts w:ascii="Arial" w:hAnsi="Arial" w:cs="Arial"/>
                <w:bCs/>
              </w:rPr>
              <w:t>0.401</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113" w:firstLine="0"/>
              <w:rPr>
                <w:rFonts w:ascii="Arial" w:hAnsi="Arial" w:cs="Arial"/>
                <w:bCs/>
              </w:rPr>
            </w:pPr>
            <w:r w:rsidRPr="00A45996">
              <w:rPr>
                <w:rFonts w:ascii="Arial" w:hAnsi="Arial" w:cs="Arial"/>
              </w:rPr>
              <w:t>≥VGPR</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81 (37.2)</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121 (54.3)</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&lt;0.001</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170" w:firstLine="0"/>
              <w:rPr>
                <w:rFonts w:ascii="Arial" w:hAnsi="Arial" w:cs="Arial"/>
                <w:bCs/>
              </w:rPr>
            </w:pPr>
            <w:r w:rsidRPr="00A45996">
              <w:rPr>
                <w:rFonts w:ascii="Arial" w:hAnsi="Arial" w:cs="Arial"/>
              </w:rPr>
              <w:t>CR/</w:t>
            </w:r>
            <w:proofErr w:type="spellStart"/>
            <w:r w:rsidRPr="00A45996">
              <w:rPr>
                <w:rFonts w:ascii="Arial" w:hAnsi="Arial" w:cs="Arial"/>
              </w:rPr>
              <w:t>nCR</w:t>
            </w:r>
            <w:proofErr w:type="spellEnd"/>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40 (18.4)</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78 (35.0)</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&lt;0.001</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227" w:firstLine="0"/>
              <w:rPr>
                <w:rFonts w:ascii="Arial" w:hAnsi="Arial" w:cs="Arial"/>
                <w:bCs/>
              </w:rPr>
            </w:pPr>
            <w:r w:rsidRPr="00A45996">
              <w:rPr>
                <w:rFonts w:ascii="Arial" w:hAnsi="Arial" w:cs="Arial"/>
              </w:rPr>
              <w:t>CR</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19 (8.7)</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36 (16.1)</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0.016</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0" w:firstLine="0"/>
              <w:rPr>
                <w:rFonts w:ascii="Arial" w:hAnsi="Arial" w:cs="Arial"/>
                <w:bCs/>
              </w:rPr>
            </w:pPr>
            <w:r w:rsidRPr="00A45996">
              <w:rPr>
                <w:rFonts w:ascii="Arial" w:hAnsi="Arial" w:cs="Arial"/>
              </w:rPr>
              <w:t>MR+SD+PD</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8 (3.7)</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6 (2.7)</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0" w:firstLine="0"/>
              <w:rPr>
                <w:rFonts w:ascii="Arial" w:hAnsi="Arial" w:cs="Arial"/>
                <w:bCs/>
              </w:rPr>
            </w:pPr>
            <w:r w:rsidRPr="00A45996">
              <w:rPr>
                <w:rFonts w:ascii="Arial" w:hAnsi="Arial" w:cs="Arial"/>
              </w:rPr>
              <w:t>Death</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 (0.9)</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 (0.5)</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0" w:firstLine="0"/>
              <w:rPr>
                <w:rFonts w:ascii="Arial" w:hAnsi="Arial" w:cs="Arial"/>
                <w:bCs/>
              </w:rPr>
            </w:pPr>
            <w:r w:rsidRPr="00A45996">
              <w:rPr>
                <w:rFonts w:ascii="Arial" w:hAnsi="Arial" w:cs="Arial"/>
              </w:rPr>
              <w:t>No transplantation</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34 (15.6)</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26 (11.7)</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p>
        </w:tc>
      </w:tr>
      <w:tr w:rsidR="00326C73" w:rsidRPr="00A45996" w:rsidTr="00326C73">
        <w:tc>
          <w:tcPr>
            <w:tcW w:w="9389" w:type="dxa"/>
            <w:gridSpan w:val="4"/>
          </w:tcPr>
          <w:p w:rsidR="00326C73" w:rsidRPr="00A45996" w:rsidRDefault="00326C73" w:rsidP="00326C73">
            <w:pPr>
              <w:pStyle w:val="TableFootnoteCharChar1"/>
              <w:keepNext w:val="0"/>
              <w:spacing w:before="0" w:after="0" w:line="240" w:lineRule="auto"/>
              <w:ind w:left="0" w:firstLine="0"/>
              <w:rPr>
                <w:rFonts w:ascii="Arial" w:hAnsi="Arial" w:cs="Arial"/>
                <w:b/>
                <w:bCs/>
              </w:rPr>
            </w:pPr>
            <w:r w:rsidRPr="00A45996">
              <w:rPr>
                <w:rFonts w:ascii="Arial" w:hAnsi="Arial" w:cs="Arial"/>
                <w:b/>
                <w:bCs/>
              </w:rPr>
              <w:t>Overall, including second transplantation</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0" w:firstLine="0"/>
              <w:rPr>
                <w:rFonts w:ascii="Arial" w:hAnsi="Arial" w:cs="Arial"/>
                <w:bCs/>
              </w:rPr>
            </w:pPr>
            <w:r w:rsidRPr="00A45996">
              <w:rPr>
                <w:rFonts w:ascii="Arial" w:hAnsi="Arial" w:cs="Arial"/>
              </w:rPr>
              <w:t>≥VGPR</w:t>
            </w:r>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102 (46.7)</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151 (67.7)</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&lt;0.001</w:t>
            </w:r>
          </w:p>
        </w:tc>
      </w:tr>
      <w:tr w:rsidR="00326C73" w:rsidRPr="00A45996" w:rsidTr="00326C73">
        <w:tc>
          <w:tcPr>
            <w:tcW w:w="2518" w:type="dxa"/>
          </w:tcPr>
          <w:p w:rsidR="00326C73" w:rsidRPr="00A45996" w:rsidRDefault="00326C73" w:rsidP="00326C73">
            <w:pPr>
              <w:pStyle w:val="TableFootnoteCharChar1"/>
              <w:keepNext w:val="0"/>
              <w:spacing w:before="0" w:after="0" w:line="240" w:lineRule="auto"/>
              <w:ind w:left="113" w:firstLine="0"/>
              <w:rPr>
                <w:rFonts w:ascii="Arial" w:hAnsi="Arial" w:cs="Arial"/>
                <w:bCs/>
              </w:rPr>
            </w:pPr>
            <w:r w:rsidRPr="00A45996">
              <w:rPr>
                <w:rFonts w:ascii="Arial" w:hAnsi="Arial" w:cs="Arial"/>
                <w:bCs/>
              </w:rPr>
              <w:t>CR/</w:t>
            </w:r>
            <w:proofErr w:type="spellStart"/>
            <w:r w:rsidRPr="00A45996">
              <w:rPr>
                <w:rFonts w:ascii="Arial" w:hAnsi="Arial" w:cs="Arial"/>
                <w:bCs/>
              </w:rPr>
              <w:t>nCR</w:t>
            </w:r>
            <w:proofErr w:type="spellEnd"/>
          </w:p>
        </w:tc>
        <w:tc>
          <w:tcPr>
            <w:tcW w:w="2410"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49 (22.5)</w:t>
            </w:r>
          </w:p>
        </w:tc>
        <w:tc>
          <w:tcPr>
            <w:tcW w:w="2835"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88 (39.5)</w:t>
            </w:r>
          </w:p>
        </w:tc>
        <w:tc>
          <w:tcPr>
            <w:tcW w:w="1626" w:type="dxa"/>
          </w:tcPr>
          <w:p w:rsidR="00326C73" w:rsidRPr="00A45996" w:rsidRDefault="00326C73" w:rsidP="00326C73">
            <w:pPr>
              <w:pStyle w:val="TableFootnoteCharChar1"/>
              <w:keepNext w:val="0"/>
              <w:spacing w:before="0" w:after="0" w:line="240" w:lineRule="auto"/>
              <w:ind w:left="0" w:firstLine="0"/>
              <w:jc w:val="center"/>
              <w:rPr>
                <w:rFonts w:ascii="Arial" w:hAnsi="Arial" w:cs="Arial"/>
                <w:bCs/>
              </w:rPr>
            </w:pPr>
            <w:r w:rsidRPr="00A45996">
              <w:rPr>
                <w:rFonts w:ascii="Arial" w:hAnsi="Arial" w:cs="Arial"/>
                <w:bCs/>
              </w:rPr>
              <w:t>&lt;0.001</w:t>
            </w:r>
          </w:p>
        </w:tc>
      </w:tr>
    </w:tbl>
    <w:p w:rsidR="00326C73" w:rsidRPr="00A45996" w:rsidRDefault="00326C73" w:rsidP="00326C73">
      <w:pPr>
        <w:pStyle w:val="TableFootnoteCharChar1"/>
        <w:keepNext w:val="0"/>
        <w:spacing w:before="0" w:after="0" w:line="240" w:lineRule="auto"/>
        <w:ind w:left="0" w:firstLine="0"/>
        <w:rPr>
          <w:rFonts w:ascii="Arial" w:hAnsi="Arial"/>
          <w:sz w:val="16"/>
          <w:szCs w:val="16"/>
          <w:lang w:val="en-AU"/>
        </w:rPr>
      </w:pPr>
      <w:r w:rsidRPr="00A45996">
        <w:rPr>
          <w:rFonts w:ascii="Arial" w:hAnsi="Arial"/>
          <w:sz w:val="16"/>
          <w:szCs w:val="16"/>
          <w:lang w:val="en-AU"/>
        </w:rPr>
        <w:t>* All response assessments were confirmed by an Independent Review Committee.</w:t>
      </w:r>
    </w:p>
    <w:p w:rsidR="00326C73" w:rsidRPr="00A45996" w:rsidRDefault="00326C73" w:rsidP="00326C73">
      <w:pPr>
        <w:pStyle w:val="TableFootnoteCharChar1"/>
        <w:keepNext w:val="0"/>
        <w:spacing w:before="0" w:after="0" w:line="240" w:lineRule="auto"/>
        <w:ind w:left="0" w:firstLine="0"/>
        <w:rPr>
          <w:rFonts w:ascii="Arial" w:hAnsi="Arial"/>
          <w:sz w:val="16"/>
          <w:szCs w:val="16"/>
          <w:lang w:val="en-AU"/>
        </w:rPr>
      </w:pPr>
      <w:r w:rsidRPr="00A45996">
        <w:rPr>
          <w:rFonts w:ascii="Arial" w:hAnsi="Arial"/>
          <w:sz w:val="16"/>
          <w:szCs w:val="16"/>
          <w:lang w:val="en-AU"/>
        </w:rPr>
        <w:t xml:space="preserve">CR: complete response; MR: minimal response; </w:t>
      </w:r>
      <w:proofErr w:type="spellStart"/>
      <w:r w:rsidRPr="00A45996">
        <w:rPr>
          <w:rFonts w:ascii="Arial" w:hAnsi="Arial"/>
          <w:sz w:val="16"/>
          <w:szCs w:val="16"/>
          <w:lang w:val="en-AU"/>
        </w:rPr>
        <w:t>nCR</w:t>
      </w:r>
      <w:proofErr w:type="spellEnd"/>
      <w:r w:rsidRPr="00A45996">
        <w:rPr>
          <w:rFonts w:ascii="Arial" w:hAnsi="Arial"/>
          <w:sz w:val="16"/>
          <w:szCs w:val="16"/>
          <w:lang w:val="en-AU"/>
        </w:rPr>
        <w:t>: near-complete response; ORR: overall response rate; PD: progressive disease; PR: partial response; SD: stable disease; VGPR: very good partial response.</w:t>
      </w:r>
    </w:p>
    <w:p w:rsidR="00326C73" w:rsidRPr="00A45996" w:rsidRDefault="00326C73" w:rsidP="00326C73">
      <w:pPr>
        <w:pStyle w:val="PIHEADING2"/>
        <w:keepLines/>
        <w:tabs>
          <w:tab w:val="clear" w:pos="-720"/>
        </w:tabs>
        <w:suppressAutoHyphens w:val="0"/>
        <w:rPr>
          <w:rFonts w:cs="Arial"/>
          <w:b w:val="0"/>
          <w:bCs/>
          <w:spacing w:val="0"/>
          <w:szCs w:val="22"/>
        </w:rPr>
      </w:pPr>
      <w:r w:rsidRPr="00A45996">
        <w:rPr>
          <w:rFonts w:cs="Arial"/>
          <w:b w:val="0"/>
          <w:bCs/>
          <w:spacing w:val="0"/>
          <w:szCs w:val="22"/>
        </w:rPr>
        <w:t xml:space="preserve">In addition, the median PFS was 29.7 months among patients who received VAD versus 36.0 months among patients who received </w:t>
      </w:r>
      <w:proofErr w:type="spellStart"/>
      <w:r w:rsidRPr="00A45996">
        <w:rPr>
          <w:rFonts w:cs="Arial"/>
          <w:b w:val="0"/>
          <w:bCs/>
          <w:spacing w:val="0"/>
          <w:szCs w:val="22"/>
        </w:rPr>
        <w:t>Vc-Dex</w:t>
      </w:r>
      <w:proofErr w:type="spellEnd"/>
      <w:r w:rsidRPr="00A45996">
        <w:rPr>
          <w:rFonts w:cs="Arial"/>
          <w:b w:val="0"/>
          <w:bCs/>
          <w:spacing w:val="0"/>
          <w:szCs w:val="22"/>
        </w:rPr>
        <w:t xml:space="preserve"> induction, with 128 (52.9%) of 242 and 110 (45.8%) of 240 patients, respectively, having progressed (</w:t>
      </w:r>
      <w:r w:rsidRPr="00A45996">
        <w:rPr>
          <w:rFonts w:cs="Arial"/>
          <w:b w:val="0"/>
          <w:bCs/>
          <w:i/>
          <w:spacing w:val="0"/>
          <w:szCs w:val="22"/>
        </w:rPr>
        <w:t>p</w:t>
      </w:r>
      <w:r w:rsidRPr="00A45996">
        <w:rPr>
          <w:rFonts w:cs="Arial"/>
          <w:b w:val="0"/>
          <w:bCs/>
          <w:spacing w:val="0"/>
          <w:szCs w:val="22"/>
        </w:rPr>
        <w:t xml:space="preserve"> = 0.064, or </w:t>
      </w:r>
      <w:r w:rsidRPr="00A45996">
        <w:rPr>
          <w:rFonts w:cs="Arial"/>
          <w:b w:val="0"/>
          <w:bCs/>
          <w:i/>
          <w:spacing w:val="0"/>
          <w:szCs w:val="22"/>
        </w:rPr>
        <w:t>p</w:t>
      </w:r>
      <w:r w:rsidRPr="00A45996">
        <w:rPr>
          <w:rFonts w:cs="Arial"/>
          <w:b w:val="0"/>
          <w:bCs/>
          <w:spacing w:val="0"/>
          <w:szCs w:val="22"/>
        </w:rPr>
        <w:t xml:space="preserve"> = 0.057 if adjusted for initial stratification factors) after median follow-up of 31.2 months. </w:t>
      </w:r>
    </w:p>
    <w:p w:rsidR="003E563A" w:rsidRPr="00A45996" w:rsidRDefault="003E563A" w:rsidP="00326C73">
      <w:pPr>
        <w:pStyle w:val="PIHEADING2"/>
        <w:keepLines/>
        <w:tabs>
          <w:tab w:val="clear" w:pos="-720"/>
        </w:tabs>
        <w:suppressAutoHyphens w:val="0"/>
        <w:rPr>
          <w:rFonts w:cs="Arial"/>
          <w:bCs/>
          <w:i/>
          <w:spacing w:val="0"/>
          <w:sz w:val="24"/>
        </w:rPr>
      </w:pPr>
    </w:p>
    <w:p w:rsidR="00326C73" w:rsidRPr="00A45996" w:rsidRDefault="00326C73" w:rsidP="00326C73">
      <w:pPr>
        <w:pStyle w:val="PIHEADING2"/>
        <w:keepLines/>
        <w:tabs>
          <w:tab w:val="clear" w:pos="-720"/>
        </w:tabs>
        <w:suppressAutoHyphens w:val="0"/>
        <w:rPr>
          <w:rFonts w:cs="Arial"/>
          <w:bCs/>
          <w:i/>
          <w:spacing w:val="0"/>
          <w:sz w:val="24"/>
        </w:rPr>
      </w:pPr>
      <w:r w:rsidRPr="00A45996">
        <w:rPr>
          <w:rFonts w:cs="Arial"/>
          <w:bCs/>
          <w:i/>
          <w:spacing w:val="0"/>
          <w:sz w:val="24"/>
        </w:rPr>
        <w:lastRenderedPageBreak/>
        <w:t>Non-Transplant Eligible</w:t>
      </w:r>
    </w:p>
    <w:p w:rsidR="00326C73" w:rsidRPr="00A45996" w:rsidRDefault="00326C73" w:rsidP="00326C73">
      <w:pPr>
        <w:spacing w:before="20" w:after="80"/>
        <w:rPr>
          <w:sz w:val="22"/>
        </w:rPr>
      </w:pPr>
      <w:r w:rsidRPr="00A45996">
        <w:rPr>
          <w:snapToGrid w:val="0"/>
          <w:sz w:val="22"/>
        </w:rPr>
        <w:t>The VISTA study is a prospective phase III, international, randomized (1:1), open-label clinical study of 682 patients, conducted to determine whether VELCADE (</w:t>
      </w:r>
      <w:r w:rsidRPr="00A45996">
        <w:rPr>
          <w:sz w:val="22"/>
        </w:rPr>
        <w:t>1.3 mg/m</w:t>
      </w:r>
      <w:r w:rsidRPr="00A45996">
        <w:rPr>
          <w:sz w:val="22"/>
          <w:vertAlign w:val="superscript"/>
        </w:rPr>
        <w:t>2</w:t>
      </w:r>
      <w:r w:rsidRPr="00A45996">
        <w:rPr>
          <w:snapToGrid w:val="0"/>
          <w:sz w:val="22"/>
        </w:rPr>
        <w:t xml:space="preserve">) in combination with </w:t>
      </w:r>
      <w:proofErr w:type="spellStart"/>
      <w:r w:rsidRPr="00A45996">
        <w:rPr>
          <w:snapToGrid w:val="0"/>
          <w:sz w:val="22"/>
        </w:rPr>
        <w:t>melphalan</w:t>
      </w:r>
      <w:proofErr w:type="spellEnd"/>
      <w:r w:rsidRPr="00A45996">
        <w:rPr>
          <w:snapToGrid w:val="0"/>
          <w:sz w:val="22"/>
        </w:rPr>
        <w:t xml:space="preserve"> (</w:t>
      </w:r>
      <w:r w:rsidRPr="00A45996">
        <w:rPr>
          <w:sz w:val="22"/>
        </w:rPr>
        <w:t>9 mg/m</w:t>
      </w:r>
      <w:r w:rsidRPr="00A45996">
        <w:rPr>
          <w:sz w:val="22"/>
          <w:vertAlign w:val="superscript"/>
        </w:rPr>
        <w:t>2</w:t>
      </w:r>
      <w:r w:rsidRPr="00A45996">
        <w:rPr>
          <w:snapToGrid w:val="0"/>
          <w:sz w:val="22"/>
        </w:rPr>
        <w:t>) and prednisone (</w:t>
      </w:r>
      <w:r w:rsidRPr="00A45996">
        <w:rPr>
          <w:sz w:val="22"/>
        </w:rPr>
        <w:t>60 mg/m</w:t>
      </w:r>
      <w:r w:rsidRPr="00A45996">
        <w:rPr>
          <w:sz w:val="22"/>
          <w:vertAlign w:val="superscript"/>
        </w:rPr>
        <w:t>2</w:t>
      </w:r>
      <w:r w:rsidRPr="00A45996">
        <w:rPr>
          <w:snapToGrid w:val="0"/>
          <w:sz w:val="22"/>
        </w:rPr>
        <w:t xml:space="preserve">) resulted in improvement in time to progression (TTP) when compared to </w:t>
      </w:r>
      <w:proofErr w:type="spellStart"/>
      <w:r w:rsidRPr="00A45996">
        <w:rPr>
          <w:snapToGrid w:val="0"/>
          <w:sz w:val="22"/>
        </w:rPr>
        <w:t>melphalan</w:t>
      </w:r>
      <w:proofErr w:type="spellEnd"/>
      <w:r w:rsidRPr="00A45996">
        <w:rPr>
          <w:snapToGrid w:val="0"/>
          <w:sz w:val="22"/>
        </w:rPr>
        <w:t xml:space="preserve"> (</w:t>
      </w:r>
      <w:r w:rsidRPr="00A45996">
        <w:rPr>
          <w:sz w:val="22"/>
        </w:rPr>
        <w:t>9 mg/m</w:t>
      </w:r>
      <w:r w:rsidRPr="00A45996">
        <w:rPr>
          <w:sz w:val="22"/>
          <w:vertAlign w:val="superscript"/>
        </w:rPr>
        <w:t>2</w:t>
      </w:r>
      <w:r w:rsidRPr="00A45996">
        <w:rPr>
          <w:snapToGrid w:val="0"/>
          <w:sz w:val="22"/>
        </w:rPr>
        <w:t>) and prednisone (</w:t>
      </w:r>
      <w:r w:rsidRPr="00A45996">
        <w:rPr>
          <w:sz w:val="22"/>
        </w:rPr>
        <w:t>60 mg/m</w:t>
      </w:r>
      <w:r w:rsidRPr="00A45996">
        <w:rPr>
          <w:sz w:val="22"/>
          <w:vertAlign w:val="superscript"/>
        </w:rPr>
        <w:t>2</w:t>
      </w:r>
      <w:r w:rsidRPr="00A45996">
        <w:rPr>
          <w:snapToGrid w:val="0"/>
          <w:sz w:val="22"/>
        </w:rPr>
        <w:t xml:space="preserve">) in patients with previously untreated multiple myeloma unsuitable for high dose chemotherapy with stem cell transplantation.  </w:t>
      </w:r>
      <w:r w:rsidRPr="00A45996">
        <w:rPr>
          <w:sz w:val="22"/>
        </w:rPr>
        <w:t>Treatment was administered for a maximum of 9 cycles (approximately 54 weeks) and was discontinued early for disease progression or unacceptable toxicity.  Baseline demographics and patient characteristics are summarized in Table 4.</w:t>
      </w:r>
    </w:p>
    <w:p w:rsidR="00326C73" w:rsidRPr="00A45996" w:rsidRDefault="00326C73" w:rsidP="00326C73">
      <w:pPr>
        <w:pStyle w:val="tabletitleCharChar"/>
        <w:spacing w:before="20" w:after="80"/>
        <w:ind w:left="0" w:firstLine="0"/>
        <w:rPr>
          <w:rFonts w:ascii="Arial" w:hAnsi="Arial" w:cs="Arial"/>
          <w:sz w:val="20"/>
        </w:rPr>
      </w:pPr>
      <w:r w:rsidRPr="00A45996">
        <w:rPr>
          <w:rFonts w:ascii="Arial" w:hAnsi="Arial" w:cs="Arial"/>
          <w:sz w:val="20"/>
        </w:rPr>
        <w:t>Table 4:</w:t>
      </w:r>
      <w:r w:rsidRPr="00A45996">
        <w:rPr>
          <w:rFonts w:ascii="Arial" w:hAnsi="Arial" w:cs="Arial"/>
          <w:bCs/>
          <w:sz w:val="20"/>
        </w:rPr>
        <w:t xml:space="preserve"> Summary of Baseline Patient and Disease Characteristics in the VISTA Study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385"/>
        <w:gridCol w:w="2385"/>
      </w:tblGrid>
      <w:tr w:rsidR="00326C73" w:rsidRPr="00A45996" w:rsidTr="00326C73">
        <w:trPr>
          <w:trHeight w:val="550"/>
        </w:trPr>
        <w:tc>
          <w:tcPr>
            <w:tcW w:w="4788" w:type="dxa"/>
            <w:vAlign w:val="bottom"/>
          </w:tcPr>
          <w:p w:rsidR="00326C73" w:rsidRPr="00A45996" w:rsidRDefault="00326C73" w:rsidP="00326C73">
            <w:pPr>
              <w:keepNext/>
              <w:spacing w:before="20" w:after="20"/>
              <w:rPr>
                <w:rFonts w:cs="Arial"/>
                <w:sz w:val="20"/>
              </w:rPr>
            </w:pPr>
            <w:r w:rsidRPr="00A45996">
              <w:rPr>
                <w:rFonts w:cs="Arial"/>
                <w:b/>
                <w:sz w:val="20"/>
              </w:rPr>
              <w:t>Patient Characteristics</w:t>
            </w:r>
          </w:p>
        </w:tc>
        <w:tc>
          <w:tcPr>
            <w:tcW w:w="2385" w:type="dxa"/>
          </w:tcPr>
          <w:p w:rsidR="00326C73" w:rsidRPr="00A45996" w:rsidRDefault="00326C73" w:rsidP="00326C73">
            <w:pPr>
              <w:keepNext/>
              <w:spacing w:before="20" w:after="20"/>
              <w:jc w:val="center"/>
              <w:rPr>
                <w:rFonts w:cs="Arial"/>
                <w:b/>
                <w:sz w:val="20"/>
              </w:rPr>
            </w:pPr>
            <w:proofErr w:type="spellStart"/>
            <w:r w:rsidRPr="00A45996">
              <w:rPr>
                <w:rFonts w:cs="Arial"/>
                <w:b/>
                <w:sz w:val="20"/>
              </w:rPr>
              <w:t>VcMP</w:t>
            </w:r>
            <w:proofErr w:type="spellEnd"/>
          </w:p>
          <w:p w:rsidR="00326C73" w:rsidRPr="00A45996" w:rsidRDefault="00326C73" w:rsidP="00326C73">
            <w:pPr>
              <w:keepNext/>
              <w:spacing w:before="20" w:after="20"/>
              <w:jc w:val="center"/>
              <w:rPr>
                <w:rFonts w:cs="Arial"/>
                <w:sz w:val="20"/>
              </w:rPr>
            </w:pPr>
            <w:r w:rsidRPr="00A45996">
              <w:rPr>
                <w:rFonts w:cs="Arial"/>
                <w:b/>
                <w:sz w:val="20"/>
              </w:rPr>
              <w:t>N=344</w:t>
            </w:r>
          </w:p>
        </w:tc>
        <w:tc>
          <w:tcPr>
            <w:tcW w:w="2385" w:type="dxa"/>
          </w:tcPr>
          <w:p w:rsidR="00326C73" w:rsidRPr="00A45996" w:rsidRDefault="00326C73" w:rsidP="00326C73">
            <w:pPr>
              <w:keepNext/>
              <w:spacing w:before="20" w:after="20"/>
              <w:jc w:val="center"/>
              <w:rPr>
                <w:rFonts w:cs="Arial"/>
                <w:b/>
                <w:sz w:val="20"/>
              </w:rPr>
            </w:pPr>
            <w:r w:rsidRPr="00A45996">
              <w:rPr>
                <w:rFonts w:cs="Arial"/>
                <w:b/>
                <w:sz w:val="20"/>
              </w:rPr>
              <w:t>MP</w:t>
            </w:r>
          </w:p>
          <w:p w:rsidR="00326C73" w:rsidRPr="00A45996" w:rsidRDefault="00326C73" w:rsidP="00326C73">
            <w:pPr>
              <w:keepNext/>
              <w:spacing w:before="20" w:after="20"/>
              <w:jc w:val="center"/>
              <w:rPr>
                <w:rFonts w:cs="Arial"/>
                <w:b/>
                <w:sz w:val="20"/>
              </w:rPr>
            </w:pPr>
            <w:r w:rsidRPr="00A45996">
              <w:rPr>
                <w:rFonts w:cs="Arial"/>
                <w:b/>
                <w:sz w:val="20"/>
              </w:rPr>
              <w:t>N=338</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Median age in years (range)</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71.0 (57, 90)</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71.0 (48, 91)</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Gender: male/female</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51% / 49%</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49% / 51%</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Race: Caucasian/</w:t>
            </w:r>
            <w:proofErr w:type="spellStart"/>
            <w:r w:rsidRPr="00A45996">
              <w:rPr>
                <w:rFonts w:ascii="Arial" w:hAnsi="Arial" w:cs="Arial"/>
              </w:rPr>
              <w:t>asian</w:t>
            </w:r>
            <w:proofErr w:type="spellEnd"/>
            <w:r w:rsidRPr="00A45996">
              <w:rPr>
                <w:rFonts w:ascii="Arial" w:hAnsi="Arial" w:cs="Arial"/>
              </w:rPr>
              <w:t>/black/other</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88% / 10% / 1% / 1%</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87% / 11% / 2% / 0%</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proofErr w:type="spellStart"/>
            <w:r w:rsidRPr="00A45996">
              <w:rPr>
                <w:rFonts w:ascii="Arial" w:hAnsi="Arial" w:cs="Arial"/>
              </w:rPr>
              <w:t>Karnofsky</w:t>
            </w:r>
            <w:proofErr w:type="spellEnd"/>
            <w:r w:rsidRPr="00A45996">
              <w:rPr>
                <w:rFonts w:ascii="Arial" w:hAnsi="Arial" w:cs="Arial"/>
              </w:rPr>
              <w:t xml:space="preserve"> performance status score ≤70</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35%</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33%</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Hemoglobin &lt;100 g/L</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37%</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36%</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Platelet count &lt;75 x 10</w:t>
            </w:r>
            <w:r w:rsidRPr="00A45996">
              <w:rPr>
                <w:rFonts w:ascii="Arial" w:hAnsi="Arial" w:cs="Arial"/>
                <w:vertAlign w:val="superscript"/>
              </w:rPr>
              <w:t>9</w:t>
            </w:r>
            <w:r w:rsidRPr="00A45996">
              <w:rPr>
                <w:rFonts w:ascii="Arial" w:hAnsi="Arial" w:cs="Arial"/>
              </w:rPr>
              <w:t>/L</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&lt;1%</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1%</w:t>
            </w:r>
          </w:p>
        </w:tc>
      </w:tr>
      <w:tr w:rsidR="00326C73" w:rsidRPr="00A45996" w:rsidTr="00326C73">
        <w:tc>
          <w:tcPr>
            <w:tcW w:w="4788" w:type="dxa"/>
          </w:tcPr>
          <w:p w:rsidR="00326C73" w:rsidRPr="00A45996" w:rsidRDefault="00326C73" w:rsidP="00326C73">
            <w:pPr>
              <w:keepNext/>
              <w:spacing w:before="20" w:after="20"/>
              <w:rPr>
                <w:rFonts w:cs="Arial"/>
                <w:b/>
                <w:sz w:val="20"/>
              </w:rPr>
            </w:pPr>
            <w:r w:rsidRPr="00A45996">
              <w:rPr>
                <w:rFonts w:cs="Arial"/>
                <w:b/>
                <w:sz w:val="20"/>
              </w:rPr>
              <w:t>Disease Characteristics</w:t>
            </w:r>
          </w:p>
        </w:tc>
        <w:tc>
          <w:tcPr>
            <w:tcW w:w="2385" w:type="dxa"/>
          </w:tcPr>
          <w:p w:rsidR="00326C73" w:rsidRPr="00A45996" w:rsidRDefault="00326C73" w:rsidP="00326C73">
            <w:pPr>
              <w:keepNext/>
              <w:spacing w:before="20" w:after="20"/>
              <w:jc w:val="center"/>
              <w:rPr>
                <w:rFonts w:cs="Arial"/>
                <w:sz w:val="20"/>
              </w:rPr>
            </w:pPr>
          </w:p>
        </w:tc>
        <w:tc>
          <w:tcPr>
            <w:tcW w:w="2385" w:type="dxa"/>
          </w:tcPr>
          <w:p w:rsidR="00326C73" w:rsidRPr="00A45996" w:rsidRDefault="00326C73" w:rsidP="00326C73">
            <w:pPr>
              <w:keepNext/>
              <w:spacing w:before="20" w:after="20"/>
              <w:jc w:val="center"/>
              <w:rPr>
                <w:rFonts w:cs="Arial"/>
                <w:sz w:val="20"/>
              </w:rPr>
            </w:pP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Type of myeloma (%): IgG/IgA/Light chain</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64% / 24% / 8%</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62% / 26% / 8%</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 xml:space="preserve">Median </w:t>
            </w:r>
            <w:r w:rsidRPr="00A45996">
              <w:rPr>
                <w:rFonts w:ascii="Arial" w:hAnsi="Arial" w:cs="Arial"/>
              </w:rPr>
              <w:sym w:font="Symbol" w:char="F062"/>
            </w:r>
            <w:r w:rsidRPr="00A45996">
              <w:rPr>
                <w:rFonts w:ascii="Arial" w:hAnsi="Arial" w:cs="Arial"/>
                <w:vertAlign w:val="subscript"/>
              </w:rPr>
              <w:t>2</w:t>
            </w:r>
            <w:r w:rsidRPr="00A45996">
              <w:rPr>
                <w:rFonts w:ascii="Arial" w:hAnsi="Arial" w:cs="Arial"/>
              </w:rPr>
              <w:t>-microglobulin (mg/L)</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4.2</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4.3</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Median albumin (g/L)</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33.0</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33.0</w:t>
            </w:r>
          </w:p>
        </w:tc>
      </w:tr>
      <w:tr w:rsidR="00326C73" w:rsidRPr="00A45996" w:rsidTr="00326C73">
        <w:tc>
          <w:tcPr>
            <w:tcW w:w="4788" w:type="dxa"/>
          </w:tcPr>
          <w:p w:rsidR="00326C73" w:rsidRPr="00A45996" w:rsidRDefault="00326C73" w:rsidP="00326C73">
            <w:pPr>
              <w:pStyle w:val="TableBody-tight"/>
              <w:ind w:left="162"/>
              <w:rPr>
                <w:rFonts w:ascii="Arial" w:hAnsi="Arial" w:cs="Arial"/>
              </w:rPr>
            </w:pPr>
            <w:r w:rsidRPr="00A45996">
              <w:rPr>
                <w:rFonts w:ascii="Arial" w:hAnsi="Arial" w:cs="Arial"/>
              </w:rPr>
              <w:t xml:space="preserve">Creatinine clearance </w:t>
            </w:r>
            <w:r w:rsidRPr="00A45996">
              <w:rPr>
                <w:rFonts w:ascii="Arial" w:hAnsi="Arial" w:cs="Arial"/>
              </w:rPr>
              <w:sym w:font="Symbol" w:char="F0A3"/>
            </w:r>
            <w:r w:rsidRPr="00A45996">
              <w:rPr>
                <w:rFonts w:ascii="Arial" w:hAnsi="Arial" w:cs="Arial"/>
              </w:rPr>
              <w:t>30 mL/min [n (%)]</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20 (6%)</w:t>
            </w:r>
          </w:p>
        </w:tc>
        <w:tc>
          <w:tcPr>
            <w:tcW w:w="2385" w:type="dxa"/>
          </w:tcPr>
          <w:p w:rsidR="00326C73" w:rsidRPr="00A45996" w:rsidRDefault="00326C73" w:rsidP="00326C73">
            <w:pPr>
              <w:pStyle w:val="TableBody-tight"/>
              <w:ind w:left="162"/>
              <w:jc w:val="center"/>
              <w:rPr>
                <w:rFonts w:ascii="Arial" w:hAnsi="Arial" w:cs="Arial"/>
              </w:rPr>
            </w:pPr>
            <w:r w:rsidRPr="00A45996">
              <w:rPr>
                <w:rFonts w:ascii="Arial" w:hAnsi="Arial" w:cs="Arial"/>
              </w:rPr>
              <w:t>16 (5%)</w:t>
            </w:r>
          </w:p>
        </w:tc>
      </w:tr>
    </w:tbl>
    <w:p w:rsidR="00326C73" w:rsidRPr="00A45996" w:rsidRDefault="00326C73" w:rsidP="00326C73">
      <w:pPr>
        <w:rPr>
          <w:rFonts w:cs="Arial"/>
          <w:sz w:val="16"/>
          <w:szCs w:val="16"/>
        </w:rPr>
      </w:pPr>
      <w:proofErr w:type="spellStart"/>
      <w:r w:rsidRPr="00A45996">
        <w:rPr>
          <w:rFonts w:cs="Arial"/>
          <w:sz w:val="16"/>
          <w:szCs w:val="16"/>
        </w:rPr>
        <w:t>VcMP</w:t>
      </w:r>
      <w:proofErr w:type="spellEnd"/>
      <w:r w:rsidRPr="00A45996">
        <w:rPr>
          <w:rFonts w:cs="Arial"/>
          <w:sz w:val="16"/>
          <w:szCs w:val="16"/>
        </w:rPr>
        <w:t xml:space="preserve"> = VELCADE + </w:t>
      </w:r>
      <w:proofErr w:type="spellStart"/>
      <w:r w:rsidRPr="00A45996">
        <w:rPr>
          <w:rFonts w:cs="Arial"/>
          <w:sz w:val="16"/>
          <w:szCs w:val="16"/>
        </w:rPr>
        <w:t>melphalan</w:t>
      </w:r>
      <w:proofErr w:type="spellEnd"/>
      <w:r w:rsidRPr="00A45996">
        <w:rPr>
          <w:rFonts w:cs="Arial"/>
          <w:sz w:val="16"/>
          <w:szCs w:val="16"/>
        </w:rPr>
        <w:t xml:space="preserve"> + prednisone; MP = </w:t>
      </w:r>
      <w:proofErr w:type="spellStart"/>
      <w:r w:rsidRPr="00A45996">
        <w:rPr>
          <w:rFonts w:cs="Arial"/>
          <w:sz w:val="16"/>
          <w:szCs w:val="16"/>
        </w:rPr>
        <w:t>melphalan</w:t>
      </w:r>
      <w:proofErr w:type="spellEnd"/>
      <w:r w:rsidRPr="00A45996">
        <w:rPr>
          <w:rFonts w:cs="Arial"/>
          <w:sz w:val="16"/>
          <w:szCs w:val="16"/>
        </w:rPr>
        <w:t xml:space="preserve"> + prednisone</w:t>
      </w:r>
    </w:p>
    <w:p w:rsidR="00326C73" w:rsidRPr="00A45996" w:rsidRDefault="00326C73" w:rsidP="00326C73">
      <w:pPr>
        <w:rPr>
          <w:rFonts w:cs="Arial"/>
          <w:sz w:val="22"/>
        </w:rPr>
      </w:pPr>
    </w:p>
    <w:p w:rsidR="00326C73" w:rsidRPr="00A45996" w:rsidRDefault="00326C73" w:rsidP="00326C73">
      <w:pPr>
        <w:spacing w:before="20" w:after="80"/>
        <w:rPr>
          <w:rFonts w:cs="Arial"/>
          <w:sz w:val="22"/>
        </w:rPr>
      </w:pPr>
      <w:r w:rsidRPr="00A45996">
        <w:rPr>
          <w:rFonts w:cs="Arial"/>
          <w:sz w:val="22"/>
        </w:rPr>
        <w:t xml:space="preserve">At the time of a pre-specified interim analysis, the primary endpoint, time to progression, was met and patients in the MP arm were offered </w:t>
      </w:r>
      <w:proofErr w:type="spellStart"/>
      <w:r w:rsidRPr="00A45996">
        <w:rPr>
          <w:rFonts w:cs="Arial"/>
          <w:sz w:val="22"/>
        </w:rPr>
        <w:t>VcMP</w:t>
      </w:r>
      <w:proofErr w:type="spellEnd"/>
      <w:r w:rsidRPr="00A45996">
        <w:rPr>
          <w:rFonts w:cs="Arial"/>
          <w:sz w:val="22"/>
        </w:rPr>
        <w:t xml:space="preserve"> treatment.  Survival continued to be followed after the interim analysis. Median follow-up in the initial analysis (Table 5 and Figure 1) was 16.3 months. Median follow-up in the last survival analysis (Figure 2) was 36.7 months. Median overall survival in the MP arm was 43.1 months and was not reached in the </w:t>
      </w:r>
      <w:proofErr w:type="spellStart"/>
      <w:r w:rsidRPr="00A45996">
        <w:rPr>
          <w:rFonts w:cs="Arial"/>
          <w:sz w:val="22"/>
        </w:rPr>
        <w:t>VcMP</w:t>
      </w:r>
      <w:proofErr w:type="spellEnd"/>
      <w:r w:rsidRPr="00A45996">
        <w:rPr>
          <w:rFonts w:cs="Arial"/>
          <w:sz w:val="22"/>
        </w:rPr>
        <w:t xml:space="preserve"> arm. Fifty percent of subjects in the MP arm subsequently received VELCADE</w:t>
      </w:r>
      <w:r w:rsidRPr="00A45996">
        <w:rPr>
          <w:rFonts w:cs="Arial"/>
          <w:snapToGrid w:val="0"/>
          <w:sz w:val="22"/>
        </w:rPr>
        <w:t>.</w:t>
      </w:r>
    </w:p>
    <w:p w:rsidR="00326C73" w:rsidRPr="00A45996" w:rsidRDefault="00326C73" w:rsidP="00326C73">
      <w:pPr>
        <w:spacing w:before="20" w:after="80"/>
        <w:rPr>
          <w:b/>
          <w:sz w:val="20"/>
        </w:rPr>
      </w:pPr>
      <w:r w:rsidRPr="00A45996">
        <w:rPr>
          <w:rFonts w:cs="Arial"/>
          <w:sz w:val="22"/>
          <w:szCs w:val="22"/>
        </w:rPr>
        <w:br w:type="page"/>
      </w:r>
      <w:r w:rsidRPr="00A45996">
        <w:rPr>
          <w:b/>
          <w:bCs/>
          <w:sz w:val="20"/>
        </w:rPr>
        <w:lastRenderedPageBreak/>
        <w:t xml:space="preserve">Table 5: </w:t>
      </w:r>
      <w:r w:rsidRPr="00A45996">
        <w:rPr>
          <w:b/>
          <w:sz w:val="20"/>
        </w:rPr>
        <w:t xml:space="preserve"> Summary of Efficacy Analyses in the VISTA study</w:t>
      </w:r>
    </w:p>
    <w:tbl>
      <w:tblP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2"/>
        <w:gridCol w:w="1400"/>
        <w:gridCol w:w="40"/>
        <w:gridCol w:w="1361"/>
      </w:tblGrid>
      <w:tr w:rsidR="00326C73" w:rsidRPr="00A45996" w:rsidTr="00326C73">
        <w:trPr>
          <w:cantSplit/>
        </w:trPr>
        <w:tc>
          <w:tcPr>
            <w:tcW w:w="3522" w:type="dxa"/>
          </w:tcPr>
          <w:p w:rsidR="00326C73" w:rsidRPr="00A45996" w:rsidRDefault="00326C73" w:rsidP="00326C73">
            <w:pPr>
              <w:rPr>
                <w:sz w:val="20"/>
              </w:rPr>
            </w:pPr>
            <w:r w:rsidRPr="00A45996">
              <w:rPr>
                <w:b/>
                <w:sz w:val="20"/>
              </w:rPr>
              <w:t>Efficacy Endpoint</w:t>
            </w:r>
          </w:p>
        </w:tc>
        <w:tc>
          <w:tcPr>
            <w:tcW w:w="1440" w:type="dxa"/>
            <w:gridSpan w:val="2"/>
          </w:tcPr>
          <w:p w:rsidR="00326C73" w:rsidRPr="00A45996" w:rsidRDefault="00326C73" w:rsidP="00326C73">
            <w:pPr>
              <w:jc w:val="center"/>
              <w:rPr>
                <w:b/>
                <w:sz w:val="20"/>
              </w:rPr>
            </w:pPr>
            <w:proofErr w:type="spellStart"/>
            <w:r w:rsidRPr="00A45996">
              <w:rPr>
                <w:b/>
                <w:sz w:val="20"/>
              </w:rPr>
              <w:t>VcMP</w:t>
            </w:r>
            <w:proofErr w:type="spellEnd"/>
          </w:p>
          <w:p w:rsidR="00326C73" w:rsidRPr="00A45996" w:rsidRDefault="00326C73" w:rsidP="00326C73">
            <w:pPr>
              <w:jc w:val="center"/>
              <w:rPr>
                <w:b/>
                <w:sz w:val="20"/>
              </w:rPr>
            </w:pPr>
            <w:r w:rsidRPr="00A45996">
              <w:rPr>
                <w:b/>
                <w:sz w:val="20"/>
              </w:rPr>
              <w:t>n=344</w:t>
            </w:r>
          </w:p>
        </w:tc>
        <w:tc>
          <w:tcPr>
            <w:tcW w:w="1361" w:type="dxa"/>
          </w:tcPr>
          <w:p w:rsidR="00326C73" w:rsidRPr="00A45996" w:rsidRDefault="00326C73" w:rsidP="00326C73">
            <w:pPr>
              <w:jc w:val="center"/>
              <w:rPr>
                <w:b/>
                <w:sz w:val="20"/>
              </w:rPr>
            </w:pPr>
            <w:r w:rsidRPr="00A45996">
              <w:rPr>
                <w:b/>
                <w:sz w:val="20"/>
              </w:rPr>
              <w:t>MP</w:t>
            </w:r>
          </w:p>
          <w:p w:rsidR="00326C73" w:rsidRPr="00A45996" w:rsidRDefault="00326C73" w:rsidP="00326C73">
            <w:pPr>
              <w:jc w:val="center"/>
              <w:rPr>
                <w:b/>
                <w:sz w:val="20"/>
              </w:rPr>
            </w:pPr>
            <w:r w:rsidRPr="00A45996">
              <w:rPr>
                <w:b/>
                <w:sz w:val="20"/>
              </w:rPr>
              <w:t>n=338</w:t>
            </w:r>
          </w:p>
        </w:tc>
      </w:tr>
      <w:tr w:rsidR="00326C73" w:rsidRPr="00A45996" w:rsidTr="00326C73">
        <w:trPr>
          <w:cantSplit/>
        </w:trPr>
        <w:tc>
          <w:tcPr>
            <w:tcW w:w="3522" w:type="dxa"/>
          </w:tcPr>
          <w:p w:rsidR="00326C73" w:rsidRPr="00A45996" w:rsidRDefault="00326C73" w:rsidP="00326C73">
            <w:pPr>
              <w:rPr>
                <w:sz w:val="20"/>
              </w:rPr>
            </w:pPr>
            <w:r w:rsidRPr="00A45996">
              <w:rPr>
                <w:b/>
                <w:sz w:val="20"/>
              </w:rPr>
              <w:t>Time to Progression</w:t>
            </w:r>
            <w:r w:rsidRPr="00A45996">
              <w:rPr>
                <w:sz w:val="20"/>
              </w:rPr>
              <w:t xml:space="preserve"> – </w:t>
            </w:r>
          </w:p>
          <w:p w:rsidR="00326C73" w:rsidRPr="00A45996" w:rsidRDefault="00326C73" w:rsidP="00326C73">
            <w:pPr>
              <w:rPr>
                <w:sz w:val="20"/>
              </w:rPr>
            </w:pPr>
            <w:r w:rsidRPr="00A45996">
              <w:rPr>
                <w:sz w:val="20"/>
              </w:rPr>
              <w:t xml:space="preserve">   Events n (%)</w:t>
            </w:r>
          </w:p>
        </w:tc>
        <w:tc>
          <w:tcPr>
            <w:tcW w:w="1440" w:type="dxa"/>
            <w:gridSpan w:val="2"/>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101 (29)</w:t>
            </w:r>
          </w:p>
        </w:tc>
        <w:tc>
          <w:tcPr>
            <w:tcW w:w="1361"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152 (45)</w:t>
            </w:r>
          </w:p>
        </w:tc>
      </w:tr>
      <w:tr w:rsidR="00326C73" w:rsidRPr="00A45996" w:rsidTr="00326C73">
        <w:trPr>
          <w:cantSplit/>
        </w:trPr>
        <w:tc>
          <w:tcPr>
            <w:tcW w:w="3522" w:type="dxa"/>
          </w:tcPr>
          <w:p w:rsidR="00326C73" w:rsidRPr="00A45996" w:rsidRDefault="00326C73" w:rsidP="00326C73">
            <w:pPr>
              <w:rPr>
                <w:sz w:val="20"/>
              </w:rPr>
            </w:pPr>
            <w:proofErr w:type="spellStart"/>
            <w:r w:rsidRPr="00A45996">
              <w:rPr>
                <w:sz w:val="20"/>
              </w:rPr>
              <w:t>Median</w:t>
            </w:r>
            <w:r w:rsidRPr="00A45996">
              <w:rPr>
                <w:sz w:val="20"/>
                <w:vertAlign w:val="superscript"/>
              </w:rPr>
              <w:t>a</w:t>
            </w:r>
            <w:proofErr w:type="spellEnd"/>
            <w:r w:rsidRPr="00A45996">
              <w:rPr>
                <w:sz w:val="20"/>
              </w:rPr>
              <w:t xml:space="preserve">    (95% CI)</w:t>
            </w:r>
          </w:p>
        </w:tc>
        <w:tc>
          <w:tcPr>
            <w:tcW w:w="1440" w:type="dxa"/>
            <w:gridSpan w:val="2"/>
          </w:tcPr>
          <w:p w:rsidR="00326C73" w:rsidRPr="00A45996" w:rsidRDefault="00326C73" w:rsidP="00326C73">
            <w:pPr>
              <w:jc w:val="center"/>
              <w:rPr>
                <w:sz w:val="20"/>
              </w:rPr>
            </w:pPr>
            <w:r w:rsidRPr="00A45996">
              <w:rPr>
                <w:sz w:val="20"/>
              </w:rPr>
              <w:t>20.7 mo</w:t>
            </w:r>
          </w:p>
          <w:p w:rsidR="00326C73" w:rsidRPr="00A45996" w:rsidRDefault="00326C73" w:rsidP="00326C73">
            <w:pPr>
              <w:jc w:val="center"/>
              <w:rPr>
                <w:sz w:val="20"/>
              </w:rPr>
            </w:pPr>
            <w:r w:rsidRPr="00A45996">
              <w:rPr>
                <w:sz w:val="20"/>
              </w:rPr>
              <w:t>(17.6, 24,7)</w:t>
            </w:r>
          </w:p>
        </w:tc>
        <w:tc>
          <w:tcPr>
            <w:tcW w:w="1361" w:type="dxa"/>
          </w:tcPr>
          <w:p w:rsidR="00326C73" w:rsidRPr="00A45996" w:rsidRDefault="00326C73" w:rsidP="00326C73">
            <w:pPr>
              <w:jc w:val="center"/>
              <w:rPr>
                <w:sz w:val="20"/>
              </w:rPr>
            </w:pPr>
            <w:r w:rsidRPr="00A45996">
              <w:rPr>
                <w:sz w:val="20"/>
              </w:rPr>
              <w:t>15.0 mo</w:t>
            </w:r>
          </w:p>
          <w:p w:rsidR="00326C73" w:rsidRPr="00A45996" w:rsidRDefault="00326C73" w:rsidP="00326C73">
            <w:pPr>
              <w:jc w:val="center"/>
              <w:rPr>
                <w:sz w:val="20"/>
              </w:rPr>
            </w:pPr>
            <w:r w:rsidRPr="00A45996">
              <w:rPr>
                <w:sz w:val="20"/>
              </w:rPr>
              <w:t>(14.1, 17.9)</w:t>
            </w:r>
          </w:p>
        </w:tc>
      </w:tr>
      <w:tr w:rsidR="00326C73" w:rsidRPr="00A45996" w:rsidTr="00326C73">
        <w:trPr>
          <w:cantSplit/>
          <w:trHeight w:val="527"/>
        </w:trPr>
        <w:tc>
          <w:tcPr>
            <w:tcW w:w="3522" w:type="dxa"/>
          </w:tcPr>
          <w:p w:rsidR="00326C73" w:rsidRPr="00A45996" w:rsidRDefault="00326C73" w:rsidP="00326C73">
            <w:pPr>
              <w:rPr>
                <w:sz w:val="20"/>
              </w:rPr>
            </w:pPr>
            <w:r w:rsidRPr="00A45996">
              <w:rPr>
                <w:sz w:val="20"/>
              </w:rPr>
              <w:t xml:space="preserve">Hazard </w:t>
            </w:r>
            <w:proofErr w:type="spellStart"/>
            <w:r w:rsidRPr="00A45996">
              <w:rPr>
                <w:sz w:val="20"/>
              </w:rPr>
              <w:t>ratio</w:t>
            </w:r>
            <w:r w:rsidRPr="00A45996">
              <w:rPr>
                <w:sz w:val="20"/>
                <w:vertAlign w:val="superscript"/>
              </w:rPr>
              <w:t>b</w:t>
            </w:r>
            <w:proofErr w:type="spellEnd"/>
          </w:p>
          <w:p w:rsidR="00326C73" w:rsidRPr="00A45996" w:rsidRDefault="00326C73" w:rsidP="00326C73">
            <w:pPr>
              <w:rPr>
                <w:sz w:val="20"/>
              </w:rPr>
            </w:pPr>
            <w:r w:rsidRPr="00A45996">
              <w:rPr>
                <w:sz w:val="20"/>
              </w:rPr>
              <w:t>(95% CI)</w:t>
            </w:r>
          </w:p>
        </w:tc>
        <w:tc>
          <w:tcPr>
            <w:tcW w:w="2801" w:type="dxa"/>
            <w:gridSpan w:val="3"/>
          </w:tcPr>
          <w:p w:rsidR="00326C73" w:rsidRPr="00A45996" w:rsidRDefault="00326C73" w:rsidP="00326C73">
            <w:pPr>
              <w:jc w:val="center"/>
              <w:rPr>
                <w:sz w:val="20"/>
              </w:rPr>
            </w:pPr>
            <w:r w:rsidRPr="00A45996">
              <w:rPr>
                <w:sz w:val="20"/>
              </w:rPr>
              <w:t>0.54</w:t>
            </w:r>
          </w:p>
          <w:p w:rsidR="00326C73" w:rsidRPr="00A45996" w:rsidRDefault="00326C73" w:rsidP="00326C73">
            <w:pPr>
              <w:jc w:val="center"/>
              <w:rPr>
                <w:sz w:val="20"/>
              </w:rPr>
            </w:pPr>
            <w:r w:rsidRPr="00A45996">
              <w:rPr>
                <w:sz w:val="20"/>
              </w:rPr>
              <w:t>(0.42, 0.70)</w:t>
            </w:r>
          </w:p>
        </w:tc>
      </w:tr>
      <w:tr w:rsidR="00326C73" w:rsidRPr="00A45996" w:rsidTr="00326C73">
        <w:trPr>
          <w:cantSplit/>
        </w:trPr>
        <w:tc>
          <w:tcPr>
            <w:tcW w:w="3522" w:type="dxa"/>
          </w:tcPr>
          <w:p w:rsidR="00326C73" w:rsidRPr="00A45996" w:rsidRDefault="00326C73" w:rsidP="00326C73">
            <w:pPr>
              <w:rPr>
                <w:sz w:val="20"/>
              </w:rPr>
            </w:pPr>
            <w:r w:rsidRPr="00A45996">
              <w:rPr>
                <w:sz w:val="20"/>
              </w:rPr>
              <w:t>p-value</w:t>
            </w:r>
            <w:r w:rsidRPr="00A45996">
              <w:rPr>
                <w:sz w:val="20"/>
                <w:vertAlign w:val="superscript"/>
              </w:rPr>
              <w:t xml:space="preserve"> c</w:t>
            </w:r>
          </w:p>
        </w:tc>
        <w:tc>
          <w:tcPr>
            <w:tcW w:w="2801" w:type="dxa"/>
            <w:gridSpan w:val="3"/>
          </w:tcPr>
          <w:p w:rsidR="00326C73" w:rsidRPr="00A45996" w:rsidRDefault="00326C73" w:rsidP="00326C73">
            <w:pPr>
              <w:jc w:val="center"/>
              <w:rPr>
                <w:sz w:val="20"/>
              </w:rPr>
            </w:pPr>
            <w:r w:rsidRPr="00A45996">
              <w:rPr>
                <w:sz w:val="20"/>
              </w:rPr>
              <w:t>0.000002</w:t>
            </w:r>
          </w:p>
        </w:tc>
      </w:tr>
      <w:tr w:rsidR="00326C73" w:rsidRPr="00A45996" w:rsidTr="00326C73">
        <w:trPr>
          <w:cantSplit/>
        </w:trPr>
        <w:tc>
          <w:tcPr>
            <w:tcW w:w="3522" w:type="dxa"/>
          </w:tcPr>
          <w:p w:rsidR="00326C73" w:rsidRPr="00A45996" w:rsidRDefault="00326C73" w:rsidP="00326C73">
            <w:pPr>
              <w:rPr>
                <w:b/>
                <w:sz w:val="20"/>
              </w:rPr>
            </w:pPr>
            <w:r w:rsidRPr="00A45996">
              <w:rPr>
                <w:b/>
                <w:sz w:val="20"/>
              </w:rPr>
              <w:t>Progression-free Survival</w:t>
            </w:r>
          </w:p>
          <w:p w:rsidR="00326C73" w:rsidRPr="00A45996" w:rsidRDefault="00326C73" w:rsidP="00326C73">
            <w:pPr>
              <w:rPr>
                <w:b/>
                <w:sz w:val="20"/>
              </w:rPr>
            </w:pPr>
            <w:r w:rsidRPr="00A45996">
              <w:rPr>
                <w:sz w:val="20"/>
              </w:rPr>
              <w:t xml:space="preserve">   Events n (%)</w:t>
            </w:r>
          </w:p>
        </w:tc>
        <w:tc>
          <w:tcPr>
            <w:tcW w:w="1440" w:type="dxa"/>
            <w:gridSpan w:val="2"/>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135 (39)</w:t>
            </w:r>
          </w:p>
        </w:tc>
        <w:tc>
          <w:tcPr>
            <w:tcW w:w="1361"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190 (56)</w:t>
            </w:r>
          </w:p>
        </w:tc>
      </w:tr>
      <w:tr w:rsidR="00326C73" w:rsidRPr="00A45996" w:rsidTr="00326C73">
        <w:trPr>
          <w:cantSplit/>
        </w:trPr>
        <w:tc>
          <w:tcPr>
            <w:tcW w:w="3522" w:type="dxa"/>
          </w:tcPr>
          <w:p w:rsidR="00326C73" w:rsidRPr="00A45996" w:rsidRDefault="00326C73" w:rsidP="00326C73">
            <w:pPr>
              <w:rPr>
                <w:b/>
                <w:sz w:val="20"/>
              </w:rPr>
            </w:pPr>
            <w:proofErr w:type="spellStart"/>
            <w:r w:rsidRPr="00A45996">
              <w:rPr>
                <w:sz w:val="20"/>
              </w:rPr>
              <w:t>Median</w:t>
            </w:r>
            <w:r w:rsidRPr="00A45996">
              <w:rPr>
                <w:sz w:val="20"/>
                <w:vertAlign w:val="superscript"/>
              </w:rPr>
              <w:t>a</w:t>
            </w:r>
            <w:proofErr w:type="spellEnd"/>
            <w:r w:rsidRPr="00A45996">
              <w:rPr>
                <w:sz w:val="20"/>
              </w:rPr>
              <w:t xml:space="preserve">     (95% CI)</w:t>
            </w:r>
          </w:p>
        </w:tc>
        <w:tc>
          <w:tcPr>
            <w:tcW w:w="1440" w:type="dxa"/>
            <w:gridSpan w:val="2"/>
          </w:tcPr>
          <w:p w:rsidR="00326C73" w:rsidRPr="00A45996" w:rsidRDefault="00326C73" w:rsidP="00326C73">
            <w:pPr>
              <w:jc w:val="center"/>
              <w:rPr>
                <w:sz w:val="20"/>
              </w:rPr>
            </w:pPr>
            <w:r w:rsidRPr="00A45996">
              <w:rPr>
                <w:sz w:val="20"/>
              </w:rPr>
              <w:t>18.3 mo</w:t>
            </w:r>
          </w:p>
          <w:p w:rsidR="00326C73" w:rsidRPr="00A45996" w:rsidRDefault="00326C73" w:rsidP="00326C73">
            <w:pPr>
              <w:jc w:val="center"/>
              <w:rPr>
                <w:sz w:val="20"/>
              </w:rPr>
            </w:pPr>
            <w:r w:rsidRPr="00A45996">
              <w:rPr>
                <w:sz w:val="20"/>
              </w:rPr>
              <w:t>(16.6, 21.7)</w:t>
            </w:r>
          </w:p>
        </w:tc>
        <w:tc>
          <w:tcPr>
            <w:tcW w:w="1361" w:type="dxa"/>
          </w:tcPr>
          <w:p w:rsidR="00326C73" w:rsidRPr="00A45996" w:rsidRDefault="00326C73" w:rsidP="00326C73">
            <w:pPr>
              <w:jc w:val="center"/>
              <w:rPr>
                <w:sz w:val="20"/>
              </w:rPr>
            </w:pPr>
            <w:r w:rsidRPr="00A45996">
              <w:rPr>
                <w:sz w:val="20"/>
              </w:rPr>
              <w:t>14.0 mo</w:t>
            </w:r>
          </w:p>
          <w:p w:rsidR="00326C73" w:rsidRPr="00A45996" w:rsidRDefault="00326C73" w:rsidP="00326C73">
            <w:pPr>
              <w:jc w:val="center"/>
              <w:rPr>
                <w:sz w:val="20"/>
              </w:rPr>
            </w:pPr>
            <w:r w:rsidRPr="00A45996">
              <w:rPr>
                <w:sz w:val="20"/>
              </w:rPr>
              <w:t>(11.1, 15.0)</w:t>
            </w:r>
          </w:p>
        </w:tc>
      </w:tr>
      <w:tr w:rsidR="00326C73" w:rsidRPr="00A45996" w:rsidTr="00326C73">
        <w:trPr>
          <w:cantSplit/>
        </w:trPr>
        <w:tc>
          <w:tcPr>
            <w:tcW w:w="3522" w:type="dxa"/>
          </w:tcPr>
          <w:p w:rsidR="00326C73" w:rsidRPr="00A45996" w:rsidRDefault="00326C73" w:rsidP="00326C73">
            <w:pPr>
              <w:rPr>
                <w:sz w:val="20"/>
              </w:rPr>
            </w:pPr>
            <w:r w:rsidRPr="00A45996">
              <w:rPr>
                <w:sz w:val="20"/>
              </w:rPr>
              <w:t xml:space="preserve">Hazard </w:t>
            </w:r>
            <w:proofErr w:type="spellStart"/>
            <w:r w:rsidRPr="00A45996">
              <w:rPr>
                <w:sz w:val="20"/>
              </w:rPr>
              <w:t>ratio</w:t>
            </w:r>
            <w:r w:rsidRPr="00A45996">
              <w:rPr>
                <w:sz w:val="20"/>
                <w:vertAlign w:val="superscript"/>
              </w:rPr>
              <w:t>b</w:t>
            </w:r>
            <w:proofErr w:type="spellEnd"/>
          </w:p>
          <w:p w:rsidR="00326C73" w:rsidRPr="00A45996" w:rsidRDefault="00326C73" w:rsidP="00326C73">
            <w:pPr>
              <w:rPr>
                <w:b/>
                <w:sz w:val="20"/>
              </w:rPr>
            </w:pPr>
            <w:r w:rsidRPr="00A45996">
              <w:rPr>
                <w:sz w:val="20"/>
              </w:rPr>
              <w:t>(95% CI)</w:t>
            </w:r>
          </w:p>
        </w:tc>
        <w:tc>
          <w:tcPr>
            <w:tcW w:w="2801" w:type="dxa"/>
            <w:gridSpan w:val="3"/>
          </w:tcPr>
          <w:p w:rsidR="00326C73" w:rsidRPr="00A45996" w:rsidRDefault="00326C73" w:rsidP="00326C73">
            <w:pPr>
              <w:jc w:val="center"/>
              <w:rPr>
                <w:sz w:val="20"/>
              </w:rPr>
            </w:pPr>
            <w:r w:rsidRPr="00A45996">
              <w:rPr>
                <w:sz w:val="20"/>
              </w:rPr>
              <w:t>0.61</w:t>
            </w:r>
          </w:p>
          <w:p w:rsidR="00326C73" w:rsidRPr="00A45996" w:rsidRDefault="00326C73" w:rsidP="00326C73">
            <w:pPr>
              <w:jc w:val="center"/>
              <w:rPr>
                <w:sz w:val="20"/>
              </w:rPr>
            </w:pPr>
            <w:r w:rsidRPr="00A45996">
              <w:rPr>
                <w:sz w:val="20"/>
              </w:rPr>
              <w:t>(0.49, 0.76)</w:t>
            </w:r>
          </w:p>
        </w:tc>
      </w:tr>
      <w:tr w:rsidR="00326C73" w:rsidRPr="00A45996" w:rsidTr="00326C73">
        <w:trPr>
          <w:cantSplit/>
        </w:trPr>
        <w:tc>
          <w:tcPr>
            <w:tcW w:w="3522" w:type="dxa"/>
          </w:tcPr>
          <w:p w:rsidR="00326C73" w:rsidRPr="00A45996" w:rsidRDefault="00326C73" w:rsidP="00326C73">
            <w:pPr>
              <w:rPr>
                <w:b/>
                <w:sz w:val="20"/>
              </w:rPr>
            </w:pPr>
            <w:r w:rsidRPr="00A45996">
              <w:rPr>
                <w:sz w:val="20"/>
              </w:rPr>
              <w:t>p-value</w:t>
            </w:r>
            <w:r w:rsidRPr="00A45996">
              <w:rPr>
                <w:sz w:val="20"/>
                <w:vertAlign w:val="superscript"/>
              </w:rPr>
              <w:t xml:space="preserve"> c</w:t>
            </w:r>
          </w:p>
        </w:tc>
        <w:tc>
          <w:tcPr>
            <w:tcW w:w="2801" w:type="dxa"/>
            <w:gridSpan w:val="3"/>
          </w:tcPr>
          <w:p w:rsidR="00326C73" w:rsidRPr="00A45996" w:rsidRDefault="00326C73" w:rsidP="00326C73">
            <w:pPr>
              <w:jc w:val="center"/>
              <w:rPr>
                <w:sz w:val="20"/>
              </w:rPr>
            </w:pPr>
            <w:r w:rsidRPr="00A45996">
              <w:rPr>
                <w:sz w:val="20"/>
              </w:rPr>
              <w:t>0.00001</w:t>
            </w:r>
          </w:p>
        </w:tc>
      </w:tr>
      <w:tr w:rsidR="00326C73" w:rsidRPr="00A45996" w:rsidTr="00326C73">
        <w:trPr>
          <w:cantSplit/>
        </w:trPr>
        <w:tc>
          <w:tcPr>
            <w:tcW w:w="3522" w:type="dxa"/>
          </w:tcPr>
          <w:p w:rsidR="00326C73" w:rsidRPr="00A45996" w:rsidRDefault="00326C73" w:rsidP="00326C73">
            <w:pPr>
              <w:rPr>
                <w:b/>
                <w:sz w:val="20"/>
              </w:rPr>
            </w:pPr>
            <w:r w:rsidRPr="00A45996">
              <w:rPr>
                <w:b/>
                <w:sz w:val="20"/>
              </w:rPr>
              <w:t>Overall Survival</w:t>
            </w:r>
          </w:p>
          <w:p w:rsidR="00326C73" w:rsidRPr="00A45996" w:rsidRDefault="00326C73" w:rsidP="00326C73">
            <w:pPr>
              <w:rPr>
                <w:sz w:val="20"/>
              </w:rPr>
            </w:pPr>
            <w:r w:rsidRPr="00A45996">
              <w:rPr>
                <w:sz w:val="20"/>
              </w:rPr>
              <w:t xml:space="preserve">   Events (deaths) n (%)</w:t>
            </w:r>
          </w:p>
        </w:tc>
        <w:tc>
          <w:tcPr>
            <w:tcW w:w="1440" w:type="dxa"/>
            <w:gridSpan w:val="2"/>
            <w:vAlign w:val="bottom"/>
          </w:tcPr>
          <w:p w:rsidR="00326C73" w:rsidRPr="00A45996" w:rsidRDefault="00326C73" w:rsidP="00326C73">
            <w:pPr>
              <w:jc w:val="center"/>
              <w:rPr>
                <w:sz w:val="20"/>
              </w:rPr>
            </w:pPr>
            <w:r w:rsidRPr="00A45996">
              <w:rPr>
                <w:sz w:val="20"/>
              </w:rPr>
              <w:t>45 (13)</w:t>
            </w:r>
          </w:p>
        </w:tc>
        <w:tc>
          <w:tcPr>
            <w:tcW w:w="1361" w:type="dxa"/>
            <w:vAlign w:val="bottom"/>
          </w:tcPr>
          <w:p w:rsidR="00326C73" w:rsidRPr="00A45996" w:rsidRDefault="00326C73" w:rsidP="00326C73">
            <w:pPr>
              <w:jc w:val="center"/>
              <w:rPr>
                <w:sz w:val="20"/>
              </w:rPr>
            </w:pPr>
            <w:r w:rsidRPr="00A45996">
              <w:rPr>
                <w:sz w:val="20"/>
              </w:rPr>
              <w:t>76 (23)</w:t>
            </w:r>
          </w:p>
        </w:tc>
      </w:tr>
      <w:tr w:rsidR="00326C73" w:rsidRPr="00A45996" w:rsidTr="00326C73">
        <w:trPr>
          <w:cantSplit/>
        </w:trPr>
        <w:tc>
          <w:tcPr>
            <w:tcW w:w="3522" w:type="dxa"/>
          </w:tcPr>
          <w:p w:rsidR="00326C73" w:rsidRPr="00A45996" w:rsidRDefault="00326C73" w:rsidP="00326C73">
            <w:pPr>
              <w:rPr>
                <w:sz w:val="20"/>
              </w:rPr>
            </w:pPr>
            <w:r w:rsidRPr="00A45996">
              <w:rPr>
                <w:sz w:val="20"/>
              </w:rPr>
              <w:t xml:space="preserve">Hazard </w:t>
            </w:r>
            <w:proofErr w:type="spellStart"/>
            <w:r w:rsidRPr="00A45996">
              <w:rPr>
                <w:sz w:val="20"/>
              </w:rPr>
              <w:t>ratio</w:t>
            </w:r>
            <w:r w:rsidRPr="00A45996">
              <w:rPr>
                <w:sz w:val="20"/>
                <w:vertAlign w:val="superscript"/>
              </w:rPr>
              <w:t>b</w:t>
            </w:r>
            <w:proofErr w:type="spellEnd"/>
          </w:p>
          <w:p w:rsidR="00326C73" w:rsidRPr="00A45996" w:rsidRDefault="00326C73" w:rsidP="00326C73">
            <w:pPr>
              <w:rPr>
                <w:b/>
                <w:sz w:val="20"/>
              </w:rPr>
            </w:pPr>
            <w:r w:rsidRPr="00A45996">
              <w:rPr>
                <w:sz w:val="20"/>
              </w:rPr>
              <w:t>(95% CI)</w:t>
            </w:r>
          </w:p>
        </w:tc>
        <w:tc>
          <w:tcPr>
            <w:tcW w:w="2801" w:type="dxa"/>
            <w:gridSpan w:val="3"/>
          </w:tcPr>
          <w:p w:rsidR="00326C73" w:rsidRPr="00A45996" w:rsidRDefault="00326C73" w:rsidP="00326C73">
            <w:pPr>
              <w:jc w:val="center"/>
              <w:rPr>
                <w:sz w:val="20"/>
              </w:rPr>
            </w:pPr>
            <w:r w:rsidRPr="00A45996">
              <w:rPr>
                <w:sz w:val="20"/>
              </w:rPr>
              <w:t>0.61</w:t>
            </w:r>
          </w:p>
          <w:p w:rsidR="00326C73" w:rsidRPr="00A45996" w:rsidRDefault="00326C73" w:rsidP="00326C73">
            <w:pPr>
              <w:jc w:val="center"/>
              <w:rPr>
                <w:sz w:val="20"/>
              </w:rPr>
            </w:pPr>
            <w:r w:rsidRPr="00A45996">
              <w:rPr>
                <w:sz w:val="20"/>
              </w:rPr>
              <w:t>(0.42, 0.88)</w:t>
            </w:r>
          </w:p>
        </w:tc>
      </w:tr>
      <w:tr w:rsidR="00326C73" w:rsidRPr="00A45996" w:rsidTr="00326C73">
        <w:trPr>
          <w:cantSplit/>
        </w:trPr>
        <w:tc>
          <w:tcPr>
            <w:tcW w:w="3522" w:type="dxa"/>
          </w:tcPr>
          <w:p w:rsidR="00326C73" w:rsidRPr="00A45996" w:rsidRDefault="00326C73" w:rsidP="00326C73">
            <w:pPr>
              <w:rPr>
                <w:b/>
                <w:sz w:val="20"/>
              </w:rPr>
            </w:pPr>
            <w:r w:rsidRPr="00A45996">
              <w:rPr>
                <w:sz w:val="20"/>
              </w:rPr>
              <w:t>p-value</w:t>
            </w:r>
            <w:r w:rsidRPr="00A45996">
              <w:rPr>
                <w:sz w:val="20"/>
                <w:vertAlign w:val="superscript"/>
              </w:rPr>
              <w:t xml:space="preserve"> c</w:t>
            </w:r>
          </w:p>
        </w:tc>
        <w:tc>
          <w:tcPr>
            <w:tcW w:w="2801" w:type="dxa"/>
            <w:gridSpan w:val="3"/>
          </w:tcPr>
          <w:p w:rsidR="00326C73" w:rsidRPr="00A45996" w:rsidRDefault="00326C73" w:rsidP="00326C73">
            <w:pPr>
              <w:jc w:val="center"/>
              <w:rPr>
                <w:sz w:val="20"/>
              </w:rPr>
            </w:pPr>
            <w:r w:rsidRPr="00A45996">
              <w:rPr>
                <w:sz w:val="20"/>
              </w:rPr>
              <w:t>0.00782</w:t>
            </w:r>
          </w:p>
        </w:tc>
      </w:tr>
      <w:tr w:rsidR="00326C73" w:rsidRPr="00A45996" w:rsidTr="00326C73">
        <w:trPr>
          <w:cantSplit/>
        </w:trPr>
        <w:tc>
          <w:tcPr>
            <w:tcW w:w="3522" w:type="dxa"/>
          </w:tcPr>
          <w:p w:rsidR="00326C73" w:rsidRPr="00A45996" w:rsidRDefault="00326C73" w:rsidP="00326C73">
            <w:pPr>
              <w:rPr>
                <w:sz w:val="20"/>
              </w:rPr>
            </w:pPr>
            <w:r w:rsidRPr="00A45996">
              <w:rPr>
                <w:b/>
                <w:sz w:val="20"/>
              </w:rPr>
              <w:t>Response Rate</w:t>
            </w:r>
          </w:p>
          <w:p w:rsidR="00326C73" w:rsidRPr="00A45996" w:rsidRDefault="00326C73" w:rsidP="00326C73">
            <w:pPr>
              <w:pStyle w:val="tablebodyChar"/>
              <w:suppressAutoHyphens w:val="0"/>
              <w:spacing w:before="0" w:after="0"/>
              <w:rPr>
                <w:szCs w:val="24"/>
              </w:rPr>
            </w:pPr>
            <w:r w:rsidRPr="00A45996">
              <w:rPr>
                <w:szCs w:val="24"/>
              </w:rPr>
              <w:t xml:space="preserve">   </w:t>
            </w:r>
            <w:proofErr w:type="spellStart"/>
            <w:r w:rsidRPr="00A45996">
              <w:rPr>
                <w:szCs w:val="24"/>
              </w:rPr>
              <w:t>population</w:t>
            </w:r>
            <w:r w:rsidRPr="00A45996">
              <w:rPr>
                <w:szCs w:val="24"/>
                <w:vertAlign w:val="superscript"/>
              </w:rPr>
              <w:t>e</w:t>
            </w:r>
            <w:proofErr w:type="spellEnd"/>
            <w:r w:rsidRPr="00A45996">
              <w:rPr>
                <w:szCs w:val="24"/>
              </w:rPr>
              <w:t xml:space="preserve"> n = 668</w:t>
            </w:r>
          </w:p>
        </w:tc>
        <w:tc>
          <w:tcPr>
            <w:tcW w:w="1440" w:type="dxa"/>
            <w:gridSpan w:val="2"/>
          </w:tcPr>
          <w:p w:rsidR="00326C73" w:rsidRPr="00A45996" w:rsidRDefault="00326C73" w:rsidP="00326C73">
            <w:pPr>
              <w:jc w:val="center"/>
              <w:rPr>
                <w:sz w:val="20"/>
              </w:rPr>
            </w:pPr>
            <w:r w:rsidRPr="00A45996">
              <w:rPr>
                <w:sz w:val="20"/>
              </w:rPr>
              <w:t>n=337</w:t>
            </w:r>
          </w:p>
        </w:tc>
        <w:tc>
          <w:tcPr>
            <w:tcW w:w="1361" w:type="dxa"/>
          </w:tcPr>
          <w:p w:rsidR="00326C73" w:rsidRPr="00A45996" w:rsidRDefault="00326C73" w:rsidP="00326C73">
            <w:pPr>
              <w:jc w:val="center"/>
              <w:rPr>
                <w:sz w:val="20"/>
              </w:rPr>
            </w:pPr>
            <w:r w:rsidRPr="00A45996">
              <w:rPr>
                <w:sz w:val="20"/>
              </w:rPr>
              <w:t>n=331</w:t>
            </w:r>
          </w:p>
        </w:tc>
      </w:tr>
      <w:tr w:rsidR="00326C73" w:rsidRPr="00A45996" w:rsidTr="00326C73">
        <w:trPr>
          <w:cantSplit/>
          <w:trHeight w:val="275"/>
        </w:trPr>
        <w:tc>
          <w:tcPr>
            <w:tcW w:w="3522" w:type="dxa"/>
          </w:tcPr>
          <w:p w:rsidR="00326C73" w:rsidRPr="00A45996" w:rsidRDefault="00326C73" w:rsidP="00326C73">
            <w:pPr>
              <w:rPr>
                <w:sz w:val="20"/>
              </w:rPr>
            </w:pPr>
            <w:proofErr w:type="spellStart"/>
            <w:proofErr w:type="gramStart"/>
            <w:r w:rsidRPr="00A45996">
              <w:rPr>
                <w:sz w:val="20"/>
              </w:rPr>
              <w:t>CR</w:t>
            </w:r>
            <w:r w:rsidRPr="00A45996">
              <w:rPr>
                <w:sz w:val="20"/>
                <w:vertAlign w:val="superscript"/>
              </w:rPr>
              <w:t>f</w:t>
            </w:r>
            <w:proofErr w:type="spellEnd"/>
            <w:r w:rsidRPr="00A45996">
              <w:rPr>
                <w:sz w:val="20"/>
              </w:rPr>
              <w:t xml:space="preserve">  n</w:t>
            </w:r>
            <w:proofErr w:type="gramEnd"/>
            <w:r w:rsidRPr="00A45996">
              <w:rPr>
                <w:sz w:val="20"/>
              </w:rPr>
              <w:t xml:space="preserve"> (%)</w:t>
            </w:r>
          </w:p>
        </w:tc>
        <w:tc>
          <w:tcPr>
            <w:tcW w:w="1440" w:type="dxa"/>
            <w:gridSpan w:val="2"/>
          </w:tcPr>
          <w:p w:rsidR="00326C73" w:rsidRPr="00A45996" w:rsidRDefault="00326C73" w:rsidP="00326C73">
            <w:pPr>
              <w:jc w:val="center"/>
              <w:rPr>
                <w:sz w:val="20"/>
              </w:rPr>
            </w:pPr>
            <w:r w:rsidRPr="00A45996">
              <w:rPr>
                <w:sz w:val="20"/>
              </w:rPr>
              <w:t>102 (30)</w:t>
            </w:r>
          </w:p>
        </w:tc>
        <w:tc>
          <w:tcPr>
            <w:tcW w:w="1361" w:type="dxa"/>
          </w:tcPr>
          <w:p w:rsidR="00326C73" w:rsidRPr="00A45996" w:rsidRDefault="00326C73" w:rsidP="00326C73">
            <w:pPr>
              <w:jc w:val="center"/>
              <w:rPr>
                <w:sz w:val="20"/>
              </w:rPr>
            </w:pPr>
            <w:r w:rsidRPr="00A45996">
              <w:rPr>
                <w:sz w:val="20"/>
              </w:rPr>
              <w:t>12 (4)</w:t>
            </w:r>
          </w:p>
        </w:tc>
      </w:tr>
      <w:tr w:rsidR="00326C73" w:rsidRPr="00A45996" w:rsidTr="00326C73">
        <w:trPr>
          <w:cantSplit/>
        </w:trPr>
        <w:tc>
          <w:tcPr>
            <w:tcW w:w="3522" w:type="dxa"/>
          </w:tcPr>
          <w:p w:rsidR="00326C73" w:rsidRPr="00A45996" w:rsidRDefault="00326C73" w:rsidP="00326C73">
            <w:pPr>
              <w:rPr>
                <w:sz w:val="20"/>
              </w:rPr>
            </w:pPr>
            <w:proofErr w:type="spellStart"/>
            <w:r w:rsidRPr="00A45996">
              <w:rPr>
                <w:sz w:val="20"/>
              </w:rPr>
              <w:t>PR</w:t>
            </w:r>
            <w:r w:rsidRPr="00A45996">
              <w:rPr>
                <w:sz w:val="20"/>
                <w:vertAlign w:val="superscript"/>
              </w:rPr>
              <w:t>f</w:t>
            </w:r>
            <w:proofErr w:type="spellEnd"/>
            <w:r w:rsidRPr="00A45996">
              <w:rPr>
                <w:sz w:val="20"/>
              </w:rPr>
              <w:t xml:space="preserve"> n (%)</w:t>
            </w:r>
          </w:p>
        </w:tc>
        <w:tc>
          <w:tcPr>
            <w:tcW w:w="1440" w:type="dxa"/>
            <w:gridSpan w:val="2"/>
          </w:tcPr>
          <w:p w:rsidR="00326C73" w:rsidRPr="00A45996" w:rsidRDefault="00326C73" w:rsidP="00326C73">
            <w:pPr>
              <w:jc w:val="center"/>
              <w:rPr>
                <w:sz w:val="20"/>
              </w:rPr>
            </w:pPr>
            <w:r w:rsidRPr="00A45996">
              <w:rPr>
                <w:sz w:val="20"/>
              </w:rPr>
              <w:t>136 (40)</w:t>
            </w:r>
          </w:p>
        </w:tc>
        <w:tc>
          <w:tcPr>
            <w:tcW w:w="1361" w:type="dxa"/>
          </w:tcPr>
          <w:p w:rsidR="00326C73" w:rsidRPr="00A45996" w:rsidRDefault="00326C73" w:rsidP="00326C73">
            <w:pPr>
              <w:jc w:val="center"/>
              <w:rPr>
                <w:sz w:val="20"/>
              </w:rPr>
            </w:pPr>
            <w:r w:rsidRPr="00A45996">
              <w:rPr>
                <w:sz w:val="20"/>
              </w:rPr>
              <w:t>103 (31)</w:t>
            </w:r>
          </w:p>
        </w:tc>
      </w:tr>
      <w:tr w:rsidR="00326C73" w:rsidRPr="00A45996" w:rsidTr="00326C73">
        <w:trPr>
          <w:cantSplit/>
        </w:trPr>
        <w:tc>
          <w:tcPr>
            <w:tcW w:w="3522" w:type="dxa"/>
          </w:tcPr>
          <w:p w:rsidR="00326C73" w:rsidRPr="00A45996" w:rsidRDefault="00326C73" w:rsidP="00326C73">
            <w:pPr>
              <w:rPr>
                <w:sz w:val="20"/>
              </w:rPr>
            </w:pPr>
            <w:r w:rsidRPr="00A45996">
              <w:rPr>
                <w:sz w:val="20"/>
              </w:rPr>
              <w:t xml:space="preserve">   </w:t>
            </w:r>
            <w:proofErr w:type="spellStart"/>
            <w:proofErr w:type="gramStart"/>
            <w:r w:rsidRPr="00A45996">
              <w:rPr>
                <w:sz w:val="20"/>
              </w:rPr>
              <w:t>nCR</w:t>
            </w:r>
            <w:proofErr w:type="spellEnd"/>
            <w:proofErr w:type="gramEnd"/>
            <w:r w:rsidRPr="00A45996">
              <w:rPr>
                <w:sz w:val="20"/>
              </w:rPr>
              <w:t xml:space="preserve"> n (%)</w:t>
            </w:r>
          </w:p>
        </w:tc>
        <w:tc>
          <w:tcPr>
            <w:tcW w:w="1440" w:type="dxa"/>
            <w:gridSpan w:val="2"/>
          </w:tcPr>
          <w:p w:rsidR="00326C73" w:rsidRPr="00A45996" w:rsidRDefault="00326C73" w:rsidP="00326C73">
            <w:pPr>
              <w:jc w:val="center"/>
              <w:rPr>
                <w:sz w:val="20"/>
              </w:rPr>
            </w:pPr>
            <w:r w:rsidRPr="00A45996">
              <w:rPr>
                <w:sz w:val="20"/>
              </w:rPr>
              <w:t xml:space="preserve">5 (1)  </w:t>
            </w:r>
          </w:p>
        </w:tc>
        <w:tc>
          <w:tcPr>
            <w:tcW w:w="1361" w:type="dxa"/>
          </w:tcPr>
          <w:p w:rsidR="00326C73" w:rsidRPr="00A45996" w:rsidRDefault="00326C73" w:rsidP="00326C73">
            <w:pPr>
              <w:jc w:val="center"/>
              <w:rPr>
                <w:sz w:val="20"/>
              </w:rPr>
            </w:pPr>
            <w:r w:rsidRPr="00A45996">
              <w:rPr>
                <w:sz w:val="20"/>
              </w:rPr>
              <w:t>0</w:t>
            </w:r>
          </w:p>
        </w:tc>
      </w:tr>
      <w:tr w:rsidR="00326C73" w:rsidRPr="00A45996" w:rsidTr="00326C73">
        <w:trPr>
          <w:cantSplit/>
          <w:trHeight w:val="257"/>
        </w:trPr>
        <w:tc>
          <w:tcPr>
            <w:tcW w:w="3522" w:type="dxa"/>
          </w:tcPr>
          <w:p w:rsidR="00326C73" w:rsidRPr="00A45996" w:rsidRDefault="00326C73" w:rsidP="00326C73">
            <w:pPr>
              <w:rPr>
                <w:sz w:val="20"/>
                <w:lang w:val="pt-BR"/>
              </w:rPr>
            </w:pPr>
            <w:r w:rsidRPr="00A45996">
              <w:rPr>
                <w:sz w:val="20"/>
                <w:lang w:val="pt-BR"/>
              </w:rPr>
              <w:t>CR + PR</w:t>
            </w:r>
            <w:r w:rsidRPr="00A45996">
              <w:rPr>
                <w:sz w:val="20"/>
                <w:vertAlign w:val="superscript"/>
              </w:rPr>
              <w:t>f</w:t>
            </w:r>
            <w:r w:rsidRPr="00A45996">
              <w:rPr>
                <w:sz w:val="20"/>
                <w:lang w:val="pt-BR"/>
              </w:rPr>
              <w:t xml:space="preserve">  n (%)</w:t>
            </w:r>
          </w:p>
        </w:tc>
        <w:tc>
          <w:tcPr>
            <w:tcW w:w="1440" w:type="dxa"/>
            <w:gridSpan w:val="2"/>
          </w:tcPr>
          <w:p w:rsidR="00326C73" w:rsidRPr="00A45996" w:rsidRDefault="00326C73" w:rsidP="00326C73">
            <w:pPr>
              <w:jc w:val="center"/>
              <w:rPr>
                <w:sz w:val="20"/>
              </w:rPr>
            </w:pPr>
            <w:r w:rsidRPr="00A45996">
              <w:rPr>
                <w:sz w:val="20"/>
              </w:rPr>
              <w:t>238 (71)</w:t>
            </w:r>
          </w:p>
        </w:tc>
        <w:tc>
          <w:tcPr>
            <w:tcW w:w="1361" w:type="dxa"/>
          </w:tcPr>
          <w:p w:rsidR="00326C73" w:rsidRPr="00A45996" w:rsidRDefault="00326C73" w:rsidP="00326C73">
            <w:pPr>
              <w:jc w:val="center"/>
              <w:rPr>
                <w:sz w:val="20"/>
              </w:rPr>
            </w:pPr>
            <w:r w:rsidRPr="00A45996">
              <w:rPr>
                <w:sz w:val="20"/>
              </w:rPr>
              <w:t>115 (35)</w:t>
            </w:r>
          </w:p>
        </w:tc>
      </w:tr>
      <w:tr w:rsidR="00326C73" w:rsidRPr="00A45996" w:rsidTr="00326C73">
        <w:trPr>
          <w:cantSplit/>
          <w:trHeight w:val="167"/>
        </w:trPr>
        <w:tc>
          <w:tcPr>
            <w:tcW w:w="3522" w:type="dxa"/>
          </w:tcPr>
          <w:p w:rsidR="00326C73" w:rsidRPr="00A45996" w:rsidRDefault="00326C73" w:rsidP="00326C73">
            <w:pPr>
              <w:rPr>
                <w:sz w:val="20"/>
              </w:rPr>
            </w:pPr>
            <w:r w:rsidRPr="00A45996">
              <w:rPr>
                <w:sz w:val="20"/>
              </w:rPr>
              <w:t xml:space="preserve"> p-value</w:t>
            </w:r>
            <w:r w:rsidRPr="00A45996">
              <w:rPr>
                <w:sz w:val="20"/>
                <w:vertAlign w:val="superscript"/>
              </w:rPr>
              <w:t>d</w:t>
            </w:r>
            <w:r w:rsidRPr="00A45996">
              <w:rPr>
                <w:sz w:val="20"/>
              </w:rPr>
              <w:t xml:space="preserve"> </w:t>
            </w:r>
          </w:p>
        </w:tc>
        <w:tc>
          <w:tcPr>
            <w:tcW w:w="2801" w:type="dxa"/>
            <w:gridSpan w:val="3"/>
          </w:tcPr>
          <w:p w:rsidR="00326C73" w:rsidRPr="00A45996" w:rsidRDefault="00326C73" w:rsidP="00326C73">
            <w:pPr>
              <w:jc w:val="center"/>
              <w:rPr>
                <w:sz w:val="20"/>
              </w:rPr>
            </w:pPr>
            <w:r w:rsidRPr="00A45996">
              <w:rPr>
                <w:sz w:val="20"/>
              </w:rPr>
              <w:t>&lt;10</w:t>
            </w:r>
            <w:r w:rsidRPr="00A45996">
              <w:rPr>
                <w:sz w:val="20"/>
                <w:vertAlign w:val="superscript"/>
              </w:rPr>
              <w:t>-10</w:t>
            </w:r>
          </w:p>
        </w:tc>
      </w:tr>
      <w:tr w:rsidR="00326C73" w:rsidRPr="00A45996" w:rsidTr="00326C73">
        <w:trPr>
          <w:cantSplit/>
          <w:trHeight w:val="167"/>
        </w:trPr>
        <w:tc>
          <w:tcPr>
            <w:tcW w:w="3522" w:type="dxa"/>
          </w:tcPr>
          <w:p w:rsidR="00326C73" w:rsidRPr="00A45996" w:rsidRDefault="00326C73" w:rsidP="00326C73">
            <w:pPr>
              <w:rPr>
                <w:b/>
                <w:sz w:val="20"/>
              </w:rPr>
            </w:pPr>
            <w:r w:rsidRPr="00A45996">
              <w:rPr>
                <w:b/>
                <w:sz w:val="20"/>
              </w:rPr>
              <w:t>Reduction in Serum M-protein</w:t>
            </w:r>
          </w:p>
          <w:p w:rsidR="00326C73" w:rsidRPr="00A45996" w:rsidRDefault="00326C73" w:rsidP="00326C73">
            <w:pPr>
              <w:rPr>
                <w:sz w:val="20"/>
              </w:rPr>
            </w:pPr>
            <w:r w:rsidRPr="00A45996">
              <w:rPr>
                <w:b/>
                <w:sz w:val="20"/>
              </w:rPr>
              <w:t xml:space="preserve">   </w:t>
            </w:r>
            <w:proofErr w:type="spellStart"/>
            <w:r w:rsidRPr="00A45996">
              <w:rPr>
                <w:sz w:val="20"/>
              </w:rPr>
              <w:t>population</w:t>
            </w:r>
            <w:r w:rsidRPr="00A45996">
              <w:rPr>
                <w:sz w:val="20"/>
                <w:vertAlign w:val="superscript"/>
              </w:rPr>
              <w:t>g</w:t>
            </w:r>
            <w:proofErr w:type="spellEnd"/>
            <w:r w:rsidRPr="00A45996">
              <w:rPr>
                <w:sz w:val="20"/>
              </w:rPr>
              <w:t xml:space="preserve"> n=667</w:t>
            </w:r>
          </w:p>
        </w:tc>
        <w:tc>
          <w:tcPr>
            <w:tcW w:w="1400" w:type="dxa"/>
          </w:tcPr>
          <w:p w:rsidR="00326C73" w:rsidRPr="00A45996" w:rsidRDefault="00326C73" w:rsidP="00326C73">
            <w:pPr>
              <w:jc w:val="center"/>
              <w:rPr>
                <w:sz w:val="20"/>
              </w:rPr>
            </w:pPr>
            <w:r w:rsidRPr="00A45996">
              <w:rPr>
                <w:sz w:val="20"/>
              </w:rPr>
              <w:t>n=336</w:t>
            </w:r>
          </w:p>
        </w:tc>
        <w:tc>
          <w:tcPr>
            <w:tcW w:w="1401" w:type="dxa"/>
            <w:gridSpan w:val="2"/>
          </w:tcPr>
          <w:p w:rsidR="00326C73" w:rsidRPr="00A45996" w:rsidRDefault="00326C73" w:rsidP="00326C73">
            <w:pPr>
              <w:jc w:val="center"/>
              <w:rPr>
                <w:sz w:val="20"/>
              </w:rPr>
            </w:pPr>
            <w:r w:rsidRPr="00A45996">
              <w:rPr>
                <w:sz w:val="20"/>
              </w:rPr>
              <w:t>n=331</w:t>
            </w:r>
          </w:p>
        </w:tc>
      </w:tr>
      <w:tr w:rsidR="00326C73" w:rsidRPr="00A45996" w:rsidTr="00326C73">
        <w:trPr>
          <w:cantSplit/>
          <w:trHeight w:val="167"/>
        </w:trPr>
        <w:tc>
          <w:tcPr>
            <w:tcW w:w="3522" w:type="dxa"/>
          </w:tcPr>
          <w:p w:rsidR="00326C73" w:rsidRPr="00A45996" w:rsidRDefault="00326C73" w:rsidP="00326C73">
            <w:pPr>
              <w:rPr>
                <w:b/>
                <w:sz w:val="20"/>
              </w:rPr>
            </w:pPr>
            <w:r w:rsidRPr="00A45996">
              <w:rPr>
                <w:sz w:val="20"/>
              </w:rPr>
              <w:t>&gt;=90% n (%)</w:t>
            </w:r>
          </w:p>
        </w:tc>
        <w:tc>
          <w:tcPr>
            <w:tcW w:w="1400" w:type="dxa"/>
          </w:tcPr>
          <w:p w:rsidR="00326C73" w:rsidRPr="00A45996" w:rsidRDefault="00326C73" w:rsidP="00326C73">
            <w:pPr>
              <w:jc w:val="center"/>
              <w:rPr>
                <w:sz w:val="20"/>
              </w:rPr>
            </w:pPr>
            <w:r w:rsidRPr="00A45996">
              <w:rPr>
                <w:sz w:val="20"/>
              </w:rPr>
              <w:t>151 (45)</w:t>
            </w:r>
          </w:p>
        </w:tc>
        <w:tc>
          <w:tcPr>
            <w:tcW w:w="1401" w:type="dxa"/>
            <w:gridSpan w:val="2"/>
          </w:tcPr>
          <w:p w:rsidR="00326C73" w:rsidRPr="00A45996" w:rsidRDefault="00326C73" w:rsidP="00326C73">
            <w:pPr>
              <w:jc w:val="center"/>
              <w:rPr>
                <w:sz w:val="20"/>
              </w:rPr>
            </w:pPr>
            <w:r w:rsidRPr="00A45996">
              <w:rPr>
                <w:sz w:val="20"/>
              </w:rPr>
              <w:t>34 (10)</w:t>
            </w:r>
          </w:p>
        </w:tc>
      </w:tr>
      <w:tr w:rsidR="00326C73" w:rsidRPr="00A45996" w:rsidTr="00326C73">
        <w:trPr>
          <w:cantSplit/>
          <w:trHeight w:val="167"/>
        </w:trPr>
        <w:tc>
          <w:tcPr>
            <w:tcW w:w="3522" w:type="dxa"/>
          </w:tcPr>
          <w:p w:rsidR="00326C73" w:rsidRPr="00A45996" w:rsidRDefault="00326C73" w:rsidP="00326C73">
            <w:pPr>
              <w:rPr>
                <w:sz w:val="20"/>
              </w:rPr>
            </w:pPr>
            <w:r w:rsidRPr="00A45996">
              <w:rPr>
                <w:b/>
                <w:sz w:val="20"/>
              </w:rPr>
              <w:t>Time to First Response in CR + PR</w:t>
            </w:r>
          </w:p>
        </w:tc>
        <w:tc>
          <w:tcPr>
            <w:tcW w:w="2801" w:type="dxa"/>
            <w:gridSpan w:val="3"/>
          </w:tcPr>
          <w:p w:rsidR="00326C73" w:rsidRPr="00A45996" w:rsidRDefault="00326C73" w:rsidP="00326C73">
            <w:pPr>
              <w:jc w:val="center"/>
              <w:rPr>
                <w:sz w:val="20"/>
              </w:rPr>
            </w:pPr>
          </w:p>
        </w:tc>
      </w:tr>
      <w:tr w:rsidR="00326C73" w:rsidRPr="00A45996" w:rsidTr="00326C73">
        <w:trPr>
          <w:cantSplit/>
          <w:trHeight w:val="167"/>
        </w:trPr>
        <w:tc>
          <w:tcPr>
            <w:tcW w:w="3522" w:type="dxa"/>
          </w:tcPr>
          <w:p w:rsidR="00326C73" w:rsidRPr="00A45996" w:rsidRDefault="00326C73" w:rsidP="00326C73">
            <w:pPr>
              <w:rPr>
                <w:sz w:val="20"/>
              </w:rPr>
            </w:pPr>
            <w:r w:rsidRPr="00A45996">
              <w:rPr>
                <w:sz w:val="20"/>
              </w:rPr>
              <w:t>Median</w:t>
            </w:r>
          </w:p>
        </w:tc>
        <w:tc>
          <w:tcPr>
            <w:tcW w:w="1400" w:type="dxa"/>
          </w:tcPr>
          <w:p w:rsidR="00326C73" w:rsidRPr="00A45996" w:rsidRDefault="00326C73" w:rsidP="00326C73">
            <w:pPr>
              <w:jc w:val="center"/>
              <w:rPr>
                <w:sz w:val="20"/>
              </w:rPr>
            </w:pPr>
            <w:r w:rsidRPr="00A45996">
              <w:rPr>
                <w:sz w:val="20"/>
              </w:rPr>
              <w:t>1.4 mo</w:t>
            </w:r>
          </w:p>
        </w:tc>
        <w:tc>
          <w:tcPr>
            <w:tcW w:w="1401" w:type="dxa"/>
            <w:gridSpan w:val="2"/>
          </w:tcPr>
          <w:p w:rsidR="00326C73" w:rsidRPr="00A45996" w:rsidRDefault="00326C73" w:rsidP="00326C73">
            <w:pPr>
              <w:jc w:val="center"/>
              <w:rPr>
                <w:sz w:val="20"/>
              </w:rPr>
            </w:pPr>
            <w:r w:rsidRPr="00A45996">
              <w:rPr>
                <w:sz w:val="20"/>
              </w:rPr>
              <w:t>4.2 mo</w:t>
            </w:r>
          </w:p>
        </w:tc>
      </w:tr>
      <w:tr w:rsidR="00326C73" w:rsidRPr="00A45996" w:rsidTr="00326C73">
        <w:trPr>
          <w:cantSplit/>
        </w:trPr>
        <w:tc>
          <w:tcPr>
            <w:tcW w:w="3522" w:type="dxa"/>
          </w:tcPr>
          <w:p w:rsidR="00326C73" w:rsidRPr="00A45996" w:rsidRDefault="00326C73" w:rsidP="00326C73">
            <w:pPr>
              <w:rPr>
                <w:b/>
                <w:sz w:val="20"/>
              </w:rPr>
            </w:pPr>
            <w:proofErr w:type="spellStart"/>
            <w:r w:rsidRPr="00A45996">
              <w:rPr>
                <w:b/>
                <w:sz w:val="20"/>
              </w:rPr>
              <w:t>Median</w:t>
            </w:r>
            <w:r w:rsidRPr="00A45996">
              <w:rPr>
                <w:sz w:val="20"/>
                <w:vertAlign w:val="superscript"/>
              </w:rPr>
              <w:t>a</w:t>
            </w:r>
            <w:proofErr w:type="spellEnd"/>
            <w:r w:rsidRPr="00A45996">
              <w:rPr>
                <w:b/>
                <w:sz w:val="20"/>
              </w:rPr>
              <w:t xml:space="preserve"> Response Duration</w:t>
            </w:r>
          </w:p>
        </w:tc>
        <w:tc>
          <w:tcPr>
            <w:tcW w:w="2801" w:type="dxa"/>
            <w:gridSpan w:val="3"/>
          </w:tcPr>
          <w:p w:rsidR="00326C73" w:rsidRPr="00A45996" w:rsidRDefault="00326C73" w:rsidP="00326C73">
            <w:pPr>
              <w:jc w:val="center"/>
              <w:rPr>
                <w:sz w:val="20"/>
              </w:rPr>
            </w:pPr>
          </w:p>
        </w:tc>
      </w:tr>
      <w:tr w:rsidR="00326C73" w:rsidRPr="00A45996" w:rsidTr="00326C73">
        <w:trPr>
          <w:cantSplit/>
        </w:trPr>
        <w:tc>
          <w:tcPr>
            <w:tcW w:w="3522" w:type="dxa"/>
          </w:tcPr>
          <w:p w:rsidR="00326C73" w:rsidRPr="00A45996" w:rsidRDefault="00326C73" w:rsidP="00326C73">
            <w:pPr>
              <w:rPr>
                <w:sz w:val="20"/>
              </w:rPr>
            </w:pPr>
            <w:proofErr w:type="spellStart"/>
            <w:r w:rsidRPr="00A45996">
              <w:rPr>
                <w:sz w:val="20"/>
              </w:rPr>
              <w:t>CR</w:t>
            </w:r>
            <w:r w:rsidRPr="00A45996">
              <w:rPr>
                <w:sz w:val="20"/>
                <w:vertAlign w:val="superscript"/>
              </w:rPr>
              <w:t>f</w:t>
            </w:r>
            <w:proofErr w:type="spellEnd"/>
          </w:p>
        </w:tc>
        <w:tc>
          <w:tcPr>
            <w:tcW w:w="1440" w:type="dxa"/>
            <w:gridSpan w:val="2"/>
          </w:tcPr>
          <w:p w:rsidR="00326C73" w:rsidRPr="00A45996" w:rsidRDefault="00326C73" w:rsidP="00326C73">
            <w:pPr>
              <w:jc w:val="center"/>
              <w:rPr>
                <w:sz w:val="20"/>
              </w:rPr>
            </w:pPr>
            <w:r w:rsidRPr="00A45996">
              <w:rPr>
                <w:sz w:val="20"/>
              </w:rPr>
              <w:t>24.0 mo</w:t>
            </w:r>
          </w:p>
        </w:tc>
        <w:tc>
          <w:tcPr>
            <w:tcW w:w="1361" w:type="dxa"/>
          </w:tcPr>
          <w:p w:rsidR="00326C73" w:rsidRPr="00A45996" w:rsidRDefault="00326C73" w:rsidP="00326C73">
            <w:pPr>
              <w:jc w:val="center"/>
              <w:rPr>
                <w:sz w:val="20"/>
              </w:rPr>
            </w:pPr>
            <w:r w:rsidRPr="00A45996">
              <w:rPr>
                <w:sz w:val="20"/>
              </w:rPr>
              <w:t>12.8 mo</w:t>
            </w:r>
          </w:p>
        </w:tc>
      </w:tr>
      <w:tr w:rsidR="00326C73" w:rsidRPr="00A45996" w:rsidTr="00326C73">
        <w:trPr>
          <w:cantSplit/>
        </w:trPr>
        <w:tc>
          <w:tcPr>
            <w:tcW w:w="3522" w:type="dxa"/>
          </w:tcPr>
          <w:p w:rsidR="00326C73" w:rsidRPr="00A45996" w:rsidRDefault="00326C73" w:rsidP="00326C73">
            <w:pPr>
              <w:rPr>
                <w:sz w:val="20"/>
                <w:lang w:val="fr-FR"/>
              </w:rPr>
            </w:pPr>
            <w:r w:rsidRPr="00A45996">
              <w:rPr>
                <w:sz w:val="20"/>
                <w:lang w:val="fr-FR"/>
              </w:rPr>
              <w:t>CR + PR</w:t>
            </w:r>
            <w:r w:rsidRPr="00A45996">
              <w:rPr>
                <w:sz w:val="20"/>
                <w:vertAlign w:val="superscript"/>
              </w:rPr>
              <w:t>f</w:t>
            </w:r>
          </w:p>
        </w:tc>
        <w:tc>
          <w:tcPr>
            <w:tcW w:w="1440" w:type="dxa"/>
            <w:gridSpan w:val="2"/>
          </w:tcPr>
          <w:p w:rsidR="00326C73" w:rsidRPr="00A45996" w:rsidRDefault="00326C73" w:rsidP="00326C73">
            <w:pPr>
              <w:jc w:val="center"/>
              <w:rPr>
                <w:sz w:val="20"/>
              </w:rPr>
            </w:pPr>
            <w:r w:rsidRPr="00A45996">
              <w:rPr>
                <w:sz w:val="20"/>
              </w:rPr>
              <w:t>19.9 mo</w:t>
            </w:r>
          </w:p>
        </w:tc>
        <w:tc>
          <w:tcPr>
            <w:tcW w:w="1361" w:type="dxa"/>
          </w:tcPr>
          <w:p w:rsidR="00326C73" w:rsidRPr="00A45996" w:rsidRDefault="00326C73" w:rsidP="00326C73">
            <w:pPr>
              <w:jc w:val="center"/>
              <w:rPr>
                <w:sz w:val="20"/>
              </w:rPr>
            </w:pPr>
            <w:r w:rsidRPr="00A45996">
              <w:rPr>
                <w:sz w:val="20"/>
              </w:rPr>
              <w:t>13.1 mo</w:t>
            </w:r>
          </w:p>
        </w:tc>
      </w:tr>
      <w:tr w:rsidR="00326C73" w:rsidRPr="00A45996" w:rsidTr="00326C73">
        <w:trPr>
          <w:cantSplit/>
        </w:trPr>
        <w:tc>
          <w:tcPr>
            <w:tcW w:w="3522" w:type="dxa"/>
          </w:tcPr>
          <w:p w:rsidR="00326C73" w:rsidRPr="00A45996" w:rsidRDefault="00326C73" w:rsidP="00326C73">
            <w:pPr>
              <w:rPr>
                <w:b/>
                <w:sz w:val="20"/>
                <w:lang w:val="fr-FR"/>
              </w:rPr>
            </w:pPr>
            <w:r w:rsidRPr="00A45996">
              <w:rPr>
                <w:b/>
                <w:sz w:val="20"/>
                <w:lang w:val="fr-FR"/>
              </w:rPr>
              <w:t xml:space="preserve">Time to </w:t>
            </w:r>
            <w:proofErr w:type="spellStart"/>
            <w:r w:rsidRPr="00A45996">
              <w:rPr>
                <w:b/>
                <w:sz w:val="20"/>
                <w:lang w:val="fr-FR"/>
              </w:rPr>
              <w:t>Next</w:t>
            </w:r>
            <w:proofErr w:type="spellEnd"/>
            <w:r w:rsidRPr="00A45996">
              <w:rPr>
                <w:b/>
                <w:sz w:val="20"/>
                <w:lang w:val="fr-FR"/>
              </w:rPr>
              <w:t xml:space="preserve"> </w:t>
            </w:r>
            <w:proofErr w:type="spellStart"/>
            <w:r w:rsidRPr="00A45996">
              <w:rPr>
                <w:b/>
                <w:sz w:val="20"/>
                <w:lang w:val="fr-FR"/>
              </w:rPr>
              <w:t>Therapy</w:t>
            </w:r>
            <w:proofErr w:type="spellEnd"/>
          </w:p>
          <w:p w:rsidR="00326C73" w:rsidRPr="00A45996" w:rsidRDefault="00326C73" w:rsidP="00326C73">
            <w:pPr>
              <w:rPr>
                <w:sz w:val="20"/>
                <w:lang w:val="fr-FR"/>
              </w:rPr>
            </w:pPr>
            <w:r w:rsidRPr="00A45996">
              <w:rPr>
                <w:sz w:val="20"/>
                <w:lang w:val="fr-FR"/>
              </w:rPr>
              <w:t xml:space="preserve">   Events n (%)</w:t>
            </w:r>
          </w:p>
        </w:tc>
        <w:tc>
          <w:tcPr>
            <w:tcW w:w="1440" w:type="dxa"/>
            <w:gridSpan w:val="2"/>
            <w:vAlign w:val="bottom"/>
          </w:tcPr>
          <w:p w:rsidR="00326C73" w:rsidRPr="00A45996" w:rsidRDefault="00326C73" w:rsidP="00326C73">
            <w:pPr>
              <w:jc w:val="center"/>
              <w:rPr>
                <w:sz w:val="20"/>
              </w:rPr>
            </w:pPr>
            <w:r w:rsidRPr="00A45996">
              <w:rPr>
                <w:sz w:val="20"/>
              </w:rPr>
              <w:t>73 (21)</w:t>
            </w:r>
          </w:p>
        </w:tc>
        <w:tc>
          <w:tcPr>
            <w:tcW w:w="1361" w:type="dxa"/>
            <w:vAlign w:val="bottom"/>
          </w:tcPr>
          <w:p w:rsidR="00326C73" w:rsidRPr="00A45996" w:rsidRDefault="00326C73" w:rsidP="00326C73">
            <w:pPr>
              <w:jc w:val="center"/>
              <w:rPr>
                <w:sz w:val="20"/>
              </w:rPr>
            </w:pPr>
            <w:r w:rsidRPr="00A45996">
              <w:rPr>
                <w:sz w:val="20"/>
              </w:rPr>
              <w:t>127 (38)</w:t>
            </w:r>
          </w:p>
        </w:tc>
      </w:tr>
      <w:tr w:rsidR="00326C73" w:rsidRPr="00A45996" w:rsidTr="00326C73">
        <w:trPr>
          <w:cantSplit/>
        </w:trPr>
        <w:tc>
          <w:tcPr>
            <w:tcW w:w="3522" w:type="dxa"/>
          </w:tcPr>
          <w:p w:rsidR="00326C73" w:rsidRPr="00A45996" w:rsidRDefault="00326C73" w:rsidP="00326C73">
            <w:pPr>
              <w:rPr>
                <w:sz w:val="20"/>
                <w:lang w:val="fr-FR"/>
              </w:rPr>
            </w:pPr>
            <w:proofErr w:type="spellStart"/>
            <w:r w:rsidRPr="00A45996">
              <w:rPr>
                <w:sz w:val="20"/>
              </w:rPr>
              <w:t>Median</w:t>
            </w:r>
            <w:r w:rsidRPr="00A45996">
              <w:rPr>
                <w:sz w:val="20"/>
                <w:vertAlign w:val="superscript"/>
              </w:rPr>
              <w:t>a</w:t>
            </w:r>
            <w:proofErr w:type="spellEnd"/>
            <w:r w:rsidRPr="00A45996">
              <w:rPr>
                <w:sz w:val="20"/>
              </w:rPr>
              <w:t xml:space="preserve">     (95% CI)</w:t>
            </w:r>
          </w:p>
        </w:tc>
        <w:tc>
          <w:tcPr>
            <w:tcW w:w="1440" w:type="dxa"/>
            <w:gridSpan w:val="2"/>
          </w:tcPr>
          <w:p w:rsidR="00326C73" w:rsidRPr="00A45996" w:rsidRDefault="00326C73" w:rsidP="00326C73">
            <w:pPr>
              <w:jc w:val="center"/>
              <w:rPr>
                <w:sz w:val="20"/>
              </w:rPr>
            </w:pPr>
            <w:r w:rsidRPr="00A45996">
              <w:rPr>
                <w:sz w:val="20"/>
              </w:rPr>
              <w:t>NE</w:t>
            </w:r>
          </w:p>
          <w:p w:rsidR="00326C73" w:rsidRPr="00A45996" w:rsidRDefault="00326C73" w:rsidP="00326C73">
            <w:pPr>
              <w:jc w:val="center"/>
              <w:rPr>
                <w:sz w:val="20"/>
              </w:rPr>
            </w:pPr>
            <w:r w:rsidRPr="00A45996">
              <w:rPr>
                <w:sz w:val="20"/>
              </w:rPr>
              <w:t>(26.1, NE)</w:t>
            </w:r>
          </w:p>
        </w:tc>
        <w:tc>
          <w:tcPr>
            <w:tcW w:w="1361" w:type="dxa"/>
            <w:vAlign w:val="bottom"/>
          </w:tcPr>
          <w:p w:rsidR="00326C73" w:rsidRPr="00A45996" w:rsidRDefault="00326C73" w:rsidP="00326C73">
            <w:pPr>
              <w:jc w:val="center"/>
              <w:rPr>
                <w:sz w:val="20"/>
              </w:rPr>
            </w:pPr>
            <w:r w:rsidRPr="00A45996">
              <w:rPr>
                <w:sz w:val="20"/>
              </w:rPr>
              <w:t>20.8 mo</w:t>
            </w:r>
          </w:p>
          <w:p w:rsidR="00326C73" w:rsidRPr="00A45996" w:rsidRDefault="00326C73" w:rsidP="00326C73">
            <w:pPr>
              <w:jc w:val="center"/>
              <w:rPr>
                <w:sz w:val="20"/>
              </w:rPr>
            </w:pPr>
            <w:r w:rsidRPr="00A45996">
              <w:rPr>
                <w:sz w:val="20"/>
              </w:rPr>
              <w:t>(18.3, 28.5)</w:t>
            </w:r>
          </w:p>
        </w:tc>
      </w:tr>
      <w:tr w:rsidR="00326C73" w:rsidRPr="00A45996" w:rsidTr="00326C73">
        <w:trPr>
          <w:cantSplit/>
        </w:trPr>
        <w:tc>
          <w:tcPr>
            <w:tcW w:w="3522" w:type="dxa"/>
          </w:tcPr>
          <w:p w:rsidR="00326C73" w:rsidRPr="00A45996" w:rsidRDefault="00326C73" w:rsidP="00326C73">
            <w:pPr>
              <w:rPr>
                <w:sz w:val="20"/>
              </w:rPr>
            </w:pPr>
            <w:r w:rsidRPr="00A45996">
              <w:rPr>
                <w:sz w:val="20"/>
              </w:rPr>
              <w:t xml:space="preserve">Hazard </w:t>
            </w:r>
            <w:proofErr w:type="spellStart"/>
            <w:r w:rsidRPr="00A45996">
              <w:rPr>
                <w:sz w:val="20"/>
              </w:rPr>
              <w:t>ratio</w:t>
            </w:r>
            <w:r w:rsidRPr="00A45996">
              <w:rPr>
                <w:sz w:val="20"/>
                <w:vertAlign w:val="superscript"/>
              </w:rPr>
              <w:t>b</w:t>
            </w:r>
            <w:proofErr w:type="spellEnd"/>
          </w:p>
          <w:p w:rsidR="00326C73" w:rsidRPr="00A45996" w:rsidRDefault="00326C73" w:rsidP="00326C73">
            <w:pPr>
              <w:rPr>
                <w:sz w:val="20"/>
              </w:rPr>
            </w:pPr>
            <w:r w:rsidRPr="00A45996">
              <w:rPr>
                <w:sz w:val="20"/>
              </w:rPr>
              <w:t>(95% CI)</w:t>
            </w:r>
          </w:p>
        </w:tc>
        <w:tc>
          <w:tcPr>
            <w:tcW w:w="2801" w:type="dxa"/>
            <w:gridSpan w:val="3"/>
          </w:tcPr>
          <w:p w:rsidR="00326C73" w:rsidRPr="00A45996" w:rsidRDefault="00326C73" w:rsidP="00326C73">
            <w:pPr>
              <w:jc w:val="center"/>
              <w:rPr>
                <w:sz w:val="20"/>
              </w:rPr>
            </w:pPr>
            <w:r w:rsidRPr="00A45996">
              <w:rPr>
                <w:sz w:val="20"/>
              </w:rPr>
              <w:t>0.52</w:t>
            </w:r>
          </w:p>
          <w:p w:rsidR="00326C73" w:rsidRPr="00A45996" w:rsidRDefault="00326C73" w:rsidP="00326C73">
            <w:pPr>
              <w:jc w:val="center"/>
              <w:rPr>
                <w:sz w:val="20"/>
              </w:rPr>
            </w:pPr>
            <w:r w:rsidRPr="00A45996">
              <w:rPr>
                <w:sz w:val="20"/>
              </w:rPr>
              <w:t>(0.39, 0.70)</w:t>
            </w:r>
          </w:p>
        </w:tc>
      </w:tr>
      <w:tr w:rsidR="00326C73" w:rsidRPr="00A45996" w:rsidTr="00326C73">
        <w:trPr>
          <w:cantSplit/>
        </w:trPr>
        <w:tc>
          <w:tcPr>
            <w:tcW w:w="3522" w:type="dxa"/>
          </w:tcPr>
          <w:p w:rsidR="00326C73" w:rsidRPr="00A45996" w:rsidRDefault="00326C73" w:rsidP="00326C73">
            <w:pPr>
              <w:rPr>
                <w:sz w:val="20"/>
              </w:rPr>
            </w:pPr>
            <w:r w:rsidRPr="00A45996">
              <w:rPr>
                <w:sz w:val="20"/>
              </w:rPr>
              <w:t>p-value</w:t>
            </w:r>
            <w:r w:rsidRPr="00A45996">
              <w:rPr>
                <w:sz w:val="20"/>
                <w:vertAlign w:val="superscript"/>
              </w:rPr>
              <w:t xml:space="preserve"> c</w:t>
            </w:r>
          </w:p>
        </w:tc>
        <w:tc>
          <w:tcPr>
            <w:tcW w:w="2801" w:type="dxa"/>
            <w:gridSpan w:val="3"/>
          </w:tcPr>
          <w:p w:rsidR="00326C73" w:rsidRPr="00A45996" w:rsidRDefault="00326C73" w:rsidP="00326C73">
            <w:pPr>
              <w:jc w:val="center"/>
              <w:rPr>
                <w:sz w:val="20"/>
              </w:rPr>
            </w:pPr>
            <w:r w:rsidRPr="00A45996">
              <w:rPr>
                <w:sz w:val="20"/>
              </w:rPr>
              <w:t>0.000009</w:t>
            </w:r>
          </w:p>
        </w:tc>
      </w:tr>
    </w:tbl>
    <w:p w:rsidR="00326C73" w:rsidRPr="00A45996" w:rsidRDefault="00326C73" w:rsidP="00326C73">
      <w:pPr>
        <w:pStyle w:val="BodyText3"/>
        <w:jc w:val="left"/>
        <w:rPr>
          <w:sz w:val="16"/>
          <w:szCs w:val="16"/>
        </w:rPr>
      </w:pPr>
      <w:proofErr w:type="gramStart"/>
      <w:r w:rsidRPr="00A45996">
        <w:rPr>
          <w:sz w:val="16"/>
          <w:szCs w:val="16"/>
          <w:vertAlign w:val="superscript"/>
        </w:rPr>
        <w:t>a</w:t>
      </w:r>
      <w:proofErr w:type="gramEnd"/>
      <w:r w:rsidRPr="00A45996">
        <w:rPr>
          <w:sz w:val="16"/>
          <w:szCs w:val="16"/>
        </w:rPr>
        <w:t xml:space="preserve"> Kaplan-Meier estimate.</w:t>
      </w:r>
    </w:p>
    <w:p w:rsidR="00326C73" w:rsidRPr="00A45996" w:rsidRDefault="00326C73" w:rsidP="00326C73">
      <w:pPr>
        <w:pStyle w:val="BodyText3"/>
        <w:jc w:val="left"/>
        <w:rPr>
          <w:sz w:val="16"/>
          <w:szCs w:val="16"/>
        </w:rPr>
      </w:pPr>
      <w:proofErr w:type="gramStart"/>
      <w:r w:rsidRPr="00A45996">
        <w:rPr>
          <w:sz w:val="16"/>
          <w:szCs w:val="16"/>
          <w:vertAlign w:val="superscript"/>
        </w:rPr>
        <w:t>b</w:t>
      </w:r>
      <w:proofErr w:type="gramEnd"/>
      <w:r w:rsidRPr="00A45996">
        <w:rPr>
          <w:sz w:val="16"/>
          <w:szCs w:val="16"/>
        </w:rPr>
        <w:t xml:space="preserve"> Hazard ratio estimate is based on a Cox proportional-hazard model adjusted for stratification factors: beta2-microglobulin, albumin, and region. A hazard ratio less than 1 indicates an advantage for VMP</w:t>
      </w:r>
    </w:p>
    <w:p w:rsidR="00326C73" w:rsidRPr="00A45996" w:rsidRDefault="00326C73" w:rsidP="00326C73">
      <w:pPr>
        <w:pStyle w:val="BodyText3"/>
        <w:jc w:val="left"/>
        <w:rPr>
          <w:sz w:val="16"/>
          <w:szCs w:val="16"/>
        </w:rPr>
      </w:pPr>
      <w:proofErr w:type="gramStart"/>
      <w:r w:rsidRPr="00A45996">
        <w:rPr>
          <w:sz w:val="16"/>
          <w:szCs w:val="16"/>
          <w:vertAlign w:val="superscript"/>
        </w:rPr>
        <w:t>c</w:t>
      </w:r>
      <w:proofErr w:type="gramEnd"/>
      <w:r w:rsidRPr="00A45996">
        <w:rPr>
          <w:sz w:val="16"/>
          <w:szCs w:val="16"/>
        </w:rPr>
        <w:t xml:space="preserve"> p-value based on the stratified log-rank test adjusted for stratification factors: beta2-microglobulin, albumin, and region</w:t>
      </w:r>
    </w:p>
    <w:p w:rsidR="00326C73" w:rsidRPr="00A45996" w:rsidRDefault="00326C73" w:rsidP="00326C73">
      <w:pPr>
        <w:pStyle w:val="BodyText3"/>
        <w:jc w:val="left"/>
        <w:rPr>
          <w:sz w:val="16"/>
          <w:szCs w:val="16"/>
        </w:rPr>
      </w:pPr>
      <w:proofErr w:type="gramStart"/>
      <w:r w:rsidRPr="00A45996">
        <w:rPr>
          <w:sz w:val="16"/>
          <w:szCs w:val="16"/>
          <w:vertAlign w:val="superscript"/>
        </w:rPr>
        <w:t>d</w:t>
      </w:r>
      <w:proofErr w:type="gramEnd"/>
      <w:r w:rsidRPr="00A45996">
        <w:rPr>
          <w:sz w:val="16"/>
          <w:szCs w:val="16"/>
        </w:rPr>
        <w:t xml:space="preserve"> p-value for Response Rate (CR + PR) from the Cochran-Mantel-</w:t>
      </w:r>
      <w:proofErr w:type="spellStart"/>
      <w:r w:rsidRPr="00A45996">
        <w:rPr>
          <w:sz w:val="16"/>
          <w:szCs w:val="16"/>
        </w:rPr>
        <w:t>Haenszel</w:t>
      </w:r>
      <w:proofErr w:type="spellEnd"/>
      <w:r w:rsidRPr="00A45996">
        <w:rPr>
          <w:sz w:val="16"/>
          <w:szCs w:val="16"/>
        </w:rPr>
        <w:t xml:space="preserve"> chi-square test adjusted for the stratification factors</w:t>
      </w:r>
    </w:p>
    <w:p w:rsidR="00326C73" w:rsidRPr="00A45996" w:rsidRDefault="00326C73" w:rsidP="00326C73">
      <w:pPr>
        <w:pStyle w:val="BodyText3"/>
        <w:jc w:val="left"/>
        <w:rPr>
          <w:sz w:val="16"/>
          <w:szCs w:val="16"/>
        </w:rPr>
      </w:pPr>
      <w:proofErr w:type="gramStart"/>
      <w:r w:rsidRPr="00A45996">
        <w:rPr>
          <w:sz w:val="16"/>
          <w:szCs w:val="16"/>
          <w:vertAlign w:val="superscript"/>
        </w:rPr>
        <w:t>e</w:t>
      </w:r>
      <w:proofErr w:type="gramEnd"/>
      <w:r w:rsidRPr="00A45996">
        <w:rPr>
          <w:sz w:val="16"/>
          <w:szCs w:val="16"/>
        </w:rPr>
        <w:t xml:space="preserve"> Response population includes patients who had measurable disease at baseline</w:t>
      </w:r>
    </w:p>
    <w:p w:rsidR="00326C73" w:rsidRPr="00A45996" w:rsidRDefault="00326C73" w:rsidP="00326C73">
      <w:pPr>
        <w:pStyle w:val="BodyText3"/>
        <w:jc w:val="left"/>
        <w:rPr>
          <w:sz w:val="16"/>
          <w:szCs w:val="16"/>
        </w:rPr>
      </w:pPr>
      <w:proofErr w:type="gramStart"/>
      <w:r w:rsidRPr="00A45996">
        <w:rPr>
          <w:sz w:val="16"/>
          <w:szCs w:val="16"/>
          <w:vertAlign w:val="superscript"/>
        </w:rPr>
        <w:t>f</w:t>
      </w:r>
      <w:proofErr w:type="gramEnd"/>
      <w:r w:rsidRPr="00A45996">
        <w:rPr>
          <w:sz w:val="16"/>
          <w:szCs w:val="16"/>
        </w:rPr>
        <w:t xml:space="preserve"> EBMT criteria</w:t>
      </w:r>
    </w:p>
    <w:p w:rsidR="00326C73" w:rsidRPr="00A45996" w:rsidRDefault="00326C73" w:rsidP="00326C73">
      <w:pPr>
        <w:pStyle w:val="BodyText3"/>
        <w:jc w:val="left"/>
        <w:rPr>
          <w:sz w:val="16"/>
          <w:szCs w:val="16"/>
        </w:rPr>
      </w:pPr>
      <w:proofErr w:type="gramStart"/>
      <w:r w:rsidRPr="00A45996">
        <w:rPr>
          <w:sz w:val="16"/>
          <w:szCs w:val="16"/>
          <w:vertAlign w:val="superscript"/>
        </w:rPr>
        <w:t>g</w:t>
      </w:r>
      <w:proofErr w:type="gramEnd"/>
      <w:r w:rsidRPr="00A45996">
        <w:rPr>
          <w:sz w:val="16"/>
          <w:szCs w:val="16"/>
        </w:rPr>
        <w:t xml:space="preserve"> All randomized patients with secretory disease</w:t>
      </w:r>
    </w:p>
    <w:p w:rsidR="00326C73" w:rsidRPr="00A45996" w:rsidRDefault="00326C73" w:rsidP="00326C73">
      <w:pPr>
        <w:pStyle w:val="BodyText3"/>
        <w:jc w:val="left"/>
        <w:rPr>
          <w:sz w:val="16"/>
          <w:szCs w:val="16"/>
        </w:rPr>
      </w:pPr>
      <w:r w:rsidRPr="00A45996">
        <w:rPr>
          <w:sz w:val="16"/>
          <w:szCs w:val="16"/>
        </w:rPr>
        <w:t>NE: Not estimable</w:t>
      </w:r>
    </w:p>
    <w:p w:rsidR="00326C73" w:rsidRPr="00A45996" w:rsidRDefault="00326C73" w:rsidP="00326C73">
      <w:pPr>
        <w:rPr>
          <w:rFonts w:cs="Arial"/>
          <w:sz w:val="16"/>
          <w:szCs w:val="16"/>
        </w:rPr>
      </w:pPr>
    </w:p>
    <w:p w:rsidR="00326C73" w:rsidRPr="00A45996" w:rsidRDefault="00326C73" w:rsidP="00326C73">
      <w:pPr>
        <w:pStyle w:val="TableFootnoteCharChar1"/>
        <w:keepNext w:val="0"/>
        <w:spacing w:before="0" w:after="0" w:line="240" w:lineRule="auto"/>
        <w:ind w:left="0" w:firstLine="0"/>
        <w:jc w:val="both"/>
        <w:rPr>
          <w:rFonts w:ascii="Arial" w:hAnsi="Arial" w:cs="Arial"/>
          <w:sz w:val="22"/>
          <w:szCs w:val="22"/>
        </w:rPr>
      </w:pPr>
      <w:r w:rsidRPr="00A45996">
        <w:rPr>
          <w:rFonts w:ascii="Arial" w:hAnsi="Arial" w:cs="Arial"/>
          <w:b/>
          <w:bCs/>
          <w:sz w:val="22"/>
          <w:szCs w:val="22"/>
          <w:u w:val="single"/>
        </w:rPr>
        <w:br w:type="page"/>
      </w:r>
      <w:r w:rsidRPr="00A45996">
        <w:rPr>
          <w:rFonts w:ascii="Arial" w:hAnsi="Arial" w:cs="Arial"/>
          <w:sz w:val="22"/>
          <w:szCs w:val="22"/>
        </w:rPr>
        <w:lastRenderedPageBreak/>
        <w:t>The time to progression (TTP) was significantly longer on the VELCADE arm (see Figure 3)</w:t>
      </w:r>
    </w:p>
    <w:p w:rsidR="00326C73" w:rsidRPr="00A45996" w:rsidRDefault="00326C73" w:rsidP="00326C73">
      <w:pPr>
        <w:pStyle w:val="Footer"/>
        <w:tabs>
          <w:tab w:val="clear" w:pos="4153"/>
          <w:tab w:val="clear" w:pos="8306"/>
        </w:tabs>
        <w:rPr>
          <w:lang w:val="en-US"/>
        </w:rPr>
      </w:pPr>
    </w:p>
    <w:p w:rsidR="00326C73" w:rsidRPr="00A45996" w:rsidRDefault="00F61357" w:rsidP="00326C73">
      <w:pPr>
        <w:rPr>
          <w:lang w:val="en-US"/>
        </w:rPr>
      </w:pPr>
      <w:r>
        <w:rPr>
          <w:noProof/>
          <w:lang w:val="en-US"/>
        </w:rPr>
        <w:pict>
          <v:shapetype id="_x0000_t202" coordsize="21600,21600" o:spt="202" path="m,l,21600r21600,l21600,xe">
            <v:stroke joinstyle="miter"/>
            <v:path gradientshapeok="t" o:connecttype="rect"/>
          </v:shapetype>
          <v:shape id="_x0000_s2055" type="#_x0000_t202" style="position:absolute;left:0;text-align:left;margin-left:63.95pt;margin-top:25.4pt;width:366pt;height:29.25pt;z-index:251665408;mso-width-relative:margin;mso-height-relative:margin">
            <v:textbox style="mso-next-textbox:#_x0000_s2055">
              <w:txbxContent>
                <w:p w:rsidR="00A45996" w:rsidRDefault="00A45996" w:rsidP="00326C73">
                  <w:pPr>
                    <w:jc w:val="center"/>
                    <w:rPr>
                      <w:b/>
                      <w:sz w:val="18"/>
                      <w:szCs w:val="18"/>
                    </w:rPr>
                  </w:pPr>
                  <w:r w:rsidRPr="00877F7C">
                    <w:rPr>
                      <w:b/>
                      <w:sz w:val="18"/>
                      <w:szCs w:val="18"/>
                    </w:rPr>
                    <w:t xml:space="preserve">Figure </w:t>
                  </w:r>
                  <w:r>
                    <w:rPr>
                      <w:b/>
                      <w:sz w:val="18"/>
                      <w:szCs w:val="18"/>
                    </w:rPr>
                    <w:t>3</w:t>
                  </w:r>
                  <w:r w:rsidRPr="00877F7C">
                    <w:rPr>
                      <w:b/>
                      <w:sz w:val="18"/>
                      <w:szCs w:val="18"/>
                    </w:rPr>
                    <w:t xml:space="preserve">: </w:t>
                  </w:r>
                  <w:r>
                    <w:rPr>
                      <w:b/>
                      <w:sz w:val="18"/>
                      <w:szCs w:val="18"/>
                    </w:rPr>
                    <w:t>Time to Disease Progression</w:t>
                  </w:r>
                </w:p>
                <w:p w:rsidR="00A45996" w:rsidRDefault="00A45996" w:rsidP="00326C73">
                  <w:pPr>
                    <w:jc w:val="center"/>
                    <w:rPr>
                      <w:sz w:val="18"/>
                      <w:szCs w:val="18"/>
                    </w:rPr>
                  </w:pPr>
                  <w:r w:rsidRPr="00877F7C">
                    <w:rPr>
                      <w:sz w:val="18"/>
                      <w:szCs w:val="18"/>
                    </w:rPr>
                    <w:t>(Study 26866138-MMY-3002 Update: All Randomised Subjects Analysis Set</w:t>
                  </w:r>
                </w:p>
              </w:txbxContent>
            </v:textbox>
          </v:shape>
        </w:pict>
      </w:r>
      <w:r w:rsidR="00326C73" w:rsidRPr="00A45996">
        <w:rPr>
          <w:noProof/>
          <w:lang w:eastAsia="en-AU"/>
        </w:rPr>
        <w:drawing>
          <wp:inline distT="0" distB="0" distL="0" distR="0" wp14:anchorId="4282C4FF" wp14:editId="2DCC4141">
            <wp:extent cx="5962650" cy="370522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62650" cy="3705225"/>
                    </a:xfrm>
                    <a:prstGeom prst="rect">
                      <a:avLst/>
                    </a:prstGeom>
                    <a:noFill/>
                    <a:ln w="9525">
                      <a:noFill/>
                      <a:miter lim="800000"/>
                      <a:headEnd/>
                      <a:tailEnd/>
                    </a:ln>
                  </pic:spPr>
                </pic:pic>
              </a:graphicData>
            </a:graphic>
          </wp:inline>
        </w:drawing>
      </w:r>
    </w:p>
    <w:p w:rsidR="00326C73" w:rsidRPr="00A45996" w:rsidRDefault="00326C73" w:rsidP="00326C73">
      <w:pPr>
        <w:pStyle w:val="TableFootnoteCharChar1"/>
        <w:keepNext w:val="0"/>
        <w:spacing w:before="0" w:after="0" w:line="240" w:lineRule="auto"/>
        <w:ind w:left="0" w:firstLine="0"/>
        <w:jc w:val="both"/>
        <w:rPr>
          <w:rFonts w:ascii="Arial" w:hAnsi="Arial" w:cs="Arial"/>
          <w:b/>
          <w:bCs/>
          <w:sz w:val="22"/>
          <w:szCs w:val="22"/>
          <w:u w:val="single"/>
        </w:rPr>
      </w:pPr>
    </w:p>
    <w:p w:rsidR="00326C73" w:rsidRPr="00A45996" w:rsidRDefault="00326C73" w:rsidP="00326C73">
      <w:pPr>
        <w:keepLines w:val="0"/>
        <w:jc w:val="left"/>
        <w:rPr>
          <w:lang w:val="en-US"/>
        </w:rPr>
      </w:pPr>
    </w:p>
    <w:p w:rsidR="00326C73" w:rsidRPr="00A45996" w:rsidRDefault="00326C73" w:rsidP="00326C73">
      <w:pPr>
        <w:keepLines w:val="0"/>
        <w:jc w:val="left"/>
        <w:rPr>
          <w:lang w:val="en-US"/>
        </w:rPr>
      </w:pPr>
    </w:p>
    <w:p w:rsidR="00326C73" w:rsidRPr="00A45996" w:rsidRDefault="00326C73" w:rsidP="00326C73">
      <w:pPr>
        <w:keepLines w:val="0"/>
        <w:jc w:val="left"/>
        <w:rPr>
          <w:lang w:val="en-US"/>
        </w:rPr>
      </w:pPr>
      <w:r w:rsidRPr="00A45996">
        <w:rPr>
          <w:lang w:val="en-US"/>
        </w:rPr>
        <w:t>A significant survival advantage is shown with VELCADE (see Figure 4)</w:t>
      </w:r>
    </w:p>
    <w:p w:rsidR="00326C73" w:rsidRPr="00A45996" w:rsidRDefault="00F61357" w:rsidP="00326C73">
      <w:pPr>
        <w:rPr>
          <w:lang w:val="en-US"/>
        </w:rPr>
      </w:pPr>
      <w:r>
        <w:rPr>
          <w:noProof/>
          <w:lang w:eastAsia="zh-TW"/>
        </w:rPr>
        <w:pict>
          <v:shape id="_x0000_s2054" type="#_x0000_t202" style="position:absolute;left:0;text-align:left;margin-left:63.95pt;margin-top:6.55pt;width:366pt;height:29.25pt;z-index:251664384;mso-width-relative:margin;mso-height-relative:margin">
            <v:textbox style="mso-next-textbox:#_x0000_s2054">
              <w:txbxContent>
                <w:p w:rsidR="00A45996" w:rsidRDefault="00A45996" w:rsidP="00326C73">
                  <w:pPr>
                    <w:jc w:val="center"/>
                    <w:rPr>
                      <w:b/>
                      <w:sz w:val="18"/>
                      <w:szCs w:val="18"/>
                    </w:rPr>
                  </w:pPr>
                  <w:r w:rsidRPr="00877F7C">
                    <w:rPr>
                      <w:b/>
                      <w:sz w:val="18"/>
                      <w:szCs w:val="18"/>
                    </w:rPr>
                    <w:t xml:space="preserve">Figure </w:t>
                  </w:r>
                  <w:r>
                    <w:rPr>
                      <w:b/>
                      <w:sz w:val="18"/>
                      <w:szCs w:val="18"/>
                    </w:rPr>
                    <w:t>4</w:t>
                  </w:r>
                  <w:r w:rsidRPr="00877F7C">
                    <w:rPr>
                      <w:b/>
                      <w:sz w:val="18"/>
                      <w:szCs w:val="18"/>
                    </w:rPr>
                    <w:t>: Overall Survival</w:t>
                  </w:r>
                </w:p>
                <w:p w:rsidR="00A45996" w:rsidRDefault="00A45996" w:rsidP="00326C73">
                  <w:pPr>
                    <w:jc w:val="center"/>
                    <w:rPr>
                      <w:sz w:val="18"/>
                      <w:szCs w:val="18"/>
                    </w:rPr>
                  </w:pPr>
                  <w:r w:rsidRPr="00877F7C">
                    <w:rPr>
                      <w:sz w:val="18"/>
                      <w:szCs w:val="18"/>
                    </w:rPr>
                    <w:t>(Study 26866138-MMY-3002 Update: All Randomised Subjects Analysis Set</w:t>
                  </w:r>
                </w:p>
              </w:txbxContent>
            </v:textbox>
          </v:shape>
        </w:pict>
      </w:r>
    </w:p>
    <w:p w:rsidR="00326C73" w:rsidRPr="00A45996" w:rsidRDefault="00326C73" w:rsidP="00326C73">
      <w:pPr>
        <w:rPr>
          <w:lang w:val="en-US"/>
        </w:rPr>
      </w:pPr>
      <w:r w:rsidRPr="00A45996">
        <w:rPr>
          <w:noProof/>
          <w:lang w:eastAsia="en-AU"/>
        </w:rPr>
        <w:drawing>
          <wp:inline distT="0" distB="0" distL="0" distR="0" wp14:anchorId="0FF0338E" wp14:editId="0CF6995E">
            <wp:extent cx="5824855" cy="3551532"/>
            <wp:effectExtent l="19050" t="0" r="444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824855" cy="3551532"/>
                    </a:xfrm>
                    <a:prstGeom prst="rect">
                      <a:avLst/>
                    </a:prstGeom>
                    <a:noFill/>
                    <a:ln w="9525">
                      <a:noFill/>
                      <a:miter lim="800000"/>
                      <a:headEnd/>
                      <a:tailEnd/>
                    </a:ln>
                  </pic:spPr>
                </pic:pic>
              </a:graphicData>
            </a:graphic>
          </wp:inline>
        </w:drawing>
      </w:r>
    </w:p>
    <w:p w:rsidR="00326C73" w:rsidRPr="00A45996" w:rsidRDefault="00326C73" w:rsidP="00326C73">
      <w:pPr>
        <w:rPr>
          <w:lang w:val="en-US"/>
        </w:rPr>
      </w:pPr>
    </w:p>
    <w:p w:rsidR="00326C73" w:rsidRPr="00A45996" w:rsidRDefault="00326C73" w:rsidP="00326C73">
      <w:pPr>
        <w:pStyle w:val="TableFootnoteCharChar1"/>
        <w:keepNext w:val="0"/>
        <w:spacing w:before="120" w:after="80" w:line="240" w:lineRule="auto"/>
        <w:ind w:left="0" w:firstLine="0"/>
        <w:jc w:val="both"/>
        <w:rPr>
          <w:rFonts w:ascii="Arial" w:hAnsi="Arial" w:cs="Arial"/>
          <w:b/>
          <w:bCs/>
          <w:sz w:val="24"/>
          <w:szCs w:val="22"/>
        </w:rPr>
      </w:pPr>
      <w:r w:rsidRPr="00A45996">
        <w:rPr>
          <w:rFonts w:ascii="Arial" w:hAnsi="Arial" w:cs="Arial"/>
          <w:b/>
          <w:bCs/>
          <w:sz w:val="22"/>
          <w:szCs w:val="22"/>
          <w:u w:val="single"/>
        </w:rPr>
        <w:br w:type="page"/>
      </w:r>
      <w:r w:rsidRPr="00A45996">
        <w:rPr>
          <w:rFonts w:ascii="Arial" w:hAnsi="Arial" w:cs="Arial"/>
          <w:b/>
          <w:bCs/>
          <w:sz w:val="24"/>
          <w:szCs w:val="22"/>
        </w:rPr>
        <w:lastRenderedPageBreak/>
        <w:t xml:space="preserve">Relapsed / Refractory Multiple Myeloma </w:t>
      </w:r>
    </w:p>
    <w:p w:rsidR="00326C73" w:rsidRPr="00A45996" w:rsidRDefault="00326C73" w:rsidP="00326C73">
      <w:pPr>
        <w:pStyle w:val="TableFootnoteCharChar1"/>
        <w:keepNext w:val="0"/>
        <w:spacing w:after="80" w:line="240" w:lineRule="auto"/>
        <w:ind w:left="0" w:firstLine="0"/>
        <w:jc w:val="both"/>
        <w:rPr>
          <w:rFonts w:ascii="Arial" w:hAnsi="Arial" w:cs="Arial"/>
          <w:sz w:val="22"/>
          <w:szCs w:val="24"/>
        </w:rPr>
      </w:pPr>
      <w:r w:rsidRPr="00A45996">
        <w:rPr>
          <w:rFonts w:ascii="Arial" w:hAnsi="Arial" w:cs="Arial"/>
          <w:sz w:val="22"/>
          <w:szCs w:val="22"/>
        </w:rPr>
        <w:t>The safety and efficacy of VELCADE were evaluated in 2 studies at the recommended dose of 1.3 mg/m</w:t>
      </w:r>
      <w:r w:rsidRPr="00A45996">
        <w:rPr>
          <w:rFonts w:ascii="Arial" w:hAnsi="Arial" w:cs="Arial"/>
          <w:sz w:val="22"/>
          <w:szCs w:val="22"/>
          <w:vertAlign w:val="superscript"/>
        </w:rPr>
        <w:t>2</w:t>
      </w:r>
      <w:r w:rsidRPr="00A45996">
        <w:rPr>
          <w:rFonts w:ascii="Arial" w:hAnsi="Arial" w:cs="Arial"/>
          <w:sz w:val="22"/>
          <w:szCs w:val="22"/>
        </w:rPr>
        <w:t xml:space="preserve">: The APEX study - a phase III </w:t>
      </w:r>
      <w:proofErr w:type="spellStart"/>
      <w:r w:rsidRPr="00A45996">
        <w:rPr>
          <w:rFonts w:ascii="Arial" w:hAnsi="Arial" w:cs="Arial"/>
          <w:sz w:val="22"/>
          <w:szCs w:val="22"/>
        </w:rPr>
        <w:t>randomised</w:t>
      </w:r>
      <w:proofErr w:type="spellEnd"/>
      <w:r w:rsidRPr="00A45996">
        <w:rPr>
          <w:rFonts w:ascii="Arial" w:hAnsi="Arial" w:cs="Arial"/>
          <w:sz w:val="22"/>
          <w:szCs w:val="22"/>
        </w:rPr>
        <w:t>, stratified, open-label, comparative study, versus Dexamethasone (</w:t>
      </w:r>
      <w:proofErr w:type="spellStart"/>
      <w:r w:rsidRPr="00A45996">
        <w:rPr>
          <w:rFonts w:ascii="Arial" w:hAnsi="Arial" w:cs="Arial"/>
          <w:sz w:val="22"/>
          <w:szCs w:val="22"/>
        </w:rPr>
        <w:t>Dex</w:t>
      </w:r>
      <w:proofErr w:type="spellEnd"/>
      <w:r w:rsidRPr="00A45996">
        <w:rPr>
          <w:rFonts w:ascii="Arial" w:hAnsi="Arial" w:cs="Arial"/>
          <w:sz w:val="22"/>
          <w:szCs w:val="22"/>
        </w:rPr>
        <w:t>), of 669 patients with relapsed or refractory multiple myeloma who had received 1-3 prior lines of therapy, and a phase II single-arm study of 202 patients with relapsed and refractory multiple myeloma, who had received at least 2 prior lines of treatment and who were progressing on their most recent treatment (see Tables 6 and 7).</w:t>
      </w:r>
    </w:p>
    <w:p w:rsidR="00326C73" w:rsidRPr="00A45996" w:rsidRDefault="00326C73" w:rsidP="00326C73">
      <w:pPr>
        <w:pStyle w:val="Heading3"/>
        <w:spacing w:before="20" w:after="80"/>
        <w:jc w:val="both"/>
        <w:rPr>
          <w:b/>
          <w:sz w:val="20"/>
          <w:lang w:val="en-GB"/>
        </w:rPr>
      </w:pPr>
      <w:r w:rsidRPr="00A45996">
        <w:rPr>
          <w:b/>
          <w:sz w:val="20"/>
          <w:lang w:val="en-GB"/>
        </w:rPr>
        <w:t xml:space="preserve">Table 6: Dosing regimens in the APEX and Phase II studies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3412"/>
        <w:gridCol w:w="2081"/>
        <w:gridCol w:w="2455"/>
      </w:tblGrid>
      <w:tr w:rsidR="00326C73" w:rsidRPr="00A45996" w:rsidTr="00326C73">
        <w:tc>
          <w:tcPr>
            <w:tcW w:w="1232" w:type="dxa"/>
          </w:tcPr>
          <w:p w:rsidR="00326C73" w:rsidRPr="00A45996" w:rsidRDefault="00326C73" w:rsidP="00326C73">
            <w:pPr>
              <w:rPr>
                <w:szCs w:val="22"/>
              </w:rPr>
            </w:pPr>
            <w:r w:rsidRPr="00A45996">
              <w:rPr>
                <w:szCs w:val="22"/>
              </w:rPr>
              <w:t>Phase/arm</w:t>
            </w:r>
          </w:p>
        </w:tc>
        <w:tc>
          <w:tcPr>
            <w:tcW w:w="3412" w:type="dxa"/>
          </w:tcPr>
          <w:p w:rsidR="00326C73" w:rsidRPr="00A45996" w:rsidRDefault="00326C73" w:rsidP="00326C73">
            <w:pPr>
              <w:rPr>
                <w:szCs w:val="22"/>
              </w:rPr>
            </w:pPr>
            <w:r w:rsidRPr="00A45996">
              <w:rPr>
                <w:szCs w:val="22"/>
              </w:rPr>
              <w:t>Drug Schedule</w:t>
            </w:r>
          </w:p>
        </w:tc>
        <w:tc>
          <w:tcPr>
            <w:tcW w:w="2081" w:type="dxa"/>
          </w:tcPr>
          <w:p w:rsidR="00326C73" w:rsidRPr="00A45996" w:rsidRDefault="00326C73" w:rsidP="00326C73">
            <w:pPr>
              <w:rPr>
                <w:szCs w:val="22"/>
                <w:lang w:val="pt-PT"/>
              </w:rPr>
            </w:pPr>
            <w:r w:rsidRPr="00A45996">
              <w:rPr>
                <w:szCs w:val="22"/>
                <w:lang w:val="pt-PT"/>
              </w:rPr>
              <w:t>Dose</w:t>
            </w:r>
          </w:p>
        </w:tc>
        <w:tc>
          <w:tcPr>
            <w:tcW w:w="2455" w:type="dxa"/>
          </w:tcPr>
          <w:p w:rsidR="00326C73" w:rsidRPr="00A45996" w:rsidRDefault="00326C73" w:rsidP="00326C73">
            <w:pPr>
              <w:rPr>
                <w:szCs w:val="22"/>
                <w:lang w:val="pt-PT"/>
              </w:rPr>
            </w:pPr>
            <w:r w:rsidRPr="00A45996">
              <w:rPr>
                <w:szCs w:val="22"/>
                <w:lang w:val="pt-PT"/>
              </w:rPr>
              <w:t>Regimen</w:t>
            </w:r>
          </w:p>
        </w:tc>
      </w:tr>
      <w:tr w:rsidR="00326C73" w:rsidRPr="00A45996" w:rsidTr="00326C73">
        <w:tc>
          <w:tcPr>
            <w:tcW w:w="1232" w:type="dxa"/>
          </w:tcPr>
          <w:p w:rsidR="00326C73" w:rsidRPr="00A45996" w:rsidRDefault="00326C73" w:rsidP="00326C73">
            <w:pPr>
              <w:rPr>
                <w:sz w:val="20"/>
                <w:szCs w:val="22"/>
                <w:lang w:val="pt-PT"/>
              </w:rPr>
            </w:pPr>
            <w:r w:rsidRPr="00A45996">
              <w:rPr>
                <w:sz w:val="20"/>
                <w:szCs w:val="22"/>
                <w:lang w:val="pt-PT"/>
              </w:rPr>
              <w:t>II</w:t>
            </w:r>
          </w:p>
        </w:tc>
        <w:tc>
          <w:tcPr>
            <w:tcW w:w="3412" w:type="dxa"/>
          </w:tcPr>
          <w:p w:rsidR="00326C73" w:rsidRPr="00A45996" w:rsidRDefault="00326C73" w:rsidP="00326C73">
            <w:pPr>
              <w:rPr>
                <w:sz w:val="20"/>
                <w:szCs w:val="22"/>
              </w:rPr>
            </w:pPr>
            <w:r w:rsidRPr="00A45996">
              <w:rPr>
                <w:sz w:val="20"/>
                <w:szCs w:val="22"/>
              </w:rPr>
              <w:t>VELCADE: Day 1,4,8,11 (rest Day 12-21)</w:t>
            </w:r>
          </w:p>
        </w:tc>
        <w:tc>
          <w:tcPr>
            <w:tcW w:w="2081" w:type="dxa"/>
          </w:tcPr>
          <w:p w:rsidR="00326C73" w:rsidRPr="00A45996" w:rsidRDefault="00326C73" w:rsidP="00326C73">
            <w:pPr>
              <w:rPr>
                <w:sz w:val="20"/>
                <w:szCs w:val="22"/>
              </w:rPr>
            </w:pPr>
            <w:r w:rsidRPr="00A45996">
              <w:rPr>
                <w:sz w:val="20"/>
                <w:szCs w:val="22"/>
              </w:rPr>
              <w:t>1.3 mg/m</w:t>
            </w:r>
            <w:r w:rsidRPr="00A45996">
              <w:rPr>
                <w:sz w:val="20"/>
                <w:szCs w:val="22"/>
                <w:vertAlign w:val="superscript"/>
              </w:rPr>
              <w:t>2</w:t>
            </w:r>
            <w:r w:rsidRPr="00A45996">
              <w:rPr>
                <w:sz w:val="20"/>
                <w:szCs w:val="22"/>
              </w:rPr>
              <w:t xml:space="preserve"> (IV bolus)</w:t>
            </w:r>
          </w:p>
        </w:tc>
        <w:tc>
          <w:tcPr>
            <w:tcW w:w="2455" w:type="dxa"/>
          </w:tcPr>
          <w:p w:rsidR="00326C73" w:rsidRPr="00A45996" w:rsidRDefault="00326C73" w:rsidP="00326C73">
            <w:pPr>
              <w:rPr>
                <w:sz w:val="20"/>
                <w:szCs w:val="22"/>
              </w:rPr>
            </w:pPr>
            <w:r w:rsidRPr="00A45996">
              <w:rPr>
                <w:sz w:val="20"/>
                <w:szCs w:val="22"/>
              </w:rPr>
              <w:t>Q3 weeks x 8 cycles (extension**)</w:t>
            </w:r>
          </w:p>
        </w:tc>
      </w:tr>
      <w:tr w:rsidR="00326C73" w:rsidRPr="00A45996" w:rsidTr="00326C73">
        <w:tc>
          <w:tcPr>
            <w:tcW w:w="1232" w:type="dxa"/>
          </w:tcPr>
          <w:p w:rsidR="00326C73" w:rsidRPr="00A45996" w:rsidRDefault="00326C73" w:rsidP="00326C73">
            <w:pPr>
              <w:rPr>
                <w:sz w:val="20"/>
                <w:szCs w:val="22"/>
              </w:rPr>
            </w:pPr>
            <w:r w:rsidRPr="00A45996">
              <w:rPr>
                <w:sz w:val="20"/>
                <w:szCs w:val="22"/>
              </w:rPr>
              <w:t>III (APEX)</w:t>
            </w:r>
          </w:p>
        </w:tc>
        <w:tc>
          <w:tcPr>
            <w:tcW w:w="3412" w:type="dxa"/>
          </w:tcPr>
          <w:p w:rsidR="00326C73" w:rsidRPr="00A45996" w:rsidRDefault="00326C73" w:rsidP="00326C73">
            <w:pPr>
              <w:rPr>
                <w:sz w:val="20"/>
                <w:szCs w:val="22"/>
              </w:rPr>
            </w:pPr>
            <w:r w:rsidRPr="00A45996">
              <w:rPr>
                <w:sz w:val="20"/>
                <w:szCs w:val="22"/>
              </w:rPr>
              <w:t xml:space="preserve">VELCADE* </w:t>
            </w:r>
          </w:p>
          <w:p w:rsidR="00326C73" w:rsidRPr="00A45996" w:rsidRDefault="00326C73" w:rsidP="00326C73">
            <w:pPr>
              <w:rPr>
                <w:sz w:val="20"/>
                <w:szCs w:val="22"/>
              </w:rPr>
            </w:pPr>
            <w:r w:rsidRPr="00A45996">
              <w:rPr>
                <w:sz w:val="20"/>
                <w:szCs w:val="22"/>
              </w:rPr>
              <w:t>a) Days 1,4,8,11 (Rest Day 12-21)</w:t>
            </w:r>
          </w:p>
          <w:p w:rsidR="00326C73" w:rsidRPr="00A45996" w:rsidRDefault="00326C73" w:rsidP="00326C73">
            <w:pPr>
              <w:rPr>
                <w:sz w:val="20"/>
                <w:szCs w:val="22"/>
              </w:rPr>
            </w:pPr>
            <w:r w:rsidRPr="00A45996">
              <w:rPr>
                <w:sz w:val="20"/>
                <w:szCs w:val="22"/>
              </w:rPr>
              <w:t>b) Days 1,8,15,22 (Rest Day 23-35)</w:t>
            </w:r>
          </w:p>
        </w:tc>
        <w:tc>
          <w:tcPr>
            <w:tcW w:w="2081" w:type="dxa"/>
          </w:tcPr>
          <w:p w:rsidR="00326C73" w:rsidRPr="00A45996" w:rsidRDefault="00326C73" w:rsidP="00326C73">
            <w:pPr>
              <w:pStyle w:val="paragraph0"/>
              <w:spacing w:before="0" w:after="0" w:line="240" w:lineRule="auto"/>
              <w:rPr>
                <w:rFonts w:ascii="Arial" w:eastAsia="Times New Roman" w:hAnsi="Arial" w:cs="Arial"/>
                <w:sz w:val="20"/>
                <w:szCs w:val="22"/>
              </w:rPr>
            </w:pPr>
          </w:p>
          <w:p w:rsidR="00326C73" w:rsidRPr="00A45996" w:rsidRDefault="00326C73" w:rsidP="00326C73">
            <w:pPr>
              <w:pStyle w:val="paragraph0"/>
              <w:spacing w:before="0" w:after="0" w:line="240" w:lineRule="auto"/>
              <w:rPr>
                <w:rFonts w:ascii="Arial" w:eastAsia="Times New Roman" w:hAnsi="Arial" w:cs="Arial"/>
                <w:sz w:val="20"/>
                <w:szCs w:val="22"/>
              </w:rPr>
            </w:pPr>
            <w:r w:rsidRPr="00A45996">
              <w:rPr>
                <w:rFonts w:ascii="Arial" w:eastAsia="Times New Roman" w:hAnsi="Arial" w:cs="Arial"/>
                <w:sz w:val="20"/>
                <w:szCs w:val="22"/>
              </w:rPr>
              <w:t>1.3 mg/m</w:t>
            </w:r>
            <w:r w:rsidRPr="00A45996">
              <w:rPr>
                <w:rFonts w:ascii="Arial" w:eastAsia="Times New Roman" w:hAnsi="Arial" w:cs="Arial"/>
                <w:sz w:val="20"/>
                <w:szCs w:val="22"/>
                <w:vertAlign w:val="superscript"/>
              </w:rPr>
              <w:t>2</w:t>
            </w:r>
            <w:r w:rsidRPr="00A45996">
              <w:rPr>
                <w:rFonts w:ascii="Arial" w:eastAsia="Times New Roman" w:hAnsi="Arial" w:cs="Arial"/>
                <w:sz w:val="20"/>
                <w:szCs w:val="22"/>
              </w:rPr>
              <w:t xml:space="preserve"> (IV bolus)</w:t>
            </w:r>
          </w:p>
        </w:tc>
        <w:tc>
          <w:tcPr>
            <w:tcW w:w="2455" w:type="dxa"/>
          </w:tcPr>
          <w:p w:rsidR="00326C73" w:rsidRPr="00A45996" w:rsidRDefault="00326C73" w:rsidP="00326C73">
            <w:pPr>
              <w:rPr>
                <w:sz w:val="20"/>
                <w:szCs w:val="22"/>
              </w:rPr>
            </w:pPr>
          </w:p>
          <w:p w:rsidR="00326C73" w:rsidRPr="00A45996" w:rsidRDefault="00326C73" w:rsidP="00326C73">
            <w:pPr>
              <w:rPr>
                <w:sz w:val="20"/>
                <w:szCs w:val="22"/>
              </w:rPr>
            </w:pPr>
            <w:r w:rsidRPr="00A45996">
              <w:rPr>
                <w:sz w:val="20"/>
                <w:szCs w:val="22"/>
              </w:rPr>
              <w:t>a) Q3 weeks x 8, then</w:t>
            </w:r>
          </w:p>
          <w:p w:rsidR="00326C73" w:rsidRPr="00A45996" w:rsidRDefault="00326C73" w:rsidP="00326C73">
            <w:pPr>
              <w:rPr>
                <w:sz w:val="20"/>
                <w:szCs w:val="22"/>
              </w:rPr>
            </w:pPr>
            <w:r w:rsidRPr="00A45996">
              <w:rPr>
                <w:sz w:val="20"/>
                <w:szCs w:val="22"/>
              </w:rPr>
              <w:t>b) Q5 weeks x 3</w:t>
            </w:r>
          </w:p>
        </w:tc>
      </w:tr>
      <w:tr w:rsidR="00326C73" w:rsidRPr="00A45996" w:rsidTr="00326C73">
        <w:tc>
          <w:tcPr>
            <w:tcW w:w="1232" w:type="dxa"/>
          </w:tcPr>
          <w:p w:rsidR="00326C73" w:rsidRPr="00A45996" w:rsidRDefault="00326C73" w:rsidP="00326C73">
            <w:pPr>
              <w:rPr>
                <w:sz w:val="20"/>
                <w:szCs w:val="22"/>
              </w:rPr>
            </w:pPr>
            <w:r w:rsidRPr="00A45996">
              <w:rPr>
                <w:sz w:val="20"/>
                <w:szCs w:val="22"/>
              </w:rPr>
              <w:t>III (APEX)</w:t>
            </w:r>
          </w:p>
        </w:tc>
        <w:tc>
          <w:tcPr>
            <w:tcW w:w="3412" w:type="dxa"/>
          </w:tcPr>
          <w:p w:rsidR="00326C73" w:rsidRPr="00A45996" w:rsidRDefault="00326C73" w:rsidP="00326C73">
            <w:pPr>
              <w:rPr>
                <w:sz w:val="20"/>
                <w:szCs w:val="22"/>
              </w:rPr>
            </w:pPr>
            <w:r w:rsidRPr="00A45996">
              <w:rPr>
                <w:sz w:val="20"/>
                <w:szCs w:val="22"/>
              </w:rPr>
              <w:t>DEXAMETHASONE</w:t>
            </w:r>
          </w:p>
          <w:p w:rsidR="00326C73" w:rsidRPr="00A45996" w:rsidRDefault="00326C73" w:rsidP="00326C73">
            <w:pPr>
              <w:numPr>
                <w:ilvl w:val="0"/>
                <w:numId w:val="3"/>
              </w:numPr>
              <w:tabs>
                <w:tab w:val="clear" w:pos="720"/>
                <w:tab w:val="num" w:pos="186"/>
              </w:tabs>
              <w:ind w:left="186" w:hanging="186"/>
              <w:rPr>
                <w:vanish/>
                <w:sz w:val="20"/>
              </w:rPr>
            </w:pPr>
            <w:r w:rsidRPr="00A45996">
              <w:rPr>
                <w:sz w:val="20"/>
                <w:lang w:val="en-US"/>
              </w:rPr>
              <w:t>Days 1</w:t>
            </w:r>
            <w:r w:rsidRPr="00A45996">
              <w:rPr>
                <w:rFonts w:eastAsia="Arial"/>
                <w:sz w:val="20"/>
                <w:lang w:val="en-US"/>
              </w:rPr>
              <w:t>–</w:t>
            </w:r>
            <w:r w:rsidRPr="00A45996">
              <w:rPr>
                <w:sz w:val="20"/>
                <w:lang w:val="en-US"/>
              </w:rPr>
              <w:t>4, 9</w:t>
            </w:r>
            <w:r w:rsidRPr="00A45996">
              <w:rPr>
                <w:rFonts w:eastAsia="Arial"/>
                <w:sz w:val="20"/>
                <w:lang w:val="en-US"/>
              </w:rPr>
              <w:t>–</w:t>
            </w:r>
            <w:r w:rsidRPr="00A45996">
              <w:rPr>
                <w:sz w:val="20"/>
                <w:lang w:val="en-US"/>
              </w:rPr>
              <w:t>12, 17</w:t>
            </w:r>
            <w:r w:rsidRPr="00A45996">
              <w:rPr>
                <w:rFonts w:eastAsia="Arial"/>
                <w:sz w:val="20"/>
                <w:lang w:val="en-US"/>
              </w:rPr>
              <w:t>–</w:t>
            </w:r>
            <w:r w:rsidRPr="00A45996">
              <w:rPr>
                <w:sz w:val="20"/>
                <w:lang w:val="en-US"/>
              </w:rPr>
              <w:t>20</w:t>
            </w:r>
          </w:p>
          <w:p w:rsidR="00326C73" w:rsidRPr="00A45996" w:rsidRDefault="00326C73" w:rsidP="00326C73">
            <w:pPr>
              <w:numPr>
                <w:ilvl w:val="0"/>
                <w:numId w:val="3"/>
              </w:numPr>
              <w:tabs>
                <w:tab w:val="clear" w:pos="720"/>
                <w:tab w:val="num" w:pos="186"/>
              </w:tabs>
              <w:ind w:left="186" w:hanging="186"/>
              <w:rPr>
                <w:sz w:val="20"/>
                <w:szCs w:val="22"/>
              </w:rPr>
            </w:pPr>
            <w:r w:rsidRPr="00A45996">
              <w:rPr>
                <w:sz w:val="20"/>
                <w:lang w:val="en-US"/>
              </w:rPr>
              <w:t>Days 1</w:t>
            </w:r>
            <w:r w:rsidRPr="00A45996">
              <w:rPr>
                <w:rFonts w:eastAsia="Arial"/>
                <w:sz w:val="20"/>
                <w:lang w:val="en-US"/>
              </w:rPr>
              <w:t>–</w:t>
            </w:r>
            <w:r w:rsidRPr="00A45996">
              <w:rPr>
                <w:sz w:val="20"/>
                <w:lang w:val="en-US"/>
              </w:rPr>
              <w:t>4</w:t>
            </w:r>
          </w:p>
        </w:tc>
        <w:tc>
          <w:tcPr>
            <w:tcW w:w="2081" w:type="dxa"/>
          </w:tcPr>
          <w:p w:rsidR="00326C73" w:rsidRPr="00A45996" w:rsidRDefault="00326C73" w:rsidP="00326C73">
            <w:pPr>
              <w:jc w:val="center"/>
              <w:rPr>
                <w:sz w:val="20"/>
                <w:lang w:val="en-US"/>
              </w:rPr>
            </w:pPr>
          </w:p>
          <w:p w:rsidR="00326C73" w:rsidRPr="00A45996" w:rsidRDefault="00326C73" w:rsidP="00326C73">
            <w:pPr>
              <w:pStyle w:val="tablebodyChar"/>
              <w:keepLines/>
              <w:suppressAutoHyphens w:val="0"/>
              <w:spacing w:before="0" w:after="0"/>
              <w:rPr>
                <w:rFonts w:ascii="Arial" w:eastAsia="Arial Unicode MS" w:hAnsi="Arial"/>
              </w:rPr>
            </w:pPr>
            <w:r w:rsidRPr="00A45996">
              <w:rPr>
                <w:rFonts w:ascii="Arial" w:hAnsi="Arial"/>
              </w:rPr>
              <w:t>40 mg (PO)</w:t>
            </w:r>
          </w:p>
          <w:p w:rsidR="00326C73" w:rsidRPr="00A45996" w:rsidRDefault="00326C73" w:rsidP="00326C73">
            <w:pPr>
              <w:rPr>
                <w:sz w:val="20"/>
                <w:szCs w:val="22"/>
              </w:rPr>
            </w:pPr>
          </w:p>
        </w:tc>
        <w:tc>
          <w:tcPr>
            <w:tcW w:w="2455" w:type="dxa"/>
          </w:tcPr>
          <w:p w:rsidR="00326C73" w:rsidRPr="00A45996" w:rsidRDefault="00326C73" w:rsidP="00326C73">
            <w:pPr>
              <w:rPr>
                <w:sz w:val="20"/>
                <w:szCs w:val="22"/>
              </w:rPr>
            </w:pPr>
          </w:p>
          <w:p w:rsidR="00326C73" w:rsidRPr="00A45996" w:rsidRDefault="00326C73" w:rsidP="00326C73">
            <w:pPr>
              <w:rPr>
                <w:sz w:val="20"/>
                <w:szCs w:val="22"/>
              </w:rPr>
            </w:pPr>
            <w:r w:rsidRPr="00A45996">
              <w:rPr>
                <w:sz w:val="20"/>
                <w:szCs w:val="22"/>
              </w:rPr>
              <w:t>a) Q5 weeks x 4</w:t>
            </w:r>
          </w:p>
          <w:p w:rsidR="00326C73" w:rsidRPr="00A45996" w:rsidRDefault="00326C73" w:rsidP="00326C73">
            <w:pPr>
              <w:rPr>
                <w:sz w:val="20"/>
                <w:szCs w:val="22"/>
              </w:rPr>
            </w:pPr>
            <w:r w:rsidRPr="00A45996">
              <w:rPr>
                <w:sz w:val="20"/>
                <w:szCs w:val="22"/>
              </w:rPr>
              <w:t>b) Q4 weeks x 5</w:t>
            </w:r>
          </w:p>
        </w:tc>
      </w:tr>
      <w:tr w:rsidR="00326C73" w:rsidRPr="00A45996" w:rsidTr="00326C73">
        <w:tc>
          <w:tcPr>
            <w:tcW w:w="1232" w:type="dxa"/>
          </w:tcPr>
          <w:p w:rsidR="00326C73" w:rsidRPr="00A45996" w:rsidRDefault="00326C73" w:rsidP="00326C73">
            <w:pPr>
              <w:rPr>
                <w:sz w:val="20"/>
                <w:szCs w:val="22"/>
              </w:rPr>
            </w:pPr>
            <w:r w:rsidRPr="00A45996">
              <w:rPr>
                <w:sz w:val="20"/>
                <w:szCs w:val="22"/>
              </w:rPr>
              <w:t>II</w:t>
            </w:r>
          </w:p>
        </w:tc>
        <w:tc>
          <w:tcPr>
            <w:tcW w:w="3412" w:type="dxa"/>
          </w:tcPr>
          <w:p w:rsidR="00326C73" w:rsidRPr="00A45996" w:rsidRDefault="00326C73" w:rsidP="00326C73">
            <w:pPr>
              <w:rPr>
                <w:sz w:val="20"/>
                <w:szCs w:val="22"/>
              </w:rPr>
            </w:pPr>
            <w:r w:rsidRPr="00A45996">
              <w:rPr>
                <w:sz w:val="20"/>
                <w:szCs w:val="22"/>
              </w:rPr>
              <w:t>Add DEXAMETHASONE***</w:t>
            </w:r>
          </w:p>
        </w:tc>
        <w:tc>
          <w:tcPr>
            <w:tcW w:w="2081" w:type="dxa"/>
          </w:tcPr>
          <w:p w:rsidR="00326C73" w:rsidRPr="00A45996" w:rsidRDefault="00326C73" w:rsidP="00326C73">
            <w:pPr>
              <w:pStyle w:val="tablebodyChar"/>
              <w:keepLines/>
              <w:suppressAutoHyphens w:val="0"/>
              <w:spacing w:before="0" w:after="0"/>
              <w:rPr>
                <w:rFonts w:ascii="Arial" w:hAnsi="Arial" w:cs="Arial"/>
                <w:lang w:val="pl-PL"/>
              </w:rPr>
            </w:pPr>
            <w:r w:rsidRPr="00A45996">
              <w:rPr>
                <w:rFonts w:ascii="Arial" w:hAnsi="Arial" w:cs="Arial"/>
                <w:lang w:val="pl-PL"/>
              </w:rPr>
              <w:t>20 mg (PO)</w:t>
            </w:r>
          </w:p>
          <w:p w:rsidR="00326C73" w:rsidRPr="00A45996" w:rsidRDefault="00326C73" w:rsidP="00326C73">
            <w:pPr>
              <w:pStyle w:val="CommentText"/>
              <w:keepLines/>
              <w:tabs>
                <w:tab w:val="clear" w:pos="567"/>
              </w:tabs>
              <w:spacing w:line="240" w:lineRule="auto"/>
              <w:rPr>
                <w:rFonts w:ascii="Arial" w:hAnsi="Arial" w:cs="Arial"/>
                <w:lang w:val="pl-PL"/>
              </w:rPr>
            </w:pPr>
            <w:r w:rsidRPr="00A45996">
              <w:rPr>
                <w:rFonts w:ascii="Arial" w:hAnsi="Arial" w:cs="Arial"/>
                <w:lang w:val="pl-PL"/>
              </w:rPr>
              <w:t>(Days 1,2,4,5,8,9, 11,12)</w:t>
            </w:r>
          </w:p>
        </w:tc>
        <w:tc>
          <w:tcPr>
            <w:tcW w:w="2455" w:type="dxa"/>
          </w:tcPr>
          <w:p w:rsidR="00326C73" w:rsidRPr="00A45996" w:rsidRDefault="00326C73" w:rsidP="00326C73">
            <w:pPr>
              <w:pStyle w:val="paragraph0"/>
              <w:spacing w:before="0" w:after="0" w:line="240" w:lineRule="auto"/>
              <w:rPr>
                <w:rFonts w:ascii="Arial" w:eastAsia="Times New Roman" w:hAnsi="Arial" w:cs="Arial"/>
                <w:sz w:val="20"/>
                <w:szCs w:val="22"/>
              </w:rPr>
            </w:pPr>
            <w:r w:rsidRPr="00A45996">
              <w:rPr>
                <w:rFonts w:ascii="Arial" w:eastAsia="Times New Roman" w:hAnsi="Arial" w:cs="Arial"/>
                <w:sz w:val="20"/>
                <w:szCs w:val="22"/>
              </w:rPr>
              <w:t>Q3 weeks</w:t>
            </w:r>
          </w:p>
        </w:tc>
      </w:tr>
    </w:tbl>
    <w:p w:rsidR="00326C73" w:rsidRPr="00A45996" w:rsidRDefault="00326C73" w:rsidP="00326C73">
      <w:pPr>
        <w:rPr>
          <w:sz w:val="16"/>
          <w:szCs w:val="16"/>
        </w:rPr>
      </w:pPr>
      <w:r w:rsidRPr="00A45996">
        <w:rPr>
          <w:sz w:val="16"/>
          <w:szCs w:val="16"/>
        </w:rPr>
        <w:t>*     a) is the initial treatment, a) and b) represent a full course of treatment</w:t>
      </w:r>
    </w:p>
    <w:p w:rsidR="00326C73" w:rsidRPr="00A45996" w:rsidRDefault="00326C73" w:rsidP="00326C73">
      <w:pPr>
        <w:rPr>
          <w:sz w:val="16"/>
          <w:szCs w:val="16"/>
        </w:rPr>
      </w:pPr>
      <w:r w:rsidRPr="00A45996">
        <w:rPr>
          <w:sz w:val="16"/>
          <w:szCs w:val="16"/>
        </w:rPr>
        <w:t>**   An extension study authorised patients benefiting from treatment to continue receiving VELCADE</w:t>
      </w:r>
    </w:p>
    <w:p w:rsidR="00326C73" w:rsidRPr="00A45996" w:rsidRDefault="00326C73" w:rsidP="00326C73">
      <w:pPr>
        <w:rPr>
          <w:sz w:val="16"/>
          <w:szCs w:val="16"/>
        </w:rPr>
      </w:pPr>
      <w:r w:rsidRPr="00A45996">
        <w:rPr>
          <w:sz w:val="16"/>
          <w:szCs w:val="16"/>
        </w:rPr>
        <w:t>*** If after 2 or 4 cycles of VELCADE, the patients had progressive disease or stable disease, respectively, they could receive dexamethasone</w:t>
      </w:r>
    </w:p>
    <w:p w:rsidR="00326C73" w:rsidRPr="00A45996" w:rsidRDefault="00326C73" w:rsidP="00326C73">
      <w:pPr>
        <w:pStyle w:val="Footer"/>
        <w:tabs>
          <w:tab w:val="clear" w:pos="4153"/>
          <w:tab w:val="clear" w:pos="8306"/>
        </w:tabs>
        <w:spacing w:before="20" w:after="80"/>
        <w:rPr>
          <w:b/>
          <w:sz w:val="20"/>
          <w:lang w:val="en-GB"/>
        </w:rPr>
      </w:pPr>
      <w:r w:rsidRPr="00A45996">
        <w:br w:type="page"/>
      </w:r>
      <w:r w:rsidRPr="00A45996">
        <w:rPr>
          <w:b/>
          <w:sz w:val="20"/>
          <w:lang w:val="en-GB"/>
        </w:rPr>
        <w:lastRenderedPageBreak/>
        <w:t xml:space="preserve">Table 7: Patient characteristics in the Phase II* and APEX Studies </w:t>
      </w:r>
    </w:p>
    <w:tbl>
      <w:tblPr>
        <w:tblW w:w="9215" w:type="dxa"/>
        <w:tblBorders>
          <w:top w:val="single" w:sz="4" w:space="0" w:color="auto"/>
          <w:bottom w:val="single" w:sz="4" w:space="0" w:color="auto"/>
        </w:tblBorders>
        <w:tblLook w:val="0000" w:firstRow="0" w:lastRow="0" w:firstColumn="0" w:lastColumn="0" w:noHBand="0" w:noVBand="0"/>
      </w:tblPr>
      <w:tblGrid>
        <w:gridCol w:w="4697"/>
        <w:gridCol w:w="1506"/>
        <w:gridCol w:w="1506"/>
        <w:gridCol w:w="1506"/>
      </w:tblGrid>
      <w:tr w:rsidR="00326C73" w:rsidRPr="00A45996" w:rsidTr="00326C73">
        <w:trPr>
          <w:trHeight w:val="509"/>
        </w:trPr>
        <w:tc>
          <w:tcPr>
            <w:tcW w:w="4697" w:type="dxa"/>
            <w:tcBorders>
              <w:top w:val="single" w:sz="4" w:space="0" w:color="auto"/>
              <w:bottom w:val="single" w:sz="4" w:space="0" w:color="auto"/>
              <w:right w:val="single" w:sz="4" w:space="0" w:color="auto"/>
            </w:tcBorders>
          </w:tcPr>
          <w:p w:rsidR="00326C73" w:rsidRPr="00A45996" w:rsidRDefault="00326C73" w:rsidP="00326C73">
            <w:pPr>
              <w:pStyle w:val="PIEXPLAIN"/>
              <w:keepLines/>
              <w:rPr>
                <w:sz w:val="20"/>
              </w:rPr>
            </w:pPr>
          </w:p>
        </w:tc>
        <w:tc>
          <w:tcPr>
            <w:tcW w:w="1506" w:type="dxa"/>
            <w:tcBorders>
              <w:top w:val="single" w:sz="4" w:space="0" w:color="auto"/>
              <w:bottom w:val="single" w:sz="4" w:space="0" w:color="auto"/>
            </w:tcBorders>
          </w:tcPr>
          <w:p w:rsidR="00326C73" w:rsidRPr="00A45996" w:rsidRDefault="00326C73" w:rsidP="00326C73">
            <w:pPr>
              <w:pStyle w:val="PIEXPLAIN"/>
              <w:keepLines/>
              <w:jc w:val="left"/>
              <w:rPr>
                <w:b/>
                <w:bCs/>
                <w:sz w:val="20"/>
              </w:rPr>
            </w:pPr>
            <w:r w:rsidRPr="00A45996">
              <w:rPr>
                <w:b/>
                <w:bCs/>
                <w:sz w:val="20"/>
              </w:rPr>
              <w:t>Phase II study</w:t>
            </w:r>
          </w:p>
          <w:p w:rsidR="00326C73" w:rsidRPr="00A45996" w:rsidRDefault="00326C73" w:rsidP="00326C73">
            <w:pPr>
              <w:pStyle w:val="PIEXPLAIN"/>
              <w:keepLines/>
              <w:jc w:val="left"/>
              <w:rPr>
                <w:b/>
                <w:bCs/>
                <w:sz w:val="20"/>
              </w:rPr>
            </w:pPr>
            <w:r w:rsidRPr="00A45996">
              <w:rPr>
                <w:b/>
                <w:bCs/>
                <w:sz w:val="20"/>
              </w:rPr>
              <w:t>VELCADE</w:t>
            </w:r>
          </w:p>
          <w:p w:rsidR="00326C73" w:rsidRPr="00A45996" w:rsidRDefault="00326C73" w:rsidP="00326C73">
            <w:pPr>
              <w:pStyle w:val="PIEXPLAIN"/>
              <w:keepLines/>
              <w:jc w:val="left"/>
              <w:rPr>
                <w:b/>
                <w:bCs/>
                <w:sz w:val="20"/>
              </w:rPr>
            </w:pPr>
            <w:r w:rsidRPr="00A45996">
              <w:rPr>
                <w:b/>
                <w:bCs/>
                <w:sz w:val="20"/>
              </w:rPr>
              <w:t>N=202</w:t>
            </w:r>
          </w:p>
        </w:tc>
        <w:tc>
          <w:tcPr>
            <w:tcW w:w="1506" w:type="dxa"/>
            <w:tcBorders>
              <w:top w:val="single" w:sz="4" w:space="0" w:color="auto"/>
              <w:bottom w:val="single" w:sz="4" w:space="0" w:color="auto"/>
              <w:right w:val="single" w:sz="4" w:space="0" w:color="auto"/>
            </w:tcBorders>
          </w:tcPr>
          <w:p w:rsidR="00326C73" w:rsidRPr="00A45996" w:rsidRDefault="00326C73" w:rsidP="00326C73">
            <w:pPr>
              <w:pStyle w:val="PIEXPLAIN"/>
              <w:keepLines/>
              <w:jc w:val="left"/>
              <w:rPr>
                <w:b/>
                <w:bCs/>
                <w:sz w:val="20"/>
              </w:rPr>
            </w:pPr>
            <w:r w:rsidRPr="00A45996">
              <w:rPr>
                <w:b/>
                <w:bCs/>
                <w:sz w:val="20"/>
              </w:rPr>
              <w:t>APEX study</w:t>
            </w:r>
          </w:p>
          <w:p w:rsidR="00326C73" w:rsidRPr="00A45996" w:rsidRDefault="00326C73" w:rsidP="00326C73">
            <w:pPr>
              <w:pStyle w:val="PIEXPLAIN"/>
              <w:keepLines/>
              <w:jc w:val="left"/>
              <w:rPr>
                <w:b/>
                <w:bCs/>
                <w:sz w:val="20"/>
              </w:rPr>
            </w:pPr>
            <w:r w:rsidRPr="00A45996">
              <w:rPr>
                <w:b/>
                <w:bCs/>
                <w:sz w:val="20"/>
              </w:rPr>
              <w:t>VELCADE</w:t>
            </w:r>
          </w:p>
          <w:p w:rsidR="00326C73" w:rsidRPr="00A45996" w:rsidRDefault="00326C73" w:rsidP="00326C73">
            <w:pPr>
              <w:pStyle w:val="PIEXPLAIN"/>
              <w:keepLines/>
              <w:jc w:val="left"/>
              <w:rPr>
                <w:b/>
                <w:bCs/>
                <w:sz w:val="20"/>
              </w:rPr>
            </w:pPr>
            <w:r w:rsidRPr="00A45996">
              <w:rPr>
                <w:b/>
                <w:bCs/>
                <w:sz w:val="20"/>
              </w:rPr>
              <w:t>N=333</w:t>
            </w:r>
          </w:p>
        </w:tc>
        <w:tc>
          <w:tcPr>
            <w:tcW w:w="1506" w:type="dxa"/>
            <w:tcBorders>
              <w:top w:val="single" w:sz="4" w:space="0" w:color="auto"/>
              <w:left w:val="single" w:sz="4" w:space="0" w:color="auto"/>
              <w:bottom w:val="single" w:sz="4" w:space="0" w:color="auto"/>
            </w:tcBorders>
          </w:tcPr>
          <w:p w:rsidR="00326C73" w:rsidRPr="00A45996" w:rsidRDefault="00326C73" w:rsidP="00326C73">
            <w:pPr>
              <w:pStyle w:val="PIEXPLAIN"/>
              <w:keepLines/>
              <w:jc w:val="left"/>
              <w:rPr>
                <w:b/>
                <w:bCs/>
                <w:sz w:val="20"/>
              </w:rPr>
            </w:pPr>
            <w:r w:rsidRPr="00A45996">
              <w:rPr>
                <w:b/>
                <w:bCs/>
                <w:sz w:val="20"/>
              </w:rPr>
              <w:t>APEX study</w:t>
            </w:r>
          </w:p>
          <w:p w:rsidR="00326C73" w:rsidRPr="00A45996" w:rsidRDefault="00326C73" w:rsidP="00326C73">
            <w:pPr>
              <w:pStyle w:val="PIEXPLAIN"/>
              <w:keepLines/>
              <w:jc w:val="left"/>
              <w:rPr>
                <w:b/>
                <w:bCs/>
                <w:sz w:val="20"/>
              </w:rPr>
            </w:pPr>
            <w:r w:rsidRPr="00A45996">
              <w:rPr>
                <w:b/>
                <w:bCs/>
                <w:sz w:val="20"/>
              </w:rPr>
              <w:t>DEX.</w:t>
            </w:r>
          </w:p>
          <w:p w:rsidR="00326C73" w:rsidRPr="00A45996" w:rsidRDefault="00326C73" w:rsidP="00326C73">
            <w:pPr>
              <w:pStyle w:val="PIEXPLAIN"/>
              <w:keepLines/>
              <w:jc w:val="left"/>
              <w:rPr>
                <w:b/>
                <w:bCs/>
                <w:sz w:val="20"/>
              </w:rPr>
            </w:pPr>
            <w:r w:rsidRPr="00A45996">
              <w:rPr>
                <w:b/>
                <w:bCs/>
                <w:sz w:val="20"/>
              </w:rPr>
              <w:t>N=336</w:t>
            </w:r>
          </w:p>
        </w:tc>
      </w:tr>
      <w:tr w:rsidR="00326C73" w:rsidRPr="00A45996" w:rsidTr="00326C73">
        <w:tc>
          <w:tcPr>
            <w:tcW w:w="4697" w:type="dxa"/>
            <w:tcBorders>
              <w:top w:val="single" w:sz="4" w:space="0" w:color="auto"/>
              <w:right w:val="single" w:sz="4" w:space="0" w:color="auto"/>
            </w:tcBorders>
          </w:tcPr>
          <w:p w:rsidR="00326C73" w:rsidRPr="00A45996" w:rsidRDefault="00326C73" w:rsidP="00326C73">
            <w:pPr>
              <w:pStyle w:val="PIEXPLAIN"/>
              <w:keepLines/>
              <w:rPr>
                <w:b/>
                <w:bCs/>
                <w:sz w:val="20"/>
              </w:rPr>
            </w:pPr>
            <w:r w:rsidRPr="00A45996">
              <w:rPr>
                <w:b/>
                <w:bCs/>
                <w:sz w:val="20"/>
              </w:rPr>
              <w:t>Patient characteristics</w:t>
            </w:r>
          </w:p>
        </w:tc>
        <w:tc>
          <w:tcPr>
            <w:tcW w:w="1506" w:type="dxa"/>
            <w:tcBorders>
              <w:top w:val="single" w:sz="4" w:space="0" w:color="auto"/>
            </w:tcBorders>
          </w:tcPr>
          <w:p w:rsidR="00326C73" w:rsidRPr="00A45996" w:rsidRDefault="00326C73" w:rsidP="00326C73">
            <w:pPr>
              <w:pStyle w:val="PIEXPLAIN"/>
              <w:keepLines/>
              <w:rPr>
                <w:sz w:val="20"/>
              </w:rPr>
            </w:pPr>
          </w:p>
        </w:tc>
        <w:tc>
          <w:tcPr>
            <w:tcW w:w="1506" w:type="dxa"/>
            <w:tcBorders>
              <w:top w:val="single" w:sz="4" w:space="0" w:color="auto"/>
              <w:right w:val="single" w:sz="4" w:space="0" w:color="auto"/>
            </w:tcBorders>
          </w:tcPr>
          <w:p w:rsidR="00326C73" w:rsidRPr="00A45996" w:rsidRDefault="00326C73" w:rsidP="00326C73">
            <w:pPr>
              <w:pStyle w:val="PIEXPLAIN"/>
              <w:keepLines/>
              <w:rPr>
                <w:b/>
                <w:bCs/>
                <w:sz w:val="20"/>
              </w:rPr>
            </w:pPr>
          </w:p>
        </w:tc>
        <w:tc>
          <w:tcPr>
            <w:tcW w:w="1506" w:type="dxa"/>
            <w:tcBorders>
              <w:top w:val="single" w:sz="4" w:space="0" w:color="auto"/>
              <w:left w:val="single" w:sz="4" w:space="0" w:color="auto"/>
            </w:tcBorders>
          </w:tcPr>
          <w:p w:rsidR="00326C73" w:rsidRPr="00A45996" w:rsidRDefault="00326C73" w:rsidP="00326C73">
            <w:pPr>
              <w:pStyle w:val="PIEXPLAIN"/>
              <w:keepLines/>
              <w:rPr>
                <w:b/>
                <w:bCs/>
                <w:sz w:val="20"/>
              </w:rPr>
            </w:pP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Median age in years (range)</w:t>
            </w:r>
          </w:p>
        </w:tc>
        <w:tc>
          <w:tcPr>
            <w:tcW w:w="1506" w:type="dxa"/>
          </w:tcPr>
          <w:p w:rsidR="00326C73" w:rsidRPr="00A45996" w:rsidRDefault="00326C73" w:rsidP="00326C73">
            <w:pPr>
              <w:pStyle w:val="PIEXPLAIN"/>
              <w:keepLines/>
              <w:jc w:val="center"/>
              <w:rPr>
                <w:sz w:val="20"/>
              </w:rPr>
            </w:pPr>
            <w:r w:rsidRPr="00A45996">
              <w:rPr>
                <w:sz w:val="20"/>
              </w:rPr>
              <w:t>59(34-84)</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62.0 (33-84)</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61.0 (27-86)</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Gender: male/female</w:t>
            </w:r>
          </w:p>
        </w:tc>
        <w:tc>
          <w:tcPr>
            <w:tcW w:w="1506" w:type="dxa"/>
          </w:tcPr>
          <w:p w:rsidR="00326C73" w:rsidRPr="00A45996" w:rsidRDefault="00326C73" w:rsidP="00326C73">
            <w:pPr>
              <w:pStyle w:val="PIEXPLAIN"/>
              <w:keepLines/>
              <w:jc w:val="center"/>
              <w:rPr>
                <w:sz w:val="20"/>
              </w:rPr>
            </w:pPr>
            <w:r w:rsidRPr="00A45996">
              <w:rPr>
                <w:sz w:val="20"/>
              </w:rPr>
              <w:t>60% / 40%</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56% / 44%</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60% / 40%</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p>
        </w:tc>
        <w:tc>
          <w:tcPr>
            <w:tcW w:w="1506" w:type="dxa"/>
          </w:tcPr>
          <w:p w:rsidR="00326C73" w:rsidRPr="00A45996" w:rsidRDefault="00326C73" w:rsidP="00326C73">
            <w:pPr>
              <w:pStyle w:val="PIEXPLAIN"/>
              <w:keepLines/>
              <w:jc w:val="center"/>
              <w:rPr>
                <w:sz w:val="20"/>
              </w:rPr>
            </w:pPr>
          </w:p>
        </w:tc>
        <w:tc>
          <w:tcPr>
            <w:tcW w:w="1506" w:type="dxa"/>
            <w:tcBorders>
              <w:right w:val="single" w:sz="4" w:space="0" w:color="auto"/>
            </w:tcBorders>
          </w:tcPr>
          <w:p w:rsidR="00326C73" w:rsidRPr="00A45996" w:rsidRDefault="00326C73" w:rsidP="00326C73">
            <w:pPr>
              <w:pStyle w:val="PIEXPLAIN"/>
              <w:keepLines/>
              <w:jc w:val="center"/>
              <w:rPr>
                <w:sz w:val="20"/>
              </w:rPr>
            </w:pPr>
          </w:p>
        </w:tc>
        <w:tc>
          <w:tcPr>
            <w:tcW w:w="1506" w:type="dxa"/>
            <w:tcBorders>
              <w:left w:val="single" w:sz="4" w:space="0" w:color="auto"/>
            </w:tcBorders>
          </w:tcPr>
          <w:p w:rsidR="00326C73" w:rsidRPr="00A45996" w:rsidRDefault="00326C73" w:rsidP="00326C73">
            <w:pPr>
              <w:pStyle w:val="PIEXPLAIN"/>
              <w:keepLines/>
              <w:jc w:val="center"/>
              <w:rPr>
                <w:sz w:val="20"/>
              </w:rPr>
            </w:pP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proofErr w:type="spellStart"/>
            <w:r w:rsidRPr="00A45996">
              <w:rPr>
                <w:sz w:val="20"/>
              </w:rPr>
              <w:t>Karnofsky</w:t>
            </w:r>
            <w:proofErr w:type="spellEnd"/>
            <w:r w:rsidRPr="00A45996">
              <w:rPr>
                <w:sz w:val="20"/>
              </w:rPr>
              <w:t xml:space="preserve"> Performance Status score </w:t>
            </w:r>
            <w:r w:rsidRPr="00A45996">
              <w:rPr>
                <w:sz w:val="20"/>
              </w:rPr>
              <w:sym w:font="Symbol" w:char="F0A3"/>
            </w:r>
            <w:r w:rsidRPr="00A45996">
              <w:rPr>
                <w:sz w:val="20"/>
              </w:rPr>
              <w:t xml:space="preserve"> 70</w:t>
            </w:r>
          </w:p>
        </w:tc>
        <w:tc>
          <w:tcPr>
            <w:tcW w:w="1506" w:type="dxa"/>
          </w:tcPr>
          <w:p w:rsidR="00326C73" w:rsidRPr="00A45996" w:rsidRDefault="00326C73" w:rsidP="00326C73">
            <w:pPr>
              <w:pStyle w:val="PIEXPLAIN"/>
              <w:keepLines/>
              <w:jc w:val="center"/>
              <w:rPr>
                <w:sz w:val="20"/>
              </w:rPr>
            </w:pPr>
            <w:r w:rsidRPr="00A45996">
              <w:rPr>
                <w:sz w:val="20"/>
              </w:rPr>
              <w:t>20%</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13%</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17%</w:t>
            </w:r>
          </w:p>
        </w:tc>
      </w:tr>
      <w:tr w:rsidR="00326C73" w:rsidRPr="00A45996" w:rsidTr="00326C73">
        <w:tc>
          <w:tcPr>
            <w:tcW w:w="4697" w:type="dxa"/>
            <w:tcBorders>
              <w:bottom w:val="nil"/>
              <w:right w:val="single" w:sz="4" w:space="0" w:color="auto"/>
            </w:tcBorders>
          </w:tcPr>
          <w:p w:rsidR="00326C73" w:rsidRPr="00A45996" w:rsidRDefault="00326C73" w:rsidP="00326C73">
            <w:pPr>
              <w:pStyle w:val="PIEXPLAIN"/>
              <w:keepLines/>
              <w:rPr>
                <w:sz w:val="20"/>
              </w:rPr>
            </w:pPr>
            <w:r w:rsidRPr="00A45996">
              <w:rPr>
                <w:sz w:val="20"/>
              </w:rPr>
              <w:t>Haemoglobin &lt;100 g/L</w:t>
            </w:r>
          </w:p>
        </w:tc>
        <w:tc>
          <w:tcPr>
            <w:tcW w:w="1506" w:type="dxa"/>
            <w:tcBorders>
              <w:bottom w:val="nil"/>
            </w:tcBorders>
          </w:tcPr>
          <w:p w:rsidR="00326C73" w:rsidRPr="00A45996" w:rsidRDefault="00326C73" w:rsidP="00326C73">
            <w:pPr>
              <w:pStyle w:val="PIEXPLAIN"/>
              <w:keepLines/>
              <w:jc w:val="center"/>
              <w:rPr>
                <w:sz w:val="20"/>
              </w:rPr>
            </w:pPr>
            <w:r w:rsidRPr="00A45996">
              <w:rPr>
                <w:sz w:val="20"/>
              </w:rPr>
              <w:t>44%</w:t>
            </w:r>
          </w:p>
        </w:tc>
        <w:tc>
          <w:tcPr>
            <w:tcW w:w="1506" w:type="dxa"/>
            <w:tcBorders>
              <w:bottom w:val="nil"/>
              <w:right w:val="single" w:sz="4" w:space="0" w:color="auto"/>
            </w:tcBorders>
          </w:tcPr>
          <w:p w:rsidR="00326C73" w:rsidRPr="00A45996" w:rsidRDefault="00326C73" w:rsidP="00326C73">
            <w:pPr>
              <w:pStyle w:val="PIEXPLAIN"/>
              <w:keepLines/>
              <w:jc w:val="center"/>
              <w:rPr>
                <w:sz w:val="20"/>
              </w:rPr>
            </w:pPr>
            <w:r w:rsidRPr="00A45996">
              <w:rPr>
                <w:sz w:val="20"/>
              </w:rPr>
              <w:t>32%</w:t>
            </w:r>
          </w:p>
        </w:tc>
        <w:tc>
          <w:tcPr>
            <w:tcW w:w="1506" w:type="dxa"/>
            <w:tcBorders>
              <w:left w:val="single" w:sz="4" w:space="0" w:color="auto"/>
              <w:bottom w:val="nil"/>
            </w:tcBorders>
          </w:tcPr>
          <w:p w:rsidR="00326C73" w:rsidRPr="00A45996" w:rsidRDefault="00326C73" w:rsidP="00326C73">
            <w:pPr>
              <w:pStyle w:val="PIEXPLAIN"/>
              <w:keepLines/>
              <w:jc w:val="center"/>
              <w:rPr>
                <w:sz w:val="20"/>
              </w:rPr>
            </w:pPr>
            <w:r w:rsidRPr="00A45996">
              <w:rPr>
                <w:sz w:val="20"/>
              </w:rPr>
              <w:t>28%</w:t>
            </w:r>
          </w:p>
        </w:tc>
      </w:tr>
      <w:tr w:rsidR="00326C73" w:rsidRPr="00A45996" w:rsidTr="00326C73">
        <w:tc>
          <w:tcPr>
            <w:tcW w:w="4697" w:type="dxa"/>
            <w:tcBorders>
              <w:top w:val="nil"/>
              <w:bottom w:val="single" w:sz="4" w:space="0" w:color="auto"/>
              <w:right w:val="single" w:sz="4" w:space="0" w:color="auto"/>
            </w:tcBorders>
          </w:tcPr>
          <w:p w:rsidR="00326C73" w:rsidRPr="00A45996" w:rsidRDefault="00326C73" w:rsidP="00326C73">
            <w:pPr>
              <w:pStyle w:val="PIEXPLAIN"/>
              <w:keepLines/>
              <w:rPr>
                <w:sz w:val="20"/>
              </w:rPr>
            </w:pPr>
            <w:r w:rsidRPr="00A45996">
              <w:rPr>
                <w:sz w:val="20"/>
              </w:rPr>
              <w:t>Platelet count &lt;75 x 10</w:t>
            </w:r>
            <w:r w:rsidRPr="00A45996">
              <w:rPr>
                <w:sz w:val="20"/>
                <w:vertAlign w:val="superscript"/>
              </w:rPr>
              <w:sym w:font="Symbol" w:char="F039"/>
            </w:r>
            <w:r w:rsidRPr="00A45996">
              <w:rPr>
                <w:sz w:val="20"/>
              </w:rPr>
              <w:t>/L</w:t>
            </w:r>
          </w:p>
        </w:tc>
        <w:tc>
          <w:tcPr>
            <w:tcW w:w="1506" w:type="dxa"/>
            <w:tcBorders>
              <w:top w:val="nil"/>
              <w:bottom w:val="single" w:sz="4" w:space="0" w:color="auto"/>
            </w:tcBorders>
          </w:tcPr>
          <w:p w:rsidR="00326C73" w:rsidRPr="00A45996" w:rsidRDefault="00326C73" w:rsidP="00326C73">
            <w:pPr>
              <w:pStyle w:val="PIEXPLAIN"/>
              <w:keepLines/>
              <w:jc w:val="center"/>
              <w:rPr>
                <w:sz w:val="20"/>
              </w:rPr>
            </w:pPr>
            <w:r w:rsidRPr="00A45996">
              <w:rPr>
                <w:sz w:val="20"/>
              </w:rPr>
              <w:t>21%</w:t>
            </w:r>
          </w:p>
        </w:tc>
        <w:tc>
          <w:tcPr>
            <w:tcW w:w="1506" w:type="dxa"/>
            <w:tcBorders>
              <w:top w:val="nil"/>
              <w:bottom w:val="single" w:sz="4" w:space="0" w:color="auto"/>
              <w:right w:val="single" w:sz="4" w:space="0" w:color="auto"/>
            </w:tcBorders>
          </w:tcPr>
          <w:p w:rsidR="00326C73" w:rsidRPr="00A45996" w:rsidRDefault="00326C73" w:rsidP="00326C73">
            <w:pPr>
              <w:pStyle w:val="PIEXPLAIN"/>
              <w:keepLines/>
              <w:jc w:val="center"/>
              <w:rPr>
                <w:sz w:val="20"/>
              </w:rPr>
            </w:pPr>
            <w:r w:rsidRPr="00A45996">
              <w:rPr>
                <w:sz w:val="20"/>
              </w:rPr>
              <w:t>6%</w:t>
            </w:r>
          </w:p>
        </w:tc>
        <w:tc>
          <w:tcPr>
            <w:tcW w:w="1506" w:type="dxa"/>
            <w:tcBorders>
              <w:top w:val="nil"/>
              <w:left w:val="single" w:sz="4" w:space="0" w:color="auto"/>
              <w:bottom w:val="single" w:sz="4" w:space="0" w:color="auto"/>
            </w:tcBorders>
          </w:tcPr>
          <w:p w:rsidR="00326C73" w:rsidRPr="00A45996" w:rsidRDefault="00326C73" w:rsidP="00326C73">
            <w:pPr>
              <w:pStyle w:val="PIEXPLAIN"/>
              <w:keepLines/>
              <w:jc w:val="center"/>
              <w:rPr>
                <w:sz w:val="20"/>
              </w:rPr>
            </w:pPr>
            <w:r w:rsidRPr="00A45996">
              <w:rPr>
                <w:sz w:val="20"/>
              </w:rPr>
              <w:t>4%</w:t>
            </w:r>
          </w:p>
        </w:tc>
      </w:tr>
      <w:tr w:rsidR="00326C73" w:rsidRPr="00A45996" w:rsidTr="00326C73">
        <w:tc>
          <w:tcPr>
            <w:tcW w:w="4697" w:type="dxa"/>
            <w:tcBorders>
              <w:top w:val="single" w:sz="4" w:space="0" w:color="auto"/>
              <w:right w:val="single" w:sz="4" w:space="0" w:color="auto"/>
            </w:tcBorders>
          </w:tcPr>
          <w:p w:rsidR="00326C73" w:rsidRPr="00A45996" w:rsidRDefault="00326C73" w:rsidP="00326C73">
            <w:pPr>
              <w:pStyle w:val="PIEXPLAIN"/>
              <w:keepLines/>
              <w:rPr>
                <w:b/>
                <w:bCs/>
                <w:sz w:val="20"/>
              </w:rPr>
            </w:pPr>
            <w:r w:rsidRPr="00A45996">
              <w:rPr>
                <w:b/>
                <w:bCs/>
                <w:sz w:val="20"/>
              </w:rPr>
              <w:t>Disease Characteristics</w:t>
            </w:r>
          </w:p>
        </w:tc>
        <w:tc>
          <w:tcPr>
            <w:tcW w:w="1506" w:type="dxa"/>
            <w:tcBorders>
              <w:top w:val="single" w:sz="4" w:space="0" w:color="auto"/>
            </w:tcBorders>
          </w:tcPr>
          <w:p w:rsidR="00326C73" w:rsidRPr="00A45996" w:rsidRDefault="00326C73" w:rsidP="00326C73">
            <w:pPr>
              <w:pStyle w:val="PIEXPLAIN"/>
              <w:keepLines/>
              <w:jc w:val="center"/>
              <w:rPr>
                <w:sz w:val="20"/>
              </w:rPr>
            </w:pPr>
          </w:p>
        </w:tc>
        <w:tc>
          <w:tcPr>
            <w:tcW w:w="1506" w:type="dxa"/>
            <w:tcBorders>
              <w:top w:val="single" w:sz="4" w:space="0" w:color="auto"/>
              <w:right w:val="single" w:sz="4" w:space="0" w:color="auto"/>
            </w:tcBorders>
          </w:tcPr>
          <w:p w:rsidR="00326C73" w:rsidRPr="00A45996" w:rsidRDefault="00326C73" w:rsidP="00326C73">
            <w:pPr>
              <w:pStyle w:val="PIEXPLAIN"/>
              <w:keepLines/>
              <w:jc w:val="center"/>
              <w:rPr>
                <w:b/>
                <w:bCs/>
                <w:sz w:val="20"/>
              </w:rPr>
            </w:pPr>
          </w:p>
        </w:tc>
        <w:tc>
          <w:tcPr>
            <w:tcW w:w="1506" w:type="dxa"/>
            <w:tcBorders>
              <w:top w:val="single" w:sz="4" w:space="0" w:color="auto"/>
              <w:left w:val="single" w:sz="4" w:space="0" w:color="auto"/>
            </w:tcBorders>
          </w:tcPr>
          <w:p w:rsidR="00326C73" w:rsidRPr="00A45996" w:rsidRDefault="00326C73" w:rsidP="00326C73">
            <w:pPr>
              <w:pStyle w:val="PIEXPLAIN"/>
              <w:keepLines/>
              <w:jc w:val="center"/>
              <w:rPr>
                <w:b/>
                <w:bCs/>
                <w:sz w:val="20"/>
              </w:rPr>
            </w:pP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Type of myeloma (%): IgG/IgA/Light chain</w:t>
            </w:r>
          </w:p>
        </w:tc>
        <w:tc>
          <w:tcPr>
            <w:tcW w:w="1506" w:type="dxa"/>
          </w:tcPr>
          <w:p w:rsidR="00326C73" w:rsidRPr="00A45996" w:rsidRDefault="00326C73" w:rsidP="00326C73">
            <w:pPr>
              <w:pStyle w:val="PIEXPLAIN"/>
              <w:keepLines/>
              <w:jc w:val="center"/>
              <w:rPr>
                <w:sz w:val="20"/>
              </w:rPr>
            </w:pPr>
            <w:r w:rsidRPr="00A45996">
              <w:rPr>
                <w:sz w:val="20"/>
              </w:rPr>
              <w:t>60%/24%/14%</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60%/23%/12%</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59%/24%/13%</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 xml:space="preserve">Median </w:t>
            </w:r>
            <w:r w:rsidRPr="00A45996">
              <w:rPr>
                <w:sz w:val="20"/>
              </w:rPr>
              <w:sym w:font="Symbol" w:char="F062"/>
            </w:r>
            <w:r w:rsidRPr="00A45996">
              <w:rPr>
                <w:sz w:val="20"/>
              </w:rPr>
              <w:t>2-microglobulin (mg/L)</w:t>
            </w:r>
          </w:p>
        </w:tc>
        <w:tc>
          <w:tcPr>
            <w:tcW w:w="1506" w:type="dxa"/>
          </w:tcPr>
          <w:p w:rsidR="00326C73" w:rsidRPr="00A45996" w:rsidRDefault="00326C73" w:rsidP="00326C73">
            <w:pPr>
              <w:pStyle w:val="PIEXPLAIN"/>
              <w:keepLines/>
              <w:jc w:val="center"/>
              <w:rPr>
                <w:sz w:val="20"/>
              </w:rPr>
            </w:pPr>
            <w:r w:rsidRPr="00A45996">
              <w:rPr>
                <w:sz w:val="20"/>
              </w:rPr>
              <w:t>3.5</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3.7</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3.6</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Median creatinine clearance (mL/min)</w:t>
            </w:r>
          </w:p>
        </w:tc>
        <w:tc>
          <w:tcPr>
            <w:tcW w:w="1506" w:type="dxa"/>
          </w:tcPr>
          <w:p w:rsidR="00326C73" w:rsidRPr="00A45996" w:rsidRDefault="00326C73" w:rsidP="00326C73">
            <w:pPr>
              <w:pStyle w:val="PIEXPLAIN"/>
              <w:keepLines/>
              <w:jc w:val="center"/>
              <w:rPr>
                <w:sz w:val="20"/>
              </w:rPr>
            </w:pPr>
            <w:r w:rsidRPr="00A45996">
              <w:rPr>
                <w:sz w:val="20"/>
              </w:rPr>
              <w:t>73.9</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73.3</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75.3</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Abnormal cytogenetics</w:t>
            </w:r>
          </w:p>
        </w:tc>
        <w:tc>
          <w:tcPr>
            <w:tcW w:w="1506" w:type="dxa"/>
          </w:tcPr>
          <w:p w:rsidR="00326C73" w:rsidRPr="00A45996" w:rsidRDefault="00326C73" w:rsidP="00326C73">
            <w:pPr>
              <w:pStyle w:val="PIEXPLAIN"/>
              <w:keepLines/>
              <w:jc w:val="center"/>
              <w:rPr>
                <w:sz w:val="20"/>
              </w:rPr>
            </w:pPr>
            <w:r w:rsidRPr="00A45996">
              <w:rPr>
                <w:sz w:val="20"/>
              </w:rPr>
              <w:t>35%</w:t>
            </w:r>
          </w:p>
        </w:tc>
        <w:tc>
          <w:tcPr>
            <w:tcW w:w="1506" w:type="dxa"/>
            <w:tcBorders>
              <w:right w:val="single" w:sz="4" w:space="0" w:color="auto"/>
            </w:tcBorders>
          </w:tcPr>
          <w:p w:rsidR="00326C73" w:rsidRPr="00A45996" w:rsidRDefault="00326C73" w:rsidP="00326C73">
            <w:pPr>
              <w:pStyle w:val="PIEXPLAIN"/>
              <w:keepLines/>
              <w:jc w:val="center"/>
              <w:rPr>
                <w:sz w:val="20"/>
              </w:rPr>
            </w:pPr>
          </w:p>
        </w:tc>
        <w:tc>
          <w:tcPr>
            <w:tcW w:w="1506" w:type="dxa"/>
            <w:tcBorders>
              <w:left w:val="single" w:sz="4" w:space="0" w:color="auto"/>
            </w:tcBorders>
          </w:tcPr>
          <w:p w:rsidR="00326C73" w:rsidRPr="00A45996" w:rsidRDefault="00326C73" w:rsidP="00326C73">
            <w:pPr>
              <w:pStyle w:val="PIEXPLAIN"/>
              <w:keepLines/>
              <w:jc w:val="center"/>
              <w:rPr>
                <w:sz w:val="20"/>
              </w:rPr>
            </w:pPr>
          </w:p>
        </w:tc>
      </w:tr>
      <w:tr w:rsidR="00326C73" w:rsidRPr="00A45996" w:rsidTr="00326C73">
        <w:tc>
          <w:tcPr>
            <w:tcW w:w="4697" w:type="dxa"/>
            <w:tcBorders>
              <w:bottom w:val="single" w:sz="4" w:space="0" w:color="auto"/>
              <w:right w:val="single" w:sz="4" w:space="0" w:color="auto"/>
            </w:tcBorders>
          </w:tcPr>
          <w:p w:rsidR="00326C73" w:rsidRPr="00A45996" w:rsidRDefault="00326C73" w:rsidP="00326C73">
            <w:pPr>
              <w:pStyle w:val="PIEXPLAIN"/>
              <w:keepLines/>
              <w:rPr>
                <w:sz w:val="20"/>
              </w:rPr>
            </w:pPr>
            <w:r w:rsidRPr="00A45996">
              <w:rPr>
                <w:sz w:val="20"/>
              </w:rPr>
              <w:t>Chromosome 13 abnormalities</w:t>
            </w:r>
          </w:p>
        </w:tc>
        <w:tc>
          <w:tcPr>
            <w:tcW w:w="1506" w:type="dxa"/>
            <w:tcBorders>
              <w:bottom w:val="single" w:sz="4" w:space="0" w:color="auto"/>
            </w:tcBorders>
          </w:tcPr>
          <w:p w:rsidR="00326C73" w:rsidRPr="00A45996" w:rsidRDefault="00326C73" w:rsidP="00326C73">
            <w:pPr>
              <w:pStyle w:val="PIEXPLAIN"/>
              <w:keepLines/>
              <w:jc w:val="center"/>
              <w:rPr>
                <w:sz w:val="20"/>
              </w:rPr>
            </w:pPr>
            <w:r w:rsidRPr="00A45996">
              <w:rPr>
                <w:sz w:val="20"/>
              </w:rPr>
              <w:t>15%</w:t>
            </w:r>
          </w:p>
        </w:tc>
        <w:tc>
          <w:tcPr>
            <w:tcW w:w="1506" w:type="dxa"/>
            <w:tcBorders>
              <w:bottom w:val="single" w:sz="4" w:space="0" w:color="auto"/>
              <w:right w:val="single" w:sz="4" w:space="0" w:color="auto"/>
            </w:tcBorders>
          </w:tcPr>
          <w:p w:rsidR="00326C73" w:rsidRPr="00A45996" w:rsidRDefault="00326C73" w:rsidP="00326C73">
            <w:pPr>
              <w:pStyle w:val="PIEXPLAIN"/>
              <w:keepLines/>
              <w:jc w:val="center"/>
              <w:rPr>
                <w:sz w:val="20"/>
              </w:rPr>
            </w:pPr>
            <w:r w:rsidRPr="00A45996">
              <w:rPr>
                <w:sz w:val="20"/>
              </w:rPr>
              <w:t>25.7%</w:t>
            </w:r>
          </w:p>
        </w:tc>
        <w:tc>
          <w:tcPr>
            <w:tcW w:w="1506" w:type="dxa"/>
            <w:tcBorders>
              <w:left w:val="single" w:sz="4" w:space="0" w:color="auto"/>
              <w:bottom w:val="single" w:sz="4" w:space="0" w:color="auto"/>
            </w:tcBorders>
          </w:tcPr>
          <w:p w:rsidR="00326C73" w:rsidRPr="00A45996" w:rsidRDefault="00326C73" w:rsidP="00326C73">
            <w:pPr>
              <w:pStyle w:val="PIEXPLAIN"/>
              <w:keepLines/>
              <w:jc w:val="center"/>
              <w:rPr>
                <w:sz w:val="20"/>
              </w:rPr>
            </w:pPr>
            <w:r w:rsidRPr="00A45996">
              <w:rPr>
                <w:sz w:val="20"/>
              </w:rPr>
              <w:t>25.0%</w:t>
            </w:r>
          </w:p>
        </w:tc>
      </w:tr>
      <w:tr w:rsidR="00326C73" w:rsidRPr="00A45996" w:rsidTr="00326C73">
        <w:tc>
          <w:tcPr>
            <w:tcW w:w="4697" w:type="dxa"/>
            <w:tcBorders>
              <w:top w:val="single" w:sz="4" w:space="0" w:color="auto"/>
              <w:bottom w:val="single" w:sz="4" w:space="0" w:color="auto"/>
              <w:right w:val="single" w:sz="4" w:space="0" w:color="auto"/>
            </w:tcBorders>
          </w:tcPr>
          <w:p w:rsidR="00326C73" w:rsidRPr="00A45996" w:rsidRDefault="00326C73" w:rsidP="00326C73">
            <w:pPr>
              <w:pStyle w:val="PIEXPLAIN"/>
              <w:keepLines/>
              <w:rPr>
                <w:b/>
                <w:bCs/>
                <w:sz w:val="20"/>
              </w:rPr>
            </w:pPr>
            <w:r w:rsidRPr="00A45996">
              <w:rPr>
                <w:b/>
                <w:bCs/>
                <w:sz w:val="20"/>
              </w:rPr>
              <w:t>Median Duration of Multiple Myeloma Since Diagnosis in Years</w:t>
            </w:r>
          </w:p>
        </w:tc>
        <w:tc>
          <w:tcPr>
            <w:tcW w:w="1506" w:type="dxa"/>
            <w:tcBorders>
              <w:top w:val="single" w:sz="4" w:space="0" w:color="auto"/>
              <w:bottom w:val="single" w:sz="4" w:space="0" w:color="auto"/>
            </w:tcBorders>
          </w:tcPr>
          <w:p w:rsidR="00326C73" w:rsidRPr="00A45996" w:rsidRDefault="00326C73" w:rsidP="00326C73">
            <w:pPr>
              <w:pStyle w:val="PIEXPLAIN"/>
              <w:keepLines/>
              <w:jc w:val="center"/>
              <w:rPr>
                <w:b/>
                <w:bCs/>
                <w:sz w:val="20"/>
              </w:rPr>
            </w:pPr>
            <w:r w:rsidRPr="00A45996">
              <w:rPr>
                <w:b/>
                <w:bCs/>
                <w:sz w:val="20"/>
              </w:rPr>
              <w:t>4.0</w:t>
            </w:r>
          </w:p>
        </w:tc>
        <w:tc>
          <w:tcPr>
            <w:tcW w:w="1506" w:type="dxa"/>
            <w:tcBorders>
              <w:top w:val="single" w:sz="4" w:space="0" w:color="auto"/>
              <w:bottom w:val="single" w:sz="4" w:space="0" w:color="auto"/>
              <w:right w:val="single" w:sz="4" w:space="0" w:color="auto"/>
            </w:tcBorders>
          </w:tcPr>
          <w:p w:rsidR="00326C73" w:rsidRPr="00A45996" w:rsidRDefault="00326C73" w:rsidP="00326C73">
            <w:pPr>
              <w:pStyle w:val="PIEXPLAIN"/>
              <w:keepLines/>
              <w:jc w:val="center"/>
              <w:rPr>
                <w:b/>
                <w:bCs/>
                <w:sz w:val="20"/>
              </w:rPr>
            </w:pPr>
            <w:r w:rsidRPr="00A45996">
              <w:rPr>
                <w:b/>
                <w:bCs/>
                <w:sz w:val="20"/>
              </w:rPr>
              <w:t>3.5</w:t>
            </w:r>
          </w:p>
        </w:tc>
        <w:tc>
          <w:tcPr>
            <w:tcW w:w="1506" w:type="dxa"/>
            <w:tcBorders>
              <w:top w:val="single" w:sz="4" w:space="0" w:color="auto"/>
              <w:left w:val="single" w:sz="4" w:space="0" w:color="auto"/>
              <w:bottom w:val="single" w:sz="4" w:space="0" w:color="auto"/>
            </w:tcBorders>
          </w:tcPr>
          <w:p w:rsidR="00326C73" w:rsidRPr="00A45996" w:rsidRDefault="00326C73" w:rsidP="00326C73">
            <w:pPr>
              <w:pStyle w:val="PIEXPLAIN"/>
              <w:keepLines/>
              <w:jc w:val="center"/>
              <w:rPr>
                <w:b/>
                <w:bCs/>
                <w:sz w:val="20"/>
              </w:rPr>
            </w:pPr>
            <w:r w:rsidRPr="00A45996">
              <w:rPr>
                <w:b/>
                <w:bCs/>
                <w:sz w:val="20"/>
              </w:rPr>
              <w:t>3.1</w:t>
            </w:r>
          </w:p>
        </w:tc>
      </w:tr>
      <w:tr w:rsidR="00326C73" w:rsidRPr="00A45996" w:rsidTr="00326C73">
        <w:trPr>
          <w:cantSplit/>
        </w:trPr>
        <w:tc>
          <w:tcPr>
            <w:tcW w:w="9215" w:type="dxa"/>
            <w:gridSpan w:val="4"/>
            <w:tcBorders>
              <w:top w:val="single" w:sz="4" w:space="0" w:color="auto"/>
            </w:tcBorders>
          </w:tcPr>
          <w:p w:rsidR="00326C73" w:rsidRPr="00A45996" w:rsidRDefault="00326C73" w:rsidP="00326C73">
            <w:pPr>
              <w:pStyle w:val="PIEXPLAIN"/>
              <w:keepLines/>
              <w:rPr>
                <w:b/>
                <w:bCs/>
                <w:sz w:val="20"/>
              </w:rPr>
            </w:pPr>
            <w:r w:rsidRPr="00A45996">
              <w:rPr>
                <w:b/>
                <w:bCs/>
                <w:sz w:val="20"/>
              </w:rPr>
              <w:t>Previous Therapy</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b/>
                <w:bCs/>
                <w:sz w:val="20"/>
              </w:rPr>
            </w:pPr>
            <w:r w:rsidRPr="00A45996">
              <w:rPr>
                <w:b/>
                <w:bCs/>
                <w:sz w:val="20"/>
              </w:rPr>
              <w:t>Number of Prior Therapeutic Lines of Treatment</w:t>
            </w:r>
          </w:p>
        </w:tc>
        <w:tc>
          <w:tcPr>
            <w:tcW w:w="1506" w:type="dxa"/>
          </w:tcPr>
          <w:p w:rsidR="00326C73" w:rsidRPr="00A45996" w:rsidRDefault="00326C73" w:rsidP="00326C73">
            <w:pPr>
              <w:pStyle w:val="PIEXPLAIN"/>
              <w:keepLines/>
              <w:rPr>
                <w:sz w:val="20"/>
              </w:rPr>
            </w:pPr>
          </w:p>
        </w:tc>
        <w:tc>
          <w:tcPr>
            <w:tcW w:w="1506" w:type="dxa"/>
            <w:tcBorders>
              <w:right w:val="single" w:sz="4" w:space="0" w:color="auto"/>
            </w:tcBorders>
          </w:tcPr>
          <w:p w:rsidR="00326C73" w:rsidRPr="00A45996" w:rsidRDefault="00326C73" w:rsidP="00326C73">
            <w:pPr>
              <w:pStyle w:val="PIEXPLAIN"/>
              <w:keepLines/>
              <w:rPr>
                <w:sz w:val="20"/>
              </w:rPr>
            </w:pPr>
          </w:p>
        </w:tc>
        <w:tc>
          <w:tcPr>
            <w:tcW w:w="1506" w:type="dxa"/>
            <w:tcBorders>
              <w:left w:val="single" w:sz="4" w:space="0" w:color="auto"/>
            </w:tcBorders>
          </w:tcPr>
          <w:p w:rsidR="00326C73" w:rsidRPr="00A45996" w:rsidRDefault="00326C73" w:rsidP="00326C73">
            <w:pPr>
              <w:pStyle w:val="PIEXPLAIN"/>
              <w:keepLines/>
              <w:rPr>
                <w:sz w:val="20"/>
              </w:rPr>
            </w:pP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Median (range)**</w:t>
            </w:r>
          </w:p>
        </w:tc>
        <w:tc>
          <w:tcPr>
            <w:tcW w:w="1506" w:type="dxa"/>
          </w:tcPr>
          <w:p w:rsidR="00326C73" w:rsidRPr="00A45996" w:rsidRDefault="00326C73" w:rsidP="00326C73">
            <w:pPr>
              <w:pStyle w:val="PIEXPLAIN"/>
              <w:keepLines/>
              <w:jc w:val="center"/>
              <w:rPr>
                <w:sz w:val="20"/>
              </w:rPr>
            </w:pPr>
            <w:r w:rsidRPr="00A45996">
              <w:rPr>
                <w:sz w:val="20"/>
              </w:rPr>
              <w:t>6 (2-15)</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2 (1-7)</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2 (1-8)</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1 prior line</w:t>
            </w:r>
          </w:p>
        </w:tc>
        <w:tc>
          <w:tcPr>
            <w:tcW w:w="1506" w:type="dxa"/>
          </w:tcPr>
          <w:p w:rsidR="00326C73" w:rsidRPr="00A45996" w:rsidRDefault="00326C73" w:rsidP="00326C73">
            <w:pPr>
              <w:pStyle w:val="PIEXPLAIN"/>
              <w:keepLines/>
              <w:jc w:val="center"/>
              <w:rPr>
                <w:sz w:val="20"/>
              </w:rPr>
            </w:pPr>
            <w:r w:rsidRPr="00A45996">
              <w:rPr>
                <w:sz w:val="20"/>
              </w:rPr>
              <w:t>0</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40%</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35%</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&gt;1 prior line</w:t>
            </w:r>
          </w:p>
        </w:tc>
        <w:tc>
          <w:tcPr>
            <w:tcW w:w="1506" w:type="dxa"/>
          </w:tcPr>
          <w:p w:rsidR="00326C73" w:rsidRPr="00A45996" w:rsidRDefault="00326C73" w:rsidP="00326C73">
            <w:pPr>
              <w:pStyle w:val="PIEXPLAIN"/>
              <w:keepLines/>
              <w:jc w:val="center"/>
              <w:rPr>
                <w:sz w:val="20"/>
              </w:rPr>
            </w:pP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60%</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65%</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b/>
                <w:bCs/>
                <w:sz w:val="20"/>
              </w:rPr>
            </w:pPr>
            <w:r w:rsidRPr="00A45996">
              <w:rPr>
                <w:b/>
                <w:bCs/>
                <w:sz w:val="20"/>
              </w:rPr>
              <w:t>All patients</w:t>
            </w:r>
          </w:p>
        </w:tc>
        <w:tc>
          <w:tcPr>
            <w:tcW w:w="1506" w:type="dxa"/>
          </w:tcPr>
          <w:p w:rsidR="00326C73" w:rsidRPr="00A45996" w:rsidRDefault="00326C73" w:rsidP="00326C73">
            <w:pPr>
              <w:pStyle w:val="PIEXPLAIN"/>
              <w:keepLines/>
              <w:jc w:val="center"/>
              <w:rPr>
                <w:sz w:val="20"/>
              </w:rPr>
            </w:pPr>
          </w:p>
        </w:tc>
        <w:tc>
          <w:tcPr>
            <w:tcW w:w="1506" w:type="dxa"/>
            <w:tcBorders>
              <w:right w:val="single" w:sz="4" w:space="0" w:color="auto"/>
            </w:tcBorders>
          </w:tcPr>
          <w:p w:rsidR="00326C73" w:rsidRPr="00A45996" w:rsidRDefault="00326C73" w:rsidP="00326C73">
            <w:pPr>
              <w:pStyle w:val="PIEXPLAIN"/>
              <w:keepLines/>
              <w:jc w:val="center"/>
              <w:rPr>
                <w:sz w:val="20"/>
              </w:rPr>
            </w:pPr>
          </w:p>
        </w:tc>
        <w:tc>
          <w:tcPr>
            <w:tcW w:w="1506" w:type="dxa"/>
            <w:tcBorders>
              <w:left w:val="single" w:sz="4" w:space="0" w:color="auto"/>
            </w:tcBorders>
          </w:tcPr>
          <w:p w:rsidR="00326C73" w:rsidRPr="00A45996" w:rsidRDefault="00326C73" w:rsidP="00326C73">
            <w:pPr>
              <w:pStyle w:val="PIEXPLAIN"/>
              <w:keepLines/>
              <w:jc w:val="center"/>
              <w:rPr>
                <w:sz w:val="20"/>
              </w:rPr>
            </w:pP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Any prior steroids, e.g., dexamethasone, VAD</w:t>
            </w:r>
          </w:p>
        </w:tc>
        <w:tc>
          <w:tcPr>
            <w:tcW w:w="1506" w:type="dxa"/>
          </w:tcPr>
          <w:p w:rsidR="00326C73" w:rsidRPr="00A45996" w:rsidRDefault="00326C73" w:rsidP="00326C73">
            <w:pPr>
              <w:pStyle w:val="PIEXPLAIN"/>
              <w:keepLines/>
              <w:jc w:val="center"/>
              <w:rPr>
                <w:sz w:val="20"/>
              </w:rPr>
            </w:pPr>
            <w:r w:rsidRPr="00A45996">
              <w:rPr>
                <w:sz w:val="20"/>
              </w:rPr>
              <w:t>99%</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98%</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99%</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Any prior alkylating agents, e.g., MP, VBMCP</w:t>
            </w:r>
          </w:p>
        </w:tc>
        <w:tc>
          <w:tcPr>
            <w:tcW w:w="1506" w:type="dxa"/>
          </w:tcPr>
          <w:p w:rsidR="00326C73" w:rsidRPr="00A45996" w:rsidRDefault="00326C73" w:rsidP="00326C73">
            <w:pPr>
              <w:pStyle w:val="PIEXPLAIN"/>
              <w:keepLines/>
              <w:jc w:val="center"/>
              <w:rPr>
                <w:sz w:val="20"/>
              </w:rPr>
            </w:pPr>
            <w:r w:rsidRPr="00A45996">
              <w:rPr>
                <w:sz w:val="20"/>
              </w:rPr>
              <w:t>92%</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91%</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92%</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 xml:space="preserve">Any prior anthracyclines, e.g., VAD, </w:t>
            </w:r>
            <w:proofErr w:type="spellStart"/>
            <w:r w:rsidRPr="00A45996">
              <w:rPr>
                <w:sz w:val="20"/>
              </w:rPr>
              <w:t>mitoxantrone</w:t>
            </w:r>
            <w:proofErr w:type="spellEnd"/>
          </w:p>
        </w:tc>
        <w:tc>
          <w:tcPr>
            <w:tcW w:w="1506" w:type="dxa"/>
          </w:tcPr>
          <w:p w:rsidR="00326C73" w:rsidRPr="00A45996" w:rsidRDefault="00326C73" w:rsidP="00326C73">
            <w:pPr>
              <w:pStyle w:val="PIEXPLAIN"/>
              <w:keepLines/>
              <w:jc w:val="center"/>
              <w:rPr>
                <w:sz w:val="20"/>
              </w:rPr>
            </w:pPr>
            <w:r w:rsidRPr="00A45996">
              <w:rPr>
                <w:sz w:val="20"/>
              </w:rPr>
              <w:t>81%</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77%</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76%</w:t>
            </w:r>
          </w:p>
        </w:tc>
      </w:tr>
      <w:tr w:rsidR="00326C73" w:rsidRPr="00A45996" w:rsidTr="00326C73">
        <w:tc>
          <w:tcPr>
            <w:tcW w:w="4697" w:type="dxa"/>
            <w:tcBorders>
              <w:right w:val="single" w:sz="4" w:space="0" w:color="auto"/>
            </w:tcBorders>
          </w:tcPr>
          <w:p w:rsidR="00326C73" w:rsidRPr="00A45996" w:rsidRDefault="00326C73" w:rsidP="00326C73">
            <w:pPr>
              <w:pStyle w:val="PIEXPLAIN"/>
              <w:keepLines/>
              <w:rPr>
                <w:sz w:val="20"/>
              </w:rPr>
            </w:pPr>
            <w:r w:rsidRPr="00A45996">
              <w:rPr>
                <w:sz w:val="20"/>
              </w:rPr>
              <w:t>Any prior thalidomide therapy</w:t>
            </w:r>
          </w:p>
        </w:tc>
        <w:tc>
          <w:tcPr>
            <w:tcW w:w="1506" w:type="dxa"/>
          </w:tcPr>
          <w:p w:rsidR="00326C73" w:rsidRPr="00A45996" w:rsidRDefault="00326C73" w:rsidP="00326C73">
            <w:pPr>
              <w:pStyle w:val="PIEXPLAIN"/>
              <w:keepLines/>
              <w:jc w:val="center"/>
              <w:rPr>
                <w:sz w:val="20"/>
              </w:rPr>
            </w:pPr>
            <w:r w:rsidRPr="00A45996">
              <w:rPr>
                <w:sz w:val="20"/>
              </w:rPr>
              <w:t>83%</w:t>
            </w:r>
          </w:p>
        </w:tc>
        <w:tc>
          <w:tcPr>
            <w:tcW w:w="1506" w:type="dxa"/>
            <w:tcBorders>
              <w:right w:val="single" w:sz="4" w:space="0" w:color="auto"/>
            </w:tcBorders>
          </w:tcPr>
          <w:p w:rsidR="00326C73" w:rsidRPr="00A45996" w:rsidRDefault="00326C73" w:rsidP="00326C73">
            <w:pPr>
              <w:pStyle w:val="PIEXPLAIN"/>
              <w:keepLines/>
              <w:jc w:val="center"/>
              <w:rPr>
                <w:sz w:val="20"/>
              </w:rPr>
            </w:pPr>
            <w:r w:rsidRPr="00A45996">
              <w:rPr>
                <w:sz w:val="20"/>
              </w:rPr>
              <w:t>48%</w:t>
            </w:r>
          </w:p>
        </w:tc>
        <w:tc>
          <w:tcPr>
            <w:tcW w:w="1506" w:type="dxa"/>
            <w:tcBorders>
              <w:left w:val="single" w:sz="4" w:space="0" w:color="auto"/>
            </w:tcBorders>
          </w:tcPr>
          <w:p w:rsidR="00326C73" w:rsidRPr="00A45996" w:rsidRDefault="00326C73" w:rsidP="00326C73">
            <w:pPr>
              <w:pStyle w:val="PIEXPLAIN"/>
              <w:keepLines/>
              <w:jc w:val="center"/>
              <w:rPr>
                <w:sz w:val="20"/>
              </w:rPr>
            </w:pPr>
            <w:r w:rsidRPr="00A45996">
              <w:rPr>
                <w:sz w:val="20"/>
              </w:rPr>
              <w:t>50%</w:t>
            </w:r>
          </w:p>
        </w:tc>
      </w:tr>
      <w:tr w:rsidR="00326C73" w:rsidRPr="00A45996" w:rsidTr="00326C73">
        <w:tc>
          <w:tcPr>
            <w:tcW w:w="4697" w:type="dxa"/>
            <w:tcBorders>
              <w:bottom w:val="nil"/>
              <w:right w:val="single" w:sz="4" w:space="0" w:color="auto"/>
            </w:tcBorders>
          </w:tcPr>
          <w:p w:rsidR="00326C73" w:rsidRPr="00A45996" w:rsidRDefault="00326C73" w:rsidP="00326C73">
            <w:pPr>
              <w:pStyle w:val="PIEXPLAIN"/>
              <w:keepLines/>
              <w:rPr>
                <w:sz w:val="20"/>
              </w:rPr>
            </w:pPr>
            <w:r w:rsidRPr="00A45996">
              <w:rPr>
                <w:sz w:val="20"/>
              </w:rPr>
              <w:t>Any prior stem cell transplant/other high-dose therapy</w:t>
            </w:r>
          </w:p>
        </w:tc>
        <w:tc>
          <w:tcPr>
            <w:tcW w:w="1506" w:type="dxa"/>
            <w:tcBorders>
              <w:bottom w:val="nil"/>
            </w:tcBorders>
          </w:tcPr>
          <w:p w:rsidR="00326C73" w:rsidRPr="00A45996" w:rsidRDefault="00326C73" w:rsidP="00326C73">
            <w:pPr>
              <w:pStyle w:val="PIEXPLAIN"/>
              <w:keepLines/>
              <w:jc w:val="center"/>
              <w:rPr>
                <w:sz w:val="20"/>
              </w:rPr>
            </w:pPr>
            <w:r w:rsidRPr="00A45996">
              <w:rPr>
                <w:sz w:val="20"/>
              </w:rPr>
              <w:t>64%</w:t>
            </w:r>
          </w:p>
        </w:tc>
        <w:tc>
          <w:tcPr>
            <w:tcW w:w="1506" w:type="dxa"/>
            <w:tcBorders>
              <w:bottom w:val="nil"/>
              <w:right w:val="single" w:sz="4" w:space="0" w:color="auto"/>
            </w:tcBorders>
          </w:tcPr>
          <w:p w:rsidR="00326C73" w:rsidRPr="00A45996" w:rsidRDefault="00326C73" w:rsidP="00326C73">
            <w:pPr>
              <w:pStyle w:val="PIEXPLAIN"/>
              <w:keepLines/>
              <w:jc w:val="center"/>
              <w:rPr>
                <w:sz w:val="20"/>
              </w:rPr>
            </w:pPr>
            <w:r w:rsidRPr="00A45996">
              <w:rPr>
                <w:sz w:val="20"/>
              </w:rPr>
              <w:t>67%</w:t>
            </w:r>
          </w:p>
        </w:tc>
        <w:tc>
          <w:tcPr>
            <w:tcW w:w="1506" w:type="dxa"/>
            <w:tcBorders>
              <w:left w:val="single" w:sz="4" w:space="0" w:color="auto"/>
              <w:bottom w:val="nil"/>
            </w:tcBorders>
          </w:tcPr>
          <w:p w:rsidR="00326C73" w:rsidRPr="00A45996" w:rsidRDefault="00326C73" w:rsidP="00326C73">
            <w:pPr>
              <w:pStyle w:val="PIEXPLAIN"/>
              <w:keepLines/>
              <w:jc w:val="center"/>
              <w:rPr>
                <w:sz w:val="20"/>
              </w:rPr>
            </w:pPr>
            <w:r w:rsidRPr="00A45996">
              <w:rPr>
                <w:sz w:val="20"/>
              </w:rPr>
              <w:t>68%</w:t>
            </w:r>
          </w:p>
        </w:tc>
      </w:tr>
      <w:tr w:rsidR="00326C73" w:rsidRPr="00A45996" w:rsidTr="00326C73">
        <w:tc>
          <w:tcPr>
            <w:tcW w:w="4697" w:type="dxa"/>
            <w:tcBorders>
              <w:top w:val="nil"/>
              <w:bottom w:val="nil"/>
              <w:right w:val="single" w:sz="4" w:space="0" w:color="auto"/>
            </w:tcBorders>
          </w:tcPr>
          <w:p w:rsidR="00326C73" w:rsidRPr="00A45996" w:rsidRDefault="00326C73" w:rsidP="00326C73">
            <w:pPr>
              <w:pStyle w:val="PIEXPLAIN"/>
              <w:keepLines/>
              <w:rPr>
                <w:sz w:val="20"/>
              </w:rPr>
            </w:pPr>
            <w:r w:rsidRPr="00A45996">
              <w:rPr>
                <w:sz w:val="20"/>
              </w:rPr>
              <w:t>Prior experimental or other types of therapy</w:t>
            </w:r>
          </w:p>
        </w:tc>
        <w:tc>
          <w:tcPr>
            <w:tcW w:w="1506" w:type="dxa"/>
            <w:tcBorders>
              <w:top w:val="nil"/>
              <w:bottom w:val="nil"/>
            </w:tcBorders>
          </w:tcPr>
          <w:p w:rsidR="00326C73" w:rsidRPr="00A45996" w:rsidRDefault="00326C73" w:rsidP="00326C73">
            <w:pPr>
              <w:pStyle w:val="PIEXPLAIN"/>
              <w:keepLines/>
              <w:jc w:val="center"/>
              <w:rPr>
                <w:sz w:val="20"/>
              </w:rPr>
            </w:pPr>
            <w:r w:rsidRPr="00A45996">
              <w:rPr>
                <w:sz w:val="20"/>
              </w:rPr>
              <w:t>44%</w:t>
            </w:r>
          </w:p>
        </w:tc>
        <w:tc>
          <w:tcPr>
            <w:tcW w:w="1506" w:type="dxa"/>
            <w:tcBorders>
              <w:top w:val="nil"/>
              <w:bottom w:val="nil"/>
              <w:right w:val="single" w:sz="4" w:space="0" w:color="auto"/>
            </w:tcBorders>
          </w:tcPr>
          <w:p w:rsidR="00326C73" w:rsidRPr="00A45996" w:rsidRDefault="00326C73" w:rsidP="00326C73">
            <w:pPr>
              <w:pStyle w:val="PIEXPLAIN"/>
              <w:keepLines/>
              <w:jc w:val="center"/>
              <w:rPr>
                <w:sz w:val="20"/>
              </w:rPr>
            </w:pPr>
            <w:r w:rsidRPr="00A45996">
              <w:rPr>
                <w:sz w:val="20"/>
              </w:rPr>
              <w:t>3%</w:t>
            </w:r>
          </w:p>
        </w:tc>
        <w:tc>
          <w:tcPr>
            <w:tcW w:w="1506" w:type="dxa"/>
            <w:tcBorders>
              <w:top w:val="nil"/>
              <w:left w:val="single" w:sz="4" w:space="0" w:color="auto"/>
              <w:bottom w:val="nil"/>
            </w:tcBorders>
          </w:tcPr>
          <w:p w:rsidR="00326C73" w:rsidRPr="00A45996" w:rsidRDefault="00326C73" w:rsidP="00326C73">
            <w:pPr>
              <w:pStyle w:val="PIEXPLAIN"/>
              <w:keepLines/>
              <w:jc w:val="center"/>
              <w:rPr>
                <w:sz w:val="20"/>
              </w:rPr>
            </w:pPr>
            <w:r w:rsidRPr="00A45996">
              <w:rPr>
                <w:sz w:val="20"/>
              </w:rPr>
              <w:t>2%</w:t>
            </w:r>
          </w:p>
        </w:tc>
      </w:tr>
      <w:tr w:rsidR="00326C73" w:rsidRPr="00A45996" w:rsidTr="00326C73">
        <w:trPr>
          <w:cantSplit/>
        </w:trPr>
        <w:tc>
          <w:tcPr>
            <w:tcW w:w="9215" w:type="dxa"/>
            <w:gridSpan w:val="4"/>
            <w:tcBorders>
              <w:top w:val="single" w:sz="4" w:space="0" w:color="auto"/>
            </w:tcBorders>
          </w:tcPr>
          <w:p w:rsidR="00326C73" w:rsidRPr="00A45996" w:rsidRDefault="00326C73" w:rsidP="00326C73">
            <w:pPr>
              <w:pStyle w:val="PIEXPLAIN"/>
              <w:keepLines/>
              <w:rPr>
                <w:sz w:val="16"/>
                <w:szCs w:val="16"/>
              </w:rPr>
            </w:pPr>
            <w:r w:rsidRPr="00A45996">
              <w:rPr>
                <w:sz w:val="16"/>
                <w:szCs w:val="16"/>
              </w:rPr>
              <w:t>*Based on number of patients with baseline data available</w:t>
            </w:r>
          </w:p>
          <w:p w:rsidR="00326C73" w:rsidRPr="00A45996" w:rsidRDefault="00326C73" w:rsidP="00326C73">
            <w:pPr>
              <w:pStyle w:val="PIEXPLAIN"/>
              <w:keepLines/>
              <w:rPr>
                <w:sz w:val="16"/>
                <w:szCs w:val="16"/>
              </w:rPr>
            </w:pPr>
            <w:r w:rsidRPr="00A45996">
              <w:rPr>
                <w:sz w:val="16"/>
                <w:szCs w:val="16"/>
              </w:rPr>
              <w:t>**Including steroids, alkylating agents, anthracyclines, thalidomide and stem cell transplants</w:t>
            </w:r>
          </w:p>
        </w:tc>
      </w:tr>
    </w:tbl>
    <w:p w:rsidR="00326C73" w:rsidRPr="00A45996" w:rsidRDefault="00326C73" w:rsidP="00326C73">
      <w:pPr>
        <w:rPr>
          <w:szCs w:val="22"/>
        </w:rPr>
      </w:pPr>
    </w:p>
    <w:p w:rsidR="00326C73" w:rsidRPr="00A45996" w:rsidRDefault="00326C73" w:rsidP="00326C73">
      <w:pPr>
        <w:pStyle w:val="PIEXPLAIN"/>
        <w:rPr>
          <w:rFonts w:cs="Arial"/>
          <w:b/>
          <w:bCs/>
        </w:rPr>
      </w:pPr>
      <w:r w:rsidRPr="00A45996">
        <w:rPr>
          <w:rFonts w:cs="Arial"/>
          <w:b/>
          <w:bCs/>
        </w:rPr>
        <w:br w:type="page"/>
      </w:r>
      <w:r w:rsidRPr="00A45996">
        <w:rPr>
          <w:rFonts w:cs="Arial"/>
          <w:b/>
          <w:bCs/>
        </w:rPr>
        <w:lastRenderedPageBreak/>
        <w:t xml:space="preserve">APEX Study (Phase III) </w:t>
      </w:r>
    </w:p>
    <w:p w:rsidR="00326C73" w:rsidRPr="00A45996" w:rsidRDefault="00326C73" w:rsidP="00326C73">
      <w:pPr>
        <w:pStyle w:val="PIEXPLAIN"/>
        <w:rPr>
          <w:rFonts w:cs="Arial"/>
          <w:lang w:val="en-US"/>
        </w:rPr>
      </w:pPr>
      <w:r w:rsidRPr="00A45996">
        <w:rPr>
          <w:rFonts w:cs="Arial"/>
          <w:lang w:val="en-US"/>
        </w:rPr>
        <w:t xml:space="preserve">In the APEX study described above, patients considered to be refractory to prior high-dose dexamethasone were excluded as were those with baseline grade </w:t>
      </w:r>
      <w:r w:rsidRPr="00A45996">
        <w:rPr>
          <w:rFonts w:cs="Arial" w:hint="eastAsia"/>
          <w:lang w:val="en-US"/>
        </w:rPr>
        <w:t>≥</w:t>
      </w:r>
      <w:r w:rsidRPr="00A45996">
        <w:rPr>
          <w:rFonts w:cs="Arial"/>
          <w:lang w:val="en-US"/>
        </w:rPr>
        <w:t xml:space="preserve"> 2 peripheral neuropathy or platelet counts &lt;50,000/µL.  A total of 627 patients were evaluable for response.  Stratification factors were based on the number of lines of prior therapy the patient had previously received (1 previous line versus more than 1 line of therapy), time of progression relative to prior treatment (progression during or within 6 months of stopping their most recent therapy versus relapse &gt;6 months after receiving their most recent therapy), and screening </w:t>
      </w:r>
      <w:r w:rsidRPr="00A45996">
        <w:rPr>
          <w:rFonts w:cs="Arial"/>
          <w:lang w:val="en-US"/>
        </w:rPr>
        <w:sym w:font="Symbol" w:char="F062"/>
      </w:r>
      <w:r w:rsidRPr="00A45996">
        <w:rPr>
          <w:rFonts w:cs="Arial"/>
          <w:szCs w:val="16"/>
          <w:vertAlign w:val="subscript"/>
          <w:lang w:val="en-US"/>
        </w:rPr>
        <w:t>2</w:t>
      </w:r>
      <w:r w:rsidRPr="00A45996">
        <w:rPr>
          <w:rFonts w:cs="Arial"/>
          <w:lang w:val="en-US"/>
        </w:rPr>
        <w:t>-microglobulin levels (</w:t>
      </w:r>
      <w:r w:rsidRPr="00A45996">
        <w:rPr>
          <w:rFonts w:cs="Arial" w:hint="eastAsia"/>
          <w:lang w:val="en-US"/>
        </w:rPr>
        <w:t>≤</w:t>
      </w:r>
      <w:r w:rsidRPr="00A45996">
        <w:rPr>
          <w:rFonts w:cs="Arial"/>
          <w:lang w:val="en-US"/>
        </w:rPr>
        <w:t xml:space="preserve"> 2.5 mg/L versus &gt;2.5 mg/L). </w:t>
      </w:r>
    </w:p>
    <w:p w:rsidR="00326C73" w:rsidRPr="00A45996" w:rsidRDefault="00326C73" w:rsidP="00326C73">
      <w:pPr>
        <w:pStyle w:val="PIEXPLAIN"/>
        <w:rPr>
          <w:rFonts w:cs="Arial"/>
          <w:lang w:val="en-US"/>
        </w:rPr>
      </w:pPr>
      <w:r w:rsidRPr="00A45996">
        <w:rPr>
          <w:rFonts w:cs="Arial"/>
          <w:lang w:val="en-US"/>
        </w:rPr>
        <w:t xml:space="preserve">Following a preplanned interim analysis of time to progression, the dexamethasone arm was halted and all patients randomized to dexamethasone were offered VELCADE, regardless of disease status. At this time of study termination, a final statistical analysis was performed. Due to this early termination of the study, the median duration of follow-up for surviving patients (n=534) is limited to 8.3 months. The time to event analyses and response rates from the APEX trial are presented in Table 8.   </w:t>
      </w:r>
    </w:p>
    <w:p w:rsidR="00326C73" w:rsidRPr="00A45996" w:rsidRDefault="00326C73" w:rsidP="00326C73">
      <w:pPr>
        <w:pStyle w:val="PIEXPLAIN"/>
        <w:rPr>
          <w:b/>
          <w:sz w:val="20"/>
        </w:rPr>
      </w:pPr>
      <w:r w:rsidRPr="00A45996">
        <w:rPr>
          <w:b/>
          <w:bCs/>
          <w:sz w:val="20"/>
        </w:rPr>
        <w:t>Table 8</w:t>
      </w:r>
      <w:r w:rsidRPr="00A45996">
        <w:rPr>
          <w:b/>
          <w:sz w:val="20"/>
        </w:rPr>
        <w:t>: Summary of Efficacy Analyses in the APEX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91"/>
        <w:gridCol w:w="1119"/>
        <w:gridCol w:w="1225"/>
        <w:gridCol w:w="1171"/>
        <w:gridCol w:w="1172"/>
        <w:gridCol w:w="1172"/>
      </w:tblGrid>
      <w:tr w:rsidR="00326C73" w:rsidRPr="00A45996" w:rsidTr="00326C73">
        <w:trPr>
          <w:trHeight w:val="274"/>
        </w:trPr>
        <w:tc>
          <w:tcPr>
            <w:tcW w:w="1985" w:type="dxa"/>
          </w:tcPr>
          <w:p w:rsidR="00326C73" w:rsidRPr="00A45996" w:rsidRDefault="00326C73" w:rsidP="00326C73">
            <w:pPr>
              <w:pStyle w:val="CommentText"/>
              <w:keepLines/>
              <w:tabs>
                <w:tab w:val="clear" w:pos="567"/>
              </w:tabs>
              <w:spacing w:line="240" w:lineRule="auto"/>
              <w:rPr>
                <w:rFonts w:ascii="Arial" w:hAnsi="Arial"/>
                <w:lang w:val="en-AU"/>
              </w:rPr>
            </w:pPr>
          </w:p>
        </w:tc>
        <w:tc>
          <w:tcPr>
            <w:tcW w:w="2410" w:type="dxa"/>
            <w:gridSpan w:val="2"/>
          </w:tcPr>
          <w:p w:rsidR="00326C73" w:rsidRPr="00A45996" w:rsidRDefault="00326C73" w:rsidP="00326C73">
            <w:pPr>
              <w:jc w:val="center"/>
              <w:rPr>
                <w:b/>
                <w:bCs/>
                <w:sz w:val="20"/>
              </w:rPr>
            </w:pPr>
            <w:r w:rsidRPr="00A45996">
              <w:rPr>
                <w:b/>
                <w:bCs/>
                <w:sz w:val="20"/>
              </w:rPr>
              <w:t>All Patients</w:t>
            </w:r>
          </w:p>
        </w:tc>
        <w:tc>
          <w:tcPr>
            <w:tcW w:w="2396" w:type="dxa"/>
            <w:gridSpan w:val="2"/>
          </w:tcPr>
          <w:p w:rsidR="00326C73" w:rsidRPr="00A45996" w:rsidRDefault="00326C73" w:rsidP="00326C73">
            <w:pPr>
              <w:jc w:val="center"/>
              <w:rPr>
                <w:b/>
                <w:bCs/>
                <w:sz w:val="20"/>
              </w:rPr>
            </w:pPr>
            <w:r w:rsidRPr="00A45996">
              <w:rPr>
                <w:b/>
                <w:bCs/>
                <w:sz w:val="20"/>
              </w:rPr>
              <w:t>1 Prior Line of Therapy</w:t>
            </w:r>
          </w:p>
        </w:tc>
        <w:tc>
          <w:tcPr>
            <w:tcW w:w="2344" w:type="dxa"/>
            <w:gridSpan w:val="2"/>
          </w:tcPr>
          <w:p w:rsidR="00326C73" w:rsidRPr="00A45996" w:rsidRDefault="00326C73" w:rsidP="00326C73">
            <w:pPr>
              <w:jc w:val="center"/>
              <w:rPr>
                <w:b/>
                <w:bCs/>
                <w:sz w:val="20"/>
              </w:rPr>
            </w:pPr>
            <w:r w:rsidRPr="00A45996">
              <w:rPr>
                <w:b/>
                <w:bCs/>
                <w:sz w:val="20"/>
              </w:rPr>
              <w:t>&gt;1 Prior Line of Therapy</w:t>
            </w:r>
          </w:p>
        </w:tc>
      </w:tr>
      <w:tr w:rsidR="00326C73" w:rsidRPr="00A45996" w:rsidTr="00326C73">
        <w:trPr>
          <w:trHeight w:val="240"/>
        </w:trPr>
        <w:tc>
          <w:tcPr>
            <w:tcW w:w="1985" w:type="dxa"/>
          </w:tcPr>
          <w:p w:rsidR="00326C73" w:rsidRPr="00A45996" w:rsidRDefault="00326C73" w:rsidP="00326C73">
            <w:pPr>
              <w:jc w:val="left"/>
              <w:rPr>
                <w:sz w:val="20"/>
              </w:rPr>
            </w:pPr>
          </w:p>
        </w:tc>
        <w:tc>
          <w:tcPr>
            <w:tcW w:w="1291" w:type="dxa"/>
          </w:tcPr>
          <w:p w:rsidR="00326C73" w:rsidRPr="00A45996" w:rsidRDefault="00326C73" w:rsidP="00326C73">
            <w:pPr>
              <w:jc w:val="center"/>
              <w:rPr>
                <w:b/>
                <w:bCs/>
                <w:sz w:val="20"/>
              </w:rPr>
            </w:pPr>
            <w:r w:rsidRPr="00A45996">
              <w:rPr>
                <w:b/>
                <w:bCs/>
                <w:sz w:val="20"/>
              </w:rPr>
              <w:t>VELCADE</w:t>
            </w:r>
          </w:p>
        </w:tc>
        <w:tc>
          <w:tcPr>
            <w:tcW w:w="1119" w:type="dxa"/>
          </w:tcPr>
          <w:p w:rsidR="00326C73" w:rsidRPr="00A45996" w:rsidRDefault="00326C73" w:rsidP="00326C73">
            <w:pPr>
              <w:pStyle w:val="Heading2"/>
              <w:jc w:val="center"/>
              <w:rPr>
                <w:b/>
                <w:bCs/>
                <w:sz w:val="20"/>
                <w:u w:val="none"/>
              </w:rPr>
            </w:pPr>
            <w:proofErr w:type="spellStart"/>
            <w:r w:rsidRPr="00A45996">
              <w:rPr>
                <w:b/>
                <w:bCs/>
                <w:sz w:val="20"/>
                <w:u w:val="none"/>
              </w:rPr>
              <w:t>Dex</w:t>
            </w:r>
            <w:proofErr w:type="spellEnd"/>
          </w:p>
        </w:tc>
        <w:tc>
          <w:tcPr>
            <w:tcW w:w="1225" w:type="dxa"/>
          </w:tcPr>
          <w:p w:rsidR="00326C73" w:rsidRPr="00A45996" w:rsidRDefault="00326C73" w:rsidP="00326C73">
            <w:pPr>
              <w:jc w:val="center"/>
              <w:rPr>
                <w:b/>
                <w:bCs/>
                <w:sz w:val="20"/>
              </w:rPr>
            </w:pPr>
            <w:r w:rsidRPr="00A45996">
              <w:rPr>
                <w:b/>
                <w:bCs/>
                <w:sz w:val="20"/>
              </w:rPr>
              <w:t>VELCADE</w:t>
            </w:r>
          </w:p>
        </w:tc>
        <w:tc>
          <w:tcPr>
            <w:tcW w:w="1171" w:type="dxa"/>
          </w:tcPr>
          <w:p w:rsidR="00326C73" w:rsidRPr="00A45996" w:rsidRDefault="00326C73" w:rsidP="00326C73">
            <w:pPr>
              <w:jc w:val="center"/>
              <w:rPr>
                <w:b/>
                <w:bCs/>
                <w:sz w:val="20"/>
              </w:rPr>
            </w:pPr>
            <w:proofErr w:type="spellStart"/>
            <w:r w:rsidRPr="00A45996">
              <w:rPr>
                <w:b/>
                <w:bCs/>
                <w:sz w:val="20"/>
              </w:rPr>
              <w:t>Dex</w:t>
            </w:r>
            <w:proofErr w:type="spellEnd"/>
          </w:p>
        </w:tc>
        <w:tc>
          <w:tcPr>
            <w:tcW w:w="1172" w:type="dxa"/>
          </w:tcPr>
          <w:p w:rsidR="00326C73" w:rsidRPr="00A45996" w:rsidRDefault="00326C73" w:rsidP="00326C73">
            <w:pPr>
              <w:jc w:val="center"/>
              <w:rPr>
                <w:b/>
                <w:bCs/>
                <w:sz w:val="20"/>
              </w:rPr>
            </w:pPr>
            <w:r w:rsidRPr="00A45996">
              <w:rPr>
                <w:b/>
                <w:bCs/>
                <w:sz w:val="20"/>
              </w:rPr>
              <w:t>VECADE</w:t>
            </w:r>
          </w:p>
        </w:tc>
        <w:tc>
          <w:tcPr>
            <w:tcW w:w="1172" w:type="dxa"/>
          </w:tcPr>
          <w:p w:rsidR="00326C73" w:rsidRPr="00A45996" w:rsidRDefault="00326C73" w:rsidP="00326C73">
            <w:pPr>
              <w:jc w:val="center"/>
              <w:rPr>
                <w:b/>
                <w:bCs/>
                <w:sz w:val="20"/>
              </w:rPr>
            </w:pPr>
            <w:proofErr w:type="spellStart"/>
            <w:r w:rsidRPr="00A45996">
              <w:rPr>
                <w:b/>
                <w:bCs/>
                <w:sz w:val="20"/>
              </w:rPr>
              <w:t>Dex</w:t>
            </w:r>
            <w:proofErr w:type="spellEnd"/>
          </w:p>
        </w:tc>
      </w:tr>
      <w:tr w:rsidR="00326C73" w:rsidRPr="00A45996" w:rsidTr="00326C73">
        <w:trPr>
          <w:trHeight w:val="310"/>
        </w:trPr>
        <w:tc>
          <w:tcPr>
            <w:tcW w:w="1985" w:type="dxa"/>
          </w:tcPr>
          <w:p w:rsidR="00326C73" w:rsidRPr="00A45996" w:rsidRDefault="00326C73" w:rsidP="00326C73">
            <w:pPr>
              <w:pStyle w:val="Heading1"/>
              <w:spacing w:before="0"/>
              <w:rPr>
                <w:sz w:val="20"/>
              </w:rPr>
            </w:pPr>
            <w:r w:rsidRPr="00A45996">
              <w:rPr>
                <w:sz w:val="20"/>
              </w:rPr>
              <w:t>Efficacy Endpoint</w:t>
            </w:r>
          </w:p>
        </w:tc>
        <w:tc>
          <w:tcPr>
            <w:tcW w:w="1291" w:type="dxa"/>
          </w:tcPr>
          <w:p w:rsidR="00326C73" w:rsidRPr="00A45996" w:rsidRDefault="00326C73" w:rsidP="00326C73">
            <w:pPr>
              <w:jc w:val="center"/>
              <w:rPr>
                <w:b/>
                <w:bCs/>
                <w:sz w:val="20"/>
              </w:rPr>
            </w:pPr>
            <w:r w:rsidRPr="00A45996">
              <w:rPr>
                <w:b/>
                <w:bCs/>
                <w:sz w:val="20"/>
              </w:rPr>
              <w:t>n=333</w:t>
            </w:r>
          </w:p>
        </w:tc>
        <w:tc>
          <w:tcPr>
            <w:tcW w:w="1119" w:type="dxa"/>
          </w:tcPr>
          <w:p w:rsidR="00326C73" w:rsidRPr="00A45996" w:rsidRDefault="00326C73" w:rsidP="00326C73">
            <w:pPr>
              <w:jc w:val="center"/>
              <w:rPr>
                <w:b/>
                <w:bCs/>
                <w:sz w:val="20"/>
              </w:rPr>
            </w:pPr>
            <w:r w:rsidRPr="00A45996">
              <w:rPr>
                <w:b/>
                <w:bCs/>
                <w:sz w:val="20"/>
              </w:rPr>
              <w:t>n=336</w:t>
            </w:r>
          </w:p>
        </w:tc>
        <w:tc>
          <w:tcPr>
            <w:tcW w:w="1225" w:type="dxa"/>
          </w:tcPr>
          <w:p w:rsidR="00326C73" w:rsidRPr="00A45996" w:rsidRDefault="00326C73" w:rsidP="00326C73">
            <w:pPr>
              <w:jc w:val="center"/>
              <w:rPr>
                <w:b/>
                <w:bCs/>
                <w:sz w:val="20"/>
              </w:rPr>
            </w:pPr>
            <w:r w:rsidRPr="00A45996">
              <w:rPr>
                <w:b/>
                <w:bCs/>
                <w:sz w:val="20"/>
              </w:rPr>
              <w:t>n=132</w:t>
            </w:r>
          </w:p>
        </w:tc>
        <w:tc>
          <w:tcPr>
            <w:tcW w:w="1171" w:type="dxa"/>
          </w:tcPr>
          <w:p w:rsidR="00326C73" w:rsidRPr="00A45996" w:rsidRDefault="00326C73" w:rsidP="00326C73">
            <w:pPr>
              <w:jc w:val="center"/>
              <w:rPr>
                <w:b/>
                <w:bCs/>
                <w:sz w:val="20"/>
              </w:rPr>
            </w:pPr>
            <w:r w:rsidRPr="00A45996">
              <w:rPr>
                <w:b/>
                <w:bCs/>
                <w:sz w:val="20"/>
              </w:rPr>
              <w:t>n=119</w:t>
            </w:r>
          </w:p>
        </w:tc>
        <w:tc>
          <w:tcPr>
            <w:tcW w:w="1172" w:type="dxa"/>
          </w:tcPr>
          <w:p w:rsidR="00326C73" w:rsidRPr="00A45996" w:rsidRDefault="00326C73" w:rsidP="00326C73">
            <w:pPr>
              <w:jc w:val="center"/>
              <w:rPr>
                <w:b/>
                <w:bCs/>
                <w:sz w:val="20"/>
              </w:rPr>
            </w:pPr>
            <w:r w:rsidRPr="00A45996">
              <w:rPr>
                <w:b/>
                <w:bCs/>
                <w:sz w:val="20"/>
              </w:rPr>
              <w:t>n=200</w:t>
            </w:r>
          </w:p>
        </w:tc>
        <w:tc>
          <w:tcPr>
            <w:tcW w:w="1172" w:type="dxa"/>
          </w:tcPr>
          <w:p w:rsidR="00326C73" w:rsidRPr="00A45996" w:rsidRDefault="00326C73" w:rsidP="00326C73">
            <w:pPr>
              <w:jc w:val="center"/>
              <w:rPr>
                <w:b/>
                <w:bCs/>
                <w:sz w:val="20"/>
              </w:rPr>
            </w:pPr>
            <w:r w:rsidRPr="00A45996">
              <w:rPr>
                <w:b/>
                <w:bCs/>
                <w:sz w:val="20"/>
              </w:rPr>
              <w:t>n=217</w:t>
            </w:r>
          </w:p>
        </w:tc>
      </w:tr>
      <w:tr w:rsidR="00326C73" w:rsidRPr="00A45996" w:rsidTr="00326C73">
        <w:trPr>
          <w:trHeight w:val="413"/>
        </w:trPr>
        <w:tc>
          <w:tcPr>
            <w:tcW w:w="1985" w:type="dxa"/>
          </w:tcPr>
          <w:p w:rsidR="00326C73" w:rsidRPr="00A45996" w:rsidRDefault="00326C73" w:rsidP="00326C73">
            <w:pPr>
              <w:jc w:val="left"/>
              <w:rPr>
                <w:sz w:val="20"/>
              </w:rPr>
            </w:pPr>
            <w:r w:rsidRPr="00A45996">
              <w:rPr>
                <w:b/>
                <w:bCs/>
                <w:sz w:val="20"/>
              </w:rPr>
              <w:t xml:space="preserve">Time to Progression </w:t>
            </w:r>
            <w:r w:rsidRPr="00A45996">
              <w:rPr>
                <w:sz w:val="20"/>
              </w:rPr>
              <w:t>–</w:t>
            </w:r>
          </w:p>
          <w:p w:rsidR="00326C73" w:rsidRPr="00A45996" w:rsidRDefault="00326C73" w:rsidP="00326C73">
            <w:pPr>
              <w:jc w:val="left"/>
              <w:rPr>
                <w:sz w:val="20"/>
              </w:rPr>
            </w:pPr>
            <w:r w:rsidRPr="00A45996">
              <w:rPr>
                <w:sz w:val="20"/>
              </w:rPr>
              <w:t>Events n (%)</w:t>
            </w:r>
          </w:p>
        </w:tc>
        <w:tc>
          <w:tcPr>
            <w:tcW w:w="1291" w:type="dxa"/>
          </w:tcPr>
          <w:p w:rsidR="00326C73" w:rsidRPr="00A45996" w:rsidRDefault="00326C73" w:rsidP="00326C73">
            <w:pPr>
              <w:jc w:val="center"/>
              <w:rPr>
                <w:sz w:val="20"/>
              </w:rPr>
            </w:pPr>
            <w:r w:rsidRPr="00A45996">
              <w:rPr>
                <w:sz w:val="20"/>
              </w:rPr>
              <w:t>147(44)</w:t>
            </w:r>
          </w:p>
        </w:tc>
        <w:tc>
          <w:tcPr>
            <w:tcW w:w="1119" w:type="dxa"/>
          </w:tcPr>
          <w:p w:rsidR="00326C73" w:rsidRPr="00A45996" w:rsidRDefault="00326C73" w:rsidP="00326C73">
            <w:pPr>
              <w:jc w:val="center"/>
              <w:rPr>
                <w:sz w:val="20"/>
              </w:rPr>
            </w:pPr>
            <w:r w:rsidRPr="00A45996">
              <w:rPr>
                <w:sz w:val="20"/>
              </w:rPr>
              <w:t>196(58)</w:t>
            </w:r>
          </w:p>
        </w:tc>
        <w:tc>
          <w:tcPr>
            <w:tcW w:w="1225" w:type="dxa"/>
          </w:tcPr>
          <w:p w:rsidR="00326C73" w:rsidRPr="00A45996" w:rsidRDefault="00326C73" w:rsidP="00326C73">
            <w:pPr>
              <w:jc w:val="center"/>
              <w:rPr>
                <w:sz w:val="20"/>
              </w:rPr>
            </w:pPr>
            <w:r w:rsidRPr="00A45996">
              <w:rPr>
                <w:sz w:val="20"/>
              </w:rPr>
              <w:t>55(42)</w:t>
            </w:r>
          </w:p>
        </w:tc>
        <w:tc>
          <w:tcPr>
            <w:tcW w:w="1171" w:type="dxa"/>
          </w:tcPr>
          <w:p w:rsidR="00326C73" w:rsidRPr="00A45996" w:rsidRDefault="00326C73" w:rsidP="00326C73">
            <w:pPr>
              <w:jc w:val="center"/>
              <w:rPr>
                <w:sz w:val="20"/>
              </w:rPr>
            </w:pPr>
            <w:r w:rsidRPr="00A45996">
              <w:rPr>
                <w:sz w:val="20"/>
              </w:rPr>
              <w:t>64(54)</w:t>
            </w:r>
          </w:p>
        </w:tc>
        <w:tc>
          <w:tcPr>
            <w:tcW w:w="1172" w:type="dxa"/>
          </w:tcPr>
          <w:p w:rsidR="00326C73" w:rsidRPr="00A45996" w:rsidRDefault="00326C73" w:rsidP="00326C73">
            <w:pPr>
              <w:jc w:val="center"/>
              <w:rPr>
                <w:sz w:val="20"/>
              </w:rPr>
            </w:pPr>
            <w:r w:rsidRPr="00A45996">
              <w:rPr>
                <w:sz w:val="20"/>
              </w:rPr>
              <w:t>92(46)</w:t>
            </w:r>
          </w:p>
        </w:tc>
        <w:tc>
          <w:tcPr>
            <w:tcW w:w="1172" w:type="dxa"/>
          </w:tcPr>
          <w:p w:rsidR="00326C73" w:rsidRPr="00A45996" w:rsidRDefault="00326C73" w:rsidP="00326C73">
            <w:pPr>
              <w:jc w:val="center"/>
              <w:rPr>
                <w:sz w:val="20"/>
              </w:rPr>
            </w:pPr>
            <w:r w:rsidRPr="00A45996">
              <w:rPr>
                <w:sz w:val="20"/>
              </w:rPr>
              <w:t>132(61)</w:t>
            </w:r>
          </w:p>
        </w:tc>
      </w:tr>
      <w:tr w:rsidR="00326C73" w:rsidRPr="00A45996" w:rsidTr="00326C73">
        <w:trPr>
          <w:trHeight w:val="363"/>
        </w:trPr>
        <w:tc>
          <w:tcPr>
            <w:tcW w:w="1985" w:type="dxa"/>
          </w:tcPr>
          <w:p w:rsidR="00326C73" w:rsidRPr="00A45996" w:rsidRDefault="00326C73" w:rsidP="00326C73">
            <w:pPr>
              <w:jc w:val="left"/>
              <w:rPr>
                <w:sz w:val="20"/>
              </w:rPr>
            </w:pPr>
            <w:proofErr w:type="spellStart"/>
            <w:r w:rsidRPr="00A45996">
              <w:rPr>
                <w:sz w:val="20"/>
              </w:rPr>
              <w:t>Median</w:t>
            </w:r>
            <w:r w:rsidRPr="00A45996">
              <w:rPr>
                <w:sz w:val="20"/>
                <w:vertAlign w:val="superscript"/>
              </w:rPr>
              <w:t>a</w:t>
            </w:r>
            <w:proofErr w:type="spellEnd"/>
            <w:r w:rsidRPr="00A45996">
              <w:rPr>
                <w:sz w:val="20"/>
              </w:rPr>
              <w:t xml:space="preserve"> (95% CI)</w:t>
            </w:r>
          </w:p>
        </w:tc>
        <w:tc>
          <w:tcPr>
            <w:tcW w:w="1291" w:type="dxa"/>
          </w:tcPr>
          <w:p w:rsidR="00326C73" w:rsidRPr="00A45996" w:rsidRDefault="00326C73" w:rsidP="00326C73">
            <w:pPr>
              <w:jc w:val="center"/>
              <w:rPr>
                <w:sz w:val="20"/>
              </w:rPr>
            </w:pPr>
            <w:r w:rsidRPr="00A45996">
              <w:rPr>
                <w:sz w:val="20"/>
              </w:rPr>
              <w:t>6.2 mo</w:t>
            </w:r>
          </w:p>
          <w:p w:rsidR="00326C73" w:rsidRPr="00A45996" w:rsidRDefault="00326C73" w:rsidP="00326C73">
            <w:pPr>
              <w:jc w:val="center"/>
              <w:rPr>
                <w:sz w:val="20"/>
              </w:rPr>
            </w:pPr>
            <w:r w:rsidRPr="00A45996">
              <w:rPr>
                <w:sz w:val="20"/>
              </w:rPr>
              <w:t>(4.9, 6.9)</w:t>
            </w:r>
          </w:p>
        </w:tc>
        <w:tc>
          <w:tcPr>
            <w:tcW w:w="1119" w:type="dxa"/>
          </w:tcPr>
          <w:p w:rsidR="00326C73" w:rsidRPr="00A45996" w:rsidRDefault="00326C73" w:rsidP="00326C73">
            <w:pPr>
              <w:jc w:val="center"/>
              <w:rPr>
                <w:sz w:val="20"/>
              </w:rPr>
            </w:pPr>
            <w:r w:rsidRPr="00A45996">
              <w:rPr>
                <w:sz w:val="20"/>
              </w:rPr>
              <w:t>3.5 mo</w:t>
            </w:r>
          </w:p>
          <w:p w:rsidR="00326C73" w:rsidRPr="00A45996" w:rsidRDefault="00326C73" w:rsidP="00326C73">
            <w:pPr>
              <w:jc w:val="center"/>
              <w:rPr>
                <w:sz w:val="20"/>
              </w:rPr>
            </w:pPr>
            <w:r w:rsidRPr="00A45996">
              <w:rPr>
                <w:sz w:val="20"/>
              </w:rPr>
              <w:t>(2.9, 4.2)</w:t>
            </w:r>
          </w:p>
        </w:tc>
        <w:tc>
          <w:tcPr>
            <w:tcW w:w="1225" w:type="dxa"/>
          </w:tcPr>
          <w:p w:rsidR="00326C73" w:rsidRPr="00A45996" w:rsidRDefault="00326C73" w:rsidP="00326C73">
            <w:pPr>
              <w:jc w:val="center"/>
              <w:rPr>
                <w:sz w:val="20"/>
              </w:rPr>
            </w:pPr>
            <w:r w:rsidRPr="00A45996">
              <w:rPr>
                <w:sz w:val="20"/>
              </w:rPr>
              <w:t>7.0</w:t>
            </w:r>
          </w:p>
          <w:p w:rsidR="00326C73" w:rsidRPr="00A45996" w:rsidRDefault="00326C73" w:rsidP="00326C73">
            <w:pPr>
              <w:jc w:val="center"/>
              <w:rPr>
                <w:sz w:val="20"/>
              </w:rPr>
            </w:pPr>
            <w:r w:rsidRPr="00A45996">
              <w:rPr>
                <w:sz w:val="20"/>
              </w:rPr>
              <w:t>(6.2, 8.8)</w:t>
            </w:r>
          </w:p>
        </w:tc>
        <w:tc>
          <w:tcPr>
            <w:tcW w:w="1171" w:type="dxa"/>
          </w:tcPr>
          <w:p w:rsidR="00326C73" w:rsidRPr="00A45996" w:rsidRDefault="00326C73" w:rsidP="00326C73">
            <w:pPr>
              <w:jc w:val="center"/>
              <w:rPr>
                <w:sz w:val="20"/>
              </w:rPr>
            </w:pPr>
            <w:r w:rsidRPr="00A45996">
              <w:rPr>
                <w:sz w:val="20"/>
              </w:rPr>
              <w:t>5.6</w:t>
            </w:r>
          </w:p>
          <w:p w:rsidR="00326C73" w:rsidRPr="00A45996" w:rsidRDefault="00326C73" w:rsidP="00326C73">
            <w:pPr>
              <w:jc w:val="center"/>
              <w:rPr>
                <w:sz w:val="20"/>
              </w:rPr>
            </w:pPr>
            <w:r w:rsidRPr="00A45996">
              <w:rPr>
                <w:sz w:val="20"/>
              </w:rPr>
              <w:t>(3.4, 6.3)</w:t>
            </w:r>
          </w:p>
        </w:tc>
        <w:tc>
          <w:tcPr>
            <w:tcW w:w="1172" w:type="dxa"/>
          </w:tcPr>
          <w:p w:rsidR="00326C73" w:rsidRPr="00A45996" w:rsidRDefault="00326C73" w:rsidP="00326C73">
            <w:pPr>
              <w:jc w:val="center"/>
              <w:rPr>
                <w:sz w:val="20"/>
              </w:rPr>
            </w:pPr>
            <w:r w:rsidRPr="00A45996">
              <w:rPr>
                <w:sz w:val="20"/>
              </w:rPr>
              <w:t>4.9</w:t>
            </w:r>
          </w:p>
          <w:p w:rsidR="00326C73" w:rsidRPr="00A45996" w:rsidRDefault="00326C73" w:rsidP="00326C73">
            <w:pPr>
              <w:jc w:val="center"/>
              <w:rPr>
                <w:sz w:val="20"/>
              </w:rPr>
            </w:pPr>
            <w:r w:rsidRPr="00A45996">
              <w:rPr>
                <w:sz w:val="20"/>
              </w:rPr>
              <w:t>(4.2, 6.3)</w:t>
            </w:r>
          </w:p>
        </w:tc>
        <w:tc>
          <w:tcPr>
            <w:tcW w:w="1172" w:type="dxa"/>
          </w:tcPr>
          <w:p w:rsidR="00326C73" w:rsidRPr="00A45996" w:rsidRDefault="00326C73" w:rsidP="00326C73">
            <w:pPr>
              <w:jc w:val="center"/>
              <w:rPr>
                <w:sz w:val="20"/>
              </w:rPr>
            </w:pPr>
            <w:r w:rsidRPr="00A45996">
              <w:rPr>
                <w:sz w:val="20"/>
              </w:rPr>
              <w:t>2.9</w:t>
            </w:r>
          </w:p>
          <w:p w:rsidR="00326C73" w:rsidRPr="00A45996" w:rsidRDefault="00326C73" w:rsidP="00326C73">
            <w:pPr>
              <w:jc w:val="center"/>
              <w:rPr>
                <w:sz w:val="20"/>
              </w:rPr>
            </w:pPr>
            <w:r w:rsidRPr="00A45996">
              <w:rPr>
                <w:sz w:val="20"/>
              </w:rPr>
              <w:t>(2.8, 3.5)</w:t>
            </w:r>
          </w:p>
        </w:tc>
      </w:tr>
      <w:tr w:rsidR="00326C73" w:rsidRPr="00A45996" w:rsidTr="00326C73">
        <w:trPr>
          <w:cantSplit/>
          <w:trHeight w:val="455"/>
        </w:trPr>
        <w:tc>
          <w:tcPr>
            <w:tcW w:w="1985" w:type="dxa"/>
          </w:tcPr>
          <w:p w:rsidR="00326C73" w:rsidRPr="00A45996" w:rsidRDefault="00326C73" w:rsidP="00326C73">
            <w:pPr>
              <w:jc w:val="left"/>
              <w:rPr>
                <w:sz w:val="20"/>
              </w:rPr>
            </w:pPr>
            <w:r w:rsidRPr="00A45996">
              <w:rPr>
                <w:sz w:val="20"/>
              </w:rPr>
              <w:t xml:space="preserve">Hazard </w:t>
            </w:r>
            <w:proofErr w:type="spellStart"/>
            <w:r w:rsidRPr="00A45996">
              <w:rPr>
                <w:sz w:val="20"/>
              </w:rPr>
              <w:t>ratio</w:t>
            </w:r>
            <w:r w:rsidRPr="00A45996">
              <w:rPr>
                <w:sz w:val="20"/>
                <w:vertAlign w:val="superscript"/>
              </w:rPr>
              <w:t>b</w:t>
            </w:r>
            <w:proofErr w:type="spellEnd"/>
            <w:r w:rsidRPr="00A45996">
              <w:rPr>
                <w:sz w:val="20"/>
              </w:rPr>
              <w:t xml:space="preserve"> (95% CI)</w:t>
            </w:r>
          </w:p>
        </w:tc>
        <w:tc>
          <w:tcPr>
            <w:tcW w:w="2410" w:type="dxa"/>
            <w:gridSpan w:val="2"/>
          </w:tcPr>
          <w:p w:rsidR="00326C73" w:rsidRPr="00A45996" w:rsidRDefault="00326C73" w:rsidP="00326C73">
            <w:pPr>
              <w:jc w:val="center"/>
              <w:rPr>
                <w:sz w:val="20"/>
              </w:rPr>
            </w:pPr>
            <w:r w:rsidRPr="00A45996">
              <w:rPr>
                <w:sz w:val="20"/>
              </w:rPr>
              <w:t>0.55</w:t>
            </w:r>
          </w:p>
          <w:p w:rsidR="00326C73" w:rsidRPr="00A45996" w:rsidRDefault="00326C73" w:rsidP="00326C73">
            <w:pPr>
              <w:jc w:val="center"/>
              <w:rPr>
                <w:sz w:val="20"/>
              </w:rPr>
            </w:pPr>
            <w:r w:rsidRPr="00A45996">
              <w:rPr>
                <w:sz w:val="20"/>
              </w:rPr>
              <w:t>(0.44, 0.69)</w:t>
            </w:r>
          </w:p>
        </w:tc>
        <w:tc>
          <w:tcPr>
            <w:tcW w:w="2396" w:type="dxa"/>
            <w:gridSpan w:val="2"/>
          </w:tcPr>
          <w:p w:rsidR="00326C73" w:rsidRPr="00A45996" w:rsidRDefault="00326C73" w:rsidP="00326C73">
            <w:pPr>
              <w:jc w:val="center"/>
              <w:rPr>
                <w:sz w:val="20"/>
              </w:rPr>
            </w:pPr>
            <w:r w:rsidRPr="00A45996">
              <w:rPr>
                <w:sz w:val="20"/>
              </w:rPr>
              <w:t>0.55</w:t>
            </w:r>
          </w:p>
          <w:p w:rsidR="00326C73" w:rsidRPr="00A45996" w:rsidRDefault="00326C73" w:rsidP="00326C73">
            <w:pPr>
              <w:jc w:val="center"/>
              <w:rPr>
                <w:sz w:val="20"/>
              </w:rPr>
            </w:pPr>
            <w:r w:rsidRPr="00A45996">
              <w:rPr>
                <w:sz w:val="20"/>
              </w:rPr>
              <w:t>(0.38, 0.81)</w:t>
            </w:r>
          </w:p>
        </w:tc>
        <w:tc>
          <w:tcPr>
            <w:tcW w:w="2344" w:type="dxa"/>
            <w:gridSpan w:val="2"/>
          </w:tcPr>
          <w:p w:rsidR="00326C73" w:rsidRPr="00A45996" w:rsidRDefault="00326C73" w:rsidP="00326C73">
            <w:pPr>
              <w:jc w:val="center"/>
              <w:rPr>
                <w:sz w:val="20"/>
              </w:rPr>
            </w:pPr>
            <w:r w:rsidRPr="00A45996">
              <w:rPr>
                <w:sz w:val="20"/>
              </w:rPr>
              <w:t>0.54</w:t>
            </w:r>
          </w:p>
          <w:p w:rsidR="00326C73" w:rsidRPr="00A45996" w:rsidRDefault="00326C73" w:rsidP="00326C73">
            <w:pPr>
              <w:jc w:val="center"/>
              <w:rPr>
                <w:sz w:val="20"/>
              </w:rPr>
            </w:pPr>
            <w:r w:rsidRPr="00A45996">
              <w:rPr>
                <w:sz w:val="20"/>
              </w:rPr>
              <w:t>(0.41, 0.72)</w:t>
            </w:r>
          </w:p>
        </w:tc>
      </w:tr>
      <w:tr w:rsidR="00326C73" w:rsidRPr="00A45996" w:rsidTr="00326C73">
        <w:trPr>
          <w:cantSplit/>
          <w:trHeight w:val="183"/>
        </w:trPr>
        <w:tc>
          <w:tcPr>
            <w:tcW w:w="1985" w:type="dxa"/>
          </w:tcPr>
          <w:p w:rsidR="00326C73" w:rsidRPr="00A45996" w:rsidRDefault="00326C73" w:rsidP="00326C73">
            <w:pPr>
              <w:jc w:val="left"/>
              <w:rPr>
                <w:sz w:val="20"/>
              </w:rPr>
            </w:pPr>
            <w:r w:rsidRPr="00A45996">
              <w:rPr>
                <w:sz w:val="20"/>
              </w:rPr>
              <w:t>p-</w:t>
            </w:r>
            <w:proofErr w:type="spellStart"/>
            <w:r w:rsidRPr="00A45996">
              <w:rPr>
                <w:sz w:val="20"/>
              </w:rPr>
              <w:t>value</w:t>
            </w:r>
            <w:r w:rsidRPr="00A45996">
              <w:rPr>
                <w:sz w:val="20"/>
                <w:vertAlign w:val="superscript"/>
              </w:rPr>
              <w:t>c</w:t>
            </w:r>
            <w:proofErr w:type="spellEnd"/>
          </w:p>
        </w:tc>
        <w:tc>
          <w:tcPr>
            <w:tcW w:w="2410" w:type="dxa"/>
            <w:gridSpan w:val="2"/>
          </w:tcPr>
          <w:p w:rsidR="00326C73" w:rsidRPr="00A45996" w:rsidRDefault="00326C73" w:rsidP="00326C73">
            <w:pPr>
              <w:jc w:val="center"/>
              <w:rPr>
                <w:sz w:val="20"/>
              </w:rPr>
            </w:pPr>
            <w:r w:rsidRPr="00A45996">
              <w:rPr>
                <w:sz w:val="20"/>
              </w:rPr>
              <w:t>&lt;0.0001</w:t>
            </w:r>
          </w:p>
        </w:tc>
        <w:tc>
          <w:tcPr>
            <w:tcW w:w="2396" w:type="dxa"/>
            <w:gridSpan w:val="2"/>
          </w:tcPr>
          <w:p w:rsidR="00326C73" w:rsidRPr="00A45996" w:rsidRDefault="00326C73" w:rsidP="00326C73">
            <w:pPr>
              <w:jc w:val="center"/>
              <w:rPr>
                <w:sz w:val="20"/>
              </w:rPr>
            </w:pPr>
            <w:r w:rsidRPr="00A45996">
              <w:rPr>
                <w:sz w:val="20"/>
              </w:rPr>
              <w:t>0.0019</w:t>
            </w:r>
          </w:p>
        </w:tc>
        <w:tc>
          <w:tcPr>
            <w:tcW w:w="2344" w:type="dxa"/>
            <w:gridSpan w:val="2"/>
          </w:tcPr>
          <w:p w:rsidR="00326C73" w:rsidRPr="00A45996" w:rsidRDefault="00326C73" w:rsidP="00326C73">
            <w:pPr>
              <w:jc w:val="center"/>
              <w:rPr>
                <w:sz w:val="20"/>
              </w:rPr>
            </w:pPr>
            <w:r w:rsidRPr="00A45996">
              <w:rPr>
                <w:sz w:val="20"/>
              </w:rPr>
              <w:t>&lt;0.0001</w:t>
            </w:r>
          </w:p>
        </w:tc>
      </w:tr>
      <w:tr w:rsidR="00326C73" w:rsidRPr="00A45996" w:rsidTr="00326C73">
        <w:trPr>
          <w:trHeight w:val="433"/>
        </w:trPr>
        <w:tc>
          <w:tcPr>
            <w:tcW w:w="1985" w:type="dxa"/>
          </w:tcPr>
          <w:p w:rsidR="00326C73" w:rsidRPr="00A45996" w:rsidRDefault="00326C73" w:rsidP="00326C73">
            <w:pPr>
              <w:pStyle w:val="Heading1"/>
              <w:rPr>
                <w:sz w:val="20"/>
              </w:rPr>
            </w:pPr>
            <w:r w:rsidRPr="00A45996">
              <w:rPr>
                <w:sz w:val="20"/>
              </w:rPr>
              <w:t>Overall survival</w:t>
            </w:r>
          </w:p>
          <w:p w:rsidR="00326C73" w:rsidRPr="00A45996" w:rsidRDefault="00326C73" w:rsidP="00326C73">
            <w:pPr>
              <w:jc w:val="left"/>
              <w:rPr>
                <w:sz w:val="20"/>
              </w:rPr>
            </w:pPr>
            <w:r w:rsidRPr="00A45996">
              <w:rPr>
                <w:sz w:val="20"/>
              </w:rPr>
              <w:t>Events (deaths) n (%)</w:t>
            </w:r>
          </w:p>
        </w:tc>
        <w:tc>
          <w:tcPr>
            <w:tcW w:w="1291"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51(15)</w:t>
            </w:r>
          </w:p>
        </w:tc>
        <w:tc>
          <w:tcPr>
            <w:tcW w:w="1119"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84(25)</w:t>
            </w:r>
          </w:p>
        </w:tc>
        <w:tc>
          <w:tcPr>
            <w:tcW w:w="1225"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12(9)</w:t>
            </w:r>
          </w:p>
        </w:tc>
        <w:tc>
          <w:tcPr>
            <w:tcW w:w="1171"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24(20)</w:t>
            </w:r>
          </w:p>
        </w:tc>
        <w:tc>
          <w:tcPr>
            <w:tcW w:w="1172"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39(20)</w:t>
            </w:r>
          </w:p>
        </w:tc>
        <w:tc>
          <w:tcPr>
            <w:tcW w:w="1172" w:type="dxa"/>
          </w:tcPr>
          <w:p w:rsidR="00326C73" w:rsidRPr="00A45996" w:rsidRDefault="00326C73" w:rsidP="00326C73">
            <w:pPr>
              <w:jc w:val="center"/>
              <w:rPr>
                <w:sz w:val="20"/>
              </w:rPr>
            </w:pPr>
          </w:p>
          <w:p w:rsidR="00326C73" w:rsidRPr="00A45996" w:rsidRDefault="00326C73" w:rsidP="00326C73">
            <w:pPr>
              <w:jc w:val="center"/>
              <w:rPr>
                <w:sz w:val="20"/>
              </w:rPr>
            </w:pPr>
            <w:r w:rsidRPr="00A45996">
              <w:rPr>
                <w:sz w:val="20"/>
              </w:rPr>
              <w:t>60(28)</w:t>
            </w:r>
          </w:p>
        </w:tc>
      </w:tr>
      <w:tr w:rsidR="00326C73" w:rsidRPr="00A45996" w:rsidTr="00326C73">
        <w:trPr>
          <w:cantSplit/>
          <w:trHeight w:val="413"/>
        </w:trPr>
        <w:tc>
          <w:tcPr>
            <w:tcW w:w="1985" w:type="dxa"/>
          </w:tcPr>
          <w:p w:rsidR="00326C73" w:rsidRPr="00A45996" w:rsidRDefault="00326C73" w:rsidP="00326C73">
            <w:pPr>
              <w:jc w:val="left"/>
              <w:rPr>
                <w:sz w:val="20"/>
              </w:rPr>
            </w:pPr>
            <w:r w:rsidRPr="00A45996">
              <w:rPr>
                <w:sz w:val="20"/>
              </w:rPr>
              <w:t xml:space="preserve">Hazard </w:t>
            </w:r>
            <w:proofErr w:type="spellStart"/>
            <w:r w:rsidRPr="00A45996">
              <w:rPr>
                <w:sz w:val="20"/>
              </w:rPr>
              <w:t>ratio</w:t>
            </w:r>
            <w:r w:rsidRPr="00A45996">
              <w:rPr>
                <w:sz w:val="20"/>
                <w:vertAlign w:val="superscript"/>
              </w:rPr>
              <w:t>b</w:t>
            </w:r>
            <w:proofErr w:type="spellEnd"/>
            <w:r w:rsidRPr="00A45996">
              <w:rPr>
                <w:sz w:val="20"/>
              </w:rPr>
              <w:t xml:space="preserve"> (95% CI)</w:t>
            </w:r>
          </w:p>
        </w:tc>
        <w:tc>
          <w:tcPr>
            <w:tcW w:w="2410" w:type="dxa"/>
            <w:gridSpan w:val="2"/>
          </w:tcPr>
          <w:p w:rsidR="00326C73" w:rsidRPr="00A45996" w:rsidRDefault="00326C73" w:rsidP="00326C73">
            <w:pPr>
              <w:jc w:val="center"/>
              <w:rPr>
                <w:sz w:val="20"/>
              </w:rPr>
            </w:pPr>
            <w:r w:rsidRPr="00A45996">
              <w:rPr>
                <w:sz w:val="20"/>
              </w:rPr>
              <w:t>0.57</w:t>
            </w:r>
          </w:p>
          <w:p w:rsidR="00326C73" w:rsidRPr="00A45996" w:rsidRDefault="00326C73" w:rsidP="00326C73">
            <w:pPr>
              <w:jc w:val="center"/>
              <w:rPr>
                <w:sz w:val="20"/>
              </w:rPr>
            </w:pPr>
            <w:r w:rsidRPr="00A45996">
              <w:rPr>
                <w:sz w:val="20"/>
              </w:rPr>
              <w:t>(0.40, 0.81)</w:t>
            </w:r>
          </w:p>
        </w:tc>
        <w:tc>
          <w:tcPr>
            <w:tcW w:w="2396" w:type="dxa"/>
            <w:gridSpan w:val="2"/>
          </w:tcPr>
          <w:p w:rsidR="00326C73" w:rsidRPr="00A45996" w:rsidRDefault="00326C73" w:rsidP="00326C73">
            <w:pPr>
              <w:jc w:val="center"/>
              <w:rPr>
                <w:sz w:val="20"/>
              </w:rPr>
            </w:pPr>
            <w:r w:rsidRPr="00A45996">
              <w:rPr>
                <w:sz w:val="20"/>
              </w:rPr>
              <w:t>0.39</w:t>
            </w:r>
          </w:p>
          <w:p w:rsidR="00326C73" w:rsidRPr="00A45996" w:rsidRDefault="00326C73" w:rsidP="00326C73">
            <w:pPr>
              <w:jc w:val="center"/>
              <w:rPr>
                <w:sz w:val="20"/>
              </w:rPr>
            </w:pPr>
            <w:r w:rsidRPr="00A45996">
              <w:rPr>
                <w:sz w:val="20"/>
              </w:rPr>
              <w:t>(0.19, 0.81)</w:t>
            </w:r>
          </w:p>
        </w:tc>
        <w:tc>
          <w:tcPr>
            <w:tcW w:w="2344" w:type="dxa"/>
            <w:gridSpan w:val="2"/>
          </w:tcPr>
          <w:p w:rsidR="00326C73" w:rsidRPr="00A45996" w:rsidRDefault="00326C73" w:rsidP="00326C73">
            <w:pPr>
              <w:jc w:val="center"/>
              <w:rPr>
                <w:sz w:val="20"/>
              </w:rPr>
            </w:pPr>
            <w:r w:rsidRPr="00A45996">
              <w:rPr>
                <w:sz w:val="20"/>
              </w:rPr>
              <w:t>0.65</w:t>
            </w:r>
          </w:p>
          <w:p w:rsidR="00326C73" w:rsidRPr="00A45996" w:rsidRDefault="00326C73" w:rsidP="00326C73">
            <w:pPr>
              <w:jc w:val="center"/>
              <w:rPr>
                <w:sz w:val="20"/>
              </w:rPr>
            </w:pPr>
            <w:r w:rsidRPr="00A45996">
              <w:rPr>
                <w:sz w:val="20"/>
              </w:rPr>
              <w:t>(0.43, 0.97)</w:t>
            </w:r>
          </w:p>
        </w:tc>
      </w:tr>
      <w:tr w:rsidR="00326C73" w:rsidRPr="00A45996" w:rsidTr="00326C73">
        <w:trPr>
          <w:cantSplit/>
          <w:trHeight w:val="237"/>
        </w:trPr>
        <w:tc>
          <w:tcPr>
            <w:tcW w:w="1985" w:type="dxa"/>
          </w:tcPr>
          <w:p w:rsidR="00326C73" w:rsidRPr="00A45996" w:rsidRDefault="00326C73" w:rsidP="00326C73">
            <w:pPr>
              <w:jc w:val="left"/>
              <w:rPr>
                <w:sz w:val="20"/>
              </w:rPr>
            </w:pPr>
            <w:r w:rsidRPr="00A45996">
              <w:rPr>
                <w:sz w:val="20"/>
              </w:rPr>
              <w:t>p-</w:t>
            </w:r>
            <w:proofErr w:type="spellStart"/>
            <w:r w:rsidRPr="00A45996">
              <w:rPr>
                <w:sz w:val="20"/>
              </w:rPr>
              <w:t>value</w:t>
            </w:r>
            <w:r w:rsidRPr="00A45996">
              <w:rPr>
                <w:sz w:val="20"/>
                <w:vertAlign w:val="superscript"/>
              </w:rPr>
              <w:t>c</w:t>
            </w:r>
            <w:proofErr w:type="spellEnd"/>
            <w:r w:rsidRPr="00A45996">
              <w:rPr>
                <w:sz w:val="20"/>
                <w:vertAlign w:val="superscript"/>
              </w:rPr>
              <w:t>, d</w:t>
            </w:r>
          </w:p>
        </w:tc>
        <w:tc>
          <w:tcPr>
            <w:tcW w:w="2410" w:type="dxa"/>
            <w:gridSpan w:val="2"/>
          </w:tcPr>
          <w:p w:rsidR="00326C73" w:rsidRPr="00A45996" w:rsidRDefault="00326C73" w:rsidP="00326C73">
            <w:pPr>
              <w:jc w:val="center"/>
              <w:rPr>
                <w:sz w:val="20"/>
              </w:rPr>
            </w:pPr>
            <w:r w:rsidRPr="00A45996">
              <w:rPr>
                <w:sz w:val="20"/>
              </w:rPr>
              <w:t>&lt;0.05</w:t>
            </w:r>
          </w:p>
        </w:tc>
        <w:tc>
          <w:tcPr>
            <w:tcW w:w="2396" w:type="dxa"/>
            <w:gridSpan w:val="2"/>
          </w:tcPr>
          <w:p w:rsidR="00326C73" w:rsidRPr="00A45996" w:rsidRDefault="00326C73" w:rsidP="00326C73">
            <w:pPr>
              <w:jc w:val="center"/>
              <w:rPr>
                <w:sz w:val="20"/>
              </w:rPr>
            </w:pPr>
            <w:r w:rsidRPr="00A45996">
              <w:rPr>
                <w:sz w:val="20"/>
              </w:rPr>
              <w:t>&lt;0.05</w:t>
            </w:r>
          </w:p>
        </w:tc>
        <w:tc>
          <w:tcPr>
            <w:tcW w:w="2344" w:type="dxa"/>
            <w:gridSpan w:val="2"/>
          </w:tcPr>
          <w:p w:rsidR="00326C73" w:rsidRPr="00A45996" w:rsidRDefault="00326C73" w:rsidP="00326C73">
            <w:pPr>
              <w:jc w:val="center"/>
              <w:rPr>
                <w:sz w:val="20"/>
              </w:rPr>
            </w:pPr>
            <w:r w:rsidRPr="00A45996">
              <w:rPr>
                <w:sz w:val="20"/>
              </w:rPr>
              <w:t>&lt;0.05</w:t>
            </w:r>
          </w:p>
        </w:tc>
      </w:tr>
      <w:tr w:rsidR="00326C73" w:rsidRPr="00A45996" w:rsidTr="00326C73">
        <w:trPr>
          <w:trHeight w:val="501"/>
        </w:trPr>
        <w:tc>
          <w:tcPr>
            <w:tcW w:w="1985" w:type="dxa"/>
          </w:tcPr>
          <w:p w:rsidR="00326C73" w:rsidRPr="00A45996" w:rsidRDefault="00326C73" w:rsidP="00326C73">
            <w:pPr>
              <w:jc w:val="left"/>
              <w:rPr>
                <w:sz w:val="20"/>
              </w:rPr>
            </w:pPr>
            <w:r w:rsidRPr="00A45996">
              <w:rPr>
                <w:b/>
                <w:bCs/>
                <w:sz w:val="20"/>
              </w:rPr>
              <w:t>Response Rate</w:t>
            </w:r>
            <w:r w:rsidRPr="00A45996">
              <w:rPr>
                <w:sz w:val="20"/>
              </w:rPr>
              <w:t xml:space="preserve"> </w:t>
            </w:r>
            <w:proofErr w:type="spellStart"/>
            <w:r w:rsidRPr="00A45996">
              <w:rPr>
                <w:sz w:val="20"/>
              </w:rPr>
              <w:t>population</w:t>
            </w:r>
            <w:r w:rsidRPr="00A45996">
              <w:rPr>
                <w:sz w:val="20"/>
                <w:vertAlign w:val="superscript"/>
              </w:rPr>
              <w:t>e</w:t>
            </w:r>
            <w:proofErr w:type="spellEnd"/>
            <w:r w:rsidRPr="00A45996">
              <w:rPr>
                <w:sz w:val="20"/>
              </w:rPr>
              <w:t xml:space="preserve"> n=627</w:t>
            </w:r>
          </w:p>
        </w:tc>
        <w:tc>
          <w:tcPr>
            <w:tcW w:w="1291" w:type="dxa"/>
          </w:tcPr>
          <w:p w:rsidR="00326C73" w:rsidRPr="00A45996" w:rsidRDefault="00326C73" w:rsidP="00326C73">
            <w:pPr>
              <w:jc w:val="center"/>
              <w:rPr>
                <w:sz w:val="20"/>
              </w:rPr>
            </w:pPr>
            <w:r w:rsidRPr="00A45996">
              <w:rPr>
                <w:sz w:val="20"/>
              </w:rPr>
              <w:t>n=315</w:t>
            </w:r>
          </w:p>
        </w:tc>
        <w:tc>
          <w:tcPr>
            <w:tcW w:w="1119" w:type="dxa"/>
          </w:tcPr>
          <w:p w:rsidR="00326C73" w:rsidRPr="00A45996" w:rsidRDefault="00326C73" w:rsidP="00326C73">
            <w:pPr>
              <w:jc w:val="center"/>
              <w:rPr>
                <w:sz w:val="20"/>
              </w:rPr>
            </w:pPr>
            <w:r w:rsidRPr="00A45996">
              <w:rPr>
                <w:sz w:val="20"/>
              </w:rPr>
              <w:t>n=312</w:t>
            </w:r>
          </w:p>
        </w:tc>
        <w:tc>
          <w:tcPr>
            <w:tcW w:w="1225" w:type="dxa"/>
          </w:tcPr>
          <w:p w:rsidR="00326C73" w:rsidRPr="00A45996" w:rsidRDefault="00326C73" w:rsidP="00326C73">
            <w:pPr>
              <w:jc w:val="center"/>
              <w:rPr>
                <w:sz w:val="20"/>
              </w:rPr>
            </w:pPr>
            <w:r w:rsidRPr="00A45996">
              <w:rPr>
                <w:sz w:val="20"/>
              </w:rPr>
              <w:t>n=128</w:t>
            </w:r>
          </w:p>
        </w:tc>
        <w:tc>
          <w:tcPr>
            <w:tcW w:w="1171" w:type="dxa"/>
          </w:tcPr>
          <w:p w:rsidR="00326C73" w:rsidRPr="00A45996" w:rsidRDefault="00326C73" w:rsidP="00326C73">
            <w:pPr>
              <w:jc w:val="center"/>
              <w:rPr>
                <w:sz w:val="20"/>
              </w:rPr>
            </w:pPr>
            <w:r w:rsidRPr="00A45996">
              <w:rPr>
                <w:sz w:val="20"/>
              </w:rPr>
              <w:t>n=110</w:t>
            </w:r>
          </w:p>
        </w:tc>
        <w:tc>
          <w:tcPr>
            <w:tcW w:w="1172" w:type="dxa"/>
          </w:tcPr>
          <w:p w:rsidR="00326C73" w:rsidRPr="00A45996" w:rsidRDefault="00326C73" w:rsidP="00326C73">
            <w:pPr>
              <w:jc w:val="center"/>
              <w:rPr>
                <w:sz w:val="20"/>
              </w:rPr>
            </w:pPr>
            <w:r w:rsidRPr="00A45996">
              <w:rPr>
                <w:sz w:val="20"/>
              </w:rPr>
              <w:t>n=187</w:t>
            </w:r>
          </w:p>
        </w:tc>
        <w:tc>
          <w:tcPr>
            <w:tcW w:w="1172" w:type="dxa"/>
          </w:tcPr>
          <w:p w:rsidR="00326C73" w:rsidRPr="00A45996" w:rsidRDefault="00326C73" w:rsidP="00326C73">
            <w:pPr>
              <w:jc w:val="center"/>
              <w:rPr>
                <w:sz w:val="20"/>
              </w:rPr>
            </w:pPr>
            <w:r w:rsidRPr="00A45996">
              <w:rPr>
                <w:sz w:val="20"/>
              </w:rPr>
              <w:t>n=202</w:t>
            </w:r>
          </w:p>
        </w:tc>
      </w:tr>
      <w:tr w:rsidR="00326C73" w:rsidRPr="00A45996" w:rsidTr="00326C73">
        <w:trPr>
          <w:trHeight w:val="325"/>
        </w:trPr>
        <w:tc>
          <w:tcPr>
            <w:tcW w:w="1985" w:type="dxa"/>
          </w:tcPr>
          <w:p w:rsidR="00326C73" w:rsidRPr="00A45996" w:rsidRDefault="00326C73" w:rsidP="00326C73">
            <w:pPr>
              <w:jc w:val="left"/>
              <w:rPr>
                <w:sz w:val="20"/>
              </w:rPr>
            </w:pPr>
            <w:proofErr w:type="spellStart"/>
            <w:r w:rsidRPr="00A45996">
              <w:rPr>
                <w:sz w:val="20"/>
              </w:rPr>
              <w:t>CR</w:t>
            </w:r>
            <w:r w:rsidRPr="00A45996">
              <w:rPr>
                <w:sz w:val="20"/>
                <w:vertAlign w:val="superscript"/>
              </w:rPr>
              <w:t>f</w:t>
            </w:r>
            <w:proofErr w:type="spellEnd"/>
            <w:r w:rsidRPr="00A45996">
              <w:rPr>
                <w:sz w:val="20"/>
              </w:rPr>
              <w:t xml:space="preserve"> </w:t>
            </w:r>
            <w:proofErr w:type="gramStart"/>
            <w:r w:rsidRPr="00A45996">
              <w:rPr>
                <w:sz w:val="20"/>
              </w:rPr>
              <w:t>n(</w:t>
            </w:r>
            <w:proofErr w:type="gramEnd"/>
            <w:r w:rsidRPr="00A45996">
              <w:rPr>
                <w:sz w:val="20"/>
              </w:rPr>
              <w:t>%)</w:t>
            </w:r>
          </w:p>
        </w:tc>
        <w:tc>
          <w:tcPr>
            <w:tcW w:w="1291" w:type="dxa"/>
          </w:tcPr>
          <w:p w:rsidR="00326C73" w:rsidRPr="00A45996" w:rsidRDefault="00326C73" w:rsidP="00326C73">
            <w:pPr>
              <w:jc w:val="center"/>
              <w:rPr>
                <w:sz w:val="20"/>
              </w:rPr>
            </w:pPr>
            <w:r w:rsidRPr="00A45996">
              <w:rPr>
                <w:sz w:val="20"/>
              </w:rPr>
              <w:t>20(6)</w:t>
            </w:r>
          </w:p>
        </w:tc>
        <w:tc>
          <w:tcPr>
            <w:tcW w:w="1119" w:type="dxa"/>
          </w:tcPr>
          <w:p w:rsidR="00326C73" w:rsidRPr="00A45996" w:rsidRDefault="00326C73" w:rsidP="00326C73">
            <w:pPr>
              <w:jc w:val="center"/>
              <w:rPr>
                <w:sz w:val="20"/>
              </w:rPr>
            </w:pPr>
            <w:r w:rsidRPr="00A45996">
              <w:rPr>
                <w:sz w:val="20"/>
              </w:rPr>
              <w:t>2(&lt;1)</w:t>
            </w:r>
          </w:p>
        </w:tc>
        <w:tc>
          <w:tcPr>
            <w:tcW w:w="1225" w:type="dxa"/>
          </w:tcPr>
          <w:p w:rsidR="00326C73" w:rsidRPr="00A45996" w:rsidRDefault="00326C73" w:rsidP="00326C73">
            <w:pPr>
              <w:jc w:val="center"/>
              <w:rPr>
                <w:sz w:val="20"/>
              </w:rPr>
            </w:pPr>
            <w:r w:rsidRPr="00A45996">
              <w:rPr>
                <w:sz w:val="20"/>
              </w:rPr>
              <w:t>8(6)</w:t>
            </w:r>
          </w:p>
        </w:tc>
        <w:tc>
          <w:tcPr>
            <w:tcW w:w="1171" w:type="dxa"/>
          </w:tcPr>
          <w:p w:rsidR="00326C73" w:rsidRPr="00A45996" w:rsidRDefault="00326C73" w:rsidP="00326C73">
            <w:pPr>
              <w:jc w:val="center"/>
              <w:rPr>
                <w:sz w:val="20"/>
              </w:rPr>
            </w:pPr>
            <w:r w:rsidRPr="00A45996">
              <w:rPr>
                <w:sz w:val="20"/>
              </w:rPr>
              <w:t>2(2)</w:t>
            </w:r>
          </w:p>
        </w:tc>
        <w:tc>
          <w:tcPr>
            <w:tcW w:w="1172" w:type="dxa"/>
          </w:tcPr>
          <w:p w:rsidR="00326C73" w:rsidRPr="00A45996" w:rsidRDefault="00326C73" w:rsidP="00326C73">
            <w:pPr>
              <w:jc w:val="center"/>
              <w:rPr>
                <w:sz w:val="20"/>
              </w:rPr>
            </w:pPr>
            <w:r w:rsidRPr="00A45996">
              <w:rPr>
                <w:sz w:val="20"/>
              </w:rPr>
              <w:t>12(6)</w:t>
            </w:r>
          </w:p>
        </w:tc>
        <w:tc>
          <w:tcPr>
            <w:tcW w:w="1172" w:type="dxa"/>
          </w:tcPr>
          <w:p w:rsidR="00326C73" w:rsidRPr="00A45996" w:rsidRDefault="00326C73" w:rsidP="00326C73">
            <w:pPr>
              <w:jc w:val="center"/>
              <w:rPr>
                <w:sz w:val="20"/>
              </w:rPr>
            </w:pPr>
            <w:r w:rsidRPr="00A45996">
              <w:rPr>
                <w:sz w:val="20"/>
              </w:rPr>
              <w:t>0(0)</w:t>
            </w:r>
          </w:p>
        </w:tc>
      </w:tr>
      <w:tr w:rsidR="00326C73" w:rsidRPr="00A45996" w:rsidTr="00326C73">
        <w:trPr>
          <w:trHeight w:val="291"/>
        </w:trPr>
        <w:tc>
          <w:tcPr>
            <w:tcW w:w="1985" w:type="dxa"/>
          </w:tcPr>
          <w:p w:rsidR="00326C73" w:rsidRPr="00A45996" w:rsidRDefault="00326C73" w:rsidP="00326C73">
            <w:pPr>
              <w:jc w:val="left"/>
              <w:rPr>
                <w:sz w:val="20"/>
              </w:rPr>
            </w:pPr>
            <w:proofErr w:type="spellStart"/>
            <w:r w:rsidRPr="00A45996">
              <w:rPr>
                <w:sz w:val="20"/>
              </w:rPr>
              <w:t>PR</w:t>
            </w:r>
            <w:r w:rsidRPr="00A45996">
              <w:rPr>
                <w:sz w:val="20"/>
                <w:vertAlign w:val="superscript"/>
              </w:rPr>
              <w:t>f</w:t>
            </w:r>
            <w:proofErr w:type="spellEnd"/>
            <w:r w:rsidRPr="00A45996">
              <w:rPr>
                <w:sz w:val="20"/>
              </w:rPr>
              <w:t xml:space="preserve"> </w:t>
            </w:r>
            <w:proofErr w:type="gramStart"/>
            <w:r w:rsidRPr="00A45996">
              <w:rPr>
                <w:sz w:val="20"/>
              </w:rPr>
              <w:t>n(</w:t>
            </w:r>
            <w:proofErr w:type="gramEnd"/>
            <w:r w:rsidRPr="00A45996">
              <w:rPr>
                <w:sz w:val="20"/>
              </w:rPr>
              <w:t>%)</w:t>
            </w:r>
          </w:p>
        </w:tc>
        <w:tc>
          <w:tcPr>
            <w:tcW w:w="1291" w:type="dxa"/>
          </w:tcPr>
          <w:p w:rsidR="00326C73" w:rsidRPr="00A45996" w:rsidRDefault="00326C73" w:rsidP="00326C73">
            <w:pPr>
              <w:jc w:val="center"/>
              <w:rPr>
                <w:sz w:val="20"/>
              </w:rPr>
            </w:pPr>
            <w:r w:rsidRPr="00A45996">
              <w:rPr>
                <w:sz w:val="20"/>
              </w:rPr>
              <w:t>101(32)</w:t>
            </w:r>
          </w:p>
        </w:tc>
        <w:tc>
          <w:tcPr>
            <w:tcW w:w="1119" w:type="dxa"/>
          </w:tcPr>
          <w:p w:rsidR="00326C73" w:rsidRPr="00A45996" w:rsidRDefault="00326C73" w:rsidP="00326C73">
            <w:pPr>
              <w:jc w:val="center"/>
              <w:rPr>
                <w:sz w:val="20"/>
              </w:rPr>
            </w:pPr>
            <w:r w:rsidRPr="00A45996">
              <w:rPr>
                <w:sz w:val="20"/>
              </w:rPr>
              <w:t>54(17)</w:t>
            </w:r>
          </w:p>
        </w:tc>
        <w:tc>
          <w:tcPr>
            <w:tcW w:w="1225" w:type="dxa"/>
          </w:tcPr>
          <w:p w:rsidR="00326C73" w:rsidRPr="00A45996" w:rsidRDefault="00326C73" w:rsidP="00326C73">
            <w:pPr>
              <w:jc w:val="center"/>
              <w:rPr>
                <w:sz w:val="20"/>
              </w:rPr>
            </w:pPr>
            <w:r w:rsidRPr="00A45996">
              <w:rPr>
                <w:sz w:val="20"/>
              </w:rPr>
              <w:t>49(38)</w:t>
            </w:r>
          </w:p>
        </w:tc>
        <w:tc>
          <w:tcPr>
            <w:tcW w:w="1171" w:type="dxa"/>
          </w:tcPr>
          <w:p w:rsidR="00326C73" w:rsidRPr="00A45996" w:rsidRDefault="00326C73" w:rsidP="00326C73">
            <w:pPr>
              <w:jc w:val="center"/>
              <w:rPr>
                <w:sz w:val="20"/>
              </w:rPr>
            </w:pPr>
            <w:r w:rsidRPr="00A45996">
              <w:rPr>
                <w:sz w:val="20"/>
              </w:rPr>
              <w:t>27(25)</w:t>
            </w:r>
          </w:p>
        </w:tc>
        <w:tc>
          <w:tcPr>
            <w:tcW w:w="1172" w:type="dxa"/>
          </w:tcPr>
          <w:p w:rsidR="00326C73" w:rsidRPr="00A45996" w:rsidRDefault="00326C73" w:rsidP="00326C73">
            <w:pPr>
              <w:jc w:val="center"/>
              <w:rPr>
                <w:sz w:val="20"/>
              </w:rPr>
            </w:pPr>
            <w:r w:rsidRPr="00A45996">
              <w:rPr>
                <w:sz w:val="20"/>
              </w:rPr>
              <w:t>52(28)</w:t>
            </w:r>
          </w:p>
        </w:tc>
        <w:tc>
          <w:tcPr>
            <w:tcW w:w="1172" w:type="dxa"/>
          </w:tcPr>
          <w:p w:rsidR="00326C73" w:rsidRPr="00A45996" w:rsidRDefault="00326C73" w:rsidP="00326C73">
            <w:pPr>
              <w:jc w:val="center"/>
              <w:rPr>
                <w:sz w:val="20"/>
              </w:rPr>
            </w:pPr>
            <w:r w:rsidRPr="00A45996">
              <w:rPr>
                <w:sz w:val="20"/>
              </w:rPr>
              <w:t>27(13)</w:t>
            </w:r>
          </w:p>
        </w:tc>
      </w:tr>
      <w:tr w:rsidR="00326C73" w:rsidRPr="00A45996" w:rsidTr="00326C73">
        <w:trPr>
          <w:trHeight w:val="271"/>
        </w:trPr>
        <w:tc>
          <w:tcPr>
            <w:tcW w:w="1985" w:type="dxa"/>
          </w:tcPr>
          <w:p w:rsidR="00326C73" w:rsidRPr="00A45996" w:rsidRDefault="00326C73" w:rsidP="00326C73">
            <w:pPr>
              <w:jc w:val="left"/>
              <w:rPr>
                <w:sz w:val="20"/>
              </w:rPr>
            </w:pPr>
            <w:proofErr w:type="spellStart"/>
            <w:proofErr w:type="gramStart"/>
            <w:r w:rsidRPr="00A45996">
              <w:rPr>
                <w:sz w:val="20"/>
              </w:rPr>
              <w:t>nCR</w:t>
            </w:r>
            <w:r w:rsidRPr="00A45996">
              <w:rPr>
                <w:sz w:val="20"/>
                <w:vertAlign w:val="superscript"/>
              </w:rPr>
              <w:t>f,</w:t>
            </w:r>
            <w:proofErr w:type="gramEnd"/>
            <w:r w:rsidRPr="00A45996">
              <w:rPr>
                <w:sz w:val="20"/>
                <w:vertAlign w:val="superscript"/>
              </w:rPr>
              <w:t>g</w:t>
            </w:r>
            <w:proofErr w:type="spellEnd"/>
            <w:r w:rsidRPr="00A45996">
              <w:rPr>
                <w:sz w:val="20"/>
              </w:rPr>
              <w:t xml:space="preserve"> n(%)</w:t>
            </w:r>
          </w:p>
        </w:tc>
        <w:tc>
          <w:tcPr>
            <w:tcW w:w="1291" w:type="dxa"/>
          </w:tcPr>
          <w:p w:rsidR="00326C73" w:rsidRPr="00A45996" w:rsidRDefault="00326C73" w:rsidP="00326C73">
            <w:pPr>
              <w:jc w:val="center"/>
              <w:rPr>
                <w:sz w:val="20"/>
              </w:rPr>
            </w:pPr>
            <w:r w:rsidRPr="00A45996">
              <w:rPr>
                <w:sz w:val="20"/>
              </w:rPr>
              <w:t>21(7)</w:t>
            </w:r>
          </w:p>
        </w:tc>
        <w:tc>
          <w:tcPr>
            <w:tcW w:w="1119" w:type="dxa"/>
          </w:tcPr>
          <w:p w:rsidR="00326C73" w:rsidRPr="00A45996" w:rsidRDefault="00326C73" w:rsidP="00326C73">
            <w:pPr>
              <w:jc w:val="center"/>
              <w:rPr>
                <w:sz w:val="20"/>
              </w:rPr>
            </w:pPr>
            <w:r w:rsidRPr="00A45996">
              <w:rPr>
                <w:sz w:val="20"/>
              </w:rPr>
              <w:t>3(&lt;1)</w:t>
            </w:r>
          </w:p>
        </w:tc>
        <w:tc>
          <w:tcPr>
            <w:tcW w:w="1225" w:type="dxa"/>
          </w:tcPr>
          <w:p w:rsidR="00326C73" w:rsidRPr="00A45996" w:rsidRDefault="00326C73" w:rsidP="00326C73">
            <w:pPr>
              <w:jc w:val="center"/>
              <w:rPr>
                <w:sz w:val="20"/>
              </w:rPr>
            </w:pPr>
            <w:r w:rsidRPr="00A45996">
              <w:rPr>
                <w:sz w:val="20"/>
              </w:rPr>
              <w:t>8(6)</w:t>
            </w:r>
          </w:p>
        </w:tc>
        <w:tc>
          <w:tcPr>
            <w:tcW w:w="1171" w:type="dxa"/>
          </w:tcPr>
          <w:p w:rsidR="00326C73" w:rsidRPr="00A45996" w:rsidRDefault="00326C73" w:rsidP="00326C73">
            <w:pPr>
              <w:jc w:val="center"/>
              <w:rPr>
                <w:sz w:val="20"/>
              </w:rPr>
            </w:pPr>
            <w:r w:rsidRPr="00A45996">
              <w:rPr>
                <w:sz w:val="20"/>
              </w:rPr>
              <w:t>2(2)</w:t>
            </w:r>
          </w:p>
        </w:tc>
        <w:tc>
          <w:tcPr>
            <w:tcW w:w="1172" w:type="dxa"/>
          </w:tcPr>
          <w:p w:rsidR="00326C73" w:rsidRPr="00A45996" w:rsidRDefault="00326C73" w:rsidP="00326C73">
            <w:pPr>
              <w:jc w:val="center"/>
              <w:rPr>
                <w:sz w:val="20"/>
              </w:rPr>
            </w:pPr>
            <w:r w:rsidRPr="00A45996">
              <w:rPr>
                <w:sz w:val="20"/>
              </w:rPr>
              <w:t>13(7)</w:t>
            </w:r>
          </w:p>
        </w:tc>
        <w:tc>
          <w:tcPr>
            <w:tcW w:w="1172" w:type="dxa"/>
          </w:tcPr>
          <w:p w:rsidR="00326C73" w:rsidRPr="00A45996" w:rsidRDefault="00326C73" w:rsidP="00326C73">
            <w:pPr>
              <w:jc w:val="center"/>
              <w:rPr>
                <w:sz w:val="20"/>
              </w:rPr>
            </w:pPr>
            <w:r w:rsidRPr="00A45996">
              <w:rPr>
                <w:sz w:val="20"/>
              </w:rPr>
              <w:t>1(&lt;1)</w:t>
            </w:r>
          </w:p>
        </w:tc>
      </w:tr>
      <w:tr w:rsidR="00326C73" w:rsidRPr="00A45996" w:rsidTr="00326C73">
        <w:trPr>
          <w:trHeight w:val="237"/>
        </w:trPr>
        <w:tc>
          <w:tcPr>
            <w:tcW w:w="1985" w:type="dxa"/>
          </w:tcPr>
          <w:p w:rsidR="00326C73" w:rsidRPr="00A45996" w:rsidRDefault="00326C73" w:rsidP="00326C73">
            <w:pPr>
              <w:jc w:val="left"/>
              <w:rPr>
                <w:sz w:val="20"/>
              </w:rPr>
            </w:pPr>
            <w:r w:rsidRPr="00A45996">
              <w:rPr>
                <w:sz w:val="20"/>
              </w:rPr>
              <w:t xml:space="preserve">CR + </w:t>
            </w:r>
            <w:proofErr w:type="spellStart"/>
            <w:r w:rsidRPr="00A45996">
              <w:rPr>
                <w:sz w:val="20"/>
              </w:rPr>
              <w:t>PR</w:t>
            </w:r>
            <w:r w:rsidRPr="00A45996">
              <w:rPr>
                <w:sz w:val="20"/>
                <w:vertAlign w:val="superscript"/>
              </w:rPr>
              <w:t>f</w:t>
            </w:r>
            <w:proofErr w:type="spellEnd"/>
            <w:r w:rsidRPr="00A45996">
              <w:rPr>
                <w:sz w:val="20"/>
              </w:rPr>
              <w:t xml:space="preserve"> </w:t>
            </w:r>
            <w:proofErr w:type="gramStart"/>
            <w:r w:rsidRPr="00A45996">
              <w:rPr>
                <w:sz w:val="20"/>
              </w:rPr>
              <w:t>n(</w:t>
            </w:r>
            <w:proofErr w:type="gramEnd"/>
            <w:r w:rsidRPr="00A45996">
              <w:rPr>
                <w:sz w:val="20"/>
              </w:rPr>
              <w:t>%)</w:t>
            </w:r>
          </w:p>
        </w:tc>
        <w:tc>
          <w:tcPr>
            <w:tcW w:w="1291" w:type="dxa"/>
          </w:tcPr>
          <w:p w:rsidR="00326C73" w:rsidRPr="00A45996" w:rsidRDefault="00326C73" w:rsidP="00326C73">
            <w:pPr>
              <w:jc w:val="center"/>
              <w:rPr>
                <w:sz w:val="20"/>
              </w:rPr>
            </w:pPr>
            <w:r w:rsidRPr="00A45996">
              <w:rPr>
                <w:sz w:val="20"/>
              </w:rPr>
              <w:t>121(38)</w:t>
            </w:r>
          </w:p>
        </w:tc>
        <w:tc>
          <w:tcPr>
            <w:tcW w:w="1119" w:type="dxa"/>
          </w:tcPr>
          <w:p w:rsidR="00326C73" w:rsidRPr="00A45996" w:rsidRDefault="00326C73" w:rsidP="00326C73">
            <w:pPr>
              <w:jc w:val="center"/>
              <w:rPr>
                <w:sz w:val="20"/>
              </w:rPr>
            </w:pPr>
            <w:r w:rsidRPr="00A45996">
              <w:rPr>
                <w:sz w:val="20"/>
              </w:rPr>
              <w:t>56(18)</w:t>
            </w:r>
          </w:p>
        </w:tc>
        <w:tc>
          <w:tcPr>
            <w:tcW w:w="1225" w:type="dxa"/>
          </w:tcPr>
          <w:p w:rsidR="00326C73" w:rsidRPr="00A45996" w:rsidRDefault="00326C73" w:rsidP="00326C73">
            <w:pPr>
              <w:jc w:val="center"/>
              <w:rPr>
                <w:sz w:val="20"/>
              </w:rPr>
            </w:pPr>
            <w:r w:rsidRPr="00A45996">
              <w:rPr>
                <w:sz w:val="20"/>
              </w:rPr>
              <w:t>57(45)</w:t>
            </w:r>
          </w:p>
        </w:tc>
        <w:tc>
          <w:tcPr>
            <w:tcW w:w="1171" w:type="dxa"/>
          </w:tcPr>
          <w:p w:rsidR="00326C73" w:rsidRPr="00A45996" w:rsidRDefault="00326C73" w:rsidP="00326C73">
            <w:pPr>
              <w:jc w:val="center"/>
              <w:rPr>
                <w:sz w:val="20"/>
              </w:rPr>
            </w:pPr>
            <w:r w:rsidRPr="00A45996">
              <w:rPr>
                <w:sz w:val="20"/>
              </w:rPr>
              <w:t>29(26)</w:t>
            </w:r>
          </w:p>
        </w:tc>
        <w:tc>
          <w:tcPr>
            <w:tcW w:w="1172" w:type="dxa"/>
          </w:tcPr>
          <w:p w:rsidR="00326C73" w:rsidRPr="00A45996" w:rsidRDefault="00326C73" w:rsidP="00326C73">
            <w:pPr>
              <w:jc w:val="center"/>
              <w:rPr>
                <w:sz w:val="20"/>
              </w:rPr>
            </w:pPr>
            <w:r w:rsidRPr="00A45996">
              <w:rPr>
                <w:sz w:val="20"/>
              </w:rPr>
              <w:t>64(34)</w:t>
            </w:r>
          </w:p>
        </w:tc>
        <w:tc>
          <w:tcPr>
            <w:tcW w:w="1172" w:type="dxa"/>
          </w:tcPr>
          <w:p w:rsidR="00326C73" w:rsidRPr="00A45996" w:rsidRDefault="00326C73" w:rsidP="00326C73">
            <w:pPr>
              <w:jc w:val="center"/>
              <w:rPr>
                <w:sz w:val="20"/>
              </w:rPr>
            </w:pPr>
            <w:r w:rsidRPr="00A45996">
              <w:rPr>
                <w:sz w:val="20"/>
              </w:rPr>
              <w:t>27(13)</w:t>
            </w:r>
          </w:p>
        </w:tc>
      </w:tr>
      <w:tr w:rsidR="00326C73" w:rsidRPr="00A45996" w:rsidTr="00326C73">
        <w:trPr>
          <w:cantSplit/>
          <w:trHeight w:val="345"/>
        </w:trPr>
        <w:tc>
          <w:tcPr>
            <w:tcW w:w="1985" w:type="dxa"/>
          </w:tcPr>
          <w:p w:rsidR="00326C73" w:rsidRPr="00A45996" w:rsidRDefault="00326C73" w:rsidP="00326C73">
            <w:pPr>
              <w:jc w:val="left"/>
              <w:rPr>
                <w:sz w:val="20"/>
                <w:vertAlign w:val="superscript"/>
              </w:rPr>
            </w:pPr>
            <w:r w:rsidRPr="00A45996">
              <w:rPr>
                <w:sz w:val="20"/>
              </w:rPr>
              <w:t>p-</w:t>
            </w:r>
            <w:proofErr w:type="spellStart"/>
            <w:r w:rsidRPr="00A45996">
              <w:rPr>
                <w:sz w:val="20"/>
              </w:rPr>
              <w:t>value</w:t>
            </w:r>
            <w:r w:rsidRPr="00A45996">
              <w:rPr>
                <w:sz w:val="20"/>
                <w:vertAlign w:val="superscript"/>
              </w:rPr>
              <w:t>h</w:t>
            </w:r>
            <w:proofErr w:type="spellEnd"/>
          </w:p>
        </w:tc>
        <w:tc>
          <w:tcPr>
            <w:tcW w:w="2410" w:type="dxa"/>
            <w:gridSpan w:val="2"/>
          </w:tcPr>
          <w:p w:rsidR="00326C73" w:rsidRPr="00A45996" w:rsidRDefault="00326C73" w:rsidP="00326C73">
            <w:pPr>
              <w:jc w:val="center"/>
              <w:rPr>
                <w:sz w:val="20"/>
              </w:rPr>
            </w:pPr>
            <w:r w:rsidRPr="00A45996">
              <w:rPr>
                <w:sz w:val="20"/>
              </w:rPr>
              <w:t>&lt;0.0001</w:t>
            </w:r>
          </w:p>
        </w:tc>
        <w:tc>
          <w:tcPr>
            <w:tcW w:w="2396" w:type="dxa"/>
            <w:gridSpan w:val="2"/>
          </w:tcPr>
          <w:p w:rsidR="00326C73" w:rsidRPr="00A45996" w:rsidRDefault="00326C73" w:rsidP="00326C73">
            <w:pPr>
              <w:jc w:val="center"/>
              <w:rPr>
                <w:sz w:val="20"/>
              </w:rPr>
            </w:pPr>
            <w:r w:rsidRPr="00A45996">
              <w:rPr>
                <w:sz w:val="20"/>
              </w:rPr>
              <w:t>0.0035</w:t>
            </w:r>
          </w:p>
        </w:tc>
        <w:tc>
          <w:tcPr>
            <w:tcW w:w="2344" w:type="dxa"/>
            <w:gridSpan w:val="2"/>
          </w:tcPr>
          <w:p w:rsidR="00326C73" w:rsidRPr="00A45996" w:rsidRDefault="00326C73" w:rsidP="00326C73">
            <w:pPr>
              <w:jc w:val="center"/>
              <w:rPr>
                <w:sz w:val="20"/>
              </w:rPr>
            </w:pPr>
            <w:r w:rsidRPr="00A45996">
              <w:rPr>
                <w:sz w:val="20"/>
              </w:rPr>
              <w:t>&lt;0.0001</w:t>
            </w:r>
          </w:p>
        </w:tc>
      </w:tr>
      <w:tr w:rsidR="00326C73" w:rsidRPr="00A45996" w:rsidTr="00326C73">
        <w:trPr>
          <w:cantSplit/>
          <w:trHeight w:val="497"/>
        </w:trPr>
        <w:tc>
          <w:tcPr>
            <w:tcW w:w="1985" w:type="dxa"/>
          </w:tcPr>
          <w:p w:rsidR="00326C73" w:rsidRPr="00A45996" w:rsidRDefault="00326C73" w:rsidP="00326C73">
            <w:pPr>
              <w:jc w:val="left"/>
              <w:rPr>
                <w:b/>
                <w:bCs/>
                <w:sz w:val="20"/>
              </w:rPr>
            </w:pPr>
            <w:r w:rsidRPr="00A45996">
              <w:rPr>
                <w:b/>
                <w:bCs/>
                <w:sz w:val="20"/>
              </w:rPr>
              <w:t>Median Response Duration</w:t>
            </w:r>
          </w:p>
        </w:tc>
        <w:tc>
          <w:tcPr>
            <w:tcW w:w="2410" w:type="dxa"/>
            <w:gridSpan w:val="2"/>
          </w:tcPr>
          <w:p w:rsidR="00326C73" w:rsidRPr="00A45996" w:rsidRDefault="00326C73" w:rsidP="00326C73">
            <w:pPr>
              <w:jc w:val="center"/>
              <w:rPr>
                <w:sz w:val="20"/>
              </w:rPr>
            </w:pPr>
          </w:p>
        </w:tc>
        <w:tc>
          <w:tcPr>
            <w:tcW w:w="2396" w:type="dxa"/>
            <w:gridSpan w:val="2"/>
          </w:tcPr>
          <w:p w:rsidR="00326C73" w:rsidRPr="00A45996" w:rsidRDefault="00326C73" w:rsidP="00326C73">
            <w:pPr>
              <w:jc w:val="center"/>
              <w:rPr>
                <w:sz w:val="20"/>
              </w:rPr>
            </w:pPr>
          </w:p>
        </w:tc>
        <w:tc>
          <w:tcPr>
            <w:tcW w:w="2344" w:type="dxa"/>
            <w:gridSpan w:val="2"/>
          </w:tcPr>
          <w:p w:rsidR="00326C73" w:rsidRPr="00A45996" w:rsidRDefault="00326C73" w:rsidP="00326C73">
            <w:pPr>
              <w:jc w:val="center"/>
              <w:rPr>
                <w:sz w:val="20"/>
              </w:rPr>
            </w:pPr>
          </w:p>
        </w:tc>
      </w:tr>
      <w:tr w:rsidR="00326C73" w:rsidRPr="00A45996" w:rsidTr="00326C73">
        <w:trPr>
          <w:trHeight w:val="245"/>
        </w:trPr>
        <w:tc>
          <w:tcPr>
            <w:tcW w:w="1985" w:type="dxa"/>
          </w:tcPr>
          <w:p w:rsidR="00326C73" w:rsidRPr="00A45996" w:rsidRDefault="00326C73" w:rsidP="00326C73">
            <w:pPr>
              <w:jc w:val="left"/>
              <w:rPr>
                <w:sz w:val="20"/>
              </w:rPr>
            </w:pPr>
            <w:proofErr w:type="spellStart"/>
            <w:r w:rsidRPr="00A45996">
              <w:rPr>
                <w:sz w:val="20"/>
              </w:rPr>
              <w:t>CR</w:t>
            </w:r>
            <w:r w:rsidRPr="00A45996">
              <w:rPr>
                <w:sz w:val="20"/>
                <w:vertAlign w:val="superscript"/>
              </w:rPr>
              <w:t>f</w:t>
            </w:r>
            <w:proofErr w:type="spellEnd"/>
          </w:p>
        </w:tc>
        <w:tc>
          <w:tcPr>
            <w:tcW w:w="1291" w:type="dxa"/>
          </w:tcPr>
          <w:p w:rsidR="00326C73" w:rsidRPr="00A45996" w:rsidRDefault="00326C73" w:rsidP="00326C73">
            <w:pPr>
              <w:jc w:val="center"/>
              <w:rPr>
                <w:sz w:val="20"/>
              </w:rPr>
            </w:pPr>
            <w:r w:rsidRPr="00A45996">
              <w:rPr>
                <w:sz w:val="20"/>
              </w:rPr>
              <w:t>9.9 mo</w:t>
            </w:r>
          </w:p>
        </w:tc>
        <w:tc>
          <w:tcPr>
            <w:tcW w:w="1119" w:type="dxa"/>
          </w:tcPr>
          <w:p w:rsidR="00326C73" w:rsidRPr="00A45996" w:rsidRDefault="00326C73" w:rsidP="00326C73">
            <w:pPr>
              <w:jc w:val="center"/>
              <w:rPr>
                <w:sz w:val="20"/>
              </w:rPr>
            </w:pPr>
            <w:proofErr w:type="spellStart"/>
            <w:r w:rsidRPr="00A45996">
              <w:rPr>
                <w:sz w:val="20"/>
              </w:rPr>
              <w:t>NE</w:t>
            </w:r>
            <w:r w:rsidRPr="00A45996">
              <w:rPr>
                <w:sz w:val="20"/>
                <w:vertAlign w:val="superscript"/>
              </w:rPr>
              <w:t>i</w:t>
            </w:r>
            <w:proofErr w:type="spellEnd"/>
          </w:p>
        </w:tc>
        <w:tc>
          <w:tcPr>
            <w:tcW w:w="1225" w:type="dxa"/>
          </w:tcPr>
          <w:p w:rsidR="00326C73" w:rsidRPr="00A45996" w:rsidRDefault="00326C73" w:rsidP="00326C73">
            <w:pPr>
              <w:jc w:val="center"/>
              <w:rPr>
                <w:sz w:val="20"/>
              </w:rPr>
            </w:pPr>
            <w:r w:rsidRPr="00A45996">
              <w:rPr>
                <w:sz w:val="20"/>
              </w:rPr>
              <w:t>9.9 mo</w:t>
            </w:r>
          </w:p>
        </w:tc>
        <w:tc>
          <w:tcPr>
            <w:tcW w:w="1171" w:type="dxa"/>
          </w:tcPr>
          <w:p w:rsidR="00326C73" w:rsidRPr="00A45996" w:rsidRDefault="00326C73" w:rsidP="00326C73">
            <w:pPr>
              <w:jc w:val="center"/>
              <w:rPr>
                <w:sz w:val="20"/>
              </w:rPr>
            </w:pPr>
            <w:r w:rsidRPr="00A45996">
              <w:rPr>
                <w:sz w:val="20"/>
              </w:rPr>
              <w:t>NE</w:t>
            </w:r>
          </w:p>
        </w:tc>
        <w:tc>
          <w:tcPr>
            <w:tcW w:w="1172" w:type="dxa"/>
          </w:tcPr>
          <w:p w:rsidR="00326C73" w:rsidRPr="00A45996" w:rsidRDefault="00326C73" w:rsidP="00326C73">
            <w:pPr>
              <w:jc w:val="center"/>
              <w:rPr>
                <w:sz w:val="20"/>
              </w:rPr>
            </w:pPr>
            <w:r w:rsidRPr="00A45996">
              <w:rPr>
                <w:sz w:val="20"/>
              </w:rPr>
              <w:t>6.3 mo</w:t>
            </w:r>
          </w:p>
        </w:tc>
        <w:tc>
          <w:tcPr>
            <w:tcW w:w="1172" w:type="dxa"/>
          </w:tcPr>
          <w:p w:rsidR="00326C73" w:rsidRPr="00A45996" w:rsidRDefault="00326C73" w:rsidP="00326C73">
            <w:pPr>
              <w:jc w:val="center"/>
              <w:rPr>
                <w:sz w:val="20"/>
              </w:rPr>
            </w:pPr>
            <w:proofErr w:type="spellStart"/>
            <w:r w:rsidRPr="00A45996">
              <w:rPr>
                <w:sz w:val="20"/>
              </w:rPr>
              <w:t>NA</w:t>
            </w:r>
            <w:r w:rsidRPr="00A45996">
              <w:rPr>
                <w:sz w:val="20"/>
                <w:vertAlign w:val="superscript"/>
              </w:rPr>
              <w:t>j</w:t>
            </w:r>
            <w:proofErr w:type="spellEnd"/>
          </w:p>
        </w:tc>
      </w:tr>
      <w:tr w:rsidR="00326C73" w:rsidRPr="00A45996" w:rsidTr="00326C73">
        <w:trPr>
          <w:trHeight w:val="277"/>
        </w:trPr>
        <w:tc>
          <w:tcPr>
            <w:tcW w:w="1985" w:type="dxa"/>
          </w:tcPr>
          <w:p w:rsidR="00326C73" w:rsidRPr="00A45996" w:rsidRDefault="00326C73" w:rsidP="00326C73">
            <w:pPr>
              <w:jc w:val="left"/>
              <w:rPr>
                <w:sz w:val="20"/>
                <w:vertAlign w:val="superscript"/>
              </w:rPr>
            </w:pPr>
            <w:proofErr w:type="spellStart"/>
            <w:r w:rsidRPr="00A45996">
              <w:rPr>
                <w:sz w:val="20"/>
              </w:rPr>
              <w:t>nCR</w:t>
            </w:r>
            <w:r w:rsidRPr="00A45996">
              <w:rPr>
                <w:sz w:val="20"/>
                <w:vertAlign w:val="superscript"/>
              </w:rPr>
              <w:t>f</w:t>
            </w:r>
            <w:proofErr w:type="spellEnd"/>
          </w:p>
        </w:tc>
        <w:tc>
          <w:tcPr>
            <w:tcW w:w="1291" w:type="dxa"/>
          </w:tcPr>
          <w:p w:rsidR="00326C73" w:rsidRPr="00A45996" w:rsidRDefault="00326C73" w:rsidP="00326C73">
            <w:pPr>
              <w:jc w:val="center"/>
              <w:rPr>
                <w:sz w:val="20"/>
              </w:rPr>
            </w:pPr>
            <w:r w:rsidRPr="00A45996">
              <w:rPr>
                <w:sz w:val="20"/>
              </w:rPr>
              <w:t>11.5 mo</w:t>
            </w:r>
          </w:p>
        </w:tc>
        <w:tc>
          <w:tcPr>
            <w:tcW w:w="1119" w:type="dxa"/>
          </w:tcPr>
          <w:p w:rsidR="00326C73" w:rsidRPr="00A45996" w:rsidRDefault="00326C73" w:rsidP="00326C73">
            <w:pPr>
              <w:jc w:val="center"/>
              <w:rPr>
                <w:sz w:val="20"/>
              </w:rPr>
            </w:pPr>
            <w:r w:rsidRPr="00A45996">
              <w:rPr>
                <w:sz w:val="20"/>
              </w:rPr>
              <w:t>9.2 mo</w:t>
            </w:r>
          </w:p>
        </w:tc>
        <w:tc>
          <w:tcPr>
            <w:tcW w:w="1225" w:type="dxa"/>
          </w:tcPr>
          <w:p w:rsidR="00326C73" w:rsidRPr="00A45996" w:rsidRDefault="00326C73" w:rsidP="00326C73">
            <w:pPr>
              <w:jc w:val="center"/>
              <w:rPr>
                <w:sz w:val="20"/>
              </w:rPr>
            </w:pPr>
            <w:r w:rsidRPr="00A45996">
              <w:rPr>
                <w:sz w:val="20"/>
              </w:rPr>
              <w:t>NE</w:t>
            </w:r>
          </w:p>
        </w:tc>
        <w:tc>
          <w:tcPr>
            <w:tcW w:w="1171" w:type="dxa"/>
          </w:tcPr>
          <w:p w:rsidR="00326C73" w:rsidRPr="00A45996" w:rsidRDefault="00326C73" w:rsidP="00326C73">
            <w:pPr>
              <w:jc w:val="center"/>
              <w:rPr>
                <w:sz w:val="20"/>
              </w:rPr>
            </w:pPr>
            <w:r w:rsidRPr="00A45996">
              <w:rPr>
                <w:sz w:val="20"/>
              </w:rPr>
              <w:t>NE</w:t>
            </w:r>
          </w:p>
        </w:tc>
        <w:tc>
          <w:tcPr>
            <w:tcW w:w="1172" w:type="dxa"/>
          </w:tcPr>
          <w:p w:rsidR="00326C73" w:rsidRPr="00A45996" w:rsidRDefault="00326C73" w:rsidP="00326C73">
            <w:pPr>
              <w:jc w:val="center"/>
              <w:rPr>
                <w:sz w:val="20"/>
              </w:rPr>
            </w:pPr>
            <w:r w:rsidRPr="00A45996">
              <w:rPr>
                <w:sz w:val="20"/>
              </w:rPr>
              <w:t>11.5 mo</w:t>
            </w:r>
          </w:p>
        </w:tc>
        <w:tc>
          <w:tcPr>
            <w:tcW w:w="1172" w:type="dxa"/>
          </w:tcPr>
          <w:p w:rsidR="00326C73" w:rsidRPr="00A45996" w:rsidRDefault="00326C73" w:rsidP="00326C73">
            <w:pPr>
              <w:jc w:val="center"/>
              <w:rPr>
                <w:sz w:val="20"/>
              </w:rPr>
            </w:pPr>
            <w:r w:rsidRPr="00A45996">
              <w:rPr>
                <w:sz w:val="20"/>
              </w:rPr>
              <w:t>9.2 mo</w:t>
            </w:r>
          </w:p>
        </w:tc>
      </w:tr>
      <w:tr w:rsidR="00326C73" w:rsidRPr="00A45996" w:rsidTr="00326C73">
        <w:trPr>
          <w:trHeight w:val="267"/>
        </w:trPr>
        <w:tc>
          <w:tcPr>
            <w:tcW w:w="1985" w:type="dxa"/>
          </w:tcPr>
          <w:p w:rsidR="00326C73" w:rsidRPr="00A45996" w:rsidRDefault="00326C73" w:rsidP="00326C73">
            <w:pPr>
              <w:jc w:val="left"/>
              <w:rPr>
                <w:sz w:val="20"/>
              </w:rPr>
            </w:pPr>
            <w:r w:rsidRPr="00A45996">
              <w:rPr>
                <w:sz w:val="20"/>
              </w:rPr>
              <w:t xml:space="preserve">CR + </w:t>
            </w:r>
            <w:proofErr w:type="spellStart"/>
            <w:r w:rsidRPr="00A45996">
              <w:rPr>
                <w:sz w:val="20"/>
              </w:rPr>
              <w:t>PR</w:t>
            </w:r>
            <w:r w:rsidRPr="00A45996">
              <w:rPr>
                <w:sz w:val="20"/>
                <w:vertAlign w:val="superscript"/>
              </w:rPr>
              <w:t>f</w:t>
            </w:r>
            <w:proofErr w:type="spellEnd"/>
          </w:p>
        </w:tc>
        <w:tc>
          <w:tcPr>
            <w:tcW w:w="1291" w:type="dxa"/>
          </w:tcPr>
          <w:p w:rsidR="00326C73" w:rsidRPr="00A45996" w:rsidRDefault="00326C73" w:rsidP="00326C73">
            <w:pPr>
              <w:jc w:val="center"/>
              <w:rPr>
                <w:sz w:val="20"/>
              </w:rPr>
            </w:pPr>
            <w:r w:rsidRPr="00A45996">
              <w:rPr>
                <w:sz w:val="20"/>
              </w:rPr>
              <w:t>8.0 mo</w:t>
            </w:r>
          </w:p>
        </w:tc>
        <w:tc>
          <w:tcPr>
            <w:tcW w:w="1119" w:type="dxa"/>
          </w:tcPr>
          <w:p w:rsidR="00326C73" w:rsidRPr="00A45996" w:rsidRDefault="00326C73" w:rsidP="00326C73">
            <w:pPr>
              <w:jc w:val="center"/>
              <w:rPr>
                <w:sz w:val="20"/>
              </w:rPr>
            </w:pPr>
            <w:r w:rsidRPr="00A45996">
              <w:rPr>
                <w:sz w:val="20"/>
              </w:rPr>
              <w:t>5.6 mo</w:t>
            </w:r>
          </w:p>
        </w:tc>
        <w:tc>
          <w:tcPr>
            <w:tcW w:w="1225" w:type="dxa"/>
          </w:tcPr>
          <w:p w:rsidR="00326C73" w:rsidRPr="00A45996" w:rsidRDefault="00326C73" w:rsidP="00326C73">
            <w:pPr>
              <w:jc w:val="center"/>
              <w:rPr>
                <w:sz w:val="20"/>
              </w:rPr>
            </w:pPr>
            <w:r w:rsidRPr="00A45996">
              <w:rPr>
                <w:sz w:val="20"/>
              </w:rPr>
              <w:t>8.1 mo</w:t>
            </w:r>
          </w:p>
        </w:tc>
        <w:tc>
          <w:tcPr>
            <w:tcW w:w="1171" w:type="dxa"/>
          </w:tcPr>
          <w:p w:rsidR="00326C73" w:rsidRPr="00A45996" w:rsidRDefault="00326C73" w:rsidP="00326C73">
            <w:pPr>
              <w:jc w:val="center"/>
              <w:rPr>
                <w:sz w:val="20"/>
              </w:rPr>
            </w:pPr>
            <w:r w:rsidRPr="00A45996">
              <w:rPr>
                <w:sz w:val="20"/>
              </w:rPr>
              <w:t>6.2 mo</w:t>
            </w:r>
          </w:p>
        </w:tc>
        <w:tc>
          <w:tcPr>
            <w:tcW w:w="1172" w:type="dxa"/>
          </w:tcPr>
          <w:p w:rsidR="00326C73" w:rsidRPr="00A45996" w:rsidRDefault="00326C73" w:rsidP="00326C73">
            <w:pPr>
              <w:jc w:val="center"/>
              <w:rPr>
                <w:sz w:val="20"/>
              </w:rPr>
            </w:pPr>
            <w:r w:rsidRPr="00A45996">
              <w:rPr>
                <w:sz w:val="20"/>
              </w:rPr>
              <w:t>7.8 mo</w:t>
            </w:r>
          </w:p>
        </w:tc>
        <w:tc>
          <w:tcPr>
            <w:tcW w:w="1172" w:type="dxa"/>
          </w:tcPr>
          <w:p w:rsidR="00326C73" w:rsidRPr="00A45996" w:rsidRDefault="00326C73" w:rsidP="00326C73">
            <w:pPr>
              <w:jc w:val="center"/>
              <w:rPr>
                <w:sz w:val="20"/>
              </w:rPr>
            </w:pPr>
            <w:r w:rsidRPr="00A45996">
              <w:rPr>
                <w:sz w:val="20"/>
              </w:rPr>
              <w:t>4.1 mo</w:t>
            </w:r>
          </w:p>
        </w:tc>
      </w:tr>
    </w:tbl>
    <w:p w:rsidR="00326C73" w:rsidRPr="00A45996" w:rsidRDefault="00326C73" w:rsidP="00326C73">
      <w:pPr>
        <w:rPr>
          <w:sz w:val="16"/>
        </w:rPr>
      </w:pPr>
      <w:proofErr w:type="gramStart"/>
      <w:r w:rsidRPr="00A45996">
        <w:rPr>
          <w:sz w:val="16"/>
          <w:vertAlign w:val="superscript"/>
        </w:rPr>
        <w:t>a</w:t>
      </w:r>
      <w:proofErr w:type="gramEnd"/>
      <w:r w:rsidRPr="00A45996">
        <w:rPr>
          <w:sz w:val="16"/>
        </w:rPr>
        <w:t xml:space="preserve"> Kaplan-Meier estimate</w:t>
      </w:r>
    </w:p>
    <w:p w:rsidR="00326C73" w:rsidRPr="00A45996" w:rsidRDefault="00326C73" w:rsidP="00326C73">
      <w:pPr>
        <w:rPr>
          <w:sz w:val="16"/>
        </w:rPr>
      </w:pPr>
      <w:proofErr w:type="gramStart"/>
      <w:r w:rsidRPr="00A45996">
        <w:rPr>
          <w:sz w:val="16"/>
          <w:vertAlign w:val="superscript"/>
        </w:rPr>
        <w:t>b</w:t>
      </w:r>
      <w:proofErr w:type="gramEnd"/>
      <w:r w:rsidRPr="00A45996">
        <w:rPr>
          <w:sz w:val="16"/>
        </w:rPr>
        <w:t xml:space="preserve"> Hazard ratio is based on Cox proportional-hazard model with the treatment as single independent variable.  A hazard ratio less than 1 indicates an advantage for VELCADE.</w:t>
      </w:r>
    </w:p>
    <w:p w:rsidR="00326C73" w:rsidRPr="00A45996" w:rsidRDefault="00326C73" w:rsidP="00326C73">
      <w:pPr>
        <w:rPr>
          <w:sz w:val="16"/>
        </w:rPr>
      </w:pPr>
      <w:proofErr w:type="gramStart"/>
      <w:r w:rsidRPr="00A45996">
        <w:rPr>
          <w:sz w:val="16"/>
          <w:vertAlign w:val="superscript"/>
        </w:rPr>
        <w:t>c</w:t>
      </w:r>
      <w:proofErr w:type="gramEnd"/>
      <w:r w:rsidRPr="00A45996">
        <w:rPr>
          <w:sz w:val="16"/>
        </w:rPr>
        <w:t xml:space="preserve"> p-value based on the stratified log-rank test including randomisation stratification factors.</w:t>
      </w:r>
    </w:p>
    <w:p w:rsidR="00326C73" w:rsidRPr="00A45996" w:rsidRDefault="00326C73" w:rsidP="00326C73">
      <w:pPr>
        <w:rPr>
          <w:sz w:val="16"/>
        </w:rPr>
      </w:pPr>
      <w:proofErr w:type="gramStart"/>
      <w:r w:rsidRPr="00A45996">
        <w:rPr>
          <w:sz w:val="16"/>
          <w:vertAlign w:val="superscript"/>
        </w:rPr>
        <w:t>d</w:t>
      </w:r>
      <w:proofErr w:type="gramEnd"/>
      <w:r w:rsidRPr="00A45996">
        <w:rPr>
          <w:sz w:val="16"/>
        </w:rPr>
        <w:t xml:space="preserve"> Precise p-value cannot be rendered</w:t>
      </w:r>
    </w:p>
    <w:p w:rsidR="00326C73" w:rsidRPr="00A45996" w:rsidRDefault="00326C73" w:rsidP="00326C73">
      <w:pPr>
        <w:rPr>
          <w:sz w:val="16"/>
        </w:rPr>
      </w:pPr>
      <w:proofErr w:type="gramStart"/>
      <w:r w:rsidRPr="00A45996">
        <w:rPr>
          <w:sz w:val="16"/>
          <w:vertAlign w:val="superscript"/>
        </w:rPr>
        <w:t>e</w:t>
      </w:r>
      <w:proofErr w:type="gramEnd"/>
      <w:r w:rsidRPr="00A45996">
        <w:rPr>
          <w:sz w:val="16"/>
        </w:rPr>
        <w:t xml:space="preserve"> Response population includes patients who had measurable disease at baseline and received at least 1 dose of study dose</w:t>
      </w:r>
    </w:p>
    <w:p w:rsidR="00326C73" w:rsidRPr="00A45996" w:rsidRDefault="00326C73" w:rsidP="00326C73">
      <w:pPr>
        <w:rPr>
          <w:sz w:val="16"/>
        </w:rPr>
      </w:pPr>
      <w:proofErr w:type="gramStart"/>
      <w:r w:rsidRPr="00A45996">
        <w:rPr>
          <w:sz w:val="16"/>
          <w:vertAlign w:val="superscript"/>
        </w:rPr>
        <w:t>f</w:t>
      </w:r>
      <w:proofErr w:type="gramEnd"/>
      <w:r w:rsidRPr="00A45996">
        <w:rPr>
          <w:sz w:val="16"/>
        </w:rPr>
        <w:t xml:space="preserve"> EBMT criteria; </w:t>
      </w:r>
      <w:proofErr w:type="spellStart"/>
      <w:r w:rsidRPr="00A45996">
        <w:rPr>
          <w:sz w:val="16"/>
        </w:rPr>
        <w:t>nCR</w:t>
      </w:r>
      <w:proofErr w:type="spellEnd"/>
      <w:r w:rsidRPr="00A45996">
        <w:rPr>
          <w:sz w:val="16"/>
        </w:rPr>
        <w:t xml:space="preserve"> meets all EBMT criteria for CR but has positive IF.  </w:t>
      </w:r>
      <w:proofErr w:type="gramStart"/>
      <w:r w:rsidRPr="00A45996">
        <w:rPr>
          <w:sz w:val="16"/>
        </w:rPr>
        <w:t xml:space="preserve">Under EBMT criteria, </w:t>
      </w:r>
      <w:proofErr w:type="spellStart"/>
      <w:r w:rsidRPr="00A45996">
        <w:rPr>
          <w:sz w:val="16"/>
        </w:rPr>
        <w:t>nCR</w:t>
      </w:r>
      <w:proofErr w:type="spellEnd"/>
      <w:r w:rsidRPr="00A45996">
        <w:rPr>
          <w:sz w:val="16"/>
        </w:rPr>
        <w:t xml:space="preserve"> in the PR category.</w:t>
      </w:r>
      <w:proofErr w:type="gramEnd"/>
    </w:p>
    <w:p w:rsidR="00326C73" w:rsidRPr="00A45996" w:rsidRDefault="00326C73" w:rsidP="00326C73">
      <w:pPr>
        <w:rPr>
          <w:sz w:val="16"/>
        </w:rPr>
      </w:pPr>
      <w:proofErr w:type="gramStart"/>
      <w:r w:rsidRPr="00A45996">
        <w:rPr>
          <w:sz w:val="16"/>
          <w:vertAlign w:val="superscript"/>
        </w:rPr>
        <w:t>g</w:t>
      </w:r>
      <w:proofErr w:type="gramEnd"/>
      <w:r w:rsidRPr="00A45996">
        <w:rPr>
          <w:sz w:val="16"/>
        </w:rPr>
        <w:t xml:space="preserve"> In 2 patients, the IF was unknown.</w:t>
      </w:r>
    </w:p>
    <w:p w:rsidR="00326C73" w:rsidRPr="00A45996" w:rsidRDefault="00326C73" w:rsidP="00326C73">
      <w:pPr>
        <w:rPr>
          <w:sz w:val="16"/>
        </w:rPr>
      </w:pPr>
      <w:proofErr w:type="gramStart"/>
      <w:r w:rsidRPr="00A45996">
        <w:rPr>
          <w:sz w:val="16"/>
          <w:vertAlign w:val="superscript"/>
        </w:rPr>
        <w:t>h</w:t>
      </w:r>
      <w:proofErr w:type="gramEnd"/>
      <w:r w:rsidRPr="00A45996">
        <w:rPr>
          <w:sz w:val="16"/>
        </w:rPr>
        <w:t xml:space="preserve"> p-value for Response Rate (CR + PR) from the Cochrane-Mantel-</w:t>
      </w:r>
      <w:proofErr w:type="spellStart"/>
      <w:r w:rsidRPr="00A45996">
        <w:rPr>
          <w:sz w:val="16"/>
        </w:rPr>
        <w:t>Haenszel</w:t>
      </w:r>
      <w:proofErr w:type="spellEnd"/>
      <w:r w:rsidRPr="00A45996">
        <w:rPr>
          <w:sz w:val="16"/>
        </w:rPr>
        <w:t xml:space="preserve"> chi-square test adjusted for the stratification factors;</w:t>
      </w:r>
    </w:p>
    <w:p w:rsidR="00326C73" w:rsidRPr="00A45996" w:rsidRDefault="00326C73" w:rsidP="00326C73">
      <w:pPr>
        <w:rPr>
          <w:sz w:val="16"/>
        </w:rPr>
      </w:pPr>
      <w:proofErr w:type="spellStart"/>
      <w:proofErr w:type="gramStart"/>
      <w:r w:rsidRPr="00A45996">
        <w:rPr>
          <w:sz w:val="16"/>
          <w:vertAlign w:val="superscript"/>
        </w:rPr>
        <w:t>i</w:t>
      </w:r>
      <w:proofErr w:type="spellEnd"/>
      <w:proofErr w:type="gramEnd"/>
      <w:r w:rsidRPr="00A45996">
        <w:rPr>
          <w:sz w:val="16"/>
        </w:rPr>
        <w:t xml:space="preserve"> Not Estimable.</w:t>
      </w:r>
    </w:p>
    <w:p w:rsidR="00326C73" w:rsidRPr="00A45996" w:rsidRDefault="00326C73" w:rsidP="00326C73">
      <w:pPr>
        <w:pStyle w:val="PIEXPLAIN"/>
        <w:rPr>
          <w:rFonts w:cs="Arial"/>
          <w:b/>
          <w:bCs/>
        </w:rPr>
      </w:pPr>
      <w:proofErr w:type="gramStart"/>
      <w:r w:rsidRPr="00A45996">
        <w:rPr>
          <w:sz w:val="16"/>
          <w:vertAlign w:val="superscript"/>
        </w:rPr>
        <w:t>j</w:t>
      </w:r>
      <w:proofErr w:type="gramEnd"/>
      <w:r w:rsidRPr="00A45996">
        <w:rPr>
          <w:sz w:val="16"/>
        </w:rPr>
        <w:t xml:space="preserve"> Not Applicable, no patients in category.</w:t>
      </w:r>
    </w:p>
    <w:p w:rsidR="00326C73" w:rsidRPr="00A45996" w:rsidRDefault="00326C73" w:rsidP="00326C73">
      <w:pPr>
        <w:keepLines w:val="0"/>
        <w:autoSpaceDE w:val="0"/>
        <w:autoSpaceDN w:val="0"/>
        <w:adjustRightInd w:val="0"/>
        <w:spacing w:before="20" w:after="80"/>
        <w:rPr>
          <w:rFonts w:cs="Arial"/>
          <w:sz w:val="22"/>
          <w:szCs w:val="24"/>
          <w:lang w:val="en-US"/>
        </w:rPr>
      </w:pPr>
      <w:r w:rsidRPr="00A45996">
        <w:rPr>
          <w:rFonts w:cs="Arial"/>
          <w:sz w:val="22"/>
          <w:szCs w:val="24"/>
          <w:lang w:val="en-US"/>
        </w:rPr>
        <w:lastRenderedPageBreak/>
        <w:t xml:space="preserve">For the 121 patients achieving a response (CR or PR) on the VELCADE arm, the median duration was 8.0 months (95% CI: 6.9, 11.5 months) compared to 5.6 months (95% CI: 4.8, 9.2 months) for the 56 responders on the dexamethasone arm.  </w:t>
      </w:r>
    </w:p>
    <w:p w:rsidR="00326C73" w:rsidRPr="00A45996" w:rsidRDefault="00326C73" w:rsidP="00326C73">
      <w:pPr>
        <w:pStyle w:val="PIEXPLAIN"/>
        <w:tabs>
          <w:tab w:val="clear" w:pos="-720"/>
        </w:tabs>
        <w:suppressAutoHyphens w:val="0"/>
        <w:autoSpaceDE w:val="0"/>
        <w:autoSpaceDN w:val="0"/>
        <w:adjustRightInd w:val="0"/>
        <w:rPr>
          <w:rFonts w:cs="Arial"/>
          <w:spacing w:val="0"/>
          <w:szCs w:val="22"/>
          <w:lang w:val="en-US"/>
        </w:rPr>
      </w:pPr>
      <w:r w:rsidRPr="00A45996">
        <w:rPr>
          <w:spacing w:val="0"/>
          <w:szCs w:val="22"/>
        </w:rPr>
        <w:t xml:space="preserve">Treatment with VELCADE led to a significantly longer TTP, a significantly prolonged survival and a significantly higher response rate, compared to treatment with dexamethasone in patients who have received more than one prior therapy as well as in patients who have received only one prior line of therapy.  </w:t>
      </w:r>
    </w:p>
    <w:p w:rsidR="00326C73" w:rsidRPr="00A45996" w:rsidRDefault="00326C73" w:rsidP="00326C73">
      <w:pPr>
        <w:keepLines w:val="0"/>
        <w:autoSpaceDE w:val="0"/>
        <w:autoSpaceDN w:val="0"/>
        <w:adjustRightInd w:val="0"/>
        <w:spacing w:before="20" w:after="80"/>
        <w:rPr>
          <w:rFonts w:cs="Arial"/>
          <w:sz w:val="22"/>
          <w:szCs w:val="24"/>
          <w:lang w:val="en-US"/>
        </w:rPr>
      </w:pPr>
      <w:r w:rsidRPr="00A45996">
        <w:rPr>
          <w:sz w:val="22"/>
          <w:szCs w:val="22"/>
        </w:rPr>
        <w:t>Both in patients who were refractory to their last prior therapy and those who were not refractory, overall survival was significantly longer and response rate was significantly higher on the VELCADE arm.</w:t>
      </w:r>
      <w:r w:rsidRPr="00A45996">
        <w:rPr>
          <w:sz w:val="22"/>
        </w:rPr>
        <w:t xml:space="preserve">  O</w:t>
      </w:r>
      <w:r w:rsidRPr="00A45996">
        <w:rPr>
          <w:sz w:val="22"/>
          <w:szCs w:val="22"/>
        </w:rPr>
        <w:t xml:space="preserve">f the 669 patients enrolled, 245 (37%) were 65 years of age or older. Response parameters as well as TTP remained significantly better for VELCADE independently of age. Regardless of </w:t>
      </w:r>
      <w:r w:rsidRPr="00A45996">
        <w:rPr>
          <w:sz w:val="22"/>
          <w:szCs w:val="22"/>
        </w:rPr>
        <w:sym w:font="Symbol" w:char="F062"/>
      </w:r>
      <w:r w:rsidRPr="00A45996">
        <w:rPr>
          <w:sz w:val="22"/>
          <w:szCs w:val="22"/>
        </w:rPr>
        <w:t xml:space="preserve">2- </w:t>
      </w:r>
      <w:proofErr w:type="spellStart"/>
      <w:r w:rsidRPr="00A45996">
        <w:rPr>
          <w:sz w:val="22"/>
          <w:szCs w:val="22"/>
        </w:rPr>
        <w:t>microglobulin</w:t>
      </w:r>
      <w:proofErr w:type="spellEnd"/>
      <w:r w:rsidRPr="00A45996">
        <w:rPr>
          <w:sz w:val="22"/>
          <w:szCs w:val="22"/>
        </w:rPr>
        <w:t xml:space="preserve"> levels at baseline, all efficacy parameters (time to progression and overall survival, as well as response rate) were significantly improved on the VELCADE arm.  </w:t>
      </w:r>
    </w:p>
    <w:p w:rsidR="00326C73" w:rsidRPr="00A45996" w:rsidRDefault="00326C73" w:rsidP="00326C73">
      <w:pPr>
        <w:pStyle w:val="PIEXPLAIN"/>
        <w:keepLines/>
        <w:tabs>
          <w:tab w:val="clear" w:pos="-720"/>
        </w:tabs>
        <w:suppressAutoHyphens w:val="0"/>
        <w:spacing w:before="0" w:after="0"/>
        <w:rPr>
          <w:spacing w:val="0"/>
          <w:szCs w:val="22"/>
        </w:rPr>
      </w:pPr>
      <w:r w:rsidRPr="00A45996">
        <w:rPr>
          <w:spacing w:val="0"/>
          <w:szCs w:val="22"/>
        </w:rPr>
        <w:t>The time to progression (TTP) was significantly longer on the VELCADE arm (see Figure 5).</w:t>
      </w:r>
    </w:p>
    <w:p w:rsidR="00326C73" w:rsidRPr="00A45996" w:rsidRDefault="00326C73" w:rsidP="00326C73">
      <w:pPr>
        <w:rPr>
          <w:szCs w:val="22"/>
        </w:rPr>
      </w:pPr>
    </w:p>
    <w:p w:rsidR="00326C73" w:rsidRPr="00A45996" w:rsidRDefault="00326C73" w:rsidP="00326C73">
      <w:pPr>
        <w:pStyle w:val="PIEXPLAIN"/>
        <w:keepLines/>
        <w:tabs>
          <w:tab w:val="clear" w:pos="-720"/>
        </w:tabs>
        <w:suppressAutoHyphens w:val="0"/>
        <w:spacing w:before="0" w:after="0"/>
        <w:jc w:val="center"/>
        <w:rPr>
          <w:b/>
          <w:spacing w:val="0"/>
          <w:szCs w:val="22"/>
        </w:rPr>
      </w:pPr>
      <w:r w:rsidRPr="00A45996">
        <w:rPr>
          <w:b/>
          <w:spacing w:val="0"/>
          <w:szCs w:val="22"/>
        </w:rPr>
        <w:t>Figure 5: Time to progression</w:t>
      </w:r>
    </w:p>
    <w:p w:rsidR="00326C73" w:rsidRPr="00A45996" w:rsidRDefault="00326C73" w:rsidP="00326C73">
      <w:pPr>
        <w:pStyle w:val="PIEXPLAIN"/>
        <w:keepLines/>
        <w:tabs>
          <w:tab w:val="clear" w:pos="-720"/>
        </w:tabs>
        <w:suppressAutoHyphens w:val="0"/>
        <w:spacing w:before="0" w:after="0"/>
        <w:jc w:val="center"/>
        <w:rPr>
          <w:b/>
          <w:spacing w:val="0"/>
          <w:szCs w:val="22"/>
        </w:rPr>
      </w:pPr>
      <w:proofErr w:type="spellStart"/>
      <w:r w:rsidRPr="00A45996">
        <w:rPr>
          <w:b/>
          <w:spacing w:val="0"/>
          <w:szCs w:val="22"/>
        </w:rPr>
        <w:t>Bortezomib</w:t>
      </w:r>
      <w:proofErr w:type="spellEnd"/>
      <w:r w:rsidRPr="00A45996">
        <w:rPr>
          <w:b/>
          <w:spacing w:val="0"/>
          <w:szCs w:val="22"/>
        </w:rPr>
        <w:t xml:space="preserve"> vs Dexamethasone</w:t>
      </w:r>
    </w:p>
    <w:p w:rsidR="00326C73" w:rsidRPr="00A45996" w:rsidRDefault="00326C73" w:rsidP="00326C73">
      <w:pPr>
        <w:pStyle w:val="PIEXPLAIN"/>
        <w:keepLines/>
        <w:tabs>
          <w:tab w:val="clear" w:pos="-720"/>
        </w:tabs>
        <w:suppressAutoHyphens w:val="0"/>
        <w:spacing w:before="0" w:after="0"/>
        <w:jc w:val="center"/>
        <w:rPr>
          <w:b/>
          <w:spacing w:val="0"/>
          <w:szCs w:val="22"/>
        </w:rPr>
      </w:pPr>
    </w:p>
    <w:p w:rsidR="00326C73" w:rsidRPr="00A45996" w:rsidRDefault="00326C73" w:rsidP="00326C73">
      <w:pPr>
        <w:rPr>
          <w:szCs w:val="22"/>
        </w:rPr>
      </w:pPr>
    </w:p>
    <w:p w:rsidR="00326C73" w:rsidRPr="00A45996" w:rsidRDefault="00326C73" w:rsidP="00326C73">
      <w:pPr>
        <w:rPr>
          <w:szCs w:val="22"/>
        </w:rPr>
      </w:pPr>
      <w:r w:rsidRPr="00A45996">
        <w:rPr>
          <w:noProof/>
          <w:szCs w:val="22"/>
          <w:lang w:eastAsia="en-AU"/>
        </w:rPr>
        <w:drawing>
          <wp:inline distT="0" distB="0" distL="0" distR="0" wp14:anchorId="6B666943" wp14:editId="52E11F6F">
            <wp:extent cx="5819775" cy="2933700"/>
            <wp:effectExtent l="19050" t="0" r="952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t="13725"/>
                    <a:stretch>
                      <a:fillRect/>
                    </a:stretch>
                  </pic:blipFill>
                  <pic:spPr bwMode="auto">
                    <a:xfrm>
                      <a:off x="0" y="0"/>
                      <a:ext cx="5819775" cy="2933700"/>
                    </a:xfrm>
                    <a:prstGeom prst="rect">
                      <a:avLst/>
                    </a:prstGeom>
                    <a:noFill/>
                    <a:ln w="9525">
                      <a:noFill/>
                      <a:miter lim="800000"/>
                      <a:headEnd/>
                      <a:tailEnd/>
                    </a:ln>
                  </pic:spPr>
                </pic:pic>
              </a:graphicData>
            </a:graphic>
          </wp:inline>
        </w:drawing>
      </w:r>
    </w:p>
    <w:p w:rsidR="00326C73" w:rsidRPr="00A45996" w:rsidRDefault="00326C73" w:rsidP="00326C73">
      <w:pPr>
        <w:rPr>
          <w:szCs w:val="22"/>
        </w:rPr>
      </w:pPr>
      <w:r w:rsidRPr="00A45996">
        <w:rPr>
          <w:szCs w:val="22"/>
        </w:rPr>
        <w:br w:type="page"/>
      </w:r>
    </w:p>
    <w:p w:rsidR="00326C73" w:rsidRPr="00A45996" w:rsidRDefault="00326C73" w:rsidP="00326C73">
      <w:pPr>
        <w:pStyle w:val="PIEXPLAIN"/>
        <w:keepLines/>
        <w:tabs>
          <w:tab w:val="clear" w:pos="-720"/>
        </w:tabs>
        <w:suppressAutoHyphens w:val="0"/>
        <w:spacing w:before="0" w:after="0"/>
        <w:rPr>
          <w:spacing w:val="0"/>
          <w:szCs w:val="22"/>
        </w:rPr>
      </w:pPr>
      <w:r w:rsidRPr="00A45996">
        <w:rPr>
          <w:spacing w:val="0"/>
          <w:szCs w:val="22"/>
        </w:rPr>
        <w:lastRenderedPageBreak/>
        <w:t>As shown in Figure 6, VELCADE had a significant survival advantage relative to dexamethasone (p&lt;0.05).  The median follow-up was 8.3 months.</w:t>
      </w:r>
    </w:p>
    <w:p w:rsidR="00326C73" w:rsidRPr="00A45996" w:rsidRDefault="00326C73" w:rsidP="00326C73">
      <w:pPr>
        <w:rPr>
          <w:szCs w:val="22"/>
        </w:rPr>
      </w:pPr>
    </w:p>
    <w:p w:rsidR="00326C73" w:rsidRPr="00A45996" w:rsidRDefault="00326C73" w:rsidP="00326C73">
      <w:pPr>
        <w:jc w:val="center"/>
        <w:rPr>
          <w:b/>
          <w:szCs w:val="22"/>
        </w:rPr>
      </w:pPr>
      <w:r w:rsidRPr="00A45996">
        <w:rPr>
          <w:b/>
          <w:szCs w:val="22"/>
        </w:rPr>
        <w:t>Figure 6: Overall Survival</w:t>
      </w:r>
    </w:p>
    <w:p w:rsidR="00326C73" w:rsidRPr="00A45996" w:rsidRDefault="00326C73" w:rsidP="00326C73">
      <w:pPr>
        <w:jc w:val="center"/>
        <w:rPr>
          <w:b/>
          <w:szCs w:val="22"/>
        </w:rPr>
      </w:pPr>
      <w:proofErr w:type="spellStart"/>
      <w:r w:rsidRPr="00A45996">
        <w:rPr>
          <w:b/>
          <w:szCs w:val="22"/>
        </w:rPr>
        <w:t>Bortezomib</w:t>
      </w:r>
      <w:proofErr w:type="spellEnd"/>
      <w:r w:rsidRPr="00A45996">
        <w:rPr>
          <w:b/>
          <w:szCs w:val="22"/>
        </w:rPr>
        <w:t xml:space="preserve"> vs Dexamethasone</w:t>
      </w:r>
    </w:p>
    <w:p w:rsidR="00326C73" w:rsidRPr="00A45996" w:rsidRDefault="00326C73" w:rsidP="00326C73">
      <w:pPr>
        <w:jc w:val="center"/>
        <w:rPr>
          <w:b/>
          <w:szCs w:val="22"/>
        </w:rPr>
      </w:pPr>
    </w:p>
    <w:p w:rsidR="00326C73" w:rsidRPr="00A45996" w:rsidRDefault="00326C73" w:rsidP="00326C73">
      <w:pPr>
        <w:rPr>
          <w:szCs w:val="22"/>
        </w:rPr>
      </w:pPr>
      <w:r w:rsidRPr="00A45996">
        <w:rPr>
          <w:noProof/>
          <w:szCs w:val="22"/>
          <w:lang w:eastAsia="en-AU"/>
        </w:rPr>
        <w:drawing>
          <wp:inline distT="0" distB="0" distL="0" distR="0" wp14:anchorId="217FB4FA" wp14:editId="3B4E9185">
            <wp:extent cx="5819775" cy="2952750"/>
            <wp:effectExtent l="1905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t="13142"/>
                    <a:stretch>
                      <a:fillRect/>
                    </a:stretch>
                  </pic:blipFill>
                  <pic:spPr bwMode="auto">
                    <a:xfrm>
                      <a:off x="0" y="0"/>
                      <a:ext cx="5819775" cy="2952750"/>
                    </a:xfrm>
                    <a:prstGeom prst="rect">
                      <a:avLst/>
                    </a:prstGeom>
                    <a:noFill/>
                    <a:ln w="9525">
                      <a:noFill/>
                      <a:miter lim="800000"/>
                      <a:headEnd/>
                      <a:tailEnd/>
                    </a:ln>
                  </pic:spPr>
                </pic:pic>
              </a:graphicData>
            </a:graphic>
          </wp:inline>
        </w:drawing>
      </w:r>
    </w:p>
    <w:p w:rsidR="00326C73" w:rsidRPr="00A45996" w:rsidRDefault="00326C73" w:rsidP="00326C73">
      <w:pPr>
        <w:rPr>
          <w:szCs w:val="22"/>
        </w:rPr>
      </w:pPr>
    </w:p>
    <w:p w:rsidR="00DE0059" w:rsidRPr="00A45996" w:rsidRDefault="00DE0059" w:rsidP="00DE0059">
      <w:pPr>
        <w:pStyle w:val="BodyText12"/>
        <w:ind w:left="0"/>
        <w:outlineLvl w:val="0"/>
        <w:rPr>
          <w:rFonts w:ascii="Arial" w:hAnsi="Arial" w:cs="Arial"/>
          <w:b/>
          <w:sz w:val="22"/>
          <w:szCs w:val="22"/>
          <w:u w:val="single"/>
        </w:rPr>
      </w:pPr>
      <w:r w:rsidRPr="00A45996">
        <w:rPr>
          <w:rFonts w:ascii="Arial" w:hAnsi="Arial" w:cs="Arial"/>
          <w:b/>
          <w:sz w:val="22"/>
          <w:szCs w:val="22"/>
          <w:u w:val="single"/>
        </w:rPr>
        <w:t xml:space="preserve">Randomized, Open-Label Clinical Study in Relapsed Multiple Myeloma comparing VELCADE IV and SC  </w:t>
      </w:r>
    </w:p>
    <w:p w:rsidR="00DE0059" w:rsidRPr="00A45996" w:rsidRDefault="00DE0059" w:rsidP="00DE0059">
      <w:pPr>
        <w:spacing w:after="240"/>
        <w:rPr>
          <w:rFonts w:cs="Arial"/>
          <w:bCs/>
          <w:iCs/>
          <w:sz w:val="22"/>
          <w:szCs w:val="22"/>
        </w:rPr>
      </w:pPr>
      <w:r w:rsidRPr="00A45996">
        <w:rPr>
          <w:rFonts w:cs="Arial"/>
          <w:sz w:val="22"/>
          <w:szCs w:val="22"/>
        </w:rPr>
        <w:t xml:space="preserve">An open label, randomized, phase </w:t>
      </w:r>
      <w:r w:rsidR="0068097F" w:rsidRPr="00A45996">
        <w:rPr>
          <w:rFonts w:cs="Arial"/>
          <w:sz w:val="22"/>
          <w:szCs w:val="22"/>
        </w:rPr>
        <w:t xml:space="preserve">III </w:t>
      </w:r>
      <w:r w:rsidRPr="00A45996">
        <w:rPr>
          <w:rFonts w:cs="Arial"/>
          <w:sz w:val="22"/>
          <w:szCs w:val="22"/>
        </w:rPr>
        <w:t>non-inferiority study compared the efficacy and safety of the subcutaneous administration (SC) of VELCADE versus the intravenous administration (IV). This study included 222 patients with relapsed multiple myeloma, who were randomized in a 2:1 ratio to  receive 1.3 mg/m</w:t>
      </w:r>
      <w:r w:rsidRPr="00A45996">
        <w:rPr>
          <w:rFonts w:cs="Arial"/>
          <w:sz w:val="22"/>
          <w:szCs w:val="22"/>
          <w:vertAlign w:val="superscript"/>
        </w:rPr>
        <w:t>2</w:t>
      </w:r>
      <w:r w:rsidRPr="00A45996">
        <w:rPr>
          <w:rFonts w:cs="Arial"/>
          <w:sz w:val="22"/>
          <w:szCs w:val="22"/>
        </w:rPr>
        <w:t xml:space="preserve"> of VELCADE by either the SC or IV route for 8 cycles. </w:t>
      </w:r>
      <w:r w:rsidRPr="00A45996">
        <w:rPr>
          <w:rFonts w:cs="Arial"/>
          <w:bCs/>
          <w:iCs/>
          <w:sz w:val="22"/>
          <w:szCs w:val="22"/>
        </w:rPr>
        <w:t xml:space="preserve">Patients who did not obtain an optimal response (less than Complete Response CR))) to therapy with VELCADE alone after 4 cycles were allowed to receive dexamethasone 20 mg daily on the day of and day after VELCADE administration. </w:t>
      </w:r>
      <w:r w:rsidRPr="00A45996">
        <w:rPr>
          <w:rFonts w:cs="Arial"/>
          <w:sz w:val="22"/>
          <w:szCs w:val="22"/>
        </w:rPr>
        <w:t xml:space="preserve">Patients with baseline </w:t>
      </w:r>
      <w:r w:rsidRPr="00A45996">
        <w:rPr>
          <w:rFonts w:cs="Arial"/>
          <w:snapToGrid w:val="0"/>
          <w:sz w:val="22"/>
          <w:szCs w:val="22"/>
        </w:rPr>
        <w:t xml:space="preserve">grade ≥ 2 </w:t>
      </w:r>
      <w:r w:rsidRPr="00A45996">
        <w:rPr>
          <w:rFonts w:cs="Arial"/>
          <w:sz w:val="22"/>
          <w:szCs w:val="22"/>
        </w:rPr>
        <w:t xml:space="preserve">peripheral neuropathy </w:t>
      </w:r>
      <w:r w:rsidRPr="00A45996">
        <w:rPr>
          <w:rFonts w:cs="Arial"/>
          <w:snapToGrid w:val="0"/>
          <w:sz w:val="22"/>
          <w:szCs w:val="22"/>
        </w:rPr>
        <w:t xml:space="preserve">or platelet counts &lt;50,000/µL were excluded.  A total of 218 patients were evaluable for response. </w:t>
      </w:r>
    </w:p>
    <w:p w:rsidR="0068097F" w:rsidRPr="00A45996" w:rsidRDefault="00DE0059" w:rsidP="00DE0059">
      <w:pPr>
        <w:pStyle w:val="ParagraphCharChar1"/>
        <w:widowControl w:val="0"/>
        <w:suppressAutoHyphens w:val="0"/>
        <w:rPr>
          <w:rFonts w:ascii="Arial" w:hAnsi="Arial" w:cs="Arial"/>
          <w:szCs w:val="22"/>
        </w:rPr>
      </w:pPr>
      <w:r w:rsidRPr="00A45996">
        <w:rPr>
          <w:rFonts w:ascii="Arial" w:hAnsi="Arial" w:cs="Arial"/>
          <w:snapToGrid w:val="0"/>
          <w:szCs w:val="22"/>
        </w:rPr>
        <w:t xml:space="preserve">Stratification factors were based on the number of lines of prior therapy the patient had received (1 previous line versus more than 1 line of therapy), </w:t>
      </w:r>
      <w:r w:rsidRPr="00A45996">
        <w:rPr>
          <w:rFonts w:ascii="Arial" w:hAnsi="Arial" w:cs="Arial"/>
          <w:szCs w:val="22"/>
        </w:rPr>
        <w:t>and international staging system (ISS) stage (incorporating beta</w:t>
      </w:r>
      <w:r w:rsidRPr="00A45996">
        <w:rPr>
          <w:rFonts w:ascii="Arial" w:hAnsi="Arial" w:cs="Arial"/>
          <w:szCs w:val="22"/>
          <w:vertAlign w:val="subscript"/>
        </w:rPr>
        <w:t>2</w:t>
      </w:r>
      <w:r w:rsidRPr="00A45996">
        <w:rPr>
          <w:rFonts w:ascii="Arial" w:hAnsi="Arial" w:cs="Arial"/>
          <w:szCs w:val="22"/>
        </w:rPr>
        <w:noBreakHyphen/>
        <w:t>microglobulin and albumin levels; Stages I, II, or III)</w:t>
      </w:r>
      <w:r w:rsidR="0068097F" w:rsidRPr="00A45996">
        <w:rPr>
          <w:rFonts w:ascii="Arial" w:hAnsi="Arial" w:cs="Arial"/>
          <w:szCs w:val="22"/>
        </w:rPr>
        <w:t>. The baseline patient and disease characteristics were comparable between the SC and IV arms</w:t>
      </w:r>
      <w:r w:rsidR="00C73BD9" w:rsidRPr="00A45996">
        <w:rPr>
          <w:rFonts w:ascii="Arial" w:hAnsi="Arial" w:cs="Arial"/>
          <w:szCs w:val="22"/>
        </w:rPr>
        <w:t>.</w:t>
      </w:r>
    </w:p>
    <w:p w:rsidR="00DE0059" w:rsidRPr="00A45996" w:rsidRDefault="00DE0059" w:rsidP="00DE0059">
      <w:pPr>
        <w:pStyle w:val="ParagraphCharChar1"/>
        <w:widowControl w:val="0"/>
        <w:spacing w:before="60"/>
        <w:jc w:val="both"/>
        <w:rPr>
          <w:rFonts w:ascii="Arial" w:hAnsi="Arial" w:cs="Arial"/>
          <w:szCs w:val="22"/>
        </w:rPr>
      </w:pPr>
      <w:r w:rsidRPr="00A45996">
        <w:rPr>
          <w:rFonts w:ascii="Arial" w:hAnsi="Arial" w:cs="Arial"/>
          <w:szCs w:val="22"/>
        </w:rPr>
        <w:t xml:space="preserve">This study met its primary objective of non-inferiority for response rate (CR + PR) after 4 cycles of single agent VELCADE for both the SC and IV routes, with an ORR of 42% in both groups. In addition, all secondary endpoints relating to efficacy showed </w:t>
      </w:r>
      <w:r w:rsidR="0068097F" w:rsidRPr="00A45996">
        <w:rPr>
          <w:rFonts w:ascii="Arial" w:hAnsi="Arial" w:cs="Arial"/>
          <w:szCs w:val="22"/>
        </w:rPr>
        <w:t xml:space="preserve">comparable </w:t>
      </w:r>
      <w:r w:rsidRPr="00A45996">
        <w:rPr>
          <w:rFonts w:ascii="Arial" w:hAnsi="Arial" w:cs="Arial"/>
          <w:szCs w:val="22"/>
        </w:rPr>
        <w:t xml:space="preserve">results between SC and IV administration (Table </w:t>
      </w:r>
      <w:r w:rsidR="0092571C" w:rsidRPr="00A45996">
        <w:rPr>
          <w:rFonts w:ascii="Arial" w:hAnsi="Arial" w:cs="Arial"/>
          <w:szCs w:val="22"/>
        </w:rPr>
        <w:t>9</w:t>
      </w:r>
      <w:r w:rsidRPr="00A45996">
        <w:rPr>
          <w:rFonts w:ascii="Arial" w:hAnsi="Arial" w:cs="Arial"/>
          <w:szCs w:val="22"/>
        </w:rPr>
        <w:t xml:space="preserve">). </w:t>
      </w:r>
    </w:p>
    <w:p w:rsidR="00DE0059" w:rsidRPr="00A45996" w:rsidRDefault="00DE0059" w:rsidP="00DE0059">
      <w:pPr>
        <w:keepNext/>
        <w:jc w:val="left"/>
        <w:rPr>
          <w:b/>
          <w:sz w:val="20"/>
        </w:rPr>
      </w:pPr>
      <w:r w:rsidRPr="00A45996">
        <w:rPr>
          <w:b/>
          <w:sz w:val="20"/>
        </w:rPr>
        <w:t xml:space="preserve">Table </w:t>
      </w:r>
      <w:r w:rsidR="0092571C" w:rsidRPr="00A45996">
        <w:rPr>
          <w:b/>
          <w:sz w:val="20"/>
        </w:rPr>
        <w:t>9</w:t>
      </w:r>
      <w:r w:rsidRPr="00A45996">
        <w:rPr>
          <w:b/>
          <w:sz w:val="20"/>
        </w:rPr>
        <w:t>: Summary of efficacy analyses for the SC administration of VELCADE compared to IV</w:t>
      </w:r>
    </w:p>
    <w:p w:rsidR="005948A0" w:rsidRPr="00A45996" w:rsidRDefault="005948A0" w:rsidP="00DE0059">
      <w:pPr>
        <w:keepNext/>
        <w:jc w:val="left"/>
        <w:rPr>
          <w:b/>
          <w:sz w:val="20"/>
        </w:rPr>
      </w:pP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DE0059" w:rsidRPr="00A45996" w:rsidTr="00DE0059">
        <w:trPr>
          <w:trHeight w:val="315"/>
        </w:trPr>
        <w:tc>
          <w:tcPr>
            <w:tcW w:w="4120" w:type="dxa"/>
            <w:tcMar>
              <w:top w:w="0" w:type="dxa"/>
              <w:left w:w="108" w:type="dxa"/>
              <w:bottom w:w="0" w:type="dxa"/>
              <w:right w:w="108" w:type="dxa"/>
            </w:tcMar>
            <w:vAlign w:val="bottom"/>
          </w:tcPr>
          <w:p w:rsidR="00DE0059" w:rsidRPr="00A45996" w:rsidRDefault="00DE0059" w:rsidP="00DE0059">
            <w:pPr>
              <w:rPr>
                <w:rFonts w:cs="Arial"/>
                <w:b/>
                <w:bCs/>
                <w:sz w:val="18"/>
                <w:szCs w:val="18"/>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rsidR="00DE0059" w:rsidRPr="00A45996" w:rsidRDefault="00DE0059" w:rsidP="00DE0059">
            <w:pPr>
              <w:jc w:val="center"/>
              <w:rPr>
                <w:rFonts w:cs="Arial"/>
                <w:b/>
                <w:bCs/>
                <w:sz w:val="18"/>
                <w:szCs w:val="18"/>
              </w:rPr>
            </w:pPr>
            <w:r w:rsidRPr="00A45996">
              <w:rPr>
                <w:rFonts w:cs="Arial"/>
                <w:b/>
                <w:bCs/>
                <w:sz w:val="18"/>
                <w:szCs w:val="18"/>
                <w:lang w:val="nl-BE"/>
              </w:rPr>
              <w:t>IV VELCADE</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rsidR="00DE0059" w:rsidRPr="00A45996" w:rsidRDefault="00DE0059" w:rsidP="00DE0059">
            <w:pPr>
              <w:jc w:val="center"/>
              <w:rPr>
                <w:rFonts w:cs="Arial"/>
                <w:b/>
                <w:bCs/>
                <w:sz w:val="18"/>
                <w:szCs w:val="18"/>
              </w:rPr>
            </w:pPr>
            <w:r w:rsidRPr="00A45996">
              <w:rPr>
                <w:rFonts w:cs="Arial"/>
                <w:b/>
                <w:bCs/>
                <w:sz w:val="18"/>
                <w:szCs w:val="18"/>
              </w:rPr>
              <w:t>SC VELCADE</w:t>
            </w:r>
          </w:p>
        </w:tc>
      </w:tr>
      <w:tr w:rsidR="00DE0059" w:rsidRPr="00A45996" w:rsidTr="00DE0059">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rsidR="00DE0059" w:rsidRPr="00A45996" w:rsidRDefault="00DE0059" w:rsidP="00DE0059">
            <w:pPr>
              <w:rPr>
                <w:rFonts w:cs="Arial"/>
                <w:b/>
                <w:bCs/>
                <w:sz w:val="18"/>
                <w:szCs w:val="18"/>
              </w:rPr>
            </w:pPr>
            <w:r w:rsidRPr="00A45996">
              <w:rPr>
                <w:rFonts w:cs="Arial"/>
                <w:b/>
                <w:bCs/>
                <w:sz w:val="18"/>
                <w:szCs w:val="18"/>
              </w:rPr>
              <w:t>Response Evaluable Population</w:t>
            </w:r>
          </w:p>
        </w:tc>
        <w:tc>
          <w:tcPr>
            <w:tcW w:w="2680" w:type="dxa"/>
            <w:tcBorders>
              <w:top w:val="nil"/>
              <w:left w:val="nil"/>
              <w:bottom w:val="single" w:sz="8" w:space="0" w:color="auto"/>
              <w:right w:val="nil"/>
            </w:tcBorders>
            <w:tcMar>
              <w:top w:w="0" w:type="dxa"/>
              <w:left w:w="108" w:type="dxa"/>
              <w:bottom w:w="0" w:type="dxa"/>
              <w:right w:w="108" w:type="dxa"/>
            </w:tcMar>
          </w:tcPr>
          <w:p w:rsidR="00DE0059" w:rsidRPr="00A45996" w:rsidRDefault="00DE0059" w:rsidP="00DE0059">
            <w:pPr>
              <w:jc w:val="center"/>
              <w:rPr>
                <w:rFonts w:cs="Arial"/>
                <w:b/>
                <w:bCs/>
                <w:sz w:val="18"/>
                <w:szCs w:val="18"/>
              </w:rPr>
            </w:pPr>
            <w:r w:rsidRPr="00A45996">
              <w:rPr>
                <w:rFonts w:cs="Arial"/>
                <w:b/>
                <w:bCs/>
                <w:sz w:val="18"/>
                <w:szCs w:val="18"/>
              </w:rPr>
              <w:t>n=73</w:t>
            </w:r>
          </w:p>
        </w:tc>
        <w:tc>
          <w:tcPr>
            <w:tcW w:w="2680" w:type="dxa"/>
            <w:tcBorders>
              <w:top w:val="nil"/>
              <w:left w:val="nil"/>
              <w:bottom w:val="single" w:sz="8" w:space="0" w:color="auto"/>
              <w:right w:val="nil"/>
            </w:tcBorders>
            <w:tcMar>
              <w:top w:w="0" w:type="dxa"/>
              <w:left w:w="108" w:type="dxa"/>
              <w:bottom w:w="0" w:type="dxa"/>
              <w:right w:w="108" w:type="dxa"/>
            </w:tcMar>
          </w:tcPr>
          <w:p w:rsidR="00DE0059" w:rsidRPr="00A45996" w:rsidRDefault="00DE0059" w:rsidP="00DE0059">
            <w:pPr>
              <w:jc w:val="center"/>
              <w:rPr>
                <w:rFonts w:cs="Arial"/>
                <w:b/>
                <w:bCs/>
                <w:sz w:val="18"/>
                <w:szCs w:val="18"/>
              </w:rPr>
            </w:pPr>
            <w:r w:rsidRPr="00A45996">
              <w:rPr>
                <w:rFonts w:cs="Arial"/>
                <w:b/>
                <w:bCs/>
                <w:sz w:val="18"/>
                <w:szCs w:val="18"/>
              </w:rPr>
              <w:t>n=145</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rPr>
                <w:rFonts w:cs="Arial"/>
                <w:b/>
                <w:bCs/>
                <w:sz w:val="18"/>
                <w:szCs w:val="18"/>
              </w:rPr>
            </w:pPr>
            <w:r w:rsidRPr="00A45996">
              <w:rPr>
                <w:rFonts w:cs="Arial"/>
                <w:b/>
                <w:bCs/>
                <w:sz w:val="18"/>
                <w:szCs w:val="18"/>
              </w:rPr>
              <w:t>Response Rate at 4 cycles</w:t>
            </w:r>
          </w:p>
        </w:tc>
        <w:tc>
          <w:tcPr>
            <w:tcW w:w="2680" w:type="dxa"/>
            <w:tcMar>
              <w:top w:w="0" w:type="dxa"/>
              <w:left w:w="108" w:type="dxa"/>
              <w:bottom w:w="0" w:type="dxa"/>
              <w:right w:w="108" w:type="dxa"/>
            </w:tcMar>
          </w:tcPr>
          <w:p w:rsidR="00DE0059" w:rsidRPr="00A45996" w:rsidRDefault="00DE0059" w:rsidP="00DE0059">
            <w:pPr>
              <w:jc w:val="center"/>
              <w:rPr>
                <w:rFonts w:cs="Arial"/>
                <w:b/>
                <w:bCs/>
                <w:sz w:val="18"/>
                <w:szCs w:val="18"/>
              </w:rPr>
            </w:pPr>
          </w:p>
        </w:tc>
        <w:tc>
          <w:tcPr>
            <w:tcW w:w="2680" w:type="dxa"/>
            <w:tcMar>
              <w:top w:w="0" w:type="dxa"/>
              <w:left w:w="108" w:type="dxa"/>
              <w:bottom w:w="0" w:type="dxa"/>
              <w:right w:w="108" w:type="dxa"/>
            </w:tcMar>
          </w:tcPr>
          <w:p w:rsidR="00DE0059" w:rsidRPr="00A45996" w:rsidRDefault="00DE0059" w:rsidP="00DE0059">
            <w:pPr>
              <w:jc w:val="center"/>
              <w:rPr>
                <w:rFonts w:cs="Arial"/>
                <w:b/>
                <w:bCs/>
                <w:sz w:val="18"/>
                <w:szCs w:val="18"/>
              </w:rPr>
            </w:pP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ORR (CR+PR)</w:t>
            </w:r>
          </w:p>
        </w:tc>
        <w:tc>
          <w:tcPr>
            <w:tcW w:w="2680" w:type="dxa"/>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31 (42)</w:t>
            </w:r>
          </w:p>
        </w:tc>
        <w:tc>
          <w:tcPr>
            <w:tcW w:w="2680" w:type="dxa"/>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61 (42)</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 p-value (a)</w:t>
            </w:r>
          </w:p>
        </w:tc>
        <w:tc>
          <w:tcPr>
            <w:tcW w:w="5360" w:type="dxa"/>
            <w:gridSpan w:val="2"/>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0.00201</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CR n (%)</w:t>
            </w:r>
          </w:p>
        </w:tc>
        <w:tc>
          <w:tcPr>
            <w:tcW w:w="2680" w:type="dxa"/>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6(8)</w:t>
            </w:r>
          </w:p>
        </w:tc>
        <w:tc>
          <w:tcPr>
            <w:tcW w:w="2680" w:type="dxa"/>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9(6)</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PR n (%)</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25(34)</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52(36)</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proofErr w:type="spellStart"/>
            <w:proofErr w:type="gramStart"/>
            <w:r w:rsidRPr="00A45996">
              <w:rPr>
                <w:rFonts w:cs="Arial"/>
                <w:sz w:val="18"/>
                <w:szCs w:val="18"/>
              </w:rPr>
              <w:lastRenderedPageBreak/>
              <w:t>nCR</w:t>
            </w:r>
            <w:proofErr w:type="spellEnd"/>
            <w:proofErr w:type="gramEnd"/>
            <w:r w:rsidRPr="00A45996">
              <w:rPr>
                <w:rFonts w:cs="Arial"/>
                <w:sz w:val="18"/>
                <w:szCs w:val="18"/>
              </w:rPr>
              <w:t xml:space="preserve"> n (%)</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4(5)</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9(6)</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rPr>
                <w:rFonts w:cs="Arial"/>
                <w:b/>
                <w:bCs/>
                <w:sz w:val="18"/>
                <w:szCs w:val="18"/>
              </w:rPr>
            </w:pPr>
            <w:r w:rsidRPr="00A45996">
              <w:rPr>
                <w:rFonts w:cs="Arial"/>
                <w:b/>
                <w:bCs/>
                <w:sz w:val="18"/>
                <w:szCs w:val="18"/>
              </w:rPr>
              <w:t>Response Rate at 8 cycles</w:t>
            </w:r>
          </w:p>
        </w:tc>
        <w:tc>
          <w:tcPr>
            <w:tcW w:w="2680" w:type="dxa"/>
            <w:tcMar>
              <w:top w:w="0" w:type="dxa"/>
              <w:left w:w="108" w:type="dxa"/>
              <w:bottom w:w="0" w:type="dxa"/>
              <w:right w:w="108" w:type="dxa"/>
            </w:tcMar>
          </w:tcPr>
          <w:p w:rsidR="00DE0059" w:rsidRPr="00A45996" w:rsidRDefault="00DE0059" w:rsidP="00DE0059">
            <w:pPr>
              <w:jc w:val="center"/>
              <w:rPr>
                <w:rFonts w:cs="Arial"/>
                <w:b/>
                <w:bCs/>
                <w:sz w:val="18"/>
                <w:szCs w:val="18"/>
              </w:rPr>
            </w:pPr>
          </w:p>
        </w:tc>
        <w:tc>
          <w:tcPr>
            <w:tcW w:w="2680" w:type="dxa"/>
            <w:tcMar>
              <w:top w:w="0" w:type="dxa"/>
              <w:left w:w="108" w:type="dxa"/>
              <w:bottom w:w="0" w:type="dxa"/>
              <w:right w:w="108" w:type="dxa"/>
            </w:tcMar>
          </w:tcPr>
          <w:p w:rsidR="00DE0059" w:rsidRPr="00A45996" w:rsidRDefault="00DE0059" w:rsidP="00DE0059">
            <w:pPr>
              <w:jc w:val="center"/>
              <w:rPr>
                <w:rFonts w:cs="Arial"/>
                <w:b/>
                <w:bCs/>
                <w:sz w:val="18"/>
                <w:szCs w:val="18"/>
              </w:rPr>
            </w:pP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ORR (CR+PR)</w:t>
            </w:r>
          </w:p>
        </w:tc>
        <w:tc>
          <w:tcPr>
            <w:tcW w:w="2680" w:type="dxa"/>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38(52)</w:t>
            </w:r>
          </w:p>
        </w:tc>
        <w:tc>
          <w:tcPr>
            <w:tcW w:w="2680" w:type="dxa"/>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76(52)</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p-value (a)</w:t>
            </w:r>
          </w:p>
        </w:tc>
        <w:tc>
          <w:tcPr>
            <w:tcW w:w="5360" w:type="dxa"/>
            <w:gridSpan w:val="2"/>
            <w:tcMar>
              <w:top w:w="0" w:type="dxa"/>
              <w:left w:w="108" w:type="dxa"/>
              <w:bottom w:w="0" w:type="dxa"/>
              <w:right w:w="108" w:type="dxa"/>
            </w:tcMar>
          </w:tcPr>
          <w:p w:rsidR="00DE0059" w:rsidRPr="00A45996" w:rsidRDefault="00DE0059" w:rsidP="00DE0059">
            <w:pPr>
              <w:jc w:val="center"/>
              <w:rPr>
                <w:rFonts w:cs="Arial"/>
                <w:sz w:val="18"/>
                <w:szCs w:val="18"/>
              </w:rPr>
            </w:pPr>
            <w:r w:rsidRPr="00A45996">
              <w:rPr>
                <w:rFonts w:cs="Arial"/>
                <w:sz w:val="18"/>
                <w:szCs w:val="18"/>
              </w:rPr>
              <w:t>0.0001</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CR n (%)</w:t>
            </w:r>
          </w:p>
        </w:tc>
        <w:tc>
          <w:tcPr>
            <w:tcW w:w="2680" w:type="dxa"/>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9 (12)</w:t>
            </w:r>
          </w:p>
        </w:tc>
        <w:tc>
          <w:tcPr>
            <w:tcW w:w="2680" w:type="dxa"/>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15 (10)</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r w:rsidRPr="00A45996">
              <w:rPr>
                <w:rFonts w:cs="Arial"/>
                <w:sz w:val="18"/>
                <w:szCs w:val="18"/>
              </w:rPr>
              <w:t>PR n (%)</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29(40)</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61(42)</w:t>
            </w:r>
          </w:p>
        </w:tc>
      </w:tr>
      <w:tr w:rsidR="00DE0059" w:rsidRPr="00A45996" w:rsidTr="00DE0059">
        <w:trPr>
          <w:trHeight w:val="315"/>
        </w:trPr>
        <w:tc>
          <w:tcPr>
            <w:tcW w:w="4120" w:type="dxa"/>
            <w:tcMar>
              <w:top w:w="0" w:type="dxa"/>
              <w:left w:w="108" w:type="dxa"/>
              <w:bottom w:w="0" w:type="dxa"/>
              <w:right w:w="108" w:type="dxa"/>
            </w:tcMar>
          </w:tcPr>
          <w:p w:rsidR="00DE0059" w:rsidRPr="00A45996" w:rsidRDefault="00DE0059" w:rsidP="00DE0059">
            <w:pPr>
              <w:ind w:firstLine="240"/>
              <w:rPr>
                <w:rFonts w:cs="Arial"/>
                <w:sz w:val="18"/>
                <w:szCs w:val="18"/>
              </w:rPr>
            </w:pPr>
            <w:proofErr w:type="spellStart"/>
            <w:proofErr w:type="gramStart"/>
            <w:r w:rsidRPr="00A45996">
              <w:rPr>
                <w:rFonts w:cs="Arial"/>
                <w:sz w:val="18"/>
                <w:szCs w:val="18"/>
              </w:rPr>
              <w:t>nCR</w:t>
            </w:r>
            <w:proofErr w:type="spellEnd"/>
            <w:proofErr w:type="gramEnd"/>
            <w:r w:rsidRPr="00A45996">
              <w:rPr>
                <w:rFonts w:cs="Arial"/>
                <w:sz w:val="18"/>
                <w:szCs w:val="18"/>
              </w:rPr>
              <w:t xml:space="preserve"> n (%)</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7(10)</w:t>
            </w:r>
          </w:p>
        </w:tc>
        <w:tc>
          <w:tcPr>
            <w:tcW w:w="2680" w:type="dxa"/>
            <w:tcMar>
              <w:top w:w="0" w:type="dxa"/>
              <w:left w:w="108" w:type="dxa"/>
              <w:bottom w:w="0" w:type="dxa"/>
              <w:right w:w="108" w:type="dxa"/>
            </w:tcMar>
          </w:tcPr>
          <w:p w:rsidR="00DE0059" w:rsidRPr="00A45996" w:rsidRDefault="00DE0059" w:rsidP="00DE0059">
            <w:pPr>
              <w:jc w:val="center"/>
              <w:rPr>
                <w:rFonts w:cs="Arial"/>
                <w:bCs/>
                <w:sz w:val="18"/>
                <w:szCs w:val="18"/>
              </w:rPr>
            </w:pPr>
            <w:r w:rsidRPr="00A45996">
              <w:rPr>
                <w:rFonts w:cs="Arial"/>
                <w:bCs/>
                <w:sz w:val="18"/>
                <w:szCs w:val="18"/>
              </w:rPr>
              <w:t>14(10)</w:t>
            </w:r>
          </w:p>
        </w:tc>
      </w:tr>
      <w:tr w:rsidR="00DE0059" w:rsidRPr="00A45996" w:rsidTr="00DE0059">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rsidR="00DE0059" w:rsidRPr="00A45996" w:rsidRDefault="00DE0059" w:rsidP="00DE0059">
            <w:pPr>
              <w:rPr>
                <w:rFonts w:cs="Arial"/>
                <w:b/>
                <w:bCs/>
                <w:sz w:val="18"/>
                <w:szCs w:val="18"/>
              </w:rPr>
            </w:pPr>
            <w:r w:rsidRPr="00A45996">
              <w:rPr>
                <w:rFonts w:cs="Arial"/>
                <w:b/>
                <w:bCs/>
                <w:sz w:val="18"/>
                <w:szCs w:val="18"/>
              </w:rPr>
              <w:t xml:space="preserve">Intent to Treat Population </w:t>
            </w:r>
            <w:r w:rsidRPr="00A45996">
              <w:rPr>
                <w:rFonts w:cs="Arial"/>
                <w:bCs/>
                <w:sz w:val="18"/>
                <w:szCs w:val="18"/>
              </w:rPr>
              <w:t>(b)</w:t>
            </w:r>
          </w:p>
        </w:tc>
        <w:tc>
          <w:tcPr>
            <w:tcW w:w="2680" w:type="dxa"/>
            <w:tcBorders>
              <w:top w:val="single" w:sz="4" w:space="0" w:color="auto"/>
              <w:bottom w:val="single" w:sz="8" w:space="0" w:color="auto"/>
            </w:tcBorders>
            <w:tcMar>
              <w:top w:w="0" w:type="dxa"/>
              <w:left w:w="108" w:type="dxa"/>
              <w:bottom w:w="0" w:type="dxa"/>
              <w:right w:w="108" w:type="dxa"/>
            </w:tcMar>
          </w:tcPr>
          <w:p w:rsidR="00DE0059" w:rsidRPr="00A45996" w:rsidRDefault="00DE0059" w:rsidP="00DE0059">
            <w:pPr>
              <w:jc w:val="center"/>
              <w:rPr>
                <w:rFonts w:cs="Arial"/>
                <w:b/>
                <w:bCs/>
                <w:sz w:val="18"/>
                <w:szCs w:val="18"/>
              </w:rPr>
            </w:pPr>
            <w:r w:rsidRPr="00A45996">
              <w:rPr>
                <w:rFonts w:cs="Arial"/>
                <w:b/>
                <w:bCs/>
                <w:sz w:val="18"/>
                <w:szCs w:val="18"/>
              </w:rPr>
              <w:t>n=74</w:t>
            </w:r>
          </w:p>
        </w:tc>
        <w:tc>
          <w:tcPr>
            <w:tcW w:w="2680" w:type="dxa"/>
            <w:tcBorders>
              <w:top w:val="single" w:sz="4" w:space="0" w:color="auto"/>
              <w:bottom w:val="single" w:sz="8" w:space="0" w:color="auto"/>
            </w:tcBorders>
            <w:tcMar>
              <w:top w:w="0" w:type="dxa"/>
              <w:left w:w="108" w:type="dxa"/>
              <w:bottom w:w="0" w:type="dxa"/>
              <w:right w:w="108" w:type="dxa"/>
            </w:tcMar>
          </w:tcPr>
          <w:p w:rsidR="00DE0059" w:rsidRPr="00A45996" w:rsidRDefault="00DE0059" w:rsidP="00DE0059">
            <w:pPr>
              <w:jc w:val="center"/>
              <w:rPr>
                <w:rFonts w:cs="Arial"/>
                <w:b/>
                <w:bCs/>
                <w:sz w:val="18"/>
                <w:szCs w:val="18"/>
              </w:rPr>
            </w:pPr>
            <w:r w:rsidRPr="00A45996">
              <w:rPr>
                <w:rFonts w:cs="Arial"/>
                <w:b/>
                <w:bCs/>
                <w:sz w:val="18"/>
                <w:szCs w:val="18"/>
              </w:rPr>
              <w:t>n=148</w:t>
            </w:r>
          </w:p>
        </w:tc>
      </w:tr>
      <w:tr w:rsidR="00DE0059" w:rsidRPr="00A45996" w:rsidTr="00DE0059">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rsidR="00DE0059" w:rsidRPr="00A45996" w:rsidRDefault="00DE0059" w:rsidP="00DE0059">
            <w:pPr>
              <w:ind w:firstLine="241"/>
              <w:rPr>
                <w:rFonts w:cs="Arial"/>
                <w:b/>
                <w:bCs/>
                <w:sz w:val="18"/>
                <w:szCs w:val="18"/>
              </w:rPr>
            </w:pPr>
            <w:r w:rsidRPr="00A45996">
              <w:rPr>
                <w:rFonts w:cs="Arial"/>
                <w:b/>
                <w:bCs/>
                <w:sz w:val="18"/>
                <w:szCs w:val="18"/>
              </w:rPr>
              <w:t>TTP, months</w:t>
            </w:r>
          </w:p>
        </w:tc>
        <w:tc>
          <w:tcPr>
            <w:tcW w:w="2680" w:type="dxa"/>
            <w:tcBorders>
              <w:top w:val="single" w:sz="8" w:space="0" w:color="auto"/>
              <w:left w:val="nil"/>
              <w:bottom w:val="nil"/>
              <w:right w:val="nil"/>
            </w:tcBorders>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10.4</w:t>
            </w:r>
          </w:p>
        </w:tc>
      </w:tr>
      <w:tr w:rsidR="00DE0059" w:rsidRPr="00A45996" w:rsidTr="00DE0059">
        <w:trPr>
          <w:trHeight w:val="315"/>
        </w:trPr>
        <w:tc>
          <w:tcPr>
            <w:tcW w:w="4120" w:type="dxa"/>
            <w:tcBorders>
              <w:top w:val="nil"/>
              <w:left w:val="nil"/>
              <w:right w:val="nil"/>
            </w:tcBorders>
            <w:tcMar>
              <w:top w:w="0" w:type="dxa"/>
              <w:left w:w="108" w:type="dxa"/>
              <w:bottom w:w="0" w:type="dxa"/>
              <w:right w:w="108" w:type="dxa"/>
            </w:tcMar>
            <w:vAlign w:val="bottom"/>
          </w:tcPr>
          <w:p w:rsidR="00DE0059" w:rsidRPr="00A45996" w:rsidRDefault="00DE0059" w:rsidP="00DE0059">
            <w:pPr>
              <w:ind w:firstLine="480"/>
              <w:rPr>
                <w:rFonts w:cs="Arial"/>
                <w:sz w:val="18"/>
                <w:szCs w:val="18"/>
              </w:rPr>
            </w:pPr>
            <w:r w:rsidRPr="00A45996">
              <w:rPr>
                <w:rFonts w:cs="Arial"/>
                <w:sz w:val="18"/>
                <w:szCs w:val="18"/>
              </w:rPr>
              <w:t>(95% CI)</w:t>
            </w:r>
          </w:p>
        </w:tc>
        <w:tc>
          <w:tcPr>
            <w:tcW w:w="2680" w:type="dxa"/>
            <w:tcBorders>
              <w:top w:val="nil"/>
              <w:left w:val="nil"/>
              <w:right w:val="nil"/>
            </w:tcBorders>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(7.6,10.6)</w:t>
            </w:r>
          </w:p>
        </w:tc>
        <w:tc>
          <w:tcPr>
            <w:tcW w:w="2680" w:type="dxa"/>
            <w:tcBorders>
              <w:top w:val="nil"/>
              <w:left w:val="nil"/>
              <w:right w:val="nil"/>
            </w:tcBorders>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(8.5,11.7)</w:t>
            </w:r>
          </w:p>
        </w:tc>
      </w:tr>
      <w:tr w:rsidR="00DE0059" w:rsidRPr="00A45996" w:rsidTr="00DE0059">
        <w:trPr>
          <w:trHeight w:val="315"/>
        </w:trPr>
        <w:tc>
          <w:tcPr>
            <w:tcW w:w="4120" w:type="dxa"/>
            <w:tcBorders>
              <w:left w:val="nil"/>
              <w:bottom w:val="single" w:sz="8" w:space="0" w:color="auto"/>
              <w:right w:val="nil"/>
            </w:tcBorders>
            <w:tcMar>
              <w:top w:w="0" w:type="dxa"/>
              <w:left w:w="108" w:type="dxa"/>
              <w:bottom w:w="0" w:type="dxa"/>
              <w:right w:w="108" w:type="dxa"/>
            </w:tcMar>
            <w:vAlign w:val="center"/>
          </w:tcPr>
          <w:p w:rsidR="00DE0059" w:rsidRPr="00A45996" w:rsidRDefault="00DE0059" w:rsidP="00DE0059">
            <w:pPr>
              <w:ind w:firstLine="492"/>
              <w:rPr>
                <w:rFonts w:cs="Arial"/>
                <w:b/>
                <w:bCs/>
                <w:sz w:val="18"/>
                <w:szCs w:val="18"/>
              </w:rPr>
            </w:pPr>
            <w:r w:rsidRPr="00A45996">
              <w:rPr>
                <w:rFonts w:cs="Arial"/>
                <w:sz w:val="18"/>
                <w:szCs w:val="18"/>
              </w:rPr>
              <w:t>Hazard ratio (95% CI) (c)</w:t>
            </w:r>
          </w:p>
          <w:p w:rsidR="00DE0059" w:rsidRPr="00A45996" w:rsidRDefault="00DE0059" w:rsidP="00DE0059">
            <w:pPr>
              <w:ind w:firstLine="492"/>
              <w:rPr>
                <w:rFonts w:cs="Arial"/>
                <w:b/>
                <w:bCs/>
                <w:sz w:val="18"/>
                <w:szCs w:val="18"/>
              </w:rPr>
            </w:pPr>
            <w:r w:rsidRPr="00A45996">
              <w:rPr>
                <w:rFonts w:cs="Arial"/>
                <w:sz w:val="18"/>
                <w:szCs w:val="18"/>
              </w:rPr>
              <w:t>p-value (d)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rsidR="00DE0059" w:rsidRPr="00A45996" w:rsidRDefault="00DE0059" w:rsidP="00DE0059">
            <w:pPr>
              <w:ind w:firstLine="492"/>
              <w:jc w:val="center"/>
              <w:rPr>
                <w:rFonts w:cs="Arial"/>
                <w:sz w:val="18"/>
                <w:szCs w:val="18"/>
              </w:rPr>
            </w:pPr>
            <w:r w:rsidRPr="00A45996">
              <w:rPr>
                <w:rFonts w:cs="Arial"/>
                <w:sz w:val="18"/>
                <w:szCs w:val="18"/>
              </w:rPr>
              <w:t>0.839 (0.564,1.249)</w:t>
            </w:r>
          </w:p>
          <w:p w:rsidR="00DE0059" w:rsidRPr="00A45996" w:rsidRDefault="00DE0059" w:rsidP="00DE0059">
            <w:pPr>
              <w:ind w:firstLine="492"/>
              <w:jc w:val="center"/>
              <w:rPr>
                <w:rFonts w:cs="Arial"/>
                <w:b/>
                <w:bCs/>
                <w:sz w:val="18"/>
                <w:szCs w:val="18"/>
              </w:rPr>
            </w:pPr>
            <w:r w:rsidRPr="00A45996">
              <w:rPr>
                <w:rFonts w:cs="Arial"/>
                <w:sz w:val="18"/>
                <w:szCs w:val="18"/>
              </w:rPr>
              <w:t>0.38657</w:t>
            </w:r>
          </w:p>
        </w:tc>
      </w:tr>
      <w:tr w:rsidR="00DE0059" w:rsidRPr="00A45996" w:rsidTr="00DE0059">
        <w:trPr>
          <w:cantSplit/>
          <w:trHeight w:val="315"/>
        </w:trPr>
        <w:tc>
          <w:tcPr>
            <w:tcW w:w="4120" w:type="dxa"/>
            <w:tcMar>
              <w:top w:w="0" w:type="dxa"/>
              <w:left w:w="108" w:type="dxa"/>
              <w:bottom w:w="0" w:type="dxa"/>
              <w:right w:w="108" w:type="dxa"/>
            </w:tcMar>
            <w:vAlign w:val="bottom"/>
          </w:tcPr>
          <w:p w:rsidR="00DE0059" w:rsidRPr="00A45996" w:rsidRDefault="00DE0059" w:rsidP="00DE0059">
            <w:pPr>
              <w:ind w:firstLine="241"/>
              <w:rPr>
                <w:rFonts w:cs="Arial"/>
                <w:b/>
                <w:bCs/>
                <w:sz w:val="18"/>
                <w:szCs w:val="18"/>
              </w:rPr>
            </w:pPr>
            <w:r w:rsidRPr="00A45996">
              <w:rPr>
                <w:rFonts w:cs="Arial"/>
                <w:b/>
                <w:bCs/>
                <w:sz w:val="18"/>
                <w:szCs w:val="18"/>
              </w:rPr>
              <w:t>Progression Free Survival, months</w:t>
            </w:r>
          </w:p>
        </w:tc>
        <w:tc>
          <w:tcPr>
            <w:tcW w:w="2680" w:type="dxa"/>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8.0</w:t>
            </w:r>
          </w:p>
        </w:tc>
        <w:tc>
          <w:tcPr>
            <w:tcW w:w="2680" w:type="dxa"/>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10.2</w:t>
            </w:r>
          </w:p>
        </w:tc>
      </w:tr>
      <w:tr w:rsidR="00DE0059" w:rsidRPr="00A45996" w:rsidTr="00DE0059">
        <w:trPr>
          <w:trHeight w:val="315"/>
        </w:trPr>
        <w:tc>
          <w:tcPr>
            <w:tcW w:w="4120" w:type="dxa"/>
            <w:tcMar>
              <w:top w:w="0" w:type="dxa"/>
              <w:left w:w="108" w:type="dxa"/>
              <w:bottom w:w="0" w:type="dxa"/>
              <w:right w:w="108" w:type="dxa"/>
            </w:tcMar>
            <w:vAlign w:val="bottom"/>
          </w:tcPr>
          <w:p w:rsidR="00DE0059" w:rsidRPr="00A45996" w:rsidRDefault="00DE0059" w:rsidP="00DE0059">
            <w:pPr>
              <w:ind w:firstLine="480"/>
              <w:rPr>
                <w:rFonts w:cs="Arial"/>
                <w:sz w:val="18"/>
                <w:szCs w:val="18"/>
              </w:rPr>
            </w:pPr>
            <w:r w:rsidRPr="00A45996">
              <w:rPr>
                <w:rFonts w:cs="Arial"/>
                <w:sz w:val="18"/>
                <w:szCs w:val="18"/>
              </w:rPr>
              <w:t>(95% CI)</w:t>
            </w:r>
          </w:p>
        </w:tc>
        <w:tc>
          <w:tcPr>
            <w:tcW w:w="2680" w:type="dxa"/>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(6.7,9.8)</w:t>
            </w:r>
          </w:p>
        </w:tc>
        <w:tc>
          <w:tcPr>
            <w:tcW w:w="2680" w:type="dxa"/>
            <w:tcMar>
              <w:top w:w="0" w:type="dxa"/>
              <w:left w:w="108" w:type="dxa"/>
              <w:bottom w:w="0" w:type="dxa"/>
              <w:right w:w="108" w:type="dxa"/>
            </w:tcMar>
            <w:vAlign w:val="bottom"/>
          </w:tcPr>
          <w:p w:rsidR="00DE0059" w:rsidRPr="00A45996" w:rsidRDefault="00DE0059" w:rsidP="00DE0059">
            <w:pPr>
              <w:jc w:val="center"/>
              <w:rPr>
                <w:rFonts w:cs="Arial"/>
                <w:sz w:val="18"/>
                <w:szCs w:val="18"/>
              </w:rPr>
            </w:pPr>
            <w:r w:rsidRPr="00A45996">
              <w:rPr>
                <w:rFonts w:cs="Arial"/>
                <w:sz w:val="18"/>
                <w:szCs w:val="18"/>
              </w:rPr>
              <w:t>(8.1,10.8)</w:t>
            </w:r>
          </w:p>
        </w:tc>
      </w:tr>
      <w:tr w:rsidR="00DE0059" w:rsidRPr="00A45996" w:rsidTr="00DE0059">
        <w:trPr>
          <w:trHeight w:val="315"/>
        </w:trPr>
        <w:tc>
          <w:tcPr>
            <w:tcW w:w="4120" w:type="dxa"/>
            <w:tcBorders>
              <w:bottom w:val="single" w:sz="4" w:space="0" w:color="auto"/>
            </w:tcBorders>
            <w:tcMar>
              <w:top w:w="0" w:type="dxa"/>
              <w:left w:w="108" w:type="dxa"/>
              <w:bottom w:w="0" w:type="dxa"/>
              <w:right w:w="108" w:type="dxa"/>
            </w:tcMar>
            <w:vAlign w:val="center"/>
          </w:tcPr>
          <w:p w:rsidR="00DE0059" w:rsidRPr="00A45996" w:rsidRDefault="00DE0059" w:rsidP="00DE0059">
            <w:pPr>
              <w:ind w:left="15" w:firstLine="477"/>
              <w:rPr>
                <w:rFonts w:cs="Arial"/>
                <w:b/>
                <w:bCs/>
                <w:sz w:val="18"/>
                <w:szCs w:val="18"/>
              </w:rPr>
            </w:pPr>
            <w:r w:rsidRPr="00A45996">
              <w:rPr>
                <w:rFonts w:cs="Arial"/>
                <w:sz w:val="18"/>
                <w:szCs w:val="18"/>
              </w:rPr>
              <w:t>Hazard ratio (95% CI) (c)</w:t>
            </w:r>
          </w:p>
          <w:p w:rsidR="00DE0059" w:rsidRPr="00A45996" w:rsidRDefault="00DE0059" w:rsidP="00DE0059">
            <w:pPr>
              <w:ind w:firstLine="483"/>
              <w:rPr>
                <w:rFonts w:cs="Arial"/>
                <w:b/>
                <w:bCs/>
                <w:sz w:val="18"/>
                <w:szCs w:val="18"/>
              </w:rPr>
            </w:pPr>
            <w:r w:rsidRPr="00A45996">
              <w:rPr>
                <w:rFonts w:cs="Arial"/>
                <w:sz w:val="18"/>
                <w:szCs w:val="18"/>
              </w:rPr>
              <w:t>p-value (d)</w:t>
            </w:r>
          </w:p>
        </w:tc>
        <w:tc>
          <w:tcPr>
            <w:tcW w:w="5360" w:type="dxa"/>
            <w:gridSpan w:val="2"/>
            <w:tcBorders>
              <w:bottom w:val="single" w:sz="4" w:space="0" w:color="auto"/>
            </w:tcBorders>
            <w:tcMar>
              <w:top w:w="0" w:type="dxa"/>
              <w:left w:w="108" w:type="dxa"/>
              <w:bottom w:w="0" w:type="dxa"/>
              <w:right w:w="108" w:type="dxa"/>
            </w:tcMar>
            <w:vAlign w:val="center"/>
          </w:tcPr>
          <w:p w:rsidR="00DE0059" w:rsidRPr="00A45996" w:rsidRDefault="00DE0059" w:rsidP="00DE0059">
            <w:pPr>
              <w:jc w:val="center"/>
              <w:rPr>
                <w:rFonts w:cs="Arial"/>
                <w:sz w:val="18"/>
                <w:szCs w:val="18"/>
              </w:rPr>
            </w:pPr>
            <w:r w:rsidRPr="00A45996">
              <w:rPr>
                <w:rFonts w:cs="Arial"/>
                <w:sz w:val="18"/>
                <w:szCs w:val="18"/>
              </w:rPr>
              <w:t>0.824 (0.574,1.183)</w:t>
            </w:r>
          </w:p>
          <w:p w:rsidR="00DE0059" w:rsidRPr="00A45996" w:rsidRDefault="00DE0059" w:rsidP="00DE0059">
            <w:pPr>
              <w:jc w:val="center"/>
              <w:rPr>
                <w:rFonts w:cs="Arial"/>
                <w:sz w:val="18"/>
                <w:szCs w:val="18"/>
              </w:rPr>
            </w:pPr>
            <w:r w:rsidRPr="00A45996">
              <w:rPr>
                <w:rFonts w:cs="Arial"/>
                <w:sz w:val="18"/>
                <w:szCs w:val="18"/>
              </w:rPr>
              <w:t>0.295</w:t>
            </w:r>
          </w:p>
        </w:tc>
      </w:tr>
      <w:tr w:rsidR="00DE0059" w:rsidRPr="00A45996" w:rsidTr="00DE0059">
        <w:tblPrEx>
          <w:tblCellMar>
            <w:left w:w="108" w:type="dxa"/>
            <w:right w:w="108" w:type="dxa"/>
          </w:tblCellMar>
        </w:tblPrEx>
        <w:trPr>
          <w:trHeight w:val="315"/>
        </w:trPr>
        <w:tc>
          <w:tcPr>
            <w:tcW w:w="4120" w:type="dxa"/>
          </w:tcPr>
          <w:p w:rsidR="00DE0059" w:rsidRPr="00A45996" w:rsidRDefault="00DE0059" w:rsidP="00DE0059">
            <w:pPr>
              <w:ind w:firstLine="201"/>
              <w:rPr>
                <w:rFonts w:cs="Arial"/>
                <w:b/>
                <w:bCs/>
                <w:sz w:val="18"/>
                <w:szCs w:val="18"/>
              </w:rPr>
            </w:pPr>
            <w:r w:rsidRPr="00A45996">
              <w:rPr>
                <w:rFonts w:cs="Arial"/>
                <w:b/>
                <w:bCs/>
                <w:sz w:val="18"/>
                <w:szCs w:val="18"/>
              </w:rPr>
              <w:t>1-year Overall Survival (%)</w:t>
            </w:r>
            <w:r w:rsidRPr="00A45996">
              <w:rPr>
                <w:rFonts w:cs="Arial"/>
                <w:bCs/>
                <w:sz w:val="18"/>
                <w:szCs w:val="18"/>
              </w:rPr>
              <w:t>(e)</w:t>
            </w:r>
          </w:p>
        </w:tc>
        <w:tc>
          <w:tcPr>
            <w:tcW w:w="2680" w:type="dxa"/>
          </w:tcPr>
          <w:p w:rsidR="00DE0059" w:rsidRPr="00A45996" w:rsidRDefault="00DE0059" w:rsidP="00DE0059">
            <w:pPr>
              <w:jc w:val="center"/>
              <w:rPr>
                <w:rFonts w:cs="Arial"/>
                <w:sz w:val="18"/>
                <w:szCs w:val="18"/>
              </w:rPr>
            </w:pPr>
            <w:r w:rsidRPr="00A45996">
              <w:rPr>
                <w:rFonts w:cs="Arial"/>
                <w:sz w:val="18"/>
                <w:szCs w:val="18"/>
              </w:rPr>
              <w:t>76.7</w:t>
            </w:r>
          </w:p>
        </w:tc>
        <w:tc>
          <w:tcPr>
            <w:tcW w:w="2680" w:type="dxa"/>
          </w:tcPr>
          <w:p w:rsidR="00DE0059" w:rsidRPr="00A45996" w:rsidRDefault="00DE0059" w:rsidP="00DE0059">
            <w:pPr>
              <w:jc w:val="center"/>
              <w:rPr>
                <w:rFonts w:cs="Arial"/>
                <w:sz w:val="18"/>
                <w:szCs w:val="18"/>
              </w:rPr>
            </w:pPr>
            <w:r w:rsidRPr="00A45996">
              <w:rPr>
                <w:rFonts w:cs="Arial"/>
                <w:sz w:val="18"/>
                <w:szCs w:val="18"/>
              </w:rPr>
              <w:t>72.6</w:t>
            </w:r>
          </w:p>
        </w:tc>
      </w:tr>
      <w:tr w:rsidR="00DE0059" w:rsidRPr="00A45996" w:rsidTr="00DE0059">
        <w:tblPrEx>
          <w:tblCellMar>
            <w:left w:w="108" w:type="dxa"/>
            <w:right w:w="108" w:type="dxa"/>
          </w:tblCellMar>
        </w:tblPrEx>
        <w:trPr>
          <w:trHeight w:val="315"/>
        </w:trPr>
        <w:tc>
          <w:tcPr>
            <w:tcW w:w="4120" w:type="dxa"/>
            <w:tcBorders>
              <w:bottom w:val="single" w:sz="4" w:space="0" w:color="auto"/>
            </w:tcBorders>
          </w:tcPr>
          <w:p w:rsidR="00DE0059" w:rsidRPr="00A45996" w:rsidRDefault="00DE0059" w:rsidP="00DE0059">
            <w:pPr>
              <w:ind w:firstLine="480"/>
              <w:rPr>
                <w:rFonts w:cs="Arial"/>
                <w:sz w:val="18"/>
                <w:szCs w:val="18"/>
              </w:rPr>
            </w:pPr>
            <w:r w:rsidRPr="00A45996">
              <w:rPr>
                <w:rFonts w:cs="Arial"/>
                <w:sz w:val="18"/>
                <w:szCs w:val="18"/>
              </w:rPr>
              <w:t>(95% CI)</w:t>
            </w:r>
          </w:p>
        </w:tc>
        <w:tc>
          <w:tcPr>
            <w:tcW w:w="2680" w:type="dxa"/>
            <w:tcBorders>
              <w:bottom w:val="single" w:sz="4" w:space="0" w:color="auto"/>
            </w:tcBorders>
          </w:tcPr>
          <w:p w:rsidR="00DE0059" w:rsidRPr="00A45996" w:rsidRDefault="00DE0059" w:rsidP="00DE0059">
            <w:pPr>
              <w:jc w:val="center"/>
              <w:rPr>
                <w:rFonts w:cs="Arial"/>
                <w:sz w:val="18"/>
                <w:szCs w:val="18"/>
              </w:rPr>
            </w:pPr>
            <w:r w:rsidRPr="00A45996">
              <w:rPr>
                <w:rFonts w:cs="Arial"/>
                <w:sz w:val="18"/>
                <w:szCs w:val="18"/>
              </w:rPr>
              <w:t>(64.1,85.4)</w:t>
            </w:r>
          </w:p>
        </w:tc>
        <w:tc>
          <w:tcPr>
            <w:tcW w:w="2680" w:type="dxa"/>
            <w:tcBorders>
              <w:bottom w:val="single" w:sz="4" w:space="0" w:color="auto"/>
            </w:tcBorders>
          </w:tcPr>
          <w:p w:rsidR="00DE0059" w:rsidRPr="00A45996" w:rsidRDefault="00DE0059" w:rsidP="00DE0059">
            <w:pPr>
              <w:jc w:val="center"/>
              <w:rPr>
                <w:rFonts w:cs="Arial"/>
                <w:sz w:val="18"/>
                <w:szCs w:val="18"/>
              </w:rPr>
            </w:pPr>
            <w:r w:rsidRPr="00A45996">
              <w:rPr>
                <w:rFonts w:cs="Arial"/>
                <w:sz w:val="18"/>
                <w:szCs w:val="18"/>
              </w:rPr>
              <w:t>(63.1,80.0)</w:t>
            </w:r>
          </w:p>
        </w:tc>
      </w:tr>
    </w:tbl>
    <w:p w:rsidR="00DE0059" w:rsidRPr="00A45996" w:rsidRDefault="00DE0059" w:rsidP="00DE0059">
      <w:pPr>
        <w:ind w:left="423" w:hanging="423"/>
        <w:rPr>
          <w:sz w:val="16"/>
          <w:szCs w:val="16"/>
        </w:rPr>
      </w:pPr>
      <w:r w:rsidRPr="00A45996">
        <w:rPr>
          <w:sz w:val="16"/>
          <w:szCs w:val="16"/>
        </w:rPr>
        <w:t>(a)</w:t>
      </w:r>
      <w:r w:rsidRPr="00A45996">
        <w:rPr>
          <w:sz w:val="16"/>
          <w:szCs w:val="16"/>
        </w:rPr>
        <w:tab/>
        <w:t xml:space="preserve">P-value is for the non-inferiority hypothesis that the SC arm retains at least 60% of the response rate in the IV arm. </w:t>
      </w:r>
    </w:p>
    <w:p w:rsidR="00DE0059" w:rsidRPr="00A45996" w:rsidRDefault="00DE0059" w:rsidP="00DE0059">
      <w:pPr>
        <w:ind w:left="423" w:hanging="423"/>
        <w:rPr>
          <w:sz w:val="16"/>
          <w:szCs w:val="16"/>
        </w:rPr>
      </w:pPr>
      <w:r w:rsidRPr="00A45996">
        <w:rPr>
          <w:sz w:val="16"/>
          <w:szCs w:val="16"/>
        </w:rPr>
        <w:t>(b)</w:t>
      </w:r>
      <w:r w:rsidRPr="00A45996">
        <w:rPr>
          <w:sz w:val="16"/>
          <w:szCs w:val="16"/>
        </w:rPr>
        <w:tab/>
        <w:t>222 subjects were enrolled into the study; 221 subjects were treated with VELCADE</w:t>
      </w:r>
    </w:p>
    <w:p w:rsidR="00DE0059" w:rsidRPr="00A45996" w:rsidRDefault="00DE0059" w:rsidP="00DE0059">
      <w:pPr>
        <w:ind w:left="423" w:hanging="423"/>
        <w:rPr>
          <w:sz w:val="16"/>
          <w:szCs w:val="16"/>
        </w:rPr>
      </w:pPr>
      <w:r w:rsidRPr="00A45996">
        <w:rPr>
          <w:sz w:val="16"/>
          <w:szCs w:val="16"/>
        </w:rPr>
        <w:t xml:space="preserve">(c) </w:t>
      </w:r>
      <w:r w:rsidRPr="00A45996">
        <w:rPr>
          <w:sz w:val="16"/>
          <w:szCs w:val="16"/>
        </w:rPr>
        <w:tab/>
        <w:t>Hazards ratio estimate is based on a Cox model adjusted for stratification factors: ISS staging and number of prior lines.</w:t>
      </w:r>
    </w:p>
    <w:p w:rsidR="00DE0059" w:rsidRPr="00A45996" w:rsidRDefault="00DE0059" w:rsidP="00DE0059">
      <w:pPr>
        <w:tabs>
          <w:tab w:val="left" w:pos="423"/>
        </w:tabs>
        <w:rPr>
          <w:sz w:val="16"/>
          <w:szCs w:val="16"/>
        </w:rPr>
      </w:pPr>
      <w:r w:rsidRPr="00A45996">
        <w:rPr>
          <w:sz w:val="16"/>
          <w:szCs w:val="16"/>
        </w:rPr>
        <w:t xml:space="preserve">(d) </w:t>
      </w:r>
      <w:r w:rsidRPr="00A45996">
        <w:rPr>
          <w:sz w:val="16"/>
          <w:szCs w:val="16"/>
        </w:rPr>
        <w:tab/>
        <w:t>Log rank test adjusted for stratification factors: ISS staging and number of prior lines.</w:t>
      </w:r>
    </w:p>
    <w:p w:rsidR="00DE0059" w:rsidRPr="00A45996" w:rsidRDefault="00DE0059" w:rsidP="00DE0059">
      <w:pPr>
        <w:tabs>
          <w:tab w:val="left" w:pos="423"/>
        </w:tabs>
        <w:ind w:left="423" w:hanging="423"/>
        <w:rPr>
          <w:sz w:val="16"/>
          <w:szCs w:val="16"/>
        </w:rPr>
      </w:pPr>
      <w:r w:rsidRPr="00A45996">
        <w:rPr>
          <w:sz w:val="16"/>
          <w:szCs w:val="16"/>
        </w:rPr>
        <w:t xml:space="preserve">(e) </w:t>
      </w:r>
      <w:r w:rsidRPr="00A45996">
        <w:rPr>
          <w:sz w:val="16"/>
          <w:szCs w:val="16"/>
        </w:rPr>
        <w:tab/>
        <w:t>Median duration of follow up is 11.8 months</w:t>
      </w:r>
    </w:p>
    <w:p w:rsidR="00DE0059" w:rsidRPr="00A45996" w:rsidRDefault="00DE0059" w:rsidP="00DE0059">
      <w:pPr>
        <w:pStyle w:val="ParagraphCharChar1"/>
        <w:widowControl w:val="0"/>
        <w:spacing w:before="60"/>
        <w:jc w:val="both"/>
        <w:rPr>
          <w:rStyle w:val="CommentReference"/>
          <w:rFonts w:ascii="Arial" w:hAnsi="Arial" w:cs="Arial"/>
          <w:sz w:val="22"/>
          <w:szCs w:val="22"/>
        </w:rPr>
      </w:pPr>
      <w:r w:rsidRPr="00A45996">
        <w:rPr>
          <w:rFonts w:ascii="Arial" w:hAnsi="Arial" w:cs="Arial"/>
          <w:szCs w:val="22"/>
        </w:rPr>
        <w:t xml:space="preserve">Table </w:t>
      </w:r>
      <w:r w:rsidR="0092571C" w:rsidRPr="00A45996">
        <w:rPr>
          <w:rFonts w:ascii="Arial" w:hAnsi="Arial" w:cs="Arial"/>
          <w:szCs w:val="22"/>
        </w:rPr>
        <w:t xml:space="preserve">10 </w:t>
      </w:r>
      <w:r w:rsidRPr="00A45996">
        <w:rPr>
          <w:rFonts w:ascii="Arial" w:hAnsi="Arial" w:cs="Arial"/>
          <w:szCs w:val="22"/>
        </w:rPr>
        <w:t>presents a cross-tabulation summary of best response by algorithm after 4 cycles versus after 8 cycles for patients who received dexamethasone. Eighty-two subjects in the SC treatment group and 39 subjects in the IV treatment group received dexamethasone after cycle 4</w:t>
      </w:r>
      <w:r w:rsidRPr="00A45996">
        <w:rPr>
          <w:rStyle w:val="CommentReference"/>
          <w:rFonts w:ascii="Arial" w:hAnsi="Arial" w:cs="Arial"/>
          <w:sz w:val="22"/>
          <w:szCs w:val="22"/>
        </w:rPr>
        <w:t>.</w:t>
      </w:r>
    </w:p>
    <w:p w:rsidR="00DE0059" w:rsidRPr="00A45996" w:rsidRDefault="00DE0059" w:rsidP="00DE0059">
      <w:pPr>
        <w:tabs>
          <w:tab w:val="left" w:pos="0"/>
        </w:tabs>
        <w:rPr>
          <w:rFonts w:cs="Arial"/>
          <w:sz w:val="22"/>
          <w:szCs w:val="22"/>
        </w:rPr>
      </w:pPr>
      <w:r w:rsidRPr="00A45996">
        <w:rPr>
          <w:rFonts w:cs="Arial"/>
          <w:sz w:val="22"/>
          <w:szCs w:val="22"/>
        </w:rPr>
        <w:t>Dexamethasone had a similar effect on improvement of response on both treatment arms:</w:t>
      </w:r>
    </w:p>
    <w:p w:rsidR="00DE0059" w:rsidRPr="00A45996" w:rsidRDefault="00DE0059" w:rsidP="00DE0059">
      <w:pPr>
        <w:tabs>
          <w:tab w:val="left" w:pos="0"/>
        </w:tabs>
        <w:rPr>
          <w:rFonts w:cs="Arial"/>
          <w:sz w:val="22"/>
          <w:szCs w:val="22"/>
        </w:rPr>
      </w:pPr>
      <w:r w:rsidRPr="00A45996">
        <w:rPr>
          <w:rFonts w:cs="Arial"/>
          <w:sz w:val="22"/>
          <w:szCs w:val="22"/>
        </w:rPr>
        <w:t>•</w:t>
      </w:r>
      <w:r w:rsidRPr="00A45996">
        <w:rPr>
          <w:rFonts w:cs="Arial"/>
          <w:sz w:val="22"/>
          <w:szCs w:val="22"/>
        </w:rPr>
        <w:tab/>
        <w:t>30% (SC) and 30% (IV) of patients with no response at end of Cycle 4 obtained a response later in subsequent cycles (cycle 5 t</w:t>
      </w:r>
      <w:r w:rsidR="00BD6992" w:rsidRPr="00A45996">
        <w:rPr>
          <w:rFonts w:cs="Arial"/>
          <w:sz w:val="22"/>
          <w:szCs w:val="22"/>
        </w:rPr>
        <w:t>h</w:t>
      </w:r>
      <w:r w:rsidRPr="00A45996">
        <w:rPr>
          <w:rFonts w:cs="Arial"/>
          <w:sz w:val="22"/>
          <w:szCs w:val="22"/>
        </w:rPr>
        <w:t>rough 8).</w:t>
      </w:r>
    </w:p>
    <w:p w:rsidR="00201211" w:rsidRPr="00A45996" w:rsidRDefault="00DE0059">
      <w:pPr>
        <w:pStyle w:val="ParagraphCharChar1"/>
        <w:widowControl w:val="0"/>
        <w:spacing w:before="60"/>
        <w:jc w:val="both"/>
        <w:rPr>
          <w:rStyle w:val="CommentReference"/>
          <w:rFonts w:ascii="Arial" w:hAnsi="Arial"/>
          <w:sz w:val="24"/>
          <w:szCs w:val="20"/>
          <w:lang w:val="en-AU"/>
        </w:rPr>
      </w:pPr>
      <w:r w:rsidRPr="00A45996">
        <w:rPr>
          <w:rFonts w:ascii="Arial" w:hAnsi="Arial" w:cs="Arial"/>
          <w:szCs w:val="22"/>
        </w:rPr>
        <w:t>•</w:t>
      </w:r>
      <w:r w:rsidRPr="00A45996">
        <w:rPr>
          <w:rFonts w:ascii="Arial" w:hAnsi="Arial" w:cs="Arial"/>
          <w:szCs w:val="22"/>
        </w:rPr>
        <w:tab/>
        <w:t>13% (SC) and 13% (IV) of patients with PR at end of Cycle 4 obtained a CR later in subsequent cycles (cycle 5 t</w:t>
      </w:r>
      <w:r w:rsidR="00BD6992" w:rsidRPr="00A45996">
        <w:rPr>
          <w:rFonts w:ascii="Arial" w:hAnsi="Arial" w:cs="Arial"/>
          <w:szCs w:val="22"/>
        </w:rPr>
        <w:t>h</w:t>
      </w:r>
      <w:r w:rsidRPr="00A45996">
        <w:rPr>
          <w:rFonts w:ascii="Arial" w:hAnsi="Arial" w:cs="Arial"/>
          <w:szCs w:val="22"/>
        </w:rPr>
        <w:t>rough 8).</w:t>
      </w:r>
    </w:p>
    <w:tbl>
      <w:tblPr>
        <w:tblW w:w="0" w:type="auto"/>
        <w:tblInd w:w="442" w:type="dxa"/>
        <w:tblLayout w:type="fixed"/>
        <w:tblCellMar>
          <w:left w:w="0" w:type="dxa"/>
          <w:right w:w="0" w:type="dxa"/>
        </w:tblCellMar>
        <w:tblLook w:val="0000" w:firstRow="0" w:lastRow="0" w:firstColumn="0" w:lastColumn="0" w:noHBand="0" w:noVBand="0"/>
      </w:tblPr>
      <w:tblGrid>
        <w:gridCol w:w="3183"/>
        <w:gridCol w:w="902"/>
        <w:gridCol w:w="1230"/>
        <w:gridCol w:w="1230"/>
        <w:gridCol w:w="1230"/>
      </w:tblGrid>
      <w:tr w:rsidR="00DE0059" w:rsidRPr="00A45996" w:rsidTr="00DE0059">
        <w:tc>
          <w:tcPr>
            <w:tcW w:w="7775" w:type="dxa"/>
            <w:gridSpan w:val="5"/>
            <w:tcBorders>
              <w:top w:val="nil"/>
              <w:left w:val="nil"/>
              <w:bottom w:val="nil"/>
              <w:right w:val="nil"/>
            </w:tcBorders>
          </w:tcPr>
          <w:p w:rsidR="00DE0059" w:rsidRPr="00A45996" w:rsidRDefault="00DE0059" w:rsidP="00DA1B27">
            <w:pPr>
              <w:pStyle w:val="MarkTable"/>
              <w:keepLines/>
              <w:jc w:val="both"/>
              <w:rPr>
                <w:rFonts w:ascii="Arial" w:hAnsi="Arial" w:cs="Arial"/>
                <w:b/>
              </w:rPr>
            </w:pPr>
            <w:bookmarkStart w:id="1" w:name="_Toc281988220"/>
            <w:r w:rsidRPr="00A45996">
              <w:rPr>
                <w:rFonts w:ascii="Arial" w:hAnsi="Arial" w:cs="Arial"/>
                <w:b/>
                <w:bCs/>
              </w:rPr>
              <w:t xml:space="preserve">Table </w:t>
            </w:r>
            <w:r w:rsidR="0092571C" w:rsidRPr="00A45996">
              <w:rPr>
                <w:rFonts w:ascii="Arial" w:hAnsi="Arial" w:cs="Arial"/>
                <w:b/>
                <w:bCs/>
              </w:rPr>
              <w:t>10</w:t>
            </w:r>
            <w:r w:rsidRPr="00A45996">
              <w:rPr>
                <w:rFonts w:ascii="Arial" w:hAnsi="Arial" w:cs="Arial"/>
                <w:b/>
                <w:bCs/>
              </w:rPr>
              <w:t xml:space="preserve">: </w:t>
            </w:r>
            <w:r w:rsidRPr="00A45996">
              <w:rPr>
                <w:rFonts w:ascii="Arial" w:hAnsi="Arial" w:cs="Arial"/>
                <w:b/>
              </w:rPr>
              <w:t xml:space="preserve">Cross-tabulation of Summary of Best Response After 4 Cycles vs. After 8 Cycles </w:t>
            </w:r>
            <w:bookmarkEnd w:id="1"/>
            <w:r w:rsidRPr="00A45996">
              <w:rPr>
                <w:rFonts w:ascii="Arial" w:hAnsi="Arial" w:cs="Arial"/>
                <w:b/>
              </w:rPr>
              <w:t xml:space="preserve">for patients who received dexamethasone </w:t>
            </w:r>
          </w:p>
        </w:tc>
      </w:tr>
      <w:tr w:rsidR="00DE0059" w:rsidRPr="00A45996" w:rsidTr="00DE0059">
        <w:tc>
          <w:tcPr>
            <w:tcW w:w="7775" w:type="dxa"/>
            <w:gridSpan w:val="5"/>
            <w:tcBorders>
              <w:top w:val="nil"/>
              <w:left w:val="nil"/>
              <w:bottom w:val="single" w:sz="4" w:space="0" w:color="auto"/>
              <w:right w:val="nil"/>
            </w:tcBorders>
          </w:tcPr>
          <w:p w:rsidR="00DE0059" w:rsidRPr="00A45996" w:rsidRDefault="00DE0059" w:rsidP="00DE0059">
            <w:pPr>
              <w:keepNext/>
              <w:autoSpaceDE w:val="0"/>
              <w:autoSpaceDN w:val="0"/>
              <w:jc w:val="left"/>
            </w:pPr>
          </w:p>
        </w:tc>
      </w:tr>
      <w:tr w:rsidR="00DE0059" w:rsidRPr="00A45996" w:rsidTr="00DE0059">
        <w:tc>
          <w:tcPr>
            <w:tcW w:w="3183" w:type="dxa"/>
            <w:tcBorders>
              <w:top w:val="single" w:sz="4" w:space="0" w:color="auto"/>
              <w:left w:val="nil"/>
              <w:bottom w:val="nil"/>
              <w:right w:val="nil"/>
            </w:tcBorders>
          </w:tcPr>
          <w:p w:rsidR="00DE0059" w:rsidRPr="00A45996" w:rsidRDefault="00DE0059" w:rsidP="00DE0059">
            <w:pPr>
              <w:keepNext/>
              <w:autoSpaceDE w:val="0"/>
              <w:autoSpaceDN w:val="0"/>
              <w:spacing w:before="20" w:after="10"/>
              <w:rPr>
                <w:rFonts w:cs="Arial"/>
                <w:sz w:val="18"/>
                <w:szCs w:val="18"/>
              </w:rPr>
            </w:pPr>
          </w:p>
        </w:tc>
        <w:tc>
          <w:tcPr>
            <w:tcW w:w="4592" w:type="dxa"/>
            <w:gridSpan w:val="4"/>
            <w:tcBorders>
              <w:top w:val="single" w:sz="4" w:space="0" w:color="auto"/>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 Best Response After 8 Cycles ------------</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p>
        </w:tc>
        <w:tc>
          <w:tcPr>
            <w:tcW w:w="4592" w:type="dxa"/>
            <w:gridSpan w:val="4"/>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(N=121)</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b/>
                <w:bCs/>
                <w:sz w:val="18"/>
                <w:szCs w:val="18"/>
              </w:rPr>
              <w:t>Treatment Group</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Total</w:t>
            </w:r>
          </w:p>
        </w:tc>
        <w:tc>
          <w:tcPr>
            <w:tcW w:w="3690" w:type="dxa"/>
            <w:gridSpan w:val="3"/>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 Category, n (%) -------------</w:t>
            </w:r>
          </w:p>
        </w:tc>
      </w:tr>
      <w:tr w:rsidR="00DE0059" w:rsidRPr="00A45996" w:rsidTr="00DE0059">
        <w:tc>
          <w:tcPr>
            <w:tcW w:w="3183" w:type="dxa"/>
            <w:tcBorders>
              <w:top w:val="nil"/>
              <w:left w:val="nil"/>
              <w:bottom w:val="single" w:sz="6" w:space="0" w:color="auto"/>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sz w:val="18"/>
                <w:szCs w:val="18"/>
              </w:rPr>
              <w:t xml:space="preserve"> Cycle 4 Best Response *</w:t>
            </w:r>
          </w:p>
        </w:tc>
        <w:tc>
          <w:tcPr>
            <w:tcW w:w="902" w:type="dxa"/>
            <w:tcBorders>
              <w:top w:val="nil"/>
              <w:left w:val="nil"/>
              <w:bottom w:val="single" w:sz="6" w:space="0" w:color="auto"/>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proofErr w:type="gramStart"/>
            <w:r w:rsidRPr="00A45996">
              <w:rPr>
                <w:rFonts w:cs="Arial"/>
                <w:sz w:val="18"/>
                <w:szCs w:val="18"/>
              </w:rPr>
              <w:t>n</w:t>
            </w:r>
            <w:proofErr w:type="gramEnd"/>
            <w:r w:rsidRPr="00A45996">
              <w:rPr>
                <w:rFonts w:cs="Arial"/>
                <w:sz w:val="18"/>
                <w:szCs w:val="18"/>
              </w:rPr>
              <w:t xml:space="preserve"> (%)</w:t>
            </w:r>
          </w:p>
        </w:tc>
        <w:tc>
          <w:tcPr>
            <w:tcW w:w="1230" w:type="dxa"/>
            <w:tcBorders>
              <w:top w:val="nil"/>
              <w:left w:val="nil"/>
              <w:bottom w:val="single" w:sz="6" w:space="0" w:color="auto"/>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CR</w:t>
            </w:r>
          </w:p>
        </w:tc>
        <w:tc>
          <w:tcPr>
            <w:tcW w:w="1230" w:type="dxa"/>
            <w:tcBorders>
              <w:top w:val="nil"/>
              <w:left w:val="nil"/>
              <w:bottom w:val="single" w:sz="6" w:space="0" w:color="auto"/>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PR</w:t>
            </w:r>
          </w:p>
        </w:tc>
        <w:tc>
          <w:tcPr>
            <w:tcW w:w="1230" w:type="dxa"/>
            <w:tcBorders>
              <w:top w:val="nil"/>
              <w:left w:val="nil"/>
              <w:bottom w:val="single" w:sz="6" w:space="0" w:color="auto"/>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Non-responder</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b/>
                <w:bCs/>
                <w:sz w:val="18"/>
                <w:szCs w:val="18"/>
              </w:rPr>
              <w:t>IV</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39 (32)</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3 (8)</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20 (51)</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16 (41)</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sz w:val="18"/>
                <w:szCs w:val="18"/>
              </w:rPr>
              <w:t xml:space="preserve"> CR</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1 (1)</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1 (100)</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sz w:val="18"/>
                <w:szCs w:val="18"/>
              </w:rPr>
              <w:t xml:space="preserve"> PR</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15 (12)</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2 (13)</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13 (87)</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sz w:val="18"/>
                <w:szCs w:val="18"/>
              </w:rPr>
              <w:t xml:space="preserve"> Non-responder</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23 (19)</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7 (30)</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16 (70)</w:t>
            </w: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p>
        </w:tc>
      </w:tr>
      <w:tr w:rsidR="00DE0059" w:rsidRPr="00A45996" w:rsidTr="00DE0059">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b/>
                <w:bCs/>
                <w:sz w:val="18"/>
                <w:szCs w:val="18"/>
              </w:rPr>
              <w:t>SC</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82 (68)</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8 (10)</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41 (50)</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33 (40)</w:t>
            </w:r>
          </w:p>
        </w:tc>
      </w:tr>
      <w:tr w:rsidR="00DE0059" w:rsidRPr="00A45996" w:rsidTr="00701576">
        <w:tc>
          <w:tcPr>
            <w:tcW w:w="3183" w:type="dxa"/>
            <w:tcBorders>
              <w:top w:val="nil"/>
              <w:left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sz w:val="18"/>
                <w:szCs w:val="18"/>
              </w:rPr>
              <w:t xml:space="preserve"> CR</w:t>
            </w:r>
          </w:p>
        </w:tc>
        <w:tc>
          <w:tcPr>
            <w:tcW w:w="902" w:type="dxa"/>
            <w:tcBorders>
              <w:top w:val="nil"/>
              <w:left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4 (3)</w:t>
            </w:r>
          </w:p>
        </w:tc>
        <w:tc>
          <w:tcPr>
            <w:tcW w:w="1230" w:type="dxa"/>
            <w:tcBorders>
              <w:top w:val="nil"/>
              <w:left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4 (100)</w:t>
            </w:r>
          </w:p>
        </w:tc>
        <w:tc>
          <w:tcPr>
            <w:tcW w:w="1230" w:type="dxa"/>
            <w:tcBorders>
              <w:top w:val="nil"/>
              <w:left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c>
          <w:tcPr>
            <w:tcW w:w="1230" w:type="dxa"/>
            <w:tcBorders>
              <w:top w:val="nil"/>
              <w:left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r>
      <w:tr w:rsidR="00DE0059" w:rsidRPr="00A45996" w:rsidTr="00701576">
        <w:tc>
          <w:tcPr>
            <w:tcW w:w="3183" w:type="dxa"/>
            <w:tcBorders>
              <w:top w:val="nil"/>
              <w:left w:val="nil"/>
              <w:bottom w:val="nil"/>
              <w:right w:val="nil"/>
            </w:tcBorders>
          </w:tcPr>
          <w:p w:rsidR="00DE0059" w:rsidRPr="00A45996" w:rsidRDefault="00DE0059" w:rsidP="00DE0059">
            <w:pPr>
              <w:keepNext/>
              <w:autoSpaceDE w:val="0"/>
              <w:autoSpaceDN w:val="0"/>
              <w:spacing w:before="20" w:after="10"/>
              <w:rPr>
                <w:rFonts w:cs="Arial"/>
                <w:sz w:val="18"/>
                <w:szCs w:val="18"/>
              </w:rPr>
            </w:pPr>
            <w:r w:rsidRPr="00A45996">
              <w:rPr>
                <w:rFonts w:cs="Arial"/>
                <w:sz w:val="18"/>
                <w:szCs w:val="18"/>
              </w:rPr>
              <w:t xml:space="preserve"> PR</w:t>
            </w:r>
          </w:p>
        </w:tc>
        <w:tc>
          <w:tcPr>
            <w:tcW w:w="902"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31 (26)</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4 (13)</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27 (87)</w:t>
            </w:r>
          </w:p>
        </w:tc>
        <w:tc>
          <w:tcPr>
            <w:tcW w:w="1230" w:type="dxa"/>
            <w:tcBorders>
              <w:top w:val="nil"/>
              <w:left w:val="nil"/>
              <w:bottom w:val="nil"/>
              <w:right w:val="nil"/>
            </w:tcBorders>
          </w:tcPr>
          <w:p w:rsidR="00DE0059" w:rsidRPr="00A45996" w:rsidRDefault="00DE0059"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r>
      <w:tr w:rsidR="00701576" w:rsidRPr="00A45996" w:rsidTr="00DE0059">
        <w:tc>
          <w:tcPr>
            <w:tcW w:w="3183" w:type="dxa"/>
            <w:tcBorders>
              <w:top w:val="nil"/>
              <w:left w:val="nil"/>
              <w:bottom w:val="nil"/>
              <w:right w:val="nil"/>
            </w:tcBorders>
          </w:tcPr>
          <w:p w:rsidR="00701576" w:rsidRPr="00A45996" w:rsidRDefault="00F61357" w:rsidP="00701576">
            <w:pPr>
              <w:keepNext/>
              <w:autoSpaceDE w:val="0"/>
              <w:autoSpaceDN w:val="0"/>
              <w:spacing w:before="20" w:after="10"/>
              <w:rPr>
                <w:rFonts w:cs="Arial"/>
                <w:sz w:val="18"/>
                <w:szCs w:val="18"/>
              </w:rPr>
            </w:pPr>
            <w:r>
              <w:rPr>
                <w:rFonts w:cs="Arial"/>
                <w:noProof/>
                <w:sz w:val="18"/>
                <w:szCs w:val="18"/>
                <w:lang w:val="en-US"/>
              </w:rPr>
              <w:pict>
                <v:shapetype id="_x0000_t32" coordsize="21600,21600" o:spt="32" o:oned="t" path="m,l21600,21600e" filled="f">
                  <v:path arrowok="t" fillok="f" o:connecttype="none"/>
                  <o:lock v:ext="edit" shapetype="t"/>
                </v:shapetype>
                <v:shape id="_x0000_s2058" type="#_x0000_t32" style="position:absolute;left:0;text-align:left;margin-left:-.5pt;margin-top:16.6pt;width:389.25pt;height:.75pt;flip:y;z-index:251666432;mso-position-horizontal-relative:text;mso-position-vertical-relative:text" o:connectortype="straight"/>
              </w:pict>
            </w:r>
            <w:r w:rsidR="00701576" w:rsidRPr="00A45996">
              <w:rPr>
                <w:rFonts w:cs="Arial"/>
                <w:sz w:val="18"/>
                <w:szCs w:val="18"/>
              </w:rPr>
              <w:t>Non-responder</w:t>
            </w:r>
          </w:p>
        </w:tc>
        <w:tc>
          <w:tcPr>
            <w:tcW w:w="902" w:type="dxa"/>
            <w:tcBorders>
              <w:top w:val="nil"/>
              <w:left w:val="nil"/>
              <w:bottom w:val="nil"/>
              <w:right w:val="nil"/>
            </w:tcBorders>
          </w:tcPr>
          <w:p w:rsidR="00701576" w:rsidRPr="00A45996" w:rsidRDefault="00701576"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47 (39)</w:t>
            </w:r>
          </w:p>
        </w:tc>
        <w:tc>
          <w:tcPr>
            <w:tcW w:w="1230" w:type="dxa"/>
            <w:tcBorders>
              <w:top w:val="nil"/>
              <w:left w:val="nil"/>
              <w:bottom w:val="nil"/>
              <w:right w:val="nil"/>
            </w:tcBorders>
          </w:tcPr>
          <w:p w:rsidR="00701576" w:rsidRPr="00A45996" w:rsidRDefault="00701576"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0</w:t>
            </w:r>
          </w:p>
        </w:tc>
        <w:tc>
          <w:tcPr>
            <w:tcW w:w="1230" w:type="dxa"/>
            <w:tcBorders>
              <w:top w:val="nil"/>
              <w:left w:val="nil"/>
              <w:bottom w:val="nil"/>
              <w:right w:val="nil"/>
            </w:tcBorders>
          </w:tcPr>
          <w:p w:rsidR="00701576" w:rsidRPr="00A45996" w:rsidRDefault="00701576"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(30)</w:t>
            </w:r>
          </w:p>
        </w:tc>
        <w:tc>
          <w:tcPr>
            <w:tcW w:w="1230" w:type="dxa"/>
            <w:tcBorders>
              <w:top w:val="nil"/>
              <w:left w:val="nil"/>
              <w:bottom w:val="nil"/>
              <w:right w:val="nil"/>
            </w:tcBorders>
          </w:tcPr>
          <w:p w:rsidR="00701576" w:rsidRPr="00A45996" w:rsidRDefault="00701576" w:rsidP="00DE0059">
            <w:pPr>
              <w:keepNext/>
              <w:widowControl w:val="0"/>
              <w:autoSpaceDE w:val="0"/>
              <w:autoSpaceDN w:val="0"/>
              <w:adjustRightInd w:val="0"/>
              <w:spacing w:before="20" w:after="10"/>
              <w:jc w:val="center"/>
              <w:rPr>
                <w:rFonts w:cs="Arial"/>
                <w:sz w:val="18"/>
                <w:szCs w:val="18"/>
              </w:rPr>
            </w:pPr>
            <w:r w:rsidRPr="00A45996">
              <w:rPr>
                <w:rFonts w:cs="Arial"/>
                <w:sz w:val="18"/>
                <w:szCs w:val="18"/>
              </w:rPr>
              <w:t>33 (70)</w:t>
            </w:r>
          </w:p>
          <w:p w:rsidR="00701576" w:rsidRPr="00A45996" w:rsidRDefault="00701576" w:rsidP="00DE0059">
            <w:pPr>
              <w:keepNext/>
              <w:widowControl w:val="0"/>
              <w:autoSpaceDE w:val="0"/>
              <w:autoSpaceDN w:val="0"/>
              <w:adjustRightInd w:val="0"/>
              <w:spacing w:before="20" w:after="10"/>
              <w:jc w:val="center"/>
              <w:rPr>
                <w:rFonts w:cs="Arial"/>
                <w:sz w:val="18"/>
                <w:szCs w:val="18"/>
              </w:rPr>
            </w:pPr>
          </w:p>
        </w:tc>
      </w:tr>
    </w:tbl>
    <w:p w:rsidR="00DE0059" w:rsidRPr="00A45996" w:rsidRDefault="00DE0059" w:rsidP="00DE0059">
      <w:pPr>
        <w:rPr>
          <w:sz w:val="16"/>
          <w:szCs w:val="16"/>
        </w:rPr>
      </w:pPr>
      <w:r w:rsidRPr="00A45996">
        <w:rPr>
          <w:sz w:val="16"/>
          <w:szCs w:val="16"/>
        </w:rPr>
        <w:t>*Response assessment by validated computer algorithm. This algorithm incorporates a consistent assessment of all data required for response by the modified EBMT criteria.</w:t>
      </w:r>
    </w:p>
    <w:p w:rsidR="00DE0059" w:rsidRPr="00A45996" w:rsidRDefault="00DE0059" w:rsidP="00DE0059">
      <w:pPr>
        <w:rPr>
          <w:sz w:val="22"/>
          <w:szCs w:val="22"/>
        </w:rPr>
      </w:pPr>
    </w:p>
    <w:p w:rsidR="00DE0059" w:rsidRPr="00A45996" w:rsidRDefault="00DE0059" w:rsidP="00DE0059">
      <w:pPr>
        <w:rPr>
          <w:sz w:val="22"/>
          <w:szCs w:val="22"/>
        </w:rPr>
      </w:pPr>
      <w:r w:rsidRPr="00A45996">
        <w:rPr>
          <w:sz w:val="22"/>
          <w:szCs w:val="22"/>
        </w:rPr>
        <w:lastRenderedPageBreak/>
        <w:t>Relative to previously reported outcomes, the ORR after 8 cycles of treatment (52% in both treatment groups) and time to progression (median 10.4 months and 9.4 months in SC and IV treatment groups, respectively), including the effect of the addition of dexamethasone from cycle 5 onwards, were higher than observed in prior registration study with single agent IV VELCADE, APEX, (38% ORR and median TTP of 6.2 months for the VELCADE arm). Time to Progression and ORR was also higher compared to the subgroup of patients on APEX that received only 1 prior line of therapy (43% ORR and median TTP of 7.0 months) (Table 5).</w:t>
      </w:r>
    </w:p>
    <w:p w:rsidR="00DE0059" w:rsidRPr="00A45996" w:rsidRDefault="00DE0059" w:rsidP="00DE0059">
      <w:pPr>
        <w:rPr>
          <w:color w:val="1F497D"/>
          <w:sz w:val="22"/>
          <w:szCs w:val="22"/>
        </w:rPr>
      </w:pPr>
    </w:p>
    <w:p w:rsidR="00326C73" w:rsidRPr="00A45996" w:rsidRDefault="00326C73" w:rsidP="00326C73">
      <w:pPr>
        <w:pStyle w:val="PIEXPLAIN"/>
        <w:keepLines/>
        <w:rPr>
          <w:rFonts w:cs="Arial"/>
          <w:b/>
          <w:bCs/>
        </w:rPr>
      </w:pPr>
      <w:r w:rsidRPr="00A45996">
        <w:rPr>
          <w:rFonts w:cs="Arial"/>
          <w:b/>
          <w:bCs/>
        </w:rPr>
        <w:t>Phase II studies</w:t>
      </w:r>
    </w:p>
    <w:p w:rsidR="00326C73" w:rsidRPr="00A45996" w:rsidRDefault="00326C73" w:rsidP="00326C73">
      <w:pPr>
        <w:pStyle w:val="TableFootnoteCharChar1"/>
        <w:keepNext w:val="0"/>
        <w:spacing w:after="80" w:line="240" w:lineRule="auto"/>
        <w:ind w:left="0" w:firstLine="0"/>
        <w:jc w:val="both"/>
        <w:rPr>
          <w:rFonts w:ascii="Arial" w:hAnsi="Arial" w:cs="Arial"/>
          <w:sz w:val="22"/>
        </w:rPr>
      </w:pPr>
      <w:r w:rsidRPr="00A45996">
        <w:rPr>
          <w:rFonts w:ascii="Arial" w:hAnsi="Arial" w:cs="Arial"/>
          <w:sz w:val="22"/>
        </w:rPr>
        <w:t>The safety and efficacy of VELCADE were evaluated in an open-label, single-arm, multi-</w:t>
      </w:r>
      <w:proofErr w:type="spellStart"/>
      <w:r w:rsidRPr="00A45996">
        <w:rPr>
          <w:rFonts w:ascii="Arial" w:hAnsi="Arial" w:cs="Arial"/>
          <w:sz w:val="22"/>
        </w:rPr>
        <w:t>centre</w:t>
      </w:r>
      <w:proofErr w:type="spellEnd"/>
      <w:r w:rsidRPr="00A45996">
        <w:rPr>
          <w:rFonts w:ascii="Arial" w:hAnsi="Arial" w:cs="Arial"/>
          <w:sz w:val="22"/>
        </w:rPr>
        <w:t xml:space="preserve"> study of 202 patients who had received at least 2 prior therapies and demonstrated disease progression on their most recent therapy.  The median number of prior therapies was six.  Dosing regimens and baseline patient and disease characteristics are </w:t>
      </w:r>
      <w:proofErr w:type="spellStart"/>
      <w:r w:rsidRPr="00A45996">
        <w:rPr>
          <w:rFonts w:ascii="Arial" w:hAnsi="Arial" w:cs="Arial"/>
          <w:sz w:val="22"/>
        </w:rPr>
        <w:t>summarised</w:t>
      </w:r>
      <w:proofErr w:type="spellEnd"/>
      <w:r w:rsidRPr="00A45996">
        <w:rPr>
          <w:rFonts w:ascii="Arial" w:hAnsi="Arial" w:cs="Arial"/>
          <w:sz w:val="22"/>
        </w:rPr>
        <w:t xml:space="preserve"> in Table 6 and Table 7. The study employed dose modifications for toxicity (see </w:t>
      </w:r>
      <w:r w:rsidRPr="00A45996">
        <w:rPr>
          <w:rFonts w:ascii="Arial" w:hAnsi="Arial" w:cs="Arial"/>
          <w:b/>
          <w:bCs/>
          <w:sz w:val="22"/>
        </w:rPr>
        <w:t>DOSAGE AND ADMINISTRATION</w:t>
      </w:r>
      <w:r w:rsidRPr="00A45996">
        <w:rPr>
          <w:rFonts w:ascii="Arial" w:hAnsi="Arial" w:cs="Arial"/>
          <w:sz w:val="22"/>
        </w:rPr>
        <w:t xml:space="preserve">).  Responses to VELCADE alone in the phase II study are shown in Table </w:t>
      </w:r>
      <w:r w:rsidR="0092571C" w:rsidRPr="00A45996">
        <w:rPr>
          <w:rFonts w:ascii="Arial" w:hAnsi="Arial" w:cs="Arial"/>
          <w:sz w:val="22"/>
        </w:rPr>
        <w:t>11</w:t>
      </w:r>
      <w:r w:rsidRPr="00A45996">
        <w:rPr>
          <w:rFonts w:ascii="Arial" w:hAnsi="Arial" w:cs="Arial"/>
          <w:sz w:val="22"/>
        </w:rPr>
        <w:t>.</w:t>
      </w:r>
    </w:p>
    <w:p w:rsidR="00326C73" w:rsidRPr="00A45996" w:rsidRDefault="00326C73" w:rsidP="00326C73">
      <w:pPr>
        <w:pStyle w:val="PIEXPLAIN"/>
        <w:keepLines/>
      </w:pPr>
      <w:r w:rsidRPr="00A45996">
        <w:rPr>
          <w:rFonts w:cs="Arial"/>
        </w:rPr>
        <w:t>In general, patients who had confirmed Complete Response received 2 additional cycles of VELCADE treatment beyond confirmation.  The median time to response was 38 days (range 30 to 127 days).  The median survival of all patients enrolled was 16 months (range &lt;1 to 18+ months).</w:t>
      </w:r>
      <w:r w:rsidRPr="00A45996">
        <w:rPr>
          <w:rFonts w:cs="Arial"/>
          <w:spacing w:val="0"/>
        </w:rPr>
        <w:t xml:space="preserve">  The response rate to V</w:t>
      </w:r>
      <w:r w:rsidRPr="00A45996">
        <w:rPr>
          <w:spacing w:val="0"/>
        </w:rPr>
        <w:t>ELCADE was independent of the number and types of prior therapies.</w:t>
      </w:r>
    </w:p>
    <w:p w:rsidR="00326C73" w:rsidRPr="00A45996" w:rsidRDefault="00326C73" w:rsidP="00326C73">
      <w:pPr>
        <w:pStyle w:val="Heading8"/>
        <w:spacing w:before="20" w:after="80"/>
        <w:rPr>
          <w:sz w:val="20"/>
        </w:rPr>
      </w:pPr>
      <w:r w:rsidRPr="00A45996">
        <w:rPr>
          <w:sz w:val="20"/>
        </w:rPr>
        <w:t xml:space="preserve">Table </w:t>
      </w:r>
      <w:r w:rsidR="0092571C" w:rsidRPr="00A45996">
        <w:rPr>
          <w:sz w:val="20"/>
        </w:rPr>
        <w:t>11</w:t>
      </w:r>
      <w:r w:rsidRPr="00A45996">
        <w:rPr>
          <w:sz w:val="20"/>
        </w:rPr>
        <w:t xml:space="preserve">:  </w:t>
      </w:r>
      <w:r w:rsidRPr="00A45996">
        <w:rPr>
          <w:bCs/>
          <w:sz w:val="20"/>
        </w:rPr>
        <w:t>Summary of disease outcomes in Phase II study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1701"/>
        <w:gridCol w:w="1701"/>
      </w:tblGrid>
      <w:tr w:rsidR="00326C73" w:rsidRPr="00A45996" w:rsidTr="00326C73">
        <w:tc>
          <w:tcPr>
            <w:tcW w:w="5920" w:type="dxa"/>
          </w:tcPr>
          <w:p w:rsidR="00326C73" w:rsidRPr="00A45996" w:rsidRDefault="00326C73" w:rsidP="00326C73">
            <w:pPr>
              <w:jc w:val="left"/>
              <w:rPr>
                <w:b/>
                <w:bCs/>
                <w:sz w:val="20"/>
              </w:rPr>
            </w:pPr>
            <w:r w:rsidRPr="00A45996">
              <w:rPr>
                <w:b/>
                <w:bCs/>
                <w:sz w:val="20"/>
              </w:rPr>
              <w:t>Response Analyses (VELCADE monotherapy)  N=188</w:t>
            </w:r>
          </w:p>
        </w:tc>
        <w:tc>
          <w:tcPr>
            <w:tcW w:w="1701" w:type="dxa"/>
          </w:tcPr>
          <w:p w:rsidR="00326C73" w:rsidRPr="00A45996" w:rsidRDefault="00326C73" w:rsidP="00326C73">
            <w:pPr>
              <w:jc w:val="center"/>
              <w:rPr>
                <w:b/>
                <w:bCs/>
                <w:sz w:val="20"/>
              </w:rPr>
            </w:pPr>
            <w:r w:rsidRPr="00A45996">
              <w:rPr>
                <w:b/>
                <w:bCs/>
                <w:sz w:val="20"/>
              </w:rPr>
              <w:t>N (%)</w:t>
            </w:r>
          </w:p>
        </w:tc>
        <w:tc>
          <w:tcPr>
            <w:tcW w:w="1701" w:type="dxa"/>
          </w:tcPr>
          <w:p w:rsidR="00326C73" w:rsidRPr="00A45996" w:rsidRDefault="00326C73" w:rsidP="00326C73">
            <w:pPr>
              <w:jc w:val="center"/>
              <w:rPr>
                <w:b/>
                <w:bCs/>
                <w:sz w:val="20"/>
              </w:rPr>
            </w:pPr>
            <w:r w:rsidRPr="00A45996">
              <w:rPr>
                <w:b/>
                <w:bCs/>
                <w:sz w:val="20"/>
              </w:rPr>
              <w:t>(95% CI)</w:t>
            </w:r>
          </w:p>
        </w:tc>
      </w:tr>
      <w:tr w:rsidR="00326C73" w:rsidRPr="00A45996" w:rsidTr="00326C73">
        <w:tc>
          <w:tcPr>
            <w:tcW w:w="5920" w:type="dxa"/>
          </w:tcPr>
          <w:p w:rsidR="00326C73" w:rsidRPr="00A45996" w:rsidRDefault="00326C73" w:rsidP="00326C73">
            <w:pPr>
              <w:rPr>
                <w:sz w:val="20"/>
              </w:rPr>
            </w:pPr>
            <w:r w:rsidRPr="00A45996">
              <w:rPr>
                <w:sz w:val="20"/>
              </w:rPr>
              <w:t>Overall Response Rate (CR + PR)</w:t>
            </w:r>
          </w:p>
        </w:tc>
        <w:tc>
          <w:tcPr>
            <w:tcW w:w="1701" w:type="dxa"/>
          </w:tcPr>
          <w:p w:rsidR="00326C73" w:rsidRPr="00A45996" w:rsidRDefault="00326C73" w:rsidP="00326C73">
            <w:pPr>
              <w:jc w:val="center"/>
              <w:rPr>
                <w:sz w:val="20"/>
              </w:rPr>
            </w:pPr>
            <w:r w:rsidRPr="00A45996">
              <w:rPr>
                <w:sz w:val="20"/>
              </w:rPr>
              <w:t>52 (27.7%)</w:t>
            </w:r>
          </w:p>
        </w:tc>
        <w:tc>
          <w:tcPr>
            <w:tcW w:w="1701" w:type="dxa"/>
          </w:tcPr>
          <w:p w:rsidR="00326C73" w:rsidRPr="00A45996" w:rsidRDefault="00326C73" w:rsidP="00326C73">
            <w:pPr>
              <w:ind w:hanging="108"/>
              <w:jc w:val="center"/>
              <w:rPr>
                <w:sz w:val="20"/>
              </w:rPr>
            </w:pPr>
            <w:r w:rsidRPr="00A45996">
              <w:rPr>
                <w:sz w:val="20"/>
              </w:rPr>
              <w:t>(21, 35)</w:t>
            </w:r>
          </w:p>
        </w:tc>
      </w:tr>
      <w:tr w:rsidR="00326C73" w:rsidRPr="00A45996" w:rsidTr="00326C73">
        <w:tc>
          <w:tcPr>
            <w:tcW w:w="5920" w:type="dxa"/>
          </w:tcPr>
          <w:p w:rsidR="00326C73" w:rsidRPr="00A45996" w:rsidRDefault="00326C73" w:rsidP="00326C73">
            <w:pPr>
              <w:jc w:val="center"/>
              <w:rPr>
                <w:sz w:val="20"/>
              </w:rPr>
            </w:pPr>
            <w:r w:rsidRPr="00A45996">
              <w:rPr>
                <w:sz w:val="20"/>
              </w:rPr>
              <w:t>Complete Response (CR)</w:t>
            </w:r>
            <w:r w:rsidRPr="00A45996">
              <w:rPr>
                <w:sz w:val="20"/>
                <w:vertAlign w:val="superscript"/>
              </w:rPr>
              <w:t>1</w:t>
            </w:r>
          </w:p>
        </w:tc>
        <w:tc>
          <w:tcPr>
            <w:tcW w:w="1701" w:type="dxa"/>
          </w:tcPr>
          <w:p w:rsidR="00326C73" w:rsidRPr="00A45996" w:rsidRDefault="00326C73" w:rsidP="00326C73">
            <w:pPr>
              <w:jc w:val="center"/>
              <w:rPr>
                <w:sz w:val="20"/>
              </w:rPr>
            </w:pPr>
            <w:r w:rsidRPr="00A45996">
              <w:rPr>
                <w:sz w:val="20"/>
              </w:rPr>
              <w:t>5 (2.7%)</w:t>
            </w:r>
          </w:p>
        </w:tc>
        <w:tc>
          <w:tcPr>
            <w:tcW w:w="1701" w:type="dxa"/>
          </w:tcPr>
          <w:p w:rsidR="00326C73" w:rsidRPr="00A45996" w:rsidRDefault="00326C73" w:rsidP="00326C73">
            <w:pPr>
              <w:jc w:val="center"/>
              <w:rPr>
                <w:sz w:val="20"/>
              </w:rPr>
            </w:pPr>
            <w:r w:rsidRPr="00A45996">
              <w:rPr>
                <w:sz w:val="20"/>
              </w:rPr>
              <w:t>(1,6)</w:t>
            </w:r>
          </w:p>
        </w:tc>
      </w:tr>
      <w:tr w:rsidR="00326C73" w:rsidRPr="00A45996" w:rsidTr="00326C73">
        <w:tc>
          <w:tcPr>
            <w:tcW w:w="5920" w:type="dxa"/>
          </w:tcPr>
          <w:p w:rsidR="00326C73" w:rsidRPr="00A45996" w:rsidRDefault="00326C73" w:rsidP="00326C73">
            <w:pPr>
              <w:jc w:val="center"/>
              <w:rPr>
                <w:sz w:val="20"/>
              </w:rPr>
            </w:pPr>
            <w:r w:rsidRPr="00A45996">
              <w:rPr>
                <w:sz w:val="20"/>
              </w:rPr>
              <w:t>Partial Response (PR)</w:t>
            </w:r>
            <w:r w:rsidRPr="00A45996">
              <w:rPr>
                <w:sz w:val="20"/>
                <w:vertAlign w:val="superscript"/>
              </w:rPr>
              <w:t>2</w:t>
            </w:r>
          </w:p>
        </w:tc>
        <w:tc>
          <w:tcPr>
            <w:tcW w:w="1701" w:type="dxa"/>
          </w:tcPr>
          <w:p w:rsidR="00326C73" w:rsidRPr="00A45996" w:rsidRDefault="00326C73" w:rsidP="00326C73">
            <w:pPr>
              <w:jc w:val="center"/>
              <w:rPr>
                <w:sz w:val="20"/>
              </w:rPr>
            </w:pPr>
            <w:r w:rsidRPr="00A45996">
              <w:rPr>
                <w:sz w:val="20"/>
              </w:rPr>
              <w:t>47 (25%)</w:t>
            </w:r>
          </w:p>
        </w:tc>
        <w:tc>
          <w:tcPr>
            <w:tcW w:w="1701" w:type="dxa"/>
          </w:tcPr>
          <w:p w:rsidR="00326C73" w:rsidRPr="00A45996" w:rsidRDefault="00326C73" w:rsidP="00326C73">
            <w:pPr>
              <w:jc w:val="center"/>
              <w:rPr>
                <w:sz w:val="20"/>
              </w:rPr>
            </w:pPr>
            <w:r w:rsidRPr="00A45996">
              <w:rPr>
                <w:sz w:val="20"/>
              </w:rPr>
              <w:t>(19, 32)</w:t>
            </w:r>
          </w:p>
        </w:tc>
      </w:tr>
      <w:tr w:rsidR="00326C73" w:rsidRPr="00A45996" w:rsidTr="00326C73">
        <w:tc>
          <w:tcPr>
            <w:tcW w:w="5920" w:type="dxa"/>
          </w:tcPr>
          <w:p w:rsidR="00326C73" w:rsidRPr="00A45996" w:rsidRDefault="00326C73" w:rsidP="00326C73">
            <w:pPr>
              <w:rPr>
                <w:sz w:val="20"/>
              </w:rPr>
            </w:pPr>
            <w:r w:rsidRPr="00A45996">
              <w:rPr>
                <w:sz w:val="20"/>
              </w:rPr>
              <w:t>Clinical Remission (SWOG)</w:t>
            </w:r>
          </w:p>
        </w:tc>
        <w:tc>
          <w:tcPr>
            <w:tcW w:w="1701" w:type="dxa"/>
          </w:tcPr>
          <w:p w:rsidR="00326C73" w:rsidRPr="00A45996" w:rsidRDefault="00326C73" w:rsidP="00326C73">
            <w:pPr>
              <w:jc w:val="center"/>
              <w:rPr>
                <w:sz w:val="20"/>
              </w:rPr>
            </w:pPr>
            <w:r w:rsidRPr="00A45996">
              <w:rPr>
                <w:sz w:val="20"/>
              </w:rPr>
              <w:t>33 (17.6%)</w:t>
            </w:r>
          </w:p>
        </w:tc>
        <w:tc>
          <w:tcPr>
            <w:tcW w:w="1701" w:type="dxa"/>
          </w:tcPr>
          <w:p w:rsidR="00326C73" w:rsidRPr="00A45996" w:rsidRDefault="00326C73" w:rsidP="00326C73">
            <w:pPr>
              <w:jc w:val="center"/>
              <w:rPr>
                <w:sz w:val="20"/>
              </w:rPr>
            </w:pPr>
            <w:r w:rsidRPr="00A45996">
              <w:rPr>
                <w:sz w:val="20"/>
              </w:rPr>
              <w:t>(12, 24)</w:t>
            </w:r>
          </w:p>
        </w:tc>
      </w:tr>
      <w:tr w:rsidR="00326C73" w:rsidRPr="00A45996" w:rsidTr="00326C73">
        <w:tc>
          <w:tcPr>
            <w:tcW w:w="5920" w:type="dxa"/>
          </w:tcPr>
          <w:p w:rsidR="00326C73" w:rsidRPr="00A45996" w:rsidRDefault="00326C73" w:rsidP="00326C73">
            <w:pPr>
              <w:pStyle w:val="Footer"/>
              <w:tabs>
                <w:tab w:val="clear" w:pos="4153"/>
                <w:tab w:val="clear" w:pos="8306"/>
              </w:tabs>
              <w:rPr>
                <w:sz w:val="20"/>
              </w:rPr>
            </w:pPr>
            <w:r w:rsidRPr="00A45996">
              <w:rPr>
                <w:sz w:val="20"/>
              </w:rPr>
              <w:t>Kaplan-Meier Estimated Median Duration of Response</w:t>
            </w:r>
          </w:p>
          <w:p w:rsidR="00326C73" w:rsidRPr="00A45996" w:rsidRDefault="00326C73" w:rsidP="00326C73">
            <w:pPr>
              <w:rPr>
                <w:sz w:val="20"/>
              </w:rPr>
            </w:pPr>
            <w:r w:rsidRPr="00A45996">
              <w:rPr>
                <w:sz w:val="20"/>
              </w:rPr>
              <w:t>(95% CI)</w:t>
            </w:r>
          </w:p>
        </w:tc>
        <w:tc>
          <w:tcPr>
            <w:tcW w:w="1701" w:type="dxa"/>
          </w:tcPr>
          <w:p w:rsidR="00326C73" w:rsidRPr="00A45996" w:rsidRDefault="00326C73" w:rsidP="00326C73">
            <w:pPr>
              <w:jc w:val="center"/>
              <w:rPr>
                <w:sz w:val="20"/>
              </w:rPr>
            </w:pPr>
            <w:r w:rsidRPr="00A45996">
              <w:rPr>
                <w:sz w:val="20"/>
              </w:rPr>
              <w:t>365 Days</w:t>
            </w:r>
          </w:p>
        </w:tc>
        <w:tc>
          <w:tcPr>
            <w:tcW w:w="1701" w:type="dxa"/>
          </w:tcPr>
          <w:p w:rsidR="00326C73" w:rsidRPr="00A45996" w:rsidRDefault="00326C73" w:rsidP="00326C73">
            <w:pPr>
              <w:jc w:val="center"/>
              <w:rPr>
                <w:sz w:val="20"/>
              </w:rPr>
            </w:pPr>
            <w:r w:rsidRPr="00A45996">
              <w:rPr>
                <w:sz w:val="20"/>
              </w:rPr>
              <w:t>(224, NE)</w:t>
            </w:r>
          </w:p>
        </w:tc>
      </w:tr>
    </w:tbl>
    <w:p w:rsidR="00326C73" w:rsidRPr="00A45996" w:rsidRDefault="00326C73" w:rsidP="00326C73">
      <w:pPr>
        <w:rPr>
          <w:sz w:val="16"/>
          <w:szCs w:val="16"/>
        </w:rPr>
      </w:pPr>
      <w:r w:rsidRPr="00A45996">
        <w:rPr>
          <w:sz w:val="16"/>
          <w:szCs w:val="16"/>
          <w:vertAlign w:val="superscript"/>
        </w:rPr>
        <w:t>1</w:t>
      </w:r>
      <w:r w:rsidRPr="00A45996">
        <w:rPr>
          <w:b/>
          <w:bCs/>
          <w:sz w:val="16"/>
          <w:szCs w:val="16"/>
        </w:rPr>
        <w:t>Complete Response</w:t>
      </w:r>
      <w:r w:rsidRPr="00A45996">
        <w:rPr>
          <w:sz w:val="16"/>
          <w:szCs w:val="16"/>
        </w:rPr>
        <w:t xml:space="preserve"> required 100% disappearance of the original monoclonal protein from blood and urine on at least 2 determinations at least 6 weeks apart by </w:t>
      </w:r>
      <w:proofErr w:type="spellStart"/>
      <w:r w:rsidRPr="00A45996">
        <w:rPr>
          <w:sz w:val="16"/>
          <w:szCs w:val="16"/>
        </w:rPr>
        <w:t>immunofixation</w:t>
      </w:r>
      <w:proofErr w:type="spellEnd"/>
      <w:r w:rsidRPr="00A45996">
        <w:rPr>
          <w:sz w:val="16"/>
          <w:szCs w:val="16"/>
        </w:rPr>
        <w:t>, and &lt;5% plasma cells in the bone marrow on at least two determinations for a minimum of six weeks, stable bone disease and calcium.</w:t>
      </w:r>
    </w:p>
    <w:p w:rsidR="00326C73" w:rsidRPr="00A45996" w:rsidRDefault="00326C73" w:rsidP="00326C73">
      <w:pPr>
        <w:rPr>
          <w:sz w:val="16"/>
          <w:szCs w:val="16"/>
        </w:rPr>
      </w:pPr>
      <w:r w:rsidRPr="00A45996">
        <w:rPr>
          <w:sz w:val="16"/>
          <w:szCs w:val="16"/>
          <w:vertAlign w:val="superscript"/>
        </w:rPr>
        <w:t>2</w:t>
      </w:r>
      <w:r w:rsidRPr="00A45996">
        <w:rPr>
          <w:b/>
          <w:bCs/>
          <w:sz w:val="16"/>
          <w:szCs w:val="16"/>
        </w:rPr>
        <w:t>Partial Response</w:t>
      </w:r>
      <w:r w:rsidRPr="00A45996">
        <w:rPr>
          <w:sz w:val="16"/>
          <w:szCs w:val="16"/>
        </w:rPr>
        <w:t xml:space="preserve"> required </w:t>
      </w:r>
      <w:r w:rsidRPr="00A45996">
        <w:rPr>
          <w:sz w:val="16"/>
          <w:szCs w:val="16"/>
          <w:u w:val="single"/>
        </w:rPr>
        <w:t>&gt;</w:t>
      </w:r>
      <w:r w:rsidRPr="00A45996">
        <w:rPr>
          <w:sz w:val="16"/>
          <w:szCs w:val="16"/>
        </w:rPr>
        <w:t xml:space="preserve"> 50% reduction in serum myeloma protein and </w:t>
      </w:r>
      <w:r w:rsidRPr="00A45996">
        <w:rPr>
          <w:sz w:val="16"/>
          <w:szCs w:val="16"/>
          <w:u w:val="single"/>
        </w:rPr>
        <w:t>&gt;</w:t>
      </w:r>
      <w:r w:rsidRPr="00A45996">
        <w:rPr>
          <w:sz w:val="16"/>
          <w:szCs w:val="16"/>
        </w:rPr>
        <w:t xml:space="preserve"> 90% reduction of urine myeloma protein on at least 2 occasions for a minimum of at least 6 weeks, stable bone disease and calcium.</w:t>
      </w:r>
    </w:p>
    <w:p w:rsidR="00326C73" w:rsidRPr="00A45996" w:rsidRDefault="00326C73" w:rsidP="00326C73">
      <w:pPr>
        <w:rPr>
          <w:sz w:val="16"/>
          <w:szCs w:val="16"/>
        </w:rPr>
      </w:pPr>
      <w:r w:rsidRPr="00A45996">
        <w:rPr>
          <w:sz w:val="16"/>
          <w:szCs w:val="16"/>
          <w:vertAlign w:val="superscript"/>
        </w:rPr>
        <w:t>3</w:t>
      </w:r>
      <w:r w:rsidRPr="00A45996">
        <w:rPr>
          <w:b/>
          <w:bCs/>
          <w:sz w:val="16"/>
          <w:szCs w:val="16"/>
        </w:rPr>
        <w:t xml:space="preserve">Clinical remission (SWOG) </w:t>
      </w:r>
      <w:r w:rsidRPr="00A45996">
        <w:rPr>
          <w:sz w:val="16"/>
          <w:szCs w:val="16"/>
        </w:rPr>
        <w:t xml:space="preserve">required </w:t>
      </w:r>
      <w:r w:rsidRPr="00A45996">
        <w:rPr>
          <w:sz w:val="16"/>
          <w:szCs w:val="16"/>
          <w:u w:val="single"/>
        </w:rPr>
        <w:t>&gt;</w:t>
      </w:r>
      <w:r w:rsidRPr="00A45996">
        <w:rPr>
          <w:sz w:val="16"/>
          <w:szCs w:val="16"/>
        </w:rPr>
        <w:t xml:space="preserve"> 75% reduction in serum myeloma protein and/or </w:t>
      </w:r>
      <w:r w:rsidRPr="00A45996">
        <w:rPr>
          <w:sz w:val="16"/>
          <w:szCs w:val="16"/>
          <w:u w:val="single"/>
        </w:rPr>
        <w:t>&gt;</w:t>
      </w:r>
      <w:r w:rsidRPr="00A45996">
        <w:rPr>
          <w:sz w:val="16"/>
          <w:szCs w:val="16"/>
        </w:rPr>
        <w:t xml:space="preserve"> 90% reduction of urine myeloma protein on at least 2 occasions for a minimum of at least 6 weeks, stable bone disease and calcium.</w:t>
      </w:r>
    </w:p>
    <w:p w:rsidR="00326C73" w:rsidRPr="00A45996" w:rsidRDefault="00326C73" w:rsidP="00326C73"/>
    <w:p w:rsidR="00326C73" w:rsidRPr="00A45996" w:rsidRDefault="00326C73" w:rsidP="00326C73">
      <w:pPr>
        <w:pStyle w:val="PIEXPLAIN"/>
        <w:keepLines/>
        <w:tabs>
          <w:tab w:val="clear" w:pos="-720"/>
        </w:tabs>
        <w:suppressAutoHyphens w:val="0"/>
        <w:rPr>
          <w:spacing w:val="0"/>
        </w:rPr>
      </w:pPr>
      <w:r w:rsidRPr="00A45996">
        <w:rPr>
          <w:rFonts w:cs="Arial"/>
          <w:bCs/>
          <w:szCs w:val="24"/>
        </w:rPr>
        <w:t xml:space="preserve">Patients who did not obtain an optimal response to therapy with VELCADE alone were able to receive high-dose dexamethasone in conjunction with VELCADE (i.e., 40 mg dexamethasone with each dose of VELCADE administered orally as 20 mg on the day of and 20 mg the day after VELCADE administration, (i.e., Days 1, 2, 4, 5, 8, 9, 11, and 12), thus 160mg over 3 weeks.  </w:t>
      </w:r>
      <w:r w:rsidRPr="00A45996">
        <w:rPr>
          <w:spacing w:val="0"/>
        </w:rPr>
        <w:t xml:space="preserve">Eighteen percent (13/74) of patients achieved or had an improved response (CR 11% or PR 7%) with combination treatment.  </w:t>
      </w:r>
    </w:p>
    <w:p w:rsidR="00326C73" w:rsidRPr="00A45996" w:rsidRDefault="00326C73" w:rsidP="00326C73">
      <w:pPr>
        <w:spacing w:before="20" w:after="80"/>
        <w:rPr>
          <w:sz w:val="22"/>
        </w:rPr>
      </w:pPr>
      <w:r w:rsidRPr="00A45996">
        <w:rPr>
          <w:sz w:val="22"/>
        </w:rPr>
        <w:t>A small dose-response study was performed in 54 patients with multiple myeloma who received a 1.0 mg/m</w:t>
      </w:r>
      <w:r w:rsidRPr="00A45996">
        <w:rPr>
          <w:sz w:val="22"/>
          <w:vertAlign w:val="superscript"/>
        </w:rPr>
        <w:t>2</w:t>
      </w:r>
      <w:r w:rsidRPr="00A45996">
        <w:rPr>
          <w:sz w:val="22"/>
        </w:rPr>
        <w:t>/dose or a 1.3 mg/m</w:t>
      </w:r>
      <w:r w:rsidRPr="00A45996">
        <w:rPr>
          <w:sz w:val="22"/>
          <w:vertAlign w:val="superscript"/>
        </w:rPr>
        <w:t>2</w:t>
      </w:r>
      <w:r w:rsidRPr="00A45996">
        <w:rPr>
          <w:sz w:val="22"/>
        </w:rPr>
        <w:t>/dose twice weekly for two out of three weeks.  A single complete response was seen at each dose, and there were overall (CR + PR) response rates of 30% (8/27) at 1.0 mg/m</w:t>
      </w:r>
      <w:r w:rsidRPr="00A45996">
        <w:rPr>
          <w:sz w:val="22"/>
          <w:vertAlign w:val="superscript"/>
        </w:rPr>
        <w:t>2</w:t>
      </w:r>
      <w:r w:rsidRPr="00A45996">
        <w:rPr>
          <w:sz w:val="22"/>
        </w:rPr>
        <w:t xml:space="preserve"> and 38% (10/26) at 1.3 mg/m</w:t>
      </w:r>
      <w:r w:rsidRPr="00A45996">
        <w:rPr>
          <w:sz w:val="22"/>
          <w:vertAlign w:val="superscript"/>
        </w:rPr>
        <w:t>2</w:t>
      </w:r>
      <w:r w:rsidRPr="00A45996">
        <w:rPr>
          <w:sz w:val="22"/>
        </w:rPr>
        <w:t>.</w:t>
      </w:r>
    </w:p>
    <w:p w:rsidR="001A6201" w:rsidRPr="00A45996" w:rsidRDefault="001A6201" w:rsidP="00326C73">
      <w:pPr>
        <w:spacing w:before="20" w:after="80"/>
        <w:rPr>
          <w:sz w:val="22"/>
        </w:rPr>
      </w:pPr>
    </w:p>
    <w:p w:rsidR="001A6201" w:rsidRPr="00A45996" w:rsidRDefault="001A6201" w:rsidP="001A6201">
      <w:pPr>
        <w:pStyle w:val="PIHEADING2"/>
        <w:keepLines/>
        <w:tabs>
          <w:tab w:val="clear" w:pos="-720"/>
        </w:tabs>
        <w:suppressAutoHyphens w:val="0"/>
        <w:rPr>
          <w:rFonts w:cs="Arial"/>
          <w:bCs/>
          <w:spacing w:val="0"/>
          <w:sz w:val="24"/>
        </w:rPr>
      </w:pPr>
      <w:r w:rsidRPr="00A45996">
        <w:rPr>
          <w:rFonts w:cs="Arial"/>
          <w:bCs/>
          <w:spacing w:val="0"/>
          <w:sz w:val="24"/>
        </w:rPr>
        <w:t>Previously Untreated Mantle Cell Lymphoma</w:t>
      </w:r>
    </w:p>
    <w:p w:rsidR="001A6201" w:rsidRPr="00A45996" w:rsidRDefault="001A6201" w:rsidP="001A6201">
      <w:pPr>
        <w:pStyle w:val="PIHEADING2"/>
        <w:keepLines/>
        <w:tabs>
          <w:tab w:val="clear" w:pos="-720"/>
        </w:tabs>
        <w:suppressAutoHyphens w:val="0"/>
        <w:rPr>
          <w:b w:val="0"/>
        </w:rPr>
      </w:pPr>
      <w:r w:rsidRPr="00A45996">
        <w:rPr>
          <w:b w:val="0"/>
        </w:rPr>
        <w:t>Study LYM-3002 was a Phase III, randomized, open-label study comparing the efficacy and safety of the combination of VELCADE, rituximab, cyclophosphamide, doxorubicin, and prednisone (</w:t>
      </w:r>
      <w:proofErr w:type="spellStart"/>
      <w:r w:rsidRPr="00A45996">
        <w:rPr>
          <w:b w:val="0"/>
        </w:rPr>
        <w:t>VcR</w:t>
      </w:r>
      <w:proofErr w:type="spellEnd"/>
      <w:r w:rsidRPr="00A45996">
        <w:rPr>
          <w:b w:val="0"/>
        </w:rPr>
        <w:t>-CAP; n=243) to that of rituximab, cyclophosphamide, doxorubicin, vincristine, and prednisone (R-CHOP; n=244) in adult patients with previously untreated mantle cell lymphoma (Stage II, III or IV).</w:t>
      </w:r>
      <w:r w:rsidR="0056122D" w:rsidRPr="00A45996">
        <w:t xml:space="preserve"> </w:t>
      </w:r>
      <w:r w:rsidR="0056122D" w:rsidRPr="00A45996">
        <w:rPr>
          <w:b w:val="0"/>
        </w:rPr>
        <w:t>Patients of median age 66 years enrolled in this trial were either ineligible (e.g. due to age or comorbidity; n = 407) or were not considered (e.g. due to transplant unavailability, financial unaffordability or patient refusal, despite being medically eligible; n = 80) for stem-cell transplantation.</w:t>
      </w:r>
    </w:p>
    <w:p w:rsidR="001A6201" w:rsidRPr="00A45996" w:rsidRDefault="001A6201" w:rsidP="001A6201">
      <w:pPr>
        <w:rPr>
          <w:sz w:val="22"/>
          <w:szCs w:val="22"/>
        </w:rPr>
      </w:pPr>
      <w:r w:rsidRPr="00A45996">
        <w:rPr>
          <w:sz w:val="22"/>
          <w:szCs w:val="22"/>
        </w:rPr>
        <w:lastRenderedPageBreak/>
        <w:t xml:space="preserve">Patients in the </w:t>
      </w:r>
      <w:proofErr w:type="spellStart"/>
      <w:r w:rsidRPr="00A45996">
        <w:rPr>
          <w:sz w:val="22"/>
          <w:szCs w:val="22"/>
        </w:rPr>
        <w:t>VcR</w:t>
      </w:r>
      <w:proofErr w:type="spellEnd"/>
      <w:r w:rsidRPr="00A45996">
        <w:rPr>
          <w:sz w:val="22"/>
          <w:szCs w:val="22"/>
        </w:rPr>
        <w:t>-CAP treatment arm received VELCADE (1.3 mg/m</w:t>
      </w:r>
      <w:r w:rsidRPr="00A45996">
        <w:rPr>
          <w:sz w:val="22"/>
          <w:szCs w:val="22"/>
          <w:vertAlign w:val="superscript"/>
        </w:rPr>
        <w:t>2</w:t>
      </w:r>
      <w:r w:rsidRPr="00A45996">
        <w:rPr>
          <w:sz w:val="22"/>
          <w:szCs w:val="22"/>
        </w:rPr>
        <w:t xml:space="preserve"> IV) on Days 1, 4, 8, 11 (rest period days 12-21), rituximab (375 mg/m</w:t>
      </w:r>
      <w:r w:rsidRPr="00A45996">
        <w:rPr>
          <w:sz w:val="22"/>
          <w:szCs w:val="22"/>
          <w:vertAlign w:val="superscript"/>
        </w:rPr>
        <w:t>2</w:t>
      </w:r>
      <w:r w:rsidRPr="00A45996">
        <w:rPr>
          <w:sz w:val="22"/>
          <w:szCs w:val="22"/>
        </w:rPr>
        <w:t xml:space="preserve"> IV) on Day 1; cyclophosphamide (750 mg/m</w:t>
      </w:r>
      <w:r w:rsidRPr="00A45996">
        <w:rPr>
          <w:sz w:val="22"/>
          <w:szCs w:val="22"/>
          <w:vertAlign w:val="superscript"/>
        </w:rPr>
        <w:t>2</w:t>
      </w:r>
      <w:r w:rsidRPr="00A45996">
        <w:rPr>
          <w:sz w:val="22"/>
          <w:szCs w:val="22"/>
        </w:rPr>
        <w:t xml:space="preserve"> IV) on Day 1; doxorubicin (50 mg/m</w:t>
      </w:r>
      <w:r w:rsidRPr="00A45996">
        <w:rPr>
          <w:sz w:val="22"/>
          <w:szCs w:val="22"/>
          <w:vertAlign w:val="superscript"/>
        </w:rPr>
        <w:t>2</w:t>
      </w:r>
      <w:r w:rsidRPr="00A45996">
        <w:rPr>
          <w:sz w:val="22"/>
          <w:szCs w:val="22"/>
        </w:rPr>
        <w:t xml:space="preserve"> IV) on Day 1; and prednisone (100 mg/m</w:t>
      </w:r>
      <w:r w:rsidRPr="00A45996">
        <w:rPr>
          <w:sz w:val="22"/>
          <w:szCs w:val="22"/>
          <w:vertAlign w:val="superscript"/>
        </w:rPr>
        <w:t>2</w:t>
      </w:r>
      <w:r w:rsidRPr="00A45996">
        <w:rPr>
          <w:sz w:val="22"/>
          <w:szCs w:val="22"/>
        </w:rPr>
        <w:t xml:space="preserve"> orally) on Day 1 through Day 5 of the 21 day VELCADE treatment cycle. For patients with a response first documented at cycle 6, two additional treatment cycles were given. </w:t>
      </w:r>
    </w:p>
    <w:p w:rsidR="001A6201" w:rsidRPr="00A45996" w:rsidRDefault="001A6201" w:rsidP="001A6201">
      <w:pPr>
        <w:rPr>
          <w:sz w:val="22"/>
          <w:szCs w:val="22"/>
        </w:rPr>
      </w:pPr>
    </w:p>
    <w:p w:rsidR="001A6201" w:rsidRPr="00A45996" w:rsidRDefault="001A6201" w:rsidP="001A6201">
      <w:pPr>
        <w:spacing w:after="120"/>
        <w:rPr>
          <w:sz w:val="22"/>
          <w:szCs w:val="22"/>
        </w:rPr>
      </w:pPr>
      <w:r w:rsidRPr="00A45996">
        <w:rPr>
          <w:sz w:val="22"/>
          <w:szCs w:val="22"/>
        </w:rPr>
        <w:t>The primary efficacy endpoint was progression-free survival based on Independent Review Committee (IRC) assessment. Secondary endpoints included, time to progression (TTP), time to next anti-lymphoma treatment (TNT), duration of treatment free interval (TFI), overall response rate (ORR) and complete response (CR/</w:t>
      </w:r>
      <w:proofErr w:type="spellStart"/>
      <w:r w:rsidRPr="00A45996">
        <w:rPr>
          <w:sz w:val="22"/>
          <w:szCs w:val="22"/>
        </w:rPr>
        <w:t>CRu</w:t>
      </w:r>
      <w:proofErr w:type="spellEnd"/>
      <w:r w:rsidRPr="00A45996">
        <w:rPr>
          <w:sz w:val="22"/>
          <w:szCs w:val="22"/>
        </w:rPr>
        <w:t xml:space="preserve">) rate, overall survival (OS) and response duration. The response criteria used to assess efficacy were based on the International Workshop to Standardize Response Criteria for Non-Hodgkin’s Lymphoma (IWRC). </w:t>
      </w:r>
    </w:p>
    <w:p w:rsidR="001A6201" w:rsidRDefault="001A6201" w:rsidP="00A45996">
      <w:pPr>
        <w:rPr>
          <w:sz w:val="22"/>
          <w:szCs w:val="22"/>
        </w:rPr>
      </w:pPr>
      <w:r w:rsidRPr="00A45996">
        <w:rPr>
          <w:sz w:val="22"/>
          <w:szCs w:val="22"/>
        </w:rPr>
        <w:t xml:space="preserve">The demographic and baseline disease characteristics were generally well balanced between the two treatment arms: median patient age was 66 years, 74% were male, 66% were Caucasian and 32% Asian, 69% of patients had a positive bone marrow aspirate and/or a positive bone marrow biopsy for MCL, 54% of patients had an International Prognostic Index (IPI) score of ≥ 3, and 74% had Stage IV disease. Treatment duration (median=17 weeks) and duration of follow-up (median=40 months) were comparable in both treatment arms. A median of 6 cycles was received by patients in both treatment arms with 14% of subjects in the </w:t>
      </w:r>
      <w:proofErr w:type="spellStart"/>
      <w:r w:rsidRPr="00A45996">
        <w:rPr>
          <w:sz w:val="22"/>
          <w:szCs w:val="22"/>
        </w:rPr>
        <w:t>VcR</w:t>
      </w:r>
      <w:proofErr w:type="spellEnd"/>
      <w:r w:rsidRPr="00A45996">
        <w:rPr>
          <w:sz w:val="22"/>
          <w:szCs w:val="22"/>
        </w:rPr>
        <w:t xml:space="preserve">-CAP group and 17% of patients in the R-CHOP group receiving 2 additional cycles. The majority of the patients in both groups received 6 or more cycles of treatment, 83% in the R-CHOP group and 84% in the </w:t>
      </w:r>
      <w:proofErr w:type="spellStart"/>
      <w:r w:rsidRPr="00A45996">
        <w:rPr>
          <w:sz w:val="22"/>
          <w:szCs w:val="22"/>
        </w:rPr>
        <w:t>VcR</w:t>
      </w:r>
      <w:proofErr w:type="spellEnd"/>
      <w:r w:rsidRPr="00A45996">
        <w:rPr>
          <w:sz w:val="22"/>
          <w:szCs w:val="22"/>
        </w:rPr>
        <w:t>-CAP group.</w:t>
      </w:r>
    </w:p>
    <w:p w:rsidR="00A45996" w:rsidRPr="00A45996" w:rsidRDefault="00A45996" w:rsidP="00A45996">
      <w:pPr>
        <w:rPr>
          <w:sz w:val="22"/>
          <w:szCs w:val="22"/>
        </w:rPr>
      </w:pPr>
    </w:p>
    <w:p w:rsidR="001A6201" w:rsidRPr="00A45996" w:rsidRDefault="004748A1" w:rsidP="001A6201">
      <w:pPr>
        <w:rPr>
          <w:sz w:val="22"/>
          <w:szCs w:val="22"/>
        </w:rPr>
      </w:pPr>
      <w:r w:rsidRPr="00A45996">
        <w:rPr>
          <w:sz w:val="22"/>
          <w:szCs w:val="22"/>
        </w:rPr>
        <w:t>PFS, assessed by independent central review, was significantly</w:t>
      </w:r>
      <w:r w:rsidR="00EE73EC" w:rsidRPr="00A45996">
        <w:rPr>
          <w:sz w:val="22"/>
          <w:szCs w:val="22"/>
        </w:rPr>
        <w:t xml:space="preserve"> longer with </w:t>
      </w:r>
      <w:proofErr w:type="spellStart"/>
      <w:r w:rsidR="00EE73EC" w:rsidRPr="00A45996">
        <w:rPr>
          <w:sz w:val="22"/>
          <w:szCs w:val="22"/>
        </w:rPr>
        <w:t>V</w:t>
      </w:r>
      <w:r w:rsidR="008B62EA" w:rsidRPr="00A45996">
        <w:rPr>
          <w:sz w:val="22"/>
          <w:szCs w:val="22"/>
        </w:rPr>
        <w:t>c</w:t>
      </w:r>
      <w:r w:rsidR="00EE73EC" w:rsidRPr="00A45996">
        <w:rPr>
          <w:sz w:val="22"/>
          <w:szCs w:val="22"/>
        </w:rPr>
        <w:t>R</w:t>
      </w:r>
      <w:proofErr w:type="spellEnd"/>
      <w:r w:rsidR="00EE73EC" w:rsidRPr="00A45996">
        <w:rPr>
          <w:sz w:val="22"/>
          <w:szCs w:val="22"/>
        </w:rPr>
        <w:t xml:space="preserve">-CAP </w:t>
      </w:r>
      <w:r w:rsidR="00704FBC" w:rsidRPr="00A45996">
        <w:rPr>
          <w:sz w:val="22"/>
          <w:szCs w:val="22"/>
        </w:rPr>
        <w:t xml:space="preserve">(median = 24.7 months) </w:t>
      </w:r>
      <w:r w:rsidR="00EE73EC" w:rsidRPr="00A45996">
        <w:rPr>
          <w:sz w:val="22"/>
          <w:szCs w:val="22"/>
        </w:rPr>
        <w:t>than R-CHOP</w:t>
      </w:r>
      <w:r w:rsidRPr="00A45996">
        <w:rPr>
          <w:sz w:val="22"/>
          <w:szCs w:val="22"/>
        </w:rPr>
        <w:t xml:space="preserve"> </w:t>
      </w:r>
      <w:r w:rsidR="00704FBC" w:rsidRPr="00A45996">
        <w:rPr>
          <w:sz w:val="22"/>
          <w:szCs w:val="22"/>
        </w:rPr>
        <w:t xml:space="preserve">(median = 14.4 months) </w:t>
      </w:r>
      <w:r w:rsidRPr="00A45996">
        <w:rPr>
          <w:sz w:val="22"/>
          <w:szCs w:val="22"/>
        </w:rPr>
        <w:t xml:space="preserve">[hazard ratio (HR) 0.63, 95 % CI 0.50–0.79; p &lt; 0.001], equating to a 59 % relative improvement in the </w:t>
      </w:r>
      <w:proofErr w:type="spellStart"/>
      <w:r w:rsidRPr="00A45996">
        <w:rPr>
          <w:sz w:val="22"/>
          <w:szCs w:val="22"/>
        </w:rPr>
        <w:t>V</w:t>
      </w:r>
      <w:r w:rsidR="00F002F0" w:rsidRPr="00A45996">
        <w:rPr>
          <w:sz w:val="22"/>
          <w:szCs w:val="22"/>
        </w:rPr>
        <w:t>c</w:t>
      </w:r>
      <w:r w:rsidRPr="00A45996">
        <w:rPr>
          <w:sz w:val="22"/>
          <w:szCs w:val="22"/>
        </w:rPr>
        <w:t>R</w:t>
      </w:r>
      <w:proofErr w:type="spellEnd"/>
      <w:r w:rsidRPr="00A45996">
        <w:rPr>
          <w:sz w:val="22"/>
          <w:szCs w:val="22"/>
        </w:rPr>
        <w:t>-CAP group.</w:t>
      </w:r>
      <w:r w:rsidR="00704FBC" w:rsidRPr="00A45996">
        <w:rPr>
          <w:sz w:val="22"/>
          <w:szCs w:val="22"/>
        </w:rPr>
        <w:t xml:space="preserve"> </w:t>
      </w:r>
      <w:r w:rsidRPr="00A45996">
        <w:rPr>
          <w:sz w:val="22"/>
          <w:szCs w:val="22"/>
        </w:rPr>
        <w:t xml:space="preserve"> </w:t>
      </w:r>
      <w:r w:rsidR="001A6201" w:rsidRPr="00A45996">
        <w:rPr>
          <w:sz w:val="22"/>
          <w:szCs w:val="22"/>
        </w:rPr>
        <w:t xml:space="preserve">A statistically significant benefit in favour of the </w:t>
      </w:r>
      <w:proofErr w:type="spellStart"/>
      <w:r w:rsidR="001A6201" w:rsidRPr="00A45996">
        <w:rPr>
          <w:sz w:val="22"/>
          <w:szCs w:val="22"/>
        </w:rPr>
        <w:t>VcR</w:t>
      </w:r>
      <w:proofErr w:type="spellEnd"/>
      <w:r w:rsidR="001A6201" w:rsidRPr="00A45996">
        <w:rPr>
          <w:sz w:val="22"/>
          <w:szCs w:val="22"/>
        </w:rPr>
        <w:t xml:space="preserve">-CAP treatment group was observed for TTP, TNT, TFI and the overall complete response rate. The median duration of complete response was more than double in the </w:t>
      </w:r>
      <w:proofErr w:type="spellStart"/>
      <w:r w:rsidR="001A6201" w:rsidRPr="00A45996">
        <w:rPr>
          <w:sz w:val="22"/>
          <w:szCs w:val="22"/>
        </w:rPr>
        <w:t>VcR</w:t>
      </w:r>
      <w:proofErr w:type="spellEnd"/>
      <w:r w:rsidR="001A6201" w:rsidRPr="00A45996">
        <w:rPr>
          <w:sz w:val="22"/>
          <w:szCs w:val="22"/>
        </w:rPr>
        <w:t xml:space="preserve">-CAP group (42.1 months) compared with the R-CHOP group (18 months) and the duration of overall response was 21.4 months longer in the </w:t>
      </w:r>
      <w:proofErr w:type="spellStart"/>
      <w:r w:rsidR="001A6201" w:rsidRPr="00A45996">
        <w:rPr>
          <w:sz w:val="22"/>
          <w:szCs w:val="22"/>
        </w:rPr>
        <w:t>VcR</w:t>
      </w:r>
      <w:proofErr w:type="spellEnd"/>
      <w:r w:rsidR="001A6201" w:rsidRPr="00A45996">
        <w:rPr>
          <w:sz w:val="22"/>
          <w:szCs w:val="22"/>
        </w:rPr>
        <w:t xml:space="preserve">-CAP group. With a median duration of follow-up of 40 months, median OS (56.3 months in the R-CHOP group, and not reached in the </w:t>
      </w:r>
      <w:proofErr w:type="spellStart"/>
      <w:r w:rsidR="001A6201" w:rsidRPr="00A45996">
        <w:rPr>
          <w:sz w:val="22"/>
          <w:szCs w:val="22"/>
        </w:rPr>
        <w:t>VcR</w:t>
      </w:r>
      <w:proofErr w:type="spellEnd"/>
      <w:r w:rsidR="001A6201" w:rsidRPr="00A45996">
        <w:rPr>
          <w:sz w:val="22"/>
          <w:szCs w:val="22"/>
        </w:rPr>
        <w:t xml:space="preserve"> CAP group) </w:t>
      </w:r>
      <w:proofErr w:type="spellStart"/>
      <w:r w:rsidR="001A6201" w:rsidRPr="00A45996">
        <w:rPr>
          <w:sz w:val="22"/>
          <w:szCs w:val="22"/>
        </w:rPr>
        <w:t>favored</w:t>
      </w:r>
      <w:proofErr w:type="spellEnd"/>
      <w:r w:rsidR="001A6201" w:rsidRPr="00A45996">
        <w:rPr>
          <w:sz w:val="22"/>
          <w:szCs w:val="22"/>
        </w:rPr>
        <w:t xml:space="preserve"> the </w:t>
      </w:r>
      <w:proofErr w:type="spellStart"/>
      <w:r w:rsidR="001A6201" w:rsidRPr="00A45996">
        <w:rPr>
          <w:sz w:val="22"/>
          <w:szCs w:val="22"/>
        </w:rPr>
        <w:t>VcR</w:t>
      </w:r>
      <w:proofErr w:type="spellEnd"/>
      <w:r w:rsidR="001A6201" w:rsidRPr="00A45996">
        <w:rPr>
          <w:sz w:val="22"/>
          <w:szCs w:val="22"/>
        </w:rPr>
        <w:t xml:space="preserve">-CAP group, (estimated HR=0.80; p=0.173). There was a trend towards prolonged overall survival </w:t>
      </w:r>
      <w:proofErr w:type="spellStart"/>
      <w:r w:rsidR="001A6201" w:rsidRPr="00A45996">
        <w:rPr>
          <w:sz w:val="22"/>
          <w:szCs w:val="22"/>
        </w:rPr>
        <w:t>favoring</w:t>
      </w:r>
      <w:proofErr w:type="spellEnd"/>
      <w:r w:rsidR="001A6201" w:rsidRPr="00A45996">
        <w:rPr>
          <w:sz w:val="22"/>
          <w:szCs w:val="22"/>
        </w:rPr>
        <w:t xml:space="preserve"> the </w:t>
      </w:r>
      <w:proofErr w:type="spellStart"/>
      <w:r w:rsidR="001A6201" w:rsidRPr="00A45996">
        <w:rPr>
          <w:sz w:val="22"/>
          <w:szCs w:val="22"/>
        </w:rPr>
        <w:t>VcR</w:t>
      </w:r>
      <w:proofErr w:type="spellEnd"/>
      <w:r w:rsidR="001A6201" w:rsidRPr="00A45996">
        <w:rPr>
          <w:sz w:val="22"/>
          <w:szCs w:val="22"/>
        </w:rPr>
        <w:t xml:space="preserve">-CAP group; the estimated 4-year survival rate was 53.9% in the R CHOP group and 64.4% in the </w:t>
      </w:r>
      <w:proofErr w:type="spellStart"/>
      <w:r w:rsidR="001A6201" w:rsidRPr="00A45996">
        <w:rPr>
          <w:sz w:val="22"/>
          <w:szCs w:val="22"/>
        </w:rPr>
        <w:t>VcR</w:t>
      </w:r>
      <w:proofErr w:type="spellEnd"/>
      <w:r w:rsidR="001A6201" w:rsidRPr="00A45996">
        <w:rPr>
          <w:sz w:val="22"/>
          <w:szCs w:val="22"/>
        </w:rPr>
        <w:t>-CAP group. Efficacy results at a median follow-up of 40 months are presented in Table 12.</w:t>
      </w:r>
    </w:p>
    <w:p w:rsidR="001A6201" w:rsidRPr="00A45996" w:rsidRDefault="001A6201" w:rsidP="00326C73">
      <w:pPr>
        <w:spacing w:before="20" w:after="80"/>
        <w:rPr>
          <w:sz w:val="22"/>
        </w:rPr>
      </w:pPr>
    </w:p>
    <w:p w:rsidR="001A6201" w:rsidRPr="00A45996" w:rsidRDefault="001A6201" w:rsidP="001A6201">
      <w:pPr>
        <w:ind w:left="990" w:hanging="990"/>
        <w:rPr>
          <w:rFonts w:cs="Arial"/>
          <w:b/>
          <w:sz w:val="22"/>
          <w:szCs w:val="22"/>
        </w:rPr>
      </w:pPr>
      <w:r w:rsidRPr="00A45996">
        <w:rPr>
          <w:rFonts w:cs="Arial"/>
          <w:b/>
          <w:sz w:val="22"/>
          <w:szCs w:val="22"/>
        </w:rPr>
        <w:t>Table 12: Summary of Efficacy Outcomes in a Phase 3 Mantle Cell Lymphoma Study in Previously Untreated Patients (LYM-3002)</w:t>
      </w:r>
    </w:p>
    <w:p w:rsidR="001A6201" w:rsidRPr="00A45996" w:rsidRDefault="001A6201" w:rsidP="001A6201">
      <w:pPr>
        <w:rPr>
          <w:sz w:val="22"/>
          <w:szCs w:val="22"/>
        </w:rPr>
      </w:pPr>
    </w:p>
    <w:tbl>
      <w:tblPr>
        <w:tblpPr w:leftFromText="180" w:rightFromText="180" w:vertAnchor="text" w:horzAnchor="margin" w:tblpXSpec="center" w:tblpY="184"/>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766"/>
        <w:gridCol w:w="1766"/>
        <w:gridCol w:w="1985"/>
      </w:tblGrid>
      <w:tr w:rsidR="001A6201" w:rsidRPr="00A45996" w:rsidTr="001A6201">
        <w:trPr>
          <w:cantSplit/>
          <w:tblHeader/>
        </w:trPr>
        <w:tc>
          <w:tcPr>
            <w:tcW w:w="2813" w:type="dxa"/>
            <w:tcBorders>
              <w:top w:val="single" w:sz="4" w:space="0" w:color="auto"/>
              <w:left w:val="single" w:sz="4" w:space="0" w:color="auto"/>
              <w:bottom w:val="single" w:sz="4" w:space="0" w:color="auto"/>
            </w:tcBorders>
          </w:tcPr>
          <w:p w:rsidR="001A6201" w:rsidRPr="00A45996" w:rsidRDefault="001A6201" w:rsidP="001A6201">
            <w:pPr>
              <w:keepNext/>
              <w:spacing w:before="20" w:after="20"/>
              <w:jc w:val="left"/>
              <w:rPr>
                <w:sz w:val="20"/>
              </w:rPr>
            </w:pPr>
            <w:r w:rsidRPr="00A45996">
              <w:rPr>
                <w:b/>
                <w:sz w:val="20"/>
              </w:rPr>
              <w:t>Efficacy endpoint</w:t>
            </w:r>
          </w:p>
        </w:tc>
        <w:tc>
          <w:tcPr>
            <w:tcW w:w="1766" w:type="dxa"/>
            <w:tcBorders>
              <w:top w:val="single" w:sz="4" w:space="0" w:color="auto"/>
              <w:bottom w:val="single" w:sz="4" w:space="0" w:color="auto"/>
            </w:tcBorders>
          </w:tcPr>
          <w:p w:rsidR="001A6201" w:rsidRPr="00A45996" w:rsidRDefault="001A6201" w:rsidP="001A6201">
            <w:pPr>
              <w:keepNext/>
              <w:spacing w:before="20" w:after="20"/>
              <w:jc w:val="left"/>
              <w:rPr>
                <w:b/>
                <w:sz w:val="20"/>
              </w:rPr>
            </w:pPr>
            <w:proofErr w:type="spellStart"/>
            <w:r w:rsidRPr="00A45996">
              <w:rPr>
                <w:b/>
                <w:sz w:val="20"/>
              </w:rPr>
              <w:t>VcR</w:t>
            </w:r>
            <w:proofErr w:type="spellEnd"/>
            <w:r w:rsidRPr="00A45996">
              <w:rPr>
                <w:b/>
                <w:sz w:val="20"/>
              </w:rPr>
              <w:t>-CAP</w:t>
            </w:r>
          </w:p>
          <w:p w:rsidR="001A6201" w:rsidRPr="00A45996" w:rsidRDefault="001A6201" w:rsidP="001A6201">
            <w:pPr>
              <w:keepNext/>
              <w:spacing w:before="20" w:after="20"/>
              <w:jc w:val="left"/>
              <w:rPr>
                <w:b/>
                <w:sz w:val="20"/>
              </w:rPr>
            </w:pPr>
            <w:r w:rsidRPr="00A45996">
              <w:rPr>
                <w:b/>
                <w:sz w:val="20"/>
              </w:rPr>
              <w:t>n=243 (ITT patients)</w:t>
            </w:r>
          </w:p>
        </w:tc>
        <w:tc>
          <w:tcPr>
            <w:tcW w:w="1766" w:type="dxa"/>
            <w:tcBorders>
              <w:top w:val="single" w:sz="4" w:space="0" w:color="auto"/>
              <w:bottom w:val="single" w:sz="4" w:space="0" w:color="auto"/>
              <w:right w:val="single" w:sz="4" w:space="0" w:color="auto"/>
            </w:tcBorders>
          </w:tcPr>
          <w:p w:rsidR="001A6201" w:rsidRPr="00A45996" w:rsidRDefault="001A6201" w:rsidP="001A6201">
            <w:pPr>
              <w:keepNext/>
              <w:spacing w:before="20" w:after="20"/>
              <w:jc w:val="left"/>
              <w:rPr>
                <w:b/>
                <w:sz w:val="20"/>
              </w:rPr>
            </w:pPr>
            <w:r w:rsidRPr="00A45996">
              <w:rPr>
                <w:b/>
                <w:sz w:val="20"/>
              </w:rPr>
              <w:t>R-CHOP</w:t>
            </w:r>
          </w:p>
          <w:p w:rsidR="001A6201" w:rsidRPr="00A45996" w:rsidRDefault="001A6201" w:rsidP="001A6201">
            <w:pPr>
              <w:keepNext/>
              <w:spacing w:before="20" w:after="20"/>
              <w:jc w:val="left"/>
              <w:rPr>
                <w:b/>
                <w:sz w:val="20"/>
              </w:rPr>
            </w:pPr>
            <w:r w:rsidRPr="00A45996">
              <w:rPr>
                <w:b/>
                <w:sz w:val="20"/>
              </w:rPr>
              <w:t>n=244 (ITT patients)</w:t>
            </w:r>
          </w:p>
        </w:tc>
        <w:tc>
          <w:tcPr>
            <w:tcW w:w="1985" w:type="dxa"/>
            <w:tcBorders>
              <w:top w:val="single" w:sz="4" w:space="0" w:color="auto"/>
              <w:left w:val="single" w:sz="4" w:space="0" w:color="auto"/>
              <w:right w:val="single" w:sz="4" w:space="0" w:color="auto"/>
            </w:tcBorders>
          </w:tcPr>
          <w:p w:rsidR="001A6201" w:rsidRPr="00A45996" w:rsidRDefault="001A6201" w:rsidP="001A6201">
            <w:pPr>
              <w:keepNext/>
              <w:spacing w:before="20" w:after="20"/>
              <w:rPr>
                <w:b/>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sz w:val="20"/>
              </w:rPr>
            </w:pPr>
            <w:r w:rsidRPr="00A45996">
              <w:rPr>
                <w:b/>
                <w:sz w:val="20"/>
              </w:rPr>
              <w:t>Progression free survival (IRC)</w:t>
            </w:r>
            <w:r w:rsidRPr="00A45996">
              <w:rPr>
                <w:b/>
                <w:sz w:val="20"/>
                <w:vertAlign w:val="superscript"/>
              </w:rPr>
              <w:t>a</w:t>
            </w:r>
            <w:r w:rsidRPr="00A45996">
              <w:rPr>
                <w:b/>
                <w:sz w:val="20"/>
              </w:rPr>
              <w:t xml:space="preserve"> </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r w:rsidRPr="00A45996">
              <w:rPr>
                <w:sz w:val="20"/>
              </w:rPr>
              <w:t>Events n (%)</w:t>
            </w:r>
          </w:p>
        </w:tc>
        <w:tc>
          <w:tcPr>
            <w:tcW w:w="1766" w:type="dxa"/>
            <w:tcBorders>
              <w:left w:val="nil"/>
            </w:tcBorders>
          </w:tcPr>
          <w:p w:rsidR="001A6201" w:rsidRPr="00A45996" w:rsidRDefault="001A6201" w:rsidP="001A6201">
            <w:pPr>
              <w:spacing w:before="20" w:after="20"/>
              <w:jc w:val="left"/>
              <w:rPr>
                <w:sz w:val="20"/>
                <w:u w:val="single"/>
              </w:rPr>
            </w:pPr>
            <w:r w:rsidRPr="00A45996">
              <w:rPr>
                <w:sz w:val="20"/>
              </w:rPr>
              <w:t>133 (54.7%)</w:t>
            </w:r>
          </w:p>
        </w:tc>
        <w:tc>
          <w:tcPr>
            <w:tcW w:w="1766" w:type="dxa"/>
            <w:tcBorders>
              <w:left w:val="nil"/>
            </w:tcBorders>
          </w:tcPr>
          <w:p w:rsidR="001A6201" w:rsidRPr="00A45996" w:rsidRDefault="001A6201" w:rsidP="001A6201">
            <w:pPr>
              <w:spacing w:before="20" w:after="20"/>
              <w:jc w:val="left"/>
              <w:rPr>
                <w:sz w:val="20"/>
              </w:rPr>
            </w:pPr>
            <w:r w:rsidRPr="00A45996">
              <w:rPr>
                <w:sz w:val="20"/>
              </w:rPr>
              <w:t>165 (67.6%)</w:t>
            </w:r>
          </w:p>
        </w:tc>
        <w:tc>
          <w:tcPr>
            <w:tcW w:w="1985" w:type="dxa"/>
            <w:vMerge w:val="restart"/>
            <w:tcBorders>
              <w:left w:val="nil"/>
            </w:tcBorders>
          </w:tcPr>
          <w:p w:rsidR="001A6201" w:rsidRPr="00A45996" w:rsidRDefault="001A6201" w:rsidP="001A6201">
            <w:pPr>
              <w:spacing w:before="20" w:after="20"/>
              <w:jc w:val="left"/>
              <w:rPr>
                <w:sz w:val="20"/>
              </w:rPr>
            </w:pPr>
            <w:proofErr w:type="spellStart"/>
            <w:r w:rsidRPr="00A45996">
              <w:rPr>
                <w:sz w:val="20"/>
              </w:rPr>
              <w:t>HR</w:t>
            </w:r>
            <w:r w:rsidRPr="00A45996">
              <w:rPr>
                <w:sz w:val="20"/>
                <w:vertAlign w:val="superscript"/>
              </w:rPr>
              <w:t>d</w:t>
            </w:r>
            <w:proofErr w:type="spellEnd"/>
            <w:r w:rsidRPr="00A45996">
              <w:rPr>
                <w:sz w:val="20"/>
                <w:vertAlign w:val="superscript"/>
              </w:rPr>
              <w:t xml:space="preserve"> </w:t>
            </w:r>
            <w:r w:rsidRPr="00A45996">
              <w:rPr>
                <w:sz w:val="20"/>
              </w:rPr>
              <w:t>(95% CI)=0.63 (0.50;0.79)</w:t>
            </w:r>
          </w:p>
          <w:p w:rsidR="001A6201" w:rsidRPr="00A45996" w:rsidRDefault="001A6201" w:rsidP="001A6201">
            <w:pPr>
              <w:spacing w:before="20" w:after="20"/>
              <w:jc w:val="left"/>
              <w:rPr>
                <w:sz w:val="20"/>
              </w:rPr>
            </w:pPr>
            <w:r w:rsidRPr="00A45996">
              <w:rPr>
                <w:sz w:val="20"/>
              </w:rPr>
              <w:t>p</w:t>
            </w:r>
            <w:r w:rsidRPr="00A45996">
              <w:rPr>
                <w:sz w:val="20"/>
              </w:rPr>
              <w:noBreakHyphen/>
            </w:r>
            <w:proofErr w:type="spellStart"/>
            <w:r w:rsidRPr="00A45996">
              <w:rPr>
                <w:sz w:val="20"/>
              </w:rPr>
              <w:t>value</w:t>
            </w:r>
            <w:r w:rsidRPr="00A45996">
              <w:rPr>
                <w:sz w:val="20"/>
                <w:vertAlign w:val="superscript"/>
              </w:rPr>
              <w:t>e</w:t>
            </w:r>
            <w:proofErr w:type="spellEnd"/>
            <w:r w:rsidRPr="00A45996">
              <w:rPr>
                <w:b/>
                <w:sz w:val="20"/>
              </w:rPr>
              <w:t xml:space="preserve"> </w:t>
            </w:r>
            <w:r w:rsidRPr="00A45996">
              <w:rPr>
                <w:sz w:val="20"/>
              </w:rPr>
              <w:t>&lt; 0.001</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proofErr w:type="spellStart"/>
            <w:r w:rsidRPr="00A45996">
              <w:rPr>
                <w:sz w:val="20"/>
              </w:rPr>
              <w:t>Median</w:t>
            </w:r>
            <w:r w:rsidRPr="00A45996">
              <w:rPr>
                <w:sz w:val="20"/>
                <w:vertAlign w:val="superscript"/>
              </w:rPr>
              <w:t>c</w:t>
            </w:r>
            <w:proofErr w:type="spellEnd"/>
            <w:r w:rsidRPr="00A45996">
              <w:rPr>
                <w:sz w:val="20"/>
              </w:rPr>
              <w:t xml:space="preserve"> (95% CI) (months)</w:t>
            </w:r>
          </w:p>
        </w:tc>
        <w:tc>
          <w:tcPr>
            <w:tcW w:w="1766" w:type="dxa"/>
            <w:tcBorders>
              <w:left w:val="nil"/>
            </w:tcBorders>
          </w:tcPr>
          <w:p w:rsidR="001A6201" w:rsidRPr="00A45996" w:rsidRDefault="001A6201" w:rsidP="001A6201">
            <w:pPr>
              <w:spacing w:before="20" w:after="20"/>
              <w:jc w:val="left"/>
              <w:rPr>
                <w:sz w:val="20"/>
                <w:u w:val="single"/>
              </w:rPr>
            </w:pPr>
            <w:r w:rsidRPr="00A45996">
              <w:rPr>
                <w:sz w:val="20"/>
              </w:rPr>
              <w:t>24.7 (19.8; 31.8)</w:t>
            </w:r>
          </w:p>
        </w:tc>
        <w:tc>
          <w:tcPr>
            <w:tcW w:w="1766" w:type="dxa"/>
            <w:tcBorders>
              <w:left w:val="nil"/>
            </w:tcBorders>
          </w:tcPr>
          <w:p w:rsidR="001A6201" w:rsidRPr="00A45996" w:rsidRDefault="001A6201" w:rsidP="001A6201">
            <w:pPr>
              <w:spacing w:before="20" w:after="20"/>
              <w:jc w:val="left"/>
              <w:rPr>
                <w:sz w:val="20"/>
              </w:rPr>
            </w:pPr>
            <w:r w:rsidRPr="00A45996">
              <w:rPr>
                <w:sz w:val="20"/>
              </w:rPr>
              <w:t>14.4 (12; 16.9)</w:t>
            </w:r>
          </w:p>
        </w:tc>
        <w:tc>
          <w:tcPr>
            <w:tcW w:w="1985" w:type="dxa"/>
            <w:vMerge/>
            <w:tcBorders>
              <w:left w:val="nil"/>
            </w:tcBorders>
          </w:tcPr>
          <w:p w:rsidR="001A6201" w:rsidRPr="00A45996" w:rsidRDefault="001A6201" w:rsidP="001A6201">
            <w:pPr>
              <w:spacing w:before="20" w:after="20"/>
              <w:jc w:val="left"/>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t>Progression free survival (Investigator)</w:t>
            </w:r>
            <w:r w:rsidRPr="00A45996">
              <w:rPr>
                <w:b/>
                <w:sz w:val="20"/>
                <w:vertAlign w:val="superscript"/>
              </w:rPr>
              <w:t>b</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r w:rsidRPr="00A45996">
              <w:rPr>
                <w:sz w:val="20"/>
              </w:rPr>
              <w:t>Events n (%)</w:t>
            </w:r>
          </w:p>
        </w:tc>
        <w:tc>
          <w:tcPr>
            <w:tcW w:w="1766" w:type="dxa"/>
            <w:vAlign w:val="bottom"/>
          </w:tcPr>
          <w:p w:rsidR="001A6201" w:rsidRPr="00A45996" w:rsidRDefault="001A6201" w:rsidP="001A6201">
            <w:pPr>
              <w:spacing w:before="20" w:after="20"/>
              <w:jc w:val="left"/>
              <w:rPr>
                <w:sz w:val="20"/>
              </w:rPr>
            </w:pPr>
            <w:r w:rsidRPr="00A45996">
              <w:rPr>
                <w:sz w:val="20"/>
              </w:rPr>
              <w:t>128 (52.7%)</w:t>
            </w:r>
          </w:p>
        </w:tc>
        <w:tc>
          <w:tcPr>
            <w:tcW w:w="1766" w:type="dxa"/>
            <w:tcBorders>
              <w:right w:val="nil"/>
            </w:tcBorders>
            <w:vAlign w:val="bottom"/>
          </w:tcPr>
          <w:p w:rsidR="001A6201" w:rsidRPr="00A45996" w:rsidRDefault="001A6201" w:rsidP="001A6201">
            <w:pPr>
              <w:spacing w:before="20" w:after="20"/>
              <w:jc w:val="left"/>
              <w:rPr>
                <w:sz w:val="20"/>
              </w:rPr>
            </w:pPr>
            <w:r w:rsidRPr="00A45996">
              <w:rPr>
                <w:sz w:val="20"/>
              </w:rPr>
              <w:t>179 (73.4%)</w:t>
            </w:r>
          </w:p>
        </w:tc>
        <w:tc>
          <w:tcPr>
            <w:tcW w:w="1985" w:type="dxa"/>
            <w:vMerge w:val="restart"/>
            <w:tcBorders>
              <w:right w:val="single" w:sz="4" w:space="0" w:color="auto"/>
            </w:tcBorders>
          </w:tcPr>
          <w:p w:rsidR="001A6201" w:rsidRPr="00A45996" w:rsidRDefault="001A6201" w:rsidP="001A6201">
            <w:pPr>
              <w:spacing w:before="20" w:after="20"/>
              <w:jc w:val="left"/>
              <w:rPr>
                <w:sz w:val="20"/>
              </w:rPr>
            </w:pPr>
            <w:proofErr w:type="spellStart"/>
            <w:r w:rsidRPr="00A45996">
              <w:rPr>
                <w:sz w:val="20"/>
              </w:rPr>
              <w:t>HR</w:t>
            </w:r>
            <w:r w:rsidRPr="00A45996">
              <w:rPr>
                <w:sz w:val="20"/>
                <w:vertAlign w:val="superscript"/>
              </w:rPr>
              <w:t>d</w:t>
            </w:r>
            <w:proofErr w:type="spellEnd"/>
            <w:r w:rsidRPr="00A45996">
              <w:rPr>
                <w:sz w:val="20"/>
                <w:vertAlign w:val="superscript"/>
              </w:rPr>
              <w:t xml:space="preserve"> </w:t>
            </w:r>
            <w:r w:rsidRPr="00A45996">
              <w:rPr>
                <w:sz w:val="20"/>
              </w:rPr>
              <w:t>(95% CI)=0.51 (0.41; 0.65)</w:t>
            </w:r>
          </w:p>
          <w:p w:rsidR="001A6201" w:rsidRPr="00A45996" w:rsidRDefault="001A6201" w:rsidP="001A6201">
            <w:pPr>
              <w:spacing w:before="20" w:after="20"/>
              <w:jc w:val="left"/>
              <w:rPr>
                <w:sz w:val="20"/>
              </w:rPr>
            </w:pPr>
            <w:r w:rsidRPr="00A45996">
              <w:rPr>
                <w:sz w:val="20"/>
              </w:rPr>
              <w:t>p</w:t>
            </w:r>
            <w:r w:rsidRPr="00A45996">
              <w:rPr>
                <w:sz w:val="20"/>
              </w:rPr>
              <w:noBreakHyphen/>
            </w:r>
            <w:proofErr w:type="spellStart"/>
            <w:r w:rsidRPr="00A45996">
              <w:rPr>
                <w:sz w:val="20"/>
              </w:rPr>
              <w:t>value</w:t>
            </w:r>
            <w:r w:rsidRPr="00A45996">
              <w:rPr>
                <w:sz w:val="20"/>
                <w:vertAlign w:val="superscript"/>
              </w:rPr>
              <w:t>e</w:t>
            </w:r>
            <w:proofErr w:type="spellEnd"/>
            <w:r w:rsidRPr="00A45996">
              <w:rPr>
                <w:sz w:val="20"/>
              </w:rPr>
              <w:t xml:space="preserve"> &lt; 0.001</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proofErr w:type="spellStart"/>
            <w:r w:rsidRPr="00A45996">
              <w:rPr>
                <w:sz w:val="20"/>
              </w:rPr>
              <w:t>Median</w:t>
            </w:r>
            <w:r w:rsidRPr="00A45996">
              <w:rPr>
                <w:sz w:val="20"/>
                <w:vertAlign w:val="superscript"/>
              </w:rPr>
              <w:t>c</w:t>
            </w:r>
            <w:proofErr w:type="spellEnd"/>
            <w:r w:rsidRPr="00A45996">
              <w:rPr>
                <w:sz w:val="20"/>
              </w:rPr>
              <w:t xml:space="preserve"> (95% CI) (months)</w:t>
            </w:r>
          </w:p>
        </w:tc>
        <w:tc>
          <w:tcPr>
            <w:tcW w:w="1766" w:type="dxa"/>
            <w:vAlign w:val="bottom"/>
          </w:tcPr>
          <w:p w:rsidR="001A6201" w:rsidRPr="00A45996" w:rsidRDefault="001A6201" w:rsidP="001A6201">
            <w:pPr>
              <w:spacing w:before="20" w:after="20"/>
              <w:jc w:val="left"/>
              <w:rPr>
                <w:sz w:val="20"/>
              </w:rPr>
            </w:pPr>
            <w:r w:rsidRPr="00A45996">
              <w:rPr>
                <w:sz w:val="20"/>
              </w:rPr>
              <w:t>30.7 (25.1; 37.3)</w:t>
            </w:r>
          </w:p>
        </w:tc>
        <w:tc>
          <w:tcPr>
            <w:tcW w:w="1766" w:type="dxa"/>
            <w:tcBorders>
              <w:right w:val="nil"/>
            </w:tcBorders>
            <w:vAlign w:val="bottom"/>
          </w:tcPr>
          <w:p w:rsidR="001A6201" w:rsidRPr="00A45996" w:rsidRDefault="001A6201" w:rsidP="001A6201">
            <w:pPr>
              <w:spacing w:before="20" w:after="20"/>
              <w:jc w:val="left"/>
              <w:rPr>
                <w:sz w:val="20"/>
              </w:rPr>
            </w:pPr>
            <w:r w:rsidRPr="00A45996">
              <w:rPr>
                <w:sz w:val="20"/>
              </w:rPr>
              <w:t>16.1 (14.0; 18.4)</w:t>
            </w:r>
          </w:p>
        </w:tc>
        <w:tc>
          <w:tcPr>
            <w:tcW w:w="1985" w:type="dxa"/>
            <w:vMerge/>
            <w:tcBorders>
              <w:right w:val="single" w:sz="4" w:space="0" w:color="auto"/>
            </w:tcBorders>
          </w:tcPr>
          <w:p w:rsidR="001A6201" w:rsidRPr="00A45996" w:rsidRDefault="001A6201" w:rsidP="001A6201">
            <w:pPr>
              <w:spacing w:before="20" w:after="20"/>
              <w:jc w:val="left"/>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t xml:space="preserve">Time to </w:t>
            </w:r>
            <w:proofErr w:type="spellStart"/>
            <w:r w:rsidRPr="00A45996">
              <w:rPr>
                <w:b/>
                <w:sz w:val="20"/>
              </w:rPr>
              <w:t>Progression</w:t>
            </w:r>
            <w:r w:rsidRPr="00A45996">
              <w:rPr>
                <w:b/>
                <w:sz w:val="20"/>
                <w:vertAlign w:val="superscript"/>
              </w:rPr>
              <w:t>a</w:t>
            </w:r>
            <w:proofErr w:type="spellEnd"/>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b/>
                <w:sz w:val="20"/>
              </w:rPr>
            </w:pPr>
            <w:r w:rsidRPr="00A45996">
              <w:rPr>
                <w:sz w:val="20"/>
              </w:rPr>
              <w:t>Events n (%)</w:t>
            </w:r>
          </w:p>
        </w:tc>
        <w:tc>
          <w:tcPr>
            <w:tcW w:w="1766" w:type="dxa"/>
          </w:tcPr>
          <w:p w:rsidR="001A6201" w:rsidRPr="00A45996" w:rsidRDefault="001A6201" w:rsidP="001A6201">
            <w:pPr>
              <w:spacing w:before="20" w:after="20"/>
              <w:jc w:val="left"/>
              <w:rPr>
                <w:sz w:val="20"/>
              </w:rPr>
            </w:pPr>
            <w:r w:rsidRPr="00A45996">
              <w:rPr>
                <w:sz w:val="20"/>
              </w:rPr>
              <w:t>114 (46.9%)</w:t>
            </w:r>
          </w:p>
        </w:tc>
        <w:tc>
          <w:tcPr>
            <w:tcW w:w="1766" w:type="dxa"/>
            <w:tcBorders>
              <w:right w:val="nil"/>
            </w:tcBorders>
          </w:tcPr>
          <w:p w:rsidR="001A6201" w:rsidRPr="00A45996" w:rsidRDefault="001A6201" w:rsidP="001A6201">
            <w:pPr>
              <w:spacing w:before="20" w:after="20"/>
              <w:jc w:val="left"/>
              <w:rPr>
                <w:sz w:val="20"/>
              </w:rPr>
            </w:pPr>
            <w:r w:rsidRPr="00A45996">
              <w:rPr>
                <w:sz w:val="20"/>
              </w:rPr>
              <w:t>148 (60.7%)</w:t>
            </w:r>
          </w:p>
        </w:tc>
        <w:tc>
          <w:tcPr>
            <w:tcW w:w="1985" w:type="dxa"/>
            <w:vMerge w:val="restart"/>
            <w:tcBorders>
              <w:right w:val="single" w:sz="4" w:space="0" w:color="auto"/>
            </w:tcBorders>
          </w:tcPr>
          <w:p w:rsidR="001A6201" w:rsidRPr="00A45996" w:rsidRDefault="001A6201" w:rsidP="001A6201">
            <w:pPr>
              <w:spacing w:before="20" w:after="20"/>
              <w:jc w:val="left"/>
              <w:rPr>
                <w:sz w:val="20"/>
              </w:rPr>
            </w:pPr>
            <w:proofErr w:type="spellStart"/>
            <w:r w:rsidRPr="00A45996">
              <w:rPr>
                <w:sz w:val="20"/>
              </w:rPr>
              <w:t>HR</w:t>
            </w:r>
            <w:r w:rsidRPr="00A45996">
              <w:rPr>
                <w:sz w:val="20"/>
                <w:vertAlign w:val="superscript"/>
              </w:rPr>
              <w:t>d</w:t>
            </w:r>
            <w:proofErr w:type="spellEnd"/>
            <w:r w:rsidRPr="00A45996">
              <w:rPr>
                <w:sz w:val="20"/>
                <w:vertAlign w:val="superscript"/>
              </w:rPr>
              <w:t xml:space="preserve"> </w:t>
            </w:r>
            <w:r w:rsidRPr="00A45996">
              <w:rPr>
                <w:sz w:val="20"/>
              </w:rPr>
              <w:t>(95% CI)=0.58 (0.45;0.74)</w:t>
            </w:r>
          </w:p>
          <w:p w:rsidR="001A6201" w:rsidRPr="00A45996" w:rsidRDefault="001A6201" w:rsidP="001A6201">
            <w:pPr>
              <w:spacing w:before="20" w:after="20"/>
              <w:jc w:val="left"/>
              <w:rPr>
                <w:sz w:val="20"/>
              </w:rPr>
            </w:pPr>
            <w:r w:rsidRPr="00A45996">
              <w:rPr>
                <w:sz w:val="20"/>
              </w:rPr>
              <w:t>p</w:t>
            </w:r>
            <w:r w:rsidRPr="00A45996">
              <w:rPr>
                <w:sz w:val="20"/>
              </w:rPr>
              <w:noBreakHyphen/>
            </w:r>
            <w:proofErr w:type="spellStart"/>
            <w:r w:rsidRPr="00A45996">
              <w:rPr>
                <w:sz w:val="20"/>
              </w:rPr>
              <w:t>value</w:t>
            </w:r>
            <w:r w:rsidRPr="00A45996">
              <w:rPr>
                <w:sz w:val="20"/>
                <w:vertAlign w:val="superscript"/>
              </w:rPr>
              <w:t>e</w:t>
            </w:r>
            <w:proofErr w:type="spellEnd"/>
            <w:r w:rsidRPr="00A45996">
              <w:rPr>
                <w:sz w:val="20"/>
              </w:rPr>
              <w:t xml:space="preserve"> &lt; 0.001</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b/>
                <w:sz w:val="20"/>
              </w:rPr>
            </w:pPr>
            <w:proofErr w:type="spellStart"/>
            <w:r w:rsidRPr="00A45996">
              <w:rPr>
                <w:sz w:val="20"/>
              </w:rPr>
              <w:t>Median</w:t>
            </w:r>
            <w:r w:rsidRPr="00A45996">
              <w:rPr>
                <w:sz w:val="20"/>
                <w:vertAlign w:val="superscript"/>
              </w:rPr>
              <w:t>c</w:t>
            </w:r>
            <w:proofErr w:type="spellEnd"/>
            <w:r w:rsidRPr="00A45996">
              <w:rPr>
                <w:sz w:val="20"/>
              </w:rPr>
              <w:t>(95% CI) (months)</w:t>
            </w:r>
          </w:p>
        </w:tc>
        <w:tc>
          <w:tcPr>
            <w:tcW w:w="1766" w:type="dxa"/>
          </w:tcPr>
          <w:p w:rsidR="001A6201" w:rsidRPr="00A45996" w:rsidRDefault="001A6201" w:rsidP="001A6201">
            <w:pPr>
              <w:spacing w:before="20" w:after="20"/>
              <w:jc w:val="left"/>
              <w:rPr>
                <w:sz w:val="20"/>
              </w:rPr>
            </w:pPr>
            <w:r w:rsidRPr="00A45996">
              <w:rPr>
                <w:sz w:val="20"/>
              </w:rPr>
              <w:t>30.5 (22.9; 40.9)</w:t>
            </w:r>
          </w:p>
        </w:tc>
        <w:tc>
          <w:tcPr>
            <w:tcW w:w="1766" w:type="dxa"/>
            <w:tcBorders>
              <w:right w:val="nil"/>
            </w:tcBorders>
          </w:tcPr>
          <w:p w:rsidR="001A6201" w:rsidRPr="00A45996" w:rsidRDefault="001A6201" w:rsidP="001A6201">
            <w:pPr>
              <w:spacing w:before="20" w:after="20"/>
              <w:jc w:val="left"/>
              <w:rPr>
                <w:sz w:val="20"/>
              </w:rPr>
            </w:pPr>
            <w:r w:rsidRPr="00A45996">
              <w:rPr>
                <w:sz w:val="20"/>
              </w:rPr>
              <w:t>16.1 (13.7;18.1)</w:t>
            </w:r>
          </w:p>
        </w:tc>
        <w:tc>
          <w:tcPr>
            <w:tcW w:w="1985" w:type="dxa"/>
            <w:vMerge/>
            <w:tcBorders>
              <w:right w:val="single" w:sz="4" w:space="0" w:color="auto"/>
            </w:tcBorders>
          </w:tcPr>
          <w:p w:rsidR="001A6201" w:rsidRPr="00A45996" w:rsidRDefault="001A6201" w:rsidP="001A6201">
            <w:pPr>
              <w:spacing w:before="20" w:after="20"/>
              <w:jc w:val="left"/>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lastRenderedPageBreak/>
              <w:t>Time to Next Anti-lymphoma Therapy</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r w:rsidRPr="00A45996">
              <w:rPr>
                <w:sz w:val="20"/>
              </w:rPr>
              <w:t>Events n (%)</w:t>
            </w:r>
          </w:p>
        </w:tc>
        <w:tc>
          <w:tcPr>
            <w:tcW w:w="1766" w:type="dxa"/>
            <w:vAlign w:val="bottom"/>
          </w:tcPr>
          <w:p w:rsidR="001A6201" w:rsidRPr="00A45996" w:rsidRDefault="001A6201" w:rsidP="001A6201">
            <w:pPr>
              <w:spacing w:before="20" w:after="20"/>
              <w:jc w:val="left"/>
              <w:rPr>
                <w:sz w:val="20"/>
              </w:rPr>
            </w:pPr>
            <w:r w:rsidRPr="00A45996">
              <w:rPr>
                <w:sz w:val="20"/>
              </w:rPr>
              <w:t>94 (38.7%)</w:t>
            </w:r>
          </w:p>
        </w:tc>
        <w:tc>
          <w:tcPr>
            <w:tcW w:w="1766" w:type="dxa"/>
            <w:vAlign w:val="bottom"/>
          </w:tcPr>
          <w:p w:rsidR="001A6201" w:rsidRPr="00A45996" w:rsidRDefault="001A6201" w:rsidP="001A6201">
            <w:pPr>
              <w:spacing w:before="20" w:after="20"/>
              <w:jc w:val="left"/>
              <w:rPr>
                <w:sz w:val="20"/>
              </w:rPr>
            </w:pPr>
            <w:r w:rsidRPr="00A45996">
              <w:rPr>
                <w:sz w:val="20"/>
              </w:rPr>
              <w:t>145 (59.4%)</w:t>
            </w:r>
          </w:p>
        </w:tc>
        <w:tc>
          <w:tcPr>
            <w:tcW w:w="1985" w:type="dxa"/>
            <w:vMerge w:val="restart"/>
          </w:tcPr>
          <w:p w:rsidR="001A6201" w:rsidRPr="00A45996" w:rsidRDefault="001A6201" w:rsidP="001A6201">
            <w:pPr>
              <w:spacing w:before="20" w:after="20"/>
              <w:jc w:val="left"/>
              <w:rPr>
                <w:sz w:val="20"/>
              </w:rPr>
            </w:pPr>
            <w:proofErr w:type="spellStart"/>
            <w:r w:rsidRPr="00A45996">
              <w:rPr>
                <w:sz w:val="20"/>
              </w:rPr>
              <w:t>HR</w:t>
            </w:r>
            <w:r w:rsidRPr="00A45996">
              <w:rPr>
                <w:sz w:val="20"/>
                <w:vertAlign w:val="superscript"/>
              </w:rPr>
              <w:t>d</w:t>
            </w:r>
            <w:proofErr w:type="spellEnd"/>
            <w:r w:rsidRPr="00A45996">
              <w:rPr>
                <w:sz w:val="20"/>
              </w:rPr>
              <w:t xml:space="preserve"> (95% CI)=0.50 (0.38;0.65) </w:t>
            </w:r>
          </w:p>
          <w:p w:rsidR="001A6201" w:rsidRPr="00A45996" w:rsidRDefault="001A6201" w:rsidP="001A6201">
            <w:pPr>
              <w:spacing w:before="20" w:after="20"/>
              <w:jc w:val="left"/>
              <w:rPr>
                <w:sz w:val="20"/>
              </w:rPr>
            </w:pPr>
            <w:r w:rsidRPr="00A45996">
              <w:rPr>
                <w:sz w:val="20"/>
              </w:rPr>
              <w:t>p</w:t>
            </w:r>
            <w:r w:rsidRPr="00A45996">
              <w:rPr>
                <w:sz w:val="20"/>
              </w:rPr>
              <w:noBreakHyphen/>
            </w:r>
            <w:proofErr w:type="spellStart"/>
            <w:r w:rsidRPr="00A45996">
              <w:rPr>
                <w:sz w:val="20"/>
              </w:rPr>
              <w:t>value</w:t>
            </w:r>
            <w:r w:rsidRPr="00A45996">
              <w:rPr>
                <w:sz w:val="20"/>
                <w:vertAlign w:val="superscript"/>
              </w:rPr>
              <w:t>e</w:t>
            </w:r>
            <w:proofErr w:type="spellEnd"/>
            <w:r w:rsidRPr="00A45996">
              <w:rPr>
                <w:sz w:val="20"/>
              </w:rPr>
              <w:t xml:space="preserve"> &lt; 0.001</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proofErr w:type="spellStart"/>
            <w:r w:rsidRPr="00A45996">
              <w:rPr>
                <w:sz w:val="20"/>
              </w:rPr>
              <w:t>Median</w:t>
            </w:r>
            <w:r w:rsidRPr="00A45996">
              <w:rPr>
                <w:sz w:val="20"/>
                <w:vertAlign w:val="superscript"/>
              </w:rPr>
              <w:t>c</w:t>
            </w:r>
            <w:proofErr w:type="spellEnd"/>
            <w:r w:rsidRPr="00A45996">
              <w:rPr>
                <w:sz w:val="20"/>
              </w:rPr>
              <w:t xml:space="preserve"> (95% CI) (months)</w:t>
            </w:r>
          </w:p>
        </w:tc>
        <w:tc>
          <w:tcPr>
            <w:tcW w:w="1766" w:type="dxa"/>
          </w:tcPr>
          <w:p w:rsidR="001A6201" w:rsidRPr="00A45996" w:rsidRDefault="001A6201" w:rsidP="001A6201">
            <w:pPr>
              <w:spacing w:before="20" w:after="20"/>
              <w:jc w:val="left"/>
              <w:rPr>
                <w:sz w:val="20"/>
              </w:rPr>
            </w:pPr>
            <w:r w:rsidRPr="00A45996">
              <w:rPr>
                <w:sz w:val="20"/>
              </w:rPr>
              <w:t>44.5 (38.8; NE)</w:t>
            </w:r>
          </w:p>
        </w:tc>
        <w:tc>
          <w:tcPr>
            <w:tcW w:w="1766" w:type="dxa"/>
          </w:tcPr>
          <w:p w:rsidR="001A6201" w:rsidRPr="00A45996" w:rsidRDefault="001A6201" w:rsidP="001A6201">
            <w:pPr>
              <w:spacing w:before="20" w:after="20"/>
              <w:jc w:val="left"/>
              <w:rPr>
                <w:sz w:val="20"/>
              </w:rPr>
            </w:pPr>
            <w:r w:rsidRPr="00A45996">
              <w:rPr>
                <w:sz w:val="20"/>
              </w:rPr>
              <w:t>24.8 (22.1; 27.5)</w:t>
            </w:r>
          </w:p>
        </w:tc>
        <w:tc>
          <w:tcPr>
            <w:tcW w:w="1985" w:type="dxa"/>
            <w:vMerge/>
          </w:tcPr>
          <w:p w:rsidR="001A6201" w:rsidRPr="00A45996" w:rsidRDefault="001A6201" w:rsidP="001A6201">
            <w:pPr>
              <w:spacing w:before="20" w:after="20"/>
              <w:jc w:val="left"/>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t xml:space="preserve">Treatment Free Interval </w:t>
            </w:r>
          </w:p>
        </w:tc>
      </w:tr>
      <w:tr w:rsidR="00A45996" w:rsidRPr="00A45996" w:rsidTr="00A45996">
        <w:trPr>
          <w:cantSplit/>
        </w:trPr>
        <w:tc>
          <w:tcPr>
            <w:tcW w:w="2813" w:type="dxa"/>
            <w:tcBorders>
              <w:left w:val="single" w:sz="4" w:space="0" w:color="auto"/>
            </w:tcBorders>
          </w:tcPr>
          <w:p w:rsidR="00A45996" w:rsidRPr="00A45996" w:rsidRDefault="00A45996" w:rsidP="001A6201">
            <w:pPr>
              <w:spacing w:before="20" w:after="20"/>
              <w:jc w:val="left"/>
              <w:rPr>
                <w:sz w:val="20"/>
              </w:rPr>
            </w:pPr>
            <w:r w:rsidRPr="00A45996">
              <w:rPr>
                <w:sz w:val="20"/>
              </w:rPr>
              <w:t>n: All Treated Patients</w:t>
            </w:r>
          </w:p>
        </w:tc>
        <w:tc>
          <w:tcPr>
            <w:tcW w:w="1766" w:type="dxa"/>
            <w:vAlign w:val="bottom"/>
          </w:tcPr>
          <w:p w:rsidR="00A45996" w:rsidRPr="00A45996" w:rsidRDefault="00A45996" w:rsidP="001A6201">
            <w:pPr>
              <w:spacing w:before="20" w:after="20"/>
              <w:jc w:val="left"/>
              <w:rPr>
                <w:sz w:val="20"/>
              </w:rPr>
            </w:pPr>
            <w:r w:rsidRPr="00A45996">
              <w:rPr>
                <w:sz w:val="20"/>
              </w:rPr>
              <w:t>240</w:t>
            </w:r>
          </w:p>
        </w:tc>
        <w:tc>
          <w:tcPr>
            <w:tcW w:w="1766" w:type="dxa"/>
            <w:vAlign w:val="bottom"/>
          </w:tcPr>
          <w:p w:rsidR="00A45996" w:rsidRPr="00A45996" w:rsidRDefault="00A45996" w:rsidP="001A6201">
            <w:pPr>
              <w:spacing w:before="20" w:after="20"/>
              <w:jc w:val="left"/>
              <w:rPr>
                <w:sz w:val="20"/>
              </w:rPr>
            </w:pPr>
            <w:r w:rsidRPr="00A45996">
              <w:rPr>
                <w:sz w:val="20"/>
              </w:rPr>
              <w:t>242</w:t>
            </w:r>
          </w:p>
        </w:tc>
        <w:tc>
          <w:tcPr>
            <w:tcW w:w="1985" w:type="dxa"/>
          </w:tcPr>
          <w:p w:rsidR="00A45996" w:rsidRPr="00A45996" w:rsidRDefault="00A45996" w:rsidP="001A6201">
            <w:pPr>
              <w:spacing w:before="20" w:after="20"/>
              <w:jc w:val="left"/>
              <w:rPr>
                <w:sz w:val="20"/>
              </w:rPr>
            </w:pP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r w:rsidRPr="00A45996">
              <w:rPr>
                <w:sz w:val="20"/>
              </w:rPr>
              <w:t>Events n (%)</w:t>
            </w:r>
          </w:p>
        </w:tc>
        <w:tc>
          <w:tcPr>
            <w:tcW w:w="1766" w:type="dxa"/>
            <w:vAlign w:val="bottom"/>
          </w:tcPr>
          <w:p w:rsidR="001A6201" w:rsidRPr="00A45996" w:rsidRDefault="001A6201" w:rsidP="001A6201">
            <w:pPr>
              <w:spacing w:before="20" w:after="20"/>
              <w:jc w:val="left"/>
              <w:rPr>
                <w:sz w:val="20"/>
              </w:rPr>
            </w:pPr>
            <w:r w:rsidRPr="00A45996">
              <w:rPr>
                <w:sz w:val="20"/>
              </w:rPr>
              <w:t>93 (38.8%)</w:t>
            </w:r>
          </w:p>
        </w:tc>
        <w:tc>
          <w:tcPr>
            <w:tcW w:w="1766" w:type="dxa"/>
            <w:vAlign w:val="bottom"/>
          </w:tcPr>
          <w:p w:rsidR="001A6201" w:rsidRPr="00A45996" w:rsidRDefault="001A6201" w:rsidP="001A6201">
            <w:pPr>
              <w:spacing w:before="20" w:after="20"/>
              <w:jc w:val="left"/>
              <w:rPr>
                <w:sz w:val="20"/>
              </w:rPr>
            </w:pPr>
            <w:r w:rsidRPr="00A45996">
              <w:rPr>
                <w:sz w:val="20"/>
              </w:rPr>
              <w:t>145 (59.9%)</w:t>
            </w:r>
          </w:p>
        </w:tc>
        <w:tc>
          <w:tcPr>
            <w:tcW w:w="1985" w:type="dxa"/>
            <w:vMerge w:val="restart"/>
          </w:tcPr>
          <w:p w:rsidR="001A6201" w:rsidRPr="00A45996" w:rsidRDefault="001A6201" w:rsidP="001A6201">
            <w:pPr>
              <w:spacing w:before="20" w:after="20"/>
              <w:jc w:val="left"/>
              <w:rPr>
                <w:sz w:val="20"/>
              </w:rPr>
            </w:pPr>
            <w:proofErr w:type="spellStart"/>
            <w:r w:rsidRPr="00A45996">
              <w:rPr>
                <w:sz w:val="20"/>
              </w:rPr>
              <w:t>HR</w:t>
            </w:r>
            <w:r w:rsidRPr="00A45996">
              <w:rPr>
                <w:sz w:val="20"/>
                <w:vertAlign w:val="superscript"/>
              </w:rPr>
              <w:t>d</w:t>
            </w:r>
            <w:proofErr w:type="spellEnd"/>
            <w:r w:rsidRPr="00A45996">
              <w:rPr>
                <w:sz w:val="20"/>
              </w:rPr>
              <w:t xml:space="preserve"> (95% CI)=0.50 (0.38; 0.65)</w:t>
            </w:r>
          </w:p>
          <w:p w:rsidR="001A6201" w:rsidRPr="00A45996" w:rsidRDefault="001A6201" w:rsidP="001A6201">
            <w:pPr>
              <w:spacing w:before="20" w:after="20"/>
              <w:jc w:val="left"/>
              <w:rPr>
                <w:sz w:val="20"/>
              </w:rPr>
            </w:pPr>
            <w:r w:rsidRPr="00A45996">
              <w:rPr>
                <w:sz w:val="20"/>
              </w:rPr>
              <w:t>p</w:t>
            </w:r>
            <w:r w:rsidRPr="00A45996">
              <w:rPr>
                <w:sz w:val="20"/>
              </w:rPr>
              <w:noBreakHyphen/>
            </w:r>
            <w:proofErr w:type="spellStart"/>
            <w:r w:rsidRPr="00A45996">
              <w:rPr>
                <w:sz w:val="20"/>
              </w:rPr>
              <w:t>value</w:t>
            </w:r>
            <w:r w:rsidRPr="00A45996">
              <w:rPr>
                <w:sz w:val="20"/>
                <w:vertAlign w:val="superscript"/>
              </w:rPr>
              <w:t>e</w:t>
            </w:r>
            <w:proofErr w:type="spellEnd"/>
            <w:r w:rsidRPr="00A45996">
              <w:rPr>
                <w:sz w:val="20"/>
              </w:rPr>
              <w:t xml:space="preserve"> &lt; 0.001</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proofErr w:type="spellStart"/>
            <w:r w:rsidRPr="00A45996">
              <w:rPr>
                <w:sz w:val="20"/>
              </w:rPr>
              <w:t>Median</w:t>
            </w:r>
            <w:r w:rsidRPr="00A45996">
              <w:rPr>
                <w:sz w:val="20"/>
                <w:vertAlign w:val="superscript"/>
              </w:rPr>
              <w:t>c</w:t>
            </w:r>
            <w:proofErr w:type="spellEnd"/>
            <w:r w:rsidRPr="00A45996">
              <w:rPr>
                <w:sz w:val="20"/>
              </w:rPr>
              <w:t xml:space="preserve"> (95% CI) (months)</w:t>
            </w:r>
          </w:p>
        </w:tc>
        <w:tc>
          <w:tcPr>
            <w:tcW w:w="1766" w:type="dxa"/>
            <w:vAlign w:val="bottom"/>
          </w:tcPr>
          <w:p w:rsidR="001A6201" w:rsidRPr="00A45996" w:rsidRDefault="001A6201" w:rsidP="001A6201">
            <w:pPr>
              <w:spacing w:before="20" w:after="20"/>
              <w:jc w:val="left"/>
              <w:rPr>
                <w:sz w:val="20"/>
              </w:rPr>
            </w:pPr>
            <w:r w:rsidRPr="00A45996">
              <w:rPr>
                <w:sz w:val="20"/>
              </w:rPr>
              <w:t>40.6 (33.6; NE)</w:t>
            </w:r>
          </w:p>
        </w:tc>
        <w:tc>
          <w:tcPr>
            <w:tcW w:w="1766" w:type="dxa"/>
            <w:vAlign w:val="bottom"/>
          </w:tcPr>
          <w:p w:rsidR="001A6201" w:rsidRPr="00A45996" w:rsidRDefault="001A6201" w:rsidP="001A6201">
            <w:pPr>
              <w:spacing w:before="20" w:after="20"/>
              <w:jc w:val="left"/>
              <w:rPr>
                <w:sz w:val="20"/>
              </w:rPr>
            </w:pPr>
            <w:r w:rsidRPr="00A45996">
              <w:rPr>
                <w:sz w:val="20"/>
              </w:rPr>
              <w:t>20.5 (17.8; 22.8)</w:t>
            </w:r>
          </w:p>
        </w:tc>
        <w:tc>
          <w:tcPr>
            <w:tcW w:w="1985" w:type="dxa"/>
            <w:vMerge/>
          </w:tcPr>
          <w:p w:rsidR="001A6201" w:rsidRPr="00A45996" w:rsidRDefault="001A6201" w:rsidP="001A6201">
            <w:pPr>
              <w:spacing w:before="20" w:after="20"/>
              <w:jc w:val="left"/>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t>Overall survival</w:t>
            </w:r>
          </w:p>
        </w:tc>
      </w:tr>
      <w:tr w:rsidR="00A45996" w:rsidRPr="00A45996" w:rsidTr="00A45996">
        <w:trPr>
          <w:cantSplit/>
        </w:trPr>
        <w:tc>
          <w:tcPr>
            <w:tcW w:w="2813" w:type="dxa"/>
            <w:tcBorders>
              <w:left w:val="single" w:sz="4" w:space="0" w:color="auto"/>
            </w:tcBorders>
          </w:tcPr>
          <w:p w:rsidR="00A45996" w:rsidRPr="00A45996" w:rsidRDefault="00A45996" w:rsidP="001A6201">
            <w:pPr>
              <w:spacing w:before="20" w:after="20"/>
              <w:jc w:val="left"/>
              <w:rPr>
                <w:sz w:val="20"/>
              </w:rPr>
            </w:pPr>
            <w:r w:rsidRPr="00A45996">
              <w:rPr>
                <w:sz w:val="20"/>
              </w:rPr>
              <w:t>n: ITT patients</w:t>
            </w:r>
          </w:p>
        </w:tc>
        <w:tc>
          <w:tcPr>
            <w:tcW w:w="1766" w:type="dxa"/>
          </w:tcPr>
          <w:p w:rsidR="00A45996" w:rsidRPr="00A45996" w:rsidRDefault="00A45996" w:rsidP="001A6201">
            <w:pPr>
              <w:spacing w:before="20" w:after="20"/>
              <w:jc w:val="left"/>
              <w:rPr>
                <w:sz w:val="20"/>
              </w:rPr>
            </w:pPr>
            <w:r w:rsidRPr="00A45996">
              <w:rPr>
                <w:sz w:val="20"/>
                <w:u w:val="single"/>
              </w:rPr>
              <w:t>243</w:t>
            </w:r>
          </w:p>
        </w:tc>
        <w:tc>
          <w:tcPr>
            <w:tcW w:w="1766" w:type="dxa"/>
          </w:tcPr>
          <w:p w:rsidR="00A45996" w:rsidRPr="00A45996" w:rsidRDefault="00A45996" w:rsidP="001A6201">
            <w:pPr>
              <w:spacing w:before="20" w:after="20"/>
              <w:jc w:val="left"/>
              <w:rPr>
                <w:sz w:val="20"/>
              </w:rPr>
            </w:pPr>
            <w:r w:rsidRPr="00A45996">
              <w:rPr>
                <w:sz w:val="20"/>
              </w:rPr>
              <w:t>244</w:t>
            </w:r>
          </w:p>
        </w:tc>
        <w:tc>
          <w:tcPr>
            <w:tcW w:w="1985" w:type="dxa"/>
          </w:tcPr>
          <w:p w:rsidR="00A45996" w:rsidRPr="00A45996" w:rsidRDefault="00A45996" w:rsidP="001A6201">
            <w:pPr>
              <w:spacing w:before="20" w:after="20"/>
              <w:jc w:val="left"/>
              <w:rPr>
                <w:sz w:val="20"/>
              </w:rPr>
            </w:pP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r w:rsidRPr="00A45996">
              <w:rPr>
                <w:sz w:val="20"/>
              </w:rPr>
              <w:t>Events n (%)</w:t>
            </w:r>
          </w:p>
        </w:tc>
        <w:tc>
          <w:tcPr>
            <w:tcW w:w="1766" w:type="dxa"/>
            <w:vAlign w:val="bottom"/>
          </w:tcPr>
          <w:p w:rsidR="001A6201" w:rsidRPr="00A45996" w:rsidRDefault="001A6201" w:rsidP="001A6201">
            <w:pPr>
              <w:spacing w:before="20" w:after="20"/>
              <w:jc w:val="left"/>
              <w:rPr>
                <w:sz w:val="20"/>
              </w:rPr>
            </w:pPr>
            <w:r w:rsidRPr="00A45996">
              <w:rPr>
                <w:sz w:val="20"/>
              </w:rPr>
              <w:t>71 (29.2%)</w:t>
            </w:r>
          </w:p>
        </w:tc>
        <w:tc>
          <w:tcPr>
            <w:tcW w:w="1766" w:type="dxa"/>
            <w:vAlign w:val="bottom"/>
          </w:tcPr>
          <w:p w:rsidR="001A6201" w:rsidRPr="00A45996" w:rsidRDefault="001A6201" w:rsidP="001A6201">
            <w:pPr>
              <w:spacing w:before="20" w:after="20"/>
              <w:jc w:val="left"/>
              <w:rPr>
                <w:sz w:val="20"/>
              </w:rPr>
            </w:pPr>
            <w:r w:rsidRPr="00A45996">
              <w:rPr>
                <w:sz w:val="20"/>
              </w:rPr>
              <w:t>87 (35.7%)</w:t>
            </w:r>
          </w:p>
        </w:tc>
        <w:tc>
          <w:tcPr>
            <w:tcW w:w="1985" w:type="dxa"/>
            <w:vMerge w:val="restart"/>
          </w:tcPr>
          <w:p w:rsidR="001A6201" w:rsidRPr="00A45996" w:rsidRDefault="001A6201" w:rsidP="001A6201">
            <w:pPr>
              <w:spacing w:before="20" w:after="20"/>
              <w:jc w:val="left"/>
              <w:rPr>
                <w:sz w:val="20"/>
              </w:rPr>
            </w:pPr>
            <w:proofErr w:type="spellStart"/>
            <w:r w:rsidRPr="00A45996">
              <w:rPr>
                <w:sz w:val="20"/>
              </w:rPr>
              <w:t>HR</w:t>
            </w:r>
            <w:r w:rsidRPr="00A45996">
              <w:rPr>
                <w:sz w:val="20"/>
                <w:vertAlign w:val="superscript"/>
              </w:rPr>
              <w:t>d</w:t>
            </w:r>
            <w:proofErr w:type="spellEnd"/>
            <w:r w:rsidRPr="00A45996">
              <w:rPr>
                <w:sz w:val="20"/>
              </w:rPr>
              <w:t xml:space="preserve"> (95% CI)=0.80 (0.59; 1.10)</w:t>
            </w:r>
          </w:p>
          <w:p w:rsidR="001A6201" w:rsidRPr="00A45996" w:rsidRDefault="001A6201" w:rsidP="001A6201">
            <w:pPr>
              <w:spacing w:before="20" w:after="20"/>
              <w:jc w:val="left"/>
              <w:rPr>
                <w:sz w:val="20"/>
              </w:rPr>
            </w:pPr>
            <w:r w:rsidRPr="00A45996">
              <w:rPr>
                <w:sz w:val="20"/>
              </w:rPr>
              <w:t>p</w:t>
            </w:r>
            <w:r w:rsidRPr="00A45996">
              <w:rPr>
                <w:sz w:val="20"/>
              </w:rPr>
              <w:noBreakHyphen/>
            </w:r>
            <w:proofErr w:type="spellStart"/>
            <w:r w:rsidRPr="00A45996">
              <w:rPr>
                <w:sz w:val="20"/>
              </w:rPr>
              <w:t>value</w:t>
            </w:r>
            <w:r w:rsidRPr="00A45996">
              <w:rPr>
                <w:sz w:val="20"/>
                <w:vertAlign w:val="superscript"/>
              </w:rPr>
              <w:t>e</w:t>
            </w:r>
            <w:proofErr w:type="spellEnd"/>
            <w:r w:rsidRPr="00A45996">
              <w:rPr>
                <w:sz w:val="20"/>
                <w:vertAlign w:val="superscript"/>
              </w:rPr>
              <w:t xml:space="preserve"> </w:t>
            </w:r>
            <w:r w:rsidRPr="00A45996">
              <w:rPr>
                <w:sz w:val="20"/>
              </w:rPr>
              <w:t>=0.173</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proofErr w:type="spellStart"/>
            <w:r w:rsidRPr="00A45996">
              <w:rPr>
                <w:sz w:val="20"/>
              </w:rPr>
              <w:t>Median</w:t>
            </w:r>
            <w:r w:rsidRPr="00A45996">
              <w:rPr>
                <w:sz w:val="20"/>
                <w:vertAlign w:val="superscript"/>
              </w:rPr>
              <w:t>c</w:t>
            </w:r>
            <w:proofErr w:type="spellEnd"/>
            <w:r w:rsidRPr="00A45996">
              <w:rPr>
                <w:sz w:val="20"/>
              </w:rPr>
              <w:t>(95% CI) (months)</w:t>
            </w:r>
          </w:p>
        </w:tc>
        <w:tc>
          <w:tcPr>
            <w:tcW w:w="1766" w:type="dxa"/>
          </w:tcPr>
          <w:p w:rsidR="001A6201" w:rsidRPr="00A45996" w:rsidRDefault="001A6201" w:rsidP="001A6201">
            <w:pPr>
              <w:spacing w:before="20" w:after="20"/>
              <w:jc w:val="left"/>
              <w:rPr>
                <w:sz w:val="20"/>
              </w:rPr>
            </w:pPr>
            <w:r w:rsidRPr="00A45996">
              <w:rPr>
                <w:sz w:val="20"/>
              </w:rPr>
              <w:t>NE (56.0; NE)</w:t>
            </w:r>
          </w:p>
        </w:tc>
        <w:tc>
          <w:tcPr>
            <w:tcW w:w="1766" w:type="dxa"/>
            <w:vAlign w:val="bottom"/>
          </w:tcPr>
          <w:p w:rsidR="001A6201" w:rsidRPr="00A45996" w:rsidRDefault="001A6201" w:rsidP="001A6201">
            <w:pPr>
              <w:spacing w:before="20" w:after="20"/>
              <w:jc w:val="left"/>
              <w:rPr>
                <w:sz w:val="20"/>
              </w:rPr>
            </w:pPr>
            <w:r w:rsidRPr="00A45996">
              <w:rPr>
                <w:sz w:val="20"/>
              </w:rPr>
              <w:t>56.3 (47.2; NE)</w:t>
            </w:r>
          </w:p>
        </w:tc>
        <w:tc>
          <w:tcPr>
            <w:tcW w:w="1985" w:type="dxa"/>
            <w:vMerge/>
          </w:tcPr>
          <w:p w:rsidR="001A6201" w:rsidRPr="00A45996" w:rsidRDefault="001A6201" w:rsidP="001A6201">
            <w:pPr>
              <w:spacing w:before="20" w:after="20"/>
              <w:jc w:val="left"/>
              <w:rPr>
                <w:sz w:val="20"/>
              </w:rPr>
            </w:pPr>
          </w:p>
        </w:tc>
      </w:tr>
      <w:tr w:rsidR="00A45996" w:rsidRPr="00A45996" w:rsidTr="00A45996">
        <w:trPr>
          <w:cantSplit/>
        </w:trPr>
        <w:tc>
          <w:tcPr>
            <w:tcW w:w="2813" w:type="dxa"/>
            <w:tcBorders>
              <w:left w:val="single" w:sz="4" w:space="0" w:color="auto"/>
            </w:tcBorders>
          </w:tcPr>
          <w:p w:rsidR="00A45996" w:rsidRPr="00A45996" w:rsidRDefault="00A45996" w:rsidP="001A6201">
            <w:pPr>
              <w:spacing w:before="20" w:after="20"/>
              <w:jc w:val="left"/>
              <w:rPr>
                <w:sz w:val="20"/>
              </w:rPr>
            </w:pPr>
            <w:r w:rsidRPr="00A45996">
              <w:rPr>
                <w:sz w:val="20"/>
              </w:rPr>
              <w:t>4-year survival rate % (95% CI)</w:t>
            </w:r>
          </w:p>
        </w:tc>
        <w:tc>
          <w:tcPr>
            <w:tcW w:w="1766" w:type="dxa"/>
            <w:vAlign w:val="bottom"/>
          </w:tcPr>
          <w:p w:rsidR="00A45996" w:rsidRPr="00A45996" w:rsidRDefault="00A45996" w:rsidP="001A6201">
            <w:pPr>
              <w:spacing w:before="20" w:after="20"/>
              <w:jc w:val="left"/>
              <w:rPr>
                <w:sz w:val="20"/>
              </w:rPr>
            </w:pPr>
            <w:r w:rsidRPr="00A45996">
              <w:rPr>
                <w:sz w:val="20"/>
              </w:rPr>
              <w:t>64.4 (56.4; 71.4)</w:t>
            </w:r>
          </w:p>
        </w:tc>
        <w:tc>
          <w:tcPr>
            <w:tcW w:w="1766" w:type="dxa"/>
            <w:vAlign w:val="bottom"/>
          </w:tcPr>
          <w:p w:rsidR="00A45996" w:rsidRPr="00A45996" w:rsidRDefault="00A45996" w:rsidP="001A6201">
            <w:pPr>
              <w:spacing w:before="20" w:after="20"/>
              <w:jc w:val="left"/>
              <w:rPr>
                <w:sz w:val="20"/>
              </w:rPr>
            </w:pPr>
            <w:r w:rsidRPr="00A45996">
              <w:rPr>
                <w:sz w:val="20"/>
              </w:rPr>
              <w:t>53.9 (45.2; 61.9)</w:t>
            </w:r>
          </w:p>
        </w:tc>
        <w:tc>
          <w:tcPr>
            <w:tcW w:w="1985" w:type="dxa"/>
          </w:tcPr>
          <w:p w:rsidR="00A45996" w:rsidRPr="00A45996" w:rsidRDefault="00A45996" w:rsidP="001A6201">
            <w:pPr>
              <w:spacing w:before="20" w:after="20"/>
              <w:jc w:val="left"/>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t>Response Rate</w:t>
            </w:r>
          </w:p>
        </w:tc>
      </w:tr>
      <w:tr w:rsidR="00A45996" w:rsidRPr="00A45996" w:rsidTr="00A45996">
        <w:trPr>
          <w:cantSplit/>
        </w:trPr>
        <w:tc>
          <w:tcPr>
            <w:tcW w:w="2813" w:type="dxa"/>
            <w:tcBorders>
              <w:left w:val="single" w:sz="4" w:space="0" w:color="auto"/>
            </w:tcBorders>
          </w:tcPr>
          <w:p w:rsidR="00A45996" w:rsidRPr="00A45996" w:rsidRDefault="00A45996" w:rsidP="001A6201">
            <w:pPr>
              <w:spacing w:before="20" w:after="20"/>
              <w:jc w:val="left"/>
              <w:rPr>
                <w:b/>
                <w:sz w:val="20"/>
              </w:rPr>
            </w:pPr>
            <w:r w:rsidRPr="00A45996">
              <w:rPr>
                <w:sz w:val="20"/>
              </w:rPr>
              <w:t>n: response-evaluable patients</w:t>
            </w:r>
          </w:p>
        </w:tc>
        <w:tc>
          <w:tcPr>
            <w:tcW w:w="1766" w:type="dxa"/>
            <w:vAlign w:val="bottom"/>
          </w:tcPr>
          <w:p w:rsidR="00A45996" w:rsidRPr="00A45996" w:rsidRDefault="00A45996" w:rsidP="001A6201">
            <w:pPr>
              <w:spacing w:before="20" w:after="20"/>
              <w:jc w:val="left"/>
              <w:rPr>
                <w:sz w:val="20"/>
              </w:rPr>
            </w:pPr>
            <w:r w:rsidRPr="00A45996">
              <w:rPr>
                <w:sz w:val="20"/>
              </w:rPr>
              <w:t>229</w:t>
            </w:r>
          </w:p>
        </w:tc>
        <w:tc>
          <w:tcPr>
            <w:tcW w:w="1766" w:type="dxa"/>
            <w:tcBorders>
              <w:right w:val="nil"/>
            </w:tcBorders>
            <w:vAlign w:val="bottom"/>
          </w:tcPr>
          <w:p w:rsidR="00A45996" w:rsidRPr="00A45996" w:rsidRDefault="00A45996" w:rsidP="001A6201">
            <w:pPr>
              <w:spacing w:before="20" w:after="20"/>
              <w:jc w:val="left"/>
              <w:rPr>
                <w:sz w:val="20"/>
              </w:rPr>
            </w:pPr>
            <w:r w:rsidRPr="00A45996">
              <w:rPr>
                <w:sz w:val="20"/>
              </w:rPr>
              <w:t>228</w:t>
            </w:r>
          </w:p>
        </w:tc>
        <w:tc>
          <w:tcPr>
            <w:tcW w:w="1985" w:type="dxa"/>
            <w:tcBorders>
              <w:right w:val="single" w:sz="4" w:space="0" w:color="auto"/>
            </w:tcBorders>
          </w:tcPr>
          <w:p w:rsidR="00A45996" w:rsidRPr="00A45996" w:rsidRDefault="00A45996" w:rsidP="001A6201">
            <w:pPr>
              <w:spacing w:before="20" w:after="20"/>
              <w:jc w:val="left"/>
              <w:rPr>
                <w:sz w:val="20"/>
              </w:rPr>
            </w:pP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b/>
                <w:i/>
                <w:sz w:val="20"/>
              </w:rPr>
            </w:pPr>
            <w:r w:rsidRPr="00A45996">
              <w:rPr>
                <w:i/>
                <w:sz w:val="20"/>
              </w:rPr>
              <w:t>Overall complete response (</w:t>
            </w:r>
            <w:proofErr w:type="spellStart"/>
            <w:r w:rsidRPr="00A45996">
              <w:rPr>
                <w:i/>
                <w:sz w:val="20"/>
              </w:rPr>
              <w:t>CR+CRu</w:t>
            </w:r>
            <w:proofErr w:type="spellEnd"/>
            <w:proofErr w:type="gramStart"/>
            <w:r w:rsidRPr="00A45996">
              <w:rPr>
                <w:i/>
                <w:sz w:val="20"/>
              </w:rPr>
              <w:t>)</w:t>
            </w:r>
            <w:r w:rsidRPr="00A45996">
              <w:rPr>
                <w:i/>
                <w:sz w:val="20"/>
                <w:vertAlign w:val="superscript"/>
              </w:rPr>
              <w:t>h</w:t>
            </w:r>
            <w:proofErr w:type="gramEnd"/>
            <w:r w:rsidRPr="00A45996">
              <w:rPr>
                <w:i/>
                <w:sz w:val="20"/>
              </w:rPr>
              <w:t xml:space="preserve"> n(%)</w:t>
            </w:r>
          </w:p>
        </w:tc>
        <w:tc>
          <w:tcPr>
            <w:tcW w:w="1766" w:type="dxa"/>
          </w:tcPr>
          <w:p w:rsidR="001A6201" w:rsidRPr="00A45996" w:rsidRDefault="001A6201" w:rsidP="001A6201">
            <w:pPr>
              <w:spacing w:before="20" w:after="20"/>
              <w:jc w:val="left"/>
              <w:rPr>
                <w:sz w:val="20"/>
              </w:rPr>
            </w:pPr>
            <w:r w:rsidRPr="00A45996">
              <w:rPr>
                <w:sz w:val="20"/>
              </w:rPr>
              <w:t>122 (53.3%)</w:t>
            </w:r>
          </w:p>
        </w:tc>
        <w:tc>
          <w:tcPr>
            <w:tcW w:w="1766" w:type="dxa"/>
            <w:tcBorders>
              <w:right w:val="nil"/>
            </w:tcBorders>
          </w:tcPr>
          <w:p w:rsidR="001A6201" w:rsidRPr="00A45996" w:rsidRDefault="001A6201" w:rsidP="001A6201">
            <w:pPr>
              <w:spacing w:before="20" w:after="20"/>
              <w:jc w:val="left"/>
              <w:rPr>
                <w:sz w:val="20"/>
              </w:rPr>
            </w:pPr>
            <w:r w:rsidRPr="00A45996">
              <w:rPr>
                <w:sz w:val="20"/>
              </w:rPr>
              <w:t>95 (41.7%)</w:t>
            </w:r>
          </w:p>
        </w:tc>
        <w:tc>
          <w:tcPr>
            <w:tcW w:w="1985" w:type="dxa"/>
            <w:tcBorders>
              <w:right w:val="single" w:sz="4" w:space="0" w:color="auto"/>
            </w:tcBorders>
          </w:tcPr>
          <w:p w:rsidR="001A6201" w:rsidRPr="00A45996" w:rsidRDefault="001A6201" w:rsidP="001A6201">
            <w:pPr>
              <w:spacing w:before="20" w:after="20"/>
              <w:jc w:val="left"/>
              <w:rPr>
                <w:sz w:val="20"/>
              </w:rPr>
            </w:pPr>
            <w:proofErr w:type="spellStart"/>
            <w:r w:rsidRPr="00A45996">
              <w:rPr>
                <w:sz w:val="20"/>
              </w:rPr>
              <w:t>OR</w:t>
            </w:r>
            <w:r w:rsidRPr="00A45996">
              <w:rPr>
                <w:sz w:val="20"/>
                <w:vertAlign w:val="superscript"/>
              </w:rPr>
              <w:t>f</w:t>
            </w:r>
            <w:proofErr w:type="spellEnd"/>
            <w:r w:rsidRPr="00A45996">
              <w:rPr>
                <w:sz w:val="20"/>
                <w:vertAlign w:val="superscript"/>
              </w:rPr>
              <w:t xml:space="preserve"> </w:t>
            </w:r>
            <w:r w:rsidRPr="00A45996">
              <w:rPr>
                <w:sz w:val="20"/>
              </w:rPr>
              <w:t>(95% CI) = 1.688 (1.148; 2.481)</w:t>
            </w:r>
          </w:p>
          <w:p w:rsidR="001A6201" w:rsidRPr="00A45996" w:rsidRDefault="001A6201" w:rsidP="001A6201">
            <w:pPr>
              <w:spacing w:before="20" w:after="20"/>
              <w:jc w:val="left"/>
              <w:rPr>
                <w:sz w:val="20"/>
              </w:rPr>
            </w:pPr>
            <w:r w:rsidRPr="00A45996">
              <w:rPr>
                <w:sz w:val="20"/>
              </w:rPr>
              <w:t>p-</w:t>
            </w:r>
            <w:proofErr w:type="spellStart"/>
            <w:r w:rsidRPr="00A45996">
              <w:rPr>
                <w:sz w:val="20"/>
              </w:rPr>
              <w:t>value</w:t>
            </w:r>
            <w:r w:rsidRPr="00A45996">
              <w:rPr>
                <w:sz w:val="20"/>
                <w:vertAlign w:val="superscript"/>
              </w:rPr>
              <w:t>g</w:t>
            </w:r>
            <w:proofErr w:type="spellEnd"/>
            <w:r w:rsidRPr="00A45996">
              <w:rPr>
                <w:sz w:val="20"/>
                <w:vertAlign w:val="superscript"/>
              </w:rPr>
              <w:t xml:space="preserve"> </w:t>
            </w:r>
            <w:r w:rsidRPr="00A45996">
              <w:rPr>
                <w:sz w:val="20"/>
              </w:rPr>
              <w:t>=0.007</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b/>
                <w:sz w:val="20"/>
              </w:rPr>
            </w:pPr>
            <w:r w:rsidRPr="00A45996">
              <w:rPr>
                <w:i/>
                <w:sz w:val="20"/>
              </w:rPr>
              <w:t>Overall radiological response (</w:t>
            </w:r>
            <w:proofErr w:type="spellStart"/>
            <w:r w:rsidRPr="00A45996">
              <w:rPr>
                <w:i/>
                <w:sz w:val="20"/>
              </w:rPr>
              <w:t>CR+CRu+PR</w:t>
            </w:r>
            <w:proofErr w:type="spellEnd"/>
            <w:proofErr w:type="gramStart"/>
            <w:r w:rsidRPr="00A45996">
              <w:rPr>
                <w:i/>
                <w:sz w:val="20"/>
              </w:rPr>
              <w:t>)</w:t>
            </w:r>
            <w:proofErr w:type="spellStart"/>
            <w:r w:rsidRPr="00A45996">
              <w:rPr>
                <w:i/>
                <w:sz w:val="20"/>
                <w:vertAlign w:val="superscript"/>
              </w:rPr>
              <w:t>i</w:t>
            </w:r>
            <w:proofErr w:type="spellEnd"/>
            <w:proofErr w:type="gramEnd"/>
            <w:r w:rsidRPr="00A45996">
              <w:rPr>
                <w:i/>
                <w:sz w:val="20"/>
              </w:rPr>
              <w:t xml:space="preserve"> n(%)</w:t>
            </w:r>
          </w:p>
        </w:tc>
        <w:tc>
          <w:tcPr>
            <w:tcW w:w="1766" w:type="dxa"/>
          </w:tcPr>
          <w:p w:rsidR="001A6201" w:rsidRPr="00A45996" w:rsidRDefault="001A6201" w:rsidP="001A6201">
            <w:pPr>
              <w:spacing w:before="20" w:after="20"/>
              <w:jc w:val="left"/>
              <w:rPr>
                <w:sz w:val="20"/>
              </w:rPr>
            </w:pPr>
            <w:r w:rsidRPr="00A45996">
              <w:rPr>
                <w:sz w:val="20"/>
              </w:rPr>
              <w:t>211 (92.1%)</w:t>
            </w:r>
          </w:p>
        </w:tc>
        <w:tc>
          <w:tcPr>
            <w:tcW w:w="1766" w:type="dxa"/>
            <w:tcBorders>
              <w:right w:val="nil"/>
            </w:tcBorders>
          </w:tcPr>
          <w:p w:rsidR="001A6201" w:rsidRPr="00A45996" w:rsidRDefault="001A6201" w:rsidP="001A6201">
            <w:pPr>
              <w:spacing w:before="20" w:after="20"/>
              <w:jc w:val="left"/>
              <w:rPr>
                <w:sz w:val="20"/>
              </w:rPr>
            </w:pPr>
            <w:r w:rsidRPr="00A45996">
              <w:rPr>
                <w:sz w:val="20"/>
              </w:rPr>
              <w:t>204 (89.5%)</w:t>
            </w:r>
          </w:p>
        </w:tc>
        <w:tc>
          <w:tcPr>
            <w:tcW w:w="1985" w:type="dxa"/>
            <w:tcBorders>
              <w:right w:val="single" w:sz="4" w:space="0" w:color="auto"/>
            </w:tcBorders>
          </w:tcPr>
          <w:p w:rsidR="001A6201" w:rsidRPr="00A45996" w:rsidRDefault="001A6201" w:rsidP="001A6201">
            <w:pPr>
              <w:spacing w:before="20" w:after="20"/>
              <w:jc w:val="left"/>
              <w:rPr>
                <w:sz w:val="20"/>
              </w:rPr>
            </w:pPr>
            <w:proofErr w:type="spellStart"/>
            <w:r w:rsidRPr="00A45996">
              <w:rPr>
                <w:sz w:val="20"/>
              </w:rPr>
              <w:t>OR</w:t>
            </w:r>
            <w:r w:rsidRPr="00A45996">
              <w:rPr>
                <w:sz w:val="20"/>
                <w:vertAlign w:val="superscript"/>
              </w:rPr>
              <w:t>f</w:t>
            </w:r>
            <w:proofErr w:type="spellEnd"/>
            <w:r w:rsidRPr="00A45996">
              <w:rPr>
                <w:sz w:val="20"/>
                <w:vertAlign w:val="superscript"/>
              </w:rPr>
              <w:t xml:space="preserve"> </w:t>
            </w:r>
            <w:r w:rsidRPr="00A45996">
              <w:rPr>
                <w:sz w:val="20"/>
              </w:rPr>
              <w:t>(95% CI) = 1.428 (0.749; 2.722)</w:t>
            </w:r>
          </w:p>
          <w:p w:rsidR="001A6201" w:rsidRPr="00A45996" w:rsidRDefault="001A6201" w:rsidP="001A6201">
            <w:pPr>
              <w:spacing w:before="20" w:after="20"/>
              <w:jc w:val="left"/>
              <w:rPr>
                <w:sz w:val="20"/>
              </w:rPr>
            </w:pPr>
            <w:r w:rsidRPr="00A45996">
              <w:rPr>
                <w:sz w:val="20"/>
              </w:rPr>
              <w:t>p-</w:t>
            </w:r>
            <w:proofErr w:type="spellStart"/>
            <w:r w:rsidRPr="00A45996">
              <w:rPr>
                <w:sz w:val="20"/>
              </w:rPr>
              <w:t>value</w:t>
            </w:r>
            <w:r w:rsidRPr="00A45996">
              <w:rPr>
                <w:sz w:val="20"/>
                <w:vertAlign w:val="superscript"/>
              </w:rPr>
              <w:t>g</w:t>
            </w:r>
            <w:proofErr w:type="spellEnd"/>
            <w:r w:rsidRPr="00A45996">
              <w:rPr>
                <w:sz w:val="20"/>
              </w:rPr>
              <w:t xml:space="preserve"> = 0.275</w:t>
            </w: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b/>
                <w:sz w:val="20"/>
              </w:rPr>
            </w:pPr>
            <w:r w:rsidRPr="00A45996">
              <w:rPr>
                <w:b/>
                <w:sz w:val="20"/>
              </w:rPr>
              <w:t>Response Duration</w:t>
            </w: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i/>
                <w:sz w:val="20"/>
              </w:rPr>
            </w:pPr>
            <w:r w:rsidRPr="00A45996">
              <w:rPr>
                <w:i/>
                <w:sz w:val="20"/>
              </w:rPr>
              <w:t>Duration of complete response</w:t>
            </w:r>
            <w:r w:rsidRPr="00A45996">
              <w:rPr>
                <w:sz w:val="20"/>
              </w:rPr>
              <w:t xml:space="preserve"> (</w:t>
            </w:r>
            <w:proofErr w:type="spellStart"/>
            <w:r w:rsidRPr="00A45996">
              <w:rPr>
                <w:i/>
                <w:sz w:val="20"/>
              </w:rPr>
              <w:t>CR+CRu</w:t>
            </w:r>
            <w:proofErr w:type="spellEnd"/>
            <w:r w:rsidRPr="00A45996">
              <w:rPr>
                <w:i/>
                <w:sz w:val="20"/>
              </w:rPr>
              <w:t>)</w:t>
            </w:r>
            <w:r w:rsidRPr="00A45996">
              <w:rPr>
                <w:i/>
                <w:sz w:val="20"/>
                <w:vertAlign w:val="superscript"/>
              </w:rPr>
              <w:t>j</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b/>
                <w:sz w:val="20"/>
              </w:rPr>
            </w:pPr>
            <w:r w:rsidRPr="00A45996">
              <w:rPr>
                <w:sz w:val="20"/>
              </w:rPr>
              <w:t>n = response-evaluable patients</w:t>
            </w:r>
          </w:p>
        </w:tc>
        <w:tc>
          <w:tcPr>
            <w:tcW w:w="1766" w:type="dxa"/>
            <w:vAlign w:val="bottom"/>
          </w:tcPr>
          <w:p w:rsidR="001A6201" w:rsidRPr="00A45996" w:rsidRDefault="001A6201" w:rsidP="001A6201">
            <w:pPr>
              <w:spacing w:before="20" w:after="20"/>
              <w:jc w:val="left"/>
              <w:rPr>
                <w:sz w:val="20"/>
              </w:rPr>
            </w:pPr>
            <w:r w:rsidRPr="00A45996">
              <w:rPr>
                <w:sz w:val="20"/>
              </w:rPr>
              <w:t>122</w:t>
            </w:r>
          </w:p>
        </w:tc>
        <w:tc>
          <w:tcPr>
            <w:tcW w:w="1766" w:type="dxa"/>
            <w:tcBorders>
              <w:right w:val="nil"/>
            </w:tcBorders>
            <w:vAlign w:val="bottom"/>
          </w:tcPr>
          <w:p w:rsidR="001A6201" w:rsidRPr="00A45996" w:rsidRDefault="001A6201" w:rsidP="001A6201">
            <w:pPr>
              <w:spacing w:before="20" w:after="20"/>
              <w:jc w:val="left"/>
              <w:rPr>
                <w:sz w:val="20"/>
              </w:rPr>
            </w:pPr>
            <w:r w:rsidRPr="00A45996">
              <w:rPr>
                <w:sz w:val="20"/>
              </w:rPr>
              <w:t>95</w:t>
            </w:r>
          </w:p>
        </w:tc>
        <w:tc>
          <w:tcPr>
            <w:tcW w:w="1985" w:type="dxa"/>
            <w:vMerge w:val="restart"/>
            <w:tcBorders>
              <w:right w:val="single" w:sz="4" w:space="0" w:color="auto"/>
            </w:tcBorders>
          </w:tcPr>
          <w:p w:rsidR="001A6201" w:rsidRPr="00A45996" w:rsidRDefault="001A6201" w:rsidP="001A6201">
            <w:pPr>
              <w:spacing w:before="20" w:after="20"/>
              <w:rPr>
                <w:sz w:val="20"/>
              </w:rPr>
            </w:pP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b/>
                <w:sz w:val="20"/>
              </w:rPr>
            </w:pPr>
            <w:proofErr w:type="spellStart"/>
            <w:r w:rsidRPr="00A45996">
              <w:rPr>
                <w:sz w:val="20"/>
              </w:rPr>
              <w:t>Median</w:t>
            </w:r>
            <w:r w:rsidRPr="00A45996">
              <w:rPr>
                <w:sz w:val="20"/>
                <w:vertAlign w:val="superscript"/>
              </w:rPr>
              <w:t>c</w:t>
            </w:r>
            <w:proofErr w:type="spellEnd"/>
            <w:r w:rsidRPr="00A45996">
              <w:rPr>
                <w:sz w:val="20"/>
              </w:rPr>
              <w:t xml:space="preserve"> (95% CI) (months)</w:t>
            </w:r>
          </w:p>
        </w:tc>
        <w:tc>
          <w:tcPr>
            <w:tcW w:w="1766" w:type="dxa"/>
            <w:vAlign w:val="bottom"/>
          </w:tcPr>
          <w:p w:rsidR="001A6201" w:rsidRPr="00A45996" w:rsidRDefault="001A6201" w:rsidP="001A6201">
            <w:pPr>
              <w:spacing w:before="20" w:after="20"/>
              <w:jc w:val="left"/>
              <w:rPr>
                <w:sz w:val="20"/>
              </w:rPr>
            </w:pPr>
            <w:r w:rsidRPr="00A45996">
              <w:rPr>
                <w:sz w:val="20"/>
              </w:rPr>
              <w:t>42.1 (30.7; 49.1)</w:t>
            </w:r>
          </w:p>
        </w:tc>
        <w:tc>
          <w:tcPr>
            <w:tcW w:w="1766" w:type="dxa"/>
            <w:tcBorders>
              <w:right w:val="nil"/>
            </w:tcBorders>
            <w:vAlign w:val="bottom"/>
          </w:tcPr>
          <w:p w:rsidR="001A6201" w:rsidRPr="00A45996" w:rsidRDefault="001A6201" w:rsidP="001A6201">
            <w:pPr>
              <w:spacing w:before="20" w:after="20"/>
              <w:jc w:val="left"/>
              <w:rPr>
                <w:sz w:val="20"/>
              </w:rPr>
            </w:pPr>
            <w:r w:rsidRPr="00A45996">
              <w:rPr>
                <w:sz w:val="20"/>
              </w:rPr>
              <w:t>18.0 (14.0; 23.4)</w:t>
            </w:r>
          </w:p>
        </w:tc>
        <w:tc>
          <w:tcPr>
            <w:tcW w:w="1985" w:type="dxa"/>
            <w:vMerge/>
            <w:tcBorders>
              <w:right w:val="single" w:sz="4" w:space="0" w:color="auto"/>
            </w:tcBorders>
          </w:tcPr>
          <w:p w:rsidR="001A6201" w:rsidRPr="00A45996" w:rsidRDefault="001A6201" w:rsidP="001A6201">
            <w:pPr>
              <w:spacing w:before="20" w:after="20"/>
              <w:rPr>
                <w:sz w:val="20"/>
              </w:rPr>
            </w:pPr>
          </w:p>
        </w:tc>
      </w:tr>
      <w:tr w:rsidR="001A6201" w:rsidRPr="00A45996" w:rsidTr="001A6201">
        <w:trPr>
          <w:cantSplit/>
        </w:trPr>
        <w:tc>
          <w:tcPr>
            <w:tcW w:w="8330" w:type="dxa"/>
            <w:gridSpan w:val="4"/>
            <w:tcBorders>
              <w:left w:val="single" w:sz="4" w:space="0" w:color="auto"/>
            </w:tcBorders>
          </w:tcPr>
          <w:p w:rsidR="001A6201" w:rsidRPr="00A45996" w:rsidRDefault="001A6201" w:rsidP="001A6201">
            <w:pPr>
              <w:spacing w:before="20" w:after="20"/>
              <w:jc w:val="left"/>
              <w:rPr>
                <w:i/>
                <w:sz w:val="20"/>
              </w:rPr>
            </w:pPr>
            <w:r w:rsidRPr="00A45996">
              <w:rPr>
                <w:i/>
                <w:sz w:val="20"/>
              </w:rPr>
              <w:t>Duration of Response (</w:t>
            </w:r>
            <w:proofErr w:type="spellStart"/>
            <w:r w:rsidRPr="00A45996">
              <w:rPr>
                <w:i/>
                <w:sz w:val="20"/>
              </w:rPr>
              <w:t>CR+CRu+PR</w:t>
            </w:r>
            <w:proofErr w:type="spellEnd"/>
            <w:r w:rsidRPr="00A45996">
              <w:rPr>
                <w:i/>
                <w:sz w:val="20"/>
              </w:rPr>
              <w:t>)</w:t>
            </w:r>
            <w:r w:rsidRPr="00A45996">
              <w:rPr>
                <w:sz w:val="20"/>
                <w:vertAlign w:val="superscript"/>
              </w:rPr>
              <w:t>k</w:t>
            </w:r>
          </w:p>
        </w:tc>
      </w:tr>
      <w:tr w:rsidR="001A6201" w:rsidRPr="00A45996" w:rsidTr="001A6201">
        <w:trPr>
          <w:cantSplit/>
        </w:trPr>
        <w:tc>
          <w:tcPr>
            <w:tcW w:w="2813" w:type="dxa"/>
            <w:tcBorders>
              <w:left w:val="single" w:sz="4" w:space="0" w:color="auto"/>
            </w:tcBorders>
          </w:tcPr>
          <w:p w:rsidR="001A6201" w:rsidRPr="00A45996" w:rsidRDefault="001A6201" w:rsidP="001A6201">
            <w:pPr>
              <w:spacing w:before="20" w:after="20"/>
              <w:jc w:val="left"/>
              <w:rPr>
                <w:sz w:val="20"/>
              </w:rPr>
            </w:pPr>
            <w:r w:rsidRPr="00A45996">
              <w:rPr>
                <w:sz w:val="20"/>
              </w:rPr>
              <w:t>n: response-evaluable subjects</w:t>
            </w:r>
          </w:p>
        </w:tc>
        <w:tc>
          <w:tcPr>
            <w:tcW w:w="1766" w:type="dxa"/>
            <w:vAlign w:val="bottom"/>
          </w:tcPr>
          <w:p w:rsidR="001A6201" w:rsidRPr="00A45996" w:rsidRDefault="001A6201" w:rsidP="001A6201">
            <w:pPr>
              <w:spacing w:before="20" w:after="20"/>
              <w:jc w:val="left"/>
              <w:rPr>
                <w:sz w:val="20"/>
              </w:rPr>
            </w:pPr>
            <w:r w:rsidRPr="00A45996">
              <w:rPr>
                <w:sz w:val="20"/>
              </w:rPr>
              <w:t>211</w:t>
            </w:r>
          </w:p>
        </w:tc>
        <w:tc>
          <w:tcPr>
            <w:tcW w:w="1766" w:type="dxa"/>
            <w:tcBorders>
              <w:right w:val="nil"/>
            </w:tcBorders>
            <w:vAlign w:val="bottom"/>
          </w:tcPr>
          <w:p w:rsidR="001A6201" w:rsidRPr="00A45996" w:rsidRDefault="001A6201" w:rsidP="001A6201">
            <w:pPr>
              <w:spacing w:before="20" w:after="20"/>
              <w:jc w:val="left"/>
              <w:rPr>
                <w:sz w:val="20"/>
              </w:rPr>
            </w:pPr>
            <w:r w:rsidRPr="00A45996">
              <w:rPr>
                <w:sz w:val="20"/>
              </w:rPr>
              <w:t>204</w:t>
            </w:r>
          </w:p>
        </w:tc>
        <w:tc>
          <w:tcPr>
            <w:tcW w:w="1985" w:type="dxa"/>
            <w:vMerge w:val="restart"/>
            <w:tcBorders>
              <w:right w:val="single" w:sz="4" w:space="0" w:color="auto"/>
            </w:tcBorders>
          </w:tcPr>
          <w:p w:rsidR="001A6201" w:rsidRPr="00A45996" w:rsidRDefault="001A6201" w:rsidP="001A6201">
            <w:pPr>
              <w:spacing w:before="20" w:after="20"/>
              <w:rPr>
                <w:sz w:val="20"/>
              </w:rPr>
            </w:pPr>
          </w:p>
        </w:tc>
      </w:tr>
      <w:tr w:rsidR="001A6201" w:rsidRPr="00A45996" w:rsidTr="001A6201">
        <w:trPr>
          <w:cantSplit/>
        </w:trPr>
        <w:tc>
          <w:tcPr>
            <w:tcW w:w="2813" w:type="dxa"/>
            <w:tcBorders>
              <w:left w:val="single" w:sz="4" w:space="0" w:color="auto"/>
              <w:bottom w:val="single" w:sz="4" w:space="0" w:color="auto"/>
            </w:tcBorders>
          </w:tcPr>
          <w:p w:rsidR="001A6201" w:rsidRPr="00A45996" w:rsidRDefault="001A6201" w:rsidP="001A6201">
            <w:pPr>
              <w:spacing w:before="20" w:after="20"/>
              <w:jc w:val="left"/>
              <w:rPr>
                <w:sz w:val="20"/>
              </w:rPr>
            </w:pPr>
            <w:proofErr w:type="spellStart"/>
            <w:r w:rsidRPr="00A45996">
              <w:rPr>
                <w:sz w:val="20"/>
              </w:rPr>
              <w:t>Median</w:t>
            </w:r>
            <w:r w:rsidRPr="00A45996">
              <w:rPr>
                <w:sz w:val="20"/>
                <w:vertAlign w:val="superscript"/>
              </w:rPr>
              <w:t>c</w:t>
            </w:r>
            <w:proofErr w:type="spellEnd"/>
            <w:r w:rsidRPr="00A45996">
              <w:rPr>
                <w:sz w:val="20"/>
              </w:rPr>
              <w:t xml:space="preserve"> (95% CI) (months)</w:t>
            </w:r>
          </w:p>
        </w:tc>
        <w:tc>
          <w:tcPr>
            <w:tcW w:w="1766" w:type="dxa"/>
            <w:tcBorders>
              <w:bottom w:val="single" w:sz="4" w:space="0" w:color="auto"/>
            </w:tcBorders>
            <w:vAlign w:val="bottom"/>
          </w:tcPr>
          <w:p w:rsidR="001A6201" w:rsidRPr="00A45996" w:rsidRDefault="001A6201" w:rsidP="001A6201">
            <w:pPr>
              <w:spacing w:before="20" w:after="20"/>
              <w:jc w:val="left"/>
              <w:rPr>
                <w:sz w:val="20"/>
              </w:rPr>
            </w:pPr>
            <w:r w:rsidRPr="00A45996">
              <w:rPr>
                <w:sz w:val="20"/>
              </w:rPr>
              <w:t>36.5 (26.7; 46.7)</w:t>
            </w:r>
          </w:p>
        </w:tc>
        <w:tc>
          <w:tcPr>
            <w:tcW w:w="1766" w:type="dxa"/>
            <w:tcBorders>
              <w:bottom w:val="single" w:sz="4" w:space="0" w:color="auto"/>
              <w:right w:val="nil"/>
            </w:tcBorders>
            <w:vAlign w:val="bottom"/>
          </w:tcPr>
          <w:p w:rsidR="001A6201" w:rsidRPr="00A45996" w:rsidRDefault="001A6201" w:rsidP="001A6201">
            <w:pPr>
              <w:spacing w:before="20" w:after="20"/>
              <w:jc w:val="left"/>
              <w:rPr>
                <w:sz w:val="20"/>
              </w:rPr>
            </w:pPr>
            <w:r w:rsidRPr="00A45996">
              <w:rPr>
                <w:sz w:val="20"/>
              </w:rPr>
              <w:t>15.1 (12.5; 17.0)</w:t>
            </w:r>
          </w:p>
        </w:tc>
        <w:tc>
          <w:tcPr>
            <w:tcW w:w="1985" w:type="dxa"/>
            <w:vMerge/>
            <w:tcBorders>
              <w:bottom w:val="single" w:sz="4" w:space="0" w:color="auto"/>
              <w:right w:val="single" w:sz="4" w:space="0" w:color="auto"/>
            </w:tcBorders>
          </w:tcPr>
          <w:p w:rsidR="001A6201" w:rsidRPr="00A45996" w:rsidRDefault="001A6201" w:rsidP="001A6201">
            <w:pPr>
              <w:spacing w:before="20" w:after="20"/>
              <w:rPr>
                <w:sz w:val="20"/>
              </w:rPr>
            </w:pPr>
          </w:p>
        </w:tc>
      </w:tr>
      <w:tr w:rsidR="001A6201" w:rsidRPr="00A45996" w:rsidTr="001A6201">
        <w:trPr>
          <w:cantSplit/>
          <w:trHeight w:val="2751"/>
        </w:trPr>
        <w:tc>
          <w:tcPr>
            <w:tcW w:w="8330" w:type="dxa"/>
            <w:gridSpan w:val="4"/>
            <w:tcBorders>
              <w:left w:val="nil"/>
              <w:bottom w:val="nil"/>
              <w:right w:val="nil"/>
            </w:tcBorders>
            <w:shd w:val="clear" w:color="auto" w:fill="auto"/>
          </w:tcPr>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a</w:t>
            </w:r>
            <w:proofErr w:type="gramEnd"/>
            <w:r w:rsidRPr="00A45996">
              <w:rPr>
                <w:sz w:val="16"/>
                <w:szCs w:val="16"/>
              </w:rPr>
              <w:tab/>
              <w:t>Based on IRC assessment (radiological data only).</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b</w:t>
            </w:r>
            <w:proofErr w:type="gramEnd"/>
            <w:r w:rsidRPr="00A45996">
              <w:rPr>
                <w:sz w:val="16"/>
                <w:szCs w:val="16"/>
              </w:rPr>
              <w:tab/>
              <w:t>Based on Investigator assessment.</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c</w:t>
            </w:r>
            <w:proofErr w:type="gramEnd"/>
            <w:r w:rsidRPr="00A45996">
              <w:rPr>
                <w:sz w:val="16"/>
                <w:szCs w:val="16"/>
              </w:rPr>
              <w:tab/>
              <w:t>Based on Kaplan-Meier product limit estimates.</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d</w:t>
            </w:r>
            <w:proofErr w:type="gramEnd"/>
            <w:r w:rsidRPr="00A45996">
              <w:rPr>
                <w:sz w:val="16"/>
                <w:szCs w:val="16"/>
              </w:rPr>
              <w:tab/>
              <w:t xml:space="preserve">Hazard ratio estimate is based on a Cox’s model stratified by IPI risk and stage of disease. A hazard ratio &lt; 1 indicates an advantage for </w:t>
            </w:r>
            <w:proofErr w:type="spellStart"/>
            <w:r w:rsidRPr="00A45996">
              <w:rPr>
                <w:sz w:val="16"/>
                <w:szCs w:val="16"/>
              </w:rPr>
              <w:t>VcR</w:t>
            </w:r>
            <w:proofErr w:type="spellEnd"/>
            <w:r w:rsidRPr="00A45996">
              <w:rPr>
                <w:sz w:val="16"/>
                <w:szCs w:val="16"/>
              </w:rPr>
              <w:t>-CAP.</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e</w:t>
            </w:r>
            <w:proofErr w:type="gramEnd"/>
            <w:r w:rsidRPr="00A45996">
              <w:rPr>
                <w:sz w:val="16"/>
                <w:szCs w:val="16"/>
              </w:rPr>
              <w:tab/>
              <w:t>Based on Log rank test stratified with IPI risk and stage of disease.</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f</w:t>
            </w:r>
            <w:proofErr w:type="gramEnd"/>
            <w:r w:rsidRPr="00A45996">
              <w:rPr>
                <w:sz w:val="16"/>
                <w:szCs w:val="16"/>
              </w:rPr>
              <w:tab/>
              <w:t>Mantel-</w:t>
            </w:r>
            <w:proofErr w:type="spellStart"/>
            <w:r w:rsidRPr="00A45996">
              <w:rPr>
                <w:sz w:val="16"/>
                <w:szCs w:val="16"/>
              </w:rPr>
              <w:t>Haenszel</w:t>
            </w:r>
            <w:proofErr w:type="spellEnd"/>
            <w:r w:rsidRPr="00A45996">
              <w:rPr>
                <w:sz w:val="16"/>
                <w:szCs w:val="16"/>
              </w:rPr>
              <w:t xml:space="preserve"> estimate of the common odds ratio for stratified tables is used, with IPI risk and Stage of Disease as stratification factors. An odds ratio (OR) &gt; 1 indicates an advantage for </w:t>
            </w:r>
            <w:proofErr w:type="spellStart"/>
            <w:r w:rsidRPr="00A45996">
              <w:rPr>
                <w:sz w:val="16"/>
                <w:szCs w:val="16"/>
              </w:rPr>
              <w:t>VcR</w:t>
            </w:r>
            <w:proofErr w:type="spellEnd"/>
            <w:r w:rsidRPr="00A45996">
              <w:rPr>
                <w:sz w:val="16"/>
                <w:szCs w:val="16"/>
              </w:rPr>
              <w:t>-CAP.</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g</w:t>
            </w:r>
            <w:proofErr w:type="gramEnd"/>
            <w:r w:rsidRPr="00A45996">
              <w:rPr>
                <w:sz w:val="16"/>
                <w:szCs w:val="16"/>
              </w:rPr>
              <w:tab/>
              <w:t>P-value from the Cochran Mantel-</w:t>
            </w:r>
            <w:proofErr w:type="spellStart"/>
            <w:r w:rsidRPr="00A45996">
              <w:rPr>
                <w:sz w:val="16"/>
                <w:szCs w:val="16"/>
              </w:rPr>
              <w:t>Haenszel</w:t>
            </w:r>
            <w:proofErr w:type="spellEnd"/>
            <w:r w:rsidRPr="00A45996">
              <w:rPr>
                <w:sz w:val="16"/>
                <w:szCs w:val="16"/>
              </w:rPr>
              <w:t xml:space="preserve"> Chi-Squared test, with IPI and Stage of Disease as stratification factors.</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h</w:t>
            </w:r>
            <w:proofErr w:type="gramEnd"/>
            <w:r w:rsidRPr="00A45996">
              <w:rPr>
                <w:sz w:val="16"/>
                <w:szCs w:val="16"/>
              </w:rPr>
              <w:tab/>
              <w:t xml:space="preserve">Include all CR + </w:t>
            </w:r>
            <w:proofErr w:type="spellStart"/>
            <w:r w:rsidRPr="00A45996">
              <w:rPr>
                <w:sz w:val="16"/>
                <w:szCs w:val="16"/>
              </w:rPr>
              <w:t>CRu</w:t>
            </w:r>
            <w:proofErr w:type="spellEnd"/>
            <w:r w:rsidRPr="00A45996">
              <w:rPr>
                <w:sz w:val="16"/>
                <w:szCs w:val="16"/>
              </w:rPr>
              <w:t>, by IRC, bone marrow and LDH.</w:t>
            </w:r>
          </w:p>
          <w:p w:rsidR="001A6201" w:rsidRPr="00A45996" w:rsidRDefault="001A6201" w:rsidP="001A6201">
            <w:pPr>
              <w:keepNext/>
              <w:widowControl w:val="0"/>
              <w:tabs>
                <w:tab w:val="left" w:pos="284"/>
              </w:tabs>
              <w:spacing w:before="20" w:after="20"/>
              <w:ind w:left="284" w:hanging="284"/>
              <w:rPr>
                <w:sz w:val="16"/>
                <w:szCs w:val="16"/>
              </w:rPr>
            </w:pPr>
            <w:proofErr w:type="spellStart"/>
            <w:proofErr w:type="gramStart"/>
            <w:r w:rsidRPr="00A45996">
              <w:rPr>
                <w:sz w:val="20"/>
                <w:vertAlign w:val="superscript"/>
              </w:rPr>
              <w:t>i</w:t>
            </w:r>
            <w:proofErr w:type="spellEnd"/>
            <w:proofErr w:type="gramEnd"/>
            <w:r w:rsidRPr="00A45996">
              <w:rPr>
                <w:sz w:val="16"/>
                <w:szCs w:val="16"/>
              </w:rPr>
              <w:tab/>
              <w:t xml:space="preserve">Include all radiological </w:t>
            </w:r>
            <w:proofErr w:type="spellStart"/>
            <w:r w:rsidRPr="00A45996">
              <w:rPr>
                <w:sz w:val="16"/>
                <w:szCs w:val="16"/>
              </w:rPr>
              <w:t>CR+CRu+PR</w:t>
            </w:r>
            <w:proofErr w:type="spellEnd"/>
            <w:r w:rsidRPr="00A45996">
              <w:rPr>
                <w:sz w:val="16"/>
                <w:szCs w:val="16"/>
              </w:rPr>
              <w:t xml:space="preserve"> by IRC regardless the verification by bone marrow and LDH.</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j</w:t>
            </w:r>
            <w:proofErr w:type="gramEnd"/>
            <w:r w:rsidRPr="00A45996">
              <w:rPr>
                <w:sz w:val="16"/>
                <w:szCs w:val="16"/>
              </w:rPr>
              <w:tab/>
              <w:t>Calculated from first date of complete response (</w:t>
            </w:r>
            <w:proofErr w:type="spellStart"/>
            <w:r w:rsidRPr="00A45996">
              <w:rPr>
                <w:sz w:val="16"/>
                <w:szCs w:val="16"/>
              </w:rPr>
              <w:t>CR+CRu</w:t>
            </w:r>
            <w:proofErr w:type="spellEnd"/>
            <w:r w:rsidRPr="00A45996">
              <w:rPr>
                <w:sz w:val="16"/>
                <w:szCs w:val="16"/>
              </w:rPr>
              <w:t xml:space="preserve"> by IRC, bone marrow and LDH) to date of PD or death due to PD.</w:t>
            </w:r>
          </w:p>
          <w:p w:rsidR="001A6201" w:rsidRPr="00A45996" w:rsidRDefault="001A6201" w:rsidP="001A6201">
            <w:pPr>
              <w:keepNext/>
              <w:widowControl w:val="0"/>
              <w:tabs>
                <w:tab w:val="left" w:pos="284"/>
              </w:tabs>
              <w:spacing w:before="20" w:after="20"/>
              <w:ind w:left="284" w:hanging="284"/>
              <w:rPr>
                <w:sz w:val="16"/>
                <w:szCs w:val="16"/>
              </w:rPr>
            </w:pPr>
            <w:proofErr w:type="gramStart"/>
            <w:r w:rsidRPr="00A45996">
              <w:rPr>
                <w:sz w:val="20"/>
                <w:vertAlign w:val="superscript"/>
              </w:rPr>
              <w:t>k</w:t>
            </w:r>
            <w:proofErr w:type="gramEnd"/>
            <w:r w:rsidRPr="00A45996">
              <w:rPr>
                <w:sz w:val="16"/>
                <w:szCs w:val="16"/>
              </w:rPr>
              <w:tab/>
              <w:t xml:space="preserve">Calculated from first date of response (include all radiological </w:t>
            </w:r>
            <w:proofErr w:type="spellStart"/>
            <w:r w:rsidRPr="00A45996">
              <w:rPr>
                <w:sz w:val="16"/>
                <w:szCs w:val="16"/>
              </w:rPr>
              <w:t>CR+CRu+PR</w:t>
            </w:r>
            <w:proofErr w:type="spellEnd"/>
            <w:r w:rsidRPr="00A45996">
              <w:rPr>
                <w:sz w:val="16"/>
                <w:szCs w:val="16"/>
              </w:rPr>
              <w:t xml:space="preserve"> by IRC) to date of PD or death due to PD.</w:t>
            </w:r>
          </w:p>
          <w:p w:rsidR="001A6201" w:rsidRPr="00A45996" w:rsidRDefault="00A45996" w:rsidP="001A6201">
            <w:pPr>
              <w:keepNext/>
              <w:widowControl w:val="0"/>
              <w:tabs>
                <w:tab w:val="left" w:pos="284"/>
              </w:tabs>
              <w:spacing w:before="20" w:after="20"/>
              <w:ind w:left="284" w:hanging="284"/>
              <w:rPr>
                <w:sz w:val="16"/>
                <w:szCs w:val="16"/>
              </w:rPr>
            </w:pPr>
            <w:r>
              <w:rPr>
                <w:sz w:val="16"/>
                <w:szCs w:val="16"/>
              </w:rPr>
              <w:t xml:space="preserve">      </w:t>
            </w:r>
            <w:r w:rsidR="001A6201" w:rsidRPr="00A45996">
              <w:rPr>
                <w:sz w:val="16"/>
                <w:szCs w:val="16"/>
              </w:rPr>
              <w:t xml:space="preserve">IRC=Independent Review Committee; IPI=International Prognostic Index; LDH = Lactate dehydrogenase; CR=Complete Response; </w:t>
            </w:r>
            <w:proofErr w:type="spellStart"/>
            <w:r w:rsidR="001A6201" w:rsidRPr="00A45996">
              <w:rPr>
                <w:sz w:val="16"/>
                <w:szCs w:val="16"/>
              </w:rPr>
              <w:t>CRu</w:t>
            </w:r>
            <w:proofErr w:type="spellEnd"/>
            <w:r w:rsidR="001A6201" w:rsidRPr="00A45996">
              <w:rPr>
                <w:sz w:val="16"/>
                <w:szCs w:val="16"/>
              </w:rPr>
              <w:t>= Complete response unconfirmed; PR=Partial Response; CI=Confidence Interval, HR=hazard ratio; OR= odds ratio; ITT= intent to treat; PD=Progressive disease</w:t>
            </w:r>
          </w:p>
        </w:tc>
      </w:tr>
    </w:tbl>
    <w:p w:rsidR="001A6201" w:rsidRPr="00A45996" w:rsidRDefault="001A6201" w:rsidP="00326C73">
      <w:pPr>
        <w:spacing w:before="20" w:after="80"/>
        <w:rPr>
          <w:sz w:val="22"/>
        </w:rPr>
      </w:pPr>
    </w:p>
    <w:p w:rsidR="00A45996" w:rsidRDefault="00A45996" w:rsidP="00326C73">
      <w:pPr>
        <w:pStyle w:val="PIHEADING1"/>
        <w:keepLines/>
        <w:jc w:val="both"/>
      </w:pPr>
    </w:p>
    <w:p w:rsidR="00326C73" w:rsidRPr="00A45996" w:rsidRDefault="00326C73" w:rsidP="00326C73">
      <w:pPr>
        <w:pStyle w:val="PIHEADING1"/>
        <w:keepLines/>
        <w:jc w:val="both"/>
      </w:pPr>
      <w:r w:rsidRPr="00A45996">
        <w:lastRenderedPageBreak/>
        <w:t>INDICATIONS</w:t>
      </w:r>
    </w:p>
    <w:p w:rsidR="001274B4" w:rsidRPr="00A45996" w:rsidRDefault="00326C73" w:rsidP="00326C73">
      <w:pPr>
        <w:pStyle w:val="PIDOTPOINT"/>
        <w:keepLines/>
        <w:spacing w:before="20" w:after="80"/>
        <w:ind w:left="0" w:firstLine="0"/>
      </w:pPr>
      <w:r w:rsidRPr="00A45996">
        <w:t xml:space="preserve">VELCADE, </w:t>
      </w:r>
      <w:r w:rsidR="001274B4" w:rsidRPr="00A45996">
        <w:t xml:space="preserve">in combination with </w:t>
      </w:r>
      <w:proofErr w:type="spellStart"/>
      <w:r w:rsidR="001274B4" w:rsidRPr="00A45996">
        <w:t>melphalan</w:t>
      </w:r>
      <w:proofErr w:type="spellEnd"/>
      <w:r w:rsidR="001274B4" w:rsidRPr="00A45996">
        <w:t xml:space="preserve"> and prednisone is indicated for the treatment of patients with previously untreated multiple </w:t>
      </w:r>
      <w:proofErr w:type="gramStart"/>
      <w:r w:rsidR="001274B4" w:rsidRPr="00A45996">
        <w:t>myeloma</w:t>
      </w:r>
      <w:proofErr w:type="gramEnd"/>
      <w:r w:rsidR="001274B4" w:rsidRPr="00A45996">
        <w:t xml:space="preserve"> who are not candidates for high dose chemotherapy.</w:t>
      </w:r>
    </w:p>
    <w:p w:rsidR="001274B4" w:rsidRPr="00A45996" w:rsidRDefault="001274B4" w:rsidP="00326C73">
      <w:pPr>
        <w:pStyle w:val="PIDOTPOINT"/>
        <w:keepLines/>
        <w:spacing w:before="20" w:after="80"/>
        <w:ind w:left="0" w:firstLine="0"/>
      </w:pPr>
      <w:r w:rsidRPr="00A45996">
        <w:t>VELCADE, as part of combination therapy, is indicated for induction therapy prior to high dose chemotherapy with autologous stem cell rescue for patients under 65 years of age with previously untreated multiple myeloma</w:t>
      </w:r>
      <w:r w:rsidR="00326C73" w:rsidRPr="00A45996">
        <w:t xml:space="preserve">. </w:t>
      </w:r>
    </w:p>
    <w:p w:rsidR="00326C73" w:rsidRPr="00A45996" w:rsidRDefault="00326C73" w:rsidP="00326C73">
      <w:pPr>
        <w:pStyle w:val="PIDOTPOINT"/>
        <w:keepLines/>
        <w:spacing w:before="20" w:after="80"/>
        <w:ind w:left="0" w:firstLine="0"/>
      </w:pPr>
      <w:r w:rsidRPr="00A45996">
        <w:t xml:space="preserve">VELCADE is also indicated for the treatment of multiple myeloma patients who have received at least one prior therapy, and who have progressive disease. </w:t>
      </w:r>
    </w:p>
    <w:p w:rsidR="007B3AD3" w:rsidRPr="00A45996" w:rsidRDefault="007B3AD3" w:rsidP="00326C73">
      <w:pPr>
        <w:pStyle w:val="PIDOTPOINT"/>
        <w:keepLines/>
        <w:spacing w:before="20" w:after="80"/>
        <w:ind w:left="0" w:firstLine="0"/>
      </w:pPr>
      <w:r w:rsidRPr="00A45996">
        <w:t>VELCADE in combination with rituximab, cyclophosphamide, doxorubicin and prednisone is indicated for the treatment of adult patients with previously untreated mantle cell lymphoma.</w:t>
      </w:r>
    </w:p>
    <w:p w:rsidR="00326C73" w:rsidRPr="00A45996" w:rsidRDefault="00326C73" w:rsidP="00326C73">
      <w:pPr>
        <w:pStyle w:val="PIHEADING1"/>
        <w:keepNext/>
        <w:keepLines/>
        <w:jc w:val="both"/>
      </w:pPr>
      <w:r w:rsidRPr="00A45996">
        <w:t>CONTRAINDICATIONS</w:t>
      </w:r>
    </w:p>
    <w:p w:rsidR="00326C73" w:rsidRPr="00A45996" w:rsidRDefault="00326C73" w:rsidP="00326C73">
      <w:pPr>
        <w:pStyle w:val="PIEXPLAIN"/>
        <w:keepLines/>
      </w:pPr>
      <w:r w:rsidRPr="00A45996">
        <w:t xml:space="preserve">VELCADE is contraindicated in patients with hypersensitivity to </w:t>
      </w:r>
      <w:proofErr w:type="spellStart"/>
      <w:r w:rsidRPr="00A45996">
        <w:t>bortezomib</w:t>
      </w:r>
      <w:proofErr w:type="spellEnd"/>
      <w:r w:rsidRPr="00A45996">
        <w:t>, boron or mannitol.</w:t>
      </w:r>
    </w:p>
    <w:p w:rsidR="00326C73" w:rsidRPr="00A45996" w:rsidRDefault="00326C73" w:rsidP="00326C73">
      <w:pPr>
        <w:pStyle w:val="PIHEADING1"/>
        <w:keepLines/>
        <w:jc w:val="both"/>
      </w:pPr>
      <w:r w:rsidRPr="00A45996">
        <w:t>PRECAUTIONS</w:t>
      </w:r>
    </w:p>
    <w:p w:rsidR="00275778" w:rsidRPr="00A45996" w:rsidRDefault="00275778" w:rsidP="00326C73">
      <w:pPr>
        <w:spacing w:before="20" w:after="80"/>
        <w:rPr>
          <w:sz w:val="22"/>
        </w:rPr>
      </w:pPr>
      <w:r w:rsidRPr="00A45996">
        <w:rPr>
          <w:sz w:val="22"/>
        </w:rPr>
        <w:t xml:space="preserve">Overall treatment with VELCADE must be done under the supervision of a </w:t>
      </w:r>
      <w:proofErr w:type="gramStart"/>
      <w:r w:rsidRPr="00A45996">
        <w:rPr>
          <w:sz w:val="22"/>
        </w:rPr>
        <w:t>physician,</w:t>
      </w:r>
      <w:proofErr w:type="gramEnd"/>
      <w:r w:rsidRPr="00A45996">
        <w:rPr>
          <w:sz w:val="22"/>
        </w:rPr>
        <w:t xml:space="preserve"> however administration of the drug product may be done by a healthcare professional experienced in the administration of oncology medications.</w:t>
      </w:r>
    </w:p>
    <w:p w:rsidR="00AC0EE6" w:rsidRPr="00A45996" w:rsidRDefault="00AC0EE6" w:rsidP="00326C73">
      <w:pPr>
        <w:spacing w:before="20" w:after="80"/>
        <w:rPr>
          <w:sz w:val="22"/>
        </w:rPr>
      </w:pPr>
      <w:r w:rsidRPr="00A45996">
        <w:rPr>
          <w:sz w:val="22"/>
        </w:rPr>
        <w:t xml:space="preserve">There have been fatal cases of inadvertent intrathecal administration of VELCADE.  VELCADE is for </w:t>
      </w:r>
      <w:r w:rsidR="00C73BD9" w:rsidRPr="00A45996">
        <w:rPr>
          <w:sz w:val="22"/>
        </w:rPr>
        <w:t xml:space="preserve">intravenous or subcutaneous </w:t>
      </w:r>
      <w:r w:rsidRPr="00A45996">
        <w:rPr>
          <w:sz w:val="22"/>
        </w:rPr>
        <w:t xml:space="preserve">use only.  </w:t>
      </w:r>
      <w:r w:rsidRPr="00A45996">
        <w:rPr>
          <w:b/>
          <w:sz w:val="22"/>
        </w:rPr>
        <w:t>DO NOT ADMINISTER VELCADE INTRATHECALLY</w:t>
      </w:r>
      <w:r w:rsidRPr="00A45996">
        <w:rPr>
          <w:sz w:val="22"/>
        </w:rPr>
        <w:t xml:space="preserve">.  </w:t>
      </w:r>
    </w:p>
    <w:p w:rsidR="00326C73" w:rsidRPr="00A45996" w:rsidRDefault="00326C73" w:rsidP="00326C73">
      <w:pPr>
        <w:spacing w:before="20" w:after="80"/>
      </w:pPr>
      <w:r w:rsidRPr="00A45996">
        <w:rPr>
          <w:sz w:val="22"/>
        </w:rPr>
        <w:t xml:space="preserve">Overall, the safety profile of patients treated with VELCADE in monotherapy was similar to that observed in patients treated with VELCADE in combination with </w:t>
      </w:r>
      <w:proofErr w:type="spellStart"/>
      <w:r w:rsidRPr="00A45996">
        <w:rPr>
          <w:sz w:val="22"/>
        </w:rPr>
        <w:t>melphalan</w:t>
      </w:r>
      <w:proofErr w:type="spellEnd"/>
      <w:r w:rsidRPr="00A45996">
        <w:rPr>
          <w:sz w:val="22"/>
        </w:rPr>
        <w:t xml:space="preserve"> and prednisone.</w:t>
      </w:r>
    </w:p>
    <w:p w:rsidR="00326C73" w:rsidRPr="00A45996" w:rsidRDefault="00326C73" w:rsidP="00326C73">
      <w:pPr>
        <w:pStyle w:val="PIEXPLAIN"/>
        <w:keepLines/>
        <w:spacing w:before="120"/>
        <w:rPr>
          <w:b/>
          <w:szCs w:val="22"/>
          <w:u w:val="single"/>
        </w:rPr>
      </w:pPr>
      <w:r w:rsidRPr="00A45996">
        <w:rPr>
          <w:b/>
          <w:szCs w:val="22"/>
          <w:u w:val="single"/>
        </w:rPr>
        <w:t>Peripheral Neuropathy</w:t>
      </w:r>
    </w:p>
    <w:p w:rsidR="00DE0059" w:rsidRPr="00A45996" w:rsidRDefault="00326C73" w:rsidP="00326C73">
      <w:pPr>
        <w:keepLines w:val="0"/>
        <w:widowControl w:val="0"/>
        <w:spacing w:before="20" w:after="80"/>
        <w:rPr>
          <w:sz w:val="22"/>
        </w:rPr>
      </w:pPr>
      <w:r w:rsidRPr="00A45996">
        <w:rPr>
          <w:sz w:val="22"/>
        </w:rPr>
        <w:t xml:space="preserve">VELCADE treatment causes a peripheral neuropathy </w:t>
      </w:r>
      <w:r w:rsidR="00DE0059" w:rsidRPr="00A45996">
        <w:rPr>
          <w:sz w:val="22"/>
        </w:rPr>
        <w:t xml:space="preserve">(PN) </w:t>
      </w:r>
      <w:r w:rsidRPr="00A45996">
        <w:rPr>
          <w:sz w:val="22"/>
        </w:rPr>
        <w:t xml:space="preserve">that is predominantly sensory. However, cases of severe motor neuropathy with or without sensory peripheral neuropathy have been reported.  Patients with pre-existing symptoms (numbness, pain or burning feeling in the feet or hands) and/or signs of peripheral neuropathy may experience worsening (including </w:t>
      </w:r>
      <w:r w:rsidRPr="00A45996">
        <w:rPr>
          <w:sz w:val="22"/>
        </w:rPr>
        <w:sym w:font="Symbol" w:char="F0B3"/>
      </w:r>
      <w:r w:rsidRPr="00A45996">
        <w:rPr>
          <w:sz w:val="22"/>
        </w:rPr>
        <w:t xml:space="preserve"> Grade 3) during treatment with VELCADE.  Patients should be monitored for symptoms of neuropathy, such as a burning sensation, hyperaesthesia, hypoesthesia, paraesthesia, discomfort, neuropathic pain or weakness.  </w:t>
      </w:r>
    </w:p>
    <w:p w:rsidR="00DE0059" w:rsidRPr="00A45996" w:rsidRDefault="00DE0059" w:rsidP="00326C73">
      <w:pPr>
        <w:keepLines w:val="0"/>
        <w:widowControl w:val="0"/>
        <w:spacing w:before="20" w:after="80"/>
        <w:rPr>
          <w:sz w:val="22"/>
        </w:rPr>
      </w:pPr>
      <w:r w:rsidRPr="00A45996">
        <w:rPr>
          <w:sz w:val="22"/>
        </w:rPr>
        <w:t xml:space="preserve">In the Phase 3 study comparing VELCADE IV vs. SC the incidence of Grade </w:t>
      </w:r>
      <w:r w:rsidRPr="00A45996">
        <w:rPr>
          <w:rFonts w:cs="Arial"/>
          <w:sz w:val="22"/>
        </w:rPr>
        <w:t>≥</w:t>
      </w:r>
      <w:r w:rsidRPr="00A45996">
        <w:rPr>
          <w:sz w:val="22"/>
        </w:rPr>
        <w:t>2 peripheral neuropathy events was 24% for SC and 41% for IV (</w:t>
      </w:r>
      <w:r w:rsidRPr="00A45996">
        <w:rPr>
          <w:i/>
          <w:sz w:val="22"/>
        </w:rPr>
        <w:t>p</w:t>
      </w:r>
      <w:r w:rsidRPr="00A45996">
        <w:rPr>
          <w:sz w:val="22"/>
        </w:rPr>
        <w:t xml:space="preserve">=0.0124). Grade </w:t>
      </w:r>
      <w:r w:rsidRPr="00A45996">
        <w:rPr>
          <w:rFonts w:cs="Arial"/>
          <w:sz w:val="22"/>
        </w:rPr>
        <w:t>≥</w:t>
      </w:r>
      <w:r w:rsidRPr="00A45996">
        <w:rPr>
          <w:sz w:val="22"/>
        </w:rPr>
        <w:t>3 peripheral neuropathy occurred in 6% of subjects in the SC treatment group, compared with 16% in the IV treatment group (</w:t>
      </w:r>
      <w:r w:rsidRPr="00A45996">
        <w:rPr>
          <w:i/>
          <w:sz w:val="22"/>
        </w:rPr>
        <w:t>p</w:t>
      </w:r>
      <w:r w:rsidRPr="00A45996">
        <w:rPr>
          <w:sz w:val="22"/>
        </w:rPr>
        <w:t>=0.0264). Therefore, patients with pre-existing PN or at high risk of peripheral neuropathy may benefit from starting VELCADE subcutaneously.</w:t>
      </w:r>
    </w:p>
    <w:p w:rsidR="00326C73" w:rsidRPr="00A45996" w:rsidRDefault="00326C73" w:rsidP="00326C73">
      <w:pPr>
        <w:keepLines w:val="0"/>
        <w:widowControl w:val="0"/>
        <w:spacing w:before="20" w:after="80"/>
        <w:rPr>
          <w:sz w:val="22"/>
        </w:rPr>
      </w:pPr>
      <w:r w:rsidRPr="00A45996">
        <w:rPr>
          <w:sz w:val="22"/>
        </w:rPr>
        <w:t xml:space="preserve">Patients experiencing new or worsening peripheral neuropathy may require </w:t>
      </w:r>
      <w:r w:rsidR="00DE0059" w:rsidRPr="00A45996">
        <w:rPr>
          <w:sz w:val="22"/>
        </w:rPr>
        <w:t xml:space="preserve">a </w:t>
      </w:r>
      <w:r w:rsidRPr="00A45996">
        <w:rPr>
          <w:sz w:val="22"/>
        </w:rPr>
        <w:t>change in dose</w:t>
      </w:r>
      <w:r w:rsidR="00DE0059" w:rsidRPr="00A45996">
        <w:rPr>
          <w:sz w:val="22"/>
        </w:rPr>
        <w:t>,</w:t>
      </w:r>
      <w:r w:rsidRPr="00A45996">
        <w:rPr>
          <w:sz w:val="22"/>
        </w:rPr>
        <w:t xml:space="preserve"> schedule </w:t>
      </w:r>
      <w:r w:rsidR="00DE0059" w:rsidRPr="00A45996">
        <w:rPr>
          <w:sz w:val="22"/>
        </w:rPr>
        <w:t>or route of administration to SC</w:t>
      </w:r>
      <w:r w:rsidRPr="00A45996">
        <w:rPr>
          <w:sz w:val="22"/>
        </w:rPr>
        <w:t xml:space="preserve"> (see </w:t>
      </w:r>
      <w:r w:rsidRPr="00A45996">
        <w:rPr>
          <w:b/>
          <w:bCs/>
          <w:sz w:val="22"/>
        </w:rPr>
        <w:t>DOSAGE AND ADMINISTRATION</w:t>
      </w:r>
      <w:r w:rsidRPr="00A45996">
        <w:rPr>
          <w:sz w:val="22"/>
        </w:rPr>
        <w:t xml:space="preserve">).  </w:t>
      </w:r>
    </w:p>
    <w:p w:rsidR="00326C73" w:rsidRPr="00A45996" w:rsidRDefault="00326C73" w:rsidP="00326C73">
      <w:pPr>
        <w:spacing w:before="20" w:after="80"/>
        <w:rPr>
          <w:sz w:val="22"/>
        </w:rPr>
      </w:pPr>
      <w:r w:rsidRPr="00A45996">
        <w:rPr>
          <w:sz w:val="22"/>
        </w:rPr>
        <w:t xml:space="preserve">Following dose adjustments, improvement in or resolution of peripheral neuropathy was reported in 51% of patients with </w:t>
      </w:r>
      <w:r w:rsidRPr="00A45996">
        <w:rPr>
          <w:sz w:val="22"/>
        </w:rPr>
        <w:sym w:font="Symbol" w:char="F0B3"/>
      </w:r>
      <w:r w:rsidRPr="00A45996">
        <w:rPr>
          <w:sz w:val="22"/>
        </w:rPr>
        <w:t xml:space="preserve"> Grade 2 peripheral neuropathy in the phase III </w:t>
      </w:r>
      <w:r w:rsidR="002276F4" w:rsidRPr="00A45996">
        <w:rPr>
          <w:sz w:val="22"/>
        </w:rPr>
        <w:t xml:space="preserve">multiple myeloma </w:t>
      </w:r>
      <w:r w:rsidRPr="00A45996">
        <w:rPr>
          <w:sz w:val="22"/>
        </w:rPr>
        <w:t>study</w:t>
      </w:r>
      <w:r w:rsidR="002276F4" w:rsidRPr="00A45996">
        <w:rPr>
          <w:sz w:val="22"/>
        </w:rPr>
        <w:t xml:space="preserve"> of VELCADE IV vs. dexamethasone</w:t>
      </w:r>
      <w:r w:rsidRPr="00A45996">
        <w:rPr>
          <w:sz w:val="22"/>
        </w:rPr>
        <w:t xml:space="preserve">.  Improvement in or resolution of peripheral neuropathy was reported in 73% of patients who discontinued due to Grade 2 neuropathy or who had </w:t>
      </w:r>
      <w:r w:rsidRPr="00A45996">
        <w:rPr>
          <w:sz w:val="22"/>
        </w:rPr>
        <w:sym w:font="Symbol" w:char="F0B3"/>
      </w:r>
      <w:r w:rsidRPr="00A45996">
        <w:rPr>
          <w:sz w:val="22"/>
        </w:rPr>
        <w:t xml:space="preserve"> Grade 3 peripheral neuropathy in the phase II studies (see </w:t>
      </w:r>
      <w:r w:rsidRPr="00A45996">
        <w:rPr>
          <w:b/>
          <w:bCs/>
          <w:sz w:val="22"/>
        </w:rPr>
        <w:t>ADVERSE EFFECTS</w:t>
      </w:r>
      <w:r w:rsidRPr="00A45996">
        <w:rPr>
          <w:sz w:val="22"/>
        </w:rPr>
        <w:t xml:space="preserve">).  </w:t>
      </w:r>
    </w:p>
    <w:p w:rsidR="00326C73" w:rsidRPr="00A45996" w:rsidRDefault="00326C73" w:rsidP="00326C73">
      <w:pPr>
        <w:spacing w:before="20" w:after="80"/>
        <w:rPr>
          <w:sz w:val="22"/>
        </w:rPr>
      </w:pPr>
      <w:r w:rsidRPr="00A45996">
        <w:rPr>
          <w:sz w:val="22"/>
        </w:rPr>
        <w:t>In addition to peripheral neuropathy, there may be a contribution of autonomic neuropathy to some adverse reactions such as postural hypotension and severe constipation with ileus. Information on autonomic neuropathy and its contribution to these undesirable effects is limited.</w:t>
      </w:r>
    </w:p>
    <w:p w:rsidR="007B3AD3" w:rsidRPr="00A45996" w:rsidRDefault="007B3AD3" w:rsidP="007B3AD3">
      <w:pPr>
        <w:spacing w:before="20" w:after="80"/>
        <w:rPr>
          <w:sz w:val="22"/>
        </w:rPr>
      </w:pPr>
    </w:p>
    <w:p w:rsidR="007B3AD3" w:rsidRPr="00A45996" w:rsidRDefault="007B3AD3" w:rsidP="007B3AD3">
      <w:pPr>
        <w:spacing w:before="20" w:after="80"/>
      </w:pPr>
      <w:r w:rsidRPr="00A45996">
        <w:rPr>
          <w:sz w:val="22"/>
          <w:szCs w:val="22"/>
        </w:rPr>
        <w:lastRenderedPageBreak/>
        <w:t>The long-term outcome of peripheral neuropathy has not been studied in mantle cell lymphoma.</w:t>
      </w:r>
    </w:p>
    <w:p w:rsidR="007B3AD3" w:rsidRPr="00A45996" w:rsidRDefault="007B3AD3" w:rsidP="00326C73">
      <w:pPr>
        <w:pStyle w:val="PIEXPLAIN"/>
        <w:keepLines/>
        <w:spacing w:before="120"/>
        <w:rPr>
          <w:b/>
          <w:szCs w:val="22"/>
          <w:u w:val="single"/>
        </w:rPr>
      </w:pPr>
    </w:p>
    <w:p w:rsidR="00326C73" w:rsidRPr="00A45996" w:rsidRDefault="00326C73" w:rsidP="00326C73">
      <w:pPr>
        <w:pStyle w:val="PIEXPLAIN"/>
        <w:keepLines/>
        <w:spacing w:before="120"/>
        <w:rPr>
          <w:b/>
          <w:szCs w:val="22"/>
          <w:u w:val="single"/>
        </w:rPr>
      </w:pPr>
      <w:r w:rsidRPr="00A45996">
        <w:rPr>
          <w:b/>
          <w:szCs w:val="22"/>
          <w:u w:val="single"/>
        </w:rPr>
        <w:t>Hypotension</w:t>
      </w:r>
    </w:p>
    <w:p w:rsidR="00326C73" w:rsidRPr="00A45996" w:rsidRDefault="00326C73" w:rsidP="00326C73">
      <w:pPr>
        <w:pStyle w:val="Paragraph"/>
        <w:spacing w:before="20" w:after="80" w:line="240" w:lineRule="auto"/>
        <w:jc w:val="both"/>
        <w:rPr>
          <w:rFonts w:ascii="Arial" w:hAnsi="Arial" w:cs="Arial"/>
          <w:szCs w:val="24"/>
        </w:rPr>
      </w:pPr>
      <w:r w:rsidRPr="00A45996">
        <w:rPr>
          <w:rFonts w:ascii="Arial" w:hAnsi="Arial" w:cs="Arial"/>
          <w:szCs w:val="24"/>
        </w:rPr>
        <w:t>Patients developing orthostatic hypotension on VELCADE did not have evidence of orthostatic hypotension prior to treatment with VELCADE.  Most patients required treatment for their orthostatic hypotension.  A minority of patients with orthostatic hypotension experienced syncopal events. Orthostatic/postural hypotension was not acutely related to bolus infusion of VELCADE.</w:t>
      </w:r>
    </w:p>
    <w:p w:rsidR="00326C73" w:rsidRPr="00A45996" w:rsidRDefault="00326C73" w:rsidP="00326C73">
      <w:pPr>
        <w:pStyle w:val="Paragraph"/>
        <w:spacing w:before="20" w:after="80" w:line="240" w:lineRule="auto"/>
        <w:jc w:val="both"/>
        <w:rPr>
          <w:rFonts w:ascii="Arial" w:hAnsi="Arial" w:cs="Arial"/>
          <w:szCs w:val="24"/>
        </w:rPr>
      </w:pPr>
      <w:r w:rsidRPr="00A45996">
        <w:rPr>
          <w:rFonts w:ascii="Arial" w:hAnsi="Arial" w:cs="Arial"/>
          <w:szCs w:val="24"/>
        </w:rPr>
        <w:t xml:space="preserve">In phase II and III studies, the incidence of hypotension (postural, orthostatic and hypotension not otherwise specified) was 11% to 12%.  These events are observed throughout therapy.  Caution should be used when treating patients with a history of syncope receiving medications known to be associated with hypotension and with patients who are dehydrated.  Management of orthostatic/postural hypotension may include adjustment of antihypertensive medications, hydration, or administration of mineralocorticoids and/or </w:t>
      </w:r>
      <w:proofErr w:type="spellStart"/>
      <w:r w:rsidRPr="00A45996">
        <w:rPr>
          <w:rFonts w:ascii="Arial" w:hAnsi="Arial" w:cs="Arial"/>
          <w:szCs w:val="24"/>
        </w:rPr>
        <w:t>sympathomimetics</w:t>
      </w:r>
      <w:proofErr w:type="spellEnd"/>
      <w:r w:rsidRPr="00A45996">
        <w:rPr>
          <w:rFonts w:ascii="Arial" w:hAnsi="Arial" w:cs="Arial"/>
          <w:szCs w:val="24"/>
        </w:rPr>
        <w:t xml:space="preserve"> (see </w:t>
      </w:r>
      <w:r w:rsidRPr="00A45996">
        <w:rPr>
          <w:rFonts w:ascii="Arial" w:hAnsi="Arial" w:cs="Arial"/>
          <w:b/>
          <w:bCs/>
          <w:szCs w:val="24"/>
        </w:rPr>
        <w:t>ADVERSE EFFECTS</w:t>
      </w:r>
      <w:r w:rsidRPr="00A45996">
        <w:rPr>
          <w:rFonts w:ascii="Arial" w:hAnsi="Arial" w:cs="Arial"/>
          <w:szCs w:val="24"/>
        </w:rPr>
        <w:t xml:space="preserve">). </w:t>
      </w:r>
    </w:p>
    <w:p w:rsidR="00326C73" w:rsidRPr="00A45996" w:rsidRDefault="00326C73" w:rsidP="00326C73">
      <w:pPr>
        <w:pStyle w:val="Heading4"/>
        <w:spacing w:before="120" w:after="80"/>
        <w:rPr>
          <w:sz w:val="22"/>
          <w:szCs w:val="22"/>
          <w:u w:val="single"/>
        </w:rPr>
      </w:pPr>
      <w:r w:rsidRPr="00A45996">
        <w:rPr>
          <w:sz w:val="22"/>
          <w:szCs w:val="22"/>
          <w:u w:val="single"/>
        </w:rPr>
        <w:t>Cardiac Disorders</w:t>
      </w:r>
    </w:p>
    <w:p w:rsidR="00326C73" w:rsidRPr="00A45996" w:rsidRDefault="00326C73" w:rsidP="00326C73">
      <w:pPr>
        <w:keepLines w:val="0"/>
        <w:autoSpaceDE w:val="0"/>
        <w:autoSpaceDN w:val="0"/>
        <w:adjustRightInd w:val="0"/>
        <w:spacing w:before="20" w:after="80"/>
        <w:rPr>
          <w:rFonts w:cs="Arial"/>
          <w:sz w:val="22"/>
          <w:szCs w:val="24"/>
        </w:rPr>
      </w:pPr>
      <w:r w:rsidRPr="00A45996">
        <w:rPr>
          <w:sz w:val="22"/>
        </w:rPr>
        <w:t>Acute development or exacerbation of congestive heart failure, and/or new onset of decreased left ventricular ejection fraction has been reported, including reports in patients with few or no risk factors for decreased left ventricular ejection fraction.  Patients with risk factors for, or an existing heart disease should be closely monitored.</w:t>
      </w:r>
      <w:r w:rsidRPr="00A45996">
        <w:rPr>
          <w:rFonts w:cs="Arial"/>
          <w:sz w:val="22"/>
        </w:rPr>
        <w:t xml:space="preserve">  </w:t>
      </w:r>
      <w:r w:rsidRPr="00A45996">
        <w:rPr>
          <w:rFonts w:cs="Arial"/>
          <w:sz w:val="22"/>
          <w:szCs w:val="24"/>
          <w:lang w:val="en-US"/>
        </w:rPr>
        <w:t>In the phase III study</w:t>
      </w:r>
      <w:r w:rsidR="002276F4" w:rsidRPr="00A45996">
        <w:rPr>
          <w:rFonts w:cs="Arial"/>
          <w:sz w:val="22"/>
          <w:szCs w:val="24"/>
          <w:lang w:val="en-US"/>
        </w:rPr>
        <w:t xml:space="preserve"> of VELCADE IV vs. dexamethasone</w:t>
      </w:r>
      <w:r w:rsidRPr="00A45996">
        <w:rPr>
          <w:rFonts w:cs="Arial"/>
          <w:sz w:val="22"/>
          <w:szCs w:val="24"/>
          <w:lang w:val="en-US"/>
        </w:rPr>
        <w:t xml:space="preserve">, the incidence of any treatment-emergent cardiac disorder was 15% and 13%, respectively. The incidence of heart failure events (acute pulmonary edema, cardiac failure, congestive cardiac failure, cardiogenic shock, </w:t>
      </w:r>
      <w:proofErr w:type="gramStart"/>
      <w:r w:rsidRPr="00A45996">
        <w:rPr>
          <w:rFonts w:cs="Arial"/>
          <w:sz w:val="22"/>
          <w:szCs w:val="24"/>
          <w:lang w:val="en-US"/>
        </w:rPr>
        <w:t>pulmonary</w:t>
      </w:r>
      <w:proofErr w:type="gramEnd"/>
      <w:r w:rsidRPr="00A45996">
        <w:rPr>
          <w:rFonts w:cs="Arial"/>
          <w:sz w:val="22"/>
          <w:szCs w:val="24"/>
          <w:lang w:val="en-US"/>
        </w:rPr>
        <w:t xml:space="preserve"> edema) was similar in the VELCADE and dexamethasone groups, 5% and 4%, respectively. There have been isolated cases of QT-interval </w:t>
      </w:r>
      <w:r w:rsidRPr="00A45996">
        <w:rPr>
          <w:rFonts w:cs="Arial"/>
          <w:sz w:val="22"/>
          <w:lang w:val="en-US"/>
        </w:rPr>
        <w:t>prolongation in clinical studies; causality has not been established.</w:t>
      </w:r>
    </w:p>
    <w:p w:rsidR="00326C73" w:rsidRPr="00A45996" w:rsidRDefault="00326C73" w:rsidP="00326C73">
      <w:pPr>
        <w:pStyle w:val="Heading4"/>
        <w:spacing w:before="120" w:after="80"/>
        <w:rPr>
          <w:sz w:val="22"/>
          <w:szCs w:val="22"/>
          <w:u w:val="single"/>
        </w:rPr>
      </w:pPr>
      <w:r w:rsidRPr="00A45996">
        <w:rPr>
          <w:sz w:val="22"/>
          <w:szCs w:val="22"/>
          <w:u w:val="single"/>
        </w:rPr>
        <w:t>Pulmonary Disorders</w:t>
      </w:r>
    </w:p>
    <w:p w:rsidR="00326C73" w:rsidRPr="00A45996" w:rsidRDefault="00326C73" w:rsidP="00326C73">
      <w:pPr>
        <w:pStyle w:val="PIEXPLAIN"/>
        <w:keepLines/>
        <w:tabs>
          <w:tab w:val="clear" w:pos="-720"/>
        </w:tabs>
        <w:suppressAutoHyphens w:val="0"/>
        <w:rPr>
          <w:spacing w:val="0"/>
        </w:rPr>
      </w:pPr>
      <w:r w:rsidRPr="00A45996">
        <w:rPr>
          <w:spacing w:val="0"/>
        </w:rPr>
        <w:t xml:space="preserve">There have been rare reports of acute diffuse infiltrative pulmonary disease of unknown </w:t>
      </w:r>
      <w:proofErr w:type="spellStart"/>
      <w:r w:rsidRPr="00A45996">
        <w:rPr>
          <w:spacing w:val="0"/>
        </w:rPr>
        <w:t>etiology</w:t>
      </w:r>
      <w:proofErr w:type="spellEnd"/>
      <w:r w:rsidRPr="00A45996">
        <w:rPr>
          <w:spacing w:val="0"/>
        </w:rPr>
        <w:t xml:space="preserve"> such as pneumonitis, interstitial pneumonia, lung infiltration and Acute Respiratory Distress Syndrome (ARDS) in patients receiving VELCADE. Some of these events have been fatal. A higher proportion of these events have been reported in Japan. In the event of new or worsening pulmonary symptoms, a prompt diagnostic evaluation should be performed and patients treated appropriately.</w:t>
      </w:r>
    </w:p>
    <w:p w:rsidR="00326C73" w:rsidRPr="00A45996" w:rsidRDefault="00326C73" w:rsidP="00326C73">
      <w:pPr>
        <w:pStyle w:val="PIEXPLAIN"/>
        <w:keepLines/>
        <w:tabs>
          <w:tab w:val="clear" w:pos="-720"/>
        </w:tabs>
        <w:suppressAutoHyphens w:val="0"/>
      </w:pPr>
      <w:r w:rsidRPr="00A45996">
        <w:t xml:space="preserve">In a clinical trial, two patients given high-dose </w:t>
      </w:r>
      <w:proofErr w:type="spellStart"/>
      <w:r w:rsidRPr="00A45996">
        <w:t>cytarabine</w:t>
      </w:r>
      <w:proofErr w:type="spellEnd"/>
      <w:r w:rsidRPr="00A45996">
        <w:t xml:space="preserve"> (2g/m</w:t>
      </w:r>
      <w:r w:rsidRPr="00A45996">
        <w:rPr>
          <w:vertAlign w:val="superscript"/>
        </w:rPr>
        <w:t>2</w:t>
      </w:r>
      <w:r w:rsidRPr="00A45996">
        <w:t xml:space="preserve"> per day) by continuous infusion with </w:t>
      </w:r>
      <w:proofErr w:type="spellStart"/>
      <w:r w:rsidRPr="00A45996">
        <w:t>daunorubicin</w:t>
      </w:r>
      <w:proofErr w:type="spellEnd"/>
      <w:r w:rsidRPr="00A45996">
        <w:t xml:space="preserve"> and VELCADE for relapsed acute myelogenous leukaemia died of ARDS early in the course of therapy.  </w:t>
      </w:r>
    </w:p>
    <w:p w:rsidR="00480753" w:rsidRPr="00A45996" w:rsidRDefault="00D979F5" w:rsidP="00326C73">
      <w:pPr>
        <w:pStyle w:val="PIEXPLAIN"/>
        <w:keepLines/>
        <w:tabs>
          <w:tab w:val="clear" w:pos="-720"/>
        </w:tabs>
        <w:suppressAutoHyphens w:val="0"/>
        <w:rPr>
          <w:b/>
          <w:bCs/>
          <w:spacing w:val="0"/>
          <w:szCs w:val="22"/>
          <w:u w:val="single"/>
        </w:rPr>
      </w:pPr>
      <w:r w:rsidRPr="00A45996">
        <w:rPr>
          <w:b/>
          <w:bCs/>
          <w:spacing w:val="0"/>
          <w:szCs w:val="22"/>
          <w:u w:val="single"/>
        </w:rPr>
        <w:t xml:space="preserve">Posterior Reversible Encephalopathy Syndrome (PRES) </w:t>
      </w:r>
    </w:p>
    <w:p w:rsidR="00326C73" w:rsidRPr="00A45996" w:rsidRDefault="00326C73" w:rsidP="00326C73">
      <w:pPr>
        <w:pStyle w:val="PIEXPLAIN"/>
        <w:keepLines/>
        <w:tabs>
          <w:tab w:val="clear" w:pos="-720"/>
        </w:tabs>
        <w:suppressAutoHyphens w:val="0"/>
        <w:rPr>
          <w:spacing w:val="0"/>
        </w:rPr>
      </w:pPr>
      <w:r w:rsidRPr="00A45996">
        <w:rPr>
          <w:spacing w:val="0"/>
        </w:rPr>
        <w:t xml:space="preserve">There have been reports of </w:t>
      </w:r>
      <w:r w:rsidR="00D979F5" w:rsidRPr="00A45996">
        <w:rPr>
          <w:spacing w:val="0"/>
        </w:rPr>
        <w:t xml:space="preserve">PRES </w:t>
      </w:r>
      <w:r w:rsidRPr="00A45996">
        <w:rPr>
          <w:spacing w:val="0"/>
        </w:rPr>
        <w:t xml:space="preserve">in patients receiving VELCADE. </w:t>
      </w:r>
      <w:r w:rsidR="00D979F5" w:rsidRPr="00A45996">
        <w:rPr>
          <w:spacing w:val="0"/>
        </w:rPr>
        <w:t>PRES</w:t>
      </w:r>
      <w:r w:rsidRPr="00A45996">
        <w:rPr>
          <w:spacing w:val="0"/>
        </w:rPr>
        <w:t xml:space="preserve"> is a rare, reversible, neurological disorder which can present with seizure, hypertension, headache, lethargy, confusion, blindness, and other visual and neurological disturbances. Brain imaging, preferably MRI (Magnetic Resonance Imaging), is used to confirm the diagnosis. In patients developing </w:t>
      </w:r>
      <w:r w:rsidR="00D979F5" w:rsidRPr="00A45996">
        <w:rPr>
          <w:spacing w:val="0"/>
        </w:rPr>
        <w:t>PRES</w:t>
      </w:r>
      <w:r w:rsidRPr="00A45996">
        <w:rPr>
          <w:spacing w:val="0"/>
        </w:rPr>
        <w:t xml:space="preserve">, discontinue VELCADE. The safety of reinitiating VELCADE therapy in patients previously experiencing </w:t>
      </w:r>
      <w:r w:rsidR="00D979F5" w:rsidRPr="00A45996">
        <w:rPr>
          <w:spacing w:val="0"/>
        </w:rPr>
        <w:t>PRES</w:t>
      </w:r>
      <w:r w:rsidRPr="00A45996">
        <w:rPr>
          <w:spacing w:val="0"/>
        </w:rPr>
        <w:t xml:space="preserve"> is not known.</w:t>
      </w:r>
    </w:p>
    <w:p w:rsidR="00326C73" w:rsidRPr="00A45996" w:rsidRDefault="00326C73" w:rsidP="00326C73">
      <w:pPr>
        <w:pStyle w:val="PIEXPLAIN"/>
        <w:rPr>
          <w:b/>
          <w:spacing w:val="0"/>
          <w:u w:val="single"/>
        </w:rPr>
      </w:pPr>
      <w:r w:rsidRPr="00A45996">
        <w:rPr>
          <w:b/>
          <w:spacing w:val="0"/>
          <w:u w:val="single"/>
        </w:rPr>
        <w:t>Seizures</w:t>
      </w:r>
    </w:p>
    <w:p w:rsidR="00326C73" w:rsidRPr="00A45996" w:rsidRDefault="00326C73" w:rsidP="00326C73">
      <w:pPr>
        <w:pStyle w:val="PIEXPLAIN"/>
        <w:keepLines/>
        <w:tabs>
          <w:tab w:val="clear" w:pos="-720"/>
        </w:tabs>
        <w:suppressAutoHyphens w:val="0"/>
        <w:rPr>
          <w:spacing w:val="0"/>
        </w:rPr>
      </w:pPr>
      <w:r w:rsidRPr="00A45996">
        <w:rPr>
          <w:spacing w:val="0"/>
        </w:rPr>
        <w:t>Seizures have been uncommonly reported in patients without previous history of seizures or epilepsy.  Special care is required when treating patients with any risk factors for seizures.</w:t>
      </w:r>
    </w:p>
    <w:p w:rsidR="00326C73" w:rsidRPr="00A45996" w:rsidRDefault="00326C73" w:rsidP="00326C73">
      <w:pPr>
        <w:pStyle w:val="Heading4"/>
        <w:spacing w:before="120" w:after="80"/>
        <w:rPr>
          <w:sz w:val="22"/>
          <w:szCs w:val="22"/>
          <w:u w:val="single"/>
        </w:rPr>
      </w:pPr>
      <w:r w:rsidRPr="00A45996">
        <w:rPr>
          <w:sz w:val="22"/>
          <w:szCs w:val="22"/>
          <w:u w:val="single"/>
        </w:rPr>
        <w:lastRenderedPageBreak/>
        <w:t>Amyloidosis</w:t>
      </w:r>
    </w:p>
    <w:p w:rsidR="00326C73" w:rsidRPr="00A45996" w:rsidRDefault="00326C73" w:rsidP="00326C73">
      <w:pPr>
        <w:pStyle w:val="Heading4"/>
        <w:spacing w:before="120" w:after="80"/>
        <w:rPr>
          <w:b w:val="0"/>
          <w:sz w:val="22"/>
          <w:szCs w:val="22"/>
        </w:rPr>
      </w:pPr>
      <w:r w:rsidRPr="00A45996">
        <w:rPr>
          <w:b w:val="0"/>
          <w:sz w:val="22"/>
          <w:szCs w:val="22"/>
        </w:rPr>
        <w:t>A phase 1/2 single-agent VELCADE dose-escalation study was conducted in patients with previously treated light-chain Amyloidosis. At planned interim analysis, no new safety concerns were observed and no evidence of target organ damage was found during the study.</w:t>
      </w:r>
    </w:p>
    <w:p w:rsidR="00326C73" w:rsidRPr="00A45996" w:rsidRDefault="00326C73" w:rsidP="00326C73">
      <w:pPr>
        <w:pStyle w:val="Heading4"/>
        <w:spacing w:before="120" w:after="80"/>
        <w:rPr>
          <w:sz w:val="22"/>
          <w:szCs w:val="22"/>
          <w:u w:val="single"/>
        </w:rPr>
      </w:pPr>
      <w:r w:rsidRPr="00A45996">
        <w:rPr>
          <w:sz w:val="22"/>
          <w:szCs w:val="22"/>
          <w:u w:val="single"/>
        </w:rPr>
        <w:t>Laboratory Tests</w:t>
      </w:r>
    </w:p>
    <w:p w:rsidR="00B13221" w:rsidRPr="00A45996" w:rsidRDefault="00326C73" w:rsidP="00326C73">
      <w:pPr>
        <w:pStyle w:val="PIEXPLAIN"/>
        <w:keepLines/>
        <w:spacing w:before="120"/>
        <w:rPr>
          <w:b/>
          <w:szCs w:val="22"/>
          <w:u w:val="single"/>
        </w:rPr>
      </w:pPr>
      <w:r w:rsidRPr="00A45996">
        <w:rPr>
          <w:bCs/>
        </w:rPr>
        <w:t>Complete blood counts (CBC) should be frequently monitored throughout treatment with VELCADE.</w:t>
      </w:r>
    </w:p>
    <w:p w:rsidR="00326C73" w:rsidRPr="00A45996" w:rsidRDefault="00326C73" w:rsidP="00326C73">
      <w:pPr>
        <w:pStyle w:val="PIEXPLAIN"/>
        <w:keepLines/>
        <w:spacing w:before="120"/>
        <w:rPr>
          <w:b/>
          <w:szCs w:val="22"/>
          <w:u w:val="single"/>
        </w:rPr>
      </w:pPr>
      <w:r w:rsidRPr="00A45996">
        <w:rPr>
          <w:b/>
          <w:szCs w:val="22"/>
          <w:u w:val="single"/>
        </w:rPr>
        <w:t>Thrombocytopenia</w:t>
      </w:r>
      <w:r w:rsidR="007B3AD3" w:rsidRPr="00A45996">
        <w:rPr>
          <w:b/>
          <w:szCs w:val="22"/>
          <w:u w:val="single"/>
        </w:rPr>
        <w:t>/Neutropenia</w:t>
      </w:r>
    </w:p>
    <w:p w:rsidR="007B3AD3" w:rsidRPr="00A45996" w:rsidRDefault="00326C73" w:rsidP="00326C73">
      <w:pPr>
        <w:pStyle w:val="Paragraph"/>
        <w:spacing w:before="20" w:after="80"/>
        <w:jc w:val="both"/>
        <w:rPr>
          <w:rFonts w:ascii="Arial" w:hAnsi="Arial" w:cs="Arial"/>
          <w:bCs/>
          <w:szCs w:val="24"/>
        </w:rPr>
      </w:pPr>
      <w:r w:rsidRPr="00A45996">
        <w:rPr>
          <w:rFonts w:ascii="Arial" w:hAnsi="Arial" w:cs="Arial"/>
          <w:bCs/>
          <w:szCs w:val="24"/>
        </w:rPr>
        <w:t>VELCADE treatment is associated with thrombocytopenia</w:t>
      </w:r>
      <w:r w:rsidR="007B3AD3" w:rsidRPr="00A45996">
        <w:rPr>
          <w:rFonts w:ascii="Arial" w:hAnsi="Arial" w:cs="Arial"/>
          <w:bCs/>
          <w:szCs w:val="24"/>
        </w:rPr>
        <w:t xml:space="preserve"> and neutropenia</w:t>
      </w:r>
      <w:r w:rsidRPr="00A45996">
        <w:rPr>
          <w:rFonts w:ascii="Arial" w:hAnsi="Arial" w:cs="Arial"/>
          <w:bCs/>
          <w:szCs w:val="24"/>
        </w:rPr>
        <w:t xml:space="preserve"> (see </w:t>
      </w:r>
      <w:r w:rsidRPr="00A45996">
        <w:rPr>
          <w:rFonts w:ascii="Arial" w:hAnsi="Arial" w:cs="Arial"/>
          <w:b/>
          <w:szCs w:val="24"/>
        </w:rPr>
        <w:t>ADVERSE EFFECTS</w:t>
      </w:r>
      <w:r w:rsidRPr="00A45996">
        <w:rPr>
          <w:rFonts w:ascii="Arial" w:hAnsi="Arial" w:cs="Arial"/>
          <w:bCs/>
          <w:szCs w:val="24"/>
        </w:rPr>
        <w:t xml:space="preserve">).  Platelet counts were lowest at Day 11 of each cycle of VELCADE treatment and typically recovered to baseline by the next cycle.  </w:t>
      </w:r>
      <w:r w:rsidR="007B3AD3" w:rsidRPr="00A45996">
        <w:rPr>
          <w:rFonts w:ascii="Arial" w:hAnsi="Arial" w:cs="Arial"/>
          <w:bCs/>
          <w:szCs w:val="24"/>
        </w:rPr>
        <w:t>T</w:t>
      </w:r>
      <w:r w:rsidRPr="00A45996">
        <w:rPr>
          <w:rFonts w:ascii="Arial" w:hAnsi="Arial" w:cs="Arial"/>
          <w:bCs/>
          <w:szCs w:val="24"/>
        </w:rPr>
        <w:t xml:space="preserve">he pattern of platelet count decrease and recovery remained consistent, </w:t>
      </w:r>
      <w:r w:rsidR="007B3AD3" w:rsidRPr="00A45996">
        <w:rPr>
          <w:rFonts w:ascii="Arial" w:hAnsi="Arial" w:cs="Arial"/>
          <w:bCs/>
          <w:szCs w:val="24"/>
        </w:rPr>
        <w:t xml:space="preserve">in the studies of multiple myeloma and mantle cell lymphoma, with </w:t>
      </w:r>
      <w:r w:rsidRPr="00A45996">
        <w:rPr>
          <w:rFonts w:ascii="Arial" w:hAnsi="Arial" w:cs="Arial"/>
          <w:bCs/>
          <w:szCs w:val="24"/>
        </w:rPr>
        <w:t>no evidence of cumulative thrombocytopenia</w:t>
      </w:r>
      <w:r w:rsidR="007B3AD3" w:rsidRPr="00A45996">
        <w:rPr>
          <w:rFonts w:ascii="Arial" w:hAnsi="Arial" w:cs="Arial"/>
          <w:bCs/>
          <w:szCs w:val="24"/>
        </w:rPr>
        <w:t xml:space="preserve"> or neutropenia in any of the regimens studied</w:t>
      </w:r>
      <w:r w:rsidRPr="00A45996">
        <w:rPr>
          <w:rFonts w:ascii="Arial" w:hAnsi="Arial" w:cs="Arial"/>
          <w:bCs/>
          <w:szCs w:val="24"/>
        </w:rPr>
        <w:t xml:space="preserve">.  </w:t>
      </w:r>
    </w:p>
    <w:p w:rsidR="007B3AD3" w:rsidRPr="00A45996" w:rsidRDefault="007B3AD3" w:rsidP="007B3AD3">
      <w:pPr>
        <w:pStyle w:val="Paragraph"/>
        <w:spacing w:before="20" w:after="80"/>
        <w:jc w:val="both"/>
        <w:rPr>
          <w:rFonts w:ascii="Arial" w:hAnsi="Arial" w:cs="Arial"/>
        </w:rPr>
      </w:pPr>
      <w:r w:rsidRPr="00A45996">
        <w:rPr>
          <w:rFonts w:ascii="Arial" w:hAnsi="Arial" w:cs="Arial"/>
        </w:rPr>
        <w:t>Platelet counts should be monitored prior to each dose of VELCADE.  VELCADE</w:t>
      </w:r>
      <w:r w:rsidRPr="00A45996">
        <w:rPr>
          <w:rFonts w:ascii="Arial" w:hAnsi="Arial" w:cs="Arial"/>
          <w:b/>
          <w:bCs/>
          <w:color w:val="0000FF"/>
        </w:rPr>
        <w:t xml:space="preserve"> </w:t>
      </w:r>
      <w:r w:rsidRPr="00A45996">
        <w:rPr>
          <w:rFonts w:ascii="Arial" w:hAnsi="Arial" w:cs="Arial"/>
          <w:bCs/>
        </w:rPr>
        <w:t>therapy should be held when the platelet count is</w:t>
      </w:r>
      <w:r w:rsidRPr="00A45996">
        <w:rPr>
          <w:rFonts w:ascii="Arial" w:hAnsi="Arial" w:cs="Arial"/>
        </w:rPr>
        <w:t xml:space="preserve"> &lt;25,000/</w:t>
      </w:r>
      <w:proofErr w:type="spellStart"/>
      <w:r w:rsidRPr="00A45996">
        <w:rPr>
          <w:rFonts w:ascii="Arial" w:hAnsi="Arial" w:cs="Arial"/>
        </w:rPr>
        <w:t>uL</w:t>
      </w:r>
      <w:proofErr w:type="spellEnd"/>
      <w:r w:rsidRPr="00A45996">
        <w:rPr>
          <w:rFonts w:ascii="Arial" w:hAnsi="Arial" w:cs="Arial"/>
        </w:rPr>
        <w:t xml:space="preserve"> (see</w:t>
      </w:r>
      <w:r w:rsidRPr="00A45996">
        <w:rPr>
          <w:rFonts w:ascii="Arial" w:hAnsi="Arial" w:cs="Arial"/>
          <w:b/>
        </w:rPr>
        <w:t xml:space="preserve"> DOSAGE and ADMINISTRATION and ADVERSE EFFECTS</w:t>
      </w:r>
      <w:r w:rsidRPr="00A45996">
        <w:rPr>
          <w:rFonts w:ascii="Arial" w:hAnsi="Arial" w:cs="Arial"/>
        </w:rPr>
        <w:t xml:space="preserve">).  There have been reports of gastrointestinal and intracerebral hemorrhage in association with VELCADE.  Transfusion and supportive care may be considered </w:t>
      </w:r>
      <w:r w:rsidRPr="00A45996">
        <w:rPr>
          <w:rFonts w:ascii="Arial" w:hAnsi="Arial" w:cs="Arial"/>
          <w:bCs/>
          <w:szCs w:val="24"/>
        </w:rPr>
        <w:t>at the discretion of the physician</w:t>
      </w:r>
      <w:r w:rsidRPr="00A45996">
        <w:rPr>
          <w:rFonts w:ascii="Arial" w:hAnsi="Arial" w:cs="Arial"/>
        </w:rPr>
        <w:t>.</w:t>
      </w:r>
    </w:p>
    <w:p w:rsidR="007B3AD3" w:rsidRPr="00A45996" w:rsidRDefault="007B3AD3" w:rsidP="00326C73">
      <w:pPr>
        <w:pStyle w:val="Paragraph"/>
        <w:spacing w:before="20" w:after="80"/>
        <w:jc w:val="both"/>
        <w:rPr>
          <w:rFonts w:ascii="Arial" w:hAnsi="Arial" w:cs="Arial"/>
          <w:bCs/>
          <w:szCs w:val="24"/>
        </w:rPr>
      </w:pPr>
      <w:r w:rsidRPr="00A45996">
        <w:rPr>
          <w:rFonts w:ascii="Arial" w:hAnsi="Arial" w:cs="Arial"/>
        </w:rPr>
        <w:t xml:space="preserve">In the single-agent multiple myeloma study of VELCADE vs dexamethasone, the </w:t>
      </w:r>
      <w:r w:rsidR="00326C73" w:rsidRPr="00A45996">
        <w:rPr>
          <w:rFonts w:ascii="Arial" w:hAnsi="Arial" w:cs="Arial"/>
          <w:bCs/>
          <w:szCs w:val="24"/>
        </w:rPr>
        <w:t xml:space="preserve">mean platelet count nadir measured was approximately 40% of baseline.  The severity of thrombocytopenia related to pre-treatment platelet count is shown in Table </w:t>
      </w:r>
      <w:r w:rsidRPr="00A45996">
        <w:rPr>
          <w:rFonts w:ascii="Arial" w:hAnsi="Arial" w:cs="Arial"/>
          <w:bCs/>
          <w:szCs w:val="24"/>
        </w:rPr>
        <w:t xml:space="preserve">13 </w:t>
      </w:r>
      <w:r w:rsidR="00326C73" w:rsidRPr="00A45996">
        <w:rPr>
          <w:rFonts w:ascii="Arial" w:hAnsi="Arial" w:cs="Arial"/>
          <w:bCs/>
          <w:szCs w:val="24"/>
        </w:rPr>
        <w:t xml:space="preserve">for the phase III study.  </w:t>
      </w:r>
      <w:r w:rsidRPr="00A45996">
        <w:rPr>
          <w:rFonts w:ascii="Arial" w:hAnsi="Arial" w:cs="Arial"/>
          <w:bCs/>
          <w:szCs w:val="24"/>
        </w:rPr>
        <w:t>T</w:t>
      </w:r>
      <w:r w:rsidR="00326C73" w:rsidRPr="00A45996">
        <w:rPr>
          <w:rFonts w:ascii="Arial" w:hAnsi="Arial" w:cs="Arial"/>
          <w:bCs/>
          <w:szCs w:val="24"/>
        </w:rPr>
        <w:t>he incidence of significant bleeding events (</w:t>
      </w:r>
      <w:r w:rsidR="00326C73" w:rsidRPr="00A45996">
        <w:rPr>
          <w:rFonts w:ascii="Arial" w:hAnsi="Arial" w:cs="Arial"/>
          <w:bCs/>
          <w:szCs w:val="24"/>
        </w:rPr>
        <w:sym w:font="Symbol" w:char="F0B3"/>
      </w:r>
      <w:r w:rsidR="00326C73" w:rsidRPr="00A45996">
        <w:rPr>
          <w:rFonts w:ascii="Arial" w:hAnsi="Arial" w:cs="Arial"/>
          <w:bCs/>
          <w:szCs w:val="24"/>
        </w:rPr>
        <w:t xml:space="preserve"> Grade 3) was similar on both the VELCADE (4%) and dexamethasone (5%) arms.  </w:t>
      </w:r>
    </w:p>
    <w:p w:rsidR="00326C73" w:rsidRPr="00A45996" w:rsidRDefault="00326C73" w:rsidP="00326C73">
      <w:pPr>
        <w:pStyle w:val="Paragraph"/>
        <w:spacing w:before="20" w:after="80"/>
        <w:rPr>
          <w:rFonts w:ascii="Arial" w:hAnsi="Arial" w:cs="Arial"/>
          <w:b/>
          <w:bCs/>
          <w:sz w:val="20"/>
        </w:rPr>
      </w:pPr>
      <w:r w:rsidRPr="00A45996">
        <w:rPr>
          <w:rFonts w:ascii="Arial" w:hAnsi="Arial" w:cs="Arial"/>
          <w:b/>
          <w:sz w:val="20"/>
        </w:rPr>
        <w:t xml:space="preserve">Table </w:t>
      </w:r>
      <w:r w:rsidR="007B3AD3" w:rsidRPr="00A45996">
        <w:rPr>
          <w:rFonts w:ascii="Arial" w:hAnsi="Arial" w:cs="Arial"/>
          <w:b/>
          <w:sz w:val="20"/>
        </w:rPr>
        <w:t>13</w:t>
      </w:r>
      <w:r w:rsidRPr="00A45996">
        <w:rPr>
          <w:rFonts w:ascii="Arial" w:hAnsi="Arial" w:cs="Arial"/>
          <w:b/>
          <w:sz w:val="20"/>
        </w:rPr>
        <w:t xml:space="preserve">: </w:t>
      </w:r>
      <w:r w:rsidRPr="00A45996">
        <w:rPr>
          <w:rFonts w:ascii="Arial" w:hAnsi="Arial" w:cs="Arial"/>
          <w:b/>
          <w:bCs/>
          <w:sz w:val="20"/>
        </w:rPr>
        <w:t>The Severity of Thrombocytopenia Related to Pre-treatment Platelet Count in the APEX study</w:t>
      </w:r>
      <w:r w:rsidR="002276F4" w:rsidRPr="00A45996">
        <w:rPr>
          <w:rFonts w:ascii="Arial" w:hAnsi="Arial" w:cs="Arial"/>
          <w:b/>
          <w:bCs/>
          <w:sz w:val="20"/>
        </w:rPr>
        <w:t xml:space="preserve"> of VELCADE IV vs. dexamethasone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9"/>
        <w:gridCol w:w="2446"/>
        <w:gridCol w:w="2118"/>
        <w:gridCol w:w="2118"/>
      </w:tblGrid>
      <w:tr w:rsidR="00326C73" w:rsidRPr="00A45996" w:rsidTr="00326C73">
        <w:tc>
          <w:tcPr>
            <w:tcW w:w="2429" w:type="dxa"/>
          </w:tcPr>
          <w:p w:rsidR="00326C73" w:rsidRPr="00A45996" w:rsidRDefault="00326C73" w:rsidP="00326C73">
            <w:pPr>
              <w:pStyle w:val="Paragraph"/>
              <w:rPr>
                <w:rFonts w:ascii="Arial" w:hAnsi="Arial" w:cs="Arial"/>
                <w:b/>
                <w:sz w:val="18"/>
                <w:szCs w:val="24"/>
              </w:rPr>
            </w:pPr>
            <w:r w:rsidRPr="00A45996">
              <w:rPr>
                <w:rFonts w:ascii="Arial" w:hAnsi="Arial" w:cs="Arial"/>
                <w:b/>
                <w:sz w:val="18"/>
                <w:szCs w:val="24"/>
              </w:rPr>
              <w:t>Pre-treatment Platelet Count*</w:t>
            </w:r>
          </w:p>
        </w:tc>
        <w:tc>
          <w:tcPr>
            <w:tcW w:w="2446" w:type="dxa"/>
          </w:tcPr>
          <w:p w:rsidR="00326C73" w:rsidRPr="00A45996" w:rsidRDefault="00326C73" w:rsidP="00326C73">
            <w:pPr>
              <w:pStyle w:val="Paragraph"/>
              <w:rPr>
                <w:rFonts w:ascii="Arial" w:hAnsi="Arial" w:cs="Arial"/>
                <w:b/>
                <w:sz w:val="18"/>
                <w:szCs w:val="24"/>
              </w:rPr>
            </w:pPr>
            <w:r w:rsidRPr="00A45996">
              <w:rPr>
                <w:rFonts w:ascii="Arial" w:hAnsi="Arial" w:cs="Arial"/>
                <w:b/>
                <w:sz w:val="18"/>
                <w:szCs w:val="24"/>
              </w:rPr>
              <w:t>Number of Patients (N= 331)**</w:t>
            </w:r>
          </w:p>
        </w:tc>
        <w:tc>
          <w:tcPr>
            <w:tcW w:w="2118" w:type="dxa"/>
          </w:tcPr>
          <w:p w:rsidR="00326C73" w:rsidRPr="00A45996" w:rsidRDefault="00326C73" w:rsidP="00326C73">
            <w:pPr>
              <w:pStyle w:val="Paragraph"/>
              <w:rPr>
                <w:rFonts w:ascii="Arial" w:hAnsi="Arial" w:cs="Arial"/>
                <w:b/>
                <w:sz w:val="18"/>
                <w:szCs w:val="24"/>
              </w:rPr>
            </w:pPr>
            <w:r w:rsidRPr="00A45996">
              <w:rPr>
                <w:rFonts w:ascii="Arial" w:hAnsi="Arial" w:cs="Arial"/>
                <w:b/>
                <w:sz w:val="18"/>
                <w:szCs w:val="24"/>
              </w:rPr>
              <w:t>Number (%) of Patients with Platelet Count    &lt; 10,000/</w:t>
            </w:r>
            <w:r w:rsidRPr="00A45996">
              <w:rPr>
                <w:rFonts w:ascii="Arial" w:hAnsi="Arial" w:cs="Arial"/>
                <w:b/>
                <w:sz w:val="18"/>
                <w:szCs w:val="24"/>
              </w:rPr>
              <w:sym w:font="Symbol" w:char="F06D"/>
            </w:r>
            <w:r w:rsidRPr="00A45996">
              <w:rPr>
                <w:rFonts w:ascii="Arial" w:hAnsi="Arial" w:cs="Arial"/>
                <w:b/>
                <w:sz w:val="18"/>
                <w:szCs w:val="24"/>
              </w:rPr>
              <w:t>L</w:t>
            </w:r>
          </w:p>
        </w:tc>
        <w:tc>
          <w:tcPr>
            <w:tcW w:w="2118" w:type="dxa"/>
          </w:tcPr>
          <w:p w:rsidR="00326C73" w:rsidRPr="00A45996" w:rsidRDefault="00326C73" w:rsidP="00326C73">
            <w:pPr>
              <w:pStyle w:val="Paragraph"/>
              <w:rPr>
                <w:rFonts w:ascii="Arial" w:hAnsi="Arial" w:cs="Arial"/>
                <w:b/>
                <w:sz w:val="18"/>
                <w:szCs w:val="24"/>
                <w:u w:val="single"/>
              </w:rPr>
            </w:pPr>
            <w:r w:rsidRPr="00A45996">
              <w:rPr>
                <w:rFonts w:ascii="Arial" w:hAnsi="Arial" w:cs="Arial"/>
                <w:b/>
                <w:sz w:val="18"/>
                <w:szCs w:val="24"/>
              </w:rPr>
              <w:t>Number (%) of Patients with Platelet Count 10,000/</w:t>
            </w:r>
            <w:r w:rsidRPr="00A45996">
              <w:rPr>
                <w:rFonts w:ascii="Arial" w:hAnsi="Arial" w:cs="Arial"/>
                <w:b/>
                <w:sz w:val="18"/>
                <w:szCs w:val="24"/>
              </w:rPr>
              <w:sym w:font="Symbol" w:char="F06D"/>
            </w:r>
            <w:r w:rsidRPr="00A45996">
              <w:rPr>
                <w:rFonts w:ascii="Arial" w:hAnsi="Arial" w:cs="Arial"/>
                <w:b/>
                <w:sz w:val="18"/>
                <w:szCs w:val="24"/>
              </w:rPr>
              <w:t>L – 25,000</w:t>
            </w:r>
            <w:r w:rsidRPr="00A45996">
              <w:rPr>
                <w:rFonts w:ascii="Arial" w:hAnsi="Arial" w:cs="Arial"/>
                <w:b/>
                <w:sz w:val="18"/>
                <w:szCs w:val="24"/>
              </w:rPr>
              <w:sym w:font="Symbol" w:char="F06D"/>
            </w:r>
            <w:r w:rsidRPr="00A45996">
              <w:rPr>
                <w:rFonts w:ascii="Arial" w:hAnsi="Arial" w:cs="Arial"/>
                <w:b/>
                <w:sz w:val="18"/>
                <w:szCs w:val="24"/>
              </w:rPr>
              <w:t>L</w:t>
            </w:r>
          </w:p>
        </w:tc>
      </w:tr>
      <w:tr w:rsidR="00326C73" w:rsidRPr="00A45996" w:rsidTr="00326C73">
        <w:tc>
          <w:tcPr>
            <w:tcW w:w="2429"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u w:val="single"/>
              </w:rPr>
              <w:t>&gt;</w:t>
            </w:r>
            <w:r w:rsidRPr="00A45996">
              <w:rPr>
                <w:rFonts w:ascii="Arial" w:hAnsi="Arial" w:cs="Arial"/>
                <w:bCs/>
                <w:sz w:val="18"/>
                <w:szCs w:val="24"/>
              </w:rPr>
              <w:t xml:space="preserve"> 75,000/</w:t>
            </w:r>
            <w:r w:rsidRPr="00A45996">
              <w:rPr>
                <w:rFonts w:ascii="Arial" w:hAnsi="Arial" w:cs="Arial"/>
                <w:bCs/>
                <w:sz w:val="18"/>
                <w:szCs w:val="24"/>
              </w:rPr>
              <w:sym w:font="Symbol" w:char="F06D"/>
            </w:r>
            <w:r w:rsidRPr="00A45996">
              <w:rPr>
                <w:rFonts w:ascii="Arial" w:hAnsi="Arial" w:cs="Arial"/>
                <w:bCs/>
                <w:sz w:val="18"/>
                <w:szCs w:val="24"/>
              </w:rPr>
              <w:t>L</w:t>
            </w:r>
          </w:p>
        </w:tc>
        <w:tc>
          <w:tcPr>
            <w:tcW w:w="2446"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 xml:space="preserve"> 309</w:t>
            </w:r>
          </w:p>
        </w:tc>
        <w:tc>
          <w:tcPr>
            <w:tcW w:w="2118"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8 (3%)</w:t>
            </w:r>
          </w:p>
        </w:tc>
        <w:tc>
          <w:tcPr>
            <w:tcW w:w="2118"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36 (12%)</w:t>
            </w:r>
          </w:p>
        </w:tc>
      </w:tr>
      <w:tr w:rsidR="00326C73" w:rsidRPr="00A45996" w:rsidTr="00326C73">
        <w:tc>
          <w:tcPr>
            <w:tcW w:w="2429"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u w:val="single"/>
              </w:rPr>
              <w:t>&gt;</w:t>
            </w:r>
            <w:r w:rsidRPr="00A45996">
              <w:rPr>
                <w:rFonts w:ascii="Arial" w:hAnsi="Arial" w:cs="Arial"/>
                <w:bCs/>
                <w:sz w:val="18"/>
                <w:szCs w:val="24"/>
              </w:rPr>
              <w:t xml:space="preserve"> 50,000/</w:t>
            </w:r>
            <w:r w:rsidRPr="00A45996">
              <w:rPr>
                <w:rFonts w:ascii="Arial" w:hAnsi="Arial" w:cs="Arial"/>
                <w:bCs/>
                <w:sz w:val="18"/>
                <w:szCs w:val="24"/>
              </w:rPr>
              <w:sym w:font="Symbol" w:char="F06D"/>
            </w:r>
            <w:r w:rsidRPr="00A45996">
              <w:rPr>
                <w:rFonts w:ascii="Arial" w:hAnsi="Arial" w:cs="Arial"/>
                <w:bCs/>
                <w:sz w:val="18"/>
                <w:szCs w:val="24"/>
              </w:rPr>
              <w:t>L - &lt;75,000/</w:t>
            </w:r>
            <w:r w:rsidRPr="00A45996">
              <w:rPr>
                <w:rFonts w:ascii="Arial" w:hAnsi="Arial" w:cs="Arial"/>
                <w:bCs/>
                <w:sz w:val="18"/>
                <w:szCs w:val="24"/>
              </w:rPr>
              <w:sym w:font="Symbol" w:char="F06D"/>
            </w:r>
            <w:r w:rsidRPr="00A45996">
              <w:rPr>
                <w:rFonts w:ascii="Arial" w:hAnsi="Arial" w:cs="Arial"/>
                <w:bCs/>
                <w:sz w:val="18"/>
                <w:szCs w:val="24"/>
              </w:rPr>
              <w:t>L</w:t>
            </w:r>
          </w:p>
        </w:tc>
        <w:tc>
          <w:tcPr>
            <w:tcW w:w="2446"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 xml:space="preserve"> 14</w:t>
            </w:r>
          </w:p>
        </w:tc>
        <w:tc>
          <w:tcPr>
            <w:tcW w:w="2118"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2 (14%)</w:t>
            </w:r>
          </w:p>
        </w:tc>
        <w:tc>
          <w:tcPr>
            <w:tcW w:w="2118"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11 (79%)</w:t>
            </w:r>
          </w:p>
        </w:tc>
      </w:tr>
      <w:tr w:rsidR="00326C73" w:rsidRPr="00A45996" w:rsidTr="00326C73">
        <w:tc>
          <w:tcPr>
            <w:tcW w:w="2429"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u w:val="single"/>
              </w:rPr>
              <w:t>&gt;</w:t>
            </w:r>
            <w:r w:rsidRPr="00A45996">
              <w:rPr>
                <w:rFonts w:ascii="Arial" w:hAnsi="Arial" w:cs="Arial"/>
                <w:bCs/>
                <w:sz w:val="18"/>
                <w:szCs w:val="24"/>
              </w:rPr>
              <w:t xml:space="preserve"> 10,000/</w:t>
            </w:r>
            <w:r w:rsidRPr="00A45996">
              <w:rPr>
                <w:rFonts w:ascii="Arial" w:hAnsi="Arial" w:cs="Arial"/>
                <w:bCs/>
                <w:sz w:val="18"/>
                <w:szCs w:val="24"/>
              </w:rPr>
              <w:sym w:font="Symbol" w:char="F06D"/>
            </w:r>
            <w:r w:rsidRPr="00A45996">
              <w:rPr>
                <w:rFonts w:ascii="Arial" w:hAnsi="Arial" w:cs="Arial"/>
                <w:bCs/>
                <w:sz w:val="18"/>
                <w:szCs w:val="24"/>
              </w:rPr>
              <w:t>L - &lt;50,000/</w:t>
            </w:r>
            <w:r w:rsidRPr="00A45996">
              <w:rPr>
                <w:rFonts w:ascii="Arial" w:hAnsi="Arial" w:cs="Arial"/>
                <w:bCs/>
                <w:sz w:val="18"/>
                <w:szCs w:val="24"/>
              </w:rPr>
              <w:sym w:font="Symbol" w:char="F06D"/>
            </w:r>
            <w:r w:rsidRPr="00A45996">
              <w:rPr>
                <w:rFonts w:ascii="Arial" w:hAnsi="Arial" w:cs="Arial"/>
                <w:bCs/>
                <w:sz w:val="18"/>
                <w:szCs w:val="24"/>
              </w:rPr>
              <w:t>L</w:t>
            </w:r>
          </w:p>
        </w:tc>
        <w:tc>
          <w:tcPr>
            <w:tcW w:w="2446"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 xml:space="preserve"> 7</w:t>
            </w:r>
          </w:p>
        </w:tc>
        <w:tc>
          <w:tcPr>
            <w:tcW w:w="2118"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1(14%)</w:t>
            </w:r>
          </w:p>
        </w:tc>
        <w:tc>
          <w:tcPr>
            <w:tcW w:w="2118" w:type="dxa"/>
          </w:tcPr>
          <w:p w:rsidR="00326C73" w:rsidRPr="00A45996" w:rsidRDefault="00326C73" w:rsidP="00326C73">
            <w:pPr>
              <w:pStyle w:val="Paragraph"/>
              <w:jc w:val="center"/>
              <w:rPr>
                <w:rFonts w:ascii="Arial" w:hAnsi="Arial" w:cs="Arial"/>
                <w:bCs/>
                <w:sz w:val="18"/>
                <w:szCs w:val="24"/>
              </w:rPr>
            </w:pPr>
            <w:r w:rsidRPr="00A45996">
              <w:rPr>
                <w:rFonts w:ascii="Arial" w:hAnsi="Arial" w:cs="Arial"/>
                <w:bCs/>
                <w:sz w:val="18"/>
                <w:szCs w:val="24"/>
              </w:rPr>
              <w:t>5 (71%)</w:t>
            </w:r>
          </w:p>
        </w:tc>
      </w:tr>
    </w:tbl>
    <w:p w:rsidR="00326C73" w:rsidRPr="00A45996" w:rsidRDefault="00326C73" w:rsidP="00326C73">
      <w:pPr>
        <w:pStyle w:val="Paragraph"/>
        <w:spacing w:before="0"/>
        <w:rPr>
          <w:rFonts w:ascii="Arial" w:hAnsi="Arial" w:cs="Arial"/>
          <w:bCs/>
          <w:sz w:val="16"/>
          <w:szCs w:val="16"/>
        </w:rPr>
      </w:pPr>
      <w:r w:rsidRPr="00A45996">
        <w:rPr>
          <w:rFonts w:ascii="Arial" w:hAnsi="Arial" w:cs="Arial"/>
          <w:bCs/>
          <w:sz w:val="16"/>
          <w:szCs w:val="16"/>
        </w:rPr>
        <w:t>*A baseline platelet count of 50,000/</w:t>
      </w:r>
      <w:r w:rsidRPr="00A45996">
        <w:rPr>
          <w:rFonts w:ascii="Arial" w:hAnsi="Arial" w:cs="Arial"/>
          <w:bCs/>
          <w:sz w:val="16"/>
          <w:szCs w:val="16"/>
        </w:rPr>
        <w:sym w:font="Symbol" w:char="F06D"/>
      </w:r>
      <w:r w:rsidRPr="00A45996">
        <w:rPr>
          <w:rFonts w:ascii="Arial" w:hAnsi="Arial" w:cs="Arial"/>
          <w:bCs/>
          <w:sz w:val="16"/>
          <w:szCs w:val="16"/>
        </w:rPr>
        <w:t>L was required for study eligibility.</w:t>
      </w:r>
    </w:p>
    <w:p w:rsidR="00326C73" w:rsidRPr="00A45996" w:rsidRDefault="00326C73" w:rsidP="00326C73">
      <w:pPr>
        <w:pStyle w:val="Paragraph"/>
        <w:spacing w:before="0"/>
        <w:rPr>
          <w:rFonts w:ascii="Arial" w:hAnsi="Arial" w:cs="Arial"/>
          <w:bCs/>
          <w:sz w:val="16"/>
          <w:szCs w:val="16"/>
        </w:rPr>
      </w:pPr>
      <w:r w:rsidRPr="00A45996">
        <w:rPr>
          <w:rFonts w:ascii="Arial" w:hAnsi="Arial" w:cs="Arial"/>
          <w:bCs/>
          <w:sz w:val="16"/>
          <w:szCs w:val="16"/>
        </w:rPr>
        <w:t>**Data for one patient was missing at baseline</w:t>
      </w:r>
    </w:p>
    <w:p w:rsidR="00326C73" w:rsidRPr="00A45996" w:rsidRDefault="00326C73" w:rsidP="00326C73">
      <w:pPr>
        <w:pStyle w:val="Paragraph"/>
        <w:spacing w:before="0"/>
        <w:rPr>
          <w:rFonts w:ascii="Arial" w:hAnsi="Arial" w:cs="Arial"/>
          <w:bCs/>
          <w:sz w:val="16"/>
          <w:szCs w:val="16"/>
        </w:rPr>
      </w:pPr>
      <w:r w:rsidRPr="00A45996">
        <w:rPr>
          <w:rFonts w:ascii="Arial" w:hAnsi="Arial" w:cs="Arial"/>
          <w:bCs/>
          <w:sz w:val="16"/>
          <w:szCs w:val="16"/>
        </w:rPr>
        <w:t>Thrombocytopenia was reported in 43% of patients in the phase II studies.</w:t>
      </w:r>
    </w:p>
    <w:p w:rsidR="007B3AD3" w:rsidRPr="00A45996" w:rsidRDefault="007B3AD3" w:rsidP="007B3AD3">
      <w:pPr>
        <w:rPr>
          <w:sz w:val="22"/>
          <w:szCs w:val="22"/>
        </w:rPr>
      </w:pPr>
    </w:p>
    <w:p w:rsidR="007B3AD3" w:rsidRPr="00A45996" w:rsidRDefault="007B3AD3" w:rsidP="007B3AD3">
      <w:pPr>
        <w:rPr>
          <w:sz w:val="22"/>
          <w:szCs w:val="22"/>
        </w:rPr>
      </w:pPr>
      <w:r w:rsidRPr="00A45996">
        <w:rPr>
          <w:sz w:val="22"/>
          <w:szCs w:val="22"/>
        </w:rPr>
        <w:t>In the combination study of VELCADE with rituximab, cyclophosphamide, doxorubicin and prednisone (</w:t>
      </w:r>
      <w:proofErr w:type="spellStart"/>
      <w:r w:rsidRPr="00A45996">
        <w:rPr>
          <w:sz w:val="22"/>
          <w:szCs w:val="22"/>
        </w:rPr>
        <w:t>VcR</w:t>
      </w:r>
      <w:proofErr w:type="spellEnd"/>
      <w:r w:rsidRPr="00A45996">
        <w:rPr>
          <w:sz w:val="22"/>
          <w:szCs w:val="22"/>
        </w:rPr>
        <w:t xml:space="preserve">-CAP) in previously untreated mantle cell lymphoma patients, the incidence of thrombocytopenia adverse events (≥ Grade 4) was 32%  versus 2% for the rituximab, cyclophosphamide, doxorubicin, vincristine, and prednisone (R-CHOP) arm.  The incidence of bleeding adverse events (≥ Grade 3) was 1.7% (4 patients) in the </w:t>
      </w:r>
      <w:proofErr w:type="spellStart"/>
      <w:r w:rsidRPr="00A45996">
        <w:rPr>
          <w:sz w:val="22"/>
          <w:szCs w:val="22"/>
        </w:rPr>
        <w:t>VcR</w:t>
      </w:r>
      <w:proofErr w:type="spellEnd"/>
      <w:r w:rsidRPr="00A45996">
        <w:rPr>
          <w:sz w:val="22"/>
          <w:szCs w:val="22"/>
        </w:rPr>
        <w:t xml:space="preserve">-CAP arm and was 1.2% (3 patients) in the R-CHOP arm. </w:t>
      </w:r>
    </w:p>
    <w:p w:rsidR="007B3AD3" w:rsidRPr="00A45996" w:rsidRDefault="007B3AD3" w:rsidP="007B3AD3">
      <w:pPr>
        <w:rPr>
          <w:sz w:val="22"/>
          <w:szCs w:val="22"/>
        </w:rPr>
      </w:pPr>
    </w:p>
    <w:p w:rsidR="007B3AD3" w:rsidRPr="00A45996" w:rsidRDefault="007B3AD3" w:rsidP="007B3AD3">
      <w:pPr>
        <w:rPr>
          <w:sz w:val="22"/>
          <w:szCs w:val="22"/>
        </w:rPr>
      </w:pPr>
      <w:r w:rsidRPr="00A45996">
        <w:rPr>
          <w:sz w:val="22"/>
          <w:szCs w:val="22"/>
        </w:rPr>
        <w:t xml:space="preserve">There were no deaths due to bleeding events in either arm.  There were no CNS bleeding events in the </w:t>
      </w:r>
      <w:proofErr w:type="spellStart"/>
      <w:r w:rsidRPr="00A45996">
        <w:rPr>
          <w:sz w:val="22"/>
          <w:szCs w:val="22"/>
        </w:rPr>
        <w:t>VcR</w:t>
      </w:r>
      <w:proofErr w:type="spellEnd"/>
      <w:r w:rsidRPr="00A45996">
        <w:rPr>
          <w:sz w:val="22"/>
          <w:szCs w:val="22"/>
        </w:rPr>
        <w:t xml:space="preserve">-CAP arm; there was 1 bleeding event in the R-CHOP arm.  Platelet transfusions were given to 23% of the patients in the </w:t>
      </w:r>
      <w:proofErr w:type="spellStart"/>
      <w:r w:rsidRPr="00A45996">
        <w:rPr>
          <w:sz w:val="22"/>
          <w:szCs w:val="22"/>
        </w:rPr>
        <w:t>VcR</w:t>
      </w:r>
      <w:proofErr w:type="spellEnd"/>
      <w:r w:rsidRPr="00A45996">
        <w:rPr>
          <w:sz w:val="22"/>
          <w:szCs w:val="22"/>
        </w:rPr>
        <w:t xml:space="preserve">-CAP arm and 3% of the patients in the R-CHOP arm.  </w:t>
      </w:r>
    </w:p>
    <w:p w:rsidR="007B3AD3" w:rsidRPr="00A45996" w:rsidRDefault="007B3AD3" w:rsidP="007B3AD3">
      <w:pPr>
        <w:rPr>
          <w:sz w:val="22"/>
          <w:szCs w:val="22"/>
        </w:rPr>
      </w:pPr>
    </w:p>
    <w:p w:rsidR="007B3AD3" w:rsidRPr="00A45996" w:rsidRDefault="007B3AD3" w:rsidP="007B3AD3">
      <w:pPr>
        <w:rPr>
          <w:sz w:val="22"/>
          <w:szCs w:val="22"/>
        </w:rPr>
      </w:pPr>
      <w:r w:rsidRPr="00A45996">
        <w:rPr>
          <w:sz w:val="22"/>
          <w:szCs w:val="22"/>
        </w:rPr>
        <w:lastRenderedPageBreak/>
        <w:t xml:space="preserve">The incidence of neutropenia (≥ Grade 4) was 70% in the </w:t>
      </w:r>
      <w:proofErr w:type="spellStart"/>
      <w:r w:rsidRPr="00A45996">
        <w:rPr>
          <w:sz w:val="22"/>
          <w:szCs w:val="22"/>
        </w:rPr>
        <w:t>VcR</w:t>
      </w:r>
      <w:proofErr w:type="spellEnd"/>
      <w:r w:rsidRPr="00A45996">
        <w:rPr>
          <w:sz w:val="22"/>
          <w:szCs w:val="22"/>
        </w:rPr>
        <w:t xml:space="preserve">-CAP arm and was 52% in the R-CHOP arm.  The incidence of febrile neutropenia (≥ Grade 4) was 5% in the </w:t>
      </w:r>
      <w:proofErr w:type="spellStart"/>
      <w:r w:rsidRPr="00A45996">
        <w:rPr>
          <w:sz w:val="22"/>
          <w:szCs w:val="22"/>
        </w:rPr>
        <w:t>VcR</w:t>
      </w:r>
      <w:proofErr w:type="spellEnd"/>
      <w:r w:rsidRPr="00A45996">
        <w:rPr>
          <w:sz w:val="22"/>
          <w:szCs w:val="22"/>
        </w:rPr>
        <w:t xml:space="preserve">-CAP arm and was 6% in the R-CHOP arm.  Colony-stimulating factor support was provided at a rate of 78% in the </w:t>
      </w:r>
      <w:proofErr w:type="spellStart"/>
      <w:r w:rsidRPr="00A45996">
        <w:rPr>
          <w:sz w:val="22"/>
          <w:szCs w:val="22"/>
        </w:rPr>
        <w:t>VcR</w:t>
      </w:r>
      <w:proofErr w:type="spellEnd"/>
      <w:r w:rsidRPr="00A45996">
        <w:rPr>
          <w:sz w:val="22"/>
          <w:szCs w:val="22"/>
        </w:rPr>
        <w:t>-CAP arm and 61% in the R-CHOP arm.</w:t>
      </w:r>
    </w:p>
    <w:p w:rsidR="00834AB8" w:rsidRPr="00A45996" w:rsidRDefault="00834AB8" w:rsidP="007B3AD3">
      <w:pPr>
        <w:rPr>
          <w:sz w:val="22"/>
          <w:szCs w:val="22"/>
        </w:rPr>
      </w:pPr>
    </w:p>
    <w:p w:rsidR="00326C73" w:rsidRPr="00A45996" w:rsidRDefault="00326C73" w:rsidP="00326C73">
      <w:pPr>
        <w:pStyle w:val="PIEXPLAIN"/>
        <w:keepLines/>
        <w:spacing w:before="120"/>
        <w:rPr>
          <w:szCs w:val="22"/>
          <w:u w:val="single"/>
        </w:rPr>
      </w:pPr>
      <w:r w:rsidRPr="00A45996">
        <w:rPr>
          <w:b/>
          <w:szCs w:val="22"/>
          <w:u w:val="single"/>
        </w:rPr>
        <w:t>Gastrointestinal Adverse Events</w:t>
      </w:r>
    </w:p>
    <w:p w:rsidR="00326C73" w:rsidRPr="00A45996" w:rsidRDefault="00326C73" w:rsidP="00326C73">
      <w:pPr>
        <w:pStyle w:val="PIEXPLAIN"/>
        <w:keepLines/>
        <w:rPr>
          <w:bCs/>
        </w:rPr>
      </w:pPr>
      <w:r w:rsidRPr="00A45996">
        <w:rPr>
          <w:szCs w:val="24"/>
        </w:rPr>
        <w:t xml:space="preserve">VELCADE treatment can cause nausea, diarrhoea, constipation and vomiting (see </w:t>
      </w:r>
      <w:r w:rsidRPr="00A45996">
        <w:rPr>
          <w:b/>
          <w:szCs w:val="24"/>
        </w:rPr>
        <w:t>ADVERSE EFFECTS</w:t>
      </w:r>
      <w:r w:rsidRPr="00A45996">
        <w:rPr>
          <w:szCs w:val="24"/>
        </w:rPr>
        <w:t xml:space="preserve">) sometimes requiring use of </w:t>
      </w:r>
      <w:proofErr w:type="spellStart"/>
      <w:r w:rsidRPr="00A45996">
        <w:rPr>
          <w:szCs w:val="24"/>
        </w:rPr>
        <w:t>antiemetics</w:t>
      </w:r>
      <w:proofErr w:type="spellEnd"/>
      <w:r w:rsidRPr="00A45996">
        <w:rPr>
          <w:szCs w:val="24"/>
        </w:rPr>
        <w:t xml:space="preserve"> and </w:t>
      </w:r>
      <w:proofErr w:type="spellStart"/>
      <w:r w:rsidRPr="00A45996">
        <w:rPr>
          <w:szCs w:val="24"/>
        </w:rPr>
        <w:t>antidiarrhoeals</w:t>
      </w:r>
      <w:proofErr w:type="spellEnd"/>
      <w:r w:rsidRPr="00A45996">
        <w:rPr>
          <w:szCs w:val="24"/>
        </w:rPr>
        <w:t>. Fluid and electrolyte replacement should be administered to prevent dehydration.  Since patients receiving VELCADE therapy may experience vomiting and/or diarrhoea, patients should be advised regarding appropriate measures to avoid dehydration.  Patients should be instructed to seek medical advice if they experience symptoms of dizziness, light headedness or fainting spells.</w:t>
      </w:r>
      <w:r w:rsidRPr="00A45996">
        <w:rPr>
          <w:b/>
          <w:sz w:val="28"/>
        </w:rPr>
        <w:t xml:space="preserve"> </w:t>
      </w:r>
    </w:p>
    <w:p w:rsidR="00326C73" w:rsidRPr="00A45996" w:rsidRDefault="00326C73" w:rsidP="00326C73">
      <w:pPr>
        <w:pStyle w:val="PIEXPLAIN"/>
        <w:keepLines/>
        <w:spacing w:before="120"/>
        <w:rPr>
          <w:b/>
          <w:szCs w:val="22"/>
          <w:u w:val="single"/>
        </w:rPr>
      </w:pPr>
      <w:r w:rsidRPr="00A45996">
        <w:rPr>
          <w:b/>
          <w:szCs w:val="22"/>
          <w:u w:val="single"/>
        </w:rPr>
        <w:t>Tumour Lysis Syndrome</w:t>
      </w:r>
    </w:p>
    <w:p w:rsidR="00326C73" w:rsidRDefault="00326C73" w:rsidP="00326C73">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 xml:space="preserve">Because VELCADE is a cytotoxic agent and can rapidly kill malignant cells the complications of </w:t>
      </w:r>
      <w:proofErr w:type="spellStart"/>
      <w:r w:rsidRPr="00A45996">
        <w:rPr>
          <w:rFonts w:ascii="Arial" w:hAnsi="Arial" w:cs="Arial"/>
          <w:snapToGrid w:val="0"/>
          <w:sz w:val="22"/>
          <w:szCs w:val="24"/>
        </w:rPr>
        <w:t>tumour</w:t>
      </w:r>
      <w:proofErr w:type="spellEnd"/>
      <w:r w:rsidRPr="00A45996">
        <w:rPr>
          <w:rFonts w:ascii="Arial" w:hAnsi="Arial" w:cs="Arial"/>
          <w:snapToGrid w:val="0"/>
          <w:sz w:val="22"/>
          <w:szCs w:val="24"/>
        </w:rPr>
        <w:t xml:space="preserve"> lysis syndrome may occur.  The patients at risk of </w:t>
      </w:r>
      <w:proofErr w:type="spellStart"/>
      <w:r w:rsidRPr="00A45996">
        <w:rPr>
          <w:rFonts w:ascii="Arial" w:hAnsi="Arial" w:cs="Arial"/>
          <w:snapToGrid w:val="0"/>
          <w:sz w:val="22"/>
          <w:szCs w:val="24"/>
        </w:rPr>
        <w:t>tumour</w:t>
      </w:r>
      <w:proofErr w:type="spellEnd"/>
      <w:r w:rsidRPr="00A45996">
        <w:rPr>
          <w:rFonts w:ascii="Arial" w:hAnsi="Arial" w:cs="Arial"/>
          <w:snapToGrid w:val="0"/>
          <w:sz w:val="22"/>
          <w:szCs w:val="24"/>
        </w:rPr>
        <w:t xml:space="preserve"> lysis syndrome are those with high </w:t>
      </w:r>
      <w:proofErr w:type="spellStart"/>
      <w:r w:rsidRPr="00A45996">
        <w:rPr>
          <w:rFonts w:ascii="Arial" w:hAnsi="Arial" w:cs="Arial"/>
          <w:snapToGrid w:val="0"/>
          <w:sz w:val="22"/>
          <w:szCs w:val="24"/>
        </w:rPr>
        <w:t>tumour</w:t>
      </w:r>
      <w:proofErr w:type="spellEnd"/>
      <w:r w:rsidRPr="00A45996">
        <w:rPr>
          <w:rFonts w:ascii="Arial" w:hAnsi="Arial" w:cs="Arial"/>
          <w:snapToGrid w:val="0"/>
          <w:sz w:val="22"/>
          <w:szCs w:val="24"/>
        </w:rPr>
        <w:t xml:space="preserve"> burden prior to treatment.  These patients should be monitored closely and appropriate precautions taken.  </w:t>
      </w:r>
    </w:p>
    <w:p w:rsidR="00A45996" w:rsidRPr="00A45996" w:rsidRDefault="00A45996" w:rsidP="00326C73">
      <w:pPr>
        <w:pStyle w:val="BodyText12"/>
        <w:spacing w:before="20" w:after="80" w:line="240" w:lineRule="auto"/>
        <w:ind w:left="0"/>
        <w:rPr>
          <w:rFonts w:ascii="Arial" w:hAnsi="Arial" w:cs="Arial"/>
          <w:snapToGrid w:val="0"/>
          <w:sz w:val="22"/>
          <w:szCs w:val="24"/>
        </w:rPr>
      </w:pPr>
    </w:p>
    <w:p w:rsidR="000D503F" w:rsidRPr="00A45996" w:rsidRDefault="00A13681" w:rsidP="00326C73">
      <w:pPr>
        <w:pStyle w:val="BodyText12"/>
        <w:spacing w:before="20" w:after="80" w:line="240" w:lineRule="auto"/>
        <w:ind w:left="0"/>
        <w:rPr>
          <w:rFonts w:ascii="Arial" w:hAnsi="Arial" w:cs="Arial"/>
          <w:b/>
          <w:snapToGrid w:val="0"/>
          <w:sz w:val="22"/>
          <w:szCs w:val="24"/>
          <w:u w:val="single"/>
        </w:rPr>
      </w:pPr>
      <w:r w:rsidRPr="00A45996">
        <w:rPr>
          <w:rFonts w:ascii="Arial" w:hAnsi="Arial" w:cs="Arial"/>
          <w:b/>
          <w:snapToGrid w:val="0"/>
          <w:sz w:val="22"/>
          <w:szCs w:val="24"/>
          <w:u w:val="single"/>
        </w:rPr>
        <w:t xml:space="preserve">Herpes </w:t>
      </w:r>
      <w:r w:rsidR="00A45996">
        <w:rPr>
          <w:rFonts w:ascii="Arial" w:hAnsi="Arial" w:cs="Arial"/>
          <w:b/>
          <w:snapToGrid w:val="0"/>
          <w:sz w:val="22"/>
          <w:szCs w:val="24"/>
          <w:u w:val="single"/>
        </w:rPr>
        <w:t>Z</w:t>
      </w:r>
      <w:r w:rsidRPr="00A45996">
        <w:rPr>
          <w:rFonts w:ascii="Arial" w:hAnsi="Arial" w:cs="Arial"/>
          <w:b/>
          <w:snapToGrid w:val="0"/>
          <w:sz w:val="22"/>
          <w:szCs w:val="24"/>
          <w:u w:val="single"/>
        </w:rPr>
        <w:t xml:space="preserve">oster </w:t>
      </w:r>
      <w:r w:rsidR="00A45996">
        <w:rPr>
          <w:rFonts w:ascii="Arial" w:hAnsi="Arial" w:cs="Arial"/>
          <w:b/>
          <w:snapToGrid w:val="0"/>
          <w:sz w:val="22"/>
          <w:szCs w:val="24"/>
          <w:u w:val="single"/>
        </w:rPr>
        <w:t>V</w:t>
      </w:r>
      <w:r w:rsidRPr="00A45996">
        <w:rPr>
          <w:rFonts w:ascii="Arial" w:hAnsi="Arial" w:cs="Arial"/>
          <w:b/>
          <w:snapToGrid w:val="0"/>
          <w:sz w:val="22"/>
          <w:szCs w:val="24"/>
          <w:u w:val="single"/>
        </w:rPr>
        <w:t xml:space="preserve">irus </w:t>
      </w:r>
      <w:r w:rsidR="00A45996">
        <w:rPr>
          <w:rFonts w:ascii="Arial" w:hAnsi="Arial" w:cs="Arial"/>
          <w:b/>
          <w:snapToGrid w:val="0"/>
          <w:sz w:val="22"/>
          <w:szCs w:val="24"/>
          <w:u w:val="single"/>
        </w:rPr>
        <w:t>R</w:t>
      </w:r>
      <w:r w:rsidRPr="00A45996">
        <w:rPr>
          <w:rFonts w:ascii="Arial" w:hAnsi="Arial" w:cs="Arial"/>
          <w:b/>
          <w:snapToGrid w:val="0"/>
          <w:sz w:val="22"/>
          <w:szCs w:val="24"/>
          <w:u w:val="single"/>
        </w:rPr>
        <w:t>eactivation</w:t>
      </w:r>
    </w:p>
    <w:p w:rsidR="00480705" w:rsidRPr="00A45996" w:rsidRDefault="00480705" w:rsidP="00480705">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 xml:space="preserve">Antiviral prophylaxis is recommended in patients being treated with VELCADE (see </w:t>
      </w:r>
      <w:r w:rsidRPr="00A45996">
        <w:rPr>
          <w:rFonts w:ascii="Arial" w:hAnsi="Arial" w:cs="Arial"/>
          <w:b/>
          <w:snapToGrid w:val="0"/>
          <w:sz w:val="22"/>
          <w:szCs w:val="24"/>
        </w:rPr>
        <w:t>ADVERSE EFFECTS</w:t>
      </w:r>
      <w:r w:rsidRPr="00A45996">
        <w:rPr>
          <w:rFonts w:ascii="Arial" w:hAnsi="Arial" w:cs="Arial"/>
          <w:snapToGrid w:val="0"/>
          <w:sz w:val="22"/>
          <w:szCs w:val="24"/>
        </w:rPr>
        <w:t>).</w:t>
      </w:r>
    </w:p>
    <w:p w:rsidR="00480705" w:rsidRPr="00A45996" w:rsidRDefault="00480705" w:rsidP="00480705">
      <w:pPr>
        <w:pStyle w:val="BodyText12"/>
        <w:spacing w:before="20" w:after="80" w:line="240" w:lineRule="auto"/>
        <w:ind w:left="0"/>
        <w:rPr>
          <w:rFonts w:ascii="Arial" w:hAnsi="Arial" w:cs="Arial"/>
          <w:b/>
          <w:i/>
          <w:snapToGrid w:val="0"/>
          <w:sz w:val="22"/>
          <w:szCs w:val="24"/>
        </w:rPr>
      </w:pPr>
      <w:r w:rsidRPr="00A45996">
        <w:rPr>
          <w:rFonts w:ascii="Arial" w:hAnsi="Arial" w:cs="Arial"/>
          <w:b/>
          <w:i/>
          <w:snapToGrid w:val="0"/>
          <w:sz w:val="22"/>
          <w:szCs w:val="24"/>
        </w:rPr>
        <w:t>Multiple Myeloma</w:t>
      </w:r>
    </w:p>
    <w:p w:rsidR="00480705" w:rsidRPr="00A45996" w:rsidRDefault="00480705" w:rsidP="00480705">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 xml:space="preserve">Antiviral prophylaxis was administered to 26% of </w:t>
      </w:r>
      <w:r w:rsidR="00B849E4" w:rsidRPr="00A45996">
        <w:rPr>
          <w:rFonts w:ascii="Arial" w:hAnsi="Arial" w:cs="Arial"/>
          <w:snapToGrid w:val="0"/>
          <w:sz w:val="22"/>
          <w:szCs w:val="24"/>
        </w:rPr>
        <w:t xml:space="preserve">the patients in the </w:t>
      </w:r>
      <w:proofErr w:type="spellStart"/>
      <w:proofErr w:type="gramStart"/>
      <w:r w:rsidRPr="00A45996">
        <w:rPr>
          <w:rFonts w:ascii="Arial" w:hAnsi="Arial" w:cs="Arial"/>
          <w:snapToGrid w:val="0"/>
          <w:sz w:val="22"/>
          <w:szCs w:val="24"/>
        </w:rPr>
        <w:t>Vc+</w:t>
      </w:r>
      <w:proofErr w:type="gramEnd"/>
      <w:r w:rsidRPr="00A45996">
        <w:rPr>
          <w:rFonts w:ascii="Arial" w:hAnsi="Arial" w:cs="Arial"/>
          <w:snapToGrid w:val="0"/>
          <w:sz w:val="22"/>
          <w:szCs w:val="24"/>
        </w:rPr>
        <w:t>M+P</w:t>
      </w:r>
      <w:proofErr w:type="spellEnd"/>
      <w:r w:rsidRPr="00A45996">
        <w:rPr>
          <w:rFonts w:ascii="Arial" w:hAnsi="Arial" w:cs="Arial"/>
          <w:snapToGrid w:val="0"/>
          <w:sz w:val="22"/>
          <w:szCs w:val="24"/>
        </w:rPr>
        <w:t xml:space="preserve"> arm. The incidence of herpes zoster among patients in the </w:t>
      </w:r>
      <w:proofErr w:type="spellStart"/>
      <w:r w:rsidRPr="00A45996">
        <w:rPr>
          <w:rFonts w:ascii="Arial" w:hAnsi="Arial" w:cs="Arial"/>
          <w:snapToGrid w:val="0"/>
          <w:sz w:val="22"/>
          <w:szCs w:val="24"/>
        </w:rPr>
        <w:t>Vc+M+P</w:t>
      </w:r>
      <w:proofErr w:type="spellEnd"/>
      <w:r w:rsidRPr="00A45996">
        <w:rPr>
          <w:rFonts w:ascii="Arial" w:hAnsi="Arial" w:cs="Arial"/>
          <w:snapToGrid w:val="0"/>
          <w:sz w:val="22"/>
          <w:szCs w:val="24"/>
        </w:rPr>
        <w:t xml:space="preserve"> treatment group was 17% for patients not administered antiviral prophylaxis compared to 3% for patients administered antiviral prophylaxis.</w:t>
      </w:r>
    </w:p>
    <w:p w:rsidR="00480705" w:rsidRPr="00A45996" w:rsidRDefault="00480705" w:rsidP="00480705">
      <w:pPr>
        <w:pStyle w:val="BodyText12"/>
        <w:spacing w:before="20" w:after="80" w:line="240" w:lineRule="auto"/>
        <w:ind w:left="0"/>
        <w:rPr>
          <w:rFonts w:ascii="Arial" w:hAnsi="Arial" w:cs="Arial"/>
          <w:b/>
          <w:i/>
          <w:snapToGrid w:val="0"/>
          <w:sz w:val="22"/>
          <w:szCs w:val="24"/>
        </w:rPr>
      </w:pPr>
      <w:r w:rsidRPr="00A45996">
        <w:rPr>
          <w:rFonts w:ascii="Arial" w:hAnsi="Arial" w:cs="Arial"/>
          <w:b/>
          <w:i/>
          <w:snapToGrid w:val="0"/>
          <w:sz w:val="22"/>
          <w:szCs w:val="24"/>
        </w:rPr>
        <w:t>Mantle Cell Lymphoma</w:t>
      </w:r>
    </w:p>
    <w:p w:rsidR="00480705" w:rsidRPr="00A45996" w:rsidRDefault="00480705" w:rsidP="00480705">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 xml:space="preserve">Antiviral prophylaxis was administered to 137 of 240 patients (57%) in the </w:t>
      </w:r>
      <w:proofErr w:type="spellStart"/>
      <w:r w:rsidRPr="00A45996">
        <w:rPr>
          <w:rFonts w:ascii="Arial" w:hAnsi="Arial" w:cs="Arial"/>
          <w:snapToGrid w:val="0"/>
          <w:sz w:val="22"/>
          <w:szCs w:val="24"/>
        </w:rPr>
        <w:t>VcR</w:t>
      </w:r>
      <w:proofErr w:type="spellEnd"/>
      <w:r w:rsidRPr="00A45996">
        <w:rPr>
          <w:rFonts w:ascii="Arial" w:hAnsi="Arial" w:cs="Arial"/>
          <w:snapToGrid w:val="0"/>
          <w:sz w:val="22"/>
          <w:szCs w:val="24"/>
        </w:rPr>
        <w:noBreakHyphen/>
        <w:t xml:space="preserve">CAP arm. The incidence of herpes zoster among patients in the </w:t>
      </w:r>
      <w:proofErr w:type="spellStart"/>
      <w:r w:rsidRPr="00A45996">
        <w:rPr>
          <w:rFonts w:ascii="Arial" w:hAnsi="Arial" w:cs="Arial"/>
          <w:snapToGrid w:val="0"/>
          <w:sz w:val="22"/>
          <w:szCs w:val="24"/>
        </w:rPr>
        <w:t>VcR</w:t>
      </w:r>
      <w:proofErr w:type="spellEnd"/>
      <w:r w:rsidRPr="00A45996">
        <w:rPr>
          <w:rFonts w:ascii="Arial" w:hAnsi="Arial" w:cs="Arial"/>
          <w:snapToGrid w:val="0"/>
          <w:sz w:val="22"/>
          <w:szCs w:val="24"/>
        </w:rPr>
        <w:noBreakHyphen/>
        <w:t>CAP arm was 4.6% for patients not administered antiviral prophylaxis compared to 0.8% for patients administered antiviral prophylaxis.</w:t>
      </w:r>
    </w:p>
    <w:p w:rsidR="00A13681" w:rsidRPr="00A45996" w:rsidRDefault="00A13681" w:rsidP="00326C73">
      <w:pPr>
        <w:pStyle w:val="BodyText12"/>
        <w:spacing w:before="20" w:after="80" w:line="240" w:lineRule="auto"/>
        <w:ind w:left="0"/>
        <w:rPr>
          <w:rFonts w:ascii="Arial" w:hAnsi="Arial" w:cs="Arial"/>
          <w:snapToGrid w:val="0"/>
          <w:sz w:val="22"/>
          <w:szCs w:val="24"/>
        </w:rPr>
      </w:pPr>
    </w:p>
    <w:p w:rsidR="007B3AD3" w:rsidRPr="00A45996" w:rsidRDefault="007B3AD3" w:rsidP="007B3AD3">
      <w:pPr>
        <w:pStyle w:val="BodyText12"/>
        <w:spacing w:before="20" w:after="80"/>
        <w:ind w:left="0"/>
        <w:rPr>
          <w:rFonts w:ascii="Arial" w:hAnsi="Arial" w:cs="Arial"/>
          <w:b/>
          <w:snapToGrid w:val="0"/>
          <w:sz w:val="22"/>
          <w:szCs w:val="24"/>
          <w:u w:val="single"/>
        </w:rPr>
      </w:pPr>
      <w:r w:rsidRPr="00A45996">
        <w:rPr>
          <w:rFonts w:ascii="Arial" w:hAnsi="Arial" w:cs="Arial"/>
          <w:b/>
          <w:snapToGrid w:val="0"/>
          <w:sz w:val="22"/>
          <w:szCs w:val="24"/>
          <w:u w:val="single"/>
        </w:rPr>
        <w:t xml:space="preserve">Hepatitis B Virus (HBV) </w:t>
      </w:r>
      <w:r w:rsidR="00A45996">
        <w:rPr>
          <w:rFonts w:ascii="Arial" w:hAnsi="Arial" w:cs="Arial"/>
          <w:b/>
          <w:snapToGrid w:val="0"/>
          <w:sz w:val="22"/>
          <w:szCs w:val="24"/>
          <w:u w:val="single"/>
        </w:rPr>
        <w:t>R</w:t>
      </w:r>
      <w:r w:rsidRPr="00A45996">
        <w:rPr>
          <w:rFonts w:ascii="Arial" w:hAnsi="Arial" w:cs="Arial"/>
          <w:b/>
          <w:snapToGrid w:val="0"/>
          <w:sz w:val="22"/>
          <w:szCs w:val="24"/>
          <w:u w:val="single"/>
        </w:rPr>
        <w:t xml:space="preserve">eactivation and </w:t>
      </w:r>
      <w:r w:rsidR="00A45996">
        <w:rPr>
          <w:rFonts w:ascii="Arial" w:hAnsi="Arial" w:cs="Arial"/>
          <w:b/>
          <w:snapToGrid w:val="0"/>
          <w:sz w:val="22"/>
          <w:szCs w:val="24"/>
          <w:u w:val="single"/>
        </w:rPr>
        <w:t>I</w:t>
      </w:r>
      <w:r w:rsidRPr="00A45996">
        <w:rPr>
          <w:rFonts w:ascii="Arial" w:hAnsi="Arial" w:cs="Arial"/>
          <w:b/>
          <w:snapToGrid w:val="0"/>
          <w:sz w:val="22"/>
          <w:szCs w:val="24"/>
          <w:u w:val="single"/>
        </w:rPr>
        <w:t>nfection</w:t>
      </w:r>
    </w:p>
    <w:p w:rsidR="007B3AD3" w:rsidRPr="00A45996" w:rsidRDefault="007B3AD3" w:rsidP="00A45996">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When rituximab is used in combination with VELCADE, HBV screening must always be performed in patients at risk of infection with HBV before initiation of treatment. Carriers of hepatitis B and patients with a history of hepatitis B must be closely monitored for clinical and laboratory signs of active HBV infection during and following rituximab combination treatment with VELCADE. Antiviral prophylaxis should be considered. Refer to the local Product Information of rituximab for more information.</w:t>
      </w:r>
    </w:p>
    <w:p w:rsidR="00326C73" w:rsidRPr="00A45996" w:rsidRDefault="00326C73" w:rsidP="00326C73">
      <w:pPr>
        <w:pStyle w:val="PIEXPLAIN"/>
        <w:keepLines/>
        <w:spacing w:before="120"/>
        <w:rPr>
          <w:b/>
          <w:szCs w:val="22"/>
          <w:u w:val="single"/>
        </w:rPr>
      </w:pPr>
      <w:r w:rsidRPr="00A45996">
        <w:rPr>
          <w:b/>
          <w:szCs w:val="22"/>
          <w:u w:val="single"/>
        </w:rPr>
        <w:t>Hepatic Events</w:t>
      </w:r>
    </w:p>
    <w:p w:rsidR="00326C73" w:rsidRPr="00A45996" w:rsidRDefault="00326C73" w:rsidP="00326C73">
      <w:pPr>
        <w:pStyle w:val="PIEXPLAIN"/>
        <w:keepLines/>
        <w:rPr>
          <w:bCs/>
        </w:rPr>
      </w:pPr>
      <w:r w:rsidRPr="00A45996">
        <w:rPr>
          <w:rFonts w:cs="Arial"/>
          <w:snapToGrid w:val="0"/>
          <w:szCs w:val="24"/>
        </w:rPr>
        <w:t>Rare cases of acute liver failure have been reported in patients receiving multiple concomitant medications and with serious underlying medical conditions.  Other reported hepatic events include increases in liver enzymes, hyperbilirubinemia, and hepatitis.  Such changes may be reversible upon discontinuation of VELCADE.  There is limited re-challenge information in these patients.</w:t>
      </w:r>
    </w:p>
    <w:p w:rsidR="00326C73" w:rsidRPr="00A45996" w:rsidRDefault="00326C73" w:rsidP="00326C73">
      <w:pPr>
        <w:pStyle w:val="PIEXPLAIN"/>
        <w:keepLines/>
        <w:spacing w:before="120"/>
        <w:rPr>
          <w:b/>
          <w:szCs w:val="22"/>
          <w:u w:val="single"/>
        </w:rPr>
      </w:pPr>
      <w:r w:rsidRPr="00A45996">
        <w:rPr>
          <w:b/>
          <w:szCs w:val="22"/>
          <w:u w:val="single"/>
        </w:rPr>
        <w:t>Patients with Hepatic Impairment</w:t>
      </w:r>
    </w:p>
    <w:p w:rsidR="00326C73" w:rsidRPr="00A45996" w:rsidRDefault="00326C73" w:rsidP="003E563A">
      <w:pPr>
        <w:pStyle w:val="BodyText12"/>
        <w:spacing w:before="20" w:after="80" w:line="240" w:lineRule="auto"/>
        <w:ind w:left="0"/>
        <w:rPr>
          <w:rFonts w:ascii="Arial" w:hAnsi="Arial" w:cs="Arial"/>
          <w:snapToGrid w:val="0"/>
          <w:sz w:val="22"/>
          <w:szCs w:val="22"/>
        </w:rPr>
      </w:pPr>
      <w:r w:rsidRPr="00A45996">
        <w:rPr>
          <w:rFonts w:ascii="Arial" w:hAnsi="Arial" w:cs="Arial"/>
          <w:snapToGrid w:val="0"/>
          <w:sz w:val="22"/>
          <w:szCs w:val="24"/>
        </w:rPr>
        <w:t xml:space="preserve">Patients with moderate and severe hepatic impairment should be treated with caution at reduced starting doses of VELCADE and closely monitored for toxicities. </w:t>
      </w:r>
      <w:r w:rsidRPr="00A45996">
        <w:rPr>
          <w:rFonts w:ascii="Arial" w:hAnsi="Arial" w:cs="Arial"/>
          <w:sz w:val="22"/>
          <w:szCs w:val="22"/>
        </w:rPr>
        <w:t xml:space="preserve">The effect of hepatic impairment on the pharmacokinetics of </w:t>
      </w:r>
      <w:proofErr w:type="spellStart"/>
      <w:r w:rsidRPr="00A45996">
        <w:rPr>
          <w:rFonts w:ascii="Arial" w:hAnsi="Arial" w:cs="Arial"/>
          <w:sz w:val="22"/>
          <w:szCs w:val="22"/>
        </w:rPr>
        <w:t>bortezomib</w:t>
      </w:r>
      <w:proofErr w:type="spellEnd"/>
      <w:r w:rsidRPr="00A45996">
        <w:rPr>
          <w:rFonts w:ascii="Arial" w:hAnsi="Arial" w:cs="Arial"/>
          <w:sz w:val="22"/>
          <w:szCs w:val="22"/>
        </w:rPr>
        <w:t xml:space="preserve"> was assessed in 51 cancer patients with varying degrees of hepatic impairment treated </w:t>
      </w:r>
      <w:proofErr w:type="spellStart"/>
      <w:r w:rsidRPr="00A45996">
        <w:rPr>
          <w:rFonts w:ascii="Arial" w:hAnsi="Arial" w:cs="Arial"/>
          <w:sz w:val="22"/>
          <w:szCs w:val="22"/>
        </w:rPr>
        <w:t>bortezomib</w:t>
      </w:r>
      <w:proofErr w:type="spellEnd"/>
      <w:r w:rsidRPr="00A45996">
        <w:rPr>
          <w:rFonts w:ascii="Arial" w:hAnsi="Arial" w:cs="Arial"/>
          <w:sz w:val="22"/>
          <w:szCs w:val="22"/>
        </w:rPr>
        <w:t xml:space="preserve"> doses ranging from 0.5 to 1.3 mg/m</w:t>
      </w:r>
      <w:r w:rsidRPr="00A45996">
        <w:rPr>
          <w:rFonts w:ascii="Arial" w:hAnsi="Arial" w:cs="Arial"/>
          <w:sz w:val="22"/>
          <w:szCs w:val="22"/>
          <w:vertAlign w:val="superscript"/>
        </w:rPr>
        <w:t xml:space="preserve">2 </w:t>
      </w:r>
      <w:r w:rsidRPr="00A45996">
        <w:rPr>
          <w:rFonts w:ascii="Arial" w:hAnsi="Arial" w:cs="Arial"/>
          <w:sz w:val="22"/>
          <w:szCs w:val="22"/>
        </w:rPr>
        <w:t xml:space="preserve">(see Table </w:t>
      </w:r>
      <w:r w:rsidR="007B3AD3" w:rsidRPr="00A45996">
        <w:rPr>
          <w:rFonts w:ascii="Arial" w:hAnsi="Arial" w:cs="Arial"/>
          <w:sz w:val="22"/>
          <w:szCs w:val="22"/>
        </w:rPr>
        <w:t xml:space="preserve">26 </w:t>
      </w:r>
      <w:r w:rsidRPr="00A45996">
        <w:rPr>
          <w:rFonts w:ascii="Arial" w:hAnsi="Arial" w:cs="Arial"/>
          <w:sz w:val="22"/>
          <w:szCs w:val="22"/>
        </w:rPr>
        <w:t xml:space="preserve">for definition of hepatic impairment). When compared to patients with normal hepatic function, mild hepatic impairment did not alter </w:t>
      </w:r>
      <w:proofErr w:type="spellStart"/>
      <w:r w:rsidRPr="00A45996">
        <w:rPr>
          <w:rFonts w:ascii="Arial" w:hAnsi="Arial" w:cs="Arial"/>
          <w:sz w:val="22"/>
          <w:szCs w:val="22"/>
        </w:rPr>
        <w:t>bortezomib</w:t>
      </w:r>
      <w:proofErr w:type="spellEnd"/>
      <w:r w:rsidRPr="00A45996">
        <w:rPr>
          <w:rFonts w:ascii="Arial" w:hAnsi="Arial" w:cs="Arial"/>
          <w:sz w:val="22"/>
          <w:szCs w:val="22"/>
        </w:rPr>
        <w:t xml:space="preserve"> dose-</w:t>
      </w:r>
      <w:proofErr w:type="spellStart"/>
      <w:r w:rsidRPr="00A45996">
        <w:rPr>
          <w:rFonts w:ascii="Arial" w:hAnsi="Arial" w:cs="Arial"/>
          <w:sz w:val="22"/>
          <w:szCs w:val="22"/>
        </w:rPr>
        <w:t>normalised</w:t>
      </w:r>
      <w:proofErr w:type="spellEnd"/>
      <w:r w:rsidRPr="00A45996">
        <w:rPr>
          <w:rFonts w:ascii="Arial" w:hAnsi="Arial" w:cs="Arial"/>
          <w:sz w:val="22"/>
          <w:szCs w:val="22"/>
        </w:rPr>
        <w:t xml:space="preserve"> </w:t>
      </w:r>
      <w:r w:rsidRPr="00A45996">
        <w:rPr>
          <w:rFonts w:ascii="Arial" w:hAnsi="Arial" w:cs="Arial"/>
          <w:sz w:val="22"/>
          <w:szCs w:val="22"/>
        </w:rPr>
        <w:lastRenderedPageBreak/>
        <w:t>AUC. However, the dose-</w:t>
      </w:r>
      <w:proofErr w:type="spellStart"/>
      <w:r w:rsidRPr="00A45996">
        <w:rPr>
          <w:rFonts w:ascii="Arial" w:hAnsi="Arial" w:cs="Arial"/>
          <w:sz w:val="22"/>
          <w:szCs w:val="22"/>
        </w:rPr>
        <w:t>normalised</w:t>
      </w:r>
      <w:proofErr w:type="spellEnd"/>
      <w:r w:rsidRPr="00A45996">
        <w:rPr>
          <w:rFonts w:ascii="Arial" w:hAnsi="Arial" w:cs="Arial"/>
          <w:sz w:val="22"/>
          <w:szCs w:val="22"/>
        </w:rPr>
        <w:t xml:space="preserve"> mean AUC values were increased by approximately 60% in patients with moderate to severe hepatic impairment.</w:t>
      </w:r>
    </w:p>
    <w:p w:rsidR="00326C73" w:rsidRPr="00A45996" w:rsidRDefault="00326C73" w:rsidP="00326C73">
      <w:pPr>
        <w:pStyle w:val="PIEXPLAIN"/>
        <w:keepLines/>
        <w:spacing w:before="120"/>
        <w:rPr>
          <w:b/>
          <w:szCs w:val="22"/>
          <w:u w:val="single"/>
        </w:rPr>
      </w:pPr>
      <w:r w:rsidRPr="00A45996">
        <w:rPr>
          <w:b/>
          <w:szCs w:val="22"/>
          <w:u w:val="single"/>
        </w:rPr>
        <w:t>Patients with Renal Impairment</w:t>
      </w:r>
    </w:p>
    <w:p w:rsidR="00326C73" w:rsidRPr="00A45996" w:rsidRDefault="00326C73" w:rsidP="00326C73">
      <w:pPr>
        <w:pStyle w:val="PIEXPLAIN"/>
        <w:keepLines/>
        <w:tabs>
          <w:tab w:val="clear" w:pos="-720"/>
        </w:tabs>
        <w:suppressAutoHyphens w:val="0"/>
        <w:rPr>
          <w:snapToGrid w:val="0"/>
          <w:spacing w:val="0"/>
        </w:rPr>
      </w:pPr>
      <w:r w:rsidRPr="00A45996">
        <w:rPr>
          <w:snapToGrid w:val="0"/>
          <w:spacing w:val="0"/>
        </w:rPr>
        <w:t xml:space="preserve">The incidence of serious undesirable effects may increase in patients with renal impairment compared to patients with normal renal function.  Renal complications are frequent in patients with multiple myeloma.  Such patients should be monitored closely.  The safety of </w:t>
      </w:r>
      <w:proofErr w:type="spellStart"/>
      <w:r w:rsidRPr="00A45996">
        <w:rPr>
          <w:snapToGrid w:val="0"/>
          <w:spacing w:val="0"/>
        </w:rPr>
        <w:t>bortezomib</w:t>
      </w:r>
      <w:proofErr w:type="spellEnd"/>
      <w:r w:rsidRPr="00A45996">
        <w:rPr>
          <w:snapToGrid w:val="0"/>
          <w:spacing w:val="0"/>
        </w:rPr>
        <w:t xml:space="preserve"> in patients with severe renal impairment (</w:t>
      </w:r>
      <w:proofErr w:type="spellStart"/>
      <w:r w:rsidRPr="00A45996">
        <w:rPr>
          <w:snapToGrid w:val="0"/>
          <w:spacing w:val="0"/>
        </w:rPr>
        <w:t>CrCl</w:t>
      </w:r>
      <w:proofErr w:type="spellEnd"/>
      <w:r w:rsidRPr="00A45996">
        <w:rPr>
          <w:snapToGrid w:val="0"/>
          <w:spacing w:val="0"/>
        </w:rPr>
        <w:t xml:space="preserve"> &lt; 20mL/min/1.73m</w:t>
      </w:r>
      <w:r w:rsidRPr="00A45996">
        <w:rPr>
          <w:snapToGrid w:val="0"/>
          <w:spacing w:val="0"/>
          <w:vertAlign w:val="superscript"/>
        </w:rPr>
        <w:t>2</w:t>
      </w:r>
      <w:r w:rsidRPr="00A45996">
        <w:rPr>
          <w:snapToGrid w:val="0"/>
          <w:spacing w:val="0"/>
        </w:rPr>
        <w:t xml:space="preserve">) has not been established.  The effect of dialysis on </w:t>
      </w:r>
      <w:proofErr w:type="spellStart"/>
      <w:r w:rsidRPr="00A45996">
        <w:rPr>
          <w:snapToGrid w:val="0"/>
          <w:spacing w:val="0"/>
        </w:rPr>
        <w:t>bortezomib</w:t>
      </w:r>
      <w:proofErr w:type="spellEnd"/>
      <w:r w:rsidRPr="00A45996">
        <w:rPr>
          <w:snapToGrid w:val="0"/>
          <w:spacing w:val="0"/>
        </w:rPr>
        <w:t xml:space="preserve"> plasma concentrations has also not been determined.  However, since dialysis may reduce </w:t>
      </w:r>
      <w:proofErr w:type="spellStart"/>
      <w:r w:rsidRPr="00A45996">
        <w:rPr>
          <w:snapToGrid w:val="0"/>
          <w:spacing w:val="0"/>
        </w:rPr>
        <w:t>bortezomib</w:t>
      </w:r>
      <w:proofErr w:type="spellEnd"/>
      <w:r w:rsidRPr="00A45996">
        <w:rPr>
          <w:snapToGrid w:val="0"/>
          <w:spacing w:val="0"/>
        </w:rPr>
        <w:t xml:space="preserve"> concentrations, the drug should be administered after the dialysis procedure.  </w:t>
      </w:r>
    </w:p>
    <w:p w:rsidR="00834AB8" w:rsidRPr="00A45996" w:rsidRDefault="00834AB8" w:rsidP="00834AB8">
      <w:pPr>
        <w:rPr>
          <w:sz w:val="22"/>
          <w:szCs w:val="22"/>
        </w:rPr>
      </w:pPr>
    </w:p>
    <w:p w:rsidR="00834AB8" w:rsidRPr="00A45996" w:rsidRDefault="00834AB8" w:rsidP="00834AB8">
      <w:pPr>
        <w:rPr>
          <w:b/>
          <w:spacing w:val="-2"/>
          <w:sz w:val="22"/>
          <w:szCs w:val="22"/>
          <w:u w:val="single"/>
        </w:rPr>
      </w:pPr>
      <w:r w:rsidRPr="00A45996">
        <w:rPr>
          <w:b/>
          <w:spacing w:val="-2"/>
          <w:sz w:val="22"/>
          <w:szCs w:val="22"/>
          <w:u w:val="single"/>
        </w:rPr>
        <w:t>Use in MCL patients eligible for autologous stem cell transplantation</w:t>
      </w:r>
    </w:p>
    <w:p w:rsidR="00994348" w:rsidRDefault="00994348" w:rsidP="00994348">
      <w:pPr>
        <w:pStyle w:val="PIEXPLAIN"/>
        <w:keepLines/>
        <w:tabs>
          <w:tab w:val="clear" w:pos="-720"/>
        </w:tabs>
        <w:suppressAutoHyphens w:val="0"/>
        <w:rPr>
          <w:b/>
          <w:szCs w:val="22"/>
        </w:rPr>
      </w:pPr>
      <w:r w:rsidRPr="00A45996">
        <w:t xml:space="preserve">The pivotal study in previously untreated MCL patients mainly studied patients ineligible for autologous stem cell transplantation, and evidence of efficacy and safety in patients eligible for transplantation is more limited.  In particular, there are no data directly informing about the use of </w:t>
      </w:r>
      <w:proofErr w:type="spellStart"/>
      <w:r w:rsidRPr="00A45996">
        <w:t>VcR</w:t>
      </w:r>
      <w:proofErr w:type="spellEnd"/>
      <w:r w:rsidRPr="00A45996">
        <w:t>-CAP as an induction regimen in previously untreated MCL patients who have subsequently received a transplant</w:t>
      </w:r>
      <w:r w:rsidRPr="00A45996">
        <w:rPr>
          <w:b/>
          <w:szCs w:val="22"/>
        </w:rPr>
        <w:t>.</w:t>
      </w:r>
    </w:p>
    <w:p w:rsidR="00A45996" w:rsidRPr="00A45996" w:rsidRDefault="00A45996" w:rsidP="00994348">
      <w:pPr>
        <w:pStyle w:val="PIEXPLAIN"/>
        <w:keepLines/>
        <w:tabs>
          <w:tab w:val="clear" w:pos="-720"/>
        </w:tabs>
        <w:suppressAutoHyphens w:val="0"/>
        <w:rPr>
          <w:snapToGrid w:val="0"/>
          <w:spacing w:val="0"/>
        </w:rPr>
      </w:pPr>
    </w:p>
    <w:p w:rsidR="00326C73" w:rsidRPr="00A45996" w:rsidRDefault="00326C73" w:rsidP="00326C73">
      <w:pPr>
        <w:pStyle w:val="PIHEADING2"/>
        <w:keepLines/>
        <w:rPr>
          <w:szCs w:val="22"/>
          <w:u w:val="single"/>
        </w:rPr>
      </w:pPr>
      <w:r w:rsidRPr="00A45996">
        <w:rPr>
          <w:szCs w:val="22"/>
          <w:u w:val="single"/>
        </w:rPr>
        <w:t>Effects on fertility</w:t>
      </w:r>
    </w:p>
    <w:p w:rsidR="00326C73" w:rsidRPr="00A45996" w:rsidRDefault="00326C73" w:rsidP="00326C73">
      <w:pPr>
        <w:pStyle w:val="PIEXPLAIN"/>
        <w:keepLines/>
        <w:tabs>
          <w:tab w:val="clear" w:pos="-720"/>
        </w:tabs>
        <w:suppressAutoHyphens w:val="0"/>
        <w:rPr>
          <w:spacing w:val="0"/>
        </w:rPr>
      </w:pPr>
      <w:r w:rsidRPr="00A45996">
        <w:rPr>
          <w:spacing w:val="0"/>
        </w:rPr>
        <w:t xml:space="preserve">Fertility studies with </w:t>
      </w:r>
      <w:proofErr w:type="spellStart"/>
      <w:r w:rsidRPr="00A45996">
        <w:rPr>
          <w:spacing w:val="0"/>
        </w:rPr>
        <w:t>bortezomib</w:t>
      </w:r>
      <w:proofErr w:type="spellEnd"/>
      <w:r w:rsidRPr="00A45996">
        <w:rPr>
          <w:spacing w:val="0"/>
        </w:rPr>
        <w:t xml:space="preserve"> were not performed but degenerative changes seen in the testes and ovary in a rat general toxicity study suggest that VELCADE may affect male and female fertility.  </w:t>
      </w:r>
    </w:p>
    <w:p w:rsidR="00326C73" w:rsidRPr="00A45996" w:rsidRDefault="00326C73" w:rsidP="00326C73">
      <w:pPr>
        <w:pStyle w:val="PIHEADING2"/>
        <w:keepLines/>
        <w:rPr>
          <w:szCs w:val="22"/>
          <w:u w:val="single"/>
        </w:rPr>
      </w:pPr>
      <w:r w:rsidRPr="00A45996">
        <w:rPr>
          <w:szCs w:val="22"/>
          <w:u w:val="single"/>
        </w:rPr>
        <w:t>Use in Pregnancy</w:t>
      </w:r>
    </w:p>
    <w:p w:rsidR="00326C73" w:rsidRPr="00A45996" w:rsidRDefault="00326C73" w:rsidP="00326C73">
      <w:pPr>
        <w:pStyle w:val="PIEXPLAIN"/>
        <w:keepLines/>
        <w:rPr>
          <w:b/>
          <w:bCs/>
        </w:rPr>
      </w:pPr>
      <w:r w:rsidRPr="00A45996">
        <w:rPr>
          <w:b/>
          <w:bCs/>
        </w:rPr>
        <w:t>Category C</w:t>
      </w:r>
    </w:p>
    <w:p w:rsidR="00326C73" w:rsidRPr="00A45996" w:rsidRDefault="00326C73" w:rsidP="00326C73">
      <w:pPr>
        <w:spacing w:before="20" w:after="80"/>
        <w:rPr>
          <w:sz w:val="22"/>
        </w:rPr>
      </w:pPr>
      <w:r w:rsidRPr="00A45996">
        <w:rPr>
          <w:sz w:val="22"/>
        </w:rPr>
        <w:t xml:space="preserve">Women of child bearing potential should avoid becoming pregnant while being treated with VELCADE.  The placental transfer of </w:t>
      </w:r>
      <w:proofErr w:type="spellStart"/>
      <w:r w:rsidRPr="00A45996">
        <w:rPr>
          <w:sz w:val="22"/>
        </w:rPr>
        <w:t>bortezomib</w:t>
      </w:r>
      <w:proofErr w:type="spellEnd"/>
      <w:r w:rsidRPr="00A45996">
        <w:rPr>
          <w:sz w:val="22"/>
        </w:rPr>
        <w:t xml:space="preserve"> is unknown, but any occurrence may disrupt cycling in the developing foetus, although teratogenicity was not observed in rats and rabbits at maximum tolerated doses.</w:t>
      </w:r>
    </w:p>
    <w:p w:rsidR="00326C73" w:rsidRPr="00A45996" w:rsidRDefault="00326C73" w:rsidP="00326C73">
      <w:pPr>
        <w:spacing w:before="20" w:after="80"/>
        <w:rPr>
          <w:sz w:val="22"/>
        </w:rPr>
      </w:pPr>
      <w:proofErr w:type="spellStart"/>
      <w:r w:rsidRPr="00A45996">
        <w:rPr>
          <w:sz w:val="22"/>
        </w:rPr>
        <w:t>Bortezomib</w:t>
      </w:r>
      <w:proofErr w:type="spellEnd"/>
      <w:r w:rsidRPr="00A45996">
        <w:rPr>
          <w:sz w:val="22"/>
        </w:rPr>
        <w:t xml:space="preserve"> was not teratogenic in nonclinical developmental toxicity studies in rats and rabbits at the highest dose tested (approximately 0.5 mg/m</w:t>
      </w:r>
      <w:r w:rsidRPr="00A45996">
        <w:rPr>
          <w:sz w:val="22"/>
          <w:vertAlign w:val="superscript"/>
        </w:rPr>
        <w:t>2</w:t>
      </w:r>
      <w:r w:rsidRPr="00A45996">
        <w:rPr>
          <w:sz w:val="22"/>
        </w:rPr>
        <w:t>/day) when administered during organogenesis.  These dosages are approximately half the clinical dose of 1.3 mg/m</w:t>
      </w:r>
      <w:r w:rsidRPr="00A45996">
        <w:rPr>
          <w:sz w:val="22"/>
          <w:vertAlign w:val="superscript"/>
        </w:rPr>
        <w:t>2</w:t>
      </w:r>
      <w:r w:rsidRPr="00A45996">
        <w:rPr>
          <w:sz w:val="22"/>
        </w:rPr>
        <w:t xml:space="preserve"> based on body surface area and calculated on a single-dose basis.  Increased post-implantation loss and reduced foetal weights were seen in rabbits at the highest dose tested, which was a maternally toxic dose.  Litter values were unaffected by a non-</w:t>
      </w:r>
      <w:proofErr w:type="spellStart"/>
      <w:r w:rsidRPr="00A45996">
        <w:rPr>
          <w:sz w:val="22"/>
        </w:rPr>
        <w:t>maternotoxic</w:t>
      </w:r>
      <w:proofErr w:type="spellEnd"/>
      <w:r w:rsidRPr="00A45996">
        <w:rPr>
          <w:sz w:val="22"/>
        </w:rPr>
        <w:t xml:space="preserve"> dose (approximately 0.3 mg/m</w:t>
      </w:r>
      <w:r w:rsidRPr="00A45996">
        <w:rPr>
          <w:sz w:val="22"/>
          <w:vertAlign w:val="superscript"/>
        </w:rPr>
        <w:t>2</w:t>
      </w:r>
      <w:r w:rsidRPr="00A45996">
        <w:rPr>
          <w:sz w:val="22"/>
        </w:rPr>
        <w:t>/day).</w:t>
      </w:r>
    </w:p>
    <w:p w:rsidR="00326C73" w:rsidRPr="00A45996" w:rsidRDefault="00326C73" w:rsidP="00326C73">
      <w:pPr>
        <w:pStyle w:val="PIEXPLAIN"/>
        <w:keepLines/>
        <w:tabs>
          <w:tab w:val="clear" w:pos="-720"/>
        </w:tabs>
        <w:suppressAutoHyphens w:val="0"/>
      </w:pPr>
      <w:r w:rsidRPr="00A45996">
        <w:t xml:space="preserve">No placental transfer studies have been conducted with </w:t>
      </w:r>
      <w:proofErr w:type="spellStart"/>
      <w:r w:rsidRPr="00A45996">
        <w:t>bortezomib</w:t>
      </w:r>
      <w:proofErr w:type="spellEnd"/>
      <w:r w:rsidRPr="00A45996">
        <w:t xml:space="preserve">.  There are no adequate and well-controlled studies in pregnant women.  If VELCADE is used during pregnancy, or if the patient becomes pregnant while receiving this drug, the patient should be informed of the potential hazard to the foetus. </w:t>
      </w:r>
    </w:p>
    <w:p w:rsidR="00326C73" w:rsidRPr="00A45996" w:rsidRDefault="00326C73" w:rsidP="00326C73">
      <w:pPr>
        <w:spacing w:before="20" w:after="80"/>
        <w:rPr>
          <w:sz w:val="22"/>
        </w:rPr>
      </w:pPr>
      <w:r w:rsidRPr="00A45996">
        <w:rPr>
          <w:sz w:val="22"/>
        </w:rPr>
        <w:t>Patients should be advised to use effective contraceptive measures to prevent pregnancy.</w:t>
      </w:r>
    </w:p>
    <w:p w:rsidR="00326C73" w:rsidRPr="00A45996" w:rsidRDefault="00326C73" w:rsidP="00326C73">
      <w:pPr>
        <w:pStyle w:val="PIHEADING2"/>
        <w:keepNext/>
        <w:keepLines/>
        <w:rPr>
          <w:szCs w:val="22"/>
          <w:u w:val="single"/>
        </w:rPr>
      </w:pPr>
      <w:r w:rsidRPr="00A45996">
        <w:rPr>
          <w:szCs w:val="22"/>
          <w:u w:val="single"/>
        </w:rPr>
        <w:t>Use in Lactation</w:t>
      </w:r>
    </w:p>
    <w:p w:rsidR="00326C73" w:rsidRPr="00A45996" w:rsidRDefault="00326C73" w:rsidP="00326C73">
      <w:pPr>
        <w:pStyle w:val="ParagraphCharChar"/>
        <w:spacing w:before="20" w:after="80"/>
        <w:jc w:val="both"/>
        <w:rPr>
          <w:rFonts w:ascii="Arial" w:hAnsi="Arial" w:cs="Arial"/>
        </w:rPr>
      </w:pPr>
      <w:r w:rsidRPr="00A45996">
        <w:rPr>
          <w:rFonts w:ascii="Arial" w:hAnsi="Arial" w:cs="Arial"/>
        </w:rPr>
        <w:t xml:space="preserve">It is not known whether </w:t>
      </w:r>
      <w:proofErr w:type="spellStart"/>
      <w:r w:rsidRPr="00A45996">
        <w:rPr>
          <w:rFonts w:ascii="Arial" w:hAnsi="Arial" w:cs="Arial"/>
        </w:rPr>
        <w:t>bortezomib</w:t>
      </w:r>
      <w:proofErr w:type="spellEnd"/>
      <w:r w:rsidRPr="00A45996">
        <w:rPr>
          <w:rFonts w:ascii="Arial" w:hAnsi="Arial" w:cs="Arial"/>
        </w:rPr>
        <w:t xml:space="preserve"> or its metabolites are excreted in animal or human milk.  Because many drugs are excreted in human milk and because of the potential for serious adverse reactions in breast-fed infants from VELCADE, women should be advised against breast-feeding while being treated with VELCADE.</w:t>
      </w:r>
    </w:p>
    <w:p w:rsidR="00326C73" w:rsidRPr="00A45996" w:rsidRDefault="00326C73" w:rsidP="00326C73">
      <w:pPr>
        <w:pStyle w:val="PIEXPLAIN"/>
        <w:keepLines/>
        <w:tabs>
          <w:tab w:val="center" w:pos="4586"/>
        </w:tabs>
        <w:rPr>
          <w:b/>
          <w:bCs/>
          <w:spacing w:val="0"/>
          <w:u w:val="single"/>
        </w:rPr>
      </w:pPr>
      <w:r w:rsidRPr="00A45996">
        <w:rPr>
          <w:b/>
          <w:bCs/>
          <w:spacing w:val="0"/>
          <w:u w:val="single"/>
        </w:rPr>
        <w:t>Paediatric Use</w:t>
      </w:r>
    </w:p>
    <w:p w:rsidR="003E563A" w:rsidRPr="00A45996" w:rsidRDefault="00326C73" w:rsidP="00326C73">
      <w:pPr>
        <w:pStyle w:val="PIHEADING2"/>
        <w:keepLines/>
        <w:rPr>
          <w:b w:val="0"/>
        </w:rPr>
      </w:pPr>
      <w:r w:rsidRPr="00A45996">
        <w:rPr>
          <w:b w:val="0"/>
        </w:rPr>
        <w:t>The safety and effectiveness of VELCADE in children has not been established.</w:t>
      </w:r>
    </w:p>
    <w:p w:rsidR="00A45996" w:rsidRDefault="00A45996">
      <w:pPr>
        <w:keepLines w:val="0"/>
        <w:jc w:val="left"/>
        <w:rPr>
          <w:b/>
          <w:spacing w:val="-2"/>
          <w:sz w:val="22"/>
          <w:szCs w:val="22"/>
          <w:u w:val="single"/>
        </w:rPr>
      </w:pPr>
      <w:r>
        <w:rPr>
          <w:szCs w:val="22"/>
          <w:u w:val="single"/>
        </w:rPr>
        <w:br w:type="page"/>
      </w:r>
    </w:p>
    <w:p w:rsidR="00326C73" w:rsidRPr="00A45996" w:rsidRDefault="00326C73" w:rsidP="00326C73">
      <w:pPr>
        <w:pStyle w:val="PIHEADING2"/>
        <w:keepLines/>
        <w:rPr>
          <w:szCs w:val="22"/>
          <w:u w:val="single"/>
        </w:rPr>
      </w:pPr>
      <w:r w:rsidRPr="00A45996">
        <w:rPr>
          <w:szCs w:val="22"/>
          <w:u w:val="single"/>
        </w:rPr>
        <w:lastRenderedPageBreak/>
        <w:t>Genotoxicity</w:t>
      </w:r>
    </w:p>
    <w:p w:rsidR="00326C73" w:rsidRPr="00A45996" w:rsidRDefault="00326C73" w:rsidP="00326C73">
      <w:pPr>
        <w:pStyle w:val="PIHEADING2"/>
        <w:keepNext/>
        <w:keepLines/>
        <w:rPr>
          <w:b w:val="0"/>
        </w:rPr>
      </w:pPr>
      <w:proofErr w:type="spellStart"/>
      <w:r w:rsidRPr="00A45996">
        <w:rPr>
          <w:b w:val="0"/>
        </w:rPr>
        <w:t>Bortezomib</w:t>
      </w:r>
      <w:proofErr w:type="spellEnd"/>
      <w:r w:rsidRPr="00A45996">
        <w:rPr>
          <w:b w:val="0"/>
        </w:rPr>
        <w:t xml:space="preserve"> showed </w:t>
      </w:r>
      <w:proofErr w:type="spellStart"/>
      <w:r w:rsidRPr="00A45996">
        <w:rPr>
          <w:b w:val="0"/>
        </w:rPr>
        <w:t>clastogenic</w:t>
      </w:r>
      <w:proofErr w:type="spellEnd"/>
      <w:r w:rsidRPr="00A45996">
        <w:rPr>
          <w:b w:val="0"/>
        </w:rPr>
        <w:t xml:space="preserve"> activity at a high concentration (3 </w:t>
      </w:r>
      <w:r w:rsidRPr="00A45996">
        <w:rPr>
          <w:b w:val="0"/>
        </w:rPr>
        <w:sym w:font="Symbol" w:char="F06D"/>
      </w:r>
      <w:r w:rsidRPr="00A45996">
        <w:rPr>
          <w:b w:val="0"/>
        </w:rPr>
        <w:t xml:space="preserve">g/mL) in an </w:t>
      </w:r>
      <w:r w:rsidRPr="00A45996">
        <w:rPr>
          <w:b w:val="0"/>
          <w:i/>
          <w:iCs/>
        </w:rPr>
        <w:t>in vitro</w:t>
      </w:r>
      <w:r w:rsidRPr="00A45996">
        <w:rPr>
          <w:b w:val="0"/>
        </w:rPr>
        <w:t xml:space="preserve"> chromosomal aberration assay using Chinese hamster ovary cells.   </w:t>
      </w:r>
      <w:proofErr w:type="spellStart"/>
      <w:r w:rsidRPr="00A45996">
        <w:rPr>
          <w:b w:val="0"/>
        </w:rPr>
        <w:t>Clastogenic</w:t>
      </w:r>
      <w:proofErr w:type="spellEnd"/>
      <w:r w:rsidRPr="00A45996">
        <w:rPr>
          <w:b w:val="0"/>
        </w:rPr>
        <w:t xml:space="preserve"> activity was not observed </w:t>
      </w:r>
      <w:r w:rsidRPr="00A45996">
        <w:rPr>
          <w:b w:val="0"/>
          <w:i/>
          <w:iCs/>
        </w:rPr>
        <w:t>in vivo</w:t>
      </w:r>
      <w:r w:rsidRPr="00A45996">
        <w:rPr>
          <w:b w:val="0"/>
        </w:rPr>
        <w:t xml:space="preserve"> in a mouse micronucleus test using intravenous doses of up to 3 mg/m</w:t>
      </w:r>
      <w:r w:rsidRPr="00A45996">
        <w:rPr>
          <w:b w:val="0"/>
          <w:vertAlign w:val="superscript"/>
        </w:rPr>
        <w:t>2</w:t>
      </w:r>
      <w:r w:rsidRPr="00A45996">
        <w:rPr>
          <w:b w:val="0"/>
        </w:rPr>
        <w:t xml:space="preserve">.  </w:t>
      </w:r>
      <w:proofErr w:type="spellStart"/>
      <w:r w:rsidRPr="00A45996">
        <w:rPr>
          <w:b w:val="0"/>
        </w:rPr>
        <w:t>Bortezomib</w:t>
      </w:r>
      <w:proofErr w:type="spellEnd"/>
      <w:r w:rsidRPr="00A45996">
        <w:rPr>
          <w:b w:val="0"/>
        </w:rPr>
        <w:t xml:space="preserve"> was not genotoxic in </w:t>
      </w:r>
      <w:r w:rsidRPr="00A45996">
        <w:rPr>
          <w:b w:val="0"/>
          <w:i/>
          <w:iCs/>
        </w:rPr>
        <w:t>in vitro</w:t>
      </w:r>
      <w:r w:rsidRPr="00A45996">
        <w:rPr>
          <w:b w:val="0"/>
        </w:rPr>
        <w:t xml:space="preserve"> tests for bacterial gene mutation.</w:t>
      </w:r>
    </w:p>
    <w:p w:rsidR="00326C73" w:rsidRPr="00A45996" w:rsidRDefault="00326C73" w:rsidP="00326C73">
      <w:pPr>
        <w:pStyle w:val="PIHEADING2"/>
        <w:keepLines/>
        <w:rPr>
          <w:szCs w:val="22"/>
          <w:u w:val="single"/>
        </w:rPr>
      </w:pPr>
      <w:r w:rsidRPr="00A45996">
        <w:rPr>
          <w:szCs w:val="22"/>
          <w:u w:val="single"/>
        </w:rPr>
        <w:t>Carcinogenicity</w:t>
      </w:r>
    </w:p>
    <w:p w:rsidR="00326C73" w:rsidRPr="00A45996" w:rsidRDefault="00326C73" w:rsidP="00326C73">
      <w:pPr>
        <w:pStyle w:val="PIEXPLAIN"/>
        <w:keepLines/>
        <w:tabs>
          <w:tab w:val="clear" w:pos="-720"/>
        </w:tabs>
        <w:suppressAutoHyphens w:val="0"/>
      </w:pPr>
      <w:r w:rsidRPr="00A45996">
        <w:t xml:space="preserve">Carcinogenicity studies have not been conducted with </w:t>
      </w:r>
      <w:proofErr w:type="spellStart"/>
      <w:r w:rsidRPr="00A45996">
        <w:t>bortezomib</w:t>
      </w:r>
      <w:proofErr w:type="spellEnd"/>
      <w:r w:rsidRPr="00A45996">
        <w:t>.</w:t>
      </w:r>
    </w:p>
    <w:p w:rsidR="00326C73" w:rsidRPr="00A45996" w:rsidRDefault="00326C73" w:rsidP="00326C73">
      <w:pPr>
        <w:pStyle w:val="PIHEADING2"/>
        <w:keepNext/>
        <w:keepLines/>
        <w:rPr>
          <w:szCs w:val="22"/>
          <w:u w:val="single"/>
        </w:rPr>
      </w:pPr>
      <w:r w:rsidRPr="00A45996">
        <w:rPr>
          <w:szCs w:val="22"/>
          <w:u w:val="single"/>
        </w:rPr>
        <w:t xml:space="preserve">Effects on Laboratory Tests  </w:t>
      </w:r>
    </w:p>
    <w:p w:rsidR="00326C73" w:rsidRPr="00A45996" w:rsidRDefault="00326C73" w:rsidP="00326C73">
      <w:pPr>
        <w:pStyle w:val="PIHEADING2"/>
        <w:keepNext/>
        <w:keepLines/>
        <w:spacing w:before="20"/>
        <w:rPr>
          <w:rFonts w:cs="Arial"/>
          <w:b w:val="0"/>
          <w:bCs/>
          <w:i/>
          <w:iCs/>
        </w:rPr>
      </w:pPr>
      <w:proofErr w:type="gramStart"/>
      <w:r w:rsidRPr="00A45996">
        <w:rPr>
          <w:b w:val="0"/>
          <w:bCs/>
        </w:rPr>
        <w:t>None known.</w:t>
      </w:r>
      <w:proofErr w:type="gramEnd"/>
    </w:p>
    <w:p w:rsidR="00326C73" w:rsidRPr="00A45996" w:rsidRDefault="00326C73" w:rsidP="00326C73">
      <w:pPr>
        <w:pStyle w:val="Heading4"/>
        <w:spacing w:before="120" w:after="80"/>
        <w:rPr>
          <w:sz w:val="22"/>
          <w:szCs w:val="22"/>
          <w:u w:val="single"/>
        </w:rPr>
      </w:pPr>
      <w:r w:rsidRPr="00A45996">
        <w:rPr>
          <w:sz w:val="22"/>
          <w:szCs w:val="22"/>
          <w:u w:val="single"/>
        </w:rPr>
        <w:t>Effect on Ability to Drive or Operate Machinery</w:t>
      </w:r>
    </w:p>
    <w:p w:rsidR="00326C73" w:rsidRPr="00A45996" w:rsidRDefault="00326C73" w:rsidP="00326C73">
      <w:pPr>
        <w:pStyle w:val="PIHEADING2"/>
        <w:keepNext/>
        <w:keepLines/>
        <w:rPr>
          <w:b w:val="0"/>
          <w:szCs w:val="22"/>
          <w:u w:val="single"/>
        </w:rPr>
      </w:pPr>
      <w:r w:rsidRPr="00A45996">
        <w:rPr>
          <w:b w:val="0"/>
          <w:spacing w:val="0"/>
        </w:rPr>
        <w:t>VELCADE may cause tiredness, dizziness, fainting or blurred vision.  Patients should be advised not to drive or operate machinery if they experience these symptoms.</w:t>
      </w:r>
      <w:r w:rsidRPr="00A45996">
        <w:rPr>
          <w:b w:val="0"/>
          <w:szCs w:val="22"/>
          <w:u w:val="single"/>
        </w:rPr>
        <w:t xml:space="preserve"> </w:t>
      </w:r>
    </w:p>
    <w:p w:rsidR="007B3AD3" w:rsidRPr="00A45996" w:rsidRDefault="007B3AD3" w:rsidP="00326C73">
      <w:pPr>
        <w:pStyle w:val="PIHEADING2"/>
        <w:keepNext/>
        <w:keepLines/>
        <w:rPr>
          <w:sz w:val="28"/>
          <w:szCs w:val="28"/>
        </w:rPr>
      </w:pPr>
    </w:p>
    <w:p w:rsidR="00326C73" w:rsidRPr="00A45996" w:rsidRDefault="00326C73" w:rsidP="00326C73">
      <w:pPr>
        <w:pStyle w:val="PIHEADING2"/>
        <w:keepNext/>
        <w:keepLines/>
        <w:rPr>
          <w:sz w:val="28"/>
          <w:szCs w:val="28"/>
        </w:rPr>
      </w:pPr>
      <w:r w:rsidRPr="00A45996">
        <w:rPr>
          <w:sz w:val="28"/>
          <w:szCs w:val="28"/>
        </w:rPr>
        <w:t>INTERACTIONS WITH OTHER MEDICINES</w:t>
      </w:r>
    </w:p>
    <w:p w:rsidR="00326C73" w:rsidRPr="00A45996" w:rsidRDefault="00326C73" w:rsidP="00326C73">
      <w:pPr>
        <w:pStyle w:val="PIEXPLAIN"/>
        <w:rPr>
          <w:snapToGrid w:val="0"/>
          <w:color w:val="000000"/>
        </w:rPr>
      </w:pPr>
      <w:r w:rsidRPr="00A45996">
        <w:rPr>
          <w:i/>
          <w:iCs/>
          <w:snapToGrid w:val="0"/>
          <w:color w:val="000000"/>
        </w:rPr>
        <w:t>In vitro</w:t>
      </w:r>
      <w:r w:rsidRPr="00A45996">
        <w:rPr>
          <w:snapToGrid w:val="0"/>
          <w:color w:val="000000"/>
        </w:rPr>
        <w:t xml:space="preserve"> and animal </w:t>
      </w:r>
      <w:r w:rsidRPr="00A45996">
        <w:rPr>
          <w:i/>
          <w:iCs/>
          <w:snapToGrid w:val="0"/>
          <w:color w:val="000000"/>
        </w:rPr>
        <w:t>ex vivo</w:t>
      </w:r>
      <w:r w:rsidRPr="00A45996">
        <w:rPr>
          <w:snapToGrid w:val="0"/>
          <w:color w:val="000000"/>
        </w:rPr>
        <w:t xml:space="preserve"> studies indicate that </w:t>
      </w:r>
      <w:proofErr w:type="spellStart"/>
      <w:r w:rsidRPr="00A45996">
        <w:rPr>
          <w:snapToGrid w:val="0"/>
        </w:rPr>
        <w:t>b</w:t>
      </w:r>
      <w:r w:rsidRPr="00A45996">
        <w:rPr>
          <w:snapToGrid w:val="0"/>
          <w:color w:val="000000"/>
        </w:rPr>
        <w:t>ortezomib</w:t>
      </w:r>
      <w:proofErr w:type="spellEnd"/>
      <w:r w:rsidRPr="00A45996">
        <w:rPr>
          <w:snapToGrid w:val="0"/>
          <w:color w:val="000000"/>
        </w:rPr>
        <w:t xml:space="preserve"> is a weak inhibitor of cytochrome P450 (CYP) isozymes 1A2, 2C9, 2C19, 2D6, and 3A4.  </w:t>
      </w:r>
      <w:proofErr w:type="spellStart"/>
      <w:r w:rsidRPr="00A45996">
        <w:rPr>
          <w:snapToGrid w:val="0"/>
          <w:color w:val="000000"/>
        </w:rPr>
        <w:t>Bortezomib</w:t>
      </w:r>
      <w:proofErr w:type="spellEnd"/>
      <w:r w:rsidRPr="00A45996">
        <w:rPr>
          <w:snapToGrid w:val="0"/>
          <w:color w:val="000000"/>
        </w:rPr>
        <w:t xml:space="preserve"> did not induce the activities of cytochrome P450 3A4 and 1A2 in primary cultured human hepatocytes.  Based on the limited contribution (7%) of CYP2D6 to the metabolism of </w:t>
      </w:r>
      <w:proofErr w:type="spellStart"/>
      <w:r w:rsidRPr="00A45996">
        <w:rPr>
          <w:snapToGrid w:val="0"/>
          <w:color w:val="000000"/>
        </w:rPr>
        <w:t>bortezomib</w:t>
      </w:r>
      <w:proofErr w:type="spellEnd"/>
      <w:r w:rsidRPr="00A45996">
        <w:rPr>
          <w:snapToGrid w:val="0"/>
          <w:color w:val="000000"/>
        </w:rPr>
        <w:t xml:space="preserve">, the CYP2D6 poor </w:t>
      </w:r>
      <w:proofErr w:type="spellStart"/>
      <w:r w:rsidRPr="00A45996">
        <w:rPr>
          <w:snapToGrid w:val="0"/>
          <w:color w:val="000000"/>
        </w:rPr>
        <w:t>metabolizer</w:t>
      </w:r>
      <w:proofErr w:type="spellEnd"/>
      <w:r w:rsidRPr="00A45996">
        <w:rPr>
          <w:snapToGrid w:val="0"/>
          <w:color w:val="000000"/>
        </w:rPr>
        <w:t xml:space="preserve"> phenotype is not expected to affect the overall disposition of </w:t>
      </w:r>
      <w:proofErr w:type="spellStart"/>
      <w:r w:rsidRPr="00A45996">
        <w:rPr>
          <w:snapToGrid w:val="0"/>
          <w:color w:val="000000"/>
        </w:rPr>
        <w:t>bortezomib</w:t>
      </w:r>
      <w:proofErr w:type="spellEnd"/>
      <w:r w:rsidRPr="00A45996">
        <w:rPr>
          <w:snapToGrid w:val="0"/>
          <w:color w:val="000000"/>
        </w:rPr>
        <w:t>.</w:t>
      </w:r>
    </w:p>
    <w:p w:rsidR="00326C73" w:rsidRPr="00A45996" w:rsidRDefault="00326C73" w:rsidP="00326C73">
      <w:pPr>
        <w:pStyle w:val="PIEXPLAIN"/>
        <w:rPr>
          <w:snapToGrid w:val="0"/>
          <w:color w:val="000000"/>
        </w:rPr>
      </w:pPr>
      <w:r w:rsidRPr="00A45996">
        <w:rPr>
          <w:snapToGrid w:val="0"/>
          <w:color w:val="000000"/>
        </w:rPr>
        <w:t xml:space="preserve">A drug-drug interaction study assessing the effect of ketoconazole </w:t>
      </w:r>
      <w:r w:rsidR="002276F4" w:rsidRPr="00A45996">
        <w:rPr>
          <w:snapToGrid w:val="0"/>
          <w:color w:val="000000"/>
        </w:rPr>
        <w:t>(</w:t>
      </w:r>
      <w:r w:rsidRPr="00A45996">
        <w:rPr>
          <w:snapToGrid w:val="0"/>
          <w:color w:val="000000"/>
        </w:rPr>
        <w:t>a potent CYP3A</w:t>
      </w:r>
      <w:r w:rsidR="002276F4" w:rsidRPr="00A45996">
        <w:rPr>
          <w:snapToGrid w:val="0"/>
          <w:color w:val="000000"/>
        </w:rPr>
        <w:t>4</w:t>
      </w:r>
      <w:r w:rsidRPr="00A45996">
        <w:rPr>
          <w:snapToGrid w:val="0"/>
          <w:color w:val="000000"/>
        </w:rPr>
        <w:t xml:space="preserve"> inhibitor</w:t>
      </w:r>
      <w:r w:rsidR="002276F4" w:rsidRPr="00A45996">
        <w:rPr>
          <w:snapToGrid w:val="0"/>
          <w:color w:val="000000"/>
        </w:rPr>
        <w:t>) on the pharmacokinetics of IV VELCADE</w:t>
      </w:r>
      <w:r w:rsidRPr="00A45996">
        <w:rPr>
          <w:snapToGrid w:val="0"/>
          <w:color w:val="000000"/>
        </w:rPr>
        <w:t xml:space="preserve"> showed a </w:t>
      </w:r>
      <w:proofErr w:type="spellStart"/>
      <w:r w:rsidRPr="00A45996">
        <w:rPr>
          <w:snapToGrid w:val="0"/>
          <w:color w:val="000000"/>
        </w:rPr>
        <w:t>bortezomib</w:t>
      </w:r>
      <w:proofErr w:type="spellEnd"/>
      <w:r w:rsidRPr="00A45996">
        <w:rPr>
          <w:snapToGrid w:val="0"/>
          <w:color w:val="000000"/>
        </w:rPr>
        <w:t xml:space="preserve"> AUC mean increase of 35%, based on data from 12 patients.  Therefore, patients should be closely monitored when given </w:t>
      </w:r>
      <w:proofErr w:type="spellStart"/>
      <w:r w:rsidRPr="00A45996">
        <w:rPr>
          <w:snapToGrid w:val="0"/>
          <w:color w:val="000000"/>
        </w:rPr>
        <w:t>bortezomib</w:t>
      </w:r>
      <w:proofErr w:type="spellEnd"/>
      <w:r w:rsidRPr="00A45996">
        <w:rPr>
          <w:snapToGrid w:val="0"/>
          <w:color w:val="000000"/>
        </w:rPr>
        <w:t xml:space="preserve"> in combination with potent CYP3A4-inhibitors (</w:t>
      </w:r>
      <w:proofErr w:type="spellStart"/>
      <w:r w:rsidRPr="00A45996">
        <w:rPr>
          <w:snapToGrid w:val="0"/>
          <w:color w:val="000000"/>
        </w:rPr>
        <w:t>e.g</w:t>
      </w:r>
      <w:proofErr w:type="spellEnd"/>
      <w:r w:rsidRPr="00A45996">
        <w:rPr>
          <w:snapToGrid w:val="0"/>
          <w:color w:val="000000"/>
        </w:rPr>
        <w:t xml:space="preserve"> ketoconazole, ritonavir). </w:t>
      </w:r>
    </w:p>
    <w:p w:rsidR="00326C73" w:rsidRPr="00A45996" w:rsidRDefault="00326C73" w:rsidP="00326C73">
      <w:pPr>
        <w:pStyle w:val="PIEXPLAIN"/>
        <w:rPr>
          <w:snapToGrid w:val="0"/>
          <w:color w:val="000000"/>
        </w:rPr>
      </w:pPr>
      <w:r w:rsidRPr="00A45996">
        <w:rPr>
          <w:snapToGrid w:val="0"/>
          <w:color w:val="000000"/>
        </w:rPr>
        <w:t xml:space="preserve">In a drug-drug interaction study assessing the effect of omeprazole </w:t>
      </w:r>
      <w:r w:rsidR="002276F4" w:rsidRPr="00A45996">
        <w:rPr>
          <w:snapToGrid w:val="0"/>
          <w:color w:val="000000"/>
        </w:rPr>
        <w:t>(</w:t>
      </w:r>
      <w:r w:rsidRPr="00A45996">
        <w:rPr>
          <w:snapToGrid w:val="0"/>
          <w:color w:val="000000"/>
        </w:rPr>
        <w:t>a potent inhibitor of CYP2C19</w:t>
      </w:r>
      <w:r w:rsidR="002276F4" w:rsidRPr="00A45996">
        <w:rPr>
          <w:snapToGrid w:val="0"/>
          <w:color w:val="000000"/>
        </w:rPr>
        <w:t>) on the pharmacokinetics of IV VELCADE</w:t>
      </w:r>
      <w:r w:rsidRPr="00A45996">
        <w:rPr>
          <w:snapToGrid w:val="0"/>
          <w:color w:val="000000"/>
        </w:rPr>
        <w:t xml:space="preserve"> there was no significant effect on the pharmacokinetics of </w:t>
      </w:r>
      <w:proofErr w:type="spellStart"/>
      <w:r w:rsidRPr="00A45996">
        <w:rPr>
          <w:snapToGrid w:val="0"/>
          <w:color w:val="000000"/>
        </w:rPr>
        <w:t>bortezomib</w:t>
      </w:r>
      <w:proofErr w:type="spellEnd"/>
      <w:r w:rsidRPr="00A45996">
        <w:rPr>
          <w:snapToGrid w:val="0"/>
          <w:color w:val="000000"/>
        </w:rPr>
        <w:t>, based on data from 17 patients.</w:t>
      </w:r>
    </w:p>
    <w:p w:rsidR="00BC4DA6" w:rsidRPr="00A45996" w:rsidRDefault="00BC4DA6" w:rsidP="00BC4DA6">
      <w:pPr>
        <w:pStyle w:val="BodyText"/>
        <w:spacing w:before="20" w:after="80" w:line="240" w:lineRule="auto"/>
        <w:jc w:val="both"/>
        <w:rPr>
          <w:rFonts w:ascii="Arial" w:hAnsi="Arial" w:cs="Arial"/>
          <w:b w:val="0"/>
          <w:i w:val="0"/>
          <w:szCs w:val="22"/>
        </w:rPr>
      </w:pPr>
      <w:r w:rsidRPr="00A45996">
        <w:rPr>
          <w:rFonts w:ascii="Arial" w:hAnsi="Arial" w:cs="Arial"/>
          <w:b w:val="0"/>
          <w:i w:val="0"/>
          <w:szCs w:val="22"/>
        </w:rPr>
        <w:t xml:space="preserve">A drug-drug interaction study assessing the effect of rifampicin, a potent CYP3A4 inducer, on the pharmacokinetics of VELCADE showed a mean </w:t>
      </w:r>
      <w:proofErr w:type="spellStart"/>
      <w:r w:rsidRPr="00A45996">
        <w:rPr>
          <w:rFonts w:ascii="Arial" w:hAnsi="Arial" w:cs="Arial"/>
          <w:b w:val="0"/>
          <w:i w:val="0"/>
          <w:szCs w:val="22"/>
        </w:rPr>
        <w:t>bortezomib</w:t>
      </w:r>
      <w:proofErr w:type="spellEnd"/>
      <w:r w:rsidRPr="00A45996">
        <w:rPr>
          <w:rFonts w:ascii="Arial" w:hAnsi="Arial" w:cs="Arial"/>
          <w:b w:val="0"/>
          <w:i w:val="0"/>
          <w:szCs w:val="22"/>
        </w:rPr>
        <w:t xml:space="preserve"> AUC reduction of 45% based on data from 6 patients.  </w:t>
      </w:r>
      <w:r w:rsidR="00326C73" w:rsidRPr="00A45996">
        <w:rPr>
          <w:rFonts w:ascii="Arial" w:hAnsi="Arial" w:cs="Arial"/>
          <w:b w:val="0"/>
          <w:bCs/>
          <w:i w:val="0"/>
          <w:iCs/>
        </w:rPr>
        <w:t>The concomitant use of VELCADE with strong CYP3A4 inducers is not recommended, as efficacy may be reduced. Examples of CYP3A4 inducers are rifampicin, carbamazepine, phenytoin, phenobarbital and St John’s Wort.</w:t>
      </w:r>
      <w:r w:rsidRPr="00A45996">
        <w:rPr>
          <w:rFonts w:cs="Arial"/>
          <w:bCs/>
          <w:iCs/>
        </w:rPr>
        <w:t xml:space="preserve">  </w:t>
      </w:r>
      <w:r w:rsidRPr="00A45996">
        <w:rPr>
          <w:rFonts w:ascii="Arial" w:hAnsi="Arial" w:cs="Arial"/>
          <w:b w:val="0"/>
          <w:i w:val="0"/>
          <w:szCs w:val="22"/>
        </w:rPr>
        <w:t xml:space="preserve">In the same drug-drug interaction study, the effect of dexamethasone, a weaker CYP3A4 inducer was assessed.  There was no significant effect on </w:t>
      </w:r>
      <w:proofErr w:type="spellStart"/>
      <w:r w:rsidRPr="00A45996">
        <w:rPr>
          <w:rFonts w:ascii="Arial" w:hAnsi="Arial" w:cs="Arial"/>
          <w:b w:val="0"/>
          <w:i w:val="0"/>
          <w:szCs w:val="22"/>
        </w:rPr>
        <w:t>bortezomib</w:t>
      </w:r>
      <w:proofErr w:type="spellEnd"/>
      <w:r w:rsidRPr="00A45996">
        <w:rPr>
          <w:rFonts w:ascii="Arial" w:hAnsi="Arial" w:cs="Arial"/>
          <w:b w:val="0"/>
          <w:i w:val="0"/>
          <w:szCs w:val="22"/>
        </w:rPr>
        <w:t xml:space="preserve"> pharmacokinetics based on data from 7 patients.  </w:t>
      </w:r>
    </w:p>
    <w:p w:rsidR="00326C73" w:rsidRPr="00A45996" w:rsidRDefault="00BC4DA6" w:rsidP="00BC4DA6">
      <w:pPr>
        <w:pStyle w:val="BodyText"/>
        <w:spacing w:before="20" w:after="80" w:line="240" w:lineRule="auto"/>
        <w:jc w:val="both"/>
        <w:rPr>
          <w:rFonts w:ascii="Arial" w:hAnsi="Arial" w:cs="Arial"/>
          <w:b w:val="0"/>
          <w:i w:val="0"/>
          <w:szCs w:val="22"/>
        </w:rPr>
      </w:pPr>
      <w:r w:rsidRPr="00A45996">
        <w:rPr>
          <w:rFonts w:ascii="Arial" w:hAnsi="Arial" w:cs="Arial"/>
          <w:b w:val="0"/>
          <w:i w:val="0"/>
          <w:szCs w:val="22"/>
        </w:rPr>
        <w:t xml:space="preserve">Patients who are concomitantly receiving VELCADE and drugs that are inhibitors or inducers of cytochrome P450 3A4 should be closely monitored for either toxicities or reduced efficacy.  </w:t>
      </w:r>
    </w:p>
    <w:p w:rsidR="00326C73" w:rsidRPr="00A45996" w:rsidRDefault="00326C73" w:rsidP="00326C73">
      <w:pPr>
        <w:pStyle w:val="BodyText"/>
        <w:spacing w:before="20" w:after="80" w:line="240" w:lineRule="auto"/>
        <w:jc w:val="both"/>
        <w:rPr>
          <w:rFonts w:ascii="Arial" w:hAnsi="Arial" w:cs="Arial"/>
          <w:b w:val="0"/>
          <w:bCs/>
          <w:i w:val="0"/>
          <w:iCs/>
        </w:rPr>
      </w:pPr>
      <w:r w:rsidRPr="00A45996">
        <w:rPr>
          <w:rFonts w:ascii="Arial" w:hAnsi="Arial" w:cs="Arial"/>
          <w:b w:val="0"/>
          <w:bCs/>
          <w:i w:val="0"/>
          <w:iCs/>
        </w:rPr>
        <w:t xml:space="preserve">During clinical trials, hypoglycaemia and hyperglycaemia were reported in diabetic patients receiving oral </w:t>
      </w:r>
      <w:proofErr w:type="spellStart"/>
      <w:r w:rsidRPr="00A45996">
        <w:rPr>
          <w:rFonts w:ascii="Arial" w:hAnsi="Arial" w:cs="Arial"/>
          <w:b w:val="0"/>
          <w:bCs/>
          <w:i w:val="0"/>
          <w:iCs/>
        </w:rPr>
        <w:t>hypoglycaemics</w:t>
      </w:r>
      <w:proofErr w:type="spellEnd"/>
      <w:r w:rsidRPr="00A45996">
        <w:rPr>
          <w:rFonts w:ascii="Arial" w:hAnsi="Arial" w:cs="Arial"/>
          <w:b w:val="0"/>
          <w:bCs/>
          <w:i w:val="0"/>
          <w:iCs/>
        </w:rPr>
        <w:t>.  Patients on oral antidiabetic agents receiving VELCADE treatment may require close monitoring of their blood glucose levels and adjustment of the dose of their antidiabetic medication.</w:t>
      </w:r>
    </w:p>
    <w:p w:rsidR="00326C73" w:rsidRPr="00A45996" w:rsidRDefault="00326C73" w:rsidP="00326C73">
      <w:pPr>
        <w:pStyle w:val="BodyText"/>
        <w:spacing w:before="20" w:after="80" w:line="240" w:lineRule="auto"/>
        <w:jc w:val="both"/>
        <w:rPr>
          <w:rFonts w:ascii="Arial" w:hAnsi="Arial" w:cs="Arial"/>
          <w:b w:val="0"/>
          <w:bCs/>
          <w:i w:val="0"/>
          <w:iCs/>
        </w:rPr>
      </w:pPr>
      <w:r w:rsidRPr="00A45996">
        <w:rPr>
          <w:rFonts w:ascii="Arial" w:hAnsi="Arial" w:cs="Arial"/>
          <w:b w:val="0"/>
          <w:bCs/>
          <w:i w:val="0"/>
          <w:iCs/>
        </w:rPr>
        <w:t>Patients should be cautioned about the use of concomitant medications that may be associated with peripheral neuropathy (such as amiodarone, anti-</w:t>
      </w:r>
      <w:proofErr w:type="spellStart"/>
      <w:r w:rsidRPr="00A45996">
        <w:rPr>
          <w:rFonts w:ascii="Arial" w:hAnsi="Arial" w:cs="Arial"/>
          <w:b w:val="0"/>
          <w:bCs/>
          <w:i w:val="0"/>
          <w:iCs/>
        </w:rPr>
        <w:t>virals</w:t>
      </w:r>
      <w:proofErr w:type="spellEnd"/>
      <w:r w:rsidRPr="00A45996">
        <w:rPr>
          <w:rFonts w:ascii="Arial" w:hAnsi="Arial" w:cs="Arial"/>
          <w:b w:val="0"/>
          <w:bCs/>
          <w:i w:val="0"/>
          <w:iCs/>
        </w:rPr>
        <w:t>, isoniazid, nitrofurantoin, or statins), or with a decrease in blood pressure.</w:t>
      </w:r>
    </w:p>
    <w:p w:rsidR="00A45996" w:rsidRDefault="00A45996">
      <w:pPr>
        <w:keepLines w:val="0"/>
        <w:jc w:val="left"/>
        <w:rPr>
          <w:b/>
          <w:caps/>
          <w:spacing w:val="-2"/>
          <w:sz w:val="28"/>
        </w:rPr>
      </w:pPr>
      <w:r>
        <w:br w:type="page"/>
      </w:r>
    </w:p>
    <w:p w:rsidR="00326C73" w:rsidRPr="00A45996" w:rsidRDefault="00326C73" w:rsidP="00326C73">
      <w:pPr>
        <w:pStyle w:val="PIHEADING1"/>
        <w:keepLines/>
        <w:jc w:val="both"/>
        <w:rPr>
          <w:rFonts w:cs="Arial"/>
          <w:sz w:val="22"/>
          <w:szCs w:val="22"/>
          <w:lang w:val="en-US"/>
        </w:rPr>
      </w:pPr>
      <w:r w:rsidRPr="00A45996">
        <w:lastRenderedPageBreak/>
        <w:t>ADVERSE EFFECTS</w:t>
      </w:r>
    </w:p>
    <w:p w:rsidR="00326C73" w:rsidRPr="00A45996" w:rsidRDefault="00326C73" w:rsidP="00326C73">
      <w:pPr>
        <w:keepLines w:val="0"/>
        <w:autoSpaceDE w:val="0"/>
        <w:autoSpaceDN w:val="0"/>
        <w:adjustRightInd w:val="0"/>
        <w:spacing w:before="120" w:after="80"/>
        <w:rPr>
          <w:rFonts w:cs="Arial"/>
          <w:b/>
          <w:bCs/>
          <w:sz w:val="24"/>
          <w:szCs w:val="22"/>
          <w:lang w:val="en-US"/>
        </w:rPr>
      </w:pPr>
      <w:r w:rsidRPr="00A45996">
        <w:rPr>
          <w:rFonts w:cs="Arial"/>
          <w:b/>
          <w:bCs/>
          <w:sz w:val="24"/>
          <w:szCs w:val="22"/>
          <w:lang w:val="en-US"/>
        </w:rPr>
        <w:t>Adverse events</w:t>
      </w:r>
    </w:p>
    <w:p w:rsidR="00326C73" w:rsidRPr="00A45996" w:rsidRDefault="00326C73" w:rsidP="00326C73">
      <w:pPr>
        <w:rPr>
          <w:b/>
          <w:bCs/>
          <w:i/>
          <w:sz w:val="22"/>
        </w:rPr>
      </w:pPr>
      <w:r w:rsidRPr="00A45996">
        <w:rPr>
          <w:b/>
          <w:bCs/>
          <w:i/>
          <w:sz w:val="22"/>
        </w:rPr>
        <w:t xml:space="preserve">Summary of Clinical Trials </w:t>
      </w:r>
      <w:r w:rsidR="002276F4" w:rsidRPr="00A45996">
        <w:rPr>
          <w:b/>
          <w:bCs/>
          <w:i/>
          <w:sz w:val="22"/>
        </w:rPr>
        <w:t xml:space="preserve">of VELCADE IV </w:t>
      </w:r>
      <w:r w:rsidRPr="00A45996">
        <w:rPr>
          <w:b/>
          <w:bCs/>
          <w:i/>
          <w:sz w:val="22"/>
        </w:rPr>
        <w:t xml:space="preserve">in patients with previously untreated multiple myeloma: </w:t>
      </w:r>
    </w:p>
    <w:p w:rsidR="00326C73" w:rsidRPr="00A45996" w:rsidRDefault="00326C73" w:rsidP="00326C73">
      <w:pPr>
        <w:pStyle w:val="PIEXPLAIN"/>
        <w:keepLines/>
        <w:tabs>
          <w:tab w:val="clear" w:pos="-720"/>
        </w:tabs>
        <w:suppressAutoHyphens w:val="0"/>
        <w:rPr>
          <w:rFonts w:cs="Arial"/>
          <w:i/>
          <w:spacing w:val="0"/>
        </w:rPr>
      </w:pPr>
      <w:r w:rsidRPr="00A45996">
        <w:rPr>
          <w:rFonts w:cs="Arial"/>
          <w:i/>
          <w:spacing w:val="0"/>
        </w:rPr>
        <w:t>Results from the GIMEMA and IFM2005 studies</w:t>
      </w:r>
    </w:p>
    <w:p w:rsidR="00326C73" w:rsidRPr="00A45996" w:rsidRDefault="00326C73" w:rsidP="00326C73">
      <w:pPr>
        <w:pStyle w:val="PIEXPLAIN"/>
        <w:keepLines/>
        <w:tabs>
          <w:tab w:val="clear" w:pos="-720"/>
        </w:tabs>
        <w:suppressAutoHyphens w:val="0"/>
        <w:rPr>
          <w:rFonts w:cs="Arial"/>
          <w:spacing w:val="0"/>
        </w:rPr>
      </w:pPr>
      <w:r w:rsidRPr="00A45996">
        <w:rPr>
          <w:rFonts w:cs="Arial"/>
          <w:spacing w:val="0"/>
        </w:rPr>
        <w:t xml:space="preserve">The following table describes the safety data from the GIMEMA and IFM2005 studies in patients with previously untreated multiple myeloma who were eligible for autologous stem cell transplantation, and received VELCADE </w:t>
      </w:r>
      <w:r w:rsidR="002276F4" w:rsidRPr="00A45996">
        <w:rPr>
          <w:rFonts w:cs="Arial"/>
          <w:spacing w:val="0"/>
        </w:rPr>
        <w:t xml:space="preserve">IV </w:t>
      </w:r>
      <w:r w:rsidRPr="00A45996">
        <w:rPr>
          <w:rFonts w:cs="Arial"/>
          <w:spacing w:val="0"/>
        </w:rPr>
        <w:t>(1.3 mg/m</w:t>
      </w:r>
      <w:r w:rsidRPr="00A45996">
        <w:rPr>
          <w:rFonts w:cs="Arial"/>
          <w:spacing w:val="0"/>
          <w:vertAlign w:val="superscript"/>
        </w:rPr>
        <w:t>2</w:t>
      </w:r>
      <w:r w:rsidRPr="00A45996">
        <w:rPr>
          <w:rFonts w:cs="Arial"/>
          <w:spacing w:val="0"/>
        </w:rPr>
        <w:t>) in combination with thalidomide (100 mg, then 200 mg) and dexamethasone (40 mg) in the GIMEMA study, or dexamethasone (40 mg) in the IFM2005 study.</w:t>
      </w:r>
    </w:p>
    <w:p w:rsidR="00DA1B27" w:rsidRPr="00A45996" w:rsidRDefault="00DA1B27" w:rsidP="00326C73">
      <w:pPr>
        <w:pStyle w:val="PIEXPLAIN"/>
        <w:keepLines/>
        <w:tabs>
          <w:tab w:val="clear" w:pos="-720"/>
        </w:tabs>
        <w:suppressAutoHyphens w:val="0"/>
        <w:rPr>
          <w:rFonts w:cs="Arial"/>
          <w:spacing w:val="0"/>
        </w:rPr>
      </w:pPr>
    </w:p>
    <w:p w:rsidR="00326C73" w:rsidRPr="00A45996" w:rsidRDefault="00326C73" w:rsidP="00326C73">
      <w:pPr>
        <w:pStyle w:val="PIEXPLAIN"/>
        <w:keepLines/>
        <w:tabs>
          <w:tab w:val="clear" w:pos="-720"/>
        </w:tabs>
        <w:suppressAutoHyphens w:val="0"/>
        <w:rPr>
          <w:rFonts w:cs="Arial"/>
          <w:b/>
          <w:spacing w:val="0"/>
          <w:sz w:val="20"/>
        </w:rPr>
      </w:pPr>
      <w:r w:rsidRPr="00A45996">
        <w:rPr>
          <w:rFonts w:cs="Arial"/>
          <w:b/>
          <w:spacing w:val="0"/>
          <w:sz w:val="20"/>
        </w:rPr>
        <w:t xml:space="preserve">Table </w:t>
      </w:r>
      <w:r w:rsidR="007B3AD3" w:rsidRPr="00A45996">
        <w:rPr>
          <w:rFonts w:cs="Arial"/>
          <w:b/>
          <w:spacing w:val="0"/>
          <w:sz w:val="20"/>
        </w:rPr>
        <w:t>14</w:t>
      </w:r>
      <w:r w:rsidRPr="00A45996">
        <w:rPr>
          <w:rFonts w:cs="Arial"/>
          <w:b/>
          <w:spacing w:val="0"/>
          <w:sz w:val="20"/>
        </w:rPr>
        <w:t xml:space="preserve">: </w:t>
      </w:r>
      <w:r w:rsidRPr="00A45996">
        <w:rPr>
          <w:b/>
          <w:sz w:val="20"/>
        </w:rPr>
        <w:t>Adverse events (Grade III/IV) following induction in randomised, controlled studies GIMEMA and IFM2005</w:t>
      </w:r>
    </w:p>
    <w:tbl>
      <w:tblPr>
        <w:tblW w:w="9180" w:type="dxa"/>
        <w:tblLook w:val="01E0" w:firstRow="1" w:lastRow="1" w:firstColumn="1" w:lastColumn="1" w:noHBand="0" w:noVBand="0"/>
      </w:tblPr>
      <w:tblGrid>
        <w:gridCol w:w="4150"/>
        <w:gridCol w:w="1203"/>
        <w:gridCol w:w="1276"/>
        <w:gridCol w:w="1276"/>
        <w:gridCol w:w="1275"/>
      </w:tblGrid>
      <w:tr w:rsidR="00326C73" w:rsidRPr="00A45996" w:rsidTr="00326C73">
        <w:tc>
          <w:tcPr>
            <w:tcW w:w="0" w:type="auto"/>
            <w:tcBorders>
              <w:top w:val="single" w:sz="4" w:space="0" w:color="auto"/>
              <w:bottom w:val="single" w:sz="4" w:space="0" w:color="auto"/>
            </w:tcBorders>
          </w:tcPr>
          <w:p w:rsidR="00326C73" w:rsidRPr="00A45996" w:rsidRDefault="00326C73" w:rsidP="00326C73">
            <w:pPr>
              <w:pStyle w:val="TableText0"/>
              <w:rPr>
                <w:rFonts w:cs="Arial"/>
                <w:b/>
                <w:sz w:val="18"/>
                <w:szCs w:val="18"/>
              </w:rPr>
            </w:pPr>
            <w:r w:rsidRPr="00A45996">
              <w:rPr>
                <w:rFonts w:cs="Arial"/>
                <w:b/>
                <w:sz w:val="18"/>
                <w:szCs w:val="18"/>
              </w:rPr>
              <w:t>Adverse event, n (%)</w:t>
            </w:r>
          </w:p>
        </w:tc>
        <w:tc>
          <w:tcPr>
            <w:tcW w:w="2479" w:type="dxa"/>
            <w:gridSpan w:val="2"/>
            <w:tcBorders>
              <w:top w:val="single" w:sz="4" w:space="0" w:color="auto"/>
              <w:bottom w:val="single" w:sz="4" w:space="0" w:color="auto"/>
            </w:tcBorders>
          </w:tcPr>
          <w:p w:rsidR="00326C73" w:rsidRPr="00A45996" w:rsidRDefault="00326C73" w:rsidP="00326C73">
            <w:pPr>
              <w:pStyle w:val="TableText0"/>
              <w:jc w:val="center"/>
              <w:rPr>
                <w:rFonts w:cs="Arial"/>
                <w:b/>
                <w:sz w:val="18"/>
                <w:szCs w:val="18"/>
              </w:rPr>
            </w:pPr>
            <w:r w:rsidRPr="00A45996">
              <w:rPr>
                <w:rFonts w:cs="Arial"/>
                <w:b/>
                <w:sz w:val="18"/>
                <w:szCs w:val="18"/>
              </w:rPr>
              <w:t>GIMEMA</w:t>
            </w:r>
          </w:p>
        </w:tc>
        <w:tc>
          <w:tcPr>
            <w:tcW w:w="2551" w:type="dxa"/>
            <w:gridSpan w:val="2"/>
            <w:tcBorders>
              <w:top w:val="single" w:sz="4" w:space="0" w:color="auto"/>
              <w:bottom w:val="single" w:sz="4" w:space="0" w:color="auto"/>
            </w:tcBorders>
          </w:tcPr>
          <w:p w:rsidR="00326C73" w:rsidRPr="00A45996" w:rsidRDefault="00326C73" w:rsidP="00326C73">
            <w:pPr>
              <w:pStyle w:val="TableText0"/>
              <w:jc w:val="center"/>
              <w:rPr>
                <w:rFonts w:cs="Arial"/>
                <w:b/>
                <w:sz w:val="18"/>
                <w:szCs w:val="18"/>
              </w:rPr>
            </w:pPr>
            <w:r w:rsidRPr="00A45996">
              <w:rPr>
                <w:rFonts w:cs="Arial"/>
                <w:b/>
                <w:sz w:val="18"/>
                <w:szCs w:val="18"/>
              </w:rPr>
              <w:t>IFM2005</w:t>
            </w:r>
          </w:p>
        </w:tc>
      </w:tr>
      <w:tr w:rsidR="00326C73" w:rsidRPr="00A45996" w:rsidTr="00326C73">
        <w:tc>
          <w:tcPr>
            <w:tcW w:w="0" w:type="auto"/>
            <w:tcBorders>
              <w:top w:val="single" w:sz="4" w:space="0" w:color="auto"/>
              <w:bottom w:val="single" w:sz="4" w:space="0" w:color="auto"/>
            </w:tcBorders>
          </w:tcPr>
          <w:p w:rsidR="00326C73" w:rsidRPr="00A45996" w:rsidRDefault="00326C73" w:rsidP="00326C73">
            <w:pPr>
              <w:pStyle w:val="TableText0"/>
              <w:rPr>
                <w:rFonts w:cs="Arial"/>
                <w:sz w:val="18"/>
                <w:szCs w:val="18"/>
              </w:rPr>
            </w:pPr>
          </w:p>
        </w:tc>
        <w:tc>
          <w:tcPr>
            <w:tcW w:w="1203" w:type="dxa"/>
            <w:tcBorders>
              <w:top w:val="single" w:sz="4" w:space="0" w:color="auto"/>
              <w:bottom w:val="single" w:sz="4" w:space="0" w:color="auto"/>
            </w:tcBorders>
          </w:tcPr>
          <w:p w:rsidR="00326C73" w:rsidRPr="00A45996" w:rsidRDefault="00326C73" w:rsidP="00326C73">
            <w:pPr>
              <w:pStyle w:val="TableText0"/>
              <w:jc w:val="center"/>
              <w:rPr>
                <w:rFonts w:cs="Arial"/>
                <w:sz w:val="18"/>
                <w:szCs w:val="18"/>
              </w:rPr>
            </w:pPr>
            <w:proofErr w:type="spellStart"/>
            <w:r w:rsidRPr="00A45996">
              <w:rPr>
                <w:rFonts w:cs="Arial"/>
                <w:sz w:val="18"/>
                <w:szCs w:val="18"/>
              </w:rPr>
              <w:t>VcTD</w:t>
            </w:r>
            <w:proofErr w:type="spellEnd"/>
          </w:p>
          <w:p w:rsidR="00326C73" w:rsidRPr="00A45996" w:rsidRDefault="00326C73" w:rsidP="00326C73">
            <w:pPr>
              <w:pStyle w:val="TableText0"/>
              <w:jc w:val="center"/>
              <w:rPr>
                <w:rFonts w:cs="Arial"/>
                <w:sz w:val="18"/>
                <w:szCs w:val="18"/>
              </w:rPr>
            </w:pPr>
            <w:r w:rsidRPr="00A45996">
              <w:rPr>
                <w:rFonts w:cs="Arial"/>
                <w:sz w:val="18"/>
                <w:szCs w:val="18"/>
              </w:rPr>
              <w:t>n=236</w:t>
            </w:r>
          </w:p>
        </w:tc>
        <w:tc>
          <w:tcPr>
            <w:tcW w:w="1276" w:type="dxa"/>
            <w:tcBorders>
              <w:top w:val="single" w:sz="4" w:space="0" w:color="auto"/>
              <w:bottom w:val="single" w:sz="4" w:space="0" w:color="auto"/>
            </w:tcBorders>
          </w:tcPr>
          <w:p w:rsidR="00326C73" w:rsidRPr="00A45996" w:rsidRDefault="00326C73" w:rsidP="00326C73">
            <w:pPr>
              <w:pStyle w:val="TableText0"/>
              <w:jc w:val="center"/>
              <w:rPr>
                <w:rFonts w:cs="Arial"/>
                <w:sz w:val="18"/>
                <w:szCs w:val="18"/>
              </w:rPr>
            </w:pPr>
            <w:r w:rsidRPr="00A45996">
              <w:rPr>
                <w:rFonts w:cs="Arial"/>
                <w:sz w:val="18"/>
                <w:szCs w:val="18"/>
              </w:rPr>
              <w:t>TD</w:t>
            </w:r>
          </w:p>
          <w:p w:rsidR="00326C73" w:rsidRPr="00A45996" w:rsidRDefault="00326C73" w:rsidP="00326C73">
            <w:pPr>
              <w:pStyle w:val="TableText0"/>
              <w:jc w:val="center"/>
              <w:rPr>
                <w:rFonts w:cs="Arial"/>
                <w:sz w:val="18"/>
                <w:szCs w:val="18"/>
              </w:rPr>
            </w:pPr>
            <w:r w:rsidRPr="00A45996">
              <w:rPr>
                <w:rFonts w:cs="Arial"/>
                <w:sz w:val="18"/>
                <w:szCs w:val="18"/>
              </w:rPr>
              <w:t>n=238</w:t>
            </w:r>
          </w:p>
        </w:tc>
        <w:tc>
          <w:tcPr>
            <w:tcW w:w="1276" w:type="dxa"/>
            <w:tcBorders>
              <w:top w:val="single" w:sz="4" w:space="0" w:color="auto"/>
              <w:bottom w:val="single" w:sz="4" w:space="0" w:color="auto"/>
            </w:tcBorders>
          </w:tcPr>
          <w:p w:rsidR="00326C73" w:rsidRPr="00A45996" w:rsidRDefault="00326C73" w:rsidP="00326C73">
            <w:pPr>
              <w:pStyle w:val="TableText0"/>
              <w:jc w:val="center"/>
              <w:rPr>
                <w:rFonts w:cs="Arial"/>
                <w:sz w:val="18"/>
                <w:szCs w:val="18"/>
              </w:rPr>
            </w:pPr>
            <w:proofErr w:type="spellStart"/>
            <w:r w:rsidRPr="00A45996">
              <w:rPr>
                <w:rFonts w:cs="Arial"/>
                <w:sz w:val="18"/>
                <w:szCs w:val="18"/>
              </w:rPr>
              <w:t>VcD</w:t>
            </w:r>
            <w:proofErr w:type="spellEnd"/>
          </w:p>
          <w:p w:rsidR="00326C73" w:rsidRPr="00A45996" w:rsidRDefault="00326C73" w:rsidP="00326C73">
            <w:pPr>
              <w:pStyle w:val="TableText0"/>
              <w:jc w:val="center"/>
              <w:rPr>
                <w:rFonts w:cs="Arial"/>
                <w:sz w:val="18"/>
                <w:szCs w:val="18"/>
              </w:rPr>
            </w:pPr>
            <w:r w:rsidRPr="00A45996">
              <w:rPr>
                <w:rFonts w:cs="Arial"/>
                <w:sz w:val="18"/>
                <w:szCs w:val="18"/>
              </w:rPr>
              <w:t>n=239</w:t>
            </w:r>
          </w:p>
        </w:tc>
        <w:tc>
          <w:tcPr>
            <w:tcW w:w="1275" w:type="dxa"/>
            <w:tcBorders>
              <w:top w:val="single" w:sz="4" w:space="0" w:color="auto"/>
              <w:bottom w:val="single" w:sz="4" w:space="0" w:color="auto"/>
            </w:tcBorders>
          </w:tcPr>
          <w:p w:rsidR="00326C73" w:rsidRPr="00A45996" w:rsidRDefault="00326C73" w:rsidP="00326C73">
            <w:pPr>
              <w:pStyle w:val="TableText0"/>
              <w:jc w:val="center"/>
              <w:rPr>
                <w:rFonts w:cs="Arial"/>
                <w:sz w:val="18"/>
                <w:szCs w:val="18"/>
              </w:rPr>
            </w:pPr>
            <w:r w:rsidRPr="00A45996">
              <w:rPr>
                <w:rFonts w:cs="Arial"/>
                <w:sz w:val="18"/>
                <w:szCs w:val="18"/>
              </w:rPr>
              <w:t>VAD</w:t>
            </w:r>
          </w:p>
          <w:p w:rsidR="00326C73" w:rsidRPr="00A45996" w:rsidRDefault="00326C73" w:rsidP="00326C73">
            <w:pPr>
              <w:pStyle w:val="TableText0"/>
              <w:jc w:val="center"/>
              <w:rPr>
                <w:rFonts w:cs="Arial"/>
                <w:sz w:val="18"/>
                <w:szCs w:val="18"/>
              </w:rPr>
            </w:pPr>
            <w:r w:rsidRPr="00A45996">
              <w:rPr>
                <w:rFonts w:cs="Arial"/>
                <w:sz w:val="18"/>
                <w:szCs w:val="18"/>
              </w:rPr>
              <w:t>n=239</w:t>
            </w:r>
          </w:p>
        </w:tc>
      </w:tr>
      <w:tr w:rsidR="00326C73" w:rsidRPr="00A45996" w:rsidTr="00326C73">
        <w:tc>
          <w:tcPr>
            <w:tcW w:w="0" w:type="auto"/>
            <w:tcBorders>
              <w:top w:val="single" w:sz="4" w:space="0" w:color="auto"/>
            </w:tcBorders>
          </w:tcPr>
          <w:p w:rsidR="00326C73" w:rsidRPr="00A45996" w:rsidRDefault="00326C73" w:rsidP="00326C73">
            <w:pPr>
              <w:pStyle w:val="TableText0"/>
              <w:rPr>
                <w:rFonts w:cs="Arial"/>
                <w:sz w:val="18"/>
                <w:szCs w:val="18"/>
              </w:rPr>
            </w:pPr>
            <w:r w:rsidRPr="00A45996">
              <w:rPr>
                <w:rFonts w:cs="Arial"/>
                <w:sz w:val="18"/>
                <w:szCs w:val="18"/>
              </w:rPr>
              <w:t>Any adverse event</w:t>
            </w:r>
          </w:p>
        </w:tc>
        <w:tc>
          <w:tcPr>
            <w:tcW w:w="1203" w:type="dxa"/>
            <w:tcBorders>
              <w:top w:val="single" w:sz="4" w:space="0" w:color="auto"/>
            </w:tcBorders>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Borders>
              <w:top w:val="single" w:sz="4" w:space="0" w:color="auto"/>
            </w:tcBorders>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Borders>
              <w:top w:val="single" w:sz="4" w:space="0" w:color="auto"/>
            </w:tcBorders>
          </w:tcPr>
          <w:p w:rsidR="00326C73" w:rsidRPr="00A45996" w:rsidRDefault="00326C73" w:rsidP="00326C73">
            <w:pPr>
              <w:pStyle w:val="TableText0"/>
              <w:jc w:val="center"/>
              <w:rPr>
                <w:rFonts w:cs="Arial"/>
                <w:sz w:val="18"/>
                <w:szCs w:val="18"/>
              </w:rPr>
            </w:pPr>
            <w:r w:rsidRPr="00A45996">
              <w:rPr>
                <w:rFonts w:cs="Arial"/>
                <w:sz w:val="18"/>
                <w:szCs w:val="18"/>
              </w:rPr>
              <w:t>231 (96.7)*</w:t>
            </w:r>
          </w:p>
        </w:tc>
        <w:tc>
          <w:tcPr>
            <w:tcW w:w="1275" w:type="dxa"/>
            <w:tcBorders>
              <w:top w:val="single" w:sz="4" w:space="0" w:color="auto"/>
            </w:tcBorders>
          </w:tcPr>
          <w:p w:rsidR="00326C73" w:rsidRPr="00A45996" w:rsidRDefault="00326C73" w:rsidP="00326C73">
            <w:pPr>
              <w:pStyle w:val="TableText0"/>
              <w:jc w:val="center"/>
              <w:rPr>
                <w:rFonts w:cs="Arial"/>
                <w:sz w:val="18"/>
                <w:szCs w:val="18"/>
              </w:rPr>
            </w:pPr>
            <w:r w:rsidRPr="00A45996">
              <w:rPr>
                <w:rFonts w:cs="Arial"/>
                <w:sz w:val="18"/>
                <w:szCs w:val="18"/>
              </w:rPr>
              <w:t>219 (91.6)*</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Any serious adverse event</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31 (13.1)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30 (12.6)</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65 (27.2)</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81 (33.9)</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Any grade 3 or 4 adverse event</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132 (55.9)</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79 (33.1)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112 (46.9)</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110 (46.0)</w:t>
            </w:r>
          </w:p>
        </w:tc>
      </w:tr>
      <w:tr w:rsidR="00326C73" w:rsidRPr="00A45996" w:rsidTr="00326C73">
        <w:tc>
          <w:tcPr>
            <w:tcW w:w="0" w:type="auto"/>
          </w:tcPr>
          <w:p w:rsidR="00326C73" w:rsidRPr="00A45996" w:rsidRDefault="00326C73" w:rsidP="00326C73">
            <w:pPr>
              <w:pStyle w:val="TableText0"/>
              <w:rPr>
                <w:rFonts w:cs="Arial"/>
                <w:b/>
                <w:sz w:val="18"/>
                <w:szCs w:val="18"/>
              </w:rPr>
            </w:pPr>
            <w:r w:rsidRPr="00A45996">
              <w:rPr>
                <w:rFonts w:cs="Arial"/>
                <w:b/>
                <w:sz w:val="18"/>
                <w:szCs w:val="18"/>
              </w:rPr>
              <w:t>Any grade 3 or 4 non-</w:t>
            </w:r>
            <w:proofErr w:type="spellStart"/>
            <w:r w:rsidRPr="00A45996">
              <w:rPr>
                <w:rFonts w:cs="Arial"/>
                <w:b/>
                <w:sz w:val="18"/>
                <w:szCs w:val="18"/>
              </w:rPr>
              <w:t>haematologic</w:t>
            </w:r>
            <w:proofErr w:type="spellEnd"/>
            <w:r w:rsidRPr="00A45996">
              <w:rPr>
                <w:rFonts w:cs="Arial"/>
                <w:b/>
                <w:sz w:val="18"/>
                <w:szCs w:val="18"/>
              </w:rPr>
              <w:t xml:space="preserve"> adverse event</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120 (50.8)</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73 (30.6)</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Skin rash</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24 (10.1)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4 (1.6)</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Peripheral neuropathy</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23 (9.7)</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5 (2.1)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17 (7.1)</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5 (2.1)</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Deep vein thrombosis</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8 (3.3)</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12 (5.0)</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Constipation</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10 (4.2)</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7 (2.9)</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Infections</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21 (8.8)</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29 (12.1)</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Infections excluding herpes zoster</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7 (2.9)</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11 (4.6)</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Herpes zoster (all grades)</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22 (9.2)</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5 (2.1)</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Gastrointestinal events (excluding constipation where individually reported)</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5 (2.1)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 (0.4)</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Cardiac toxicity</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5 (2.1)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5 (2.1)</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Liver toxicity</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4 (1.6)</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7 (2.9)</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Fatigue (all grades)</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68 (28.5)</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50 (20.9)</w:t>
            </w:r>
          </w:p>
        </w:tc>
      </w:tr>
      <w:tr w:rsidR="00326C73" w:rsidRPr="00A45996" w:rsidTr="00326C73">
        <w:tc>
          <w:tcPr>
            <w:tcW w:w="0" w:type="auto"/>
          </w:tcPr>
          <w:p w:rsidR="00326C73" w:rsidRPr="00A45996" w:rsidRDefault="00326C73" w:rsidP="00326C73">
            <w:pPr>
              <w:pStyle w:val="TableText0"/>
              <w:rPr>
                <w:rFonts w:cs="Arial"/>
                <w:sz w:val="18"/>
                <w:szCs w:val="18"/>
              </w:rPr>
            </w:pPr>
          </w:p>
          <w:p w:rsidR="00326C73" w:rsidRPr="00A45996" w:rsidRDefault="00326C73" w:rsidP="00326C73">
            <w:pPr>
              <w:rPr>
                <w:sz w:val="18"/>
                <w:szCs w:val="18"/>
              </w:rPr>
            </w:pPr>
            <w:r w:rsidRPr="00A45996">
              <w:t xml:space="preserve">  </w:t>
            </w:r>
            <w:r w:rsidRPr="00A45996">
              <w:rPr>
                <w:sz w:val="18"/>
                <w:szCs w:val="18"/>
              </w:rPr>
              <w:t>Oedema (all grades)</w:t>
            </w:r>
          </w:p>
        </w:tc>
        <w:tc>
          <w:tcPr>
            <w:tcW w:w="1203" w:type="dxa"/>
          </w:tcPr>
          <w:p w:rsidR="00326C73" w:rsidRPr="00A45996" w:rsidRDefault="00326C73" w:rsidP="00326C73">
            <w:pPr>
              <w:pStyle w:val="TableText0"/>
              <w:jc w:val="center"/>
              <w:rPr>
                <w:rFonts w:cs="Arial"/>
                <w:sz w:val="18"/>
                <w:szCs w:val="18"/>
              </w:rPr>
            </w:pPr>
          </w:p>
          <w:p w:rsidR="00326C73" w:rsidRPr="00A45996" w:rsidRDefault="00326C73" w:rsidP="00326C73">
            <w:pPr>
              <w:rPr>
                <w:sz w:val="18"/>
                <w:szCs w:val="18"/>
              </w:rPr>
            </w:pPr>
            <w:r w:rsidRPr="00A45996">
              <w:rPr>
                <w:sz w:val="18"/>
                <w:szCs w:val="18"/>
              </w:rPr>
              <w:t xml:space="preserve">        25 (11)</w:t>
            </w:r>
          </w:p>
        </w:tc>
        <w:tc>
          <w:tcPr>
            <w:tcW w:w="1276" w:type="dxa"/>
          </w:tcPr>
          <w:p w:rsidR="00326C73" w:rsidRPr="00A45996" w:rsidRDefault="00326C73" w:rsidP="00326C73">
            <w:pPr>
              <w:pStyle w:val="TableText0"/>
              <w:jc w:val="center"/>
              <w:rPr>
                <w:rFonts w:cs="Arial"/>
                <w:sz w:val="18"/>
                <w:szCs w:val="18"/>
              </w:rPr>
            </w:pPr>
          </w:p>
          <w:p w:rsidR="00326C73" w:rsidRPr="00A45996" w:rsidRDefault="00326C73" w:rsidP="00326C73">
            <w:pPr>
              <w:rPr>
                <w:sz w:val="18"/>
                <w:szCs w:val="18"/>
              </w:rPr>
            </w:pPr>
            <w:r w:rsidRPr="00A45996">
              <w:rPr>
                <w:sz w:val="18"/>
                <w:szCs w:val="18"/>
              </w:rPr>
              <w:t xml:space="preserve">         13 (5)</w:t>
            </w:r>
          </w:p>
        </w:tc>
        <w:tc>
          <w:tcPr>
            <w:tcW w:w="1276" w:type="dxa"/>
          </w:tcPr>
          <w:p w:rsidR="00326C73" w:rsidRPr="00A45996" w:rsidRDefault="00326C73" w:rsidP="00326C73">
            <w:pPr>
              <w:pStyle w:val="TableText0"/>
              <w:jc w:val="center"/>
              <w:rPr>
                <w:rFonts w:cs="Arial"/>
                <w:sz w:val="18"/>
                <w:szCs w:val="18"/>
              </w:rPr>
            </w:pPr>
          </w:p>
        </w:tc>
        <w:tc>
          <w:tcPr>
            <w:tcW w:w="1275" w:type="dxa"/>
          </w:tcPr>
          <w:p w:rsidR="00326C73" w:rsidRPr="00A45996" w:rsidRDefault="00326C73" w:rsidP="00326C73">
            <w:pPr>
              <w:pStyle w:val="TableText0"/>
              <w:jc w:val="center"/>
              <w:rPr>
                <w:rFonts w:cs="Arial"/>
                <w:sz w:val="18"/>
                <w:szCs w:val="18"/>
              </w:rPr>
            </w:pPr>
          </w:p>
          <w:p w:rsidR="00326C73" w:rsidRPr="00A45996" w:rsidRDefault="00326C73" w:rsidP="00326C73">
            <w:pPr>
              <w:pStyle w:val="TableText0"/>
              <w:jc w:val="center"/>
              <w:rPr>
                <w:rFonts w:cs="Arial"/>
                <w:sz w:val="18"/>
                <w:szCs w:val="18"/>
              </w:rPr>
            </w:pP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b/>
                <w:sz w:val="18"/>
                <w:szCs w:val="18"/>
              </w:rPr>
              <w:t xml:space="preserve">Any grade 3 or 4 </w:t>
            </w:r>
            <w:proofErr w:type="spellStart"/>
            <w:r w:rsidRPr="00A45996">
              <w:rPr>
                <w:rFonts w:cs="Arial"/>
                <w:b/>
                <w:sz w:val="18"/>
                <w:szCs w:val="18"/>
              </w:rPr>
              <w:t>haematologic</w:t>
            </w:r>
            <w:proofErr w:type="spellEnd"/>
            <w:r w:rsidRPr="00A45996">
              <w:rPr>
                <w:rFonts w:cs="Arial"/>
                <w:b/>
                <w:sz w:val="18"/>
                <w:szCs w:val="18"/>
              </w:rPr>
              <w:t xml:space="preserve"> adverse event</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nr</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Anaemia</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10 (4.2)*</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21 (8.8)*</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w:t>
            </w:r>
            <w:proofErr w:type="spellStart"/>
            <w:r w:rsidRPr="00A45996">
              <w:rPr>
                <w:rFonts w:cs="Arial"/>
                <w:sz w:val="18"/>
                <w:szCs w:val="18"/>
              </w:rPr>
              <w:t>Neutropaenia</w:t>
            </w:r>
            <w:proofErr w:type="spellEnd"/>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12 (5.0)*</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24 (10.0)*</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Thrombocytopenia</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7 (2.9)</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3 (1.3)</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 xml:space="preserve">   Thrombosis</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nr</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4 (1.7)*</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13 (5.4)*</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Discontinued during or after induction therapy</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13 (5.5)</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26 (10.9)</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44 (18.4)</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32 (13.4)</w:t>
            </w:r>
          </w:p>
        </w:tc>
      </w:tr>
      <w:tr w:rsidR="00326C73" w:rsidRPr="00A45996" w:rsidTr="00326C73">
        <w:tc>
          <w:tcPr>
            <w:tcW w:w="0" w:type="auto"/>
          </w:tcPr>
          <w:p w:rsidR="00326C73" w:rsidRPr="00A45996" w:rsidRDefault="00326C73" w:rsidP="00326C73">
            <w:pPr>
              <w:pStyle w:val="TableText0"/>
              <w:rPr>
                <w:rFonts w:cs="Arial"/>
                <w:sz w:val="18"/>
                <w:szCs w:val="18"/>
              </w:rPr>
            </w:pPr>
            <w:r w:rsidRPr="00A45996">
              <w:rPr>
                <w:rFonts w:cs="Arial"/>
                <w:sz w:val="18"/>
                <w:szCs w:val="18"/>
              </w:rPr>
              <w:t>Adverse event leading to death</w:t>
            </w:r>
          </w:p>
        </w:tc>
        <w:tc>
          <w:tcPr>
            <w:tcW w:w="1203" w:type="dxa"/>
          </w:tcPr>
          <w:p w:rsidR="00326C73" w:rsidRPr="00A45996" w:rsidRDefault="00326C73" w:rsidP="00326C73">
            <w:pPr>
              <w:pStyle w:val="TableText0"/>
              <w:jc w:val="center"/>
              <w:rPr>
                <w:rFonts w:cs="Arial"/>
                <w:sz w:val="18"/>
                <w:szCs w:val="18"/>
              </w:rPr>
            </w:pPr>
            <w:r w:rsidRPr="00A45996">
              <w:rPr>
                <w:rFonts w:cs="Arial"/>
                <w:sz w:val="18"/>
                <w:szCs w:val="18"/>
              </w:rPr>
              <w:t>1 (0.4)</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0 (0)</w:t>
            </w:r>
          </w:p>
        </w:tc>
        <w:tc>
          <w:tcPr>
            <w:tcW w:w="1276" w:type="dxa"/>
          </w:tcPr>
          <w:p w:rsidR="00326C73" w:rsidRPr="00A45996" w:rsidRDefault="00326C73" w:rsidP="00326C73">
            <w:pPr>
              <w:pStyle w:val="TableText0"/>
              <w:jc w:val="center"/>
              <w:rPr>
                <w:rFonts w:cs="Arial"/>
                <w:sz w:val="18"/>
                <w:szCs w:val="18"/>
              </w:rPr>
            </w:pPr>
            <w:r w:rsidRPr="00A45996">
              <w:rPr>
                <w:rFonts w:cs="Arial"/>
                <w:sz w:val="18"/>
                <w:szCs w:val="18"/>
              </w:rPr>
              <w:t>0 (0)*</w:t>
            </w:r>
          </w:p>
        </w:tc>
        <w:tc>
          <w:tcPr>
            <w:tcW w:w="1275" w:type="dxa"/>
          </w:tcPr>
          <w:p w:rsidR="00326C73" w:rsidRPr="00A45996" w:rsidRDefault="00326C73" w:rsidP="00326C73">
            <w:pPr>
              <w:pStyle w:val="TableText0"/>
              <w:jc w:val="center"/>
              <w:rPr>
                <w:rFonts w:cs="Arial"/>
                <w:sz w:val="18"/>
                <w:szCs w:val="18"/>
              </w:rPr>
            </w:pPr>
            <w:r w:rsidRPr="00A45996">
              <w:rPr>
                <w:rFonts w:cs="Arial"/>
                <w:sz w:val="18"/>
                <w:szCs w:val="18"/>
              </w:rPr>
              <w:t>7 (2.9)*</w:t>
            </w:r>
          </w:p>
        </w:tc>
      </w:tr>
    </w:tbl>
    <w:p w:rsidR="00326C73" w:rsidRPr="00A45996" w:rsidRDefault="00326C73" w:rsidP="00326C73">
      <w:pPr>
        <w:pStyle w:val="PIEXPLAIN"/>
        <w:keepLines/>
        <w:tabs>
          <w:tab w:val="clear" w:pos="-720"/>
        </w:tabs>
        <w:suppressAutoHyphens w:val="0"/>
        <w:jc w:val="left"/>
        <w:rPr>
          <w:rFonts w:cs="Arial"/>
          <w:sz w:val="16"/>
          <w:szCs w:val="16"/>
        </w:rPr>
      </w:pPr>
      <w:r w:rsidRPr="00A45996">
        <w:rPr>
          <w:rFonts w:cs="Arial"/>
          <w:sz w:val="16"/>
          <w:szCs w:val="16"/>
        </w:rPr>
        <w:t xml:space="preserve">* </w:t>
      </w:r>
      <w:proofErr w:type="gramStart"/>
      <w:r w:rsidRPr="00A45996">
        <w:rPr>
          <w:rFonts w:cs="Arial"/>
          <w:i/>
          <w:sz w:val="16"/>
          <w:szCs w:val="16"/>
        </w:rPr>
        <w:t>p</w:t>
      </w:r>
      <w:proofErr w:type="gramEnd"/>
      <w:r w:rsidRPr="00A45996">
        <w:rPr>
          <w:rFonts w:cs="Arial"/>
          <w:sz w:val="16"/>
          <w:szCs w:val="16"/>
        </w:rPr>
        <w:t xml:space="preserve"> &lt; 0.05 for comparison of AE rate between </w:t>
      </w:r>
      <w:proofErr w:type="spellStart"/>
      <w:r w:rsidRPr="00A45996">
        <w:rPr>
          <w:rFonts w:cs="Arial"/>
          <w:sz w:val="16"/>
          <w:szCs w:val="16"/>
        </w:rPr>
        <w:t>VcD</w:t>
      </w:r>
      <w:proofErr w:type="spellEnd"/>
      <w:r w:rsidRPr="00A45996">
        <w:rPr>
          <w:rFonts w:cs="Arial"/>
          <w:sz w:val="16"/>
          <w:szCs w:val="16"/>
        </w:rPr>
        <w:t xml:space="preserve"> and </w:t>
      </w:r>
      <w:proofErr w:type="spellStart"/>
      <w:r w:rsidRPr="00A45996">
        <w:rPr>
          <w:rFonts w:cs="Arial"/>
          <w:sz w:val="16"/>
          <w:szCs w:val="16"/>
        </w:rPr>
        <w:t>VAD</w:t>
      </w:r>
      <w:r w:rsidRPr="00A45996">
        <w:rPr>
          <w:rFonts w:cs="Arial"/>
          <w:spacing w:val="0"/>
          <w:sz w:val="16"/>
          <w:szCs w:val="16"/>
        </w:rPr>
        <w:t>VcTD</w:t>
      </w:r>
      <w:proofErr w:type="spellEnd"/>
      <w:r w:rsidRPr="00A45996">
        <w:rPr>
          <w:rFonts w:cs="Arial"/>
          <w:spacing w:val="0"/>
          <w:sz w:val="16"/>
          <w:szCs w:val="16"/>
        </w:rPr>
        <w:t xml:space="preserve">: VELCADE-thalidomide-dexamethasone; TD: thalidomide-dexamethasone; </w:t>
      </w:r>
      <w:proofErr w:type="spellStart"/>
      <w:r w:rsidRPr="00A45996">
        <w:rPr>
          <w:rFonts w:cs="Arial"/>
          <w:spacing w:val="0"/>
          <w:sz w:val="16"/>
          <w:szCs w:val="16"/>
        </w:rPr>
        <w:t>VcD</w:t>
      </w:r>
      <w:proofErr w:type="spellEnd"/>
      <w:r w:rsidRPr="00A45996">
        <w:rPr>
          <w:rFonts w:cs="Arial"/>
          <w:spacing w:val="0"/>
          <w:sz w:val="16"/>
          <w:szCs w:val="16"/>
        </w:rPr>
        <w:t>: VELCADE-dexamethasone; VAD: vincristine-</w:t>
      </w:r>
      <w:proofErr w:type="spellStart"/>
      <w:r w:rsidRPr="00A45996">
        <w:rPr>
          <w:rFonts w:cs="Arial"/>
          <w:spacing w:val="0"/>
          <w:sz w:val="16"/>
          <w:szCs w:val="16"/>
        </w:rPr>
        <w:t>doxorubicine</w:t>
      </w:r>
      <w:proofErr w:type="spellEnd"/>
      <w:r w:rsidRPr="00A45996">
        <w:rPr>
          <w:rFonts w:cs="Arial"/>
          <w:spacing w:val="0"/>
          <w:sz w:val="16"/>
          <w:szCs w:val="16"/>
        </w:rPr>
        <w:t>-dexamethasone.</w:t>
      </w:r>
    </w:p>
    <w:p w:rsidR="00B13221" w:rsidRPr="00A45996" w:rsidRDefault="00B13221" w:rsidP="00326C73">
      <w:pPr>
        <w:spacing w:before="20" w:after="80"/>
        <w:rPr>
          <w:iCs/>
          <w:snapToGrid w:val="0"/>
          <w:sz w:val="22"/>
        </w:rPr>
      </w:pPr>
    </w:p>
    <w:p w:rsidR="00326C73" w:rsidRPr="00A45996" w:rsidRDefault="00326C73" w:rsidP="00326C73">
      <w:pPr>
        <w:spacing w:before="20" w:after="80"/>
        <w:rPr>
          <w:iCs/>
          <w:snapToGrid w:val="0"/>
          <w:sz w:val="22"/>
        </w:rPr>
      </w:pPr>
      <w:r w:rsidRPr="00A45996">
        <w:rPr>
          <w:iCs/>
          <w:snapToGrid w:val="0"/>
          <w:sz w:val="22"/>
        </w:rPr>
        <w:t xml:space="preserve">During consolidation therapy of the GIMEMA study, grade 3-4 adverse events were similar to those reported during induction, although rates were much lower. Notably, the rate of grade 3-4 peripheral neuropathy was 1.2% with </w:t>
      </w:r>
      <w:proofErr w:type="spellStart"/>
      <w:r w:rsidRPr="00A45996">
        <w:rPr>
          <w:iCs/>
          <w:snapToGrid w:val="0"/>
          <w:sz w:val="22"/>
        </w:rPr>
        <w:t>VcTD</w:t>
      </w:r>
      <w:proofErr w:type="spellEnd"/>
      <w:r w:rsidRPr="00A45996">
        <w:rPr>
          <w:iCs/>
          <w:snapToGrid w:val="0"/>
          <w:sz w:val="22"/>
        </w:rPr>
        <w:t xml:space="preserve"> consolidation compared to 0% with TD consolidation.</w:t>
      </w:r>
    </w:p>
    <w:p w:rsidR="00326C73" w:rsidRPr="00A45996" w:rsidRDefault="00326C73" w:rsidP="00326C73">
      <w:pPr>
        <w:spacing w:before="20" w:after="80"/>
        <w:rPr>
          <w:i/>
          <w:iCs/>
          <w:snapToGrid w:val="0"/>
          <w:sz w:val="22"/>
        </w:rPr>
      </w:pPr>
      <w:r w:rsidRPr="00A45996">
        <w:rPr>
          <w:i/>
          <w:iCs/>
          <w:snapToGrid w:val="0"/>
          <w:sz w:val="22"/>
        </w:rPr>
        <w:t>Results from the VISTA study</w:t>
      </w:r>
    </w:p>
    <w:p w:rsidR="00B13221" w:rsidRPr="00A45996" w:rsidRDefault="00326C73" w:rsidP="00326C73">
      <w:pPr>
        <w:spacing w:before="20" w:after="80"/>
        <w:rPr>
          <w:iCs/>
          <w:sz w:val="22"/>
        </w:rPr>
      </w:pPr>
      <w:r w:rsidRPr="00A45996">
        <w:rPr>
          <w:iCs/>
          <w:snapToGrid w:val="0"/>
          <w:sz w:val="22"/>
        </w:rPr>
        <w:t xml:space="preserve">The following table describes safety data from the VISTA study in 340 patients with previously untreated multiple myeloma who received VELCADE </w:t>
      </w:r>
      <w:r w:rsidR="002276F4" w:rsidRPr="00A45996">
        <w:rPr>
          <w:iCs/>
          <w:snapToGrid w:val="0"/>
          <w:sz w:val="22"/>
        </w:rPr>
        <w:t xml:space="preserve">IV </w:t>
      </w:r>
      <w:r w:rsidRPr="00A45996">
        <w:rPr>
          <w:iCs/>
          <w:snapToGrid w:val="0"/>
          <w:sz w:val="22"/>
        </w:rPr>
        <w:t>(</w:t>
      </w:r>
      <w:r w:rsidRPr="00A45996">
        <w:rPr>
          <w:iCs/>
          <w:sz w:val="22"/>
        </w:rPr>
        <w:t>1.3 mg/m</w:t>
      </w:r>
      <w:r w:rsidRPr="00A45996">
        <w:rPr>
          <w:iCs/>
          <w:sz w:val="22"/>
          <w:vertAlign w:val="superscript"/>
        </w:rPr>
        <w:t>2</w:t>
      </w:r>
      <w:r w:rsidRPr="00A45996">
        <w:rPr>
          <w:iCs/>
          <w:snapToGrid w:val="0"/>
          <w:sz w:val="22"/>
        </w:rPr>
        <w:t xml:space="preserve">) in combination with </w:t>
      </w:r>
      <w:proofErr w:type="spellStart"/>
      <w:r w:rsidRPr="00A45996">
        <w:rPr>
          <w:iCs/>
          <w:snapToGrid w:val="0"/>
          <w:sz w:val="22"/>
        </w:rPr>
        <w:t>melphalan</w:t>
      </w:r>
      <w:proofErr w:type="spellEnd"/>
      <w:r w:rsidRPr="00A45996">
        <w:rPr>
          <w:iCs/>
          <w:snapToGrid w:val="0"/>
          <w:sz w:val="22"/>
        </w:rPr>
        <w:t xml:space="preserve"> (</w:t>
      </w:r>
      <w:r w:rsidRPr="00A45996">
        <w:rPr>
          <w:iCs/>
          <w:sz w:val="22"/>
        </w:rPr>
        <w:t>9 mg/m</w:t>
      </w:r>
      <w:r w:rsidRPr="00A45996">
        <w:rPr>
          <w:iCs/>
          <w:sz w:val="22"/>
          <w:vertAlign w:val="superscript"/>
        </w:rPr>
        <w:t>2</w:t>
      </w:r>
      <w:r w:rsidRPr="00A45996">
        <w:rPr>
          <w:iCs/>
          <w:snapToGrid w:val="0"/>
          <w:sz w:val="22"/>
        </w:rPr>
        <w:t>) and prednisone (</w:t>
      </w:r>
      <w:r w:rsidRPr="00A45996">
        <w:rPr>
          <w:iCs/>
          <w:sz w:val="22"/>
        </w:rPr>
        <w:t>60 mg/m</w:t>
      </w:r>
      <w:r w:rsidRPr="00A45996">
        <w:rPr>
          <w:iCs/>
          <w:sz w:val="22"/>
          <w:vertAlign w:val="superscript"/>
        </w:rPr>
        <w:t>2</w:t>
      </w:r>
      <w:r w:rsidRPr="00A45996">
        <w:rPr>
          <w:iCs/>
          <w:sz w:val="22"/>
        </w:rPr>
        <w:t>).</w:t>
      </w:r>
    </w:p>
    <w:p w:rsidR="00DA1B27" w:rsidRPr="00A45996" w:rsidRDefault="00DA1B27" w:rsidP="00326C73">
      <w:pPr>
        <w:spacing w:before="20" w:after="80"/>
        <w:rPr>
          <w:iCs/>
          <w:sz w:val="22"/>
        </w:rPr>
      </w:pPr>
    </w:p>
    <w:p w:rsidR="00326C73" w:rsidRPr="00A45996" w:rsidRDefault="00326C73" w:rsidP="00326C73">
      <w:pPr>
        <w:pStyle w:val="BodyTextIndent"/>
        <w:spacing w:before="20" w:after="80"/>
        <w:rPr>
          <w:rFonts w:ascii="Arial" w:hAnsi="Arial" w:cs="Arial"/>
          <w:b/>
          <w:bCs/>
          <w:sz w:val="20"/>
          <w:szCs w:val="20"/>
        </w:rPr>
      </w:pPr>
      <w:r w:rsidRPr="00A45996">
        <w:rPr>
          <w:rFonts w:ascii="Arial" w:hAnsi="Arial" w:cs="Arial"/>
          <w:b/>
          <w:bCs/>
          <w:sz w:val="20"/>
          <w:szCs w:val="20"/>
        </w:rPr>
        <w:lastRenderedPageBreak/>
        <w:t xml:space="preserve">Table </w:t>
      </w:r>
      <w:r w:rsidR="007B3AD3" w:rsidRPr="00A45996">
        <w:rPr>
          <w:rFonts w:ascii="Arial" w:hAnsi="Arial" w:cs="Arial"/>
          <w:b/>
          <w:bCs/>
          <w:sz w:val="20"/>
          <w:szCs w:val="20"/>
        </w:rPr>
        <w:t>15</w:t>
      </w:r>
      <w:r w:rsidRPr="00A45996">
        <w:rPr>
          <w:rFonts w:ascii="Arial" w:hAnsi="Arial" w:cs="Arial"/>
          <w:b/>
          <w:bCs/>
          <w:sz w:val="20"/>
          <w:szCs w:val="20"/>
        </w:rPr>
        <w:t xml:space="preserve">: </w:t>
      </w:r>
      <w:r w:rsidRPr="00A45996">
        <w:rPr>
          <w:rFonts w:ascii="Arial" w:hAnsi="Arial" w:cs="Arial"/>
          <w:b/>
          <w:sz w:val="20"/>
          <w:szCs w:val="20"/>
        </w:rPr>
        <w:t xml:space="preserve">Treatment Emergent Drug-Related Adverse Events reported in ≥ 10% of patients treated with VELCADE </w:t>
      </w:r>
      <w:r w:rsidR="002276F4" w:rsidRPr="00A45996">
        <w:rPr>
          <w:rFonts w:ascii="Arial" w:hAnsi="Arial" w:cs="Arial"/>
          <w:b/>
          <w:sz w:val="20"/>
          <w:szCs w:val="20"/>
        </w:rPr>
        <w:t xml:space="preserve">IV </w:t>
      </w:r>
      <w:r w:rsidRPr="00A45996">
        <w:rPr>
          <w:rFonts w:ascii="Arial" w:hAnsi="Arial" w:cs="Arial"/>
          <w:b/>
          <w:sz w:val="20"/>
          <w:szCs w:val="20"/>
        </w:rPr>
        <w:t xml:space="preserve">in combination with </w:t>
      </w:r>
      <w:proofErr w:type="spellStart"/>
      <w:r w:rsidRPr="00A45996">
        <w:rPr>
          <w:rFonts w:ascii="Arial" w:hAnsi="Arial" w:cs="Arial"/>
          <w:b/>
          <w:sz w:val="20"/>
          <w:szCs w:val="20"/>
        </w:rPr>
        <w:t>melphalan</w:t>
      </w:r>
      <w:proofErr w:type="spellEnd"/>
      <w:r w:rsidRPr="00A45996">
        <w:rPr>
          <w:rFonts w:ascii="Arial" w:hAnsi="Arial" w:cs="Arial"/>
          <w:b/>
          <w:sz w:val="20"/>
          <w:szCs w:val="20"/>
        </w:rPr>
        <w:t xml:space="preserve"> and prednisone</w:t>
      </w:r>
      <w:r w:rsidRPr="00A45996">
        <w:rPr>
          <w:rFonts w:ascii="Arial" w:hAnsi="Arial" w:cs="Arial"/>
          <w:b/>
          <w:bCs/>
          <w:sz w:val="20"/>
          <w:szCs w:val="20"/>
        </w:rPr>
        <w:t xml:space="preserve"> </w:t>
      </w:r>
    </w:p>
    <w:tbl>
      <w:tblPr>
        <w:tblW w:w="10301" w:type="dxa"/>
        <w:jc w:val="center"/>
        <w:tblInd w:w="8" w:type="dxa"/>
        <w:tblLayout w:type="fixed"/>
        <w:tblCellMar>
          <w:left w:w="0" w:type="dxa"/>
          <w:right w:w="0" w:type="dxa"/>
        </w:tblCellMar>
        <w:tblLook w:val="0000" w:firstRow="0" w:lastRow="0" w:firstColumn="0" w:lastColumn="0" w:noHBand="0" w:noVBand="0"/>
      </w:tblPr>
      <w:tblGrid>
        <w:gridCol w:w="4089"/>
        <w:gridCol w:w="872"/>
        <w:gridCol w:w="1030"/>
        <w:gridCol w:w="1030"/>
        <w:gridCol w:w="872"/>
        <w:gridCol w:w="1030"/>
        <w:gridCol w:w="1030"/>
        <w:gridCol w:w="348"/>
      </w:tblGrid>
      <w:tr w:rsidR="00326C73" w:rsidRPr="00A45996" w:rsidTr="00326C73">
        <w:trPr>
          <w:gridAfter w:val="1"/>
          <w:wAfter w:w="360" w:type="dxa"/>
          <w:tblHeade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p>
        </w:tc>
        <w:tc>
          <w:tcPr>
            <w:tcW w:w="3034" w:type="dxa"/>
            <w:gridSpan w:val="3"/>
            <w:tcBorders>
              <w:top w:val="single" w:sz="4" w:space="0" w:color="auto"/>
              <w:left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b/>
                <w:bCs/>
                <w:sz w:val="18"/>
                <w:szCs w:val="18"/>
              </w:rPr>
            </w:pPr>
            <w:r w:rsidRPr="00A45996">
              <w:rPr>
                <w:rFonts w:cs="Arial"/>
                <w:b/>
                <w:bCs/>
                <w:sz w:val="18"/>
                <w:szCs w:val="18"/>
              </w:rPr>
              <w:t xml:space="preserve">-------------- </w:t>
            </w:r>
            <w:proofErr w:type="spellStart"/>
            <w:r w:rsidRPr="00A45996">
              <w:rPr>
                <w:rFonts w:cs="Arial"/>
                <w:b/>
                <w:bCs/>
                <w:sz w:val="18"/>
                <w:szCs w:val="18"/>
              </w:rPr>
              <w:t>VcMP</w:t>
            </w:r>
            <w:proofErr w:type="spellEnd"/>
            <w:r w:rsidRPr="00A45996">
              <w:rPr>
                <w:rFonts w:cs="Arial"/>
                <w:b/>
                <w:bCs/>
                <w:sz w:val="18"/>
                <w:szCs w:val="18"/>
              </w:rPr>
              <w:t xml:space="preserve"> --------------</w:t>
            </w:r>
          </w:p>
        </w:tc>
        <w:tc>
          <w:tcPr>
            <w:tcW w:w="3034" w:type="dxa"/>
            <w:gridSpan w:val="3"/>
            <w:tcBorders>
              <w:top w:val="single" w:sz="4" w:space="0" w:color="auto"/>
              <w:left w:val="single" w:sz="4" w:space="0" w:color="auto"/>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b/>
                <w:bCs/>
                <w:sz w:val="18"/>
                <w:szCs w:val="18"/>
              </w:rPr>
            </w:pPr>
            <w:r w:rsidRPr="00A45996">
              <w:rPr>
                <w:rFonts w:cs="Arial"/>
                <w:b/>
                <w:bCs/>
                <w:sz w:val="18"/>
                <w:szCs w:val="18"/>
              </w:rPr>
              <w:t>---------------- MP ---------------</w:t>
            </w:r>
          </w:p>
        </w:tc>
      </w:tr>
      <w:tr w:rsidR="00326C73" w:rsidRPr="00A45996" w:rsidTr="00326C73">
        <w:trPr>
          <w:gridAfter w:val="1"/>
          <w:wAfter w:w="360" w:type="dxa"/>
          <w:tblHeade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p>
        </w:tc>
        <w:tc>
          <w:tcPr>
            <w:tcW w:w="3034" w:type="dxa"/>
            <w:gridSpan w:val="3"/>
            <w:tcBorders>
              <w:left w:val="single" w:sz="4" w:space="0" w:color="auto"/>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(n=340)</w:t>
            </w:r>
          </w:p>
        </w:tc>
        <w:tc>
          <w:tcPr>
            <w:tcW w:w="3034" w:type="dxa"/>
            <w:gridSpan w:val="3"/>
            <w:tcBorders>
              <w:top w:val="single" w:sz="4" w:space="0" w:color="auto"/>
              <w:left w:val="single" w:sz="4" w:space="0" w:color="auto"/>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(n=337)</w:t>
            </w:r>
          </w:p>
        </w:tc>
      </w:tr>
      <w:tr w:rsidR="00326C73" w:rsidRPr="00A45996" w:rsidTr="00326C73">
        <w:trPr>
          <w:gridAfter w:val="1"/>
          <w:wAfter w:w="360" w:type="dxa"/>
          <w:tblHeade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proofErr w:type="spellStart"/>
            <w:r w:rsidRPr="00A45996">
              <w:rPr>
                <w:rFonts w:cs="Arial"/>
                <w:b/>
                <w:bCs/>
                <w:sz w:val="18"/>
                <w:szCs w:val="18"/>
              </w:rPr>
              <w:t>MedDRA</w:t>
            </w:r>
            <w:proofErr w:type="spellEnd"/>
            <w:r w:rsidRPr="00A45996">
              <w:rPr>
                <w:rFonts w:cs="Arial"/>
                <w:b/>
                <w:bCs/>
                <w:sz w:val="18"/>
                <w:szCs w:val="18"/>
              </w:rPr>
              <w:t xml:space="preserve"> System Organ Class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Total</w:t>
            </w:r>
          </w:p>
        </w:tc>
        <w:tc>
          <w:tcPr>
            <w:tcW w:w="2132" w:type="dxa"/>
            <w:gridSpan w:val="2"/>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Toxicity Grade, n (%)</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Total</w:t>
            </w:r>
          </w:p>
        </w:tc>
        <w:tc>
          <w:tcPr>
            <w:tcW w:w="2132" w:type="dxa"/>
            <w:gridSpan w:val="2"/>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Toxicity Grade, n (%)</w:t>
            </w:r>
          </w:p>
        </w:tc>
      </w:tr>
      <w:tr w:rsidR="00326C73" w:rsidRPr="00A45996" w:rsidTr="00326C73">
        <w:trPr>
          <w:gridAfter w:val="1"/>
          <w:wAfter w:w="360" w:type="dxa"/>
          <w:tblHeade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Preferred Term</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proofErr w:type="gramStart"/>
            <w:r w:rsidRPr="00A45996">
              <w:rPr>
                <w:rFonts w:cs="Arial"/>
                <w:sz w:val="18"/>
                <w:szCs w:val="18"/>
              </w:rPr>
              <w:t>n</w:t>
            </w:r>
            <w:proofErr w:type="gramEnd"/>
            <w:r w:rsidRPr="00A45996">
              <w:rPr>
                <w:rFonts w:cs="Arial"/>
                <w:sz w:val="18"/>
                <w:szCs w:val="18"/>
              </w:rPr>
              <w:t xml:space="preserve"> (%)</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3</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≥4</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proofErr w:type="gramStart"/>
            <w:r w:rsidRPr="00A45996">
              <w:rPr>
                <w:rFonts w:cs="Arial"/>
                <w:sz w:val="18"/>
                <w:szCs w:val="18"/>
              </w:rPr>
              <w:t>n</w:t>
            </w:r>
            <w:proofErr w:type="gramEnd"/>
            <w:r w:rsidRPr="00A45996">
              <w:rPr>
                <w:rFonts w:cs="Arial"/>
                <w:sz w:val="18"/>
                <w:szCs w:val="18"/>
              </w:rPr>
              <w:t xml:space="preserve"> (%)</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3</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jc w:val="center"/>
              <w:rPr>
                <w:rFonts w:cs="Arial"/>
                <w:sz w:val="18"/>
                <w:szCs w:val="18"/>
              </w:rPr>
            </w:pPr>
            <w:r w:rsidRPr="00A45996">
              <w:rPr>
                <w:rFonts w:cs="Arial"/>
                <w:sz w:val="18"/>
                <w:szCs w:val="18"/>
              </w:rPr>
              <w:t>≥4</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Blood and Lymphatic System Disorders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Thrombocytopenia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164 ( 48)</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60 ( 18)</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57 ( 17)</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140 ( 42)</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48 ( 14)</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39 ( 12)</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Neutropenia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160 ( 47)</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101 ( 30)</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33 ( 10)</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143 ( 42)</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77 ( 23)</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42 ( 12)</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Anaemia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109 ( 32)</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41 ( 12)</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 (  1)</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156 ( 46)</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61 ( 18)</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18 (  5)</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Leukopenia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108 ( 32)</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64 ( 19)</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8 (  2)</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93 ( 28)</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53 ( 16)</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11 (  3)</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Lymphopenia</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78 ( 23)</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46 ( 14)</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17 (  5)</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51 ( 15)</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26 (  8)</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7 (  2)</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Gastrointestinal Disorders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Nausea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134 ( 39)</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10 (  3)</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70 ( 21)</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Diarrhoea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119 ( 35)</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19 (  6)</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20 (  6)</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Vomiting</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87 ( 26)</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13 (  4)</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41 ( 12)</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Constipation</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77 ( 23)</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14 (  4)</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Abdominal Pain Upper</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34 ( 10)</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20 (  6)</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Nervous System Disorders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Peripheral Neuropathy</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156 ( 46)</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42 ( 12)</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 (  1)</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Neuralgia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117 ( 34)</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27 (  8)</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Paraesthesia</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42 ( 12)</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6 (  2)</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 (  1)</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General Disorders and Administration Site Conditions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Fatigue</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85 ( 25)</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19 (  6)</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48 ( 14)</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 (  1)</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Asthenia</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54 ( 16)</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18 (  5)</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23 (  7)</w:t>
            </w:r>
          </w:p>
        </w:tc>
        <w:tc>
          <w:tcPr>
            <w:tcW w:w="1066" w:type="dxa"/>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 (  1)</w:t>
            </w:r>
          </w:p>
        </w:tc>
        <w:tc>
          <w:tcPr>
            <w:tcW w:w="1066" w:type="dxa"/>
            <w:tcBorders>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Pyrexia</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53 ( 16)</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 (  1)</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19 (  6)</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Infections and Infestations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Herpes Zoster</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39 ( 11)</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11 (  3)</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9 (  3)</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4 (  1)</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Metabolism and Nutrition Disorders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Anorexia</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64 ( 19)</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6 (  2)</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19 (  6)</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Skin and Subcutaneous Tissue Disorders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Rash</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38 ( 11)</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 (  1)</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7 (  2)</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360" w:type="dxa"/>
          </w:tcPr>
          <w:p w:rsidR="00326C73" w:rsidRPr="00A45996" w:rsidRDefault="00326C73" w:rsidP="00326C73">
            <w:pPr>
              <w:keepLines w:val="0"/>
              <w:jc w:val="left"/>
              <w:rPr>
                <w:rFonts w:cs="Arial"/>
                <w:sz w:val="18"/>
                <w:szCs w:val="18"/>
              </w:rPr>
            </w:pPr>
            <w:r w:rsidRPr="00A45996">
              <w:rPr>
                <w:rFonts w:cs="Arial"/>
                <w:sz w:val="18"/>
                <w:szCs w:val="18"/>
              </w:rPr>
              <w:t xml:space="preserve">  </w:t>
            </w:r>
          </w:p>
        </w:tc>
      </w:tr>
      <w:tr w:rsidR="00326C73" w:rsidRPr="00A45996" w:rsidTr="00326C73">
        <w:trPr>
          <w:gridAfter w:val="1"/>
          <w:wAfter w:w="360" w:type="dxa"/>
          <w:jc w:val="center"/>
        </w:trPr>
        <w:tc>
          <w:tcPr>
            <w:tcW w:w="4233" w:type="dxa"/>
            <w:tcBorders>
              <w:top w:val="single" w:sz="4" w:space="0" w:color="auto"/>
              <w:left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b/>
                <w:bCs/>
                <w:sz w:val="18"/>
                <w:szCs w:val="18"/>
              </w:rPr>
              <w:t>Psychiatric Disorders</w:t>
            </w: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p>
        </w:tc>
      </w:tr>
      <w:tr w:rsidR="00326C73" w:rsidRPr="00A45996" w:rsidTr="00326C73">
        <w:trPr>
          <w:gridAfter w:val="1"/>
          <w:wAfter w:w="360" w:type="dxa"/>
          <w:jc w:val="center"/>
        </w:trPr>
        <w:tc>
          <w:tcPr>
            <w:tcW w:w="4233" w:type="dxa"/>
            <w:tcBorders>
              <w:left w:val="single" w:sz="4" w:space="0" w:color="auto"/>
              <w:bottom w:val="single" w:sz="4" w:space="0" w:color="auto"/>
              <w:right w:val="single" w:sz="4" w:space="0" w:color="auto"/>
            </w:tcBorders>
          </w:tcPr>
          <w:p w:rsidR="00326C73" w:rsidRPr="00A45996" w:rsidRDefault="00326C73" w:rsidP="00326C73">
            <w:pPr>
              <w:autoSpaceDE w:val="0"/>
              <w:autoSpaceDN w:val="0"/>
              <w:spacing w:before="20" w:after="10"/>
              <w:rPr>
                <w:rFonts w:cs="Arial"/>
                <w:sz w:val="18"/>
                <w:szCs w:val="18"/>
              </w:rPr>
            </w:pPr>
            <w:r w:rsidRPr="00A45996">
              <w:rPr>
                <w:rFonts w:cs="Arial"/>
                <w:sz w:val="18"/>
                <w:szCs w:val="18"/>
              </w:rPr>
              <w:t xml:space="preserve"> Insomnia</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35 ( 10)</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1 ( &lt;1)</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902" w:type="dxa"/>
            <w:tcBorders>
              <w:left w:val="single" w:sz="4" w:space="0" w:color="auto"/>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21 (  6)</w:t>
            </w:r>
          </w:p>
        </w:tc>
        <w:tc>
          <w:tcPr>
            <w:tcW w:w="1066" w:type="dxa"/>
            <w:tcBorders>
              <w:bottom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1066" w:type="dxa"/>
            <w:tcBorders>
              <w:bottom w:val="single" w:sz="4" w:space="0" w:color="auto"/>
              <w:right w:val="single" w:sz="4" w:space="0" w:color="auto"/>
            </w:tcBorders>
          </w:tcPr>
          <w:p w:rsidR="00326C73" w:rsidRPr="00A45996" w:rsidRDefault="00326C73" w:rsidP="00326C73">
            <w:pPr>
              <w:widowControl w:val="0"/>
              <w:autoSpaceDE w:val="0"/>
              <w:autoSpaceDN w:val="0"/>
              <w:adjustRightInd w:val="0"/>
              <w:spacing w:before="20" w:after="10"/>
              <w:rPr>
                <w:rFonts w:cs="Arial"/>
                <w:sz w:val="18"/>
                <w:szCs w:val="18"/>
              </w:rPr>
            </w:pPr>
            <w:r w:rsidRPr="00A45996">
              <w:rPr>
                <w:rFonts w:cs="Arial"/>
                <w:sz w:val="18"/>
                <w:szCs w:val="18"/>
              </w:rPr>
              <w:t xml:space="preserve">     0</w:t>
            </w:r>
          </w:p>
        </w:tc>
      </w:tr>
    </w:tbl>
    <w:p w:rsidR="00326C73" w:rsidRPr="00A45996" w:rsidRDefault="00326C73" w:rsidP="00326C73">
      <w:pPr>
        <w:pStyle w:val="Heading7"/>
        <w:spacing w:before="20" w:after="80"/>
        <w:rPr>
          <w:rFonts w:cs="Arial"/>
          <w:u w:val="single"/>
        </w:rPr>
      </w:pPr>
    </w:p>
    <w:p w:rsidR="00326C73" w:rsidRPr="00A45996" w:rsidRDefault="00326C73" w:rsidP="00326C73">
      <w:pPr>
        <w:pStyle w:val="Heading7"/>
        <w:spacing w:before="20" w:after="80"/>
        <w:rPr>
          <w:rFonts w:cs="Arial"/>
          <w:u w:val="single"/>
        </w:rPr>
      </w:pPr>
      <w:r w:rsidRPr="00A45996">
        <w:rPr>
          <w:rFonts w:cs="Arial"/>
          <w:u w:val="single"/>
        </w:rPr>
        <w:t xml:space="preserve">Herpes zoster virus reactivation </w:t>
      </w:r>
    </w:p>
    <w:p w:rsidR="00326C73" w:rsidRPr="00A45996" w:rsidRDefault="00326C73" w:rsidP="00326C73">
      <w:pPr>
        <w:pStyle w:val="PIEXPLAIN"/>
        <w:keepLines/>
        <w:tabs>
          <w:tab w:val="clear" w:pos="-720"/>
        </w:tabs>
        <w:suppressAutoHyphens w:val="0"/>
        <w:rPr>
          <w:rFonts w:cs="Arial"/>
          <w:spacing w:val="0"/>
        </w:rPr>
      </w:pPr>
      <w:r w:rsidRPr="00A45996">
        <w:rPr>
          <w:rFonts w:cs="Arial"/>
          <w:spacing w:val="0"/>
        </w:rPr>
        <w:t xml:space="preserve">Physicians should consider using antiviral prophylaxis in patients being treated with VELCADE.  In the VISTA study in patients with previously untreated multiple myeloma, the overall incidence of herpes zoster reactivation was more common in patients treated with </w:t>
      </w:r>
      <w:proofErr w:type="spellStart"/>
      <w:r w:rsidRPr="00A45996">
        <w:rPr>
          <w:rFonts w:cs="Arial"/>
          <w:spacing w:val="0"/>
        </w:rPr>
        <w:t>VcMP</w:t>
      </w:r>
      <w:proofErr w:type="spellEnd"/>
      <w:r w:rsidRPr="00A45996">
        <w:rPr>
          <w:rFonts w:cs="Arial"/>
          <w:spacing w:val="0"/>
        </w:rPr>
        <w:t xml:space="preserve"> compared with MP (14% vs 4% respectively).  Antiviral prophylaxis was administrated to 26% of the patients in the </w:t>
      </w:r>
      <w:proofErr w:type="spellStart"/>
      <w:r w:rsidRPr="00A45996">
        <w:rPr>
          <w:rFonts w:cs="Arial"/>
          <w:spacing w:val="0"/>
        </w:rPr>
        <w:t>VcMP</w:t>
      </w:r>
      <w:proofErr w:type="spellEnd"/>
      <w:r w:rsidRPr="00A45996">
        <w:rPr>
          <w:rFonts w:cs="Arial"/>
          <w:spacing w:val="0"/>
        </w:rPr>
        <w:t xml:space="preserve"> arm.  The incidence of herpes zoster among patients in the </w:t>
      </w:r>
      <w:proofErr w:type="spellStart"/>
      <w:r w:rsidRPr="00A45996">
        <w:rPr>
          <w:rFonts w:cs="Arial"/>
          <w:spacing w:val="0"/>
        </w:rPr>
        <w:t>VcMP</w:t>
      </w:r>
      <w:proofErr w:type="spellEnd"/>
      <w:r w:rsidRPr="00A45996">
        <w:rPr>
          <w:rFonts w:cs="Arial"/>
          <w:spacing w:val="0"/>
        </w:rPr>
        <w:t xml:space="preserve"> treatment group was 17% for patients not administered antiviral prophylaxis compared to 3% for patients administered antiviral prophylaxis. Similar results were observed during the IFM2005 study; herpes zoster was more common in patients treated with VELCADE-based regimen compared to control regimen (9.2% vs. 2.1%). During consolidation, the GIMEMA study reported similar rates (0.6%) </w:t>
      </w:r>
      <w:r w:rsidR="00BA4831" w:rsidRPr="00A45996">
        <w:rPr>
          <w:rFonts w:cs="Arial"/>
          <w:spacing w:val="0"/>
        </w:rPr>
        <w:t>of grade 3-4 incidences of herpes zoster</w:t>
      </w:r>
      <w:r w:rsidRPr="00A45996">
        <w:rPr>
          <w:rFonts w:cs="Arial"/>
          <w:spacing w:val="0"/>
        </w:rPr>
        <w:t xml:space="preserve"> between the two study arms (</w:t>
      </w:r>
      <w:r w:rsidRPr="00A45996">
        <w:rPr>
          <w:rFonts w:cs="Arial"/>
          <w:i/>
        </w:rPr>
        <w:t>p</w:t>
      </w:r>
      <w:r w:rsidRPr="00A45996">
        <w:rPr>
          <w:rFonts w:cs="Arial"/>
          <w:spacing w:val="0"/>
        </w:rPr>
        <w:t xml:space="preserve">=1.0000). </w:t>
      </w:r>
    </w:p>
    <w:p w:rsidR="00326C73" w:rsidRPr="00A45996" w:rsidRDefault="00326C73" w:rsidP="00326C73">
      <w:pPr>
        <w:pStyle w:val="Paragraph"/>
        <w:numPr>
          <w:ilvl w:val="0"/>
          <w:numId w:val="0"/>
        </w:numPr>
        <w:suppressAutoHyphens w:val="0"/>
        <w:autoSpaceDE w:val="0"/>
        <w:autoSpaceDN w:val="0"/>
        <w:adjustRightInd w:val="0"/>
        <w:spacing w:before="20" w:after="80" w:line="240" w:lineRule="auto"/>
        <w:jc w:val="both"/>
        <w:rPr>
          <w:rFonts w:ascii="Arial" w:hAnsi="Arial" w:cs="Arial"/>
          <w:b/>
          <w:bCs/>
        </w:rPr>
      </w:pPr>
      <w:r w:rsidRPr="00A45996">
        <w:rPr>
          <w:rFonts w:ascii="Arial" w:hAnsi="Arial" w:cs="Arial"/>
          <w:b/>
          <w:bCs/>
          <w:i/>
        </w:rPr>
        <w:t xml:space="preserve">Summary of Clinical Trials </w:t>
      </w:r>
      <w:r w:rsidR="002276F4" w:rsidRPr="00A45996">
        <w:rPr>
          <w:rFonts w:ascii="Arial" w:hAnsi="Arial" w:cs="Arial"/>
          <w:b/>
          <w:bCs/>
          <w:i/>
        </w:rPr>
        <w:t xml:space="preserve">of VELCADE IV </w:t>
      </w:r>
      <w:r w:rsidRPr="00A45996">
        <w:rPr>
          <w:rFonts w:ascii="Arial" w:hAnsi="Arial" w:cs="Arial"/>
          <w:b/>
          <w:bCs/>
          <w:i/>
        </w:rPr>
        <w:t>in patients with relapsed/refractory multiple myeloma</w:t>
      </w:r>
      <w:r w:rsidRPr="00A45996">
        <w:rPr>
          <w:rFonts w:ascii="Arial" w:hAnsi="Arial" w:cs="Arial"/>
          <w:b/>
          <w:bCs/>
        </w:rPr>
        <w:t>:</w:t>
      </w:r>
    </w:p>
    <w:p w:rsidR="00326C73" w:rsidRPr="00A45996" w:rsidRDefault="00326C73" w:rsidP="00326C73">
      <w:pPr>
        <w:pStyle w:val="Paragraph"/>
        <w:numPr>
          <w:ilvl w:val="0"/>
          <w:numId w:val="0"/>
        </w:numPr>
        <w:suppressAutoHyphens w:val="0"/>
        <w:autoSpaceDE w:val="0"/>
        <w:autoSpaceDN w:val="0"/>
        <w:adjustRightInd w:val="0"/>
        <w:spacing w:before="20" w:after="80" w:line="240" w:lineRule="auto"/>
        <w:jc w:val="both"/>
        <w:rPr>
          <w:rFonts w:ascii="Arial" w:hAnsi="Arial" w:cs="Arial"/>
          <w:lang w:val="en-AU"/>
        </w:rPr>
      </w:pPr>
      <w:r w:rsidRPr="00A45996">
        <w:rPr>
          <w:rFonts w:ascii="Arial" w:hAnsi="Arial" w:cs="Arial"/>
          <w:lang w:val="en-AU"/>
        </w:rPr>
        <w:t xml:space="preserve">The adverse events most commonly reported, regardless of causality, in the APEX study in relapsed / refractory multiple myeloma patients (see </w:t>
      </w:r>
      <w:r w:rsidRPr="00A45996">
        <w:rPr>
          <w:rFonts w:ascii="Arial" w:hAnsi="Arial" w:cs="Arial"/>
          <w:b/>
          <w:bCs/>
          <w:lang w:val="en-AU"/>
        </w:rPr>
        <w:t>CLINICAL TRIALS</w:t>
      </w:r>
      <w:r w:rsidRPr="00A45996">
        <w:rPr>
          <w:rFonts w:ascii="Arial" w:hAnsi="Arial" w:cs="Arial"/>
          <w:lang w:val="en-AU"/>
        </w:rPr>
        <w:t xml:space="preserve">) are presented in Table </w:t>
      </w:r>
      <w:r w:rsidR="007B3AD3" w:rsidRPr="00A45996">
        <w:rPr>
          <w:rFonts w:ascii="Arial" w:hAnsi="Arial" w:cs="Arial"/>
          <w:lang w:val="en-AU"/>
        </w:rPr>
        <w:t>16</w:t>
      </w:r>
      <w:r w:rsidRPr="00A45996">
        <w:rPr>
          <w:rFonts w:ascii="Arial" w:hAnsi="Arial" w:cs="Arial"/>
          <w:lang w:val="en-AU"/>
        </w:rPr>
        <w:t xml:space="preserve">.  All adverse events occurring at </w:t>
      </w:r>
      <w:r w:rsidRPr="00A45996">
        <w:rPr>
          <w:rFonts w:ascii="Arial" w:hAnsi="Arial" w:cs="Arial"/>
          <w:lang w:val="en-AU"/>
        </w:rPr>
        <w:sym w:font="Symbol" w:char="F0B3"/>
      </w:r>
      <w:r w:rsidRPr="00A45996">
        <w:rPr>
          <w:rFonts w:ascii="Arial" w:hAnsi="Arial" w:cs="Arial"/>
          <w:lang w:val="en-AU"/>
        </w:rPr>
        <w:t xml:space="preserve">10% are included.  </w:t>
      </w:r>
    </w:p>
    <w:p w:rsidR="00326C73" w:rsidRPr="00A45996" w:rsidRDefault="00326C73" w:rsidP="00326C73">
      <w:pPr>
        <w:pStyle w:val="Paragraph"/>
        <w:numPr>
          <w:ilvl w:val="0"/>
          <w:numId w:val="0"/>
        </w:numPr>
        <w:suppressAutoHyphens w:val="0"/>
        <w:autoSpaceDE w:val="0"/>
        <w:autoSpaceDN w:val="0"/>
        <w:adjustRightInd w:val="0"/>
        <w:spacing w:before="0" w:line="240" w:lineRule="auto"/>
        <w:jc w:val="both"/>
        <w:rPr>
          <w:rFonts w:ascii="TimesNewRomanPSMT" w:hAnsi="TimesNewRomanPSMT"/>
          <w:szCs w:val="22"/>
        </w:rPr>
      </w:pPr>
    </w:p>
    <w:tbl>
      <w:tblPr>
        <w:tblW w:w="0" w:type="auto"/>
        <w:jc w:val="center"/>
        <w:tblInd w:w="-368" w:type="dxa"/>
        <w:tblLayout w:type="fixed"/>
        <w:tblLook w:val="0000" w:firstRow="0" w:lastRow="0" w:firstColumn="0" w:lastColumn="0" w:noHBand="0" w:noVBand="0"/>
      </w:tblPr>
      <w:tblGrid>
        <w:gridCol w:w="3218"/>
        <w:gridCol w:w="825"/>
        <w:gridCol w:w="850"/>
        <w:gridCol w:w="851"/>
        <w:gridCol w:w="829"/>
        <w:gridCol w:w="872"/>
        <w:gridCol w:w="878"/>
      </w:tblGrid>
      <w:tr w:rsidR="00326C73" w:rsidRPr="00A45996" w:rsidTr="00326C73">
        <w:trPr>
          <w:cantSplit/>
          <w:trHeight w:val="675"/>
          <w:jc w:val="center"/>
        </w:trPr>
        <w:tc>
          <w:tcPr>
            <w:tcW w:w="8323" w:type="dxa"/>
            <w:gridSpan w:val="7"/>
            <w:tcBorders>
              <w:top w:val="single" w:sz="4" w:space="0" w:color="auto"/>
              <w:left w:val="single" w:sz="4" w:space="0" w:color="auto"/>
              <w:bottom w:val="single" w:sz="4" w:space="0" w:color="auto"/>
              <w:right w:val="single" w:sz="4" w:space="0" w:color="auto"/>
            </w:tcBorders>
          </w:tcPr>
          <w:p w:rsidR="00326C73" w:rsidRPr="00A45996" w:rsidRDefault="00326C73" w:rsidP="007B3AD3">
            <w:pPr>
              <w:pStyle w:val="Heading2"/>
              <w:jc w:val="left"/>
              <w:rPr>
                <w:rFonts w:cs="Arial"/>
                <w:sz w:val="18"/>
              </w:rPr>
            </w:pPr>
            <w:r w:rsidRPr="00A45996">
              <w:rPr>
                <w:rFonts w:cs="Arial"/>
                <w:b/>
                <w:bCs/>
                <w:sz w:val="20"/>
                <w:u w:val="none"/>
              </w:rPr>
              <w:lastRenderedPageBreak/>
              <w:t xml:space="preserve">Table </w:t>
            </w:r>
            <w:r w:rsidR="007B3AD3" w:rsidRPr="00A45996">
              <w:rPr>
                <w:rFonts w:cs="Arial"/>
                <w:b/>
                <w:bCs/>
                <w:sz w:val="20"/>
                <w:u w:val="none"/>
              </w:rPr>
              <w:t>16</w:t>
            </w:r>
            <w:r w:rsidRPr="00A45996">
              <w:rPr>
                <w:rFonts w:cs="Arial"/>
                <w:b/>
                <w:bCs/>
                <w:sz w:val="20"/>
                <w:u w:val="none"/>
              </w:rPr>
              <w:t>:</w:t>
            </w:r>
            <w:r w:rsidRPr="00A45996">
              <w:rPr>
                <w:rFonts w:eastAsia="MS Mincho" w:cs="Arial"/>
                <w:b/>
                <w:bCs/>
                <w:sz w:val="20"/>
                <w:u w:val="none"/>
              </w:rPr>
              <w:t xml:space="preserve"> Most Commonly Reported (</w:t>
            </w:r>
            <w:r w:rsidRPr="00A45996">
              <w:rPr>
                <w:rFonts w:eastAsia="MS Mincho" w:cs="Arial"/>
                <w:b/>
                <w:bCs/>
                <w:sz w:val="20"/>
                <w:u w:val="none"/>
              </w:rPr>
              <w:sym w:font="Symbol" w:char="F0B3"/>
            </w:r>
            <w:r w:rsidRPr="00A45996">
              <w:rPr>
                <w:rFonts w:eastAsia="MS Mincho" w:cs="Arial"/>
                <w:b/>
                <w:bCs/>
                <w:sz w:val="20"/>
                <w:u w:val="none"/>
              </w:rPr>
              <w:t>10% in VELCADE arm) Adverse Events in the APEX Study using the 1.3 mg/m</w:t>
            </w:r>
            <w:r w:rsidRPr="00A45996">
              <w:rPr>
                <w:rFonts w:eastAsia="MS Mincho" w:cs="Arial"/>
                <w:b/>
                <w:bCs/>
                <w:sz w:val="20"/>
                <w:u w:val="none"/>
                <w:vertAlign w:val="superscript"/>
              </w:rPr>
              <w:t>2</w:t>
            </w:r>
            <w:r w:rsidRPr="00A45996">
              <w:rPr>
                <w:rFonts w:eastAsia="MS Mincho" w:cs="Arial"/>
                <w:b/>
                <w:bCs/>
                <w:sz w:val="20"/>
                <w:u w:val="none"/>
              </w:rPr>
              <w:t xml:space="preserve"> dose (N=663)</w:t>
            </w:r>
            <w:r w:rsidRPr="00A45996">
              <w:rPr>
                <w:rFonts w:cs="Arial"/>
                <w:b/>
                <w:bCs/>
                <w:sz w:val="20"/>
                <w:u w:val="none"/>
              </w:rPr>
              <w:t xml:space="preserve"> </w:t>
            </w:r>
          </w:p>
        </w:tc>
      </w:tr>
      <w:tr w:rsidR="00326C73" w:rsidRPr="00A45996" w:rsidTr="00326C73">
        <w:trPr>
          <w:cantSplit/>
          <w:trHeight w:val="45"/>
          <w:jc w:val="center"/>
        </w:trPr>
        <w:tc>
          <w:tcPr>
            <w:tcW w:w="3218"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MarkTable"/>
              <w:ind w:left="1786"/>
              <w:rPr>
                <w:rFonts w:ascii="Arial" w:hAnsi="Arial" w:cs="Arial"/>
                <w:b/>
                <w:bCs/>
                <w:sz w:val="18"/>
              </w:rPr>
            </w:pPr>
          </w:p>
        </w:tc>
        <w:tc>
          <w:tcPr>
            <w:tcW w:w="2526" w:type="dxa"/>
            <w:gridSpan w:val="3"/>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VELCADE</w:t>
            </w:r>
          </w:p>
          <w:p w:rsidR="00326C73" w:rsidRPr="00A45996" w:rsidRDefault="00326C73" w:rsidP="00326C73">
            <w:pPr>
              <w:pStyle w:val="TableText"/>
              <w:jc w:val="center"/>
              <w:rPr>
                <w:rFonts w:ascii="Arial" w:hAnsi="Arial" w:cs="Arial"/>
                <w:b/>
                <w:bCs/>
              </w:rPr>
            </w:pPr>
            <w:r w:rsidRPr="00A45996">
              <w:rPr>
                <w:rFonts w:ascii="Arial" w:hAnsi="Arial" w:cs="Arial"/>
                <w:b/>
                <w:bCs/>
              </w:rPr>
              <w:t>(N=331)</w:t>
            </w:r>
          </w:p>
        </w:tc>
        <w:tc>
          <w:tcPr>
            <w:tcW w:w="2579" w:type="dxa"/>
            <w:gridSpan w:val="3"/>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 xml:space="preserve">Dexamethasone </w:t>
            </w:r>
          </w:p>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(N=332)</w:t>
            </w:r>
          </w:p>
        </w:tc>
      </w:tr>
      <w:tr w:rsidR="00326C73" w:rsidRPr="00A45996" w:rsidTr="00326C73">
        <w:trPr>
          <w:cantSplit/>
          <w:trHeight w:val="45"/>
          <w:jc w:val="center"/>
        </w:trPr>
        <w:tc>
          <w:tcPr>
            <w:tcW w:w="3218"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MarkTable"/>
              <w:rPr>
                <w:rFonts w:ascii="Arial" w:hAnsi="Arial" w:cs="Arial"/>
                <w:sz w:val="18"/>
              </w:rPr>
            </w:pPr>
          </w:p>
        </w:tc>
        <w:tc>
          <w:tcPr>
            <w:tcW w:w="825"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TableText"/>
              <w:jc w:val="center"/>
              <w:rPr>
                <w:rFonts w:ascii="Arial" w:hAnsi="Arial" w:cs="Arial"/>
                <w:b/>
                <w:bCs/>
                <w:sz w:val="18"/>
              </w:rPr>
            </w:pPr>
            <w:r w:rsidRPr="00A45996">
              <w:rPr>
                <w:rFonts w:ascii="Arial" w:hAnsi="Arial" w:cs="Arial"/>
                <w:b/>
                <w:bCs/>
                <w:sz w:val="18"/>
              </w:rPr>
              <w:t>All Events %</w:t>
            </w:r>
          </w:p>
        </w:tc>
        <w:tc>
          <w:tcPr>
            <w:tcW w:w="850"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TableText"/>
              <w:jc w:val="center"/>
              <w:rPr>
                <w:rFonts w:ascii="Arial" w:hAnsi="Arial" w:cs="Arial"/>
                <w:b/>
                <w:bCs/>
                <w:sz w:val="18"/>
              </w:rPr>
            </w:pPr>
            <w:r w:rsidRPr="00A45996">
              <w:rPr>
                <w:rFonts w:ascii="Arial" w:hAnsi="Arial" w:cs="Arial"/>
                <w:b/>
                <w:bCs/>
                <w:sz w:val="18"/>
              </w:rPr>
              <w:t xml:space="preserve">Grade 3 </w:t>
            </w:r>
          </w:p>
          <w:p w:rsidR="00326C73" w:rsidRPr="00A45996" w:rsidRDefault="00326C73" w:rsidP="00326C73">
            <w:pPr>
              <w:pStyle w:val="TableText"/>
              <w:jc w:val="center"/>
              <w:rPr>
                <w:rFonts w:ascii="Arial" w:hAnsi="Arial" w:cs="Arial"/>
                <w:b/>
                <w:bCs/>
                <w:sz w:val="18"/>
              </w:rPr>
            </w:pPr>
            <w:r w:rsidRPr="00A45996">
              <w:rPr>
                <w:rFonts w:ascii="Arial" w:hAnsi="Arial" w:cs="Arial"/>
                <w:b/>
                <w:bCs/>
                <w:sz w:val="18"/>
              </w:rPr>
              <w:t>%</w:t>
            </w:r>
          </w:p>
          <w:p w:rsidR="00326C73" w:rsidRPr="00A45996" w:rsidRDefault="00326C73" w:rsidP="00326C73">
            <w:pPr>
              <w:rPr>
                <w:lang w:val="en-US"/>
              </w:rPr>
            </w:pPr>
          </w:p>
        </w:tc>
        <w:tc>
          <w:tcPr>
            <w:tcW w:w="851"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MarkTable"/>
              <w:ind w:left="0" w:firstLine="0"/>
              <w:jc w:val="center"/>
              <w:rPr>
                <w:rFonts w:ascii="Arial" w:hAnsi="Arial" w:cs="Arial"/>
                <w:b/>
                <w:bCs/>
                <w:sz w:val="18"/>
              </w:rPr>
            </w:pPr>
            <w:r w:rsidRPr="00A45996">
              <w:rPr>
                <w:rFonts w:ascii="Arial" w:hAnsi="Arial" w:cs="Arial"/>
                <w:b/>
                <w:bCs/>
                <w:sz w:val="18"/>
              </w:rPr>
              <w:t>Grade 4</w:t>
            </w:r>
          </w:p>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w:t>
            </w:r>
          </w:p>
          <w:p w:rsidR="00326C73" w:rsidRPr="00A45996" w:rsidRDefault="00326C73" w:rsidP="00326C73">
            <w:pPr>
              <w:pStyle w:val="TableText"/>
              <w:jc w:val="center"/>
              <w:rPr>
                <w:rFonts w:ascii="Arial" w:hAnsi="Arial" w:cs="Arial"/>
                <w:b/>
                <w:bCs/>
                <w:sz w:val="18"/>
              </w:rPr>
            </w:pPr>
          </w:p>
        </w:tc>
        <w:tc>
          <w:tcPr>
            <w:tcW w:w="829"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TableText"/>
              <w:jc w:val="center"/>
              <w:rPr>
                <w:rFonts w:ascii="Arial" w:hAnsi="Arial" w:cs="Arial"/>
                <w:b/>
                <w:bCs/>
                <w:sz w:val="18"/>
              </w:rPr>
            </w:pPr>
            <w:r w:rsidRPr="00A45996">
              <w:rPr>
                <w:rFonts w:ascii="Arial" w:hAnsi="Arial" w:cs="Arial"/>
                <w:b/>
                <w:bCs/>
                <w:sz w:val="18"/>
              </w:rPr>
              <w:t>All Events %</w:t>
            </w:r>
          </w:p>
        </w:tc>
        <w:tc>
          <w:tcPr>
            <w:tcW w:w="872"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TableText"/>
              <w:jc w:val="center"/>
              <w:rPr>
                <w:rFonts w:ascii="Arial" w:hAnsi="Arial" w:cs="Arial"/>
                <w:b/>
                <w:bCs/>
                <w:sz w:val="18"/>
              </w:rPr>
            </w:pPr>
            <w:r w:rsidRPr="00A45996">
              <w:rPr>
                <w:rFonts w:ascii="Arial" w:hAnsi="Arial" w:cs="Arial"/>
                <w:b/>
                <w:bCs/>
                <w:sz w:val="18"/>
              </w:rPr>
              <w:t xml:space="preserve">Grade 3 </w:t>
            </w:r>
          </w:p>
          <w:p w:rsidR="00326C73" w:rsidRPr="00A45996" w:rsidRDefault="00326C73" w:rsidP="00326C73">
            <w:pPr>
              <w:pStyle w:val="TableText"/>
              <w:jc w:val="center"/>
              <w:rPr>
                <w:rFonts w:ascii="Arial" w:hAnsi="Arial" w:cs="Arial"/>
                <w:b/>
                <w:bCs/>
                <w:sz w:val="18"/>
              </w:rPr>
            </w:pPr>
            <w:r w:rsidRPr="00A45996">
              <w:rPr>
                <w:rFonts w:ascii="Arial" w:hAnsi="Arial" w:cs="Arial"/>
                <w:b/>
                <w:bCs/>
                <w:sz w:val="18"/>
              </w:rPr>
              <w:t>%</w:t>
            </w:r>
          </w:p>
        </w:tc>
        <w:tc>
          <w:tcPr>
            <w:tcW w:w="878" w:type="dxa"/>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MarkTable"/>
              <w:ind w:left="0" w:firstLine="0"/>
              <w:jc w:val="center"/>
              <w:rPr>
                <w:rFonts w:ascii="Arial" w:hAnsi="Arial" w:cs="Arial"/>
                <w:b/>
                <w:bCs/>
                <w:sz w:val="18"/>
              </w:rPr>
            </w:pPr>
            <w:r w:rsidRPr="00A45996">
              <w:rPr>
                <w:rFonts w:ascii="Arial" w:hAnsi="Arial" w:cs="Arial"/>
                <w:b/>
                <w:bCs/>
                <w:sz w:val="18"/>
              </w:rPr>
              <w:t>Grade 4</w:t>
            </w:r>
          </w:p>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w:t>
            </w:r>
          </w:p>
          <w:p w:rsidR="00326C73" w:rsidRPr="00A45996" w:rsidRDefault="00326C73" w:rsidP="00326C73">
            <w:pPr>
              <w:pStyle w:val="TableText"/>
              <w:jc w:val="center"/>
              <w:rPr>
                <w:rFonts w:ascii="Arial" w:hAnsi="Arial" w:cs="Arial"/>
                <w:b/>
                <w:bCs/>
                <w:sz w:val="18"/>
              </w:rPr>
            </w:pPr>
          </w:p>
        </w:tc>
      </w:tr>
      <w:tr w:rsidR="00326C73" w:rsidRPr="00A45996" w:rsidTr="00326C73">
        <w:trPr>
          <w:cantSplit/>
          <w:trHeight w:val="45"/>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Adverse Event</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100</w:t>
            </w:r>
          </w:p>
        </w:tc>
        <w:tc>
          <w:tcPr>
            <w:tcW w:w="850" w:type="dxa"/>
            <w:tcBorders>
              <w:top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61</w:t>
            </w: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14</w:t>
            </w: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98</w:t>
            </w: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44</w:t>
            </w: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r w:rsidRPr="00A45996">
              <w:rPr>
                <w:rFonts w:ascii="Arial" w:hAnsi="Arial" w:cs="Arial"/>
                <w:b/>
                <w:bCs/>
                <w:sz w:val="18"/>
              </w:rPr>
              <w:t>16</w:t>
            </w:r>
          </w:p>
        </w:tc>
      </w:tr>
      <w:tr w:rsidR="00326C73" w:rsidRPr="00A45996" w:rsidTr="00326C73">
        <w:trPr>
          <w:cantSplit/>
          <w:trHeight w:val="45"/>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Body as a Whole-General Disorders</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Asthenic conditions (fatigue, malaise, weakness)</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61</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12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45</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6</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45"/>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Pyrexia</w:t>
            </w:r>
          </w:p>
        </w:tc>
        <w:tc>
          <w:tcPr>
            <w:tcW w:w="825" w:type="dxa"/>
            <w:tcBorders>
              <w:lef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35</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16</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Rigors</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11</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lang w:val="en-AU"/>
              </w:rPr>
              <w:t>Oedema</w:t>
            </w:r>
            <w:r w:rsidRPr="00A45996">
              <w:rPr>
                <w:rFonts w:ascii="Arial" w:hAnsi="Arial" w:cs="Arial"/>
                <w:sz w:val="18"/>
              </w:rPr>
              <w:t xml:space="preserve"> lower limb</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11</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13</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80"/>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Gastro-Intestinal System Disorders</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proofErr w:type="spellStart"/>
            <w:r w:rsidRPr="00A45996">
              <w:rPr>
                <w:rFonts w:ascii="Arial" w:hAnsi="Arial" w:cs="Arial"/>
                <w:sz w:val="18"/>
              </w:rPr>
              <w:t>Diarrhoea</w:t>
            </w:r>
            <w:proofErr w:type="spellEnd"/>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57</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7</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21</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Nausea</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57</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14</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Constipation</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42</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15</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Vomiting</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35</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3</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6</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Abdominal pain</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16</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4</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0"/>
          <w:jc w:val="center"/>
        </w:trPr>
        <w:tc>
          <w:tcPr>
            <w:tcW w:w="3218" w:type="dxa"/>
            <w:tcBorders>
              <w:top w:val="single" w:sz="4" w:space="0" w:color="auto"/>
              <w:left w:val="single" w:sz="4" w:space="0" w:color="auto"/>
              <w:bottom w:val="nil"/>
              <w:right w:val="single" w:sz="4" w:space="0" w:color="auto"/>
            </w:tcBorders>
          </w:tcPr>
          <w:p w:rsidR="00326C73" w:rsidRPr="00A45996" w:rsidRDefault="00326C73" w:rsidP="00326C73">
            <w:pPr>
              <w:pStyle w:val="MarkTable"/>
              <w:ind w:left="-8" w:firstLine="8"/>
              <w:rPr>
                <w:rFonts w:ascii="Arial" w:hAnsi="Arial" w:cs="Arial"/>
                <w:b/>
                <w:bCs/>
                <w:sz w:val="18"/>
              </w:rPr>
            </w:pPr>
            <w:r w:rsidRPr="00A45996">
              <w:rPr>
                <w:rFonts w:ascii="Arial" w:hAnsi="Arial" w:cs="Arial"/>
                <w:b/>
                <w:bCs/>
                <w:sz w:val="18"/>
              </w:rPr>
              <w:t>Central &amp; Peripheral Nervous System Disorders</w:t>
            </w:r>
          </w:p>
        </w:tc>
        <w:tc>
          <w:tcPr>
            <w:tcW w:w="825" w:type="dxa"/>
            <w:tcBorders>
              <w:top w:val="single" w:sz="4" w:space="0" w:color="auto"/>
              <w:left w:val="single" w:sz="4" w:space="0" w:color="auto"/>
              <w:bottom w:val="nil"/>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bottom w:val="nil"/>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c>
          <w:tcPr>
            <w:tcW w:w="829"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c>
          <w:tcPr>
            <w:tcW w:w="872"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c>
          <w:tcPr>
            <w:tcW w:w="878"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r>
      <w:tr w:rsidR="00326C73" w:rsidRPr="00A45996" w:rsidTr="00326C73">
        <w:trPr>
          <w:cantSplit/>
          <w:trHeight w:val="270"/>
          <w:jc w:val="center"/>
        </w:trPr>
        <w:tc>
          <w:tcPr>
            <w:tcW w:w="3218" w:type="dxa"/>
            <w:tcBorders>
              <w:left w:val="single" w:sz="4" w:space="0" w:color="auto"/>
              <w:bottom w:val="nil"/>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Peripheral Neuropathy*</w:t>
            </w:r>
          </w:p>
        </w:tc>
        <w:tc>
          <w:tcPr>
            <w:tcW w:w="825" w:type="dxa"/>
            <w:tcBorders>
              <w:left w:val="single" w:sz="4" w:space="0" w:color="auto"/>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36</w:t>
            </w:r>
          </w:p>
        </w:tc>
        <w:tc>
          <w:tcPr>
            <w:tcW w:w="850" w:type="dxa"/>
            <w:tcBorders>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7</w:t>
            </w:r>
          </w:p>
        </w:tc>
        <w:tc>
          <w:tcPr>
            <w:tcW w:w="851"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29"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9</w:t>
            </w:r>
          </w:p>
        </w:tc>
        <w:tc>
          <w:tcPr>
            <w:tcW w:w="872"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r>
      <w:tr w:rsidR="00326C73" w:rsidRPr="00A45996" w:rsidTr="00326C73">
        <w:trPr>
          <w:cantSplit/>
          <w:trHeight w:val="270"/>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proofErr w:type="spellStart"/>
            <w:r w:rsidRPr="00A45996">
              <w:rPr>
                <w:rFonts w:ascii="Arial" w:hAnsi="Arial" w:cs="Arial"/>
                <w:sz w:val="18"/>
              </w:rPr>
              <w:t>Paraesthesia</w:t>
            </w:r>
            <w:proofErr w:type="spellEnd"/>
            <w:r w:rsidRPr="00A45996">
              <w:rPr>
                <w:rFonts w:ascii="Arial" w:hAnsi="Arial" w:cs="Arial"/>
                <w:sz w:val="18"/>
              </w:rPr>
              <w:t xml:space="preserve"> and </w:t>
            </w:r>
            <w:proofErr w:type="spellStart"/>
            <w:r w:rsidRPr="00A45996">
              <w:rPr>
                <w:rFonts w:ascii="Arial" w:hAnsi="Arial" w:cs="Arial"/>
                <w:sz w:val="18"/>
              </w:rPr>
              <w:t>dysaesthesia</w:t>
            </w:r>
            <w:proofErr w:type="spellEnd"/>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27</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11</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0"/>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Headache</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26</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13</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0"/>
          <w:jc w:val="center"/>
        </w:trPr>
        <w:tc>
          <w:tcPr>
            <w:tcW w:w="3218" w:type="dxa"/>
            <w:tcBorders>
              <w:left w:val="single" w:sz="4" w:space="0" w:color="auto"/>
              <w:bottom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Dizziness (excluding vertigo)</w:t>
            </w:r>
          </w:p>
        </w:tc>
        <w:tc>
          <w:tcPr>
            <w:tcW w:w="825" w:type="dxa"/>
            <w:tcBorders>
              <w:left w:val="single" w:sz="4" w:space="0" w:color="auto"/>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14</w:t>
            </w:r>
          </w:p>
        </w:tc>
        <w:tc>
          <w:tcPr>
            <w:tcW w:w="850" w:type="dxa"/>
            <w:tcBorders>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10</w:t>
            </w:r>
          </w:p>
        </w:tc>
        <w:tc>
          <w:tcPr>
            <w:tcW w:w="872"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78"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45"/>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8" w:firstLine="0"/>
              <w:rPr>
                <w:rFonts w:ascii="Arial" w:hAnsi="Arial" w:cs="Arial"/>
                <w:b/>
                <w:bCs/>
                <w:sz w:val="18"/>
              </w:rPr>
            </w:pPr>
            <w:r w:rsidRPr="00A45996">
              <w:rPr>
                <w:rFonts w:ascii="Arial" w:hAnsi="Arial" w:cs="Arial"/>
                <w:b/>
                <w:bCs/>
                <w:sz w:val="18"/>
              </w:rPr>
              <w:t>Blood and lymphatic system disorders</w:t>
            </w:r>
          </w:p>
        </w:tc>
        <w:tc>
          <w:tcPr>
            <w:tcW w:w="825" w:type="dxa"/>
            <w:tcBorders>
              <w:top w:val="single" w:sz="4" w:space="0" w:color="auto"/>
              <w:left w:val="single" w:sz="4" w:space="0" w:color="auto"/>
            </w:tcBorders>
          </w:tcPr>
          <w:p w:rsidR="00326C73" w:rsidRPr="00A45996" w:rsidRDefault="00326C73" w:rsidP="00326C73">
            <w:pPr>
              <w:pStyle w:val="MarkTable"/>
              <w:rPr>
                <w:rFonts w:ascii="Arial" w:hAnsi="Arial" w:cs="Arial"/>
                <w:b/>
                <w:bCs/>
                <w:sz w:val="18"/>
              </w:rPr>
            </w:pPr>
          </w:p>
        </w:tc>
        <w:tc>
          <w:tcPr>
            <w:tcW w:w="850" w:type="dxa"/>
            <w:tcBorders>
              <w:top w:val="single" w:sz="4" w:space="0" w:color="auto"/>
            </w:tcBorders>
          </w:tcPr>
          <w:p w:rsidR="00326C73" w:rsidRPr="00A45996" w:rsidRDefault="00326C73" w:rsidP="00326C73">
            <w:pPr>
              <w:pStyle w:val="MarkTable"/>
              <w:rPr>
                <w:rFonts w:ascii="Arial" w:hAnsi="Arial" w:cs="Arial"/>
                <w:b/>
                <w:bCs/>
                <w:sz w:val="18"/>
              </w:rPr>
            </w:pPr>
          </w:p>
        </w:tc>
        <w:tc>
          <w:tcPr>
            <w:tcW w:w="851" w:type="dxa"/>
            <w:tcBorders>
              <w:top w:val="single" w:sz="4" w:space="0" w:color="auto"/>
              <w:right w:val="single" w:sz="4" w:space="0" w:color="auto"/>
            </w:tcBorders>
          </w:tcPr>
          <w:p w:rsidR="00326C73" w:rsidRPr="00A45996" w:rsidRDefault="00326C73" w:rsidP="00326C73">
            <w:pPr>
              <w:pStyle w:val="MarkTable"/>
              <w:rPr>
                <w:rFonts w:ascii="Arial" w:hAnsi="Arial" w:cs="Arial"/>
                <w:b/>
                <w:bCs/>
                <w:sz w:val="18"/>
              </w:rPr>
            </w:pPr>
          </w:p>
        </w:tc>
        <w:tc>
          <w:tcPr>
            <w:tcW w:w="829" w:type="dxa"/>
            <w:tcBorders>
              <w:top w:val="single" w:sz="4" w:space="0" w:color="auto"/>
              <w:right w:val="single" w:sz="4" w:space="0" w:color="auto"/>
            </w:tcBorders>
          </w:tcPr>
          <w:p w:rsidR="00326C73" w:rsidRPr="00A45996" w:rsidRDefault="00326C73" w:rsidP="00326C73">
            <w:pPr>
              <w:pStyle w:val="MarkTable"/>
              <w:rPr>
                <w:rFonts w:ascii="Arial" w:hAnsi="Arial" w:cs="Arial"/>
                <w:b/>
                <w:bCs/>
                <w:sz w:val="18"/>
              </w:rPr>
            </w:pPr>
          </w:p>
        </w:tc>
        <w:tc>
          <w:tcPr>
            <w:tcW w:w="872" w:type="dxa"/>
            <w:tcBorders>
              <w:top w:val="single" w:sz="4" w:space="0" w:color="auto"/>
              <w:right w:val="single" w:sz="4" w:space="0" w:color="auto"/>
            </w:tcBorders>
          </w:tcPr>
          <w:p w:rsidR="00326C73" w:rsidRPr="00A45996" w:rsidRDefault="00326C73" w:rsidP="00326C73">
            <w:pPr>
              <w:pStyle w:val="MarkTable"/>
              <w:rPr>
                <w:rFonts w:ascii="Arial" w:hAnsi="Arial" w:cs="Arial"/>
                <w:b/>
                <w:bCs/>
                <w:sz w:val="18"/>
              </w:rPr>
            </w:pPr>
          </w:p>
        </w:tc>
        <w:tc>
          <w:tcPr>
            <w:tcW w:w="878" w:type="dxa"/>
            <w:tcBorders>
              <w:top w:val="single" w:sz="4" w:space="0" w:color="auto"/>
              <w:right w:val="single" w:sz="4" w:space="0" w:color="auto"/>
            </w:tcBorders>
          </w:tcPr>
          <w:p w:rsidR="00326C73" w:rsidRPr="00A45996" w:rsidRDefault="00326C73" w:rsidP="00326C73">
            <w:pPr>
              <w:pStyle w:val="MarkTable"/>
              <w:rPr>
                <w:rFonts w:ascii="Arial" w:hAnsi="Arial" w:cs="Arial"/>
                <w:b/>
                <w:bCs/>
                <w:sz w:val="18"/>
              </w:rPr>
            </w:pPr>
          </w:p>
        </w:tc>
      </w:tr>
      <w:tr w:rsidR="00326C73" w:rsidRPr="00A45996" w:rsidTr="00326C73">
        <w:trPr>
          <w:cantSplit/>
          <w:trHeight w:val="45"/>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Thrombocytopenia</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35</w:t>
            </w:r>
          </w:p>
        </w:tc>
        <w:tc>
          <w:tcPr>
            <w:tcW w:w="850" w:type="dxa"/>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26</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4</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11</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Anemia</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26</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9</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22</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10</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Neutropenia</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19</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12</w:t>
            </w:r>
          </w:p>
        </w:tc>
        <w:tc>
          <w:tcPr>
            <w:tcW w:w="851"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2</w:t>
            </w:r>
          </w:p>
        </w:tc>
        <w:tc>
          <w:tcPr>
            <w:tcW w:w="829"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2</w:t>
            </w:r>
          </w:p>
        </w:tc>
        <w:tc>
          <w:tcPr>
            <w:tcW w:w="872"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1</w:t>
            </w:r>
          </w:p>
        </w:tc>
        <w:tc>
          <w:tcPr>
            <w:tcW w:w="878"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0</w:t>
            </w:r>
          </w:p>
        </w:tc>
      </w:tr>
      <w:tr w:rsidR="00326C73" w:rsidRPr="00A45996" w:rsidTr="00326C73">
        <w:trPr>
          <w:cantSplit/>
          <w:trHeight w:val="270"/>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Psychiatric disorders</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sz w:val="18"/>
              </w:rPr>
            </w:pP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r>
      <w:tr w:rsidR="00326C73" w:rsidRPr="00A45996" w:rsidTr="00326C73">
        <w:trPr>
          <w:cantSplit/>
          <w:trHeight w:val="270"/>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General</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35</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3</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49</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r>
      <w:tr w:rsidR="00326C73" w:rsidRPr="00A45996" w:rsidTr="00326C73">
        <w:trPr>
          <w:cantSplit/>
          <w:trHeight w:val="270"/>
          <w:jc w:val="center"/>
        </w:trPr>
        <w:tc>
          <w:tcPr>
            <w:tcW w:w="3218" w:type="dxa"/>
            <w:tcBorders>
              <w:left w:val="single" w:sz="4" w:space="0" w:color="auto"/>
              <w:bottom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Insomnia</w:t>
            </w:r>
          </w:p>
        </w:tc>
        <w:tc>
          <w:tcPr>
            <w:tcW w:w="825" w:type="dxa"/>
            <w:tcBorders>
              <w:left w:val="single" w:sz="4" w:space="0" w:color="auto"/>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18</w:t>
            </w:r>
          </w:p>
        </w:tc>
        <w:tc>
          <w:tcPr>
            <w:tcW w:w="850" w:type="dxa"/>
            <w:tcBorders>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27</w:t>
            </w:r>
          </w:p>
        </w:tc>
        <w:tc>
          <w:tcPr>
            <w:tcW w:w="872"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78"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Metabolic and Nutritional Disorders</w:t>
            </w:r>
            <w:r w:rsidRPr="00A45996">
              <w:rPr>
                <w:rFonts w:ascii="Arial" w:hAnsi="Arial" w:cs="Arial"/>
                <w:b/>
                <w:bCs/>
                <w:sz w:val="18"/>
              </w:rPr>
              <w:tab/>
            </w:r>
            <w:r w:rsidRPr="00A45996">
              <w:rPr>
                <w:rFonts w:ascii="Arial" w:hAnsi="Arial" w:cs="Arial"/>
                <w:b/>
                <w:bCs/>
                <w:sz w:val="18"/>
              </w:rPr>
              <w:tab/>
            </w:r>
            <w:r w:rsidRPr="00A45996">
              <w:rPr>
                <w:rFonts w:ascii="Arial" w:hAnsi="Arial" w:cs="Arial"/>
                <w:b/>
                <w:bCs/>
                <w:sz w:val="18"/>
              </w:rPr>
              <w:tab/>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sz w:val="18"/>
              </w:rPr>
            </w:pP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sz w:val="18"/>
              </w:rPr>
            </w:pP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Appetite decreased and anorexia</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34</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3</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9</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0"/>
          <w:jc w:val="center"/>
        </w:trPr>
        <w:tc>
          <w:tcPr>
            <w:tcW w:w="3218" w:type="dxa"/>
            <w:tcBorders>
              <w:top w:val="single" w:sz="4" w:space="0" w:color="auto"/>
              <w:left w:val="single" w:sz="4" w:space="0" w:color="auto"/>
              <w:bottom w:val="nil"/>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Respiratory System disorders</w:t>
            </w:r>
          </w:p>
        </w:tc>
        <w:tc>
          <w:tcPr>
            <w:tcW w:w="825" w:type="dxa"/>
            <w:tcBorders>
              <w:top w:val="single" w:sz="4" w:space="0" w:color="auto"/>
              <w:left w:val="single" w:sz="4" w:space="0" w:color="auto"/>
              <w:bottom w:val="nil"/>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bottom w:val="nil"/>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c>
          <w:tcPr>
            <w:tcW w:w="829"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c>
          <w:tcPr>
            <w:tcW w:w="872"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c>
          <w:tcPr>
            <w:tcW w:w="878" w:type="dxa"/>
            <w:tcBorders>
              <w:top w:val="single" w:sz="4" w:space="0" w:color="auto"/>
              <w:bottom w:val="nil"/>
              <w:right w:val="single" w:sz="4" w:space="0" w:color="auto"/>
            </w:tcBorders>
          </w:tcPr>
          <w:p w:rsidR="00326C73" w:rsidRPr="00A45996" w:rsidRDefault="00326C73" w:rsidP="00326C73">
            <w:pPr>
              <w:pStyle w:val="MarkTable"/>
              <w:jc w:val="center"/>
              <w:rPr>
                <w:rFonts w:ascii="Arial" w:hAnsi="Arial" w:cs="Arial"/>
                <w:b/>
                <w:bCs/>
                <w:sz w:val="18"/>
              </w:rPr>
            </w:pPr>
          </w:p>
        </w:tc>
      </w:tr>
      <w:tr w:rsidR="00326C73" w:rsidRPr="00A45996" w:rsidTr="00326C73">
        <w:trPr>
          <w:cantSplit/>
          <w:trHeight w:val="270"/>
          <w:jc w:val="center"/>
        </w:trPr>
        <w:tc>
          <w:tcPr>
            <w:tcW w:w="3218" w:type="dxa"/>
            <w:tcBorders>
              <w:left w:val="single" w:sz="4" w:space="0" w:color="auto"/>
              <w:bottom w:val="nil"/>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Cough</w:t>
            </w:r>
          </w:p>
        </w:tc>
        <w:tc>
          <w:tcPr>
            <w:tcW w:w="825" w:type="dxa"/>
            <w:tcBorders>
              <w:left w:val="single" w:sz="4" w:space="0" w:color="auto"/>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21</w:t>
            </w:r>
          </w:p>
        </w:tc>
        <w:tc>
          <w:tcPr>
            <w:tcW w:w="850" w:type="dxa"/>
            <w:tcBorders>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11</w:t>
            </w:r>
          </w:p>
        </w:tc>
        <w:tc>
          <w:tcPr>
            <w:tcW w:w="872"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0"/>
          <w:jc w:val="center"/>
        </w:trPr>
        <w:tc>
          <w:tcPr>
            <w:tcW w:w="3218" w:type="dxa"/>
            <w:tcBorders>
              <w:left w:val="single" w:sz="4" w:space="0" w:color="auto"/>
              <w:bottom w:val="nil"/>
              <w:right w:val="single" w:sz="4" w:space="0" w:color="auto"/>
            </w:tcBorders>
          </w:tcPr>
          <w:p w:rsidR="00326C73" w:rsidRPr="00A45996" w:rsidRDefault="00326C73" w:rsidP="00326C73">
            <w:pPr>
              <w:pStyle w:val="MarkTable"/>
              <w:ind w:left="417" w:firstLine="0"/>
              <w:rPr>
                <w:rFonts w:ascii="Arial" w:hAnsi="Arial" w:cs="Arial"/>
                <w:sz w:val="18"/>
              </w:rPr>
            </w:pPr>
            <w:proofErr w:type="spellStart"/>
            <w:r w:rsidRPr="00A45996">
              <w:rPr>
                <w:rFonts w:ascii="Arial" w:hAnsi="Arial" w:cs="Arial"/>
                <w:sz w:val="18"/>
              </w:rPr>
              <w:t>Dyspnoea</w:t>
            </w:r>
            <w:proofErr w:type="spellEnd"/>
          </w:p>
        </w:tc>
        <w:tc>
          <w:tcPr>
            <w:tcW w:w="825" w:type="dxa"/>
            <w:tcBorders>
              <w:left w:val="single" w:sz="4" w:space="0" w:color="auto"/>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20</w:t>
            </w:r>
          </w:p>
        </w:tc>
        <w:tc>
          <w:tcPr>
            <w:tcW w:w="850" w:type="dxa"/>
            <w:tcBorders>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w:t>
            </w:r>
          </w:p>
        </w:tc>
        <w:tc>
          <w:tcPr>
            <w:tcW w:w="851"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29"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17</w:t>
            </w:r>
          </w:p>
        </w:tc>
        <w:tc>
          <w:tcPr>
            <w:tcW w:w="872"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w:t>
            </w:r>
          </w:p>
        </w:tc>
        <w:tc>
          <w:tcPr>
            <w:tcW w:w="878"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r>
      <w:tr w:rsidR="00326C73" w:rsidRPr="00A45996" w:rsidTr="00326C73">
        <w:trPr>
          <w:cantSplit/>
          <w:trHeight w:val="73"/>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8" w:firstLine="8"/>
              <w:rPr>
                <w:rFonts w:ascii="Arial" w:hAnsi="Arial" w:cs="Arial"/>
                <w:b/>
                <w:bCs/>
                <w:sz w:val="18"/>
              </w:rPr>
            </w:pPr>
            <w:r w:rsidRPr="00A45996">
              <w:rPr>
                <w:rFonts w:ascii="Arial" w:hAnsi="Arial" w:cs="Arial"/>
                <w:b/>
                <w:bCs/>
                <w:sz w:val="18"/>
              </w:rPr>
              <w:t>Skin and subcutaneous tissue disorders</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Pr="00A45996" w:rsidRDefault="00326C73" w:rsidP="00326C73">
            <w:pPr>
              <w:pStyle w:val="MarkTable"/>
              <w:ind w:left="0" w:firstLine="0"/>
              <w:jc w:val="center"/>
              <w:rPr>
                <w:rFonts w:ascii="Arial" w:hAnsi="Arial" w:cs="Arial"/>
                <w:b/>
                <w:bCs/>
                <w:sz w:val="18"/>
              </w:rPr>
            </w:pPr>
          </w:p>
        </w:tc>
        <w:tc>
          <w:tcPr>
            <w:tcW w:w="829" w:type="dxa"/>
            <w:tcBorders>
              <w:top w:val="single" w:sz="4" w:space="0" w:color="auto"/>
              <w:right w:val="single" w:sz="4" w:space="0" w:color="auto"/>
            </w:tcBorders>
          </w:tcPr>
          <w:p w:rsidR="00326C73" w:rsidRPr="00A45996" w:rsidRDefault="00326C73" w:rsidP="00326C73">
            <w:pPr>
              <w:pStyle w:val="MarkTable"/>
              <w:ind w:left="0" w:firstLine="0"/>
              <w:jc w:val="center"/>
              <w:rPr>
                <w:rFonts w:ascii="Arial" w:hAnsi="Arial" w:cs="Arial"/>
                <w:b/>
                <w:bCs/>
                <w:sz w:val="18"/>
              </w:rPr>
            </w:pPr>
          </w:p>
        </w:tc>
        <w:tc>
          <w:tcPr>
            <w:tcW w:w="872" w:type="dxa"/>
            <w:tcBorders>
              <w:top w:val="single" w:sz="4" w:space="0" w:color="auto"/>
              <w:right w:val="single" w:sz="4" w:space="0" w:color="auto"/>
            </w:tcBorders>
          </w:tcPr>
          <w:p w:rsidR="00326C73" w:rsidRPr="00A45996" w:rsidRDefault="00326C73" w:rsidP="00326C73">
            <w:pPr>
              <w:pStyle w:val="MarkTable"/>
              <w:ind w:left="0" w:firstLine="0"/>
              <w:jc w:val="center"/>
              <w:rPr>
                <w:rFonts w:ascii="Arial" w:hAnsi="Arial" w:cs="Arial"/>
                <w:b/>
                <w:bCs/>
                <w:sz w:val="18"/>
              </w:rPr>
            </w:pPr>
          </w:p>
        </w:tc>
        <w:tc>
          <w:tcPr>
            <w:tcW w:w="878" w:type="dxa"/>
            <w:tcBorders>
              <w:top w:val="single" w:sz="4" w:space="0" w:color="auto"/>
              <w:right w:val="single" w:sz="4" w:space="0" w:color="auto"/>
            </w:tcBorders>
          </w:tcPr>
          <w:p w:rsidR="00326C73" w:rsidRPr="00A45996" w:rsidRDefault="00326C73" w:rsidP="00326C73">
            <w:pPr>
              <w:pStyle w:val="MarkTable"/>
              <w:ind w:left="0" w:firstLine="0"/>
              <w:jc w:val="center"/>
              <w:rPr>
                <w:rFonts w:ascii="Arial" w:hAnsi="Arial" w:cs="Arial"/>
                <w:b/>
                <w:bCs/>
                <w:sz w:val="18"/>
              </w:rPr>
            </w:pPr>
          </w:p>
        </w:tc>
      </w:tr>
      <w:tr w:rsidR="00326C73" w:rsidRPr="00A45996" w:rsidTr="00326C73">
        <w:trPr>
          <w:cantSplit/>
          <w:trHeight w:val="6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Rash</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18</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c>
          <w:tcPr>
            <w:tcW w:w="851"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6</w:t>
            </w:r>
          </w:p>
        </w:tc>
        <w:tc>
          <w:tcPr>
            <w:tcW w:w="872"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0</w:t>
            </w:r>
          </w:p>
        </w:tc>
        <w:tc>
          <w:tcPr>
            <w:tcW w:w="878" w:type="dxa"/>
            <w:tcBorders>
              <w:righ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8" w:firstLine="8"/>
              <w:rPr>
                <w:rFonts w:ascii="Arial" w:hAnsi="Arial" w:cs="Arial"/>
                <w:b/>
                <w:bCs/>
                <w:sz w:val="18"/>
              </w:rPr>
            </w:pPr>
            <w:r w:rsidRPr="00A45996">
              <w:rPr>
                <w:rFonts w:ascii="Arial" w:hAnsi="Arial" w:cs="Arial"/>
                <w:b/>
                <w:bCs/>
                <w:sz w:val="18"/>
              </w:rPr>
              <w:t>Infections and infestations</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r>
      <w:tr w:rsidR="00326C73" w:rsidRPr="00A45996" w:rsidTr="00326C73">
        <w:trPr>
          <w:cantSplit/>
          <w:trHeight w:val="270"/>
          <w:jc w:val="center"/>
        </w:trPr>
        <w:tc>
          <w:tcPr>
            <w:tcW w:w="3218" w:type="dxa"/>
            <w:tcBorders>
              <w:left w:val="single" w:sz="4" w:space="0" w:color="auto"/>
              <w:bottom w:val="nil"/>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Lower respiratory/lung infections</w:t>
            </w:r>
          </w:p>
        </w:tc>
        <w:tc>
          <w:tcPr>
            <w:tcW w:w="825" w:type="dxa"/>
            <w:tcBorders>
              <w:left w:val="single" w:sz="4" w:space="0" w:color="auto"/>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15</w:t>
            </w:r>
          </w:p>
        </w:tc>
        <w:tc>
          <w:tcPr>
            <w:tcW w:w="850" w:type="dxa"/>
            <w:tcBorders>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4</w:t>
            </w:r>
          </w:p>
        </w:tc>
        <w:tc>
          <w:tcPr>
            <w:tcW w:w="851"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29"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21</w:t>
            </w:r>
          </w:p>
        </w:tc>
        <w:tc>
          <w:tcPr>
            <w:tcW w:w="872"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w:t>
            </w:r>
          </w:p>
        </w:tc>
        <w:tc>
          <w:tcPr>
            <w:tcW w:w="878"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r>
      <w:tr w:rsidR="00326C73" w:rsidRPr="00A45996" w:rsidTr="00326C73">
        <w:trPr>
          <w:cantSplit/>
          <w:trHeight w:val="270"/>
          <w:jc w:val="center"/>
        </w:trPr>
        <w:tc>
          <w:tcPr>
            <w:tcW w:w="3218" w:type="dxa"/>
            <w:tcBorders>
              <w:left w:val="single" w:sz="4" w:space="0" w:color="auto"/>
              <w:bottom w:val="nil"/>
              <w:right w:val="single" w:sz="4" w:space="0" w:color="auto"/>
            </w:tcBorders>
          </w:tcPr>
          <w:p w:rsidR="00326C73" w:rsidRPr="00A45996" w:rsidRDefault="00326C73" w:rsidP="00326C73">
            <w:pPr>
              <w:pStyle w:val="MarkTable"/>
              <w:ind w:left="417" w:firstLine="0"/>
              <w:rPr>
                <w:rFonts w:ascii="Arial" w:hAnsi="Arial" w:cs="Arial"/>
                <w:sz w:val="18"/>
              </w:rPr>
            </w:pPr>
            <w:proofErr w:type="spellStart"/>
            <w:r w:rsidRPr="00A45996">
              <w:rPr>
                <w:rFonts w:ascii="Arial" w:hAnsi="Arial" w:cs="Arial"/>
                <w:sz w:val="18"/>
              </w:rPr>
              <w:t>Nasopharyngitis</w:t>
            </w:r>
            <w:proofErr w:type="spellEnd"/>
          </w:p>
        </w:tc>
        <w:tc>
          <w:tcPr>
            <w:tcW w:w="825" w:type="dxa"/>
            <w:tcBorders>
              <w:left w:val="single" w:sz="4" w:space="0" w:color="auto"/>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14</w:t>
            </w:r>
          </w:p>
        </w:tc>
        <w:tc>
          <w:tcPr>
            <w:tcW w:w="850" w:type="dxa"/>
            <w:tcBorders>
              <w:bottom w:val="nil"/>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7</w:t>
            </w:r>
          </w:p>
        </w:tc>
        <w:tc>
          <w:tcPr>
            <w:tcW w:w="872"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78" w:type="dxa"/>
            <w:tcBorders>
              <w:bottom w:val="nil"/>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bottom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Herpes zoster</w:t>
            </w:r>
          </w:p>
        </w:tc>
        <w:tc>
          <w:tcPr>
            <w:tcW w:w="825" w:type="dxa"/>
            <w:tcBorders>
              <w:left w:val="single" w:sz="4" w:space="0" w:color="auto"/>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13</w:t>
            </w:r>
          </w:p>
        </w:tc>
        <w:tc>
          <w:tcPr>
            <w:tcW w:w="850" w:type="dxa"/>
            <w:tcBorders>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w:t>
            </w:r>
          </w:p>
        </w:tc>
        <w:tc>
          <w:tcPr>
            <w:tcW w:w="872"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c>
          <w:tcPr>
            <w:tcW w:w="878"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r>
      <w:tr w:rsidR="00326C73" w:rsidRPr="00A45996" w:rsidTr="00326C73">
        <w:trPr>
          <w:cantSplit/>
          <w:trHeight w:val="27"/>
          <w:jc w:val="center"/>
        </w:trPr>
        <w:tc>
          <w:tcPr>
            <w:tcW w:w="3218" w:type="dxa"/>
            <w:tcBorders>
              <w:top w:val="single" w:sz="4" w:space="0" w:color="auto"/>
              <w:left w:val="single" w:sz="4" w:space="0" w:color="auto"/>
              <w:right w:val="single" w:sz="4" w:space="0" w:color="auto"/>
            </w:tcBorders>
          </w:tcPr>
          <w:p w:rsidR="00326C73" w:rsidRPr="00A45996" w:rsidRDefault="00326C73" w:rsidP="00326C73">
            <w:pPr>
              <w:pStyle w:val="MarkTable"/>
              <w:ind w:left="0" w:firstLine="0"/>
              <w:rPr>
                <w:rFonts w:ascii="Arial" w:hAnsi="Arial" w:cs="Arial"/>
                <w:b/>
                <w:bCs/>
                <w:sz w:val="18"/>
              </w:rPr>
            </w:pPr>
            <w:r w:rsidRPr="00A45996">
              <w:rPr>
                <w:rFonts w:ascii="Arial" w:hAnsi="Arial" w:cs="Arial"/>
                <w:b/>
                <w:bCs/>
                <w:sz w:val="18"/>
              </w:rPr>
              <w:t>Musculoskeletal and connective tissue disorders</w:t>
            </w:r>
          </w:p>
        </w:tc>
        <w:tc>
          <w:tcPr>
            <w:tcW w:w="825" w:type="dxa"/>
            <w:tcBorders>
              <w:top w:val="single" w:sz="4" w:space="0" w:color="auto"/>
              <w:left w:val="single" w:sz="4" w:space="0" w:color="auto"/>
            </w:tcBorders>
          </w:tcPr>
          <w:p w:rsidR="00326C73" w:rsidRPr="00A45996"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Pr="00A45996"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Pr="00A45996" w:rsidRDefault="00326C73" w:rsidP="00326C73">
            <w:pPr>
              <w:pStyle w:val="MarkTable"/>
              <w:jc w:val="center"/>
              <w:rPr>
                <w:rFonts w:ascii="Arial" w:hAnsi="Arial" w:cs="Arial"/>
                <w:b/>
                <w:bCs/>
                <w:sz w:val="18"/>
              </w:rPr>
            </w:pP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Bone pain</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16</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4</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15</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3</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Pain in limb</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15</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7</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45"/>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Back pain</w:t>
            </w:r>
          </w:p>
        </w:tc>
        <w:tc>
          <w:tcPr>
            <w:tcW w:w="825" w:type="dxa"/>
            <w:tcBorders>
              <w:left w:val="single" w:sz="4" w:space="0" w:color="auto"/>
            </w:tcBorders>
          </w:tcPr>
          <w:p w:rsidR="00326C73" w:rsidRPr="00A45996" w:rsidRDefault="00326C73" w:rsidP="00326C73">
            <w:pPr>
              <w:pStyle w:val="MarkTable"/>
              <w:ind w:left="0" w:firstLine="0"/>
              <w:jc w:val="center"/>
              <w:rPr>
                <w:rFonts w:ascii="Arial" w:hAnsi="Arial" w:cs="Arial"/>
                <w:sz w:val="18"/>
              </w:rPr>
            </w:pPr>
            <w:r w:rsidRPr="00A45996">
              <w:rPr>
                <w:rFonts w:ascii="Arial" w:hAnsi="Arial" w:cs="Arial"/>
                <w:sz w:val="18"/>
              </w:rPr>
              <w:t>14</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3</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10</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Arthralgia</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14</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11</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2</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Muscle cramps</w:t>
            </w:r>
          </w:p>
        </w:tc>
        <w:tc>
          <w:tcPr>
            <w:tcW w:w="825" w:type="dxa"/>
            <w:tcBorders>
              <w:lef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12</w:t>
            </w:r>
          </w:p>
        </w:tc>
        <w:tc>
          <w:tcPr>
            <w:tcW w:w="850" w:type="dxa"/>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51"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15</w:t>
            </w:r>
          </w:p>
        </w:tc>
        <w:tc>
          <w:tcPr>
            <w:tcW w:w="872"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r w:rsidR="00326C73" w:rsidRPr="00A45996" w:rsidTr="00326C73">
        <w:trPr>
          <w:cantSplit/>
          <w:trHeight w:val="27"/>
          <w:jc w:val="center"/>
        </w:trPr>
        <w:tc>
          <w:tcPr>
            <w:tcW w:w="3218" w:type="dxa"/>
            <w:tcBorders>
              <w:left w:val="single" w:sz="4" w:space="0" w:color="auto"/>
              <w:bottom w:val="single" w:sz="4" w:space="0" w:color="auto"/>
              <w:right w:val="single" w:sz="4" w:space="0" w:color="auto"/>
            </w:tcBorders>
          </w:tcPr>
          <w:p w:rsidR="00326C73" w:rsidRPr="00A45996" w:rsidRDefault="00326C73" w:rsidP="00326C73">
            <w:pPr>
              <w:pStyle w:val="MarkTable"/>
              <w:ind w:left="417" w:firstLine="0"/>
              <w:rPr>
                <w:rFonts w:ascii="Arial" w:hAnsi="Arial" w:cs="Arial"/>
                <w:sz w:val="18"/>
              </w:rPr>
            </w:pPr>
            <w:r w:rsidRPr="00A45996">
              <w:rPr>
                <w:rFonts w:ascii="Arial" w:hAnsi="Arial" w:cs="Arial"/>
                <w:sz w:val="18"/>
              </w:rPr>
              <w:t>Myalgia</w:t>
            </w:r>
          </w:p>
        </w:tc>
        <w:tc>
          <w:tcPr>
            <w:tcW w:w="825" w:type="dxa"/>
            <w:tcBorders>
              <w:left w:val="single" w:sz="4" w:space="0" w:color="auto"/>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12</w:t>
            </w:r>
          </w:p>
        </w:tc>
        <w:tc>
          <w:tcPr>
            <w:tcW w:w="850" w:type="dxa"/>
            <w:tcBorders>
              <w:bottom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51"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c>
          <w:tcPr>
            <w:tcW w:w="829"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5</w:t>
            </w:r>
          </w:p>
        </w:tc>
        <w:tc>
          <w:tcPr>
            <w:tcW w:w="872"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&lt;1</w:t>
            </w:r>
          </w:p>
        </w:tc>
        <w:tc>
          <w:tcPr>
            <w:tcW w:w="878" w:type="dxa"/>
            <w:tcBorders>
              <w:bottom w:val="single" w:sz="4" w:space="0" w:color="auto"/>
              <w:right w:val="single" w:sz="4" w:space="0" w:color="auto"/>
            </w:tcBorders>
          </w:tcPr>
          <w:p w:rsidR="00326C73" w:rsidRPr="00A45996" w:rsidRDefault="00326C73" w:rsidP="00326C73">
            <w:pPr>
              <w:pStyle w:val="MarkTable"/>
              <w:jc w:val="center"/>
              <w:rPr>
                <w:rFonts w:ascii="Arial" w:hAnsi="Arial" w:cs="Arial"/>
                <w:sz w:val="18"/>
              </w:rPr>
            </w:pPr>
            <w:r w:rsidRPr="00A45996">
              <w:rPr>
                <w:rFonts w:ascii="Arial" w:hAnsi="Arial" w:cs="Arial"/>
                <w:sz w:val="18"/>
              </w:rPr>
              <w:t>0</w:t>
            </w:r>
          </w:p>
        </w:tc>
      </w:tr>
    </w:tbl>
    <w:p w:rsidR="00326C73" w:rsidRPr="00A45996" w:rsidRDefault="00326C73" w:rsidP="00326C73">
      <w:pPr>
        <w:pStyle w:val="tablebodyChar"/>
        <w:suppressAutoHyphens w:val="0"/>
        <w:autoSpaceDE w:val="0"/>
        <w:autoSpaceDN w:val="0"/>
        <w:adjustRightInd w:val="0"/>
        <w:spacing w:before="0" w:after="0"/>
        <w:rPr>
          <w:rFonts w:ascii="Arial" w:hAnsi="Arial"/>
          <w:sz w:val="16"/>
          <w:szCs w:val="22"/>
          <w:lang w:val="en-AU"/>
        </w:rPr>
      </w:pPr>
      <w:r w:rsidRPr="00A45996">
        <w:rPr>
          <w:rFonts w:ascii="Arial" w:hAnsi="Arial"/>
          <w:sz w:val="16"/>
          <w:lang w:val="en-AU"/>
        </w:rPr>
        <w:t>*Peripheral neuropathy includes all terms under peripheral neuropathy not elsewhere classified (NEC), (Peripheral neuropathy not otherwise specified (NOS), peripheral neuropathy aggravated, peripheral sensory neuropathy and peripheral motor neuropathy and neuropathy NOS).</w:t>
      </w:r>
    </w:p>
    <w:p w:rsidR="00326C73" w:rsidRPr="00A45996" w:rsidRDefault="00326C73" w:rsidP="00326C73">
      <w:pPr>
        <w:keepLines w:val="0"/>
        <w:autoSpaceDE w:val="0"/>
        <w:autoSpaceDN w:val="0"/>
        <w:adjustRightInd w:val="0"/>
        <w:jc w:val="left"/>
        <w:rPr>
          <w:rFonts w:ascii="TimesNewRomanPSMT" w:hAnsi="TimesNewRomanPSMT"/>
          <w:sz w:val="22"/>
          <w:szCs w:val="22"/>
          <w:lang w:val="en-US"/>
        </w:rPr>
      </w:pPr>
    </w:p>
    <w:p w:rsidR="00F511BE" w:rsidRPr="00A45996" w:rsidRDefault="00F511BE" w:rsidP="00326C73">
      <w:pPr>
        <w:keepLines w:val="0"/>
        <w:autoSpaceDE w:val="0"/>
        <w:autoSpaceDN w:val="0"/>
        <w:adjustRightInd w:val="0"/>
        <w:jc w:val="left"/>
        <w:rPr>
          <w:rFonts w:ascii="TimesNewRomanPSMT" w:hAnsi="TimesNewRomanPSMT"/>
          <w:sz w:val="22"/>
          <w:szCs w:val="22"/>
          <w:lang w:val="en-US"/>
        </w:rPr>
      </w:pPr>
    </w:p>
    <w:p w:rsidR="002276F4" w:rsidRPr="00A45996" w:rsidRDefault="002276F4" w:rsidP="002276F4">
      <w:pPr>
        <w:rPr>
          <w:b/>
          <w:i/>
          <w:sz w:val="22"/>
          <w:szCs w:val="22"/>
        </w:rPr>
      </w:pPr>
      <w:r w:rsidRPr="00A45996">
        <w:rPr>
          <w:b/>
          <w:i/>
          <w:sz w:val="22"/>
          <w:szCs w:val="22"/>
        </w:rPr>
        <w:lastRenderedPageBreak/>
        <w:t xml:space="preserve">Summary of Clinical Trials of VELCADE IV vs. SC in patients with </w:t>
      </w:r>
      <w:proofErr w:type="gramStart"/>
      <w:r w:rsidRPr="00A45996">
        <w:rPr>
          <w:b/>
          <w:i/>
          <w:sz w:val="22"/>
          <w:szCs w:val="22"/>
        </w:rPr>
        <w:t>relapsed</w:t>
      </w:r>
      <w:proofErr w:type="gramEnd"/>
      <w:r w:rsidRPr="00A45996">
        <w:rPr>
          <w:b/>
          <w:i/>
          <w:sz w:val="22"/>
          <w:szCs w:val="22"/>
        </w:rPr>
        <w:t xml:space="preserve"> multiple myeloma:</w:t>
      </w:r>
    </w:p>
    <w:p w:rsidR="002276F4" w:rsidRPr="00A45996" w:rsidRDefault="002276F4" w:rsidP="002276F4">
      <w:pPr>
        <w:rPr>
          <w:i/>
        </w:rPr>
      </w:pPr>
    </w:p>
    <w:p w:rsidR="002276F4" w:rsidRPr="00A45996" w:rsidRDefault="002276F4" w:rsidP="002276F4">
      <w:pPr>
        <w:rPr>
          <w:sz w:val="22"/>
          <w:szCs w:val="22"/>
        </w:rPr>
      </w:pPr>
      <w:r w:rsidRPr="00A45996">
        <w:rPr>
          <w:sz w:val="22"/>
          <w:szCs w:val="22"/>
        </w:rPr>
        <w:t>The safety and efficacy of VELCADE SC were evaluated in one Phase III study at the recommended dose of 1.3 mg/m</w:t>
      </w:r>
      <w:r w:rsidRPr="00A45996">
        <w:rPr>
          <w:sz w:val="22"/>
          <w:szCs w:val="22"/>
          <w:vertAlign w:val="superscript"/>
        </w:rPr>
        <w:t>2</w:t>
      </w:r>
      <w:r w:rsidRPr="00A45996">
        <w:rPr>
          <w:sz w:val="22"/>
          <w:szCs w:val="22"/>
        </w:rPr>
        <w:t xml:space="preserve">. This was a randomized, comparative study of VELCADE IV vs. SC in 222 patients with relapsed multiple myeloma. </w:t>
      </w:r>
    </w:p>
    <w:p w:rsidR="002276F4" w:rsidRPr="00A45996" w:rsidRDefault="002276F4" w:rsidP="002276F4"/>
    <w:p w:rsidR="002276F4" w:rsidRPr="00A45996" w:rsidRDefault="002276F4" w:rsidP="002276F4">
      <w:pPr>
        <w:jc w:val="left"/>
        <w:rPr>
          <w:b/>
          <w:sz w:val="20"/>
        </w:rPr>
      </w:pPr>
      <w:r w:rsidRPr="00A45996">
        <w:rPr>
          <w:b/>
          <w:sz w:val="20"/>
        </w:rPr>
        <w:t xml:space="preserve">Table </w:t>
      </w:r>
      <w:r w:rsidR="007B3AD3" w:rsidRPr="00A45996">
        <w:rPr>
          <w:b/>
          <w:sz w:val="20"/>
        </w:rPr>
        <w:t>17</w:t>
      </w:r>
      <w:r w:rsidRPr="00A45996">
        <w:rPr>
          <w:b/>
          <w:sz w:val="20"/>
        </w:rPr>
        <w:t xml:space="preserve">: Incidence of VELCADE Adverse Drug Reactions reported in </w:t>
      </w:r>
      <w:r w:rsidRPr="00A45996">
        <w:rPr>
          <w:b/>
          <w:bCs/>
          <w:sz w:val="20"/>
        </w:rPr>
        <w:t xml:space="preserve">≥ 10% of patients </w:t>
      </w:r>
      <w:r w:rsidRPr="00A45996">
        <w:rPr>
          <w:b/>
          <w:sz w:val="20"/>
        </w:rPr>
        <w:t>in the Phase 3 Relapsed</w:t>
      </w:r>
      <w:r w:rsidRPr="00A45996">
        <w:rPr>
          <w:b/>
          <w:bCs/>
          <w:sz w:val="20"/>
        </w:rPr>
        <w:t xml:space="preserve"> Multiple Myeloma</w:t>
      </w:r>
      <w:r w:rsidRPr="00A45996">
        <w:rPr>
          <w:sz w:val="20"/>
        </w:rPr>
        <w:t xml:space="preserve"> </w:t>
      </w:r>
      <w:r w:rsidRPr="00A45996">
        <w:rPr>
          <w:b/>
          <w:sz w:val="20"/>
        </w:rPr>
        <w:t>Study comparing VELCADE IV and SC</w:t>
      </w:r>
    </w:p>
    <w:tbl>
      <w:tblPr>
        <w:tblW w:w="0" w:type="auto"/>
        <w:tblCellMar>
          <w:left w:w="0" w:type="dxa"/>
          <w:right w:w="0" w:type="dxa"/>
        </w:tblCellMar>
        <w:tblLook w:val="0000" w:firstRow="0" w:lastRow="0" w:firstColumn="0" w:lastColumn="0" w:noHBand="0" w:noVBand="0"/>
      </w:tblPr>
      <w:tblGrid>
        <w:gridCol w:w="3786"/>
        <w:gridCol w:w="794"/>
        <w:gridCol w:w="10"/>
        <w:gridCol w:w="1086"/>
        <w:gridCol w:w="781"/>
        <w:gridCol w:w="834"/>
        <w:gridCol w:w="10"/>
        <w:gridCol w:w="1055"/>
        <w:gridCol w:w="811"/>
        <w:gridCol w:w="6"/>
      </w:tblGrid>
      <w:tr w:rsidR="002276F4" w:rsidRPr="00A45996" w:rsidTr="002276F4">
        <w:trPr>
          <w:gridAfter w:val="1"/>
        </w:trPr>
        <w:tc>
          <w:tcPr>
            <w:tcW w:w="0" w:type="auto"/>
            <w:tcBorders>
              <w:top w:val="single" w:sz="6" w:space="0" w:color="auto"/>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gridSpan w:val="4"/>
            <w:tcBorders>
              <w:top w:val="single" w:sz="6" w:space="0" w:color="auto"/>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 IV -------------------</w:t>
            </w:r>
          </w:p>
        </w:tc>
        <w:tc>
          <w:tcPr>
            <w:tcW w:w="0" w:type="auto"/>
            <w:gridSpan w:val="4"/>
            <w:tcBorders>
              <w:top w:val="single" w:sz="6" w:space="0" w:color="auto"/>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 SC -------------------</w:t>
            </w:r>
          </w:p>
        </w:tc>
      </w:tr>
      <w:tr w:rsidR="002276F4" w:rsidRPr="00A45996" w:rsidTr="002276F4">
        <w:trPr>
          <w:gridAfter w:val="1"/>
        </w:trPr>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gridSpan w:val="4"/>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(N=74)</w:t>
            </w:r>
          </w:p>
        </w:tc>
        <w:tc>
          <w:tcPr>
            <w:tcW w:w="0" w:type="auto"/>
            <w:gridSpan w:val="4"/>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(N=147)</w:t>
            </w:r>
          </w:p>
        </w:tc>
      </w:tr>
      <w:tr w:rsidR="002276F4" w:rsidRPr="00A45996" w:rsidTr="002276F4">
        <w:trPr>
          <w:gridAfter w:val="1"/>
        </w:trPr>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roofErr w:type="spellStart"/>
            <w:r w:rsidRPr="00A45996">
              <w:rPr>
                <w:rFonts w:cs="Arial"/>
                <w:b/>
                <w:bCs/>
                <w:sz w:val="18"/>
                <w:szCs w:val="18"/>
              </w:rPr>
              <w:t>MedDRA</w:t>
            </w:r>
            <w:proofErr w:type="spellEnd"/>
            <w:r w:rsidRPr="00A45996">
              <w:rPr>
                <w:rFonts w:cs="Arial"/>
                <w:b/>
                <w:bCs/>
                <w:sz w:val="18"/>
                <w:szCs w:val="18"/>
              </w:rPr>
              <w:t xml:space="preserve"> System Organ Class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Total</w:t>
            </w:r>
          </w:p>
        </w:tc>
        <w:tc>
          <w:tcPr>
            <w:tcW w:w="0" w:type="auto"/>
            <w:gridSpan w:val="3"/>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 Toxicity Grade, n (%) ----</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Total</w:t>
            </w:r>
          </w:p>
        </w:tc>
        <w:tc>
          <w:tcPr>
            <w:tcW w:w="0" w:type="auto"/>
            <w:gridSpan w:val="3"/>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 Toxicity Grade, n (%) ----</w:t>
            </w:r>
          </w:p>
        </w:tc>
      </w:tr>
      <w:tr w:rsidR="002276F4" w:rsidRPr="00A45996" w:rsidTr="002276F4">
        <w:trPr>
          <w:gridAfter w:val="1"/>
        </w:trPr>
        <w:tc>
          <w:tcPr>
            <w:tcW w:w="0" w:type="auto"/>
            <w:tcBorders>
              <w:top w:val="nil"/>
              <w:left w:val="nil"/>
              <w:bottom w:val="single" w:sz="6" w:space="0" w:color="auto"/>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Preferred Term</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proofErr w:type="gramStart"/>
            <w:r w:rsidRPr="00A45996">
              <w:rPr>
                <w:rFonts w:cs="Arial"/>
                <w:sz w:val="18"/>
                <w:szCs w:val="18"/>
              </w:rPr>
              <w:t>n</w:t>
            </w:r>
            <w:proofErr w:type="gramEnd"/>
            <w:r w:rsidRPr="00A45996">
              <w:rPr>
                <w:rFonts w:cs="Arial"/>
                <w:sz w:val="18"/>
                <w:szCs w:val="18"/>
              </w:rPr>
              <w:t xml:space="preserve"> (%)</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3</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 xml:space="preserve"> ≥ 4</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proofErr w:type="gramStart"/>
            <w:r w:rsidRPr="00A45996">
              <w:rPr>
                <w:rFonts w:cs="Arial"/>
                <w:sz w:val="18"/>
                <w:szCs w:val="18"/>
              </w:rPr>
              <w:t>n</w:t>
            </w:r>
            <w:proofErr w:type="gramEnd"/>
            <w:r w:rsidRPr="00A45996">
              <w:rPr>
                <w:rFonts w:cs="Arial"/>
                <w:sz w:val="18"/>
                <w:szCs w:val="18"/>
              </w:rPr>
              <w:t xml:space="preserve"> (%)</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3</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rFonts w:cs="Arial"/>
                <w:sz w:val="18"/>
                <w:szCs w:val="18"/>
              </w:rPr>
            </w:pPr>
            <w:r w:rsidRPr="00A45996">
              <w:rPr>
                <w:rFonts w:cs="Arial"/>
                <w:sz w:val="18"/>
                <w:szCs w:val="18"/>
              </w:rPr>
              <w:t xml:space="preserve"> ≥ 4</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Blood and lymphatic system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Anaemia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26 (35)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6 (8)</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53 (36)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14 (10)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4 (3)</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Leukopenia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16 (22)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4 (5)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29 (20)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9 (6)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Neutropenia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20 (27)</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10 (14)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 (4)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42 (29)</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22 (15)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4 (3)</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Thrombocytopenia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27 (36)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6 (8)</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52 (35)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12 (8)</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7 (5)</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Gastrointestinal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Abdominal pain</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5 (3)</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Abdominal pain upper</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 (2)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Constipation</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11 (15)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21 (14)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Diarrhoea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27 (36)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 (4)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35 (24)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Nausea</w:t>
            </w:r>
          </w:p>
          <w:p w:rsidR="005948A0" w:rsidRPr="00A45996" w:rsidRDefault="005948A0" w:rsidP="002276F4">
            <w:pPr>
              <w:autoSpaceDE w:val="0"/>
              <w:autoSpaceDN w:val="0"/>
              <w:spacing w:before="20" w:after="10"/>
              <w:rPr>
                <w:rFonts w:cs="Arial"/>
                <w:sz w:val="18"/>
                <w:szCs w:val="18"/>
              </w:rPr>
            </w:pPr>
            <w:r w:rsidRPr="00A45996">
              <w:rPr>
                <w:rFonts w:cs="Arial"/>
                <w:sz w:val="18"/>
                <w:szCs w:val="18"/>
              </w:rPr>
              <w:t xml:space="preserve"> Vomiting</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14 (19)</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12 (16)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27 (18)</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17 (12)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3 (2)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General disorders and administration site conditions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Asthenia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14 (19)</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4 (5)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23 (16)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 (2)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Fatigue</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15 (20)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 (4)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17 (12)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 (2)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Pyrexia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12 (16)</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28 (19)</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Infections and infestations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Herpes zoster</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7 (9)</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16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Metabolism and nutrition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Decreased appetite</w:t>
            </w: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7 (9)</w:t>
            </w: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14 (10)</w:t>
            </w: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b/>
                <w:bCs/>
                <w:sz w:val="18"/>
                <w:szCs w:val="18"/>
              </w:rPr>
            </w:pPr>
          </w:p>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Musculoskeletal and connective tissue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Pain in extremity</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 (3)</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Nervous system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Headache</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5 (3)</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Neuralgia</w:t>
            </w:r>
          </w:p>
          <w:p w:rsidR="005948A0" w:rsidRPr="00A45996" w:rsidRDefault="005948A0" w:rsidP="002276F4">
            <w:pPr>
              <w:autoSpaceDE w:val="0"/>
              <w:autoSpaceDN w:val="0"/>
              <w:spacing w:before="20" w:after="10"/>
              <w:rPr>
                <w:rFonts w:cs="Arial"/>
                <w:sz w:val="18"/>
                <w:szCs w:val="18"/>
              </w:rPr>
            </w:pPr>
            <w:r w:rsidRPr="00A45996">
              <w:rPr>
                <w:rFonts w:cs="Arial"/>
                <w:sz w:val="18"/>
                <w:szCs w:val="18"/>
              </w:rPr>
              <w:t xml:space="preserve"> Peripheral sensory neuropathy</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17 (23)</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36 (49)</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7 (9)</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10 (14)</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1 (1)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35 (24)</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51 (35)</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5 (3)</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5 (3)</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p w:rsidR="005948A0" w:rsidRPr="00A45996" w:rsidRDefault="005948A0"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Psychiatric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Insomnia</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8 (11)</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18 (12)</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nil"/>
              <w:right w:val="nil"/>
            </w:tcBorders>
          </w:tcPr>
          <w:p w:rsidR="002276F4" w:rsidRPr="00A45996" w:rsidRDefault="002276F4" w:rsidP="002276F4">
            <w:pPr>
              <w:autoSpaceDE w:val="0"/>
              <w:autoSpaceDN w:val="0"/>
              <w:spacing w:before="20" w:after="10"/>
              <w:rPr>
                <w:rFonts w:cs="Arial"/>
                <w:sz w:val="18"/>
                <w:szCs w:val="18"/>
              </w:rPr>
            </w:pPr>
            <w:r w:rsidRPr="00A45996">
              <w:rPr>
                <w:rFonts w:cs="Arial"/>
                <w:b/>
                <w:bCs/>
                <w:sz w:val="18"/>
                <w:szCs w:val="18"/>
              </w:rPr>
              <w:t>Respiratory, thoracic and mediastinal disorders</w:t>
            </w: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c>
          <w:tcPr>
            <w:tcW w:w="0" w:type="auto"/>
            <w:tcBorders>
              <w:top w:val="nil"/>
              <w:left w:val="nil"/>
              <w:bottom w:val="single" w:sz="6" w:space="0" w:color="auto"/>
              <w:right w:val="nil"/>
            </w:tcBorders>
          </w:tcPr>
          <w:p w:rsidR="002276F4" w:rsidRPr="00A45996" w:rsidRDefault="002276F4" w:rsidP="002276F4">
            <w:pPr>
              <w:autoSpaceDE w:val="0"/>
              <w:autoSpaceDN w:val="0"/>
              <w:spacing w:before="20" w:after="10"/>
              <w:rPr>
                <w:rFonts w:cs="Arial"/>
                <w:sz w:val="18"/>
                <w:szCs w:val="18"/>
              </w:rPr>
            </w:pPr>
            <w:r w:rsidRPr="00A45996">
              <w:rPr>
                <w:rFonts w:cs="Arial"/>
                <w:sz w:val="18"/>
                <w:szCs w:val="18"/>
              </w:rPr>
              <w:t xml:space="preserve"> Dyspnoea</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9 (12)</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 (3)</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11 (7)</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2 (1)</w:t>
            </w:r>
          </w:p>
        </w:tc>
        <w:tc>
          <w:tcPr>
            <w:tcW w:w="0" w:type="auto"/>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rFonts w:cs="Arial"/>
                <w:sz w:val="18"/>
                <w:szCs w:val="18"/>
              </w:rPr>
            </w:pPr>
            <w:r w:rsidRPr="00A45996">
              <w:rPr>
                <w:rFonts w:cs="Arial"/>
                <w:sz w:val="18"/>
                <w:szCs w:val="18"/>
              </w:rPr>
              <w:t xml:space="preserve">   0</w:t>
            </w:r>
          </w:p>
        </w:tc>
        <w:tc>
          <w:tcPr>
            <w:tcW w:w="0" w:type="auto"/>
          </w:tcPr>
          <w:p w:rsidR="002276F4" w:rsidRPr="00A45996" w:rsidRDefault="002276F4" w:rsidP="002276F4">
            <w:pPr>
              <w:rPr>
                <w:rFonts w:cs="Arial"/>
                <w:sz w:val="18"/>
                <w:szCs w:val="18"/>
              </w:rPr>
            </w:pPr>
            <w:r w:rsidRPr="00A45996">
              <w:rPr>
                <w:rFonts w:cs="Arial"/>
                <w:sz w:val="18"/>
                <w:szCs w:val="18"/>
              </w:rPr>
              <w:t xml:space="preserve">  </w:t>
            </w:r>
          </w:p>
        </w:tc>
      </w:tr>
      <w:tr w:rsidR="002276F4" w:rsidRPr="00A45996" w:rsidTr="002276F4">
        <w:trPr>
          <w:gridAfter w:val="1"/>
        </w:trPr>
        <w:tc>
          <w:tcPr>
            <w:tcW w:w="0" w:type="auto"/>
            <w:gridSpan w:val="9"/>
            <w:tcBorders>
              <w:top w:val="nil"/>
              <w:left w:val="nil"/>
              <w:bottom w:val="nil"/>
              <w:right w:val="nil"/>
            </w:tcBorders>
          </w:tcPr>
          <w:p w:rsidR="002276F4" w:rsidRPr="00A45996" w:rsidRDefault="00855C6A" w:rsidP="002276F4">
            <w:pPr>
              <w:autoSpaceDE w:val="0"/>
              <w:autoSpaceDN w:val="0"/>
              <w:rPr>
                <w:sz w:val="16"/>
                <w:szCs w:val="16"/>
              </w:rPr>
            </w:pPr>
            <w:r w:rsidRPr="00A45996">
              <w:rPr>
                <w:sz w:val="16"/>
                <w:szCs w:val="16"/>
              </w:rPr>
              <w:t xml:space="preserve">Note: Percentages in 'Total' column for each group calculated with the number of subjects in each group as denominator. </w:t>
            </w:r>
          </w:p>
        </w:tc>
      </w:tr>
      <w:tr w:rsidR="002276F4" w:rsidRPr="00A45996" w:rsidTr="002276F4">
        <w:trPr>
          <w:gridAfter w:val="1"/>
        </w:trPr>
        <w:tc>
          <w:tcPr>
            <w:tcW w:w="0" w:type="auto"/>
            <w:gridSpan w:val="9"/>
            <w:tcBorders>
              <w:top w:val="nil"/>
              <w:left w:val="nil"/>
              <w:bottom w:val="nil"/>
              <w:right w:val="nil"/>
            </w:tcBorders>
          </w:tcPr>
          <w:p w:rsidR="002276F4" w:rsidRPr="00A45996" w:rsidRDefault="00855C6A" w:rsidP="002276F4">
            <w:pPr>
              <w:autoSpaceDE w:val="0"/>
              <w:autoSpaceDN w:val="0"/>
              <w:rPr>
                <w:sz w:val="16"/>
                <w:szCs w:val="16"/>
              </w:rPr>
            </w:pPr>
            <w:r w:rsidRPr="00A45996">
              <w:rPr>
                <w:sz w:val="16"/>
                <w:szCs w:val="16"/>
              </w:rPr>
              <w:t xml:space="preserve">Percentages of toxicity grade sub-groups calculated with the number of subjects in each group as denominator. </w:t>
            </w:r>
          </w:p>
        </w:tc>
      </w:tr>
    </w:tbl>
    <w:p w:rsidR="002276F4" w:rsidRPr="00A45996" w:rsidRDefault="002276F4" w:rsidP="002276F4">
      <w:pPr>
        <w:rPr>
          <w:b/>
        </w:rPr>
      </w:pPr>
    </w:p>
    <w:p w:rsidR="002276F4" w:rsidRPr="00A45996" w:rsidRDefault="002276F4" w:rsidP="002276F4">
      <w:pPr>
        <w:autoSpaceDE w:val="0"/>
        <w:autoSpaceDN w:val="0"/>
        <w:rPr>
          <w:sz w:val="22"/>
          <w:szCs w:val="22"/>
        </w:rPr>
      </w:pPr>
      <w:r w:rsidRPr="00A45996">
        <w:rPr>
          <w:sz w:val="22"/>
          <w:szCs w:val="22"/>
        </w:rPr>
        <w:t>Although, in general safety data were similar for the IV and SC treatment groups, the following table highlights differences larger than 10% in the overall incidence of adverse drug reactions between the two treatment arms.</w:t>
      </w:r>
    </w:p>
    <w:p w:rsidR="002276F4" w:rsidRPr="00A45996" w:rsidRDefault="002276F4" w:rsidP="002276F4">
      <w:pPr>
        <w:rPr>
          <w:b/>
        </w:rPr>
      </w:pPr>
    </w:p>
    <w:p w:rsidR="002276F4" w:rsidRPr="00A45996" w:rsidRDefault="002276F4" w:rsidP="002276F4">
      <w:pPr>
        <w:jc w:val="left"/>
        <w:rPr>
          <w:b/>
          <w:sz w:val="20"/>
        </w:rPr>
      </w:pPr>
      <w:r w:rsidRPr="00A45996">
        <w:rPr>
          <w:b/>
          <w:sz w:val="20"/>
        </w:rPr>
        <w:lastRenderedPageBreak/>
        <w:t xml:space="preserve">Table </w:t>
      </w:r>
      <w:r w:rsidR="007B3AD3" w:rsidRPr="00A45996">
        <w:rPr>
          <w:b/>
          <w:sz w:val="20"/>
        </w:rPr>
        <w:t>18</w:t>
      </w:r>
      <w:r w:rsidRPr="00A45996">
        <w:rPr>
          <w:b/>
          <w:sz w:val="20"/>
        </w:rPr>
        <w:t>: Incidence of Adverse Drug Reactions with &gt;10% Difference in Overall Incidence between Treatment Arms  in the Phase 3 Relapsed</w:t>
      </w:r>
      <w:r w:rsidRPr="00A45996">
        <w:rPr>
          <w:b/>
          <w:bCs/>
          <w:sz w:val="20"/>
        </w:rPr>
        <w:t xml:space="preserve"> Multiple Myeloma</w:t>
      </w:r>
      <w:r w:rsidRPr="00A45996">
        <w:rPr>
          <w:sz w:val="20"/>
        </w:rPr>
        <w:t xml:space="preserve"> </w:t>
      </w:r>
      <w:r w:rsidRPr="00A45996">
        <w:rPr>
          <w:b/>
          <w:sz w:val="20"/>
        </w:rPr>
        <w:t>Study comparing VELCADE IV and SC, by Toxicity Grade and Discontinuation</w:t>
      </w:r>
    </w:p>
    <w:tbl>
      <w:tblPr>
        <w:tblW w:w="10245" w:type="dxa"/>
        <w:tblLayout w:type="fixed"/>
        <w:tblCellMar>
          <w:left w:w="0" w:type="dxa"/>
          <w:right w:w="0" w:type="dxa"/>
        </w:tblCellMar>
        <w:tblLook w:val="0000" w:firstRow="0" w:lastRow="0" w:firstColumn="0" w:lastColumn="0" w:noHBand="0" w:noVBand="0"/>
      </w:tblPr>
      <w:tblGrid>
        <w:gridCol w:w="4666"/>
        <w:gridCol w:w="871"/>
        <w:gridCol w:w="872"/>
        <w:gridCol w:w="872"/>
        <w:gridCol w:w="872"/>
        <w:gridCol w:w="872"/>
        <w:gridCol w:w="872"/>
        <w:gridCol w:w="348"/>
      </w:tblGrid>
      <w:tr w:rsidR="002276F4" w:rsidRPr="00A45996" w:rsidTr="002276F4">
        <w:trPr>
          <w:gridAfter w:val="1"/>
          <w:wAfter w:w="360" w:type="dxa"/>
        </w:trPr>
        <w:tc>
          <w:tcPr>
            <w:tcW w:w="4833" w:type="dxa"/>
            <w:tcBorders>
              <w:top w:val="single" w:sz="6" w:space="0" w:color="auto"/>
              <w:left w:val="nil"/>
              <w:bottom w:val="nil"/>
              <w:right w:val="nil"/>
            </w:tcBorders>
          </w:tcPr>
          <w:p w:rsidR="002276F4" w:rsidRPr="00A45996" w:rsidRDefault="002276F4" w:rsidP="002276F4">
            <w:pPr>
              <w:autoSpaceDE w:val="0"/>
              <w:autoSpaceDN w:val="0"/>
              <w:spacing w:before="20" w:after="10"/>
              <w:rPr>
                <w:sz w:val="18"/>
                <w:szCs w:val="18"/>
              </w:rPr>
            </w:pPr>
          </w:p>
        </w:tc>
        <w:tc>
          <w:tcPr>
            <w:tcW w:w="2706" w:type="dxa"/>
            <w:gridSpan w:val="3"/>
            <w:tcBorders>
              <w:top w:val="single" w:sz="6" w:space="0" w:color="auto"/>
              <w:left w:val="nil"/>
              <w:bottom w:val="nil"/>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 IV -------------</w:t>
            </w:r>
          </w:p>
        </w:tc>
        <w:tc>
          <w:tcPr>
            <w:tcW w:w="2706" w:type="dxa"/>
            <w:gridSpan w:val="3"/>
            <w:tcBorders>
              <w:top w:val="single" w:sz="6" w:space="0" w:color="auto"/>
              <w:left w:val="nil"/>
              <w:bottom w:val="nil"/>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 SC -------------</w:t>
            </w:r>
          </w:p>
        </w:tc>
      </w:tr>
      <w:tr w:rsidR="002276F4" w:rsidRPr="00A45996" w:rsidTr="002276F4">
        <w:trPr>
          <w:gridAfter w:val="1"/>
          <w:wAfter w:w="360" w:type="dxa"/>
        </w:trPr>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
        </w:tc>
        <w:tc>
          <w:tcPr>
            <w:tcW w:w="2706" w:type="dxa"/>
            <w:gridSpan w:val="3"/>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(N=74)</w:t>
            </w:r>
          </w:p>
        </w:tc>
        <w:tc>
          <w:tcPr>
            <w:tcW w:w="2706" w:type="dxa"/>
            <w:gridSpan w:val="3"/>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(N=147)</w:t>
            </w:r>
          </w:p>
        </w:tc>
      </w:tr>
      <w:tr w:rsidR="002276F4" w:rsidRPr="00A45996" w:rsidTr="002276F4">
        <w:trPr>
          <w:gridAfter w:val="1"/>
          <w:wAfter w:w="360" w:type="dxa"/>
        </w:trPr>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roofErr w:type="spellStart"/>
            <w:r w:rsidRPr="00A45996">
              <w:rPr>
                <w:b/>
                <w:bCs/>
                <w:sz w:val="18"/>
                <w:szCs w:val="18"/>
              </w:rPr>
              <w:t>MedDRA</w:t>
            </w:r>
            <w:proofErr w:type="spellEnd"/>
            <w:r w:rsidRPr="00A45996">
              <w:rPr>
                <w:b/>
                <w:bCs/>
                <w:sz w:val="18"/>
                <w:szCs w:val="18"/>
              </w:rPr>
              <w:t xml:space="preserve"> System Organ Class</w:t>
            </w:r>
          </w:p>
        </w:tc>
        <w:tc>
          <w:tcPr>
            <w:tcW w:w="2706" w:type="dxa"/>
            <w:gridSpan w:val="3"/>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 Category, n (%) -------</w:t>
            </w:r>
          </w:p>
        </w:tc>
        <w:tc>
          <w:tcPr>
            <w:tcW w:w="2706" w:type="dxa"/>
            <w:gridSpan w:val="3"/>
            <w:tcBorders>
              <w:top w:val="nil"/>
              <w:left w:val="nil"/>
              <w:bottom w:val="nil"/>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 Category, n (%) -------</w:t>
            </w:r>
          </w:p>
        </w:tc>
      </w:tr>
      <w:tr w:rsidR="002276F4" w:rsidRPr="00A45996" w:rsidTr="002276F4">
        <w:trPr>
          <w:gridAfter w:val="1"/>
          <w:wAfter w:w="360" w:type="dxa"/>
        </w:trPr>
        <w:tc>
          <w:tcPr>
            <w:tcW w:w="4833" w:type="dxa"/>
            <w:tcBorders>
              <w:top w:val="nil"/>
              <w:left w:val="nil"/>
              <w:bottom w:val="single" w:sz="6" w:space="0" w:color="auto"/>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w:t>
            </w:r>
            <w:proofErr w:type="spellStart"/>
            <w:r w:rsidRPr="00A45996">
              <w:rPr>
                <w:sz w:val="18"/>
                <w:szCs w:val="18"/>
              </w:rPr>
              <w:t>MedDRA</w:t>
            </w:r>
            <w:proofErr w:type="spellEnd"/>
            <w:r w:rsidRPr="00A45996">
              <w:rPr>
                <w:sz w:val="18"/>
                <w:szCs w:val="18"/>
              </w:rPr>
              <w:t xml:space="preserve"> High Level Term</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sz w:val="18"/>
                <w:szCs w:val="18"/>
              </w:rPr>
            </w:pPr>
            <w:proofErr w:type="spellStart"/>
            <w:r w:rsidRPr="00A45996">
              <w:rPr>
                <w:sz w:val="18"/>
                <w:szCs w:val="18"/>
              </w:rPr>
              <w:t>Teae</w:t>
            </w:r>
            <w:proofErr w:type="spellEnd"/>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G ≥ 3</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Disc</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sz w:val="18"/>
                <w:szCs w:val="18"/>
              </w:rPr>
            </w:pPr>
            <w:proofErr w:type="spellStart"/>
            <w:r w:rsidRPr="00A45996">
              <w:rPr>
                <w:sz w:val="18"/>
                <w:szCs w:val="18"/>
              </w:rPr>
              <w:t>Teae</w:t>
            </w:r>
            <w:proofErr w:type="spellEnd"/>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G ≥ 3</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jc w:val="center"/>
              <w:rPr>
                <w:sz w:val="18"/>
                <w:szCs w:val="18"/>
              </w:rPr>
            </w:pPr>
            <w:r w:rsidRPr="00A45996">
              <w:rPr>
                <w:sz w:val="18"/>
                <w:szCs w:val="18"/>
              </w:rPr>
              <w:t>Disc</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All subjects with TEAE</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73 (99)</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52 (70)</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20 (27)</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140 (95)</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84 (57)</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33 (22)</w:t>
            </w: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b/>
                <w:bCs/>
                <w:sz w:val="18"/>
                <w:szCs w:val="18"/>
              </w:rPr>
              <w:t>Gastrointestinal disorders</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Diarrhoea (</w:t>
            </w:r>
            <w:proofErr w:type="spellStart"/>
            <w:r w:rsidRPr="00A45996">
              <w:rPr>
                <w:sz w:val="18"/>
                <w:szCs w:val="18"/>
              </w:rPr>
              <w:t>excl</w:t>
            </w:r>
            <w:proofErr w:type="spellEnd"/>
            <w:r w:rsidRPr="00A45996">
              <w:rPr>
                <w:sz w:val="18"/>
                <w:szCs w:val="18"/>
              </w:rPr>
              <w:t xml:space="preserve"> infective)</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27 (36)</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4 (5)</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 (1)</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35 (24)</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3 (2)</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 (1)</w:t>
            </w: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Gastrointestinal and abdominal pains (</w:t>
            </w:r>
            <w:proofErr w:type="spellStart"/>
            <w:r w:rsidRPr="00A45996">
              <w:rPr>
                <w:sz w:val="18"/>
                <w:szCs w:val="18"/>
              </w:rPr>
              <w:t>excl</w:t>
            </w:r>
            <w:proofErr w:type="spellEnd"/>
            <w:r w:rsidRPr="00A45996">
              <w:rPr>
                <w:sz w:val="18"/>
                <w:szCs w:val="18"/>
              </w:rPr>
              <w:t xml:space="preserve"> oral and throat)</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14 (19)</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0</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0</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9 (6)</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 (1)</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0</w:t>
            </w: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b/>
                <w:bCs/>
                <w:sz w:val="18"/>
                <w:szCs w:val="18"/>
              </w:rPr>
              <w:t>General disorders and administration site conditions</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Asthenic conditions</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29 (39)</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7 (9)</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 (1)</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40 (27)</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6 (4)</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2 (1)</w:t>
            </w: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b/>
                <w:bCs/>
                <w:sz w:val="18"/>
                <w:szCs w:val="18"/>
              </w:rPr>
              <w:t>Infections and infestations</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Upper respiratory tract infections</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19 (26)</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2 (3)</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0</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20 (14)</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0</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0</w:t>
            </w: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nil"/>
              <w:right w:val="nil"/>
            </w:tcBorders>
          </w:tcPr>
          <w:p w:rsidR="002276F4" w:rsidRPr="00A45996" w:rsidRDefault="002276F4" w:rsidP="002276F4">
            <w:pPr>
              <w:autoSpaceDE w:val="0"/>
              <w:autoSpaceDN w:val="0"/>
              <w:spacing w:before="20" w:after="10"/>
              <w:rPr>
                <w:sz w:val="18"/>
                <w:szCs w:val="18"/>
              </w:rPr>
            </w:pPr>
            <w:r w:rsidRPr="00A45996">
              <w:rPr>
                <w:b/>
                <w:bCs/>
                <w:sz w:val="18"/>
                <w:szCs w:val="18"/>
              </w:rPr>
              <w:t>Nervous system disorders</w:t>
            </w: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Pr="00A45996" w:rsidRDefault="002276F4" w:rsidP="002276F4">
            <w:pPr>
              <w:widowControl w:val="0"/>
              <w:autoSpaceDE w:val="0"/>
              <w:autoSpaceDN w:val="0"/>
              <w:adjustRightInd w:val="0"/>
              <w:spacing w:before="20" w:after="10"/>
              <w:rPr>
                <w:sz w:val="18"/>
                <w:szCs w:val="18"/>
              </w:rPr>
            </w:pP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c>
          <w:tcPr>
            <w:tcW w:w="4833" w:type="dxa"/>
            <w:tcBorders>
              <w:top w:val="nil"/>
              <w:left w:val="nil"/>
              <w:bottom w:val="single" w:sz="6" w:space="0" w:color="auto"/>
              <w:right w:val="nil"/>
            </w:tcBorders>
          </w:tcPr>
          <w:p w:rsidR="002276F4" w:rsidRPr="00A45996" w:rsidRDefault="002276F4" w:rsidP="002276F4">
            <w:pPr>
              <w:autoSpaceDE w:val="0"/>
              <w:autoSpaceDN w:val="0"/>
              <w:spacing w:before="20" w:after="10"/>
              <w:rPr>
                <w:sz w:val="18"/>
                <w:szCs w:val="18"/>
              </w:rPr>
            </w:pPr>
            <w:r w:rsidRPr="00A45996">
              <w:rPr>
                <w:sz w:val="18"/>
                <w:szCs w:val="18"/>
              </w:rPr>
              <w:t xml:space="preserve"> Peripheral neuropathies NEC</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39 (53)</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12 (16)</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10 (14)</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56 (38)</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9 (6)</w:t>
            </w:r>
          </w:p>
        </w:tc>
        <w:tc>
          <w:tcPr>
            <w:tcW w:w="902" w:type="dxa"/>
            <w:tcBorders>
              <w:top w:val="nil"/>
              <w:left w:val="nil"/>
              <w:bottom w:val="single" w:sz="6" w:space="0" w:color="auto"/>
              <w:right w:val="nil"/>
            </w:tcBorders>
          </w:tcPr>
          <w:p w:rsidR="002276F4" w:rsidRPr="00A45996" w:rsidRDefault="002276F4" w:rsidP="002276F4">
            <w:pPr>
              <w:widowControl w:val="0"/>
              <w:autoSpaceDE w:val="0"/>
              <w:autoSpaceDN w:val="0"/>
              <w:adjustRightInd w:val="0"/>
              <w:spacing w:before="20" w:after="10"/>
              <w:rPr>
                <w:sz w:val="18"/>
                <w:szCs w:val="18"/>
              </w:rPr>
            </w:pPr>
            <w:r w:rsidRPr="00A45996">
              <w:rPr>
                <w:sz w:val="18"/>
                <w:szCs w:val="18"/>
              </w:rPr>
              <w:t xml:space="preserve">   9 (6)</w:t>
            </w:r>
          </w:p>
        </w:tc>
        <w:tc>
          <w:tcPr>
            <w:tcW w:w="360" w:type="dxa"/>
          </w:tcPr>
          <w:p w:rsidR="002276F4" w:rsidRPr="00A45996" w:rsidRDefault="002276F4" w:rsidP="002276F4">
            <w:pPr>
              <w:rPr>
                <w:sz w:val="18"/>
                <w:szCs w:val="18"/>
              </w:rPr>
            </w:pPr>
            <w:r w:rsidRPr="00A45996">
              <w:rPr>
                <w:sz w:val="18"/>
                <w:szCs w:val="18"/>
              </w:rPr>
              <w:t xml:space="preserve">  </w:t>
            </w:r>
          </w:p>
        </w:tc>
      </w:tr>
      <w:tr w:rsidR="002276F4" w:rsidRPr="00A45996" w:rsidTr="002276F4">
        <w:trPr>
          <w:gridAfter w:val="1"/>
          <w:wAfter w:w="360" w:type="dxa"/>
        </w:trPr>
        <w:tc>
          <w:tcPr>
            <w:tcW w:w="10245" w:type="dxa"/>
            <w:gridSpan w:val="7"/>
            <w:tcBorders>
              <w:top w:val="nil"/>
              <w:left w:val="nil"/>
              <w:bottom w:val="nil"/>
              <w:right w:val="nil"/>
            </w:tcBorders>
          </w:tcPr>
          <w:p w:rsidR="002276F4" w:rsidRPr="00A45996" w:rsidRDefault="00855C6A" w:rsidP="002276F4">
            <w:pPr>
              <w:autoSpaceDE w:val="0"/>
              <w:autoSpaceDN w:val="0"/>
              <w:rPr>
                <w:sz w:val="16"/>
                <w:szCs w:val="16"/>
              </w:rPr>
            </w:pPr>
            <w:r w:rsidRPr="00A45996">
              <w:rPr>
                <w:sz w:val="16"/>
                <w:szCs w:val="16"/>
              </w:rPr>
              <w:t xml:space="preserve">G ≥ 3 = Toxicity Grade greater than equal to 3 </w:t>
            </w:r>
          </w:p>
        </w:tc>
      </w:tr>
      <w:tr w:rsidR="002276F4" w:rsidRPr="00A45996" w:rsidTr="002276F4">
        <w:trPr>
          <w:gridAfter w:val="1"/>
          <w:wAfter w:w="360" w:type="dxa"/>
        </w:trPr>
        <w:tc>
          <w:tcPr>
            <w:tcW w:w="10245" w:type="dxa"/>
            <w:gridSpan w:val="7"/>
            <w:tcBorders>
              <w:top w:val="nil"/>
              <w:left w:val="nil"/>
              <w:bottom w:val="nil"/>
              <w:right w:val="nil"/>
            </w:tcBorders>
          </w:tcPr>
          <w:p w:rsidR="002276F4" w:rsidRPr="00A45996" w:rsidRDefault="00855C6A" w:rsidP="002276F4">
            <w:pPr>
              <w:autoSpaceDE w:val="0"/>
              <w:autoSpaceDN w:val="0"/>
              <w:rPr>
                <w:sz w:val="16"/>
                <w:szCs w:val="16"/>
              </w:rPr>
            </w:pPr>
            <w:r w:rsidRPr="00A45996">
              <w:rPr>
                <w:sz w:val="16"/>
                <w:szCs w:val="16"/>
              </w:rPr>
              <w:t xml:space="preserve">Disc = Discontinuation of any study drug. </w:t>
            </w:r>
          </w:p>
        </w:tc>
      </w:tr>
    </w:tbl>
    <w:p w:rsidR="002276F4" w:rsidRPr="00A45996" w:rsidRDefault="002276F4" w:rsidP="002276F4">
      <w:pPr>
        <w:rPr>
          <w:color w:val="000000"/>
        </w:rPr>
      </w:pPr>
    </w:p>
    <w:p w:rsidR="002276F4" w:rsidRPr="00A45996" w:rsidRDefault="002276F4" w:rsidP="002276F4">
      <w:pPr>
        <w:rPr>
          <w:color w:val="000000"/>
          <w:sz w:val="22"/>
          <w:szCs w:val="22"/>
        </w:rPr>
      </w:pPr>
      <w:r w:rsidRPr="00A45996">
        <w:rPr>
          <w:color w:val="000000"/>
          <w:sz w:val="22"/>
          <w:szCs w:val="22"/>
        </w:rPr>
        <w:t xml:space="preserve">Patients who received VELCADE subcutaneously compared to intravenous administration had </w:t>
      </w:r>
      <w:r w:rsidRPr="00A45996">
        <w:rPr>
          <w:sz w:val="22"/>
          <w:szCs w:val="22"/>
        </w:rPr>
        <w:t>13%</w:t>
      </w:r>
      <w:r w:rsidRPr="00A45996">
        <w:rPr>
          <w:color w:val="000000"/>
          <w:sz w:val="22"/>
          <w:szCs w:val="22"/>
        </w:rPr>
        <w:t xml:space="preserve"> lower overall incidence of treatment emergent adverse drug reactions that were grade 3 or higher in toxicity (57% vs 70% respectively; </w:t>
      </w:r>
      <w:r w:rsidRPr="00A45996">
        <w:rPr>
          <w:i/>
          <w:color w:val="000000"/>
          <w:sz w:val="22"/>
          <w:szCs w:val="22"/>
        </w:rPr>
        <w:t>p</w:t>
      </w:r>
      <w:r w:rsidRPr="00A45996">
        <w:rPr>
          <w:color w:val="000000"/>
          <w:sz w:val="22"/>
          <w:szCs w:val="22"/>
        </w:rPr>
        <w:t xml:space="preserve">-value is 0.0784), and a </w:t>
      </w:r>
      <w:r w:rsidRPr="00A45996">
        <w:rPr>
          <w:sz w:val="22"/>
          <w:szCs w:val="22"/>
        </w:rPr>
        <w:t>5%</w:t>
      </w:r>
      <w:r w:rsidRPr="00A45996">
        <w:rPr>
          <w:color w:val="000000"/>
          <w:sz w:val="22"/>
          <w:szCs w:val="22"/>
        </w:rPr>
        <w:t xml:space="preserve"> lower incidence of discontinuation of VELCADE (22% vs 27%; </w:t>
      </w:r>
      <w:r w:rsidRPr="00A45996">
        <w:rPr>
          <w:i/>
          <w:color w:val="000000"/>
          <w:sz w:val="22"/>
          <w:szCs w:val="22"/>
        </w:rPr>
        <w:t>p</w:t>
      </w:r>
      <w:r w:rsidRPr="00A45996">
        <w:rPr>
          <w:color w:val="000000"/>
          <w:sz w:val="22"/>
          <w:szCs w:val="22"/>
        </w:rPr>
        <w:t xml:space="preserve">-value is 0.5052). The overall incidence of diarrhoea (24% for the SC arm vs 36% for the IV arm; </w:t>
      </w:r>
      <w:r w:rsidRPr="00A45996">
        <w:rPr>
          <w:i/>
          <w:color w:val="000000"/>
          <w:sz w:val="22"/>
          <w:szCs w:val="22"/>
        </w:rPr>
        <w:t>p</w:t>
      </w:r>
      <w:r w:rsidRPr="00A45996">
        <w:rPr>
          <w:color w:val="000000"/>
          <w:sz w:val="22"/>
          <w:szCs w:val="22"/>
        </w:rPr>
        <w:t xml:space="preserve">-value is 0.0572), gastrointestinal and abdominal pain (6% for the SC arm vs 19% for the IV arm; </w:t>
      </w:r>
      <w:r w:rsidRPr="00A45996">
        <w:rPr>
          <w:i/>
          <w:color w:val="000000"/>
          <w:sz w:val="22"/>
          <w:szCs w:val="22"/>
        </w:rPr>
        <w:t>p</w:t>
      </w:r>
      <w:r w:rsidRPr="00A45996">
        <w:rPr>
          <w:color w:val="000000"/>
          <w:sz w:val="22"/>
          <w:szCs w:val="22"/>
        </w:rPr>
        <w:t xml:space="preserve">-value is 0.0049), asthenic conditions (27% for SC arm vs 39% for IV arm), upper respiratory tract infections (14% SC arm vs 26% IV arm; </w:t>
      </w:r>
      <w:r w:rsidRPr="00A45996">
        <w:rPr>
          <w:i/>
          <w:color w:val="000000"/>
          <w:sz w:val="22"/>
          <w:szCs w:val="22"/>
        </w:rPr>
        <w:t>p</w:t>
      </w:r>
      <w:r w:rsidRPr="00A45996">
        <w:rPr>
          <w:color w:val="000000"/>
          <w:sz w:val="22"/>
          <w:szCs w:val="22"/>
        </w:rPr>
        <w:t xml:space="preserve">-value is 0.0903) and peripheral neuropathy NEC (38% SC arm vs 53% IV arm; </w:t>
      </w:r>
      <w:r w:rsidRPr="00A45996">
        <w:rPr>
          <w:i/>
          <w:color w:val="000000"/>
          <w:sz w:val="22"/>
          <w:szCs w:val="22"/>
        </w:rPr>
        <w:t>p</w:t>
      </w:r>
      <w:r w:rsidRPr="00A45996">
        <w:rPr>
          <w:color w:val="000000"/>
          <w:sz w:val="22"/>
          <w:szCs w:val="22"/>
        </w:rPr>
        <w:t xml:space="preserve">-value is 0.0444) were 12%-15% lower in the subcutaneous group than the intravenous group. In addition, the incidence of peripheral neuropathies that were grade 3 or higher in toxicity was 10 % lower (6% for SC vs 16% for IV; </w:t>
      </w:r>
      <w:r w:rsidRPr="00A45996">
        <w:rPr>
          <w:i/>
          <w:color w:val="000000"/>
          <w:sz w:val="22"/>
          <w:szCs w:val="22"/>
        </w:rPr>
        <w:t>p</w:t>
      </w:r>
      <w:r w:rsidRPr="00A45996">
        <w:rPr>
          <w:color w:val="000000"/>
          <w:sz w:val="22"/>
          <w:szCs w:val="22"/>
        </w:rPr>
        <w:t xml:space="preserve">-value is 0.0264), and the discontinuation rate due to peripheral neuropathies was 8% lower for the subcutaneous group (5%) as compared to the intravenous group (14%); </w:t>
      </w:r>
      <w:r w:rsidRPr="00A45996">
        <w:rPr>
          <w:i/>
          <w:color w:val="000000"/>
          <w:sz w:val="22"/>
          <w:szCs w:val="22"/>
        </w:rPr>
        <w:t>p</w:t>
      </w:r>
      <w:r w:rsidRPr="00A45996">
        <w:rPr>
          <w:color w:val="000000"/>
          <w:sz w:val="22"/>
          <w:szCs w:val="22"/>
        </w:rPr>
        <w:t>-value is 0.0771.</w:t>
      </w:r>
    </w:p>
    <w:p w:rsidR="002276F4" w:rsidRPr="00A45996" w:rsidRDefault="002276F4" w:rsidP="002276F4">
      <w:pPr>
        <w:rPr>
          <w:color w:val="1F497D"/>
          <w:sz w:val="22"/>
          <w:szCs w:val="22"/>
        </w:rPr>
      </w:pPr>
    </w:p>
    <w:p w:rsidR="002276F4" w:rsidRPr="00A45996" w:rsidRDefault="00645015" w:rsidP="002276F4">
      <w:pPr>
        <w:rPr>
          <w:sz w:val="22"/>
          <w:szCs w:val="22"/>
        </w:rPr>
      </w:pPr>
      <w:r w:rsidRPr="00A45996">
        <w:rPr>
          <w:sz w:val="22"/>
          <w:szCs w:val="22"/>
        </w:rPr>
        <w:t>58 percent of patients (85/147) developed a reaction at the site of subcutaneous injection</w:t>
      </w:r>
      <w:r w:rsidR="002276F4" w:rsidRPr="00A45996">
        <w:rPr>
          <w:sz w:val="22"/>
          <w:szCs w:val="22"/>
        </w:rPr>
        <w:t>. Only 2 (</w:t>
      </w:r>
      <w:r w:rsidRPr="00A45996">
        <w:rPr>
          <w:sz w:val="22"/>
          <w:szCs w:val="22"/>
        </w:rPr>
        <w:t>1.4</w:t>
      </w:r>
      <w:r w:rsidR="002276F4" w:rsidRPr="00A45996">
        <w:rPr>
          <w:sz w:val="22"/>
          <w:szCs w:val="22"/>
        </w:rPr>
        <w:t>%) subjects were reported as having severe reactions. These severe local reactions were 1 case of pruritus and 1 case of redness. These reactions seldom led to dose modifications and all resolved in a median of 6 days (VELCADE treatment modification based on local reactions was needed in 2 subjects (1 treatment discontinuation; 1 drug withholding and reduction in study drug concentration from 2.5 mg/mL to 1 mg/mL).</w:t>
      </w:r>
    </w:p>
    <w:p w:rsidR="00326C73" w:rsidRPr="00A45996" w:rsidRDefault="00326C73" w:rsidP="00326C73">
      <w:pPr>
        <w:keepLines w:val="0"/>
        <w:autoSpaceDE w:val="0"/>
        <w:autoSpaceDN w:val="0"/>
        <w:adjustRightInd w:val="0"/>
        <w:jc w:val="left"/>
        <w:rPr>
          <w:rFonts w:ascii="TimesNewRomanPSMT" w:hAnsi="TimesNewRomanPSMT"/>
          <w:sz w:val="22"/>
          <w:szCs w:val="22"/>
          <w:lang w:val="en-US"/>
        </w:rPr>
      </w:pPr>
    </w:p>
    <w:p w:rsidR="00326C73" w:rsidRPr="00A45996" w:rsidRDefault="00326C73" w:rsidP="00326C73">
      <w:pPr>
        <w:spacing w:before="20" w:after="80"/>
        <w:rPr>
          <w:rFonts w:cs="Arial"/>
          <w:b/>
          <w:bCs/>
          <w:sz w:val="24"/>
        </w:rPr>
      </w:pPr>
      <w:r w:rsidRPr="00A45996">
        <w:rPr>
          <w:rFonts w:cs="Arial"/>
          <w:b/>
          <w:bCs/>
          <w:sz w:val="24"/>
        </w:rPr>
        <w:t>Serious Adverse Events (SAEs)</w:t>
      </w:r>
    </w:p>
    <w:p w:rsidR="00326C73" w:rsidRPr="00A45996" w:rsidRDefault="00326C73" w:rsidP="00326C73">
      <w:pPr>
        <w:pStyle w:val="Paragraph"/>
        <w:numPr>
          <w:ilvl w:val="0"/>
          <w:numId w:val="0"/>
        </w:numPr>
        <w:suppressAutoHyphens w:val="0"/>
        <w:autoSpaceDE w:val="0"/>
        <w:autoSpaceDN w:val="0"/>
        <w:adjustRightInd w:val="0"/>
        <w:spacing w:before="20" w:after="80" w:line="240" w:lineRule="auto"/>
        <w:jc w:val="both"/>
        <w:rPr>
          <w:rFonts w:ascii="Arial" w:hAnsi="Arial" w:cs="Arial"/>
          <w:szCs w:val="22"/>
        </w:rPr>
      </w:pPr>
      <w:r w:rsidRPr="00A45996">
        <w:rPr>
          <w:rFonts w:ascii="Arial" w:hAnsi="Arial" w:cs="Arial"/>
        </w:rPr>
        <w:t xml:space="preserve">In the APEX study, 44% of patients from the VELCADE treatment arm experienced a SAE during the study, as did 43% of dexamethasone-treated patients.  The most commonly reported SAEs in the VELCADE treatment arm were pyrexia (6%), </w:t>
      </w:r>
      <w:proofErr w:type="spellStart"/>
      <w:r w:rsidRPr="00A45996">
        <w:rPr>
          <w:rFonts w:ascii="Arial" w:hAnsi="Arial" w:cs="Arial"/>
        </w:rPr>
        <w:t>diarrhoea</w:t>
      </w:r>
      <w:proofErr w:type="spellEnd"/>
      <w:r w:rsidRPr="00A45996">
        <w:rPr>
          <w:rFonts w:ascii="Arial" w:hAnsi="Arial" w:cs="Arial"/>
        </w:rPr>
        <w:t xml:space="preserve"> (5%), </w:t>
      </w:r>
      <w:proofErr w:type="spellStart"/>
      <w:r w:rsidRPr="00A45996">
        <w:rPr>
          <w:rFonts w:ascii="Arial" w:hAnsi="Arial" w:cs="Arial"/>
        </w:rPr>
        <w:t>dysponea</w:t>
      </w:r>
      <w:proofErr w:type="spellEnd"/>
      <w:r w:rsidRPr="00A45996">
        <w:rPr>
          <w:rFonts w:ascii="Arial" w:hAnsi="Arial" w:cs="Arial"/>
        </w:rPr>
        <w:t xml:space="preserve"> and pneumonia (4%) and vomiting (3%).  In the dexamethasone group, the most common SAEs were pneumonia (7%), pyrexia (4%) and </w:t>
      </w:r>
      <w:proofErr w:type="spellStart"/>
      <w:r w:rsidRPr="00A45996">
        <w:rPr>
          <w:rFonts w:ascii="Arial" w:hAnsi="Arial" w:cs="Arial"/>
        </w:rPr>
        <w:t>hyperglycaemia</w:t>
      </w:r>
      <w:proofErr w:type="spellEnd"/>
      <w:r w:rsidRPr="00A45996">
        <w:rPr>
          <w:rFonts w:ascii="Arial" w:hAnsi="Arial" w:cs="Arial"/>
        </w:rPr>
        <w:t xml:space="preserve"> (3%).  Twenty five percent (25%) and 18% of VELCADE and dexamethasone patients respectively were discontinued from treatment due to adverse events assessed as drug related by the investigators.  The most common for VELCADE discontinuation was peripheral neuropathy (8%) and for dexamethasone was psychotic disorder and </w:t>
      </w:r>
      <w:proofErr w:type="spellStart"/>
      <w:r w:rsidRPr="00A45996">
        <w:rPr>
          <w:rFonts w:ascii="Arial" w:hAnsi="Arial" w:cs="Arial"/>
        </w:rPr>
        <w:t>hyperglycaemia</w:t>
      </w:r>
      <w:proofErr w:type="spellEnd"/>
      <w:r w:rsidRPr="00A45996">
        <w:rPr>
          <w:rFonts w:ascii="Arial" w:hAnsi="Arial" w:cs="Arial"/>
        </w:rPr>
        <w:t xml:space="preserve"> (2% each).</w:t>
      </w:r>
    </w:p>
    <w:p w:rsidR="00326C73" w:rsidRPr="00A45996" w:rsidRDefault="00326C73" w:rsidP="00326C73">
      <w:pPr>
        <w:pStyle w:val="PIEXPLAIN"/>
        <w:tabs>
          <w:tab w:val="clear" w:pos="-720"/>
        </w:tabs>
        <w:suppressAutoHyphens w:val="0"/>
        <w:autoSpaceDE w:val="0"/>
        <w:autoSpaceDN w:val="0"/>
        <w:adjustRightInd w:val="0"/>
        <w:rPr>
          <w:rFonts w:cs="Arial"/>
          <w:spacing w:val="0"/>
          <w:szCs w:val="22"/>
          <w:lang w:val="en-US"/>
        </w:rPr>
      </w:pPr>
      <w:r w:rsidRPr="00A45996">
        <w:rPr>
          <w:rFonts w:cs="Arial"/>
          <w:spacing w:val="0"/>
          <w:szCs w:val="22"/>
          <w:lang w:val="en-US"/>
        </w:rPr>
        <w:t xml:space="preserve">In the APEX study, 4 deaths were considered to be VELCADE-related:  1 case each of cardiogenic shock, respiratory insufficiency, congestive heart failure and cardiac arrest.  Four (4) deaths were considered dexamethasone–related: 2 cases of sepsis, 1 case of bacterial </w:t>
      </w:r>
      <w:r w:rsidRPr="00A45996">
        <w:rPr>
          <w:rFonts w:cs="Arial"/>
          <w:spacing w:val="0"/>
          <w:szCs w:val="22"/>
          <w:lang w:val="en-US"/>
        </w:rPr>
        <w:lastRenderedPageBreak/>
        <w:t>meningitis and 1 case of sudden death at home.  In the phase II studies 2 deaths were reported and considered by the investigator to be possibly related to VELCADE: 1 case of cardiopulmonary arrest and 1 case of respiratory failure.</w:t>
      </w:r>
    </w:p>
    <w:p w:rsidR="00326C73" w:rsidRPr="00A45996" w:rsidRDefault="00326C73" w:rsidP="00326C73">
      <w:pPr>
        <w:pStyle w:val="PIHEADING2"/>
        <w:keepLines/>
        <w:tabs>
          <w:tab w:val="clear" w:pos="-720"/>
        </w:tabs>
        <w:suppressAutoHyphens w:val="0"/>
        <w:spacing w:before="20"/>
        <w:rPr>
          <w:rFonts w:cs="Arial"/>
          <w:sz w:val="24"/>
        </w:rPr>
      </w:pPr>
      <w:r w:rsidRPr="00A45996">
        <w:rPr>
          <w:rFonts w:cs="Arial"/>
          <w:sz w:val="24"/>
        </w:rPr>
        <w:t xml:space="preserve">Adverse reactions </w:t>
      </w:r>
    </w:p>
    <w:p w:rsidR="00326C73" w:rsidRPr="00A45996" w:rsidRDefault="00326C73" w:rsidP="00326C73">
      <w:pPr>
        <w:pStyle w:val="BodyText"/>
        <w:spacing w:before="20" w:after="80"/>
        <w:jc w:val="both"/>
        <w:rPr>
          <w:rFonts w:ascii="Arial" w:hAnsi="Arial" w:cs="Arial"/>
          <w:b w:val="0"/>
          <w:i w:val="0"/>
          <w:lang w:val="en-US"/>
        </w:rPr>
      </w:pPr>
      <w:r w:rsidRPr="00A45996">
        <w:rPr>
          <w:rFonts w:ascii="Arial" w:hAnsi="Arial" w:cs="Arial"/>
          <w:b w:val="0"/>
          <w:bCs/>
          <w:i w:val="0"/>
          <w:iCs/>
        </w:rPr>
        <w:t>The following adverse reactions were considered to have at least a possible or probable causal relationship to VELCADE by the investigators during 5 non-comparative phase II studies and 1 comparative phase III trial (APEX) in 663 patients with relapsed or refractory multiple myeloma, of whom 331 received VELCADE as single agent. The safety database comprises data from patients with multiple myeloma or B-cell lymphocytic leukaemia. Patients were treated with VELCADE as a single agent, or in combination with dexamethasone.</w:t>
      </w:r>
    </w:p>
    <w:p w:rsidR="00326C73" w:rsidRPr="00A45996" w:rsidRDefault="00326C73" w:rsidP="00326C73">
      <w:pPr>
        <w:pStyle w:val="BodyText"/>
        <w:spacing w:before="20" w:after="80"/>
        <w:jc w:val="both"/>
        <w:rPr>
          <w:rFonts w:ascii="Arial" w:hAnsi="Arial" w:cs="Arial"/>
          <w:b w:val="0"/>
          <w:i w:val="0"/>
        </w:rPr>
      </w:pPr>
      <w:r w:rsidRPr="00A45996">
        <w:rPr>
          <w:rFonts w:ascii="Arial" w:hAnsi="Arial" w:cs="Arial"/>
          <w:b w:val="0"/>
          <w:i w:val="0"/>
        </w:rPr>
        <w:t xml:space="preserve">Adverse drug reactions are listed below by system organ class and frequency.  Frequencies are defined as:  </w:t>
      </w:r>
      <w:r w:rsidRPr="00A45996">
        <w:rPr>
          <w:rFonts w:ascii="Arial" w:hAnsi="Arial" w:cs="Arial"/>
          <w:b w:val="0"/>
          <w:i w:val="0"/>
          <w:lang w:val="en-US"/>
        </w:rPr>
        <w:t>Very common (&gt;1/10); common (&gt;1/100, &lt;1/10); uncommon (&gt;1/1,000, &lt;1/100); rare (&gt;1/10,000, &lt;1/1,000); very rare (&lt;1/10,000), including isolated reports.</w:t>
      </w:r>
    </w:p>
    <w:p w:rsidR="00326C73" w:rsidRPr="00A45996" w:rsidRDefault="00326C73" w:rsidP="00326C73">
      <w:pPr>
        <w:pStyle w:val="SubheaderCharCharCharCharCharCharCharCharCharCharCharCharCharCharCharCharChar"/>
        <w:spacing w:before="120" w:after="80"/>
        <w:jc w:val="both"/>
        <w:rPr>
          <w:rFonts w:ascii="Arial" w:hAnsi="Arial" w:cs="Arial"/>
          <w:b/>
          <w:bCs/>
          <w:lang w:val="en-US"/>
        </w:rPr>
      </w:pPr>
      <w:r w:rsidRPr="00A45996">
        <w:rPr>
          <w:rFonts w:ascii="Arial" w:hAnsi="Arial" w:cs="Arial"/>
          <w:b/>
          <w:bCs/>
          <w:lang w:val="en-US"/>
        </w:rPr>
        <w:t>Infections and infestations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herpes zoster, pneumonia, bronchitis, sinusitis, </w:t>
      </w:r>
      <w:proofErr w:type="spellStart"/>
      <w:r w:rsidRPr="00A45996">
        <w:rPr>
          <w:rFonts w:ascii="Arial" w:hAnsi="Arial" w:cs="Arial"/>
          <w:b w:val="0"/>
          <w:i w:val="0"/>
          <w:lang w:val="en-US"/>
        </w:rPr>
        <w:t>nasopharyngitis</w:t>
      </w:r>
      <w:proofErr w:type="spellEnd"/>
      <w:r w:rsidRPr="00A45996">
        <w:rPr>
          <w:rFonts w:ascii="Arial" w:hAnsi="Arial" w:cs="Arial"/>
          <w:b w:val="0"/>
          <w:i w:val="0"/>
          <w:lang w:val="en-US"/>
        </w:rPr>
        <w:t>, herpes simplex.</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proofErr w:type="spellStart"/>
      <w:r w:rsidRPr="00A45996">
        <w:rPr>
          <w:rFonts w:ascii="Arial" w:hAnsi="Arial" w:cs="Arial"/>
          <w:b w:val="0"/>
          <w:i w:val="0"/>
          <w:lang w:val="en-US"/>
        </w:rPr>
        <w:t>candidal</w:t>
      </w:r>
      <w:proofErr w:type="spellEnd"/>
      <w:r w:rsidRPr="00A45996">
        <w:rPr>
          <w:rFonts w:ascii="Arial" w:hAnsi="Arial" w:cs="Arial"/>
          <w:b w:val="0"/>
          <w:i w:val="0"/>
          <w:lang w:val="en-US"/>
        </w:rPr>
        <w:t xml:space="preserve"> infection, gastroenteritis, upper and lower respiratory tract infection, infection, influenza, fungal infection, sepsis, urinary tract infection, catheter related infection, haemophilus infection, pneumonia pneumococcal, post herpetic neuralgia, </w:t>
      </w:r>
      <w:proofErr w:type="spellStart"/>
      <w:r w:rsidRPr="00A45996">
        <w:rPr>
          <w:rFonts w:ascii="Arial" w:hAnsi="Arial" w:cs="Arial"/>
          <w:b w:val="0"/>
          <w:i w:val="0"/>
          <w:lang w:val="en-US"/>
        </w:rPr>
        <w:t>bacteraemia</w:t>
      </w:r>
      <w:proofErr w:type="spellEnd"/>
      <w:r w:rsidRPr="00A45996">
        <w:rPr>
          <w:rFonts w:ascii="Arial" w:hAnsi="Arial" w:cs="Arial"/>
          <w:b w:val="0"/>
          <w:i w:val="0"/>
          <w:lang w:val="en-US"/>
        </w:rPr>
        <w:t>, blepharitis, bronchopneumonia, cytomegalovirus infection, infectious mononucleosis, varicella, oral candidiasis, pleural infection.</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 xml:space="preserve">Blood and lymphatic system disorders </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Very Common:</w:t>
      </w:r>
      <w:r w:rsidRPr="00A45996">
        <w:rPr>
          <w:rFonts w:ascii="Arial" w:hAnsi="Arial" w:cs="Arial"/>
          <w:b w:val="0"/>
          <w:i w:val="0"/>
          <w:lang w:val="en-US"/>
        </w:rPr>
        <w:tab/>
        <w:t xml:space="preserve">thrombocytopenia (see </w:t>
      </w:r>
      <w:r w:rsidRPr="00A45996">
        <w:rPr>
          <w:rFonts w:ascii="Arial" w:hAnsi="Arial" w:cs="Arial"/>
          <w:bCs/>
          <w:i w:val="0"/>
          <w:lang w:val="en-US"/>
        </w:rPr>
        <w:t>PRECAUTIONS</w:t>
      </w:r>
      <w:r w:rsidRPr="00A45996">
        <w:rPr>
          <w:rFonts w:ascii="Arial" w:hAnsi="Arial" w:cs="Arial"/>
          <w:b w:val="0"/>
          <w:i w:val="0"/>
          <w:lang w:val="en-US"/>
        </w:rPr>
        <w:t xml:space="preserve">), </w:t>
      </w:r>
      <w:proofErr w:type="spellStart"/>
      <w:r w:rsidRPr="00A45996">
        <w:rPr>
          <w:rFonts w:ascii="Arial" w:hAnsi="Arial" w:cs="Arial"/>
          <w:b w:val="0"/>
          <w:i w:val="0"/>
          <w:lang w:val="en-US"/>
        </w:rPr>
        <w:t>anaemia</w:t>
      </w:r>
      <w:proofErr w:type="spellEnd"/>
      <w:r w:rsidRPr="00A45996">
        <w:rPr>
          <w:rFonts w:ascii="Arial" w:hAnsi="Arial" w:cs="Arial"/>
          <w:b w:val="0"/>
          <w:i w:val="0"/>
          <w:lang w:val="en-US"/>
        </w:rPr>
        <w:t>, neutropenia.</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leukopenia, lymphopenia.</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 xml:space="preserve">lymphadenopathy, febrile neutropenia, pancytopenia, </w:t>
      </w:r>
      <w:proofErr w:type="spellStart"/>
      <w:r w:rsidRPr="00A45996">
        <w:rPr>
          <w:rFonts w:ascii="Arial" w:hAnsi="Arial" w:cs="Arial"/>
          <w:b w:val="0"/>
          <w:i w:val="0"/>
          <w:lang w:val="en-US"/>
        </w:rPr>
        <w:t>haemolytic</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anaemia</w:t>
      </w:r>
      <w:proofErr w:type="spellEnd"/>
      <w:r w:rsidRPr="00A45996">
        <w:rPr>
          <w:rFonts w:ascii="Arial" w:hAnsi="Arial" w:cs="Arial"/>
          <w:b w:val="0"/>
          <w:i w:val="0"/>
          <w:lang w:val="en-US"/>
        </w:rPr>
        <w:t>, thrombocytopenic purpura.</w:t>
      </w:r>
    </w:p>
    <w:p w:rsidR="00326C73" w:rsidRPr="00A45996" w:rsidRDefault="00326C73" w:rsidP="00326C73">
      <w:pPr>
        <w:pStyle w:val="BodyText"/>
        <w:spacing w:before="120" w:after="80"/>
        <w:jc w:val="both"/>
        <w:rPr>
          <w:rFonts w:ascii="Arial" w:hAnsi="Arial" w:cs="Arial"/>
          <w:bCs/>
          <w:i w:val="0"/>
          <w:u w:val="single"/>
        </w:rPr>
      </w:pPr>
      <w:r w:rsidRPr="00A45996">
        <w:rPr>
          <w:rFonts w:ascii="Arial" w:hAnsi="Arial" w:cs="Arial"/>
          <w:bCs/>
          <w:i w:val="0"/>
          <w:u w:val="single"/>
        </w:rPr>
        <w:t>Immune system disorders</w:t>
      </w:r>
    </w:p>
    <w:p w:rsidR="00326C73" w:rsidRPr="00A45996" w:rsidRDefault="00326C73" w:rsidP="00326C73">
      <w:pPr>
        <w:pStyle w:val="BodyText"/>
        <w:spacing w:before="20" w:after="80"/>
        <w:jc w:val="both"/>
        <w:rPr>
          <w:rFonts w:ascii="Arial" w:hAnsi="Arial" w:cs="Arial"/>
          <w:b w:val="0"/>
          <w:i w:val="0"/>
        </w:rPr>
      </w:pPr>
      <w:r w:rsidRPr="00A45996">
        <w:rPr>
          <w:rFonts w:ascii="Arial" w:hAnsi="Arial" w:cs="Arial"/>
          <w:b w:val="0"/>
          <w:i w:val="0"/>
        </w:rPr>
        <w:t>Uncommon:</w:t>
      </w:r>
      <w:r w:rsidRPr="00A45996">
        <w:rPr>
          <w:rFonts w:ascii="Arial" w:hAnsi="Arial" w:cs="Arial"/>
          <w:b w:val="0"/>
          <w:i w:val="0"/>
        </w:rPr>
        <w:tab/>
        <w:t xml:space="preserve">   hypersensitivity, </w:t>
      </w:r>
      <w:proofErr w:type="spellStart"/>
      <w:r w:rsidRPr="00A45996">
        <w:rPr>
          <w:rFonts w:ascii="Arial" w:hAnsi="Arial" w:cs="Arial"/>
          <w:b w:val="0"/>
          <w:i w:val="0"/>
        </w:rPr>
        <w:t>immunocomplex</w:t>
      </w:r>
      <w:proofErr w:type="spellEnd"/>
      <w:r w:rsidRPr="00A45996">
        <w:rPr>
          <w:rFonts w:ascii="Arial" w:hAnsi="Arial" w:cs="Arial"/>
          <w:b w:val="0"/>
          <w:i w:val="0"/>
        </w:rPr>
        <w:t xml:space="preserve"> mediated hypersensitivity.</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Metabolism and nutrition</w:t>
      </w:r>
      <w:r w:rsidR="004563BA" w:rsidRPr="00A45996">
        <w:rPr>
          <w:rFonts w:ascii="Arial" w:hAnsi="Arial" w:cs="Arial"/>
          <w:b/>
          <w:bCs/>
          <w:lang w:val="en-US"/>
        </w:rPr>
        <w:t>al</w:t>
      </w:r>
      <w:r w:rsidRPr="00A45996">
        <w:rPr>
          <w:rFonts w:ascii="Arial" w:hAnsi="Arial" w:cs="Arial"/>
          <w:b/>
          <w:bCs/>
          <w:lang w:val="en-US"/>
        </w:rPr>
        <w:t xml:space="preserve"> disorders</w:t>
      </w:r>
    </w:p>
    <w:p w:rsidR="00326C73" w:rsidRPr="00A45996" w:rsidRDefault="00326C73" w:rsidP="00326C73">
      <w:pPr>
        <w:pStyle w:val="BodyText"/>
        <w:spacing w:before="20" w:after="80"/>
        <w:ind w:left="1627" w:hanging="1627"/>
        <w:jc w:val="both"/>
        <w:rPr>
          <w:rFonts w:ascii="Arial" w:hAnsi="Arial" w:cs="Arial"/>
          <w:b w:val="0"/>
          <w:i w:val="0"/>
        </w:rPr>
      </w:pPr>
      <w:r w:rsidRPr="00A45996">
        <w:rPr>
          <w:rFonts w:ascii="Arial" w:hAnsi="Arial" w:cs="Arial"/>
          <w:b w:val="0"/>
          <w:i w:val="0"/>
        </w:rPr>
        <w:t xml:space="preserve">Very </w:t>
      </w:r>
      <w:proofErr w:type="gramStart"/>
      <w:r w:rsidRPr="00A45996">
        <w:rPr>
          <w:rFonts w:ascii="Arial" w:hAnsi="Arial" w:cs="Arial"/>
          <w:b w:val="0"/>
          <w:i w:val="0"/>
        </w:rPr>
        <w:t>Common</w:t>
      </w:r>
      <w:proofErr w:type="gramEnd"/>
      <w:r w:rsidRPr="00A45996">
        <w:rPr>
          <w:rFonts w:ascii="Arial" w:hAnsi="Arial" w:cs="Arial"/>
          <w:b w:val="0"/>
          <w:i w:val="0"/>
        </w:rPr>
        <w:t>:</w:t>
      </w:r>
      <w:r w:rsidRPr="00A45996">
        <w:rPr>
          <w:rFonts w:ascii="Arial" w:hAnsi="Arial" w:cs="Arial"/>
          <w:b w:val="0"/>
          <w:i w:val="0"/>
        </w:rPr>
        <w:tab/>
      </w:r>
      <w:r w:rsidRPr="00A45996">
        <w:rPr>
          <w:rFonts w:ascii="Arial" w:hAnsi="Arial" w:cs="Arial"/>
          <w:b w:val="0"/>
          <w:i w:val="0"/>
          <w:lang w:val="en-US"/>
        </w:rPr>
        <w:t>appetite decreased</w:t>
      </w:r>
      <w:r w:rsidRPr="00A45996">
        <w:rPr>
          <w:rFonts w:ascii="Arial" w:hAnsi="Arial" w:cs="Arial"/>
          <w:b w:val="0"/>
          <w:i w:val="0"/>
        </w:rPr>
        <w:t>.</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dehydration, </w:t>
      </w:r>
      <w:proofErr w:type="spellStart"/>
      <w:r w:rsidRPr="00A45996">
        <w:rPr>
          <w:rFonts w:ascii="Arial" w:hAnsi="Arial" w:cs="Arial"/>
          <w:b w:val="0"/>
          <w:i w:val="0"/>
          <w:lang w:val="en-US"/>
        </w:rPr>
        <w:t>hyperglycaemia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hypokalaemia</w:t>
      </w:r>
      <w:proofErr w:type="spellEnd"/>
      <w:r w:rsidRPr="00A45996">
        <w:rPr>
          <w:rFonts w:ascii="Arial" w:hAnsi="Arial" w:cs="Arial"/>
          <w:b w:val="0"/>
          <w:i w:val="0"/>
          <w:lang w:val="en-US"/>
        </w:rPr>
        <w:t xml:space="preserve">. </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proofErr w:type="spellStart"/>
      <w:r w:rsidRPr="00A45996">
        <w:rPr>
          <w:rFonts w:ascii="Arial" w:hAnsi="Arial" w:cs="Arial"/>
          <w:b w:val="0"/>
          <w:i w:val="0"/>
          <w:lang w:val="en-US"/>
        </w:rPr>
        <w:t>hypercalcaemia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hyperkalaemia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hyperuricaemia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hyponatraemia</w:t>
      </w:r>
      <w:proofErr w:type="spellEnd"/>
      <w:r w:rsidRPr="00A45996">
        <w:rPr>
          <w:rFonts w:ascii="Arial" w:hAnsi="Arial" w:cs="Arial"/>
          <w:b w:val="0"/>
          <w:i w:val="0"/>
          <w:lang w:val="en-US"/>
        </w:rPr>
        <w:t xml:space="preserve">, </w:t>
      </w:r>
      <w:proofErr w:type="spellStart"/>
      <w:r w:rsidRPr="00A45996">
        <w:rPr>
          <w:rFonts w:ascii="Arial" w:hAnsi="Arial" w:cs="Arial"/>
          <w:b w:val="0"/>
          <w:i w:val="0"/>
        </w:rPr>
        <w:t>hypernatraemia</w:t>
      </w:r>
      <w:proofErr w:type="spellEnd"/>
      <w:r w:rsidRPr="00A45996">
        <w:rPr>
          <w:rFonts w:ascii="Arial" w:hAnsi="Arial" w:cs="Arial"/>
          <w:b w:val="0"/>
          <w:i w:val="0"/>
        </w:rPr>
        <w:t>,</w:t>
      </w:r>
      <w:r w:rsidRPr="00A45996">
        <w:rPr>
          <w:rFonts w:ascii="Arial" w:hAnsi="Arial" w:cs="Arial"/>
          <w:b w:val="0"/>
          <w:i w:val="0"/>
          <w:lang w:val="en-US"/>
        </w:rPr>
        <w:t xml:space="preserve"> hypocalcaemia, hypomagnesaemia, </w:t>
      </w:r>
      <w:proofErr w:type="spellStart"/>
      <w:r w:rsidRPr="00A45996">
        <w:rPr>
          <w:rFonts w:ascii="Arial" w:hAnsi="Arial" w:cs="Arial"/>
          <w:b w:val="0"/>
          <w:i w:val="0"/>
          <w:lang w:val="en-US"/>
        </w:rPr>
        <w:t>hypophosphataemia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hypoglycaemia</w:t>
      </w:r>
      <w:proofErr w:type="spellEnd"/>
      <w:r w:rsidRPr="00A45996">
        <w:rPr>
          <w:rFonts w:ascii="Arial" w:hAnsi="Arial" w:cs="Arial"/>
          <w:b w:val="0"/>
          <w:i w:val="0"/>
          <w:lang w:val="en-US"/>
        </w:rPr>
        <w:t>, appetite increased, cachexia, vitamin B12 deficiency</w:t>
      </w:r>
      <w:r w:rsidR="004563BA" w:rsidRPr="00A45996">
        <w:rPr>
          <w:rFonts w:ascii="Arial" w:hAnsi="Arial" w:cs="Arial"/>
          <w:b w:val="0"/>
          <w:i w:val="0"/>
          <w:lang w:val="en-US"/>
        </w:rPr>
        <w:t xml:space="preserve">, </w:t>
      </w:r>
      <w:proofErr w:type="spellStart"/>
      <w:r w:rsidR="004563BA" w:rsidRPr="00A45996">
        <w:rPr>
          <w:rFonts w:ascii="Arial" w:hAnsi="Arial" w:cs="Arial"/>
          <w:b w:val="0"/>
          <w:i w:val="0"/>
          <w:lang w:val="en-US"/>
        </w:rPr>
        <w:t>tumour</w:t>
      </w:r>
      <w:proofErr w:type="spellEnd"/>
      <w:r w:rsidR="004563BA" w:rsidRPr="00A45996">
        <w:rPr>
          <w:rFonts w:ascii="Arial" w:hAnsi="Arial" w:cs="Arial"/>
          <w:b w:val="0"/>
          <w:i w:val="0"/>
          <w:lang w:val="en-US"/>
        </w:rPr>
        <w:t xml:space="preserve"> lysis syndrome (see </w:t>
      </w:r>
      <w:r w:rsidR="004563BA" w:rsidRPr="00A45996">
        <w:rPr>
          <w:rFonts w:ascii="Arial" w:hAnsi="Arial" w:cs="Arial"/>
          <w:i w:val="0"/>
          <w:lang w:val="en-US"/>
        </w:rPr>
        <w:t>PRECAUTIONS</w:t>
      </w:r>
      <w:r w:rsidR="004563BA" w:rsidRPr="00A45996">
        <w:rPr>
          <w:rFonts w:ascii="Arial" w:hAnsi="Arial" w:cs="Arial"/>
          <w:b w:val="0"/>
          <w:i w:val="0"/>
          <w:lang w:val="en-US"/>
        </w:rPr>
        <w:t>)</w:t>
      </w:r>
      <w:r w:rsidRPr="00A45996">
        <w:rPr>
          <w:rFonts w:ascii="Arial" w:hAnsi="Arial" w:cs="Arial"/>
          <w:b w:val="0"/>
          <w:i w:val="0"/>
          <w:lang w:val="en-US"/>
        </w:rPr>
        <w:t>.</w:t>
      </w:r>
    </w:p>
    <w:p w:rsidR="00326C73" w:rsidRPr="00A45996" w:rsidRDefault="00326C73" w:rsidP="00326C73">
      <w:pPr>
        <w:pStyle w:val="BodyText"/>
        <w:spacing w:before="120" w:after="80"/>
        <w:ind w:left="1627" w:hanging="1627"/>
        <w:jc w:val="both"/>
        <w:rPr>
          <w:rFonts w:ascii="Arial" w:hAnsi="Arial" w:cs="Arial"/>
          <w:bCs/>
          <w:i w:val="0"/>
          <w:u w:val="single"/>
          <w:lang w:val="en-US"/>
        </w:rPr>
      </w:pPr>
      <w:r w:rsidRPr="00A45996">
        <w:rPr>
          <w:rFonts w:ascii="Arial" w:hAnsi="Arial" w:cs="Arial"/>
          <w:bCs/>
          <w:i w:val="0"/>
          <w:u w:val="single"/>
          <w:lang w:val="en-US"/>
        </w:rPr>
        <w:t>Endocrine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Inappropriate antidiuretic hormone (ADH) secretion.</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Psychiatric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insomnia, anxiety, confusion, depression.</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proofErr w:type="gramStart"/>
      <w:r w:rsidRPr="00A45996">
        <w:rPr>
          <w:rFonts w:ascii="Arial" w:hAnsi="Arial" w:cs="Arial"/>
          <w:b w:val="0"/>
          <w:i w:val="0"/>
        </w:rPr>
        <w:t xml:space="preserve">agitation, delirium, </w:t>
      </w:r>
      <w:r w:rsidRPr="00A45996">
        <w:rPr>
          <w:rFonts w:ascii="Arial" w:hAnsi="Arial" w:cs="Arial"/>
          <w:b w:val="0"/>
          <w:i w:val="0"/>
          <w:lang w:val="en-US"/>
        </w:rPr>
        <w:t>restlessness, mood swings, mental status changes, sleep</w:t>
      </w:r>
      <w:proofErr w:type="gramEnd"/>
      <w:r w:rsidRPr="00A45996">
        <w:rPr>
          <w:rFonts w:ascii="Arial" w:hAnsi="Arial" w:cs="Arial"/>
          <w:b w:val="0"/>
          <w:i w:val="0"/>
          <w:lang w:val="en-US"/>
        </w:rPr>
        <w:t xml:space="preserve"> disorder, irritability, hallucinations, abnormal dreams.</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lang w:val="en-US"/>
        </w:rPr>
      </w:pPr>
      <w:r w:rsidRPr="00A45996">
        <w:rPr>
          <w:rFonts w:ascii="Arial" w:hAnsi="Arial" w:cs="Arial"/>
          <w:b/>
          <w:bCs/>
          <w:lang w:val="en-US"/>
        </w:rPr>
        <w:t xml:space="preserve">Nervous system disorders </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Very Common:</w:t>
      </w:r>
      <w:r w:rsidRPr="00A45996">
        <w:rPr>
          <w:rFonts w:ascii="Arial" w:hAnsi="Arial" w:cs="Arial"/>
          <w:b w:val="0"/>
          <w:i w:val="0"/>
          <w:lang w:val="en-US"/>
        </w:rPr>
        <w:tab/>
        <w:t xml:space="preserve">peripheral neuropathy, peripheral sensory neuropathy </w:t>
      </w:r>
      <w:r w:rsidRPr="00A45996">
        <w:rPr>
          <w:rFonts w:ascii="Arial" w:hAnsi="Arial" w:cs="Arial"/>
          <w:b w:val="0"/>
          <w:bCs/>
          <w:i w:val="0"/>
          <w:iCs/>
          <w:lang w:val="en-US"/>
        </w:rPr>
        <w:t xml:space="preserve">(see </w:t>
      </w:r>
      <w:r w:rsidRPr="00A45996">
        <w:rPr>
          <w:rFonts w:ascii="Arial" w:hAnsi="Arial" w:cs="Arial"/>
          <w:i w:val="0"/>
          <w:iCs/>
          <w:lang w:val="en-US"/>
        </w:rPr>
        <w:t>PRECAUTIONS</w:t>
      </w:r>
      <w:r w:rsidRPr="00A45996">
        <w:rPr>
          <w:rFonts w:ascii="Arial" w:hAnsi="Arial" w:cs="Arial"/>
          <w:b w:val="0"/>
          <w:bCs/>
          <w:i w:val="0"/>
          <w:iCs/>
          <w:lang w:val="en-US"/>
        </w:rPr>
        <w:t>)</w:t>
      </w:r>
      <w:r w:rsidRPr="00A45996">
        <w:rPr>
          <w:rFonts w:ascii="Arial" w:hAnsi="Arial" w:cs="Arial"/>
          <w:b w:val="0"/>
          <w:i w:val="0"/>
          <w:lang w:val="en-US"/>
        </w:rPr>
        <w:t xml:space="preserve">, headache, </w:t>
      </w:r>
      <w:proofErr w:type="spellStart"/>
      <w:r w:rsidRPr="00A45996">
        <w:rPr>
          <w:rFonts w:ascii="Arial" w:hAnsi="Arial" w:cs="Arial"/>
          <w:b w:val="0"/>
          <w:i w:val="0"/>
          <w:lang w:val="en-US"/>
        </w:rPr>
        <w:t>paraesthesia</w:t>
      </w:r>
      <w:proofErr w:type="spellEnd"/>
      <w:r w:rsidRPr="00A45996">
        <w:rPr>
          <w:rFonts w:ascii="Arial" w:hAnsi="Arial" w:cs="Arial"/>
          <w:b w:val="0"/>
          <w:i w:val="0"/>
          <w:lang w:val="en-US"/>
        </w:rPr>
        <w:t>.</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dizziness (excluding vertigo), </w:t>
      </w:r>
      <w:proofErr w:type="spellStart"/>
      <w:r w:rsidRPr="00A45996">
        <w:rPr>
          <w:rFonts w:ascii="Arial" w:hAnsi="Arial" w:cs="Arial"/>
          <w:b w:val="0"/>
          <w:i w:val="0"/>
          <w:lang w:val="en-US"/>
        </w:rPr>
        <w:t>dysgeusia</w:t>
      </w:r>
      <w:proofErr w:type="spellEnd"/>
      <w:r w:rsidRPr="00A45996">
        <w:rPr>
          <w:rFonts w:ascii="Arial" w:hAnsi="Arial" w:cs="Arial"/>
          <w:b w:val="0"/>
          <w:i w:val="0"/>
          <w:lang w:val="en-US"/>
        </w:rPr>
        <w:t xml:space="preserve">, peripheral neuropathy aggravated, polyneuropathy, </w:t>
      </w:r>
      <w:proofErr w:type="spellStart"/>
      <w:r w:rsidRPr="00A45996">
        <w:rPr>
          <w:rFonts w:ascii="Arial" w:hAnsi="Arial" w:cs="Arial"/>
          <w:b w:val="0"/>
          <w:i w:val="0"/>
          <w:lang w:val="en-US"/>
        </w:rPr>
        <w:t>dysaesthesia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hypoaesthesia</w:t>
      </w:r>
      <w:proofErr w:type="spellEnd"/>
      <w:r w:rsidRPr="00A45996">
        <w:rPr>
          <w:rFonts w:ascii="Arial" w:hAnsi="Arial" w:cs="Arial"/>
          <w:b w:val="0"/>
          <w:i w:val="0"/>
          <w:lang w:val="en-US"/>
        </w:rPr>
        <w:t xml:space="preserve">, tremor. </w:t>
      </w:r>
    </w:p>
    <w:p w:rsidR="00326C73" w:rsidRPr="00A45996" w:rsidRDefault="00326C73" w:rsidP="00326C73">
      <w:pPr>
        <w:pStyle w:val="BodyText"/>
        <w:spacing w:before="20" w:after="80"/>
        <w:ind w:left="1627" w:hanging="1627"/>
        <w:jc w:val="both"/>
        <w:rPr>
          <w:rFonts w:ascii="Arial" w:hAnsi="Arial" w:cs="Arial"/>
          <w:b w:val="0"/>
          <w:i w:val="0"/>
          <w:u w:val="single"/>
          <w:lang w:val="en-US"/>
        </w:rPr>
      </w:pPr>
      <w:r w:rsidRPr="00A45996">
        <w:rPr>
          <w:rFonts w:ascii="Arial" w:hAnsi="Arial" w:cs="Arial"/>
          <w:b w:val="0"/>
          <w:i w:val="0"/>
          <w:lang w:val="en-US"/>
        </w:rPr>
        <w:lastRenderedPageBreak/>
        <w:t>Uncommon:</w:t>
      </w:r>
      <w:r w:rsidRPr="00A45996">
        <w:rPr>
          <w:rFonts w:ascii="Arial" w:hAnsi="Arial" w:cs="Arial"/>
          <w:b w:val="0"/>
          <w:i w:val="0"/>
          <w:lang w:val="en-US"/>
        </w:rPr>
        <w:tab/>
        <w:t xml:space="preserve">convulsions, syncope, disturbance in attention, increased activity, </w:t>
      </w:r>
      <w:proofErr w:type="spellStart"/>
      <w:r w:rsidRPr="00A45996">
        <w:rPr>
          <w:rFonts w:ascii="Arial" w:hAnsi="Arial" w:cs="Arial"/>
          <w:b w:val="0"/>
          <w:i w:val="0"/>
          <w:lang w:val="en-US"/>
        </w:rPr>
        <w:t>ageusia</w:t>
      </w:r>
      <w:proofErr w:type="spellEnd"/>
      <w:r w:rsidRPr="00A45996">
        <w:rPr>
          <w:rFonts w:ascii="Arial" w:hAnsi="Arial" w:cs="Arial"/>
          <w:b w:val="0"/>
          <w:i w:val="0"/>
          <w:lang w:val="en-US"/>
        </w:rPr>
        <w:t xml:space="preserve">, somnolence, migraine, peripheral motor neuropathy, jerky movements, dizziness postural, sciatica, cognitive disorder, </w:t>
      </w:r>
      <w:proofErr w:type="spellStart"/>
      <w:r w:rsidRPr="00A45996">
        <w:rPr>
          <w:rFonts w:ascii="Arial" w:hAnsi="Arial" w:cs="Arial"/>
          <w:b w:val="0"/>
          <w:i w:val="0"/>
          <w:lang w:val="en-US"/>
        </w:rPr>
        <w:t>mononeuropathy</w:t>
      </w:r>
      <w:proofErr w:type="spellEnd"/>
      <w:r w:rsidRPr="00A45996">
        <w:rPr>
          <w:rFonts w:ascii="Arial" w:hAnsi="Arial" w:cs="Arial"/>
          <w:b w:val="0"/>
          <w:i w:val="0"/>
          <w:lang w:val="en-US"/>
        </w:rPr>
        <w:t xml:space="preserve">, paresis, restless leg syndrome, speech disorder, </w:t>
      </w:r>
      <w:r w:rsidRPr="00A45996">
        <w:rPr>
          <w:rFonts w:ascii="Arial" w:hAnsi="Arial" w:cs="Arial"/>
          <w:b w:val="0"/>
          <w:i w:val="0"/>
        </w:rPr>
        <w:t>intracranial haemorrhage, paraplegia, subarachnoid haemorrhage</w:t>
      </w:r>
      <w:r w:rsidRPr="00A45996">
        <w:rPr>
          <w:rFonts w:ascii="Arial" w:hAnsi="Arial" w:cs="Arial"/>
          <w:b w:val="0"/>
          <w:i w:val="0"/>
          <w:lang w:val="en-US"/>
        </w:rPr>
        <w:t>.</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Eye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vision blurred </w:t>
      </w:r>
      <w:r w:rsidRPr="00A45996">
        <w:rPr>
          <w:rFonts w:ascii="Arial" w:hAnsi="Arial" w:cs="Arial"/>
          <w:b w:val="0"/>
          <w:bCs/>
          <w:i w:val="0"/>
          <w:iCs/>
          <w:lang w:val="en-US"/>
        </w:rPr>
        <w:t xml:space="preserve">(see </w:t>
      </w:r>
      <w:r w:rsidRPr="00A45996">
        <w:rPr>
          <w:rFonts w:ascii="Arial" w:hAnsi="Arial" w:cs="Arial"/>
          <w:i w:val="0"/>
          <w:iCs/>
          <w:lang w:val="en-US"/>
        </w:rPr>
        <w:t>PRECAUTIONS</w:t>
      </w:r>
      <w:r w:rsidRPr="00A45996">
        <w:rPr>
          <w:rFonts w:ascii="Arial" w:hAnsi="Arial" w:cs="Arial"/>
          <w:b w:val="0"/>
          <w:bCs/>
          <w:i w:val="0"/>
          <w:iCs/>
          <w:lang w:val="en-US"/>
        </w:rPr>
        <w:t>)</w:t>
      </w:r>
      <w:r w:rsidRPr="00A45996">
        <w:rPr>
          <w:rFonts w:ascii="Arial" w:hAnsi="Arial" w:cs="Arial"/>
          <w:b w:val="0"/>
          <w:i w:val="0"/>
          <w:lang w:val="en-US"/>
        </w:rPr>
        <w:t>, eye pain.</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 xml:space="preserve">dry eye, conjunctivitis, eye discharge, vision abnormal, eye </w:t>
      </w:r>
      <w:proofErr w:type="spellStart"/>
      <w:r w:rsidRPr="00A45996">
        <w:rPr>
          <w:rFonts w:ascii="Arial" w:hAnsi="Arial" w:cs="Arial"/>
          <w:b w:val="0"/>
          <w:i w:val="0"/>
          <w:lang w:val="en-US"/>
        </w:rPr>
        <w:t>haemorrhage</w:t>
      </w:r>
      <w:proofErr w:type="spellEnd"/>
      <w:r w:rsidRPr="00A45996">
        <w:rPr>
          <w:rFonts w:ascii="Arial" w:hAnsi="Arial" w:cs="Arial"/>
          <w:b w:val="0"/>
          <w:i w:val="0"/>
          <w:lang w:val="en-US"/>
        </w:rPr>
        <w:t xml:space="preserve">, photophobia, eye irritation, lacrimation increased, conjunctival </w:t>
      </w:r>
      <w:proofErr w:type="spellStart"/>
      <w:r w:rsidRPr="00A45996">
        <w:rPr>
          <w:rFonts w:ascii="Arial" w:hAnsi="Arial" w:cs="Arial"/>
          <w:b w:val="0"/>
          <w:i w:val="0"/>
          <w:lang w:val="en-US"/>
        </w:rPr>
        <w:t>hyperaemia</w:t>
      </w:r>
      <w:proofErr w:type="spellEnd"/>
      <w:r w:rsidRPr="00A45996">
        <w:rPr>
          <w:rFonts w:ascii="Arial" w:hAnsi="Arial" w:cs="Arial"/>
          <w:b w:val="0"/>
          <w:i w:val="0"/>
          <w:lang w:val="en-US"/>
        </w:rPr>
        <w:t>, eye swelling.</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Ear and labyrinth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vertigo.</w:t>
      </w:r>
    </w:p>
    <w:p w:rsidR="00326C73" w:rsidRPr="00A45996" w:rsidRDefault="00326C73" w:rsidP="00326C73">
      <w:pPr>
        <w:pStyle w:val="BodyText"/>
        <w:spacing w:before="20" w:after="80"/>
        <w:ind w:left="1627" w:hanging="1627"/>
        <w:jc w:val="both"/>
        <w:rPr>
          <w:rFonts w:ascii="Arial" w:hAnsi="Arial" w:cs="Arial"/>
          <w:lang w:val="en-US"/>
        </w:rPr>
      </w:pPr>
      <w:r w:rsidRPr="00A45996">
        <w:rPr>
          <w:rFonts w:ascii="Arial" w:hAnsi="Arial" w:cs="Arial"/>
          <w:b w:val="0"/>
          <w:i w:val="0"/>
          <w:lang w:val="en-US"/>
        </w:rPr>
        <w:t>Uncommon:</w:t>
      </w:r>
      <w:r w:rsidRPr="00A45996">
        <w:rPr>
          <w:rFonts w:ascii="Arial" w:hAnsi="Arial" w:cs="Arial"/>
          <w:b w:val="0"/>
          <w:i w:val="0"/>
          <w:lang w:val="en-US"/>
        </w:rPr>
        <w:tab/>
        <w:t xml:space="preserve">tinnitus, deafness, </w:t>
      </w:r>
      <w:proofErr w:type="spellStart"/>
      <w:r w:rsidRPr="00A45996">
        <w:rPr>
          <w:rFonts w:ascii="Arial" w:hAnsi="Arial" w:cs="Arial"/>
          <w:b w:val="0"/>
          <w:i w:val="0"/>
          <w:lang w:val="en-US"/>
        </w:rPr>
        <w:t>hypoacusis</w:t>
      </w:r>
      <w:proofErr w:type="spellEnd"/>
      <w:r w:rsidRPr="00A45996">
        <w:rPr>
          <w:rFonts w:ascii="Arial" w:hAnsi="Arial" w:cs="Arial"/>
          <w:b w:val="0"/>
          <w:i w:val="0"/>
          <w:lang w:val="en-US"/>
        </w:rPr>
        <w:t>, hearing impaired.</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Cardiac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r w:rsidRPr="00A45996">
        <w:rPr>
          <w:rFonts w:ascii="Arial" w:hAnsi="Arial" w:cs="Arial"/>
          <w:b w:val="0"/>
          <w:bCs/>
          <w:i w:val="0"/>
          <w:iCs/>
          <w:lang w:val="en-US"/>
        </w:rPr>
        <w:t xml:space="preserve">Development or exacerbation of congestive heart failure (see </w:t>
      </w:r>
      <w:r w:rsidRPr="00A45996">
        <w:rPr>
          <w:rFonts w:ascii="Arial" w:hAnsi="Arial" w:cs="Arial"/>
          <w:i w:val="0"/>
          <w:iCs/>
          <w:lang w:val="en-US"/>
        </w:rPr>
        <w:t>PRECAUTIONS</w:t>
      </w:r>
      <w:r w:rsidRPr="00A45996">
        <w:rPr>
          <w:rFonts w:ascii="Arial" w:hAnsi="Arial" w:cs="Arial"/>
          <w:b w:val="0"/>
          <w:bCs/>
          <w:i w:val="0"/>
          <w:iCs/>
          <w:lang w:val="en-US"/>
        </w:rPr>
        <w:t>)</w:t>
      </w:r>
      <w:r w:rsidRPr="00A45996">
        <w:rPr>
          <w:rFonts w:ascii="Arial" w:hAnsi="Arial" w:cs="Arial"/>
          <w:b w:val="0"/>
          <w:i w:val="0"/>
          <w:lang w:val="en-US"/>
        </w:rPr>
        <w:t xml:space="preserve">, cardiac failure, ventricular </w:t>
      </w:r>
      <w:proofErr w:type="spellStart"/>
      <w:r w:rsidRPr="00A45996">
        <w:rPr>
          <w:rFonts w:ascii="Arial" w:hAnsi="Arial" w:cs="Arial"/>
          <w:b w:val="0"/>
          <w:i w:val="0"/>
          <w:lang w:val="en-US"/>
        </w:rPr>
        <w:t>hypokinesia</w:t>
      </w:r>
      <w:proofErr w:type="spellEnd"/>
      <w:r w:rsidRPr="00A45996">
        <w:rPr>
          <w:rFonts w:ascii="Arial" w:hAnsi="Arial" w:cs="Arial"/>
          <w:b w:val="0"/>
          <w:i w:val="0"/>
          <w:lang w:val="en-US"/>
        </w:rPr>
        <w:t xml:space="preserve">, pulmonary </w:t>
      </w:r>
      <w:proofErr w:type="spellStart"/>
      <w:r w:rsidRPr="00A45996">
        <w:rPr>
          <w:rFonts w:ascii="Arial" w:hAnsi="Arial" w:cs="Arial"/>
          <w:b w:val="0"/>
          <w:i w:val="0"/>
          <w:lang w:val="en-US"/>
        </w:rPr>
        <w:t>oedema</w:t>
      </w:r>
      <w:proofErr w:type="spellEnd"/>
      <w:r w:rsidRPr="00A45996">
        <w:rPr>
          <w:rFonts w:ascii="Arial" w:hAnsi="Arial" w:cs="Arial"/>
          <w:b w:val="0"/>
          <w:i w:val="0"/>
          <w:lang w:val="en-US"/>
        </w:rPr>
        <w:t xml:space="preserve"> and </w:t>
      </w:r>
      <w:r w:rsidRPr="00A45996">
        <w:rPr>
          <w:rFonts w:ascii="Arial" w:hAnsi="Arial" w:cs="Arial"/>
          <w:b w:val="0"/>
          <w:i w:val="0"/>
        </w:rPr>
        <w:t>acute pulmonary oedema</w:t>
      </w:r>
      <w:r w:rsidRPr="00A45996">
        <w:rPr>
          <w:rFonts w:ascii="Arial" w:hAnsi="Arial" w:cs="Arial"/>
          <w:b w:val="0"/>
          <w:i w:val="0"/>
          <w:lang w:val="en-US"/>
        </w:rPr>
        <w:t xml:space="preserve">, cardiac arrest, cardiogenic shock, tachycardia, sinus tachycardia, supraventricular tachycardia, arrhythmia, atrial fibrillation, palpitations, sinus arrest, </w:t>
      </w:r>
      <w:r w:rsidRPr="00A45996">
        <w:rPr>
          <w:rFonts w:ascii="Arial" w:hAnsi="Arial" w:cs="Arial"/>
          <w:b w:val="0"/>
          <w:i w:val="0"/>
        </w:rPr>
        <w:t xml:space="preserve">atrioventricular block complete, </w:t>
      </w:r>
      <w:r w:rsidRPr="00A45996">
        <w:rPr>
          <w:rFonts w:ascii="Arial" w:hAnsi="Arial" w:cs="Arial"/>
          <w:b w:val="0"/>
          <w:i w:val="0"/>
          <w:lang w:val="en-US"/>
        </w:rPr>
        <w:t xml:space="preserve">angina pectoris, </w:t>
      </w:r>
      <w:r w:rsidRPr="00A45996">
        <w:rPr>
          <w:rFonts w:ascii="Arial" w:hAnsi="Arial" w:cs="Arial"/>
          <w:b w:val="0"/>
          <w:i w:val="0"/>
        </w:rPr>
        <w:t>angina unstable, myocardial infarction</w:t>
      </w:r>
      <w:r w:rsidRPr="00A45996">
        <w:rPr>
          <w:rFonts w:ascii="Arial" w:hAnsi="Arial" w:cs="Arial"/>
          <w:b w:val="0"/>
          <w:i w:val="0"/>
          <w:lang w:val="en-US"/>
        </w:rPr>
        <w:t>.</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Rare:</w:t>
      </w:r>
      <w:r w:rsidRPr="00A45996">
        <w:rPr>
          <w:rFonts w:ascii="Arial" w:hAnsi="Arial" w:cs="Arial"/>
          <w:b w:val="0"/>
          <w:i w:val="0"/>
          <w:lang w:val="en-US"/>
        </w:rPr>
        <w:tab/>
      </w:r>
      <w:r w:rsidRPr="00A45996">
        <w:rPr>
          <w:rFonts w:ascii="Arial" w:hAnsi="Arial" w:cs="Arial"/>
          <w:b w:val="0"/>
          <w:i w:val="0"/>
          <w:lang w:val="en-US"/>
        </w:rPr>
        <w:tab/>
        <w:t>New onset of decreased left ventricular ejection fraction.</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Vascular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hypotension, orthostatic and postural hypotension </w:t>
      </w:r>
      <w:r w:rsidRPr="00A45996">
        <w:rPr>
          <w:rFonts w:ascii="Arial" w:hAnsi="Arial" w:cs="Arial"/>
          <w:b w:val="0"/>
          <w:bCs/>
          <w:i w:val="0"/>
          <w:iCs/>
          <w:lang w:val="en-US"/>
        </w:rPr>
        <w:t xml:space="preserve">(see </w:t>
      </w:r>
      <w:r w:rsidRPr="00A45996">
        <w:rPr>
          <w:rFonts w:ascii="Arial" w:hAnsi="Arial" w:cs="Arial"/>
          <w:i w:val="0"/>
          <w:iCs/>
          <w:lang w:val="en-US"/>
        </w:rPr>
        <w:t>PRECAUTIONS</w:t>
      </w:r>
      <w:r w:rsidRPr="00A45996">
        <w:rPr>
          <w:rFonts w:ascii="Arial" w:hAnsi="Arial" w:cs="Arial"/>
          <w:b w:val="0"/>
          <w:bCs/>
          <w:i w:val="0"/>
          <w:iCs/>
          <w:lang w:val="en-US"/>
        </w:rPr>
        <w:t>)</w:t>
      </w:r>
      <w:r w:rsidRPr="00A45996">
        <w:rPr>
          <w:rFonts w:ascii="Arial" w:hAnsi="Arial" w:cs="Arial"/>
          <w:b w:val="0"/>
          <w:i w:val="0"/>
          <w:lang w:val="en-US"/>
        </w:rPr>
        <w:t xml:space="preserve">, phlebitis, </w:t>
      </w:r>
      <w:proofErr w:type="spellStart"/>
      <w:r w:rsidRPr="00A45996">
        <w:rPr>
          <w:rFonts w:ascii="Arial" w:hAnsi="Arial" w:cs="Arial"/>
          <w:b w:val="0"/>
          <w:i w:val="0"/>
          <w:lang w:val="en-US"/>
        </w:rPr>
        <w:t>haematoma</w:t>
      </w:r>
      <w:proofErr w:type="spellEnd"/>
      <w:r w:rsidRPr="00A45996">
        <w:rPr>
          <w:rFonts w:ascii="Arial" w:hAnsi="Arial" w:cs="Arial"/>
          <w:b w:val="0"/>
          <w:i w:val="0"/>
          <w:lang w:val="en-US"/>
        </w:rPr>
        <w:t>, hypertension.</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 xml:space="preserve">flushing, </w:t>
      </w:r>
      <w:proofErr w:type="spellStart"/>
      <w:r w:rsidRPr="00A45996">
        <w:rPr>
          <w:rFonts w:ascii="Arial" w:hAnsi="Arial" w:cs="Arial"/>
          <w:b w:val="0"/>
          <w:i w:val="0"/>
          <w:lang w:val="en-US"/>
        </w:rPr>
        <w:t>petechiae</w:t>
      </w:r>
      <w:proofErr w:type="spellEnd"/>
      <w:r w:rsidRPr="00A45996">
        <w:rPr>
          <w:rFonts w:ascii="Arial" w:hAnsi="Arial" w:cs="Arial"/>
          <w:b w:val="0"/>
          <w:i w:val="0"/>
          <w:lang w:val="en-US"/>
        </w:rPr>
        <w:t xml:space="preserve">, hot flushes, ecchymosis, purpura, cerebral hemorrhage, vasculitis, vein </w:t>
      </w:r>
      <w:proofErr w:type="spellStart"/>
      <w:r w:rsidRPr="00A45996">
        <w:rPr>
          <w:rFonts w:ascii="Arial" w:hAnsi="Arial" w:cs="Arial"/>
          <w:b w:val="0"/>
          <w:i w:val="0"/>
          <w:lang w:val="en-US"/>
        </w:rPr>
        <w:t>discolouration</w:t>
      </w:r>
      <w:proofErr w:type="spellEnd"/>
      <w:r w:rsidRPr="00A45996">
        <w:rPr>
          <w:rFonts w:ascii="Arial" w:hAnsi="Arial" w:cs="Arial"/>
          <w:b w:val="0"/>
          <w:i w:val="0"/>
          <w:lang w:val="en-US"/>
        </w:rPr>
        <w:t xml:space="preserve">, vein distended, wound hemorrhage, </w:t>
      </w:r>
      <w:r w:rsidRPr="00A45996">
        <w:rPr>
          <w:rFonts w:ascii="Arial" w:hAnsi="Arial" w:cs="Arial"/>
          <w:b w:val="0"/>
          <w:i w:val="0"/>
        </w:rPr>
        <w:t>pulmonary hypertension, cerebrovascular accident</w:t>
      </w:r>
      <w:r w:rsidRPr="00A45996">
        <w:rPr>
          <w:rFonts w:ascii="Arial" w:hAnsi="Arial" w:cs="Arial"/>
          <w:b w:val="0"/>
          <w:i w:val="0"/>
          <w:lang w:val="en-US"/>
        </w:rPr>
        <w:t>.</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Respiratory, thoracic and mediastinal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Very Common:</w:t>
      </w:r>
      <w:r w:rsidRPr="00A45996">
        <w:rPr>
          <w:rFonts w:ascii="Arial" w:hAnsi="Arial" w:cs="Arial"/>
          <w:b w:val="0"/>
          <w:i w:val="0"/>
          <w:lang w:val="en-US"/>
        </w:rPr>
        <w:tab/>
      </w:r>
      <w:proofErr w:type="spellStart"/>
      <w:r w:rsidRPr="00A45996">
        <w:rPr>
          <w:rFonts w:ascii="Arial" w:hAnsi="Arial" w:cs="Arial"/>
          <w:b w:val="0"/>
          <w:i w:val="0"/>
          <w:lang w:val="en-US"/>
        </w:rPr>
        <w:t>dyspnoea</w:t>
      </w:r>
      <w:proofErr w:type="spellEnd"/>
      <w:r w:rsidRPr="00A45996">
        <w:rPr>
          <w:rFonts w:ascii="Arial" w:hAnsi="Arial" w:cs="Arial"/>
          <w:b w:val="0"/>
          <w:i w:val="0"/>
          <w:lang w:val="en-US"/>
        </w:rPr>
        <w:t>.</w:t>
      </w:r>
    </w:p>
    <w:p w:rsidR="00326C73" w:rsidRPr="00A45996" w:rsidRDefault="00326C73" w:rsidP="00326C73">
      <w:pPr>
        <w:pStyle w:val="BodyText"/>
        <w:spacing w:before="20" w:after="80"/>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   epistaxis, </w:t>
      </w:r>
      <w:proofErr w:type="spellStart"/>
      <w:r w:rsidRPr="00A45996">
        <w:rPr>
          <w:rFonts w:ascii="Arial" w:hAnsi="Arial" w:cs="Arial"/>
          <w:b w:val="0"/>
          <w:i w:val="0"/>
          <w:lang w:val="en-US"/>
        </w:rPr>
        <w:t>dyspnoea</w:t>
      </w:r>
      <w:proofErr w:type="spellEnd"/>
      <w:r w:rsidRPr="00A45996">
        <w:rPr>
          <w:rFonts w:ascii="Arial" w:hAnsi="Arial" w:cs="Arial"/>
          <w:b w:val="0"/>
          <w:i w:val="0"/>
          <w:lang w:val="en-US"/>
        </w:rPr>
        <w:t xml:space="preserve"> exertional, cough, </w:t>
      </w:r>
      <w:proofErr w:type="spellStart"/>
      <w:r w:rsidRPr="00A45996">
        <w:rPr>
          <w:rFonts w:ascii="Arial" w:hAnsi="Arial" w:cs="Arial"/>
          <w:b w:val="0"/>
          <w:i w:val="0"/>
          <w:lang w:val="en-US"/>
        </w:rPr>
        <w:t>rhinorrhoea</w:t>
      </w:r>
      <w:proofErr w:type="spellEnd"/>
      <w:r w:rsidRPr="00A45996">
        <w:rPr>
          <w:rFonts w:ascii="Arial" w:hAnsi="Arial" w:cs="Arial"/>
          <w:b w:val="0"/>
          <w:i w:val="0"/>
          <w:lang w:val="en-US"/>
        </w:rPr>
        <w:t xml:space="preserve">. </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 xml:space="preserve">nasal congestion, wheezing, pleural effusion, hoarseness, chest wall pain, hypoxia, pulmonary congestion, rhinitis, asthma, hyperventilation, </w:t>
      </w:r>
      <w:proofErr w:type="spellStart"/>
      <w:r w:rsidRPr="00A45996">
        <w:rPr>
          <w:rFonts w:ascii="Arial" w:hAnsi="Arial" w:cs="Arial"/>
          <w:b w:val="0"/>
          <w:i w:val="0"/>
          <w:lang w:val="en-US"/>
        </w:rPr>
        <w:t>orthopnoea</w:t>
      </w:r>
      <w:proofErr w:type="spellEnd"/>
      <w:r w:rsidRPr="00A45996">
        <w:rPr>
          <w:rFonts w:ascii="Arial" w:hAnsi="Arial" w:cs="Arial"/>
          <w:b w:val="0"/>
          <w:i w:val="0"/>
          <w:lang w:val="en-US"/>
        </w:rPr>
        <w:t xml:space="preserve">, sinus pain, throat tightness, </w:t>
      </w:r>
      <w:r w:rsidRPr="00A45996">
        <w:rPr>
          <w:rFonts w:ascii="Arial" w:hAnsi="Arial" w:cs="Arial"/>
          <w:b w:val="0"/>
          <w:i w:val="0"/>
        </w:rPr>
        <w:t xml:space="preserve">productive cough, respiratory alkalosis, respiratory arrest, </w:t>
      </w:r>
      <w:proofErr w:type="spellStart"/>
      <w:r w:rsidRPr="00A45996">
        <w:rPr>
          <w:rFonts w:ascii="Arial" w:hAnsi="Arial" w:cs="Arial"/>
          <w:b w:val="0"/>
          <w:i w:val="0"/>
        </w:rPr>
        <w:t>tachypnoea</w:t>
      </w:r>
      <w:proofErr w:type="spellEnd"/>
      <w:r w:rsidRPr="00A45996">
        <w:rPr>
          <w:rFonts w:ascii="Arial" w:hAnsi="Arial" w:cs="Arial"/>
          <w:b w:val="0"/>
          <w:i w:val="0"/>
          <w:lang w:val="en-US"/>
        </w:rPr>
        <w:t>.</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 xml:space="preserve">Gastrointestinal disorders </w:t>
      </w:r>
      <w:r w:rsidRPr="00A45996">
        <w:rPr>
          <w:rFonts w:ascii="Arial" w:hAnsi="Arial" w:cs="Arial"/>
          <w:lang w:val="en-US"/>
        </w:rPr>
        <w:t xml:space="preserve">(see </w:t>
      </w:r>
      <w:r w:rsidRPr="00A45996">
        <w:rPr>
          <w:rFonts w:ascii="Arial" w:hAnsi="Arial" w:cs="Arial"/>
          <w:b/>
          <w:bCs/>
          <w:lang w:val="en-US"/>
        </w:rPr>
        <w:t>PRECAUTIONS</w:t>
      </w:r>
      <w:r w:rsidRPr="00A45996">
        <w:rPr>
          <w:rFonts w:ascii="Arial" w:hAnsi="Arial" w:cs="Arial"/>
          <w:lang w:val="en-US"/>
        </w:rPr>
        <w:t>)</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Very Common:</w:t>
      </w:r>
      <w:r w:rsidRPr="00A45996">
        <w:rPr>
          <w:rFonts w:ascii="Arial" w:hAnsi="Arial" w:cs="Arial"/>
          <w:b w:val="0"/>
          <w:i w:val="0"/>
          <w:lang w:val="en-US"/>
        </w:rPr>
        <w:tab/>
        <w:t xml:space="preserve">nausea, </w:t>
      </w:r>
      <w:proofErr w:type="spellStart"/>
      <w:r w:rsidRPr="00A45996">
        <w:rPr>
          <w:rFonts w:ascii="Arial" w:hAnsi="Arial" w:cs="Arial"/>
          <w:b w:val="0"/>
          <w:i w:val="0"/>
          <w:lang w:val="en-US"/>
        </w:rPr>
        <w:t>diarrhoea</w:t>
      </w:r>
      <w:proofErr w:type="spellEnd"/>
      <w:r w:rsidRPr="00A45996">
        <w:rPr>
          <w:rFonts w:ascii="Arial" w:hAnsi="Arial" w:cs="Arial"/>
          <w:b w:val="0"/>
          <w:i w:val="0"/>
          <w:lang w:val="en-US"/>
        </w:rPr>
        <w:t xml:space="preserve">, vomiting, </w:t>
      </w:r>
      <w:proofErr w:type="gramStart"/>
      <w:r w:rsidRPr="00A45996">
        <w:rPr>
          <w:rFonts w:ascii="Arial" w:hAnsi="Arial" w:cs="Arial"/>
          <w:b w:val="0"/>
          <w:i w:val="0"/>
          <w:lang w:val="en-US"/>
        </w:rPr>
        <w:t>constipation</w:t>
      </w:r>
      <w:proofErr w:type="gramEnd"/>
      <w:r w:rsidRPr="00A45996">
        <w:rPr>
          <w:rFonts w:ascii="Arial" w:hAnsi="Arial" w:cs="Arial"/>
          <w:b w:val="0"/>
          <w:i w:val="0"/>
          <w:lang w:val="en-US"/>
        </w:rPr>
        <w:t>.</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abdominal pain, dyspepsia, loose stools, abdominal pain upper, flatulence, abdominal distension, hiccups, mouth ulceration, </w:t>
      </w:r>
      <w:proofErr w:type="spellStart"/>
      <w:r w:rsidRPr="00A45996">
        <w:rPr>
          <w:rFonts w:ascii="Arial" w:hAnsi="Arial" w:cs="Arial"/>
          <w:b w:val="0"/>
          <w:i w:val="0"/>
          <w:lang w:val="en-US"/>
        </w:rPr>
        <w:t>pharyngolaryngeal</w:t>
      </w:r>
      <w:proofErr w:type="spellEnd"/>
      <w:r w:rsidRPr="00A45996">
        <w:rPr>
          <w:rFonts w:ascii="Arial" w:hAnsi="Arial" w:cs="Arial"/>
          <w:b w:val="0"/>
          <w:i w:val="0"/>
          <w:lang w:val="en-US"/>
        </w:rPr>
        <w:t xml:space="preserve"> pain, stomatitis, dry mouth.</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 xml:space="preserve">ileus paralytic, abdominal discomfort, eructation, gastrointestinal motility disorder, oral pain, retching, antibiotic associated colitis, change in bowel habit, </w:t>
      </w:r>
      <w:proofErr w:type="spellStart"/>
      <w:r w:rsidRPr="00A45996">
        <w:rPr>
          <w:rFonts w:ascii="Arial" w:hAnsi="Arial" w:cs="Arial"/>
          <w:b w:val="0"/>
          <w:i w:val="0"/>
          <w:lang w:val="en-US"/>
        </w:rPr>
        <w:t>diarrhoea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haemorrhagic</w:t>
      </w:r>
      <w:proofErr w:type="spellEnd"/>
      <w:r w:rsidRPr="00A45996">
        <w:rPr>
          <w:rFonts w:ascii="Arial" w:hAnsi="Arial" w:cs="Arial"/>
          <w:b w:val="0"/>
          <w:i w:val="0"/>
          <w:lang w:val="en-US"/>
        </w:rPr>
        <w:t xml:space="preserve">, gastrointestinal </w:t>
      </w:r>
      <w:proofErr w:type="spellStart"/>
      <w:r w:rsidRPr="00A45996">
        <w:rPr>
          <w:rFonts w:ascii="Arial" w:hAnsi="Arial" w:cs="Arial"/>
          <w:b w:val="0"/>
          <w:i w:val="0"/>
          <w:lang w:val="en-US"/>
        </w:rPr>
        <w:t>haemorrhage</w:t>
      </w:r>
      <w:proofErr w:type="spellEnd"/>
      <w:r w:rsidRPr="00A45996">
        <w:rPr>
          <w:rFonts w:ascii="Arial" w:hAnsi="Arial" w:cs="Arial"/>
          <w:b w:val="0"/>
          <w:i w:val="0"/>
          <w:lang w:val="en-US"/>
        </w:rPr>
        <w:t xml:space="preserve">, spleen pain, colitis, dysphagia, </w:t>
      </w:r>
      <w:proofErr w:type="spellStart"/>
      <w:r w:rsidRPr="00A45996">
        <w:rPr>
          <w:rFonts w:ascii="Arial" w:hAnsi="Arial" w:cs="Arial"/>
          <w:b w:val="0"/>
          <w:i w:val="0"/>
          <w:lang w:val="en-US"/>
        </w:rPr>
        <w:t>oesophagitis</w:t>
      </w:r>
      <w:proofErr w:type="spellEnd"/>
      <w:r w:rsidRPr="00A45996">
        <w:rPr>
          <w:rFonts w:ascii="Arial" w:hAnsi="Arial" w:cs="Arial"/>
          <w:b w:val="0"/>
          <w:i w:val="0"/>
          <w:lang w:val="en-US"/>
        </w:rPr>
        <w:t>, gastritis, gastro-</w:t>
      </w:r>
      <w:proofErr w:type="spellStart"/>
      <w:r w:rsidRPr="00A45996">
        <w:rPr>
          <w:rFonts w:ascii="Arial" w:hAnsi="Arial" w:cs="Arial"/>
          <w:b w:val="0"/>
          <w:i w:val="0"/>
          <w:lang w:val="en-US"/>
        </w:rPr>
        <w:t>oesophageal</w:t>
      </w:r>
      <w:proofErr w:type="spellEnd"/>
      <w:r w:rsidRPr="00A45996">
        <w:rPr>
          <w:rFonts w:ascii="Arial" w:hAnsi="Arial" w:cs="Arial"/>
          <w:b w:val="0"/>
          <w:i w:val="0"/>
          <w:lang w:val="en-US"/>
        </w:rPr>
        <w:t xml:space="preserve"> reflux disease, gastrointestinal pain, gingival bleeding, gingival pain, </w:t>
      </w:r>
      <w:proofErr w:type="spellStart"/>
      <w:r w:rsidRPr="00A45996">
        <w:rPr>
          <w:rFonts w:ascii="Arial" w:hAnsi="Arial" w:cs="Arial"/>
          <w:b w:val="0"/>
          <w:i w:val="0"/>
          <w:lang w:val="en-US"/>
        </w:rPr>
        <w:t>haematemesis</w:t>
      </w:r>
      <w:proofErr w:type="spellEnd"/>
      <w:r w:rsidRPr="00A45996">
        <w:rPr>
          <w:rFonts w:ascii="Arial" w:hAnsi="Arial" w:cs="Arial"/>
          <w:b w:val="0"/>
          <w:i w:val="0"/>
          <w:lang w:val="en-US"/>
        </w:rPr>
        <w:t xml:space="preserve">, hiatus hernia, irritable bowel syndrome, oral mucosal </w:t>
      </w:r>
      <w:proofErr w:type="spellStart"/>
      <w:r w:rsidRPr="00A45996">
        <w:rPr>
          <w:rFonts w:ascii="Arial" w:hAnsi="Arial" w:cs="Arial"/>
          <w:b w:val="0"/>
          <w:i w:val="0"/>
          <w:lang w:val="en-US"/>
        </w:rPr>
        <w:t>petechiae</w:t>
      </w:r>
      <w:proofErr w:type="spellEnd"/>
      <w:r w:rsidRPr="00A45996">
        <w:rPr>
          <w:rFonts w:ascii="Arial" w:hAnsi="Arial" w:cs="Arial"/>
          <w:b w:val="0"/>
          <w:i w:val="0"/>
          <w:lang w:val="en-US"/>
        </w:rPr>
        <w:t xml:space="preserve">, rectal </w:t>
      </w:r>
      <w:proofErr w:type="spellStart"/>
      <w:r w:rsidRPr="00A45996">
        <w:rPr>
          <w:rFonts w:ascii="Arial" w:hAnsi="Arial" w:cs="Arial"/>
          <w:b w:val="0"/>
          <w:i w:val="0"/>
          <w:lang w:val="en-US"/>
        </w:rPr>
        <w:t>haemorrhage</w:t>
      </w:r>
      <w:proofErr w:type="spellEnd"/>
      <w:r w:rsidRPr="00A45996">
        <w:rPr>
          <w:rFonts w:ascii="Arial" w:hAnsi="Arial" w:cs="Arial"/>
          <w:b w:val="0"/>
          <w:i w:val="0"/>
          <w:lang w:val="en-US"/>
        </w:rPr>
        <w:t xml:space="preserve">, salivary hypersecretion, tongue coated, tongue </w:t>
      </w:r>
      <w:proofErr w:type="spellStart"/>
      <w:r w:rsidRPr="00A45996">
        <w:rPr>
          <w:rFonts w:ascii="Arial" w:hAnsi="Arial" w:cs="Arial"/>
          <w:b w:val="0"/>
          <w:i w:val="0"/>
          <w:lang w:val="en-US"/>
        </w:rPr>
        <w:t>discolouration</w:t>
      </w:r>
      <w:proofErr w:type="spellEnd"/>
      <w:r w:rsidRPr="00A45996">
        <w:rPr>
          <w:rFonts w:ascii="Arial" w:hAnsi="Arial" w:cs="Arial"/>
          <w:b w:val="0"/>
          <w:i w:val="0"/>
          <w:lang w:val="en-US"/>
        </w:rPr>
        <w:t xml:space="preserve">, </w:t>
      </w:r>
      <w:r w:rsidRPr="00A45996">
        <w:rPr>
          <w:rFonts w:ascii="Arial" w:hAnsi="Arial" w:cs="Arial"/>
          <w:b w:val="0"/>
          <w:i w:val="0"/>
        </w:rPr>
        <w:t>enteritis, faecal impaction, acute pancreatitis</w:t>
      </w:r>
      <w:r w:rsidRPr="00A45996">
        <w:rPr>
          <w:rFonts w:ascii="Arial" w:hAnsi="Arial" w:cs="Arial"/>
          <w:b w:val="0"/>
          <w:i w:val="0"/>
          <w:lang w:val="en-US"/>
        </w:rPr>
        <w:t>.</w:t>
      </w:r>
    </w:p>
    <w:p w:rsidR="00326C73" w:rsidRPr="00A45996" w:rsidRDefault="00326C73" w:rsidP="00326C73">
      <w:pPr>
        <w:pStyle w:val="SubheaderCharCharCharCharCharCharCharCharCharCharCharCharCharCharCharCharChar"/>
        <w:spacing w:before="120" w:after="80"/>
        <w:jc w:val="both"/>
        <w:rPr>
          <w:rFonts w:ascii="Arial" w:hAnsi="Arial" w:cs="Arial"/>
          <w:b/>
          <w:bCs/>
          <w:lang w:val="en-US"/>
        </w:rPr>
      </w:pPr>
      <w:r w:rsidRPr="00A45996">
        <w:rPr>
          <w:rFonts w:ascii="Arial" w:hAnsi="Arial" w:cs="Arial"/>
          <w:b/>
          <w:bCs/>
          <w:lang w:val="en-US"/>
        </w:rPr>
        <w:t xml:space="preserve">Hepatobiliary disorders </w:t>
      </w:r>
      <w:r w:rsidRPr="00A45996">
        <w:rPr>
          <w:rFonts w:ascii="Arial" w:hAnsi="Arial" w:cs="Arial"/>
          <w:lang w:val="en-US"/>
        </w:rPr>
        <w:t xml:space="preserve">(see </w:t>
      </w:r>
      <w:r w:rsidRPr="00A45996">
        <w:rPr>
          <w:rFonts w:ascii="Arial" w:hAnsi="Arial" w:cs="Arial"/>
          <w:b/>
          <w:bCs/>
          <w:lang w:val="en-US"/>
        </w:rPr>
        <w:t>PRECAUTIONS</w:t>
      </w:r>
      <w:r w:rsidRPr="00A45996">
        <w:rPr>
          <w:rFonts w:ascii="Arial" w:hAnsi="Arial" w:cs="Arial"/>
          <w:lang w:val="en-US"/>
        </w:rPr>
        <w:t>)</w:t>
      </w:r>
    </w:p>
    <w:p w:rsidR="00326C73" w:rsidRPr="00A45996" w:rsidRDefault="00326C73" w:rsidP="00326C73">
      <w:pPr>
        <w:pStyle w:val="BodyText"/>
        <w:spacing w:before="20" w:after="80"/>
        <w:ind w:left="1620" w:hanging="1620"/>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proofErr w:type="spellStart"/>
      <w:r w:rsidRPr="00A45996">
        <w:rPr>
          <w:rFonts w:ascii="Arial" w:hAnsi="Arial" w:cs="Arial"/>
          <w:b w:val="0"/>
          <w:i w:val="0"/>
          <w:lang w:val="en-US"/>
        </w:rPr>
        <w:t>hyperbilirubinaemia</w:t>
      </w:r>
      <w:proofErr w:type="spellEnd"/>
      <w:r w:rsidRPr="00A45996">
        <w:rPr>
          <w:rFonts w:ascii="Arial" w:hAnsi="Arial" w:cs="Arial"/>
          <w:b w:val="0"/>
          <w:i w:val="0"/>
          <w:lang w:val="en-US"/>
        </w:rPr>
        <w:t xml:space="preserve">, </w:t>
      </w:r>
      <w:r w:rsidRPr="00A45996">
        <w:rPr>
          <w:rFonts w:ascii="Arial" w:hAnsi="Arial" w:cs="Arial"/>
          <w:b w:val="0"/>
          <w:i w:val="0"/>
        </w:rPr>
        <w:t>hepatitis,</w:t>
      </w:r>
      <w:r w:rsidRPr="00A45996">
        <w:rPr>
          <w:rFonts w:ascii="Arial" w:hAnsi="Arial" w:cs="Arial"/>
        </w:rPr>
        <w:t xml:space="preserve"> </w:t>
      </w:r>
      <w:r w:rsidRPr="00A45996">
        <w:rPr>
          <w:rFonts w:ascii="Arial" w:hAnsi="Arial" w:cs="Arial"/>
          <w:b w:val="0"/>
          <w:i w:val="0"/>
        </w:rPr>
        <w:t>hepatic haemorrhage</w:t>
      </w:r>
      <w:r w:rsidRPr="00A45996">
        <w:rPr>
          <w:rFonts w:ascii="Arial" w:hAnsi="Arial" w:cs="Arial"/>
          <w:b w:val="0"/>
          <w:i w:val="0"/>
          <w:lang w:val="en-US"/>
        </w:rPr>
        <w:t xml:space="preserve">, </w:t>
      </w:r>
      <w:proofErr w:type="spellStart"/>
      <w:r w:rsidRPr="00A45996">
        <w:rPr>
          <w:rFonts w:ascii="Arial" w:hAnsi="Arial" w:cs="Arial"/>
          <w:b w:val="0"/>
          <w:i w:val="0"/>
          <w:lang w:val="en-US"/>
        </w:rPr>
        <w:t>hypoproteinaemia</w:t>
      </w:r>
      <w:proofErr w:type="spellEnd"/>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lastRenderedPageBreak/>
        <w:t>Skin and subcutaneous tissue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Very Common:</w:t>
      </w:r>
      <w:r w:rsidRPr="00A45996">
        <w:rPr>
          <w:rFonts w:ascii="Arial" w:hAnsi="Arial" w:cs="Arial"/>
          <w:b w:val="0"/>
          <w:i w:val="0"/>
          <w:lang w:val="en-US"/>
        </w:rPr>
        <w:tab/>
        <w:t>rash.</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pruritus, erythema, periorbital </w:t>
      </w:r>
      <w:proofErr w:type="spellStart"/>
      <w:r w:rsidRPr="00A45996">
        <w:rPr>
          <w:rFonts w:ascii="Arial" w:hAnsi="Arial" w:cs="Arial"/>
          <w:b w:val="0"/>
          <w:i w:val="0"/>
          <w:lang w:val="en-US"/>
        </w:rPr>
        <w:t>oedema</w:t>
      </w:r>
      <w:proofErr w:type="spellEnd"/>
      <w:r w:rsidRPr="00A45996">
        <w:rPr>
          <w:rFonts w:ascii="Arial" w:hAnsi="Arial" w:cs="Arial"/>
          <w:b w:val="0"/>
          <w:i w:val="0"/>
          <w:lang w:val="en-US"/>
        </w:rPr>
        <w:t xml:space="preserve">, </w:t>
      </w:r>
      <w:proofErr w:type="spellStart"/>
      <w:r w:rsidRPr="00A45996">
        <w:rPr>
          <w:rFonts w:ascii="Arial" w:hAnsi="Arial" w:cs="Arial"/>
          <w:b w:val="0"/>
          <w:i w:val="0"/>
          <w:lang w:val="en-US"/>
        </w:rPr>
        <w:t>urticaria</w:t>
      </w:r>
      <w:proofErr w:type="spellEnd"/>
      <w:r w:rsidRPr="00A45996">
        <w:rPr>
          <w:rFonts w:ascii="Arial" w:hAnsi="Arial" w:cs="Arial"/>
          <w:b w:val="0"/>
          <w:i w:val="0"/>
          <w:lang w:val="en-US"/>
        </w:rPr>
        <w:t>, rash pruritic, sweating increased, dry skin, eczema.</w:t>
      </w:r>
    </w:p>
    <w:p w:rsidR="00326C73" w:rsidRPr="00A45996" w:rsidRDefault="00326C73" w:rsidP="00326C73">
      <w:pPr>
        <w:pStyle w:val="SubheaderCharCharCharCharCharCharCharCharCharCharCharCharCharCharCharCharChar"/>
        <w:spacing w:before="20" w:after="80"/>
        <w:ind w:left="1627" w:hanging="1627"/>
        <w:jc w:val="both"/>
        <w:rPr>
          <w:rFonts w:ascii="Arial" w:hAnsi="Arial" w:cs="Arial"/>
          <w:u w:val="none"/>
          <w:lang w:val="en-US"/>
        </w:rPr>
      </w:pPr>
      <w:r w:rsidRPr="00A45996">
        <w:rPr>
          <w:rFonts w:ascii="Arial" w:hAnsi="Arial" w:cs="Arial"/>
          <w:u w:val="none"/>
          <w:lang w:val="en-US"/>
        </w:rPr>
        <w:t>Uncommon:</w:t>
      </w:r>
      <w:r w:rsidRPr="00A45996">
        <w:rPr>
          <w:rFonts w:ascii="Arial" w:hAnsi="Arial" w:cs="Arial"/>
          <w:u w:val="none"/>
          <w:lang w:val="en-US"/>
        </w:rPr>
        <w:tab/>
        <w:t xml:space="preserve">night sweats, rash erythematous, alopecia, contusion, pruritus </w:t>
      </w:r>
      <w:proofErr w:type="spellStart"/>
      <w:r w:rsidRPr="00A45996">
        <w:rPr>
          <w:rFonts w:ascii="Arial" w:hAnsi="Arial" w:cs="Arial"/>
          <w:u w:val="none"/>
          <w:lang w:val="en-US"/>
        </w:rPr>
        <w:t>generalised</w:t>
      </w:r>
      <w:proofErr w:type="spellEnd"/>
      <w:r w:rsidRPr="00A45996">
        <w:rPr>
          <w:rFonts w:ascii="Arial" w:hAnsi="Arial" w:cs="Arial"/>
          <w:u w:val="none"/>
          <w:lang w:val="en-US"/>
        </w:rPr>
        <w:t xml:space="preserve">, rash macular, rash </w:t>
      </w:r>
      <w:proofErr w:type="spellStart"/>
      <w:r w:rsidRPr="00A45996">
        <w:rPr>
          <w:rFonts w:ascii="Arial" w:hAnsi="Arial" w:cs="Arial"/>
          <w:u w:val="none"/>
          <w:lang w:val="en-US"/>
        </w:rPr>
        <w:t>papular</w:t>
      </w:r>
      <w:proofErr w:type="spellEnd"/>
      <w:r w:rsidRPr="00A45996">
        <w:rPr>
          <w:rFonts w:ascii="Arial" w:hAnsi="Arial" w:cs="Arial"/>
          <w:u w:val="none"/>
          <w:lang w:val="en-US"/>
        </w:rPr>
        <w:t xml:space="preserve">, </w:t>
      </w:r>
      <w:r w:rsidRPr="00A45996">
        <w:rPr>
          <w:rFonts w:ascii="Arial" w:hAnsi="Arial" w:cs="Arial"/>
          <w:bCs/>
          <w:iCs/>
          <w:u w:val="none"/>
          <w:lang w:val="en-US"/>
        </w:rPr>
        <w:t xml:space="preserve">skin nodule, rash generalized, dermatitis, eyelid </w:t>
      </w:r>
      <w:proofErr w:type="spellStart"/>
      <w:r w:rsidRPr="00A45996">
        <w:rPr>
          <w:rFonts w:ascii="Arial" w:hAnsi="Arial" w:cs="Arial"/>
          <w:bCs/>
          <w:iCs/>
          <w:u w:val="none"/>
          <w:lang w:val="en-US"/>
        </w:rPr>
        <w:t>oedema</w:t>
      </w:r>
      <w:proofErr w:type="spellEnd"/>
      <w:r w:rsidRPr="00A45996">
        <w:rPr>
          <w:rFonts w:ascii="Arial" w:hAnsi="Arial" w:cs="Arial"/>
          <w:bCs/>
          <w:iCs/>
          <w:u w:val="none"/>
          <w:lang w:val="en-US"/>
        </w:rPr>
        <w:t xml:space="preserve">, nail disorder, photosensitivity reaction, skin </w:t>
      </w:r>
      <w:proofErr w:type="spellStart"/>
      <w:r w:rsidRPr="00A45996">
        <w:rPr>
          <w:rFonts w:ascii="Arial" w:hAnsi="Arial" w:cs="Arial"/>
          <w:bCs/>
          <w:iCs/>
          <w:u w:val="none"/>
          <w:lang w:val="en-US"/>
        </w:rPr>
        <w:t>discolouration</w:t>
      </w:r>
      <w:proofErr w:type="spellEnd"/>
      <w:r w:rsidRPr="00A45996">
        <w:rPr>
          <w:rFonts w:ascii="Arial" w:hAnsi="Arial" w:cs="Arial"/>
          <w:bCs/>
          <w:iCs/>
          <w:u w:val="none"/>
          <w:lang w:val="en-US"/>
        </w:rPr>
        <w:t xml:space="preserve">, dermatitis atopic, hair texture abnormal, heat rash, psoriasis, </w:t>
      </w:r>
      <w:proofErr w:type="spellStart"/>
      <w:r w:rsidRPr="00A45996">
        <w:rPr>
          <w:rFonts w:ascii="Arial" w:hAnsi="Arial" w:cs="Arial"/>
          <w:bCs/>
          <w:iCs/>
          <w:u w:val="none"/>
          <w:lang w:val="en-US"/>
        </w:rPr>
        <w:t>vasculitic</w:t>
      </w:r>
      <w:proofErr w:type="spellEnd"/>
      <w:r w:rsidRPr="00A45996">
        <w:rPr>
          <w:rFonts w:ascii="Arial" w:hAnsi="Arial" w:cs="Arial"/>
          <w:bCs/>
          <w:iCs/>
          <w:u w:val="none"/>
          <w:lang w:val="en-US"/>
        </w:rPr>
        <w:t xml:space="preserve"> rash, face </w:t>
      </w:r>
      <w:proofErr w:type="spellStart"/>
      <w:r w:rsidRPr="00A45996">
        <w:rPr>
          <w:rFonts w:ascii="Arial" w:hAnsi="Arial" w:cs="Arial"/>
          <w:bCs/>
          <w:iCs/>
          <w:u w:val="none"/>
          <w:lang w:val="en-US"/>
        </w:rPr>
        <w:t>oedema</w:t>
      </w:r>
      <w:proofErr w:type="spellEnd"/>
      <w:r w:rsidRPr="00A45996">
        <w:rPr>
          <w:rFonts w:ascii="Arial" w:hAnsi="Arial" w:cs="Arial"/>
          <w:bCs/>
          <w:iCs/>
          <w:u w:val="none"/>
          <w:lang w:val="en-US"/>
        </w:rPr>
        <w:t>, pressure sore, ichthyosis</w:t>
      </w:r>
      <w:r w:rsidRPr="00A45996">
        <w:rPr>
          <w:rFonts w:ascii="Arial" w:hAnsi="Arial" w:cs="Arial"/>
          <w:u w:val="none"/>
          <w:lang w:val="en-US"/>
        </w:rPr>
        <w:t>.</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Musculoskeletal and connective tissue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Very Common:</w:t>
      </w:r>
      <w:r w:rsidRPr="00A45996">
        <w:rPr>
          <w:rFonts w:ascii="Arial" w:hAnsi="Arial" w:cs="Arial"/>
          <w:b w:val="0"/>
          <w:i w:val="0"/>
          <w:lang w:val="en-US"/>
        </w:rPr>
        <w:tab/>
        <w:t>myalgia.</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pain in limb, muscle cramps, arthralgia, bone pain, peripheral swelling, muscle weakness, back pain, musculoskeletal pain.</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joint stiffness, buttock pain, joint swelling, muscle spasms, muscle twitching or sensation of heaviness, muscle stiffness, swelling, pain in jaw.</w:t>
      </w:r>
    </w:p>
    <w:p w:rsidR="00326C73" w:rsidRPr="00A45996"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sidRPr="00A45996">
        <w:rPr>
          <w:rFonts w:ascii="Arial" w:hAnsi="Arial" w:cs="Arial"/>
          <w:b/>
          <w:bCs/>
          <w:lang w:val="en-US"/>
        </w:rPr>
        <w:t>Renal and urinary disorders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renal impairment, dysuria.</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r w:rsidRPr="00A45996">
        <w:rPr>
          <w:rFonts w:ascii="Arial" w:hAnsi="Arial" w:cs="Arial"/>
          <w:b w:val="0"/>
          <w:i w:val="0"/>
        </w:rPr>
        <w:t>renal failure acute</w:t>
      </w:r>
      <w:r w:rsidRPr="00A45996">
        <w:rPr>
          <w:rFonts w:ascii="Arial" w:hAnsi="Arial" w:cs="Arial"/>
          <w:b w:val="0"/>
          <w:i w:val="0"/>
          <w:lang w:val="en-US"/>
        </w:rPr>
        <w:t xml:space="preserve">, </w:t>
      </w:r>
      <w:r w:rsidRPr="00A45996">
        <w:rPr>
          <w:rFonts w:ascii="Arial" w:hAnsi="Arial" w:cs="Arial"/>
          <w:b w:val="0"/>
          <w:i w:val="0"/>
        </w:rPr>
        <w:t xml:space="preserve">renal colic, </w:t>
      </w:r>
      <w:proofErr w:type="spellStart"/>
      <w:r w:rsidRPr="00A45996">
        <w:rPr>
          <w:rFonts w:ascii="Arial" w:hAnsi="Arial" w:cs="Arial"/>
          <w:b w:val="0"/>
          <w:i w:val="0"/>
          <w:lang w:val="en-US"/>
        </w:rPr>
        <w:t>haematuria</w:t>
      </w:r>
      <w:proofErr w:type="spellEnd"/>
      <w:r w:rsidRPr="00A45996">
        <w:rPr>
          <w:rFonts w:ascii="Arial" w:hAnsi="Arial" w:cs="Arial"/>
          <w:b w:val="0"/>
          <w:i w:val="0"/>
          <w:lang w:val="en-US"/>
        </w:rPr>
        <w:t>, proteinuria, urinary frequency, difficulty in micturition, renal failure, oliguria, urinary retention, loin pain, urinary incontinence, micturition urgency.</w:t>
      </w:r>
    </w:p>
    <w:p w:rsidR="00326C73" w:rsidRPr="00A45996" w:rsidRDefault="00326C73" w:rsidP="00326C73">
      <w:pPr>
        <w:pStyle w:val="BodyText"/>
        <w:spacing w:before="120" w:after="80"/>
        <w:ind w:left="1627" w:hanging="1627"/>
        <w:jc w:val="both"/>
        <w:rPr>
          <w:rFonts w:ascii="Arial" w:hAnsi="Arial" w:cs="Arial"/>
          <w:bCs/>
          <w:i w:val="0"/>
          <w:u w:val="single"/>
          <w:lang w:val="en-US"/>
        </w:rPr>
      </w:pPr>
      <w:r w:rsidRPr="00A45996">
        <w:rPr>
          <w:rFonts w:ascii="Arial" w:hAnsi="Arial" w:cs="Arial"/>
          <w:bCs/>
          <w:i w:val="0"/>
          <w:u w:val="single"/>
          <w:lang w:val="en-US"/>
        </w:rPr>
        <w:t>General disorders and administration site conditions</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 xml:space="preserve">Very </w:t>
      </w:r>
      <w:proofErr w:type="gramStart"/>
      <w:r w:rsidRPr="00A45996">
        <w:rPr>
          <w:rFonts w:ascii="Arial" w:hAnsi="Arial" w:cs="Arial"/>
          <w:b w:val="0"/>
          <w:i w:val="0"/>
          <w:lang w:val="en-US"/>
        </w:rPr>
        <w:t>Common</w:t>
      </w:r>
      <w:proofErr w:type="gramEnd"/>
      <w:r w:rsidRPr="00A45996">
        <w:rPr>
          <w:rFonts w:ascii="Arial" w:hAnsi="Arial" w:cs="Arial"/>
          <w:b w:val="0"/>
          <w:i w:val="0"/>
          <w:lang w:val="en-US"/>
        </w:rPr>
        <w:t>:</w:t>
      </w:r>
      <w:r w:rsidRPr="00A45996">
        <w:rPr>
          <w:rFonts w:ascii="Arial" w:hAnsi="Arial" w:cs="Arial"/>
          <w:b w:val="0"/>
          <w:i w:val="0"/>
          <w:lang w:val="en-US"/>
        </w:rPr>
        <w:tab/>
        <w:t xml:space="preserve">fatigue </w:t>
      </w:r>
      <w:r w:rsidRPr="00A45996">
        <w:rPr>
          <w:rFonts w:ascii="Arial" w:hAnsi="Arial" w:cs="Arial"/>
          <w:b w:val="0"/>
          <w:bCs/>
          <w:i w:val="0"/>
          <w:iCs/>
          <w:lang w:val="en-US"/>
        </w:rPr>
        <w:t xml:space="preserve">(see </w:t>
      </w:r>
      <w:r w:rsidRPr="00A45996">
        <w:rPr>
          <w:rFonts w:ascii="Arial" w:hAnsi="Arial" w:cs="Arial"/>
          <w:i w:val="0"/>
          <w:iCs/>
          <w:lang w:val="en-US"/>
        </w:rPr>
        <w:t>PRECAUTIONS</w:t>
      </w:r>
      <w:r w:rsidRPr="00A45996">
        <w:rPr>
          <w:rFonts w:ascii="Arial" w:hAnsi="Arial" w:cs="Arial"/>
          <w:b w:val="0"/>
          <w:bCs/>
          <w:i w:val="0"/>
          <w:iCs/>
          <w:lang w:val="en-US"/>
        </w:rPr>
        <w:t>)</w:t>
      </w:r>
      <w:r w:rsidRPr="00A45996">
        <w:rPr>
          <w:rFonts w:ascii="Arial" w:hAnsi="Arial" w:cs="Arial"/>
          <w:b w:val="0"/>
          <w:i w:val="0"/>
          <w:lang w:val="en-US"/>
        </w:rPr>
        <w:t>, pyrexia.</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 xml:space="preserve">weakness, rigors, malaise, influenza like illness, </w:t>
      </w:r>
      <w:proofErr w:type="spellStart"/>
      <w:r w:rsidRPr="00A45996">
        <w:rPr>
          <w:rFonts w:ascii="Arial" w:hAnsi="Arial" w:cs="Arial"/>
          <w:b w:val="0"/>
          <w:i w:val="0"/>
          <w:lang w:val="en-US"/>
        </w:rPr>
        <w:t>oedema</w:t>
      </w:r>
      <w:proofErr w:type="spellEnd"/>
      <w:r w:rsidRPr="00A45996">
        <w:rPr>
          <w:rFonts w:ascii="Arial" w:hAnsi="Arial" w:cs="Arial"/>
          <w:b w:val="0"/>
          <w:i w:val="0"/>
          <w:lang w:val="en-US"/>
        </w:rPr>
        <w:t xml:space="preserve"> peripheral, pain, lethargy, </w:t>
      </w:r>
      <w:proofErr w:type="spellStart"/>
      <w:r w:rsidRPr="00A45996">
        <w:rPr>
          <w:rFonts w:ascii="Arial" w:hAnsi="Arial" w:cs="Arial"/>
          <w:b w:val="0"/>
          <w:i w:val="0"/>
          <w:lang w:val="en-US"/>
        </w:rPr>
        <w:t>oedema</w:t>
      </w:r>
      <w:proofErr w:type="spellEnd"/>
      <w:r w:rsidRPr="00A45996">
        <w:rPr>
          <w:rFonts w:ascii="Arial" w:hAnsi="Arial" w:cs="Arial"/>
          <w:b w:val="0"/>
          <w:i w:val="0"/>
          <w:lang w:val="en-US"/>
        </w:rPr>
        <w:t>, chest pain, asthenia.</w:t>
      </w:r>
    </w:p>
    <w:p w:rsidR="00326C73" w:rsidRPr="00A45996" w:rsidRDefault="00326C73" w:rsidP="00326C73">
      <w:pPr>
        <w:pStyle w:val="BodyText"/>
        <w:spacing w:before="20" w:after="80"/>
        <w:ind w:left="1627" w:hanging="1627"/>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r>
      <w:r w:rsidRPr="00A45996">
        <w:rPr>
          <w:rFonts w:ascii="Arial" w:hAnsi="Arial" w:cs="Arial"/>
          <w:b w:val="0"/>
          <w:i w:val="0"/>
        </w:rPr>
        <w:t xml:space="preserve">fall, </w:t>
      </w:r>
      <w:r w:rsidRPr="00A45996">
        <w:rPr>
          <w:rFonts w:ascii="Arial" w:hAnsi="Arial" w:cs="Arial"/>
          <w:b w:val="0"/>
          <w:i w:val="0"/>
          <w:lang w:val="en-US"/>
        </w:rPr>
        <w:t xml:space="preserve">mucosal inflammation, feeling cold, chest pressure sensation, injection site phlebitis, mucosal </w:t>
      </w:r>
      <w:proofErr w:type="spellStart"/>
      <w:r w:rsidRPr="00A45996">
        <w:rPr>
          <w:rFonts w:ascii="Arial" w:hAnsi="Arial" w:cs="Arial"/>
          <w:b w:val="0"/>
          <w:i w:val="0"/>
          <w:lang w:val="en-US"/>
        </w:rPr>
        <w:t>haemorrhage</w:t>
      </w:r>
      <w:proofErr w:type="spellEnd"/>
      <w:r w:rsidRPr="00A45996">
        <w:rPr>
          <w:rFonts w:ascii="Arial" w:hAnsi="Arial" w:cs="Arial"/>
          <w:b w:val="0"/>
          <w:i w:val="0"/>
          <w:lang w:val="en-US"/>
        </w:rPr>
        <w:t xml:space="preserve">, tenderness, injection site erythema, neuralgia, chest discomfort, groin pain, chest tightness, </w:t>
      </w:r>
      <w:proofErr w:type="gramStart"/>
      <w:r w:rsidRPr="00A45996">
        <w:rPr>
          <w:rFonts w:ascii="Arial" w:hAnsi="Arial" w:cs="Arial"/>
          <w:b w:val="0"/>
          <w:i w:val="0"/>
          <w:lang w:val="en-US"/>
        </w:rPr>
        <w:t>extravasation</w:t>
      </w:r>
      <w:proofErr w:type="gramEnd"/>
      <w:r w:rsidRPr="00A45996">
        <w:rPr>
          <w:rFonts w:ascii="Arial" w:hAnsi="Arial" w:cs="Arial"/>
          <w:b w:val="0"/>
          <w:i w:val="0"/>
          <w:lang w:val="en-US"/>
        </w:rPr>
        <w:t xml:space="preserve"> inflammation.</w:t>
      </w:r>
    </w:p>
    <w:p w:rsidR="00326C73" w:rsidRPr="00A45996" w:rsidRDefault="00326C73" w:rsidP="00DA1B27">
      <w:pPr>
        <w:keepLines w:val="0"/>
        <w:jc w:val="left"/>
        <w:rPr>
          <w:rFonts w:cs="Arial"/>
          <w:b/>
          <w:bCs/>
          <w:sz w:val="22"/>
          <w:u w:val="single"/>
          <w:lang w:val="en-US"/>
        </w:rPr>
      </w:pPr>
      <w:r w:rsidRPr="00A45996">
        <w:rPr>
          <w:rFonts w:cs="Arial"/>
          <w:b/>
          <w:bCs/>
          <w:u w:val="single"/>
          <w:lang w:val="en-US"/>
        </w:rPr>
        <w:t>Investigations</w:t>
      </w:r>
    </w:p>
    <w:p w:rsidR="00326C73" w:rsidRPr="00A45996" w:rsidRDefault="00326C73" w:rsidP="00326C73">
      <w:pPr>
        <w:pStyle w:val="BodyText"/>
        <w:spacing w:before="20" w:after="80"/>
        <w:ind w:left="1620" w:hanging="1620"/>
        <w:jc w:val="both"/>
        <w:rPr>
          <w:rFonts w:ascii="Arial" w:hAnsi="Arial" w:cs="Arial"/>
          <w:b w:val="0"/>
          <w:i w:val="0"/>
          <w:lang w:val="en-US"/>
        </w:rPr>
      </w:pPr>
      <w:r w:rsidRPr="00A45996">
        <w:rPr>
          <w:rFonts w:ascii="Arial" w:hAnsi="Arial" w:cs="Arial"/>
          <w:b w:val="0"/>
          <w:i w:val="0"/>
          <w:lang w:val="en-US"/>
        </w:rPr>
        <w:t>Common:</w:t>
      </w:r>
      <w:r w:rsidRPr="00A45996">
        <w:rPr>
          <w:rFonts w:ascii="Arial" w:hAnsi="Arial" w:cs="Arial"/>
          <w:b w:val="0"/>
          <w:i w:val="0"/>
          <w:lang w:val="en-US"/>
        </w:rPr>
        <w:tab/>
        <w:t>weight decreased, blood lactate dehydrogenase increased.</w:t>
      </w:r>
    </w:p>
    <w:p w:rsidR="00326C73" w:rsidRPr="00A45996" w:rsidRDefault="00326C73" w:rsidP="00326C73">
      <w:pPr>
        <w:pStyle w:val="BodyText"/>
        <w:spacing w:before="20" w:after="80"/>
        <w:ind w:left="1620" w:hanging="1620"/>
        <w:jc w:val="both"/>
        <w:rPr>
          <w:rFonts w:ascii="Arial" w:hAnsi="Arial" w:cs="Arial"/>
          <w:b w:val="0"/>
          <w:i w:val="0"/>
          <w:lang w:val="en-US"/>
        </w:rPr>
      </w:pPr>
      <w:r w:rsidRPr="00A45996">
        <w:rPr>
          <w:rFonts w:ascii="Arial" w:hAnsi="Arial" w:cs="Arial"/>
          <w:b w:val="0"/>
          <w:i w:val="0"/>
          <w:lang w:val="en-US"/>
        </w:rPr>
        <w:t>Uncommon:</w:t>
      </w:r>
      <w:r w:rsidRPr="00A45996">
        <w:rPr>
          <w:rFonts w:ascii="Arial" w:hAnsi="Arial" w:cs="Arial"/>
          <w:b w:val="0"/>
          <w:i w:val="0"/>
          <w:lang w:val="en-US"/>
        </w:rPr>
        <w:tab/>
        <w:t>alanine aminotransferase increased, aspartate aminotransferase increased, blood alkaline phosphatase increased, blood creatinine increased, blood urea increased, gamma-</w:t>
      </w:r>
      <w:proofErr w:type="spellStart"/>
      <w:r w:rsidRPr="00A45996">
        <w:rPr>
          <w:rFonts w:ascii="Arial" w:hAnsi="Arial" w:cs="Arial"/>
          <w:b w:val="0"/>
          <w:i w:val="0"/>
          <w:lang w:val="en-US"/>
        </w:rPr>
        <w:t>glutamyltransferase</w:t>
      </w:r>
      <w:proofErr w:type="spellEnd"/>
      <w:r w:rsidRPr="00A45996">
        <w:rPr>
          <w:rFonts w:ascii="Arial" w:hAnsi="Arial" w:cs="Arial"/>
          <w:b w:val="0"/>
          <w:i w:val="0"/>
          <w:lang w:val="en-US"/>
        </w:rPr>
        <w:t xml:space="preserve"> increased, blood amylase increased, blood bilirubin increased, blood phosphate decreased, liver function tests abnormal, red blood cell count decreased, weight increased, white blood cell count decreased, blood bicarbonate decreased, heart rate irregular, </w:t>
      </w:r>
      <w:r w:rsidRPr="00A45996">
        <w:rPr>
          <w:rFonts w:ascii="Arial" w:hAnsi="Arial" w:cs="Arial"/>
          <w:b w:val="0"/>
          <w:i w:val="0"/>
        </w:rPr>
        <w:t>C-reactive protein increased</w:t>
      </w:r>
      <w:r w:rsidRPr="00A45996">
        <w:rPr>
          <w:rFonts w:ascii="Arial" w:hAnsi="Arial" w:cs="Arial"/>
          <w:b w:val="0"/>
          <w:i w:val="0"/>
          <w:lang w:val="en-US"/>
        </w:rPr>
        <w:t>.</w:t>
      </w:r>
    </w:p>
    <w:p w:rsidR="00326C73" w:rsidRPr="00A45996" w:rsidRDefault="00326C73" w:rsidP="00326C73">
      <w:pPr>
        <w:pStyle w:val="BodyText"/>
        <w:spacing w:before="120" w:after="80"/>
        <w:ind w:left="1622" w:hanging="1622"/>
        <w:jc w:val="both"/>
        <w:rPr>
          <w:rFonts w:ascii="Arial" w:hAnsi="Arial" w:cs="Arial"/>
          <w:bCs/>
          <w:i w:val="0"/>
          <w:u w:val="single"/>
        </w:rPr>
      </w:pPr>
      <w:r w:rsidRPr="00A45996">
        <w:rPr>
          <w:rFonts w:ascii="Arial" w:hAnsi="Arial" w:cs="Arial"/>
          <w:bCs/>
          <w:i w:val="0"/>
          <w:u w:val="single"/>
        </w:rPr>
        <w:t>Injury, poisoning and procedural complications</w:t>
      </w:r>
    </w:p>
    <w:p w:rsidR="00326C73" w:rsidRPr="00A45996" w:rsidRDefault="00326C73" w:rsidP="00326C73">
      <w:pPr>
        <w:pStyle w:val="BodyText"/>
        <w:spacing w:before="20" w:after="80"/>
        <w:ind w:left="1620" w:hanging="1620"/>
        <w:jc w:val="both"/>
        <w:rPr>
          <w:rFonts w:ascii="Arial" w:hAnsi="Arial" w:cs="Arial"/>
          <w:b w:val="0"/>
          <w:i w:val="0"/>
        </w:rPr>
      </w:pPr>
      <w:r w:rsidRPr="00A45996">
        <w:rPr>
          <w:rFonts w:ascii="Arial" w:hAnsi="Arial" w:cs="Arial"/>
          <w:b w:val="0"/>
          <w:i w:val="0"/>
        </w:rPr>
        <w:t>Uncommon:</w:t>
      </w:r>
      <w:r w:rsidRPr="00A45996">
        <w:rPr>
          <w:rFonts w:ascii="Arial" w:hAnsi="Arial" w:cs="Arial"/>
          <w:b w:val="0"/>
          <w:i w:val="0"/>
        </w:rPr>
        <w:tab/>
        <w:t>catheter related complications, post procedural pain, post procedural haemorrhage, burns.</w:t>
      </w:r>
    </w:p>
    <w:p w:rsidR="00326C73" w:rsidRPr="00A45996" w:rsidRDefault="00326C73" w:rsidP="00326C73">
      <w:pPr>
        <w:pStyle w:val="BodyText"/>
        <w:spacing w:before="120" w:after="80"/>
        <w:ind w:left="1622" w:hanging="1622"/>
        <w:jc w:val="both"/>
        <w:rPr>
          <w:rFonts w:ascii="Arial" w:hAnsi="Arial" w:cs="Arial"/>
          <w:b w:val="0"/>
          <w:i w:val="0"/>
        </w:rPr>
      </w:pPr>
      <w:r w:rsidRPr="00A45996">
        <w:rPr>
          <w:rFonts w:ascii="Arial" w:hAnsi="Arial" w:cs="Arial"/>
          <w:bCs/>
          <w:i w:val="0"/>
          <w:u w:val="single"/>
        </w:rPr>
        <w:t>Reproductive system and breast disorders</w:t>
      </w:r>
    </w:p>
    <w:p w:rsidR="00326C73" w:rsidRPr="00A45996" w:rsidRDefault="00326C73" w:rsidP="00326C73">
      <w:pPr>
        <w:pStyle w:val="BodyText"/>
        <w:spacing w:before="20" w:after="80"/>
        <w:ind w:left="1620" w:hanging="1620"/>
        <w:jc w:val="both"/>
        <w:rPr>
          <w:rFonts w:ascii="Arial" w:hAnsi="Arial" w:cs="Arial"/>
          <w:b w:val="0"/>
          <w:i w:val="0"/>
        </w:rPr>
      </w:pPr>
      <w:r w:rsidRPr="00A45996">
        <w:rPr>
          <w:rFonts w:ascii="Arial" w:hAnsi="Arial" w:cs="Arial"/>
          <w:b w:val="0"/>
          <w:i w:val="0"/>
        </w:rPr>
        <w:t>Uncommon:</w:t>
      </w:r>
      <w:r w:rsidRPr="00A45996">
        <w:rPr>
          <w:rFonts w:ascii="Arial" w:hAnsi="Arial" w:cs="Arial"/>
          <w:b w:val="0"/>
          <w:i w:val="0"/>
        </w:rPr>
        <w:tab/>
        <w:t>testicular pain, erectile dysfunction.</w:t>
      </w:r>
    </w:p>
    <w:p w:rsidR="00326C73" w:rsidRPr="00A45996" w:rsidRDefault="00326C73" w:rsidP="00326C73">
      <w:pPr>
        <w:pStyle w:val="Paragraph"/>
        <w:spacing w:after="80" w:line="240" w:lineRule="auto"/>
        <w:jc w:val="both"/>
        <w:rPr>
          <w:rFonts w:ascii="Arial" w:hAnsi="Arial" w:cs="Arial"/>
          <w:b/>
          <w:bCs/>
          <w:u w:val="single"/>
        </w:rPr>
      </w:pPr>
      <w:r w:rsidRPr="00A45996">
        <w:rPr>
          <w:rFonts w:ascii="Arial" w:hAnsi="Arial" w:cs="Arial"/>
          <w:b/>
          <w:bCs/>
          <w:u w:val="single"/>
        </w:rPr>
        <w:t xml:space="preserve">Potentially </w:t>
      </w:r>
      <w:proofErr w:type="spellStart"/>
      <w:r w:rsidRPr="00A45996">
        <w:rPr>
          <w:rFonts w:ascii="Arial" w:hAnsi="Arial" w:cs="Arial"/>
          <w:b/>
          <w:bCs/>
          <w:u w:val="single"/>
        </w:rPr>
        <w:t>immunocomplex</w:t>
      </w:r>
      <w:proofErr w:type="spellEnd"/>
      <w:r w:rsidRPr="00A45996">
        <w:rPr>
          <w:rFonts w:ascii="Arial" w:hAnsi="Arial" w:cs="Arial"/>
          <w:b/>
          <w:bCs/>
          <w:u w:val="single"/>
        </w:rPr>
        <w:t xml:space="preserve">-mediated reactions </w:t>
      </w:r>
      <w:r w:rsidRPr="00A45996">
        <w:rPr>
          <w:rFonts w:ascii="Arial" w:hAnsi="Arial" w:cs="Arial"/>
        </w:rPr>
        <w:t xml:space="preserve">(see </w:t>
      </w:r>
      <w:r w:rsidRPr="00A45996">
        <w:rPr>
          <w:rFonts w:ascii="Arial" w:hAnsi="Arial" w:cs="Arial"/>
          <w:b/>
          <w:bCs/>
        </w:rPr>
        <w:t>PRECAUTIONS</w:t>
      </w:r>
      <w:r w:rsidRPr="00A45996">
        <w:rPr>
          <w:rFonts w:ascii="Arial" w:hAnsi="Arial" w:cs="Arial"/>
        </w:rPr>
        <w:t>)</w:t>
      </w:r>
    </w:p>
    <w:p w:rsidR="00326C73" w:rsidRPr="00A45996" w:rsidRDefault="00326C73" w:rsidP="00326C73">
      <w:pPr>
        <w:pStyle w:val="Paragraph"/>
        <w:spacing w:before="20" w:after="80" w:line="240" w:lineRule="auto"/>
        <w:ind w:left="1680" w:hanging="1680"/>
        <w:jc w:val="both"/>
        <w:rPr>
          <w:rFonts w:ascii="Arial" w:hAnsi="Arial" w:cs="Arial"/>
        </w:rPr>
      </w:pPr>
      <w:r w:rsidRPr="00A45996">
        <w:rPr>
          <w:rFonts w:ascii="Arial" w:hAnsi="Arial" w:cs="Arial"/>
        </w:rPr>
        <w:t xml:space="preserve">Uncommon: </w:t>
      </w:r>
      <w:r w:rsidRPr="00A45996">
        <w:rPr>
          <w:rFonts w:ascii="Arial" w:hAnsi="Arial" w:cs="Arial"/>
        </w:rPr>
        <w:tab/>
        <w:t xml:space="preserve">potentially </w:t>
      </w:r>
      <w:proofErr w:type="spellStart"/>
      <w:r w:rsidRPr="00A45996">
        <w:rPr>
          <w:rFonts w:ascii="Arial" w:hAnsi="Arial" w:cs="Arial"/>
        </w:rPr>
        <w:t>immunocomplex</w:t>
      </w:r>
      <w:proofErr w:type="spellEnd"/>
      <w:r w:rsidRPr="00A45996">
        <w:rPr>
          <w:rFonts w:ascii="Arial" w:hAnsi="Arial" w:cs="Arial"/>
        </w:rPr>
        <w:t>-mediated reactions, such as serum-sickness –type reaction, polyarthritis with rash and proliferative glomerulonephritis.</w:t>
      </w:r>
    </w:p>
    <w:p w:rsidR="007B3AD3" w:rsidRPr="00A45996" w:rsidRDefault="007B3AD3" w:rsidP="00326C73">
      <w:pPr>
        <w:pStyle w:val="Paragraph"/>
        <w:spacing w:before="20" w:after="80" w:line="240" w:lineRule="auto"/>
        <w:ind w:left="1680" w:hanging="1680"/>
        <w:jc w:val="both"/>
        <w:rPr>
          <w:rFonts w:ascii="Arial" w:hAnsi="Arial" w:cs="Arial"/>
        </w:rPr>
      </w:pPr>
    </w:p>
    <w:p w:rsidR="007B3AD3" w:rsidRPr="00A45996" w:rsidRDefault="007B3AD3" w:rsidP="00326C73">
      <w:pPr>
        <w:pStyle w:val="Paragraph"/>
        <w:spacing w:before="20" w:after="80" w:line="240" w:lineRule="auto"/>
        <w:ind w:left="1680" w:hanging="1680"/>
        <w:jc w:val="both"/>
        <w:rPr>
          <w:rFonts w:ascii="Arial" w:hAnsi="Arial" w:cs="Arial"/>
        </w:rPr>
      </w:pPr>
    </w:p>
    <w:p w:rsidR="007B3AD3" w:rsidRPr="00A45996" w:rsidRDefault="007B3AD3" w:rsidP="00326C73">
      <w:pPr>
        <w:pStyle w:val="Paragraph"/>
        <w:spacing w:before="20" w:after="80" w:line="240" w:lineRule="auto"/>
        <w:ind w:left="1680" w:hanging="1680"/>
        <w:jc w:val="both"/>
        <w:rPr>
          <w:rFonts w:ascii="Arial" w:hAnsi="Arial" w:cs="Arial"/>
        </w:rPr>
      </w:pPr>
    </w:p>
    <w:p w:rsidR="007B3AD3" w:rsidRPr="00A45996" w:rsidRDefault="007B3AD3" w:rsidP="007B3AD3">
      <w:pPr>
        <w:pStyle w:val="VELCADEHEADING3"/>
      </w:pPr>
      <w:bookmarkStart w:id="2" w:name="_Toc391972528"/>
      <w:r w:rsidRPr="00A45996">
        <w:lastRenderedPageBreak/>
        <w:t>Summary of Clinical Trial in Patients with Previously Untreated Mantle Cell Lymphoma</w:t>
      </w:r>
      <w:bookmarkEnd w:id="2"/>
      <w:r w:rsidRPr="00A45996">
        <w:t xml:space="preserve"> </w:t>
      </w:r>
    </w:p>
    <w:p w:rsidR="007B3AD3" w:rsidRPr="00A45996" w:rsidRDefault="007B3AD3" w:rsidP="007B3AD3">
      <w:pPr>
        <w:pStyle w:val="BodyText12"/>
        <w:spacing w:after="0" w:line="240" w:lineRule="auto"/>
        <w:ind w:left="0"/>
        <w:rPr>
          <w:rFonts w:ascii="Arial" w:hAnsi="Arial" w:cs="Arial"/>
          <w:sz w:val="22"/>
          <w:szCs w:val="22"/>
        </w:rPr>
      </w:pPr>
    </w:p>
    <w:p w:rsidR="007B3AD3" w:rsidRPr="00A45996" w:rsidRDefault="007B3AD3" w:rsidP="007B3AD3">
      <w:pPr>
        <w:rPr>
          <w:rFonts w:cs="Arial"/>
          <w:sz w:val="22"/>
          <w:szCs w:val="22"/>
        </w:rPr>
      </w:pPr>
      <w:r w:rsidRPr="00A45996">
        <w:rPr>
          <w:rFonts w:cs="Arial"/>
          <w:sz w:val="22"/>
          <w:szCs w:val="22"/>
        </w:rPr>
        <w:t>Table 19 describes safety data from 240 patients with previously untreated mantle cell lymphoma who received VELCADE (1.3 mg/m</w:t>
      </w:r>
      <w:r w:rsidRPr="00A45996">
        <w:rPr>
          <w:rFonts w:cs="Arial"/>
          <w:sz w:val="22"/>
          <w:szCs w:val="22"/>
          <w:vertAlign w:val="superscript"/>
        </w:rPr>
        <w:t>2</w:t>
      </w:r>
      <w:r w:rsidRPr="00A45996">
        <w:rPr>
          <w:rFonts w:cs="Arial"/>
          <w:sz w:val="22"/>
          <w:szCs w:val="22"/>
        </w:rPr>
        <w:t>) administered IV in combination with rituximab (375 mg/m</w:t>
      </w:r>
      <w:r w:rsidRPr="00A45996">
        <w:rPr>
          <w:rFonts w:cs="Arial"/>
          <w:sz w:val="22"/>
          <w:szCs w:val="22"/>
          <w:vertAlign w:val="superscript"/>
        </w:rPr>
        <w:t>2</w:t>
      </w:r>
      <w:r w:rsidRPr="00A45996">
        <w:rPr>
          <w:rFonts w:cs="Arial"/>
          <w:sz w:val="22"/>
          <w:szCs w:val="22"/>
        </w:rPr>
        <w:t>), cyclophosphamide (750 mg/m</w:t>
      </w:r>
      <w:r w:rsidRPr="00A45996">
        <w:rPr>
          <w:rFonts w:cs="Arial"/>
          <w:sz w:val="22"/>
          <w:szCs w:val="22"/>
          <w:vertAlign w:val="superscript"/>
        </w:rPr>
        <w:t>2</w:t>
      </w:r>
      <w:r w:rsidRPr="00A45996">
        <w:rPr>
          <w:rFonts w:cs="Arial"/>
          <w:sz w:val="22"/>
          <w:szCs w:val="22"/>
        </w:rPr>
        <w:t>), doxorubicin (50 mg/m</w:t>
      </w:r>
      <w:r w:rsidRPr="00A45996">
        <w:rPr>
          <w:rFonts w:cs="Arial"/>
          <w:sz w:val="22"/>
          <w:szCs w:val="22"/>
          <w:vertAlign w:val="superscript"/>
        </w:rPr>
        <w:t>2</w:t>
      </w:r>
      <w:r w:rsidRPr="00A45996">
        <w:rPr>
          <w:rFonts w:cs="Arial"/>
          <w:sz w:val="22"/>
          <w:szCs w:val="22"/>
        </w:rPr>
        <w:t>), and prednisone (100 mg/m</w:t>
      </w:r>
      <w:r w:rsidRPr="00A45996">
        <w:rPr>
          <w:rFonts w:cs="Arial"/>
          <w:sz w:val="22"/>
          <w:szCs w:val="22"/>
          <w:vertAlign w:val="superscript"/>
        </w:rPr>
        <w:t>2</w:t>
      </w:r>
      <w:r w:rsidRPr="00A45996">
        <w:rPr>
          <w:rFonts w:cs="Arial"/>
          <w:sz w:val="22"/>
          <w:szCs w:val="22"/>
        </w:rPr>
        <w:t>) (</w:t>
      </w:r>
      <w:proofErr w:type="spellStart"/>
      <w:r w:rsidRPr="00A45996">
        <w:rPr>
          <w:rFonts w:cs="Arial"/>
          <w:sz w:val="22"/>
          <w:szCs w:val="22"/>
        </w:rPr>
        <w:t>VcR</w:t>
      </w:r>
      <w:proofErr w:type="spellEnd"/>
      <w:r w:rsidRPr="00A45996">
        <w:rPr>
          <w:rFonts w:cs="Arial"/>
          <w:sz w:val="22"/>
          <w:szCs w:val="22"/>
        </w:rPr>
        <w:t xml:space="preserve">-CAP) in a prospective randomized study (LYM-3002).  </w:t>
      </w:r>
    </w:p>
    <w:p w:rsidR="007B3AD3" w:rsidRPr="00A45996" w:rsidRDefault="007B3AD3" w:rsidP="007B3AD3">
      <w:pPr>
        <w:rPr>
          <w:rFonts w:cs="Arial"/>
          <w:sz w:val="22"/>
          <w:szCs w:val="22"/>
        </w:rPr>
      </w:pPr>
    </w:p>
    <w:p w:rsidR="007B3AD3" w:rsidRPr="00A45996" w:rsidRDefault="007B3AD3" w:rsidP="007B3AD3">
      <w:pPr>
        <w:pStyle w:val="PIParagraphCharCharChar"/>
        <w:rPr>
          <w:rFonts w:ascii="Arial" w:hAnsi="Arial" w:cs="Arial"/>
          <w:sz w:val="22"/>
          <w:szCs w:val="22"/>
        </w:rPr>
      </w:pPr>
      <w:r w:rsidRPr="00A45996">
        <w:rPr>
          <w:rFonts w:ascii="Arial" w:hAnsi="Arial" w:cs="Arial"/>
          <w:sz w:val="22"/>
          <w:szCs w:val="22"/>
        </w:rPr>
        <w:t xml:space="preserve">The incidences of Grade ≥ 3 bleeding events were similar between the 2 arms (3 patients in the </w:t>
      </w:r>
      <w:proofErr w:type="spellStart"/>
      <w:r w:rsidRPr="00A45996">
        <w:rPr>
          <w:rFonts w:ascii="Arial" w:hAnsi="Arial" w:cs="Arial"/>
          <w:sz w:val="22"/>
          <w:szCs w:val="22"/>
        </w:rPr>
        <w:t>VcR</w:t>
      </w:r>
      <w:proofErr w:type="spellEnd"/>
      <w:r w:rsidRPr="00A45996">
        <w:rPr>
          <w:rFonts w:ascii="Arial" w:hAnsi="Arial" w:cs="Arial"/>
          <w:sz w:val="22"/>
          <w:szCs w:val="22"/>
        </w:rPr>
        <w:t xml:space="preserve">-CAP arm and 1 patient in the R-CHOP arm).  All of the Grade ≥ 3 bleeding events resolved without sequelae in the </w:t>
      </w:r>
      <w:proofErr w:type="spellStart"/>
      <w:r w:rsidRPr="00A45996">
        <w:rPr>
          <w:rFonts w:ascii="Arial" w:hAnsi="Arial" w:cs="Arial"/>
          <w:sz w:val="22"/>
          <w:szCs w:val="22"/>
        </w:rPr>
        <w:t>VcR</w:t>
      </w:r>
      <w:proofErr w:type="spellEnd"/>
      <w:r w:rsidRPr="00A45996">
        <w:rPr>
          <w:rFonts w:ascii="Arial" w:hAnsi="Arial" w:cs="Arial"/>
          <w:sz w:val="22"/>
          <w:szCs w:val="22"/>
        </w:rPr>
        <w:t xml:space="preserve">-CAP arm. </w:t>
      </w:r>
    </w:p>
    <w:p w:rsidR="007B3AD3" w:rsidRPr="00A45996" w:rsidRDefault="007B3AD3" w:rsidP="007B3AD3">
      <w:pPr>
        <w:rPr>
          <w:rFonts w:cs="Arial"/>
          <w:sz w:val="22"/>
          <w:szCs w:val="22"/>
        </w:rPr>
      </w:pPr>
      <w:r w:rsidRPr="00A45996">
        <w:rPr>
          <w:rFonts w:cs="Arial"/>
          <w:sz w:val="22"/>
          <w:szCs w:val="22"/>
        </w:rPr>
        <w:t xml:space="preserve">Infections were reported for 31% of patients in the </w:t>
      </w:r>
      <w:proofErr w:type="spellStart"/>
      <w:r w:rsidRPr="00A45996">
        <w:rPr>
          <w:rFonts w:cs="Arial"/>
          <w:sz w:val="22"/>
          <w:szCs w:val="22"/>
        </w:rPr>
        <w:t>VcR</w:t>
      </w:r>
      <w:proofErr w:type="spellEnd"/>
      <w:r w:rsidRPr="00A45996">
        <w:rPr>
          <w:rFonts w:cs="Arial"/>
          <w:sz w:val="22"/>
          <w:szCs w:val="22"/>
        </w:rPr>
        <w:t>-CAP arm and 23% of the patients in the R-CHOP arm.  Respiratory tract and lung infections were reported, with the predominant preferred term of pneumonia (</w:t>
      </w:r>
      <w:proofErr w:type="spellStart"/>
      <w:r w:rsidRPr="00A45996">
        <w:rPr>
          <w:rFonts w:cs="Arial"/>
          <w:sz w:val="22"/>
          <w:szCs w:val="22"/>
        </w:rPr>
        <w:t>VcR</w:t>
      </w:r>
      <w:proofErr w:type="spellEnd"/>
      <w:r w:rsidRPr="00A45996">
        <w:rPr>
          <w:rFonts w:cs="Arial"/>
          <w:sz w:val="22"/>
          <w:szCs w:val="22"/>
        </w:rPr>
        <w:t>-CAP 8% versus R</w:t>
      </w:r>
      <w:r w:rsidRPr="00A45996">
        <w:rPr>
          <w:rFonts w:cs="Arial"/>
          <w:sz w:val="22"/>
          <w:szCs w:val="22"/>
        </w:rPr>
        <w:noBreakHyphen/>
        <w:t>CHOP 5%).</w:t>
      </w:r>
    </w:p>
    <w:p w:rsidR="007B3AD3" w:rsidRPr="00A45996" w:rsidRDefault="007B3AD3" w:rsidP="007B3AD3">
      <w:pPr>
        <w:rPr>
          <w:rFonts w:cs="Arial"/>
          <w:sz w:val="22"/>
          <w:szCs w:val="22"/>
        </w:rPr>
      </w:pPr>
    </w:p>
    <w:p w:rsidR="007B3AD3" w:rsidRPr="00A45996" w:rsidRDefault="007B3AD3" w:rsidP="007B3AD3">
      <w:pPr>
        <w:pStyle w:val="PIParagraphCharCharChar"/>
        <w:rPr>
          <w:rFonts w:ascii="Arial" w:hAnsi="Arial" w:cs="Arial"/>
          <w:sz w:val="22"/>
          <w:szCs w:val="22"/>
        </w:rPr>
      </w:pPr>
      <w:r w:rsidRPr="00A45996">
        <w:rPr>
          <w:rFonts w:ascii="Arial" w:hAnsi="Arial" w:cs="Arial"/>
          <w:sz w:val="22"/>
          <w:szCs w:val="22"/>
        </w:rPr>
        <w:t>HBV infection with fatal outcomes occurred in 0.8% (n=2) of patients in the non-VELCADE treatment group (rituximab, cyclophosphamide, doxorubicin, vincristine, and prednisone; R-</w:t>
      </w:r>
      <w:proofErr w:type="gramStart"/>
      <w:r w:rsidRPr="00A45996">
        <w:rPr>
          <w:rFonts w:ascii="Arial" w:hAnsi="Arial" w:cs="Arial"/>
          <w:sz w:val="22"/>
          <w:szCs w:val="22"/>
        </w:rPr>
        <w:t>CHOP )</w:t>
      </w:r>
      <w:proofErr w:type="gramEnd"/>
      <w:r w:rsidRPr="00A45996">
        <w:rPr>
          <w:rFonts w:ascii="Arial" w:hAnsi="Arial" w:cs="Arial"/>
          <w:sz w:val="22"/>
          <w:szCs w:val="22"/>
        </w:rPr>
        <w:t xml:space="preserve"> and 0.4% (n=1) of patients receiving VELCADE in combination with rituximab, cyclophosphamide, doxorubicin, and prednisone (</w:t>
      </w:r>
      <w:proofErr w:type="spellStart"/>
      <w:r w:rsidRPr="00A45996">
        <w:rPr>
          <w:rFonts w:ascii="Arial" w:hAnsi="Arial" w:cs="Arial"/>
          <w:sz w:val="22"/>
          <w:szCs w:val="22"/>
        </w:rPr>
        <w:t>VcR</w:t>
      </w:r>
      <w:proofErr w:type="spellEnd"/>
      <w:r w:rsidRPr="00A45996">
        <w:rPr>
          <w:rFonts w:ascii="Arial" w:hAnsi="Arial" w:cs="Arial"/>
          <w:sz w:val="22"/>
          <w:szCs w:val="22"/>
        </w:rPr>
        <w:t xml:space="preserve">-CAP). The overall </w:t>
      </w:r>
      <w:proofErr w:type="gramStart"/>
      <w:r w:rsidRPr="00A45996">
        <w:rPr>
          <w:rFonts w:ascii="Arial" w:hAnsi="Arial" w:cs="Arial"/>
          <w:sz w:val="22"/>
          <w:szCs w:val="22"/>
        </w:rPr>
        <w:t xml:space="preserve">incidence of hepatitis B infections was similar in patients treated with </w:t>
      </w:r>
      <w:proofErr w:type="spellStart"/>
      <w:r w:rsidRPr="00A45996">
        <w:rPr>
          <w:rFonts w:ascii="Arial" w:hAnsi="Arial" w:cs="Arial"/>
          <w:sz w:val="22"/>
          <w:szCs w:val="22"/>
        </w:rPr>
        <w:t>VcR</w:t>
      </w:r>
      <w:proofErr w:type="spellEnd"/>
      <w:r w:rsidRPr="00A45996">
        <w:rPr>
          <w:rFonts w:ascii="Arial" w:hAnsi="Arial" w:cs="Arial"/>
          <w:sz w:val="22"/>
          <w:szCs w:val="22"/>
        </w:rPr>
        <w:t>-CAP or with R-CHOP (0.8% vs 1.2% respectively) (see</w:t>
      </w:r>
      <w:proofErr w:type="gramEnd"/>
      <w:r w:rsidRPr="00A45996">
        <w:rPr>
          <w:rFonts w:ascii="Arial" w:hAnsi="Arial" w:cs="Arial"/>
          <w:sz w:val="22"/>
          <w:szCs w:val="22"/>
        </w:rPr>
        <w:t xml:space="preserve"> PRECAUTIONS).</w:t>
      </w:r>
    </w:p>
    <w:p w:rsidR="007B3AD3" w:rsidRPr="00A45996" w:rsidRDefault="007B3AD3" w:rsidP="007B3AD3">
      <w:pPr>
        <w:rPr>
          <w:rFonts w:cs="Arial"/>
          <w:sz w:val="22"/>
          <w:szCs w:val="22"/>
        </w:rPr>
      </w:pPr>
      <w:r w:rsidRPr="00A45996">
        <w:rPr>
          <w:bCs/>
          <w:sz w:val="22"/>
          <w:szCs w:val="22"/>
          <w:lang w:val="en-US"/>
        </w:rPr>
        <w:t>In general, the safety profile of VELCADE in mantle cell lymphoma was relatively consistent to that observed in patients with multiple myeloma with main differences described below. Additional adverse drug reactions identified associated with the use of the combination therapy (</w:t>
      </w:r>
      <w:proofErr w:type="spellStart"/>
      <w:r w:rsidRPr="00A45996">
        <w:rPr>
          <w:bCs/>
          <w:sz w:val="22"/>
          <w:szCs w:val="22"/>
          <w:lang w:val="en-US"/>
        </w:rPr>
        <w:t>VcR</w:t>
      </w:r>
      <w:proofErr w:type="spellEnd"/>
      <w:r w:rsidRPr="00A45996">
        <w:rPr>
          <w:bCs/>
          <w:sz w:val="22"/>
          <w:szCs w:val="22"/>
          <w:lang w:val="en-US"/>
        </w:rPr>
        <w:t xml:space="preserve">-CAP) were hepatitis B infection (&lt; 1%) and myocardial </w:t>
      </w:r>
      <w:proofErr w:type="spellStart"/>
      <w:r w:rsidRPr="00A45996">
        <w:rPr>
          <w:bCs/>
          <w:sz w:val="22"/>
          <w:szCs w:val="22"/>
          <w:lang w:val="en-US"/>
        </w:rPr>
        <w:t>ischaemia</w:t>
      </w:r>
      <w:proofErr w:type="spellEnd"/>
      <w:r w:rsidRPr="00A45996">
        <w:rPr>
          <w:bCs/>
          <w:sz w:val="22"/>
          <w:szCs w:val="22"/>
          <w:lang w:val="en-US"/>
        </w:rPr>
        <w:t xml:space="preserve"> (1.3%). The similar incidences of these events in both treatment </w:t>
      </w:r>
      <w:proofErr w:type="gramStart"/>
      <w:r w:rsidRPr="00A45996">
        <w:rPr>
          <w:bCs/>
          <w:sz w:val="22"/>
          <w:szCs w:val="22"/>
          <w:lang w:val="en-US"/>
        </w:rPr>
        <w:t>arms,</w:t>
      </w:r>
      <w:proofErr w:type="gramEnd"/>
      <w:r w:rsidRPr="00A45996">
        <w:rPr>
          <w:bCs/>
          <w:sz w:val="22"/>
          <w:szCs w:val="22"/>
          <w:lang w:val="en-US"/>
        </w:rPr>
        <w:t xml:space="preserve"> indicated that these adverse drug reactions are not attributable to VELCADE alone. Notable differences in the mantle cell lymphoma patient population as compared to patients in the multiple myeloma studies were a ≥5% higher incidence of the </w:t>
      </w:r>
      <w:proofErr w:type="spellStart"/>
      <w:r w:rsidRPr="00A45996">
        <w:rPr>
          <w:bCs/>
          <w:sz w:val="22"/>
          <w:szCs w:val="22"/>
          <w:lang w:val="en-US"/>
        </w:rPr>
        <w:t>haematological</w:t>
      </w:r>
      <w:proofErr w:type="spellEnd"/>
      <w:r w:rsidRPr="00A45996">
        <w:rPr>
          <w:bCs/>
          <w:sz w:val="22"/>
          <w:szCs w:val="22"/>
          <w:lang w:val="en-US"/>
        </w:rPr>
        <w:t xml:space="preserve"> adverse reactions (neutropenia, thrombocytopenia, leukopenia, anemia, lymphopenia), peripheral sensory neuropathy, hypertension, pyrexia, pneumonia, stomatitis, and hair disorders. </w:t>
      </w:r>
    </w:p>
    <w:p w:rsidR="007B3AD3" w:rsidRPr="00A45996" w:rsidRDefault="007B3AD3" w:rsidP="00326C73">
      <w:pPr>
        <w:pStyle w:val="Paragraph"/>
        <w:spacing w:before="20" w:after="80" w:line="240" w:lineRule="auto"/>
        <w:ind w:left="1680" w:hanging="1680"/>
        <w:jc w:val="both"/>
        <w:rPr>
          <w:rFonts w:ascii="Arial" w:hAnsi="Arial" w:cs="Arial"/>
        </w:rPr>
      </w:pPr>
    </w:p>
    <w:p w:rsidR="007B3AD3" w:rsidRPr="00A45996" w:rsidRDefault="007B3AD3" w:rsidP="007B3AD3">
      <w:pPr>
        <w:pStyle w:val="BodyTextIndent"/>
        <w:keepNext/>
        <w:suppressAutoHyphens/>
        <w:spacing w:after="0"/>
        <w:ind w:left="0"/>
        <w:rPr>
          <w:rFonts w:ascii="Arial" w:hAnsi="Arial" w:cs="Arial"/>
          <w:b/>
          <w:color w:val="000000"/>
          <w:sz w:val="22"/>
          <w:szCs w:val="22"/>
        </w:rPr>
      </w:pPr>
      <w:r w:rsidRPr="00A45996">
        <w:rPr>
          <w:rFonts w:ascii="Arial" w:hAnsi="Arial" w:cs="Arial"/>
          <w:b/>
          <w:sz w:val="22"/>
          <w:szCs w:val="22"/>
        </w:rPr>
        <w:t>Table 19: Most Commonly Reported Adverse Reactions (≥ 5%) with Grades 3 and ≥ 4 Intensity in the</w:t>
      </w:r>
      <w:r w:rsidRPr="00A45996">
        <w:rPr>
          <w:rFonts w:ascii="Arial" w:hAnsi="Arial" w:cs="Arial"/>
          <w:b/>
          <w:bCs/>
          <w:sz w:val="22"/>
          <w:szCs w:val="22"/>
        </w:rPr>
        <w:t xml:space="preserve"> </w:t>
      </w:r>
      <w:r w:rsidRPr="00A45996">
        <w:rPr>
          <w:rFonts w:ascii="Arial" w:hAnsi="Arial" w:cs="Arial"/>
          <w:b/>
          <w:color w:val="000000"/>
          <w:sz w:val="22"/>
          <w:szCs w:val="22"/>
        </w:rPr>
        <w:t xml:space="preserve">Mantle Cell Lymphoma Study of </w:t>
      </w:r>
      <w:proofErr w:type="spellStart"/>
      <w:r w:rsidRPr="00A45996">
        <w:rPr>
          <w:rFonts w:ascii="Arial" w:hAnsi="Arial" w:cs="Arial"/>
          <w:b/>
          <w:color w:val="000000"/>
          <w:sz w:val="22"/>
          <w:szCs w:val="22"/>
        </w:rPr>
        <w:t>VcR</w:t>
      </w:r>
      <w:proofErr w:type="spellEnd"/>
      <w:r w:rsidRPr="00A45996">
        <w:rPr>
          <w:rFonts w:ascii="Arial" w:hAnsi="Arial" w:cs="Arial"/>
          <w:b/>
          <w:color w:val="000000"/>
          <w:sz w:val="22"/>
          <w:szCs w:val="22"/>
        </w:rPr>
        <w:t>-CAP versus R-CHOP (N=482) (Study LYM-3002)</w:t>
      </w:r>
    </w:p>
    <w:p w:rsidR="007B3AD3" w:rsidRPr="00A45996" w:rsidRDefault="007B3AD3" w:rsidP="007B3AD3">
      <w:pPr>
        <w:pStyle w:val="BodyTextIndent"/>
        <w:keepNext/>
        <w:suppressAutoHyphens/>
        <w:spacing w:after="0"/>
        <w:ind w:left="0"/>
        <w:rPr>
          <w:b/>
          <w:bCs/>
        </w:rPr>
      </w:pPr>
    </w:p>
    <w:tbl>
      <w:tblPr>
        <w:tblW w:w="9045" w:type="dxa"/>
        <w:jc w:val="center"/>
        <w:tblInd w:w="3163" w:type="dxa"/>
        <w:tblLayout w:type="fixed"/>
        <w:tblCellMar>
          <w:left w:w="67" w:type="dxa"/>
          <w:right w:w="67" w:type="dxa"/>
        </w:tblCellMar>
        <w:tblLook w:val="0000" w:firstRow="0" w:lastRow="0" w:firstColumn="0" w:lastColumn="0" w:noHBand="0" w:noVBand="0"/>
      </w:tblPr>
      <w:tblGrid>
        <w:gridCol w:w="3134"/>
        <w:gridCol w:w="985"/>
        <w:gridCol w:w="985"/>
        <w:gridCol w:w="985"/>
        <w:gridCol w:w="985"/>
        <w:gridCol w:w="985"/>
        <w:gridCol w:w="986"/>
      </w:tblGrid>
      <w:tr w:rsidR="007B3AD3" w:rsidRPr="00A45996" w:rsidTr="00A45996">
        <w:trPr>
          <w:cantSplit/>
          <w:tblHeader/>
          <w:jc w:val="center"/>
        </w:trPr>
        <w:tc>
          <w:tcPr>
            <w:tcW w:w="3134" w:type="dxa"/>
            <w:tcBorders>
              <w:top w:val="single" w:sz="4" w:space="0" w:color="auto"/>
              <w:left w:val="nil"/>
              <w:bottom w:val="single" w:sz="4" w:space="0" w:color="auto"/>
              <w:right w:val="nil"/>
            </w:tcBorders>
            <w:shd w:val="clear" w:color="auto" w:fill="FFFFFF"/>
            <w:vAlign w:val="bottom"/>
          </w:tcPr>
          <w:p w:rsidR="007B3AD3" w:rsidRPr="00A45996" w:rsidRDefault="007B3AD3" w:rsidP="004748A1">
            <w:pPr>
              <w:keepNext/>
              <w:adjustRightInd w:val="0"/>
              <w:jc w:val="center"/>
              <w:rPr>
                <w:color w:val="000000"/>
                <w:sz w:val="20"/>
              </w:rPr>
            </w:pPr>
          </w:p>
        </w:tc>
        <w:tc>
          <w:tcPr>
            <w:tcW w:w="2955" w:type="dxa"/>
            <w:gridSpan w:val="3"/>
            <w:tcBorders>
              <w:top w:val="single" w:sz="4" w:space="0" w:color="auto"/>
              <w:left w:val="nil"/>
              <w:bottom w:val="single" w:sz="4" w:space="0" w:color="auto"/>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proofErr w:type="spellStart"/>
            <w:r w:rsidRPr="00A45996">
              <w:rPr>
                <w:color w:val="000000"/>
                <w:sz w:val="20"/>
              </w:rPr>
              <w:t>VcR</w:t>
            </w:r>
            <w:proofErr w:type="spellEnd"/>
            <w:r w:rsidRPr="00A45996">
              <w:rPr>
                <w:color w:val="000000"/>
                <w:sz w:val="20"/>
              </w:rPr>
              <w:t xml:space="preserve">-CAP </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n=240</w:t>
            </w:r>
          </w:p>
        </w:tc>
        <w:tc>
          <w:tcPr>
            <w:tcW w:w="2956" w:type="dxa"/>
            <w:gridSpan w:val="3"/>
            <w:tcBorders>
              <w:top w:val="single" w:sz="4" w:space="0" w:color="auto"/>
              <w:left w:val="nil"/>
              <w:bottom w:val="single" w:sz="4" w:space="0" w:color="auto"/>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 xml:space="preserve">R-CHOP </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n=242</w:t>
            </w:r>
          </w:p>
        </w:tc>
      </w:tr>
      <w:tr w:rsidR="007B3AD3" w:rsidRPr="00A45996" w:rsidTr="00A45996">
        <w:trPr>
          <w:cantSplit/>
          <w:tblHeader/>
          <w:jc w:val="center"/>
        </w:trPr>
        <w:tc>
          <w:tcPr>
            <w:tcW w:w="3134" w:type="dxa"/>
            <w:tcBorders>
              <w:top w:val="single" w:sz="4" w:space="0" w:color="auto"/>
              <w:left w:val="nil"/>
              <w:bottom w:val="single" w:sz="4" w:space="0" w:color="auto"/>
              <w:right w:val="nil"/>
            </w:tcBorders>
            <w:shd w:val="clear" w:color="auto" w:fill="FFFFFF"/>
            <w:vAlign w:val="bottom"/>
          </w:tcPr>
          <w:p w:rsidR="007B3AD3" w:rsidRPr="00A45996" w:rsidRDefault="007B3AD3" w:rsidP="004748A1">
            <w:pPr>
              <w:keepNext/>
              <w:adjustRightInd w:val="0"/>
              <w:jc w:val="left"/>
              <w:rPr>
                <w:b/>
                <w:color w:val="000000"/>
                <w:sz w:val="20"/>
              </w:rPr>
            </w:pPr>
            <w:r w:rsidRPr="00A45996">
              <w:rPr>
                <w:b/>
                <w:color w:val="000000"/>
                <w:sz w:val="20"/>
              </w:rPr>
              <w:t>System Organ Class</w:t>
            </w:r>
          </w:p>
          <w:p w:rsidR="007B3AD3" w:rsidRPr="00A45996" w:rsidRDefault="007B3AD3" w:rsidP="004748A1">
            <w:pPr>
              <w:keepNext/>
              <w:adjustRightInd w:val="0"/>
              <w:jc w:val="left"/>
              <w:rPr>
                <w:color w:val="000000"/>
                <w:sz w:val="20"/>
              </w:rPr>
            </w:pPr>
            <w:r w:rsidRPr="00A45996">
              <w:rPr>
                <w:color w:val="000000"/>
                <w:sz w:val="20"/>
              </w:rPr>
              <w:t>Preferred Term</w:t>
            </w:r>
          </w:p>
        </w:tc>
        <w:tc>
          <w:tcPr>
            <w:tcW w:w="985" w:type="dxa"/>
            <w:tcBorders>
              <w:top w:val="single" w:sz="4" w:space="0" w:color="auto"/>
              <w:left w:val="nil"/>
              <w:bottom w:val="single" w:sz="4" w:space="0" w:color="auto"/>
              <w:right w:val="nil"/>
            </w:tcBorders>
            <w:shd w:val="clear" w:color="auto" w:fill="FFFFFF"/>
            <w:vAlign w:val="bottom"/>
          </w:tcPr>
          <w:p w:rsidR="007B3AD3" w:rsidRPr="00A45996" w:rsidRDefault="007B3AD3" w:rsidP="004748A1">
            <w:pPr>
              <w:keepNext/>
              <w:pBdr>
                <w:bottom w:val="single" w:sz="6" w:space="0" w:color="auto"/>
              </w:pBdr>
              <w:adjustRightInd w:val="0"/>
              <w:rPr>
                <w:color w:val="000000"/>
                <w:sz w:val="20"/>
              </w:rPr>
            </w:pPr>
            <w:r w:rsidRPr="00A45996">
              <w:rPr>
                <w:color w:val="000000"/>
                <w:sz w:val="20"/>
              </w:rPr>
              <w:t xml:space="preserve">       Total </w:t>
            </w:r>
          </w:p>
          <w:p w:rsidR="007B3AD3" w:rsidRPr="00741E76" w:rsidRDefault="007B3AD3" w:rsidP="004748A1">
            <w:pPr>
              <w:keepNext/>
              <w:pBdr>
                <w:bottom w:val="single" w:sz="6" w:space="0" w:color="auto"/>
              </w:pBdr>
              <w:adjustRightInd w:val="0"/>
              <w:jc w:val="center"/>
              <w:rPr>
                <w:color w:val="000000"/>
                <w:sz w:val="20"/>
              </w:rPr>
            </w:pPr>
            <w:proofErr w:type="gramStart"/>
            <w:r w:rsidRPr="00741E76">
              <w:rPr>
                <w:color w:val="000000"/>
                <w:sz w:val="20"/>
              </w:rPr>
              <w:t>n</w:t>
            </w:r>
            <w:proofErr w:type="gramEnd"/>
            <w:r w:rsidRPr="00741E76">
              <w:rPr>
                <w:color w:val="000000"/>
                <w:sz w:val="20"/>
              </w:rPr>
              <w:t xml:space="preserve"> (%)</w:t>
            </w:r>
          </w:p>
        </w:tc>
        <w:tc>
          <w:tcPr>
            <w:tcW w:w="985" w:type="dxa"/>
            <w:tcBorders>
              <w:top w:val="single" w:sz="4" w:space="0" w:color="auto"/>
              <w:left w:val="nil"/>
              <w:bottom w:val="nil"/>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Toxicity</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Grade 3</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 xml:space="preserve"> </w:t>
            </w:r>
            <w:proofErr w:type="gramStart"/>
            <w:r w:rsidRPr="00A45996">
              <w:rPr>
                <w:color w:val="000000"/>
                <w:sz w:val="20"/>
              </w:rPr>
              <w:t>n</w:t>
            </w:r>
            <w:proofErr w:type="gramEnd"/>
            <w:r w:rsidRPr="00A45996">
              <w:rPr>
                <w:color w:val="000000"/>
                <w:sz w:val="20"/>
              </w:rPr>
              <w:t xml:space="preserve"> (%) </w:t>
            </w:r>
          </w:p>
        </w:tc>
        <w:tc>
          <w:tcPr>
            <w:tcW w:w="985" w:type="dxa"/>
            <w:tcBorders>
              <w:top w:val="single" w:sz="4" w:space="0" w:color="auto"/>
              <w:left w:val="nil"/>
              <w:bottom w:val="nil"/>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Toxicity</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Grade ≥4</w:t>
            </w:r>
          </w:p>
          <w:p w:rsidR="007B3AD3" w:rsidRPr="00A45996" w:rsidRDefault="007B3AD3" w:rsidP="004748A1">
            <w:pPr>
              <w:keepNext/>
              <w:pBdr>
                <w:bottom w:val="single" w:sz="6" w:space="0" w:color="auto"/>
              </w:pBdr>
              <w:adjustRightInd w:val="0"/>
              <w:jc w:val="center"/>
              <w:rPr>
                <w:color w:val="000000"/>
                <w:sz w:val="20"/>
              </w:rPr>
            </w:pPr>
            <w:proofErr w:type="gramStart"/>
            <w:r w:rsidRPr="00A45996">
              <w:rPr>
                <w:color w:val="000000"/>
                <w:sz w:val="20"/>
              </w:rPr>
              <w:t>n</w:t>
            </w:r>
            <w:proofErr w:type="gramEnd"/>
            <w:r w:rsidRPr="00A45996">
              <w:rPr>
                <w:color w:val="000000"/>
                <w:sz w:val="20"/>
              </w:rPr>
              <w:t xml:space="preserve"> (%) </w:t>
            </w:r>
          </w:p>
        </w:tc>
        <w:tc>
          <w:tcPr>
            <w:tcW w:w="985" w:type="dxa"/>
            <w:tcBorders>
              <w:top w:val="single" w:sz="4" w:space="0" w:color="auto"/>
              <w:left w:val="nil"/>
              <w:bottom w:val="nil"/>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Total</w:t>
            </w:r>
          </w:p>
          <w:p w:rsidR="007B3AD3" w:rsidRPr="00A45996" w:rsidRDefault="007B3AD3" w:rsidP="004748A1">
            <w:pPr>
              <w:keepNext/>
              <w:pBdr>
                <w:bottom w:val="single" w:sz="6" w:space="0" w:color="auto"/>
              </w:pBdr>
              <w:adjustRightInd w:val="0"/>
              <w:jc w:val="center"/>
              <w:rPr>
                <w:color w:val="000000"/>
                <w:sz w:val="20"/>
              </w:rPr>
            </w:pPr>
            <w:proofErr w:type="gramStart"/>
            <w:r w:rsidRPr="00A45996">
              <w:rPr>
                <w:color w:val="000000"/>
                <w:sz w:val="20"/>
              </w:rPr>
              <w:t>n</w:t>
            </w:r>
            <w:proofErr w:type="gramEnd"/>
            <w:r w:rsidRPr="00A45996">
              <w:rPr>
                <w:color w:val="000000"/>
                <w:sz w:val="20"/>
              </w:rPr>
              <w:t xml:space="preserve"> (%) </w:t>
            </w:r>
          </w:p>
        </w:tc>
        <w:tc>
          <w:tcPr>
            <w:tcW w:w="985" w:type="dxa"/>
            <w:tcBorders>
              <w:top w:val="single" w:sz="4" w:space="0" w:color="auto"/>
              <w:left w:val="nil"/>
              <w:bottom w:val="nil"/>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Toxicity</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Grade 3</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 xml:space="preserve"> </w:t>
            </w:r>
            <w:proofErr w:type="gramStart"/>
            <w:r w:rsidRPr="00A45996">
              <w:rPr>
                <w:color w:val="000000"/>
                <w:sz w:val="20"/>
              </w:rPr>
              <w:t>n</w:t>
            </w:r>
            <w:proofErr w:type="gramEnd"/>
            <w:r w:rsidRPr="00A45996">
              <w:rPr>
                <w:color w:val="000000"/>
                <w:sz w:val="20"/>
              </w:rPr>
              <w:t xml:space="preserve"> (%)</w:t>
            </w:r>
          </w:p>
        </w:tc>
        <w:tc>
          <w:tcPr>
            <w:tcW w:w="986" w:type="dxa"/>
            <w:tcBorders>
              <w:top w:val="single" w:sz="4" w:space="0" w:color="auto"/>
              <w:left w:val="nil"/>
              <w:bottom w:val="nil"/>
              <w:right w:val="nil"/>
            </w:tcBorders>
            <w:shd w:val="clear" w:color="auto" w:fill="FFFFFF"/>
            <w:vAlign w:val="bottom"/>
          </w:tcPr>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Toxicity</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Grade ≥4</w:t>
            </w:r>
          </w:p>
          <w:p w:rsidR="007B3AD3" w:rsidRPr="00A45996" w:rsidRDefault="007B3AD3" w:rsidP="004748A1">
            <w:pPr>
              <w:keepNext/>
              <w:pBdr>
                <w:bottom w:val="single" w:sz="6" w:space="0" w:color="auto"/>
              </w:pBdr>
              <w:adjustRightInd w:val="0"/>
              <w:jc w:val="center"/>
              <w:rPr>
                <w:color w:val="000000"/>
                <w:sz w:val="20"/>
              </w:rPr>
            </w:pPr>
            <w:r w:rsidRPr="00A45996">
              <w:rPr>
                <w:color w:val="000000"/>
                <w:sz w:val="20"/>
              </w:rPr>
              <w:t xml:space="preserve"> </w:t>
            </w:r>
            <w:proofErr w:type="gramStart"/>
            <w:r w:rsidRPr="00A45996">
              <w:rPr>
                <w:color w:val="000000"/>
                <w:sz w:val="20"/>
              </w:rPr>
              <w:t>n</w:t>
            </w:r>
            <w:proofErr w:type="gramEnd"/>
            <w:r w:rsidRPr="00A45996">
              <w:rPr>
                <w:color w:val="000000"/>
                <w:sz w:val="20"/>
              </w:rPr>
              <w:t xml:space="preserve"> (%)</w:t>
            </w:r>
          </w:p>
        </w:tc>
      </w:tr>
      <w:tr w:rsidR="007B3AD3" w:rsidRPr="00A45996" w:rsidTr="004748A1">
        <w:trPr>
          <w:cantSplit/>
          <w:jc w:val="center"/>
        </w:trPr>
        <w:tc>
          <w:tcPr>
            <w:tcW w:w="3134" w:type="dxa"/>
            <w:tcBorders>
              <w:top w:val="single" w:sz="4" w:space="0" w:color="auto"/>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Blood and lymphatic system disorders</w:t>
            </w:r>
          </w:p>
        </w:tc>
        <w:tc>
          <w:tcPr>
            <w:tcW w:w="985" w:type="dxa"/>
            <w:tcBorders>
              <w:top w:val="single" w:sz="4" w:space="0" w:color="auto"/>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Neutropenia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209 (87)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32 (13)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168 (70)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172 (71)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31 (13)</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125 (52)</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Leukopenia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116 (48)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34 (14)</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69 (29)</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87 (36)</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39 (16)</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27 (11)</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Anaemia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106 (44)</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27 (11)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 (2)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71 (29)</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23 (10)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 (2)</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Thrombocytopenia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172 (72)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59 (25)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76 (32)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42 (17)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9 (4)</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 (1)</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Febrile neutropenia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41 (17)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24 (10)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12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33 (14)</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17 (7)</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15 (6)</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Lymphopenia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68 (28)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25 (10)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36 (15)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28 (12)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15 (6)</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 (1)</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Nervous system disorders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Peripheral sensory neuropathy</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53 (22)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45 (19)</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6 (3)</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Neuropathy peripheral</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18 (8)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 (2)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18 (7)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 (1)</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proofErr w:type="spellStart"/>
            <w:r w:rsidRPr="00A45996">
              <w:rPr>
                <w:color w:val="000000"/>
                <w:sz w:val="20"/>
              </w:rPr>
              <w:t>Hypoaesthesia</w:t>
            </w:r>
            <w:proofErr w:type="spellEnd"/>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14 (6)</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13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Paraesthesia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14 (6)</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Neuralgia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25 (10)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9 (4)</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lastRenderedPageBreak/>
              <w:t>General disorders and administration site conditions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Fatigue</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43 (18)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38 (16)</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 (2)</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Pyrexia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48 (20)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7 (3)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23 (10)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 (2)</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Asthenia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29 (12)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 (2)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18 (7)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Oedema peripheral</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16 (7)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13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Gastrointestinal disorders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Nausea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54 (23)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28 (12)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Constipation</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42 (18)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22 (9)</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 (1)</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Stomatitis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20 (8)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19 (8)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Diarrhoea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59 (25)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 (1)</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Vomiting</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24 (10)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8 (3)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Abdominal distension</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13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 (2)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Infections and infestations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Pneumonia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20 (8)</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8 (3)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 (2)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5 (2)</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 (1)</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Skin and subcutaneous tissue disorders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Alopecia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31 (13)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33 (14)</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4 (2)</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Metabolism and nutrition disorders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Hyperglycaemia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10 (4)</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17 (7)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10 (4)</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Decreased appetite</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36 (15)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2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15 (6)</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Hypokalaemia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11 (5)</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6 (2)</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Vascular disorders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Hypertension</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15 (6)</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3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267" w:hanging="87"/>
              <w:jc w:val="left"/>
              <w:rPr>
                <w:b/>
                <w:color w:val="000000"/>
                <w:sz w:val="20"/>
              </w:rPr>
            </w:pPr>
            <w:r w:rsidRPr="00A45996">
              <w:rPr>
                <w:b/>
                <w:color w:val="000000"/>
                <w:sz w:val="20"/>
              </w:rPr>
              <w:t>Psychiatric disorders</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p>
        </w:tc>
      </w:tr>
      <w:tr w:rsidR="007B3AD3" w:rsidRPr="00A45996" w:rsidTr="004748A1">
        <w:trPr>
          <w:cantSplit/>
          <w:jc w:val="center"/>
        </w:trPr>
        <w:tc>
          <w:tcPr>
            <w:tcW w:w="3134" w:type="dxa"/>
            <w:tcBorders>
              <w:top w:val="nil"/>
              <w:left w:val="nil"/>
              <w:bottom w:val="nil"/>
              <w:right w:val="nil"/>
            </w:tcBorders>
            <w:shd w:val="clear" w:color="auto" w:fill="FFFFFF"/>
          </w:tcPr>
          <w:p w:rsidR="007B3AD3" w:rsidRPr="00A45996" w:rsidRDefault="007B3AD3" w:rsidP="004748A1">
            <w:pPr>
              <w:adjustRightInd w:val="0"/>
              <w:ind w:left="447" w:hanging="87"/>
              <w:jc w:val="left"/>
              <w:rPr>
                <w:color w:val="000000"/>
                <w:sz w:val="20"/>
              </w:rPr>
            </w:pPr>
            <w:r w:rsidRPr="00A45996">
              <w:rPr>
                <w:color w:val="000000"/>
                <w:sz w:val="20"/>
              </w:rPr>
              <w:t>Insomnia</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16 (7)</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1 (&lt; 1)</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8 (3)</w:t>
            </w:r>
          </w:p>
        </w:tc>
        <w:tc>
          <w:tcPr>
            <w:tcW w:w="985"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c>
          <w:tcPr>
            <w:tcW w:w="986" w:type="dxa"/>
            <w:tcBorders>
              <w:top w:val="nil"/>
              <w:left w:val="nil"/>
              <w:bottom w:val="nil"/>
              <w:right w:val="nil"/>
            </w:tcBorders>
            <w:shd w:val="clear" w:color="auto" w:fill="FFFFFF"/>
            <w:vAlign w:val="bottom"/>
          </w:tcPr>
          <w:p w:rsidR="007B3AD3" w:rsidRPr="00A45996" w:rsidRDefault="007B3AD3" w:rsidP="004748A1">
            <w:pPr>
              <w:adjustRightInd w:val="0"/>
              <w:jc w:val="center"/>
              <w:rPr>
                <w:color w:val="000000"/>
                <w:sz w:val="20"/>
              </w:rPr>
            </w:pPr>
            <w:r w:rsidRPr="00A45996">
              <w:rPr>
                <w:color w:val="000000"/>
                <w:sz w:val="20"/>
              </w:rPr>
              <w:t>0</w:t>
            </w:r>
          </w:p>
        </w:tc>
      </w:tr>
      <w:tr w:rsidR="007B3AD3" w:rsidRPr="00A45996" w:rsidTr="004748A1">
        <w:trPr>
          <w:cantSplit/>
          <w:jc w:val="center"/>
        </w:trPr>
        <w:tc>
          <w:tcPr>
            <w:tcW w:w="9045" w:type="dxa"/>
            <w:gridSpan w:val="7"/>
            <w:tcBorders>
              <w:top w:val="nil"/>
              <w:left w:val="nil"/>
              <w:bottom w:val="nil"/>
              <w:right w:val="nil"/>
            </w:tcBorders>
            <w:shd w:val="clear" w:color="auto" w:fill="FFFFFF"/>
          </w:tcPr>
          <w:p w:rsidR="007B3AD3" w:rsidRPr="00A45996" w:rsidRDefault="007B3AD3" w:rsidP="004748A1">
            <w:pPr>
              <w:keepNext/>
              <w:adjustRightInd w:val="0"/>
              <w:spacing w:before="67" w:after="67"/>
              <w:jc w:val="left"/>
              <w:rPr>
                <w:color w:val="000000"/>
                <w:sz w:val="20"/>
              </w:rPr>
            </w:pPr>
            <w:r w:rsidRPr="00A45996">
              <w:rPr>
                <w:color w:val="000000"/>
                <w:sz w:val="20"/>
              </w:rPr>
              <w:br/>
              <w:t>Key: R-CHOP=rituximab, cyclophosphamide, doxorubicin, vincristine, and prednisone</w:t>
            </w:r>
            <w:proofErr w:type="gramStart"/>
            <w:r w:rsidRPr="00A45996">
              <w:rPr>
                <w:color w:val="000000"/>
                <w:sz w:val="20"/>
              </w:rPr>
              <w:t>;</w:t>
            </w:r>
            <w:proofErr w:type="gramEnd"/>
            <w:r w:rsidRPr="00A45996">
              <w:rPr>
                <w:color w:val="000000"/>
                <w:sz w:val="20"/>
              </w:rPr>
              <w:br/>
            </w:r>
            <w:proofErr w:type="spellStart"/>
            <w:r w:rsidRPr="00A45996">
              <w:rPr>
                <w:color w:val="000000"/>
                <w:sz w:val="20"/>
              </w:rPr>
              <w:t>VcR</w:t>
            </w:r>
            <w:proofErr w:type="spellEnd"/>
            <w:r w:rsidRPr="00A45996">
              <w:rPr>
                <w:color w:val="000000"/>
                <w:sz w:val="20"/>
              </w:rPr>
              <w:t>-CAP=VELCADE, rituximab, cyclophosphamide, doxorubicin, and prednisone.</w:t>
            </w:r>
          </w:p>
        </w:tc>
      </w:tr>
      <w:tr w:rsidR="007B3AD3" w:rsidRPr="00A45996" w:rsidTr="004748A1">
        <w:trPr>
          <w:cantSplit/>
          <w:jc w:val="center"/>
        </w:trPr>
        <w:tc>
          <w:tcPr>
            <w:tcW w:w="9045" w:type="dxa"/>
            <w:gridSpan w:val="7"/>
            <w:tcBorders>
              <w:top w:val="single" w:sz="4" w:space="0" w:color="000000"/>
              <w:left w:val="nil"/>
              <w:bottom w:val="nil"/>
              <w:right w:val="nil"/>
            </w:tcBorders>
            <w:shd w:val="clear" w:color="auto" w:fill="FFFFFF"/>
          </w:tcPr>
          <w:p w:rsidR="007B3AD3" w:rsidRPr="00A45996" w:rsidRDefault="007B3AD3" w:rsidP="004748A1">
            <w:pPr>
              <w:keepNext/>
              <w:adjustRightInd w:val="0"/>
              <w:spacing w:after="67"/>
              <w:jc w:val="right"/>
              <w:rPr>
                <w:color w:val="000000"/>
                <w:sz w:val="20"/>
              </w:rPr>
            </w:pPr>
          </w:p>
        </w:tc>
      </w:tr>
    </w:tbl>
    <w:p w:rsidR="007B3AD3" w:rsidRPr="00A45996" w:rsidRDefault="007B3AD3" w:rsidP="00663CC9">
      <w:pPr>
        <w:pStyle w:val="Paragraph"/>
        <w:spacing w:before="20" w:after="80" w:line="240" w:lineRule="auto"/>
        <w:jc w:val="both"/>
        <w:rPr>
          <w:rFonts w:ascii="Arial" w:hAnsi="Arial" w:cs="Arial"/>
        </w:rPr>
      </w:pPr>
    </w:p>
    <w:p w:rsidR="00AF785C" w:rsidRPr="00A45996" w:rsidRDefault="00AF785C" w:rsidP="00663CC9">
      <w:pPr>
        <w:pStyle w:val="Paragraph"/>
        <w:spacing w:before="20" w:after="80" w:line="240" w:lineRule="auto"/>
        <w:jc w:val="both"/>
        <w:rPr>
          <w:rFonts w:ascii="Arial" w:hAnsi="Arial" w:cs="Arial"/>
          <w:i/>
          <w:u w:val="single"/>
          <w:lang w:val="en-AU"/>
        </w:rPr>
      </w:pPr>
      <w:r w:rsidRPr="00A45996">
        <w:rPr>
          <w:rFonts w:ascii="Arial" w:hAnsi="Arial" w:cs="Arial"/>
          <w:i/>
          <w:u w:val="single"/>
          <w:lang w:val="en-AU"/>
        </w:rPr>
        <w:t>Herpes zoster virus reactivation</w:t>
      </w:r>
    </w:p>
    <w:p w:rsidR="00663CC9" w:rsidRPr="00A45996" w:rsidRDefault="00663CC9" w:rsidP="00663CC9">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Antiviral prophylaxis is recommended in patients being treated with VELCADE.</w:t>
      </w:r>
    </w:p>
    <w:p w:rsidR="00663CC9" w:rsidRPr="00A45996" w:rsidRDefault="00663CC9" w:rsidP="00663CC9">
      <w:pPr>
        <w:pStyle w:val="BodyText12"/>
        <w:spacing w:before="20" w:after="80" w:line="240" w:lineRule="auto"/>
        <w:ind w:left="0"/>
        <w:rPr>
          <w:rFonts w:ascii="Arial" w:hAnsi="Arial" w:cs="Arial"/>
          <w:snapToGrid w:val="0"/>
          <w:sz w:val="22"/>
          <w:szCs w:val="24"/>
        </w:rPr>
      </w:pPr>
      <w:r w:rsidRPr="00A45996">
        <w:rPr>
          <w:rFonts w:ascii="Arial" w:hAnsi="Arial" w:cs="Arial"/>
          <w:snapToGrid w:val="0"/>
          <w:sz w:val="22"/>
          <w:szCs w:val="24"/>
        </w:rPr>
        <w:t xml:space="preserve">Antiviral prophylaxis was administered to 137 of 240 patients (57%) in the </w:t>
      </w:r>
      <w:proofErr w:type="spellStart"/>
      <w:r w:rsidRPr="00A45996">
        <w:rPr>
          <w:rFonts w:ascii="Arial" w:hAnsi="Arial" w:cs="Arial"/>
          <w:snapToGrid w:val="0"/>
          <w:sz w:val="22"/>
          <w:szCs w:val="24"/>
        </w:rPr>
        <w:t>VcR</w:t>
      </w:r>
      <w:proofErr w:type="spellEnd"/>
      <w:r w:rsidRPr="00A45996">
        <w:rPr>
          <w:rFonts w:ascii="Arial" w:hAnsi="Arial" w:cs="Arial"/>
          <w:snapToGrid w:val="0"/>
          <w:sz w:val="22"/>
          <w:szCs w:val="24"/>
        </w:rPr>
        <w:noBreakHyphen/>
        <w:t xml:space="preserve">CAP arm. The incidence of herpes zoster among patients in the </w:t>
      </w:r>
      <w:proofErr w:type="spellStart"/>
      <w:r w:rsidRPr="00A45996">
        <w:rPr>
          <w:rFonts w:ascii="Arial" w:hAnsi="Arial" w:cs="Arial"/>
          <w:snapToGrid w:val="0"/>
          <w:sz w:val="22"/>
          <w:szCs w:val="24"/>
        </w:rPr>
        <w:t>VcR</w:t>
      </w:r>
      <w:proofErr w:type="spellEnd"/>
      <w:r w:rsidRPr="00A45996">
        <w:rPr>
          <w:rFonts w:ascii="Arial" w:hAnsi="Arial" w:cs="Arial"/>
          <w:snapToGrid w:val="0"/>
          <w:sz w:val="22"/>
          <w:szCs w:val="24"/>
        </w:rPr>
        <w:noBreakHyphen/>
        <w:t>CAP arm was 4.6% for patients not administered antiviral prophylaxis compared to 0.8% for patients administered antiviral prophylaxis.</w:t>
      </w:r>
    </w:p>
    <w:p w:rsidR="00663CC9" w:rsidRPr="00A45996" w:rsidRDefault="00663CC9" w:rsidP="00663CC9">
      <w:pPr>
        <w:pStyle w:val="BodyText12"/>
        <w:spacing w:before="20" w:after="80" w:line="240" w:lineRule="auto"/>
        <w:ind w:left="0"/>
        <w:rPr>
          <w:rFonts w:ascii="Arial" w:hAnsi="Arial" w:cs="Arial"/>
          <w:bCs/>
        </w:rPr>
      </w:pPr>
      <w:r w:rsidRPr="00A45996">
        <w:rPr>
          <w:rFonts w:ascii="Arial" w:hAnsi="Arial" w:cs="Arial"/>
          <w:snapToGrid w:val="0"/>
          <w:sz w:val="22"/>
          <w:szCs w:val="24"/>
        </w:rPr>
        <w:t>Antiviral prophylaxis was administered to 102 of 242 patients (42%) in the R-CHOP arm.  The incidence of herpes zoster among pat</w:t>
      </w:r>
      <w:r w:rsidR="004D35CF" w:rsidRPr="00A45996">
        <w:rPr>
          <w:rFonts w:ascii="Arial" w:hAnsi="Arial" w:cs="Arial"/>
          <w:snapToGrid w:val="0"/>
          <w:sz w:val="22"/>
          <w:szCs w:val="24"/>
        </w:rPr>
        <w:t>ients in the R-CHOP arm was 2.1</w:t>
      </w:r>
      <w:r w:rsidRPr="00A45996">
        <w:rPr>
          <w:rFonts w:ascii="Arial" w:hAnsi="Arial" w:cs="Arial"/>
          <w:snapToGrid w:val="0"/>
          <w:sz w:val="22"/>
          <w:szCs w:val="24"/>
        </w:rPr>
        <w:t>% for patients not administered antiviral prophylaxis compared to 0% for patients administered antiviral prophylaxis.</w:t>
      </w:r>
    </w:p>
    <w:p w:rsidR="007B3AD3" w:rsidRPr="00A45996" w:rsidRDefault="007B3AD3" w:rsidP="00326C73">
      <w:pPr>
        <w:pStyle w:val="Paragraph"/>
        <w:spacing w:before="20" w:after="80" w:line="240" w:lineRule="auto"/>
        <w:ind w:left="1680" w:hanging="1680"/>
        <w:jc w:val="both"/>
        <w:rPr>
          <w:rFonts w:ascii="Arial" w:hAnsi="Arial" w:cs="Arial"/>
        </w:rPr>
      </w:pPr>
    </w:p>
    <w:p w:rsidR="00326C73" w:rsidRPr="00A45996" w:rsidRDefault="00326C73" w:rsidP="00326C73">
      <w:pPr>
        <w:pStyle w:val="EndnoteText"/>
        <w:tabs>
          <w:tab w:val="clear" w:pos="567"/>
        </w:tabs>
        <w:spacing w:before="120" w:after="80"/>
        <w:jc w:val="both"/>
        <w:rPr>
          <w:rFonts w:ascii="Arial" w:hAnsi="Arial" w:cs="Arial"/>
          <w:b/>
          <w:bCs/>
          <w:u w:val="single"/>
          <w:lang w:val="en-US"/>
        </w:rPr>
      </w:pPr>
      <w:r w:rsidRPr="00A45996">
        <w:rPr>
          <w:rFonts w:ascii="Arial" w:hAnsi="Arial" w:cs="Arial"/>
          <w:b/>
          <w:bCs/>
          <w:sz w:val="24"/>
          <w:u w:val="single"/>
          <w:lang w:val="en-US"/>
        </w:rPr>
        <w:t>Post Marketing Experience</w:t>
      </w:r>
    </w:p>
    <w:p w:rsidR="00326C73" w:rsidRPr="00A45996" w:rsidRDefault="00326C73" w:rsidP="00326C73">
      <w:pPr>
        <w:pStyle w:val="EndnoteText"/>
        <w:tabs>
          <w:tab w:val="clear" w:pos="567"/>
        </w:tabs>
        <w:spacing w:before="20" w:after="80"/>
        <w:jc w:val="both"/>
        <w:rPr>
          <w:rFonts w:ascii="Arial" w:hAnsi="Arial" w:cs="Arial"/>
          <w:lang w:val="en-US"/>
        </w:rPr>
      </w:pPr>
      <w:r w:rsidRPr="00A45996">
        <w:rPr>
          <w:rFonts w:ascii="Arial" w:hAnsi="Arial" w:cs="Arial"/>
          <w:lang w:val="en-US"/>
        </w:rPr>
        <w:t>Clinically significant adverse reactions are listed if they have been reported during post approval use of VELCADE and have not been reported in clinical trials:</w:t>
      </w:r>
    </w:p>
    <w:p w:rsidR="00326C73" w:rsidRPr="00A45996" w:rsidRDefault="00326C73" w:rsidP="00326C73">
      <w:pPr>
        <w:spacing w:before="120" w:after="80"/>
        <w:rPr>
          <w:b/>
          <w:bCs/>
          <w:u w:val="single"/>
          <w:lang w:val="en-US"/>
        </w:rPr>
      </w:pPr>
      <w:r w:rsidRPr="00A45996">
        <w:rPr>
          <w:b/>
          <w:bCs/>
          <w:sz w:val="22"/>
          <w:u w:val="single"/>
        </w:rPr>
        <w:t>Blood and lymphatic system disorders</w:t>
      </w:r>
    </w:p>
    <w:p w:rsidR="00326C73" w:rsidRPr="00A45996" w:rsidRDefault="00326C73" w:rsidP="00326C73">
      <w:pPr>
        <w:spacing w:before="20" w:after="80"/>
        <w:ind w:left="1701" w:hanging="1701"/>
        <w:rPr>
          <w:iCs/>
          <w:sz w:val="22"/>
        </w:rPr>
      </w:pPr>
      <w:r w:rsidRPr="00A45996">
        <w:rPr>
          <w:sz w:val="22"/>
        </w:rPr>
        <w:t>Rare:</w:t>
      </w:r>
      <w:r w:rsidRPr="00A45996">
        <w:rPr>
          <w:sz w:val="22"/>
        </w:rPr>
        <w:tab/>
      </w:r>
      <w:r w:rsidRPr="00A45996">
        <w:rPr>
          <w:iCs/>
          <w:sz w:val="22"/>
        </w:rPr>
        <w:t>disseminated intravascular coagulation.</w:t>
      </w:r>
    </w:p>
    <w:p w:rsidR="001F56E2" w:rsidRDefault="001F56E2" w:rsidP="00326C73">
      <w:pPr>
        <w:pStyle w:val="PIHEADING2"/>
        <w:keepLines/>
        <w:tabs>
          <w:tab w:val="clear" w:pos="-720"/>
        </w:tabs>
        <w:suppressAutoHyphens w:val="0"/>
        <w:rPr>
          <w:bCs/>
          <w:spacing w:val="0"/>
          <w:u w:val="single"/>
        </w:rPr>
      </w:pPr>
    </w:p>
    <w:p w:rsidR="00326C73" w:rsidRPr="00A45996" w:rsidRDefault="00326C73" w:rsidP="00326C73">
      <w:pPr>
        <w:pStyle w:val="PIHEADING2"/>
        <w:keepLines/>
        <w:tabs>
          <w:tab w:val="clear" w:pos="-720"/>
        </w:tabs>
        <w:suppressAutoHyphens w:val="0"/>
        <w:rPr>
          <w:rFonts w:cs="Arial"/>
          <w:bCs/>
          <w:spacing w:val="0"/>
          <w:u w:val="single"/>
          <w:lang w:val="en-US"/>
        </w:rPr>
      </w:pPr>
      <w:r w:rsidRPr="00A45996">
        <w:rPr>
          <w:bCs/>
          <w:spacing w:val="0"/>
          <w:u w:val="single"/>
        </w:rPr>
        <w:lastRenderedPageBreak/>
        <w:t xml:space="preserve">Cardiac </w:t>
      </w:r>
      <w:r w:rsidR="007B3AD3" w:rsidRPr="00A45996">
        <w:rPr>
          <w:bCs/>
          <w:spacing w:val="0"/>
          <w:u w:val="single"/>
        </w:rPr>
        <w:t>d</w:t>
      </w:r>
      <w:r w:rsidRPr="00A45996">
        <w:rPr>
          <w:bCs/>
          <w:spacing w:val="0"/>
          <w:u w:val="single"/>
        </w:rPr>
        <w:t>isorders</w:t>
      </w:r>
    </w:p>
    <w:p w:rsidR="00326C73" w:rsidRPr="00A45996" w:rsidRDefault="00326C73" w:rsidP="00326C73">
      <w:pPr>
        <w:spacing w:before="20" w:after="80"/>
        <w:ind w:left="1701" w:hanging="1701"/>
        <w:rPr>
          <w:sz w:val="22"/>
        </w:rPr>
      </w:pPr>
      <w:r w:rsidRPr="00A45996">
        <w:rPr>
          <w:sz w:val="22"/>
        </w:rPr>
        <w:t>Rare:</w:t>
      </w:r>
      <w:r w:rsidRPr="00A45996">
        <w:rPr>
          <w:sz w:val="22"/>
        </w:rPr>
        <w:tab/>
        <w:t>atrioventricular block complete, cardiac tamponade, pericarditis, ventricular arrhythmias, sinus and ventricular tachycardia.</w:t>
      </w:r>
    </w:p>
    <w:p w:rsidR="00326C73" w:rsidRPr="00A45996" w:rsidRDefault="00326C73" w:rsidP="00326C73">
      <w:pPr>
        <w:pStyle w:val="BodyText12"/>
        <w:spacing w:before="120" w:after="80" w:line="240" w:lineRule="auto"/>
        <w:ind w:left="0"/>
        <w:rPr>
          <w:rFonts w:ascii="Arial" w:hAnsi="Arial" w:cs="Arial"/>
          <w:b/>
          <w:bCs/>
          <w:sz w:val="22"/>
          <w:u w:val="single"/>
        </w:rPr>
      </w:pPr>
      <w:r w:rsidRPr="00A45996">
        <w:rPr>
          <w:rFonts w:ascii="Arial" w:hAnsi="Arial" w:cs="Arial"/>
          <w:b/>
          <w:bCs/>
          <w:sz w:val="22"/>
          <w:u w:val="single"/>
        </w:rPr>
        <w:t>Ear and labyrinth disorders</w:t>
      </w:r>
    </w:p>
    <w:p w:rsidR="00326C73" w:rsidRPr="00A45996" w:rsidRDefault="00326C73" w:rsidP="00326C73">
      <w:pPr>
        <w:spacing w:before="20" w:after="80"/>
        <w:ind w:left="1701" w:hanging="1701"/>
        <w:rPr>
          <w:sz w:val="22"/>
        </w:rPr>
      </w:pPr>
      <w:r w:rsidRPr="00A45996">
        <w:rPr>
          <w:sz w:val="22"/>
        </w:rPr>
        <w:t>Rare:</w:t>
      </w:r>
      <w:r w:rsidRPr="00A45996">
        <w:rPr>
          <w:sz w:val="22"/>
        </w:rPr>
        <w:tab/>
        <w:t>deafness bilateral.</w:t>
      </w:r>
    </w:p>
    <w:p w:rsidR="00326C73" w:rsidRPr="00A45996" w:rsidRDefault="00326C73" w:rsidP="00326C73">
      <w:pPr>
        <w:pStyle w:val="BodyText12"/>
        <w:spacing w:before="120" w:after="80" w:line="240" w:lineRule="auto"/>
        <w:ind w:left="0"/>
        <w:rPr>
          <w:rFonts w:ascii="Arial" w:hAnsi="Arial" w:cs="Arial"/>
          <w:b/>
          <w:bCs/>
          <w:sz w:val="22"/>
          <w:u w:val="single"/>
        </w:rPr>
      </w:pPr>
      <w:r w:rsidRPr="00A45996">
        <w:rPr>
          <w:rFonts w:ascii="Arial" w:hAnsi="Arial" w:cs="Arial"/>
          <w:b/>
          <w:bCs/>
          <w:sz w:val="22"/>
          <w:u w:val="single"/>
        </w:rPr>
        <w:t xml:space="preserve">Eyes </w:t>
      </w:r>
      <w:r w:rsidR="007B3AD3" w:rsidRPr="00A45996">
        <w:rPr>
          <w:rFonts w:ascii="Arial" w:hAnsi="Arial" w:cs="Arial"/>
          <w:b/>
          <w:bCs/>
          <w:sz w:val="22"/>
          <w:u w:val="single"/>
        </w:rPr>
        <w:t>d</w:t>
      </w:r>
      <w:r w:rsidRPr="00A45996">
        <w:rPr>
          <w:rFonts w:ascii="Arial" w:hAnsi="Arial" w:cs="Arial"/>
          <w:b/>
          <w:bCs/>
          <w:sz w:val="22"/>
          <w:u w:val="single"/>
        </w:rPr>
        <w:t>isorder</w:t>
      </w:r>
    </w:p>
    <w:p w:rsidR="00326C73" w:rsidRPr="00A45996" w:rsidRDefault="00326C73" w:rsidP="00326C73">
      <w:pPr>
        <w:spacing w:before="20" w:after="80"/>
        <w:ind w:left="1701" w:hanging="1701"/>
        <w:rPr>
          <w:sz w:val="22"/>
        </w:rPr>
      </w:pPr>
      <w:r w:rsidRPr="00A45996">
        <w:rPr>
          <w:sz w:val="22"/>
        </w:rPr>
        <w:t>Rare:</w:t>
      </w:r>
      <w:r w:rsidRPr="00A45996">
        <w:rPr>
          <w:sz w:val="22"/>
        </w:rPr>
        <w:tab/>
        <w:t>ophthalmic herpes, optic neuropathy, blindness.</w:t>
      </w:r>
    </w:p>
    <w:p w:rsidR="00326C73" w:rsidRPr="00A45996" w:rsidRDefault="00326C73" w:rsidP="00326C73">
      <w:pPr>
        <w:pStyle w:val="BodyText12"/>
        <w:spacing w:before="120" w:after="80" w:line="240" w:lineRule="auto"/>
        <w:ind w:left="0"/>
        <w:rPr>
          <w:rFonts w:ascii="Arial" w:hAnsi="Arial" w:cs="Arial"/>
          <w:b/>
          <w:bCs/>
          <w:sz w:val="22"/>
          <w:u w:val="single"/>
        </w:rPr>
      </w:pPr>
      <w:r w:rsidRPr="00A45996">
        <w:rPr>
          <w:rFonts w:ascii="Arial" w:hAnsi="Arial" w:cs="Arial"/>
          <w:b/>
          <w:bCs/>
          <w:sz w:val="22"/>
          <w:u w:val="single"/>
        </w:rPr>
        <w:t>Gastrointestinal disorders</w:t>
      </w:r>
    </w:p>
    <w:p w:rsidR="00CE6D0C" w:rsidRPr="00A45996" w:rsidRDefault="00CE6D0C" w:rsidP="00326C73">
      <w:pPr>
        <w:spacing w:before="20" w:after="80"/>
        <w:ind w:left="1701" w:hanging="1701"/>
        <w:rPr>
          <w:sz w:val="22"/>
        </w:rPr>
      </w:pPr>
      <w:r w:rsidRPr="00A45996">
        <w:rPr>
          <w:sz w:val="22"/>
        </w:rPr>
        <w:t>Uncommon:</w:t>
      </w:r>
      <w:r w:rsidRPr="00A45996">
        <w:rPr>
          <w:sz w:val="22"/>
        </w:rPr>
        <w:tab/>
        <w:t>intestinal obstruction</w:t>
      </w:r>
    </w:p>
    <w:p w:rsidR="00326C73" w:rsidRPr="00A45996" w:rsidRDefault="00326C73" w:rsidP="00326C73">
      <w:pPr>
        <w:spacing w:before="20" w:after="80"/>
        <w:ind w:left="1701" w:hanging="1701"/>
        <w:rPr>
          <w:sz w:val="22"/>
        </w:rPr>
      </w:pPr>
      <w:r w:rsidRPr="00A45996">
        <w:rPr>
          <w:sz w:val="22"/>
        </w:rPr>
        <w:t>Rare:</w:t>
      </w:r>
      <w:r w:rsidRPr="00A45996">
        <w:rPr>
          <w:sz w:val="22"/>
        </w:rPr>
        <w:tab/>
        <w:t>ischemic colitis, acute pancreatitis.</w:t>
      </w:r>
    </w:p>
    <w:p w:rsidR="00326C73" w:rsidRPr="00A45996" w:rsidRDefault="00326C73" w:rsidP="00326C73">
      <w:pPr>
        <w:spacing w:before="120" w:after="80"/>
        <w:ind w:left="1701" w:hanging="1701"/>
        <w:rPr>
          <w:rFonts w:cs="Arial"/>
          <w:b/>
          <w:bCs/>
          <w:sz w:val="22"/>
          <w:u w:val="single"/>
          <w:lang w:val="en-US"/>
        </w:rPr>
      </w:pPr>
      <w:r w:rsidRPr="00A45996">
        <w:rPr>
          <w:rFonts w:cs="Arial"/>
          <w:b/>
          <w:bCs/>
          <w:sz w:val="22"/>
          <w:u w:val="single"/>
          <w:lang w:val="en-US"/>
        </w:rPr>
        <w:t>Hepatobiliary disorders</w:t>
      </w:r>
    </w:p>
    <w:p w:rsidR="00326C73" w:rsidRPr="00A45996" w:rsidRDefault="00326C73" w:rsidP="00326C73">
      <w:pPr>
        <w:spacing w:before="20" w:after="80"/>
        <w:ind w:left="1701" w:hanging="1701"/>
        <w:rPr>
          <w:sz w:val="22"/>
        </w:rPr>
      </w:pPr>
      <w:r w:rsidRPr="00A45996">
        <w:rPr>
          <w:rFonts w:cs="Arial"/>
          <w:sz w:val="22"/>
          <w:lang w:val="en-US"/>
        </w:rPr>
        <w:t>Rare:</w:t>
      </w:r>
      <w:r w:rsidRPr="00A45996">
        <w:rPr>
          <w:rFonts w:cs="Arial"/>
          <w:sz w:val="22"/>
          <w:lang w:val="en-US"/>
        </w:rPr>
        <w:tab/>
        <w:t>liver failure</w:t>
      </w:r>
    </w:p>
    <w:p w:rsidR="00326C73" w:rsidRPr="00A45996" w:rsidRDefault="00326C73" w:rsidP="00950873">
      <w:pPr>
        <w:spacing w:before="120" w:after="80"/>
        <w:rPr>
          <w:rFonts w:cs="Arial"/>
          <w:b/>
          <w:bCs/>
          <w:sz w:val="22"/>
          <w:u w:val="single"/>
          <w:lang w:val="en-US"/>
        </w:rPr>
      </w:pPr>
      <w:r w:rsidRPr="00A45996">
        <w:rPr>
          <w:rFonts w:cs="Arial"/>
          <w:b/>
          <w:bCs/>
          <w:sz w:val="22"/>
          <w:u w:val="single"/>
          <w:lang w:val="en-US"/>
        </w:rPr>
        <w:t>Infections and infestations</w:t>
      </w:r>
    </w:p>
    <w:p w:rsidR="00326C73" w:rsidRPr="00A45996" w:rsidRDefault="00326C73" w:rsidP="00326C73">
      <w:pPr>
        <w:spacing w:before="20" w:after="80"/>
        <w:ind w:left="1701" w:hanging="1701"/>
        <w:rPr>
          <w:rFonts w:cs="Arial"/>
          <w:sz w:val="22"/>
          <w:lang w:val="en-US"/>
        </w:rPr>
      </w:pPr>
      <w:r w:rsidRPr="00A45996">
        <w:rPr>
          <w:rFonts w:cs="Arial"/>
          <w:sz w:val="22"/>
          <w:lang w:val="en-US"/>
        </w:rPr>
        <w:t>Rare:</w:t>
      </w:r>
      <w:r w:rsidRPr="00A45996">
        <w:rPr>
          <w:rFonts w:cs="Arial"/>
          <w:sz w:val="22"/>
          <w:lang w:val="en-US"/>
        </w:rPr>
        <w:tab/>
        <w:t>herpes meningoencephalitis,</w:t>
      </w:r>
      <w:r w:rsidRPr="00A45996">
        <w:rPr>
          <w:rFonts w:cs="Arial"/>
          <w:i/>
          <w:sz w:val="22"/>
          <w:lang w:val="en-US"/>
        </w:rPr>
        <w:t xml:space="preserve"> </w:t>
      </w:r>
      <w:r w:rsidRPr="00A45996">
        <w:rPr>
          <w:rFonts w:cs="Arial"/>
          <w:sz w:val="22"/>
          <w:lang w:val="en-US"/>
        </w:rPr>
        <w:t>septic shock</w:t>
      </w:r>
    </w:p>
    <w:p w:rsidR="004563BA" w:rsidRPr="00A45996" w:rsidRDefault="004563BA" w:rsidP="00326C73">
      <w:pPr>
        <w:spacing w:before="20" w:after="80"/>
        <w:ind w:left="1701" w:hanging="1701"/>
      </w:pPr>
      <w:r w:rsidRPr="00A45996">
        <w:rPr>
          <w:rFonts w:cs="Arial"/>
          <w:sz w:val="22"/>
          <w:lang w:val="en-US"/>
        </w:rPr>
        <w:t>Very Rare:</w:t>
      </w:r>
      <w:r w:rsidRPr="00A45996">
        <w:rPr>
          <w:rFonts w:cs="Arial"/>
          <w:sz w:val="22"/>
          <w:lang w:val="en-US"/>
        </w:rPr>
        <w:tab/>
        <w:t xml:space="preserve">progressive multifocal </w:t>
      </w:r>
      <w:proofErr w:type="spellStart"/>
      <w:r w:rsidRPr="00A45996">
        <w:rPr>
          <w:rFonts w:cs="Arial"/>
          <w:sz w:val="22"/>
          <w:lang w:val="en-US"/>
        </w:rPr>
        <w:t>leukoencephalopathy</w:t>
      </w:r>
      <w:r w:rsidR="00A67C60" w:rsidRPr="00A45996">
        <w:rPr>
          <w:rFonts w:cs="Arial"/>
          <w:sz w:val="22"/>
          <w:vertAlign w:val="superscript"/>
          <w:lang w:val="en-US"/>
        </w:rPr>
        <w:t>a</w:t>
      </w:r>
      <w:proofErr w:type="spellEnd"/>
      <w:r w:rsidR="00950873" w:rsidRPr="00A45996">
        <w:rPr>
          <w:rFonts w:cs="Arial"/>
          <w:sz w:val="22"/>
          <w:lang w:val="en-US"/>
        </w:rPr>
        <w:t xml:space="preserve"> </w:t>
      </w:r>
    </w:p>
    <w:p w:rsidR="00326C73" w:rsidRPr="00A45996" w:rsidRDefault="00326C73" w:rsidP="00326C73">
      <w:pPr>
        <w:spacing w:before="120" w:after="80"/>
        <w:ind w:left="1701" w:hanging="1701"/>
        <w:rPr>
          <w:rFonts w:cs="Arial"/>
          <w:b/>
          <w:bCs/>
          <w:sz w:val="22"/>
          <w:u w:val="single"/>
          <w:lang w:val="en-US"/>
        </w:rPr>
      </w:pPr>
      <w:r w:rsidRPr="00A45996">
        <w:rPr>
          <w:rFonts w:cs="Arial"/>
          <w:b/>
          <w:bCs/>
          <w:sz w:val="22"/>
          <w:u w:val="single"/>
          <w:lang w:val="en-US"/>
        </w:rPr>
        <w:t xml:space="preserve">Immune </w:t>
      </w:r>
      <w:r w:rsidR="007B3AD3" w:rsidRPr="00A45996">
        <w:rPr>
          <w:rFonts w:cs="Arial"/>
          <w:b/>
          <w:bCs/>
          <w:sz w:val="22"/>
          <w:u w:val="single"/>
          <w:lang w:val="en-US"/>
        </w:rPr>
        <w:t>s</w:t>
      </w:r>
      <w:r w:rsidRPr="00A45996">
        <w:rPr>
          <w:rFonts w:cs="Arial"/>
          <w:b/>
          <w:bCs/>
          <w:sz w:val="22"/>
          <w:u w:val="single"/>
          <w:lang w:val="en-US"/>
        </w:rPr>
        <w:t xml:space="preserve">ystem </w:t>
      </w:r>
      <w:r w:rsidR="007B3AD3" w:rsidRPr="00A45996">
        <w:rPr>
          <w:rFonts w:cs="Arial"/>
          <w:b/>
          <w:bCs/>
          <w:sz w:val="22"/>
          <w:u w:val="single"/>
          <w:lang w:val="en-US"/>
        </w:rPr>
        <w:t>d</w:t>
      </w:r>
      <w:r w:rsidRPr="00A45996">
        <w:rPr>
          <w:rFonts w:cs="Arial"/>
          <w:b/>
          <w:bCs/>
          <w:sz w:val="22"/>
          <w:u w:val="single"/>
          <w:lang w:val="en-US"/>
        </w:rPr>
        <w:t>isorders</w:t>
      </w:r>
    </w:p>
    <w:p w:rsidR="00326C73" w:rsidRPr="00A45996" w:rsidRDefault="00326C73" w:rsidP="00326C73">
      <w:pPr>
        <w:spacing w:before="20" w:after="80"/>
        <w:ind w:left="1701" w:hanging="1701"/>
        <w:rPr>
          <w:rFonts w:cs="Arial"/>
          <w:sz w:val="22"/>
          <w:lang w:val="en-US"/>
        </w:rPr>
      </w:pPr>
      <w:r w:rsidRPr="00A45996">
        <w:rPr>
          <w:rFonts w:cs="Arial"/>
          <w:sz w:val="22"/>
          <w:lang w:val="en-US"/>
        </w:rPr>
        <w:t>Rare:</w:t>
      </w:r>
      <w:r w:rsidRPr="00A45996">
        <w:rPr>
          <w:rFonts w:cs="Arial"/>
          <w:sz w:val="22"/>
          <w:lang w:val="en-US"/>
        </w:rPr>
        <w:tab/>
        <w:t>angioedema</w:t>
      </w:r>
    </w:p>
    <w:p w:rsidR="00950873" w:rsidRPr="00A45996" w:rsidRDefault="00950873" w:rsidP="00326C73">
      <w:pPr>
        <w:spacing w:before="20" w:after="80"/>
        <w:ind w:left="1701" w:hanging="1701"/>
        <w:rPr>
          <w:sz w:val="22"/>
        </w:rPr>
      </w:pPr>
      <w:r w:rsidRPr="00A45996">
        <w:rPr>
          <w:sz w:val="22"/>
        </w:rPr>
        <w:t>Very rare:</w:t>
      </w:r>
      <w:r w:rsidRPr="00A45996">
        <w:rPr>
          <w:sz w:val="22"/>
        </w:rPr>
        <w:tab/>
        <w:t>anaphylactic reaction</w:t>
      </w:r>
    </w:p>
    <w:p w:rsidR="00326C73" w:rsidRPr="00A45996" w:rsidRDefault="00326C73" w:rsidP="00326C73">
      <w:pPr>
        <w:pStyle w:val="BodyText12"/>
        <w:spacing w:before="120" w:after="80" w:line="240" w:lineRule="auto"/>
        <w:ind w:left="0"/>
        <w:rPr>
          <w:rFonts w:ascii="Arial" w:hAnsi="Arial" w:cs="Arial"/>
          <w:sz w:val="22"/>
          <w:u w:val="single"/>
        </w:rPr>
      </w:pPr>
      <w:r w:rsidRPr="00A45996">
        <w:rPr>
          <w:rFonts w:ascii="Arial" w:hAnsi="Arial" w:cs="Arial"/>
          <w:b/>
          <w:bCs/>
          <w:sz w:val="22"/>
          <w:u w:val="single"/>
        </w:rPr>
        <w:t>Nervous system disorders</w:t>
      </w:r>
    </w:p>
    <w:p w:rsidR="00326C73" w:rsidRPr="00A45996" w:rsidRDefault="00326C73" w:rsidP="00326C73">
      <w:pPr>
        <w:spacing w:before="20" w:after="80"/>
        <w:ind w:left="1701" w:hanging="1701"/>
      </w:pPr>
      <w:r w:rsidRPr="00A45996">
        <w:rPr>
          <w:sz w:val="22"/>
        </w:rPr>
        <w:t>Rare:</w:t>
      </w:r>
      <w:r w:rsidRPr="00A45996">
        <w:rPr>
          <w:sz w:val="22"/>
        </w:rPr>
        <w:tab/>
        <w:t>encephalopathy, autonomic neuropathy</w:t>
      </w:r>
      <w:r w:rsidR="004563BA" w:rsidRPr="00A45996">
        <w:rPr>
          <w:sz w:val="22"/>
        </w:rPr>
        <w:t>,</w:t>
      </w:r>
      <w:r w:rsidR="00480753" w:rsidRPr="00A45996">
        <w:t xml:space="preserve"> </w:t>
      </w:r>
      <w:r w:rsidR="00950873" w:rsidRPr="00A45996">
        <w:rPr>
          <w:sz w:val="22"/>
        </w:rPr>
        <w:t>posterior reversible encephalopathy syndrome</w:t>
      </w:r>
      <w:r w:rsidRPr="00A45996">
        <w:rPr>
          <w:sz w:val="22"/>
        </w:rPr>
        <w:t>.</w:t>
      </w:r>
    </w:p>
    <w:p w:rsidR="00326C73" w:rsidRPr="00A45996" w:rsidRDefault="00326C73" w:rsidP="00326C73">
      <w:pPr>
        <w:pStyle w:val="BodyText12"/>
        <w:spacing w:before="120" w:after="80" w:line="240" w:lineRule="auto"/>
        <w:ind w:left="1701" w:hanging="1701"/>
        <w:rPr>
          <w:rFonts w:ascii="Arial" w:hAnsi="Arial" w:cs="Arial"/>
          <w:b/>
          <w:sz w:val="22"/>
          <w:u w:val="single"/>
        </w:rPr>
      </w:pPr>
      <w:r w:rsidRPr="00A45996">
        <w:rPr>
          <w:rFonts w:ascii="Arial" w:hAnsi="Arial" w:cs="Arial"/>
          <w:b/>
          <w:sz w:val="22"/>
          <w:u w:val="single"/>
        </w:rPr>
        <w:t>Respiratory, thoracic and mediastinal disorders</w:t>
      </w:r>
    </w:p>
    <w:p w:rsidR="00326C73" w:rsidRPr="00A45996" w:rsidRDefault="00326C73" w:rsidP="00326C73">
      <w:pPr>
        <w:pStyle w:val="BodyText12"/>
        <w:spacing w:before="20" w:after="80" w:line="240" w:lineRule="auto"/>
        <w:ind w:left="1701" w:hanging="1701"/>
        <w:rPr>
          <w:rFonts w:ascii="Arial" w:hAnsi="Arial" w:cs="Arial"/>
          <w:iCs/>
          <w:sz w:val="22"/>
        </w:rPr>
      </w:pPr>
      <w:r w:rsidRPr="00A45996">
        <w:rPr>
          <w:rFonts w:ascii="Arial" w:hAnsi="Arial" w:cs="Arial"/>
          <w:sz w:val="22"/>
        </w:rPr>
        <w:t>Rare:</w:t>
      </w:r>
      <w:r w:rsidRPr="00A45996">
        <w:rPr>
          <w:rFonts w:ascii="Arial" w:hAnsi="Arial" w:cs="Arial"/>
          <w:sz w:val="22"/>
        </w:rPr>
        <w:tab/>
      </w:r>
      <w:r w:rsidRPr="00A45996">
        <w:rPr>
          <w:rFonts w:ascii="Arial" w:hAnsi="Arial" w:cs="Arial"/>
          <w:iCs/>
          <w:sz w:val="22"/>
        </w:rPr>
        <w:t xml:space="preserve">acute diffuse infiltrative pulmonary disease (see </w:t>
      </w:r>
      <w:r w:rsidRPr="00A45996">
        <w:rPr>
          <w:rFonts w:ascii="Arial" w:hAnsi="Arial" w:cs="Arial"/>
          <w:b/>
          <w:bCs/>
          <w:iCs/>
          <w:sz w:val="22"/>
        </w:rPr>
        <w:t>PRECAUTIONS</w:t>
      </w:r>
      <w:r w:rsidRPr="00A45996">
        <w:rPr>
          <w:rFonts w:ascii="Arial" w:hAnsi="Arial" w:cs="Arial"/>
          <w:iCs/>
          <w:sz w:val="22"/>
        </w:rPr>
        <w:t>), pulmonary hypertension</w:t>
      </w:r>
    </w:p>
    <w:p w:rsidR="00326C73" w:rsidRPr="00A45996" w:rsidRDefault="00326C73" w:rsidP="00326C73">
      <w:pPr>
        <w:pStyle w:val="BodyText12"/>
        <w:spacing w:before="120" w:after="80" w:line="240" w:lineRule="auto"/>
        <w:ind w:left="1701" w:hanging="1701"/>
        <w:rPr>
          <w:rFonts w:ascii="Arial" w:hAnsi="Arial" w:cs="Arial"/>
          <w:b/>
          <w:iCs/>
          <w:sz w:val="22"/>
          <w:u w:val="single"/>
        </w:rPr>
      </w:pPr>
      <w:r w:rsidRPr="00A45996">
        <w:rPr>
          <w:rFonts w:ascii="Arial" w:hAnsi="Arial" w:cs="Arial"/>
          <w:b/>
          <w:iCs/>
          <w:sz w:val="22"/>
          <w:u w:val="single"/>
        </w:rPr>
        <w:t>Skin and subcutaneous tissue disorders</w:t>
      </w:r>
    </w:p>
    <w:p w:rsidR="00326C73" w:rsidRPr="00A45996" w:rsidRDefault="00326C73" w:rsidP="00326C73">
      <w:pPr>
        <w:pStyle w:val="BodyText12"/>
        <w:spacing w:before="120" w:after="80" w:line="240" w:lineRule="auto"/>
        <w:ind w:left="1701" w:hanging="1701"/>
        <w:rPr>
          <w:rFonts w:ascii="Arial" w:hAnsi="Arial" w:cs="Arial"/>
          <w:iCs/>
          <w:sz w:val="22"/>
        </w:rPr>
      </w:pPr>
      <w:r w:rsidRPr="00A45996">
        <w:rPr>
          <w:rFonts w:ascii="Arial" w:hAnsi="Arial" w:cs="Arial"/>
          <w:iCs/>
          <w:sz w:val="22"/>
        </w:rPr>
        <w:t>Rare:</w:t>
      </w:r>
      <w:r w:rsidRPr="00A45996">
        <w:rPr>
          <w:rFonts w:ascii="Arial" w:hAnsi="Arial" w:cs="Arial"/>
          <w:iCs/>
          <w:sz w:val="22"/>
        </w:rPr>
        <w:tab/>
        <w:t>acute febrile neutrophilic dermatosis (Sweet’s syndrome)</w:t>
      </w:r>
    </w:p>
    <w:p w:rsidR="00A67C60" w:rsidRPr="00A45996" w:rsidRDefault="00326C73" w:rsidP="00326C73">
      <w:pPr>
        <w:pStyle w:val="BodyText12"/>
        <w:tabs>
          <w:tab w:val="left" w:pos="720"/>
          <w:tab w:val="left" w:pos="1440"/>
          <w:tab w:val="left" w:pos="2160"/>
          <w:tab w:val="left" w:pos="2880"/>
          <w:tab w:val="left" w:pos="3600"/>
          <w:tab w:val="left" w:pos="4320"/>
          <w:tab w:val="left" w:pos="5040"/>
          <w:tab w:val="left" w:pos="5760"/>
          <w:tab w:val="left" w:pos="6480"/>
          <w:tab w:val="left" w:pos="7200"/>
          <w:tab w:val="left" w:pos="8385"/>
        </w:tabs>
        <w:spacing w:before="20" w:after="80" w:line="240" w:lineRule="auto"/>
        <w:ind w:left="1701" w:hanging="1701"/>
        <w:rPr>
          <w:rFonts w:ascii="Arial" w:hAnsi="Arial" w:cs="Arial"/>
          <w:iCs/>
          <w:sz w:val="22"/>
        </w:rPr>
      </w:pPr>
      <w:r w:rsidRPr="00A45996">
        <w:rPr>
          <w:rFonts w:ascii="Arial" w:hAnsi="Arial" w:cs="Arial"/>
          <w:iCs/>
          <w:sz w:val="22"/>
        </w:rPr>
        <w:t>Very Rare:</w:t>
      </w:r>
      <w:r w:rsidRPr="00A45996">
        <w:rPr>
          <w:rFonts w:ascii="Arial" w:hAnsi="Arial" w:cs="Arial"/>
          <w:iCs/>
          <w:sz w:val="22"/>
        </w:rPr>
        <w:tab/>
      </w:r>
      <w:r w:rsidRPr="00A45996">
        <w:rPr>
          <w:rFonts w:ascii="Arial" w:hAnsi="Arial" w:cs="Arial"/>
          <w:iCs/>
          <w:sz w:val="22"/>
        </w:rPr>
        <w:tab/>
      </w:r>
      <w:proofErr w:type="gramStart"/>
      <w:r w:rsidRPr="00A45996">
        <w:rPr>
          <w:rFonts w:ascii="Arial" w:hAnsi="Arial" w:cs="Arial"/>
          <w:iCs/>
          <w:sz w:val="22"/>
        </w:rPr>
        <w:t>Stevens-Johnson Syndrome</w:t>
      </w:r>
      <w:proofErr w:type="gramEnd"/>
      <w:r w:rsidRPr="00A45996">
        <w:rPr>
          <w:rFonts w:ascii="Arial" w:hAnsi="Arial" w:cs="Arial"/>
          <w:iCs/>
          <w:sz w:val="22"/>
        </w:rPr>
        <w:t xml:space="preserve"> and toxic epidermal necrolysis</w:t>
      </w:r>
    </w:p>
    <w:p w:rsidR="00A67C60" w:rsidRPr="00A45996" w:rsidRDefault="00A67C60" w:rsidP="00326C73">
      <w:pPr>
        <w:pStyle w:val="BodyText12"/>
        <w:tabs>
          <w:tab w:val="left" w:pos="720"/>
          <w:tab w:val="left" w:pos="1440"/>
          <w:tab w:val="left" w:pos="2160"/>
          <w:tab w:val="left" w:pos="2880"/>
          <w:tab w:val="left" w:pos="3600"/>
          <w:tab w:val="left" w:pos="4320"/>
          <w:tab w:val="left" w:pos="5040"/>
          <w:tab w:val="left" w:pos="5760"/>
          <w:tab w:val="left" w:pos="6480"/>
          <w:tab w:val="left" w:pos="7200"/>
          <w:tab w:val="left" w:pos="8385"/>
        </w:tabs>
        <w:spacing w:before="20" w:after="80" w:line="240" w:lineRule="auto"/>
        <w:ind w:left="1701" w:hanging="1701"/>
        <w:rPr>
          <w:rFonts w:ascii="Arial" w:hAnsi="Arial" w:cs="Arial"/>
          <w:iCs/>
          <w:sz w:val="22"/>
        </w:rPr>
      </w:pPr>
    </w:p>
    <w:p w:rsidR="00326C73" w:rsidRPr="00A45996" w:rsidRDefault="00A67C60" w:rsidP="00A67C60">
      <w:pPr>
        <w:pStyle w:val="BodyText12"/>
        <w:tabs>
          <w:tab w:val="left" w:pos="720"/>
          <w:tab w:val="left" w:pos="1440"/>
          <w:tab w:val="left" w:pos="2160"/>
          <w:tab w:val="left" w:pos="2880"/>
          <w:tab w:val="left" w:pos="3600"/>
          <w:tab w:val="left" w:pos="4320"/>
          <w:tab w:val="left" w:pos="5040"/>
          <w:tab w:val="left" w:pos="5760"/>
          <w:tab w:val="left" w:pos="6480"/>
          <w:tab w:val="left" w:pos="7200"/>
          <w:tab w:val="left" w:pos="8385"/>
        </w:tabs>
        <w:spacing w:before="20" w:after="80" w:line="240" w:lineRule="auto"/>
        <w:ind w:left="0"/>
        <w:rPr>
          <w:rFonts w:ascii="Arial" w:hAnsi="Arial" w:cs="Arial"/>
          <w:iCs/>
          <w:sz w:val="22"/>
        </w:rPr>
      </w:pPr>
      <w:proofErr w:type="spellStart"/>
      <w:proofErr w:type="gramStart"/>
      <w:r w:rsidRPr="00A45996">
        <w:rPr>
          <w:rFonts w:ascii="Arial" w:hAnsi="Arial" w:cs="Arial"/>
          <w:iCs/>
          <w:sz w:val="22"/>
          <w:vertAlign w:val="superscript"/>
        </w:rPr>
        <w:t>a</w:t>
      </w:r>
      <w:r w:rsidRPr="00A45996">
        <w:rPr>
          <w:rFonts w:ascii="Arial" w:hAnsi="Arial" w:cs="Arial"/>
          <w:iCs/>
          <w:sz w:val="22"/>
        </w:rPr>
        <w:t>Very</w:t>
      </w:r>
      <w:proofErr w:type="spellEnd"/>
      <w:proofErr w:type="gramEnd"/>
      <w:r w:rsidRPr="00A45996">
        <w:rPr>
          <w:rFonts w:ascii="Arial" w:hAnsi="Arial" w:cs="Arial"/>
          <w:iCs/>
          <w:sz w:val="22"/>
        </w:rPr>
        <w:t xml:space="preserve"> rare cases with unknown causality of John Cunningham (JC) virus infection, resulting in PML and death, have been reported in patients treated with VELCADE.</w:t>
      </w:r>
    </w:p>
    <w:p w:rsidR="00326C73" w:rsidRPr="00A45996" w:rsidRDefault="00326C73" w:rsidP="00326C73">
      <w:pPr>
        <w:pStyle w:val="PIHEADING1"/>
        <w:keepLines/>
        <w:jc w:val="both"/>
      </w:pPr>
      <w:r w:rsidRPr="00A45996">
        <w:t>DOSAGE AND ADMINISTRATION</w:t>
      </w:r>
    </w:p>
    <w:p w:rsidR="002276F4" w:rsidRPr="00A45996" w:rsidRDefault="002276F4" w:rsidP="002276F4">
      <w:pPr>
        <w:pStyle w:val="Footer"/>
        <w:tabs>
          <w:tab w:val="clear" w:pos="4153"/>
          <w:tab w:val="clear" w:pos="8306"/>
        </w:tabs>
        <w:rPr>
          <w:rFonts w:cs="Arial"/>
          <w:sz w:val="22"/>
          <w:szCs w:val="22"/>
        </w:rPr>
      </w:pPr>
      <w:r w:rsidRPr="00A45996">
        <w:rPr>
          <w:rFonts w:cs="Arial"/>
          <w:sz w:val="22"/>
          <w:szCs w:val="22"/>
        </w:rPr>
        <w:t>VELCADE may be administered:</w:t>
      </w:r>
    </w:p>
    <w:p w:rsidR="002276F4" w:rsidRPr="00A45996" w:rsidRDefault="002276F4" w:rsidP="002276F4">
      <w:pPr>
        <w:pStyle w:val="Footer"/>
        <w:numPr>
          <w:ilvl w:val="0"/>
          <w:numId w:val="9"/>
        </w:numPr>
        <w:tabs>
          <w:tab w:val="clear" w:pos="4153"/>
          <w:tab w:val="clear" w:pos="8306"/>
        </w:tabs>
        <w:rPr>
          <w:rFonts w:cs="Arial"/>
          <w:sz w:val="22"/>
          <w:szCs w:val="22"/>
        </w:rPr>
      </w:pPr>
      <w:r w:rsidRPr="00A45996">
        <w:rPr>
          <w:rFonts w:cs="Arial"/>
          <w:sz w:val="22"/>
          <w:szCs w:val="22"/>
        </w:rPr>
        <w:t xml:space="preserve">Intravenously (at a concentration of 1 mg/mL) as a 3-5 second bolus injection or </w:t>
      </w:r>
    </w:p>
    <w:p w:rsidR="002276F4" w:rsidRPr="00A45996" w:rsidRDefault="002276F4" w:rsidP="002276F4">
      <w:pPr>
        <w:pStyle w:val="Footer"/>
        <w:numPr>
          <w:ilvl w:val="0"/>
          <w:numId w:val="9"/>
        </w:numPr>
        <w:tabs>
          <w:tab w:val="clear" w:pos="4153"/>
          <w:tab w:val="clear" w:pos="8306"/>
        </w:tabs>
        <w:rPr>
          <w:rFonts w:cs="Arial"/>
          <w:sz w:val="22"/>
          <w:szCs w:val="22"/>
        </w:rPr>
      </w:pPr>
      <w:r w:rsidRPr="00A45996">
        <w:rPr>
          <w:rFonts w:cs="Arial"/>
          <w:sz w:val="22"/>
          <w:szCs w:val="22"/>
        </w:rPr>
        <w:t>Subcutaneously (at a concentration of 2.5 mg/mL)</w:t>
      </w:r>
    </w:p>
    <w:p w:rsidR="002276F4" w:rsidRPr="00A45996" w:rsidRDefault="002276F4" w:rsidP="002276F4">
      <w:pPr>
        <w:pStyle w:val="Footer"/>
        <w:tabs>
          <w:tab w:val="clear" w:pos="4153"/>
          <w:tab w:val="clear" w:pos="8306"/>
        </w:tabs>
        <w:rPr>
          <w:rFonts w:cs="Arial"/>
          <w:sz w:val="22"/>
          <w:szCs w:val="22"/>
        </w:rPr>
      </w:pPr>
    </w:p>
    <w:p w:rsidR="002276F4" w:rsidRPr="00A45996" w:rsidRDefault="002276F4" w:rsidP="002276F4">
      <w:pPr>
        <w:pStyle w:val="Footer"/>
        <w:tabs>
          <w:tab w:val="clear" w:pos="4153"/>
          <w:tab w:val="clear" w:pos="8306"/>
        </w:tabs>
        <w:rPr>
          <w:rFonts w:cs="Arial"/>
          <w:sz w:val="22"/>
          <w:szCs w:val="22"/>
        </w:rPr>
      </w:pPr>
      <w:r w:rsidRPr="00A45996">
        <w:rPr>
          <w:rFonts w:cs="Arial"/>
          <w:sz w:val="22"/>
          <w:szCs w:val="22"/>
        </w:rPr>
        <w:t>Because each route of administration has a different reconstituted concentration, caution should be used when calculating the volume to be administered.</w:t>
      </w:r>
    </w:p>
    <w:p w:rsidR="00326C73" w:rsidRPr="00A45996" w:rsidRDefault="00326C73" w:rsidP="00326C73">
      <w:pPr>
        <w:pStyle w:val="Footer"/>
        <w:tabs>
          <w:tab w:val="clear" w:pos="4153"/>
          <w:tab w:val="clear" w:pos="8306"/>
        </w:tabs>
        <w:rPr>
          <w:rFonts w:cs="Arial"/>
          <w:sz w:val="22"/>
          <w:szCs w:val="22"/>
        </w:rPr>
      </w:pPr>
    </w:p>
    <w:p w:rsidR="00F511BE" w:rsidRPr="00E07EDD" w:rsidRDefault="00F511BE" w:rsidP="00F511BE">
      <w:pPr>
        <w:rPr>
          <w:b/>
          <w:sz w:val="22"/>
        </w:rPr>
      </w:pPr>
      <w:r w:rsidRPr="00E07EDD">
        <w:rPr>
          <w:b/>
          <w:sz w:val="22"/>
        </w:rPr>
        <w:t>VELCADE IS FOR INTRAVENOUS OR SUBCUTANEOUS USE ONLY. Intrathecal administration has resulted in death.</w:t>
      </w:r>
    </w:p>
    <w:p w:rsidR="00F511BE" w:rsidRPr="00A45996" w:rsidRDefault="00F511BE" w:rsidP="00326C73">
      <w:pPr>
        <w:pStyle w:val="Footer"/>
        <w:tabs>
          <w:tab w:val="clear" w:pos="4153"/>
          <w:tab w:val="clear" w:pos="8306"/>
        </w:tabs>
        <w:rPr>
          <w:rFonts w:cs="Arial"/>
          <w:b/>
          <w:sz w:val="28"/>
          <w:szCs w:val="22"/>
        </w:rPr>
      </w:pPr>
    </w:p>
    <w:p w:rsidR="00480753" w:rsidRPr="00A45996" w:rsidRDefault="00480753">
      <w:pPr>
        <w:keepLines w:val="0"/>
        <w:jc w:val="left"/>
        <w:rPr>
          <w:rFonts w:cs="Arial"/>
          <w:b/>
          <w:sz w:val="28"/>
          <w:szCs w:val="22"/>
        </w:rPr>
      </w:pPr>
      <w:r w:rsidRPr="00A45996">
        <w:rPr>
          <w:rFonts w:cs="Arial"/>
          <w:b/>
          <w:sz w:val="28"/>
          <w:szCs w:val="22"/>
        </w:rPr>
        <w:br w:type="page"/>
      </w:r>
    </w:p>
    <w:p w:rsidR="00326C73" w:rsidRPr="00A45996" w:rsidRDefault="00326C73" w:rsidP="00326C73">
      <w:pPr>
        <w:pStyle w:val="Footer"/>
        <w:tabs>
          <w:tab w:val="clear" w:pos="4153"/>
          <w:tab w:val="clear" w:pos="8306"/>
        </w:tabs>
        <w:rPr>
          <w:rFonts w:cs="Arial"/>
          <w:b/>
          <w:sz w:val="24"/>
          <w:szCs w:val="24"/>
        </w:rPr>
      </w:pPr>
      <w:r w:rsidRPr="00E07EDD">
        <w:rPr>
          <w:rFonts w:cs="Arial"/>
          <w:b/>
          <w:sz w:val="24"/>
          <w:szCs w:val="24"/>
        </w:rPr>
        <w:lastRenderedPageBreak/>
        <w:t>Recommended Dosage</w:t>
      </w:r>
    </w:p>
    <w:p w:rsidR="00D44639" w:rsidRPr="00E07EDD" w:rsidRDefault="00D44639" w:rsidP="00326C73">
      <w:pPr>
        <w:pStyle w:val="Footer"/>
        <w:tabs>
          <w:tab w:val="clear" w:pos="4153"/>
          <w:tab w:val="clear" w:pos="8306"/>
        </w:tabs>
        <w:rPr>
          <w:sz w:val="24"/>
          <w:szCs w:val="24"/>
        </w:rPr>
      </w:pPr>
    </w:p>
    <w:p w:rsidR="00D44639" w:rsidRPr="00E07EDD" w:rsidRDefault="00326C73" w:rsidP="00D44639">
      <w:pPr>
        <w:pStyle w:val="PIHEADING2"/>
        <w:keepLines/>
        <w:tabs>
          <w:tab w:val="clear" w:pos="-720"/>
        </w:tabs>
        <w:suppressAutoHyphens w:val="0"/>
        <w:rPr>
          <w:rFonts w:cs="Arial"/>
          <w:bCs/>
          <w:i/>
          <w:spacing w:val="0"/>
          <w:szCs w:val="22"/>
        </w:rPr>
      </w:pPr>
      <w:r w:rsidRPr="00E07EDD">
        <w:rPr>
          <w:rFonts w:cs="Arial"/>
          <w:bCs/>
          <w:i/>
          <w:szCs w:val="22"/>
        </w:rPr>
        <w:t>Previously Untreated Multiple Myeloma</w:t>
      </w:r>
      <w:r w:rsidR="00D44639" w:rsidRPr="00E07EDD">
        <w:rPr>
          <w:rFonts w:cs="Arial"/>
          <w:bCs/>
          <w:i/>
          <w:szCs w:val="22"/>
        </w:rPr>
        <w:t xml:space="preserve"> - </w:t>
      </w:r>
      <w:r w:rsidR="00D44639" w:rsidRPr="00E07EDD">
        <w:rPr>
          <w:rFonts w:cs="Arial"/>
          <w:bCs/>
          <w:i/>
          <w:spacing w:val="0"/>
          <w:szCs w:val="22"/>
        </w:rPr>
        <w:t>Transplant Eligible</w:t>
      </w:r>
    </w:p>
    <w:p w:rsidR="00326C73" w:rsidRPr="00E07EDD" w:rsidRDefault="00326C73" w:rsidP="00326C73">
      <w:pPr>
        <w:pStyle w:val="Footer"/>
        <w:numPr>
          <w:ilvl w:val="0"/>
          <w:numId w:val="7"/>
        </w:numPr>
        <w:tabs>
          <w:tab w:val="clear" w:pos="4153"/>
          <w:tab w:val="clear" w:pos="8306"/>
        </w:tabs>
        <w:rPr>
          <w:bCs/>
          <w:sz w:val="22"/>
          <w:szCs w:val="22"/>
          <w:u w:val="single"/>
        </w:rPr>
      </w:pPr>
      <w:r w:rsidRPr="00E07EDD">
        <w:rPr>
          <w:bCs/>
          <w:sz w:val="22"/>
          <w:szCs w:val="22"/>
          <w:u w:val="single"/>
        </w:rPr>
        <w:t>VELCADE plus thalidomide-dexamethasone</w:t>
      </w:r>
    </w:p>
    <w:p w:rsidR="00326C73" w:rsidRPr="00A45996" w:rsidRDefault="00326C73" w:rsidP="00326C73">
      <w:pPr>
        <w:pStyle w:val="Footer"/>
        <w:tabs>
          <w:tab w:val="clear" w:pos="4153"/>
          <w:tab w:val="clear" w:pos="8306"/>
        </w:tabs>
        <w:ind w:left="720"/>
        <w:rPr>
          <w:bCs/>
          <w:sz w:val="22"/>
          <w:szCs w:val="22"/>
        </w:rPr>
      </w:pPr>
      <w:r w:rsidRPr="00A45996">
        <w:rPr>
          <w:bCs/>
          <w:sz w:val="22"/>
          <w:szCs w:val="22"/>
        </w:rPr>
        <w:t>During the induction stage, VELCADE (</w:t>
      </w:r>
      <w:proofErr w:type="spellStart"/>
      <w:r w:rsidRPr="00A45996">
        <w:rPr>
          <w:bCs/>
          <w:sz w:val="22"/>
          <w:szCs w:val="22"/>
        </w:rPr>
        <w:t>bortezomib</w:t>
      </w:r>
      <w:proofErr w:type="spellEnd"/>
      <w:r w:rsidRPr="00A45996">
        <w:rPr>
          <w:bCs/>
          <w:sz w:val="22"/>
          <w:szCs w:val="22"/>
        </w:rPr>
        <w:t>) is administered twice weekly in combination with thalidomide-dexamethasone fo</w:t>
      </w:r>
      <w:r w:rsidR="00660D4F" w:rsidRPr="00A45996">
        <w:rPr>
          <w:bCs/>
          <w:sz w:val="22"/>
          <w:szCs w:val="22"/>
        </w:rPr>
        <w:t>r three 3-week treatment cycles</w:t>
      </w:r>
      <w:r w:rsidRPr="00A45996">
        <w:rPr>
          <w:bCs/>
          <w:sz w:val="22"/>
          <w:szCs w:val="22"/>
        </w:rPr>
        <w:t xml:space="preserve">. The treatment regimen is shown in Table </w:t>
      </w:r>
      <w:r w:rsidR="00D44639" w:rsidRPr="00A45996">
        <w:rPr>
          <w:bCs/>
          <w:sz w:val="22"/>
          <w:szCs w:val="22"/>
        </w:rPr>
        <w:t>20</w:t>
      </w:r>
      <w:r w:rsidRPr="00A45996">
        <w:rPr>
          <w:bCs/>
          <w:sz w:val="22"/>
          <w:szCs w:val="22"/>
        </w:rPr>
        <w:t>.</w:t>
      </w:r>
    </w:p>
    <w:p w:rsidR="00326C73" w:rsidRPr="00A45996" w:rsidRDefault="00326C73" w:rsidP="00326C73">
      <w:pPr>
        <w:pStyle w:val="Footer"/>
        <w:tabs>
          <w:tab w:val="clear" w:pos="4153"/>
          <w:tab w:val="clear" w:pos="8306"/>
        </w:tabs>
        <w:ind w:left="720"/>
        <w:rPr>
          <w:bCs/>
          <w:sz w:val="22"/>
          <w:szCs w:val="22"/>
        </w:rPr>
      </w:pPr>
    </w:p>
    <w:p w:rsidR="00F511BE" w:rsidRPr="00A45996" w:rsidRDefault="00F511BE" w:rsidP="00326C73">
      <w:pPr>
        <w:pStyle w:val="Footer"/>
        <w:tabs>
          <w:tab w:val="clear" w:pos="4153"/>
          <w:tab w:val="clear" w:pos="8306"/>
        </w:tabs>
        <w:ind w:left="720"/>
        <w:rPr>
          <w:bCs/>
          <w:sz w:val="22"/>
          <w:szCs w:val="22"/>
        </w:rPr>
      </w:pPr>
    </w:p>
    <w:p w:rsidR="00326C73" w:rsidRPr="00A45996" w:rsidRDefault="00326C73" w:rsidP="00326C73">
      <w:pPr>
        <w:pStyle w:val="Footer"/>
        <w:tabs>
          <w:tab w:val="clear" w:pos="4153"/>
          <w:tab w:val="clear" w:pos="8306"/>
        </w:tabs>
        <w:rPr>
          <w:bCs/>
          <w:sz w:val="20"/>
        </w:rPr>
      </w:pPr>
      <w:r w:rsidRPr="00A45996">
        <w:rPr>
          <w:b/>
          <w:bCs/>
          <w:sz w:val="20"/>
        </w:rPr>
        <w:t xml:space="preserve">Table </w:t>
      </w:r>
      <w:r w:rsidR="00D44639" w:rsidRPr="00A45996">
        <w:rPr>
          <w:b/>
          <w:bCs/>
          <w:sz w:val="20"/>
        </w:rPr>
        <w:t>20</w:t>
      </w:r>
      <w:r w:rsidRPr="00A45996">
        <w:rPr>
          <w:b/>
          <w:bCs/>
          <w:sz w:val="20"/>
        </w:rPr>
        <w:t>:</w:t>
      </w:r>
      <w:r w:rsidRPr="00A45996">
        <w:rPr>
          <w:bCs/>
          <w:sz w:val="20"/>
        </w:rPr>
        <w:t xml:space="preserve"> </w:t>
      </w:r>
      <w:r w:rsidR="00913EA2" w:rsidRPr="00A45996">
        <w:rPr>
          <w:b/>
          <w:bCs/>
          <w:sz w:val="20"/>
        </w:rPr>
        <w:t>Recommended dosage regimen for VELCADE when used in combination with thalidomide and dexamethasone</w:t>
      </w:r>
    </w:p>
    <w:p w:rsidR="00326C73" w:rsidRPr="00A45996" w:rsidRDefault="00326C73" w:rsidP="00326C73">
      <w:pPr>
        <w:pStyle w:val="Footer"/>
        <w:tabs>
          <w:tab w:val="clear" w:pos="4153"/>
          <w:tab w:val="clear" w:pos="8306"/>
        </w:tabs>
        <w:rPr>
          <w:bCs/>
          <w:sz w:val="22"/>
          <w:szCs w:val="22"/>
        </w:rPr>
      </w:pPr>
    </w:p>
    <w:tbl>
      <w:tblPr>
        <w:tblW w:w="1014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680"/>
        <w:gridCol w:w="170"/>
        <w:gridCol w:w="510"/>
        <w:gridCol w:w="341"/>
        <w:gridCol w:w="339"/>
        <w:gridCol w:w="511"/>
        <w:gridCol w:w="169"/>
        <w:gridCol w:w="680"/>
        <w:gridCol w:w="710"/>
        <w:gridCol w:w="27"/>
        <w:gridCol w:w="824"/>
        <w:gridCol w:w="84"/>
        <w:gridCol w:w="483"/>
        <w:gridCol w:w="84"/>
        <w:gridCol w:w="625"/>
        <w:gridCol w:w="112"/>
        <w:gridCol w:w="738"/>
        <w:gridCol w:w="1134"/>
      </w:tblGrid>
      <w:tr w:rsidR="00326C73" w:rsidRPr="00A45996" w:rsidTr="00326C73">
        <w:trPr>
          <w:cantSplit/>
        </w:trPr>
        <w:tc>
          <w:tcPr>
            <w:tcW w:w="10140" w:type="dxa"/>
            <w:gridSpan w:val="19"/>
            <w:tcBorders>
              <w:top w:val="single" w:sz="12" w:space="0" w:color="auto"/>
              <w:left w:val="nil"/>
            </w:tcBorders>
          </w:tcPr>
          <w:p w:rsidR="00326C73" w:rsidRPr="00A45996" w:rsidRDefault="00326C73" w:rsidP="00326C73">
            <w:pPr>
              <w:jc w:val="center"/>
              <w:rPr>
                <w:rFonts w:cs="Arial"/>
                <w:b/>
                <w:bCs/>
                <w:sz w:val="18"/>
              </w:rPr>
            </w:pPr>
            <w:r w:rsidRPr="00A45996">
              <w:rPr>
                <w:rFonts w:cs="Arial"/>
                <w:b/>
                <w:bCs/>
                <w:sz w:val="18"/>
              </w:rPr>
              <w:t>Induction Therapy: Twice weekly VELCADE (3 cycles)</w:t>
            </w:r>
          </w:p>
        </w:tc>
      </w:tr>
      <w:tr w:rsidR="00326C73" w:rsidRPr="00A45996" w:rsidTr="00326C73">
        <w:trPr>
          <w:cantSplit/>
        </w:trPr>
        <w:tc>
          <w:tcPr>
            <w:tcW w:w="1919" w:type="dxa"/>
            <w:tcBorders>
              <w:top w:val="single" w:sz="12" w:space="0" w:color="auto"/>
              <w:left w:val="nil"/>
            </w:tcBorders>
          </w:tcPr>
          <w:p w:rsidR="00326C73" w:rsidRPr="00A45996" w:rsidRDefault="00326C73" w:rsidP="00326C73">
            <w:pPr>
              <w:pStyle w:val="TableBody"/>
              <w:spacing w:before="40" w:after="40"/>
              <w:jc w:val="center"/>
              <w:rPr>
                <w:rFonts w:ascii="Arial" w:hAnsi="Arial" w:cs="Arial"/>
                <w:b/>
                <w:bCs/>
                <w:sz w:val="18"/>
              </w:rPr>
            </w:pPr>
            <w:r w:rsidRPr="00A45996">
              <w:rPr>
                <w:rFonts w:ascii="Arial" w:hAnsi="Arial" w:cs="Arial"/>
                <w:b/>
                <w:bCs/>
                <w:sz w:val="18"/>
              </w:rPr>
              <w:t>Week</w:t>
            </w:r>
          </w:p>
        </w:tc>
        <w:tc>
          <w:tcPr>
            <w:tcW w:w="3400" w:type="dxa"/>
            <w:gridSpan w:val="8"/>
            <w:tcBorders>
              <w:top w:val="single" w:sz="12" w:space="0" w:color="auto"/>
              <w:bottom w:val="single" w:sz="4" w:space="0" w:color="auto"/>
            </w:tcBorders>
          </w:tcPr>
          <w:p w:rsidR="00326C73" w:rsidRPr="00A45996" w:rsidRDefault="00326C73" w:rsidP="00326C73">
            <w:pPr>
              <w:pStyle w:val="TableHeadings"/>
              <w:keepNext w:val="0"/>
              <w:keepLines w:val="0"/>
              <w:widowControl/>
              <w:spacing w:before="0" w:after="0"/>
              <w:rPr>
                <w:rFonts w:ascii="Arial" w:hAnsi="Arial" w:cs="Arial"/>
                <w:bCs/>
                <w:snapToGrid/>
                <w:sz w:val="18"/>
                <w:szCs w:val="24"/>
              </w:rPr>
            </w:pPr>
            <w:r w:rsidRPr="00A45996">
              <w:rPr>
                <w:rFonts w:ascii="Arial" w:hAnsi="Arial" w:cs="Arial"/>
                <w:bCs/>
                <w:snapToGrid/>
                <w:sz w:val="18"/>
                <w:szCs w:val="24"/>
              </w:rPr>
              <w:t>1</w:t>
            </w:r>
          </w:p>
        </w:tc>
        <w:tc>
          <w:tcPr>
            <w:tcW w:w="3687" w:type="dxa"/>
            <w:gridSpan w:val="9"/>
            <w:tcBorders>
              <w:top w:val="single" w:sz="12" w:space="0" w:color="auto"/>
              <w:bottom w:val="single" w:sz="4" w:space="0" w:color="auto"/>
            </w:tcBorders>
          </w:tcPr>
          <w:p w:rsidR="00326C73" w:rsidRPr="00A45996" w:rsidRDefault="00326C73" w:rsidP="00326C73">
            <w:pPr>
              <w:jc w:val="center"/>
              <w:rPr>
                <w:rFonts w:cs="Arial"/>
                <w:b/>
                <w:bCs/>
                <w:sz w:val="18"/>
              </w:rPr>
            </w:pPr>
            <w:r w:rsidRPr="00A45996">
              <w:rPr>
                <w:rFonts w:cs="Arial"/>
                <w:b/>
                <w:bCs/>
                <w:sz w:val="18"/>
              </w:rPr>
              <w:t>2</w:t>
            </w:r>
          </w:p>
        </w:tc>
        <w:tc>
          <w:tcPr>
            <w:tcW w:w="1134" w:type="dxa"/>
            <w:tcBorders>
              <w:top w:val="single" w:sz="12" w:space="0" w:color="auto"/>
              <w:bottom w:val="single" w:sz="4" w:space="0" w:color="auto"/>
              <w:right w:val="nil"/>
            </w:tcBorders>
          </w:tcPr>
          <w:p w:rsidR="00326C73" w:rsidRPr="00A45996" w:rsidRDefault="00326C73" w:rsidP="00326C73">
            <w:pPr>
              <w:jc w:val="center"/>
              <w:rPr>
                <w:rFonts w:cs="Arial"/>
                <w:b/>
                <w:bCs/>
                <w:sz w:val="18"/>
              </w:rPr>
            </w:pPr>
            <w:r w:rsidRPr="00A45996">
              <w:rPr>
                <w:rFonts w:cs="Arial"/>
                <w:b/>
                <w:bCs/>
                <w:sz w:val="18"/>
              </w:rPr>
              <w:t>3</w:t>
            </w:r>
          </w:p>
        </w:tc>
      </w:tr>
      <w:tr w:rsidR="00326C73" w:rsidRPr="00A45996" w:rsidTr="00326C73">
        <w:trPr>
          <w:cantSplit/>
        </w:trPr>
        <w:tc>
          <w:tcPr>
            <w:tcW w:w="1919" w:type="dxa"/>
            <w:tcBorders>
              <w:left w:val="nil"/>
            </w:tcBorders>
            <w:vAlign w:val="center"/>
          </w:tcPr>
          <w:p w:rsidR="00326C73" w:rsidRPr="00A45996" w:rsidRDefault="00326C73" w:rsidP="00326C73">
            <w:pPr>
              <w:pStyle w:val="TableBody"/>
              <w:spacing w:before="40" w:after="40"/>
              <w:rPr>
                <w:rFonts w:ascii="Arial" w:hAnsi="Arial" w:cs="Arial"/>
                <w:sz w:val="18"/>
              </w:rPr>
            </w:pPr>
            <w:proofErr w:type="spellStart"/>
            <w:r w:rsidRPr="00A45996">
              <w:rPr>
                <w:rFonts w:ascii="Arial" w:hAnsi="Arial" w:cs="Arial"/>
                <w:sz w:val="18"/>
              </w:rPr>
              <w:t>Vc</w:t>
            </w:r>
            <w:proofErr w:type="spellEnd"/>
            <w:r w:rsidRPr="00A45996">
              <w:rPr>
                <w:rFonts w:ascii="Arial" w:hAnsi="Arial" w:cs="Arial"/>
                <w:sz w:val="18"/>
              </w:rPr>
              <w:t xml:space="preserve"> (1.3 mg/m</w:t>
            </w:r>
            <w:r w:rsidRPr="00A45996">
              <w:rPr>
                <w:rFonts w:ascii="Arial" w:hAnsi="Arial" w:cs="Arial"/>
                <w:sz w:val="18"/>
                <w:vertAlign w:val="superscript"/>
              </w:rPr>
              <w:t>2</w:t>
            </w:r>
            <w:r w:rsidRPr="00A45996">
              <w:rPr>
                <w:rFonts w:ascii="Arial" w:hAnsi="Arial" w:cs="Arial"/>
                <w:sz w:val="18"/>
              </w:rPr>
              <w:t>)</w:t>
            </w:r>
          </w:p>
        </w:tc>
        <w:tc>
          <w:tcPr>
            <w:tcW w:w="850"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1</w:t>
            </w:r>
          </w:p>
        </w:tc>
        <w:tc>
          <w:tcPr>
            <w:tcW w:w="851"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850"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849"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4</w:t>
            </w:r>
          </w:p>
        </w:tc>
        <w:tc>
          <w:tcPr>
            <w:tcW w:w="710" w:type="dxa"/>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8</w:t>
            </w:r>
          </w:p>
        </w:tc>
        <w:tc>
          <w:tcPr>
            <w:tcW w:w="851"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567"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709"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850" w:type="dxa"/>
            <w:gridSpan w:val="2"/>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11</w:t>
            </w:r>
          </w:p>
        </w:tc>
        <w:tc>
          <w:tcPr>
            <w:tcW w:w="1134" w:type="dxa"/>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tc>
      </w:tr>
      <w:tr w:rsidR="00326C73" w:rsidRPr="00A45996" w:rsidTr="00326C73">
        <w:trPr>
          <w:cantSplit/>
        </w:trPr>
        <w:tc>
          <w:tcPr>
            <w:tcW w:w="1919" w:type="dxa"/>
            <w:tcBorders>
              <w:left w:val="nil"/>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t (100 mg)-Cycle 1</w:t>
            </w:r>
          </w:p>
        </w:tc>
        <w:tc>
          <w:tcPr>
            <w:tcW w:w="3400" w:type="dxa"/>
            <w:gridSpan w:val="8"/>
            <w:tcBorders>
              <w:top w:val="single" w:sz="4" w:space="0" w:color="auto"/>
              <w:bottom w:val="single" w:sz="4" w:space="0" w:color="auto"/>
            </w:tcBorders>
          </w:tcPr>
          <w:p w:rsidR="00326C73" w:rsidRPr="00A45996" w:rsidRDefault="00326C73" w:rsidP="00326C73">
            <w:pPr>
              <w:jc w:val="center"/>
              <w:rPr>
                <w:rFonts w:cs="Arial"/>
                <w:sz w:val="18"/>
              </w:rPr>
            </w:pPr>
            <w:r w:rsidRPr="00A45996">
              <w:rPr>
                <w:rFonts w:cs="Arial"/>
                <w:sz w:val="18"/>
              </w:rPr>
              <w:t>Day 1-7</w:t>
            </w:r>
          </w:p>
        </w:tc>
        <w:tc>
          <w:tcPr>
            <w:tcW w:w="3687" w:type="dxa"/>
            <w:gridSpan w:val="9"/>
            <w:tcBorders>
              <w:top w:val="single" w:sz="4" w:space="0" w:color="auto"/>
              <w:bottom w:val="single" w:sz="4" w:space="0" w:color="auto"/>
            </w:tcBorders>
          </w:tcPr>
          <w:p w:rsidR="00326C73" w:rsidRPr="00A45996" w:rsidRDefault="00326C73" w:rsidP="00326C73">
            <w:pPr>
              <w:jc w:val="center"/>
              <w:rPr>
                <w:rFonts w:cs="Arial"/>
                <w:sz w:val="18"/>
              </w:rPr>
            </w:pPr>
            <w:r w:rsidRPr="00A45996">
              <w:rPr>
                <w:rFonts w:cs="Arial"/>
                <w:sz w:val="18"/>
              </w:rPr>
              <w:t>Day 8-14</w:t>
            </w:r>
          </w:p>
        </w:tc>
        <w:tc>
          <w:tcPr>
            <w:tcW w:w="1134" w:type="dxa"/>
            <w:tcBorders>
              <w:top w:val="single" w:sz="4" w:space="0" w:color="auto"/>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tc>
      </w:tr>
      <w:tr w:rsidR="00326C73" w:rsidRPr="00A45996" w:rsidTr="00326C73">
        <w:trPr>
          <w:cantSplit/>
        </w:trPr>
        <w:tc>
          <w:tcPr>
            <w:tcW w:w="1919" w:type="dxa"/>
            <w:tcBorders>
              <w:left w:val="nil"/>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t (200 mg)-Cycle 2-3</w:t>
            </w:r>
          </w:p>
        </w:tc>
        <w:tc>
          <w:tcPr>
            <w:tcW w:w="3400" w:type="dxa"/>
            <w:gridSpan w:val="8"/>
            <w:tcBorders>
              <w:top w:val="single" w:sz="4" w:space="0" w:color="auto"/>
              <w:bottom w:val="single" w:sz="4" w:space="0" w:color="auto"/>
            </w:tcBorders>
          </w:tcPr>
          <w:p w:rsidR="00326C73" w:rsidRPr="00A45996" w:rsidRDefault="00326C73" w:rsidP="00326C73">
            <w:pPr>
              <w:jc w:val="center"/>
              <w:rPr>
                <w:rFonts w:cs="Arial"/>
                <w:sz w:val="18"/>
              </w:rPr>
            </w:pPr>
            <w:r w:rsidRPr="00A45996">
              <w:rPr>
                <w:rFonts w:cs="Arial"/>
                <w:sz w:val="18"/>
              </w:rPr>
              <w:t>Day 1-7</w:t>
            </w:r>
          </w:p>
        </w:tc>
        <w:tc>
          <w:tcPr>
            <w:tcW w:w="3687" w:type="dxa"/>
            <w:gridSpan w:val="9"/>
            <w:tcBorders>
              <w:top w:val="single" w:sz="4" w:space="0" w:color="auto"/>
              <w:bottom w:val="single" w:sz="4" w:space="0" w:color="auto"/>
            </w:tcBorders>
          </w:tcPr>
          <w:p w:rsidR="00326C73" w:rsidRPr="00A45996" w:rsidRDefault="00326C73" w:rsidP="00326C73">
            <w:pPr>
              <w:jc w:val="center"/>
              <w:rPr>
                <w:rFonts w:cs="Arial"/>
                <w:sz w:val="18"/>
              </w:rPr>
            </w:pPr>
            <w:r w:rsidRPr="00A45996">
              <w:rPr>
                <w:rFonts w:cs="Arial"/>
                <w:sz w:val="18"/>
              </w:rPr>
              <w:t>Day 8-14</w:t>
            </w:r>
          </w:p>
        </w:tc>
        <w:tc>
          <w:tcPr>
            <w:tcW w:w="1134" w:type="dxa"/>
            <w:tcBorders>
              <w:top w:val="single" w:sz="4" w:space="0" w:color="auto"/>
              <w:bottom w:val="single" w:sz="4" w:space="0" w:color="auto"/>
              <w:right w:val="nil"/>
            </w:tcBorders>
          </w:tcPr>
          <w:p w:rsidR="00326C73" w:rsidRPr="00A45996" w:rsidRDefault="00326C73" w:rsidP="00326C73">
            <w:pPr>
              <w:jc w:val="center"/>
              <w:rPr>
                <w:rFonts w:cs="Arial"/>
                <w:sz w:val="18"/>
              </w:rPr>
            </w:pPr>
            <w:r w:rsidRPr="00A45996">
              <w:rPr>
                <w:rFonts w:cs="Arial"/>
                <w:sz w:val="18"/>
              </w:rPr>
              <w:t>Day 15-21</w:t>
            </w:r>
          </w:p>
        </w:tc>
      </w:tr>
      <w:tr w:rsidR="00326C73" w:rsidRPr="00A45996" w:rsidTr="00326C73">
        <w:trPr>
          <w:cantSplit/>
        </w:trPr>
        <w:tc>
          <w:tcPr>
            <w:tcW w:w="1919" w:type="dxa"/>
            <w:tcBorders>
              <w:left w:val="nil"/>
              <w:bottom w:val="single" w:sz="12" w:space="0" w:color="auto"/>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d (40 mg)</w:t>
            </w:r>
          </w:p>
        </w:tc>
        <w:tc>
          <w:tcPr>
            <w:tcW w:w="680" w:type="dxa"/>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Day 1</w:t>
            </w:r>
          </w:p>
        </w:tc>
        <w:tc>
          <w:tcPr>
            <w:tcW w:w="680" w:type="dxa"/>
            <w:gridSpan w:val="2"/>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Day 2</w:t>
            </w:r>
          </w:p>
        </w:tc>
        <w:tc>
          <w:tcPr>
            <w:tcW w:w="680" w:type="dxa"/>
            <w:gridSpan w:val="2"/>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680" w:type="dxa"/>
            <w:gridSpan w:val="2"/>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Day 4</w:t>
            </w:r>
          </w:p>
        </w:tc>
        <w:tc>
          <w:tcPr>
            <w:tcW w:w="680" w:type="dxa"/>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Day 5</w:t>
            </w:r>
          </w:p>
        </w:tc>
        <w:tc>
          <w:tcPr>
            <w:tcW w:w="737" w:type="dxa"/>
            <w:gridSpan w:val="2"/>
            <w:tcBorders>
              <w:top w:val="single" w:sz="4" w:space="0" w:color="auto"/>
              <w:bottom w:val="single" w:sz="12" w:space="0" w:color="auto"/>
            </w:tcBorders>
          </w:tcPr>
          <w:p w:rsidR="00326C73" w:rsidRPr="00A45996" w:rsidRDefault="00326C73" w:rsidP="00326C73">
            <w:pPr>
              <w:tabs>
                <w:tab w:val="left" w:pos="270"/>
              </w:tabs>
              <w:jc w:val="center"/>
              <w:rPr>
                <w:rFonts w:cs="Arial"/>
                <w:sz w:val="18"/>
              </w:rPr>
            </w:pPr>
            <w:r w:rsidRPr="00A45996">
              <w:rPr>
                <w:rFonts w:cs="Arial"/>
                <w:sz w:val="18"/>
              </w:rPr>
              <w:t xml:space="preserve">Day </w:t>
            </w:r>
          </w:p>
          <w:p w:rsidR="00326C73" w:rsidRPr="00A45996" w:rsidRDefault="00326C73" w:rsidP="00326C73">
            <w:pPr>
              <w:tabs>
                <w:tab w:val="left" w:pos="270"/>
              </w:tabs>
              <w:jc w:val="center"/>
              <w:rPr>
                <w:rFonts w:cs="Arial"/>
                <w:sz w:val="18"/>
              </w:rPr>
            </w:pPr>
            <w:r w:rsidRPr="00A45996">
              <w:rPr>
                <w:rFonts w:cs="Arial"/>
                <w:sz w:val="18"/>
              </w:rPr>
              <w:t>8</w:t>
            </w:r>
          </w:p>
        </w:tc>
        <w:tc>
          <w:tcPr>
            <w:tcW w:w="908" w:type="dxa"/>
            <w:gridSpan w:val="2"/>
            <w:tcBorders>
              <w:top w:val="single" w:sz="4" w:space="0" w:color="auto"/>
              <w:bottom w:val="single" w:sz="12" w:space="0" w:color="auto"/>
            </w:tcBorders>
          </w:tcPr>
          <w:p w:rsidR="00326C73" w:rsidRPr="00A45996" w:rsidRDefault="00326C73" w:rsidP="00326C73">
            <w:pPr>
              <w:tabs>
                <w:tab w:val="left" w:pos="270"/>
              </w:tabs>
              <w:jc w:val="center"/>
              <w:rPr>
                <w:rFonts w:cs="Arial"/>
                <w:sz w:val="18"/>
              </w:rPr>
            </w:pPr>
            <w:r w:rsidRPr="00A45996">
              <w:rPr>
                <w:rFonts w:cs="Arial"/>
                <w:sz w:val="18"/>
              </w:rPr>
              <w:t xml:space="preserve">Day </w:t>
            </w:r>
          </w:p>
          <w:p w:rsidR="00326C73" w:rsidRPr="00A45996" w:rsidRDefault="00326C73" w:rsidP="00326C73">
            <w:pPr>
              <w:tabs>
                <w:tab w:val="left" w:pos="270"/>
              </w:tabs>
              <w:jc w:val="center"/>
              <w:rPr>
                <w:rFonts w:cs="Arial"/>
                <w:sz w:val="18"/>
              </w:rPr>
            </w:pPr>
            <w:r w:rsidRPr="00A45996">
              <w:rPr>
                <w:rFonts w:cs="Arial"/>
                <w:sz w:val="18"/>
              </w:rPr>
              <w:t>9</w:t>
            </w:r>
          </w:p>
        </w:tc>
        <w:tc>
          <w:tcPr>
            <w:tcW w:w="567" w:type="dxa"/>
            <w:gridSpan w:val="2"/>
            <w:tcBorders>
              <w:top w:val="single" w:sz="4" w:space="0" w:color="auto"/>
              <w:bottom w:val="single" w:sz="12" w:space="0" w:color="auto"/>
            </w:tcBorders>
          </w:tcPr>
          <w:p w:rsidR="00326C73" w:rsidRPr="00A45996" w:rsidRDefault="00326C73" w:rsidP="00326C73">
            <w:pPr>
              <w:tabs>
                <w:tab w:val="left" w:pos="270"/>
              </w:tabs>
              <w:jc w:val="center"/>
              <w:rPr>
                <w:rFonts w:cs="Arial"/>
                <w:sz w:val="18"/>
              </w:rPr>
            </w:pPr>
            <w:r w:rsidRPr="00A45996">
              <w:rPr>
                <w:rFonts w:cs="Arial"/>
                <w:sz w:val="18"/>
              </w:rPr>
              <w:t>--</w:t>
            </w:r>
          </w:p>
        </w:tc>
        <w:tc>
          <w:tcPr>
            <w:tcW w:w="737" w:type="dxa"/>
            <w:gridSpan w:val="2"/>
            <w:tcBorders>
              <w:top w:val="single" w:sz="4" w:space="0" w:color="auto"/>
              <w:bottom w:val="single" w:sz="12" w:space="0" w:color="auto"/>
            </w:tcBorders>
          </w:tcPr>
          <w:p w:rsidR="00326C73" w:rsidRPr="00A45996" w:rsidRDefault="00326C73" w:rsidP="00326C73">
            <w:pPr>
              <w:tabs>
                <w:tab w:val="left" w:pos="270"/>
              </w:tabs>
              <w:jc w:val="center"/>
              <w:rPr>
                <w:rFonts w:cs="Arial"/>
                <w:sz w:val="18"/>
              </w:rPr>
            </w:pPr>
            <w:r w:rsidRPr="00A45996">
              <w:rPr>
                <w:rFonts w:cs="Arial"/>
                <w:sz w:val="18"/>
              </w:rPr>
              <w:t>Day 11</w:t>
            </w:r>
          </w:p>
        </w:tc>
        <w:tc>
          <w:tcPr>
            <w:tcW w:w="738" w:type="dxa"/>
            <w:tcBorders>
              <w:top w:val="single" w:sz="4" w:space="0" w:color="auto"/>
              <w:bottom w:val="single" w:sz="12" w:space="0" w:color="auto"/>
            </w:tcBorders>
          </w:tcPr>
          <w:p w:rsidR="00326C73" w:rsidRPr="00A45996" w:rsidRDefault="00326C73" w:rsidP="00326C73">
            <w:pPr>
              <w:tabs>
                <w:tab w:val="left" w:pos="270"/>
              </w:tabs>
              <w:jc w:val="center"/>
              <w:rPr>
                <w:rFonts w:cs="Arial"/>
                <w:sz w:val="18"/>
              </w:rPr>
            </w:pPr>
            <w:r w:rsidRPr="00A45996">
              <w:rPr>
                <w:rFonts w:cs="Arial"/>
                <w:sz w:val="18"/>
              </w:rPr>
              <w:t>Day 12</w:t>
            </w:r>
          </w:p>
        </w:tc>
        <w:tc>
          <w:tcPr>
            <w:tcW w:w="1134" w:type="dxa"/>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w:t>
            </w:r>
          </w:p>
        </w:tc>
      </w:tr>
    </w:tbl>
    <w:p w:rsidR="00326C73" w:rsidRPr="00A45996" w:rsidRDefault="00326C73" w:rsidP="00326C73">
      <w:pPr>
        <w:pStyle w:val="Footer"/>
        <w:tabs>
          <w:tab w:val="clear" w:pos="4153"/>
          <w:tab w:val="clear" w:pos="8306"/>
        </w:tabs>
        <w:rPr>
          <w:bCs/>
          <w:sz w:val="16"/>
          <w:szCs w:val="16"/>
        </w:rPr>
      </w:pPr>
      <w:proofErr w:type="spellStart"/>
      <w:proofErr w:type="gramStart"/>
      <w:r w:rsidRPr="00A45996">
        <w:rPr>
          <w:bCs/>
          <w:sz w:val="16"/>
          <w:szCs w:val="16"/>
        </w:rPr>
        <w:t>Vc</w:t>
      </w:r>
      <w:proofErr w:type="spellEnd"/>
      <w:proofErr w:type="gramEnd"/>
      <w:r w:rsidRPr="00A45996">
        <w:rPr>
          <w:bCs/>
          <w:sz w:val="16"/>
          <w:szCs w:val="16"/>
        </w:rPr>
        <w:t xml:space="preserve"> = VELCADE; t = thalidomide; d = dexamethasone</w:t>
      </w:r>
    </w:p>
    <w:p w:rsidR="00326C73" w:rsidRPr="00A45996" w:rsidRDefault="00326C73" w:rsidP="00326C73">
      <w:pPr>
        <w:pStyle w:val="BodyText2"/>
        <w:rPr>
          <w:rFonts w:cs="Arial"/>
          <w:sz w:val="20"/>
        </w:rPr>
      </w:pPr>
    </w:p>
    <w:p w:rsidR="00326C73" w:rsidRPr="00E07EDD" w:rsidRDefault="00326C73" w:rsidP="00326C73">
      <w:pPr>
        <w:pStyle w:val="Footer"/>
        <w:numPr>
          <w:ilvl w:val="0"/>
          <w:numId w:val="7"/>
        </w:numPr>
        <w:tabs>
          <w:tab w:val="clear" w:pos="4153"/>
          <w:tab w:val="clear" w:pos="8306"/>
        </w:tabs>
        <w:rPr>
          <w:bCs/>
          <w:sz w:val="22"/>
          <w:szCs w:val="22"/>
          <w:u w:val="single"/>
        </w:rPr>
      </w:pPr>
      <w:r w:rsidRPr="00E07EDD">
        <w:rPr>
          <w:bCs/>
          <w:sz w:val="22"/>
          <w:szCs w:val="22"/>
          <w:u w:val="single"/>
        </w:rPr>
        <w:t>VELCADE plus dexamethasone</w:t>
      </w:r>
    </w:p>
    <w:p w:rsidR="00326C73" w:rsidRPr="00A45996" w:rsidRDefault="00326C73" w:rsidP="00326C73">
      <w:pPr>
        <w:pStyle w:val="BodyText2"/>
        <w:ind w:left="720"/>
        <w:rPr>
          <w:b w:val="0"/>
          <w:sz w:val="22"/>
          <w:szCs w:val="22"/>
        </w:rPr>
      </w:pPr>
      <w:r w:rsidRPr="00A45996">
        <w:rPr>
          <w:b w:val="0"/>
          <w:sz w:val="22"/>
          <w:szCs w:val="22"/>
        </w:rPr>
        <w:t>VELCADE (</w:t>
      </w:r>
      <w:proofErr w:type="spellStart"/>
      <w:r w:rsidRPr="00A45996">
        <w:rPr>
          <w:b w:val="0"/>
          <w:sz w:val="22"/>
          <w:szCs w:val="22"/>
        </w:rPr>
        <w:t>bortezomib</w:t>
      </w:r>
      <w:proofErr w:type="spellEnd"/>
      <w:r w:rsidRPr="00A45996">
        <w:rPr>
          <w:b w:val="0"/>
          <w:sz w:val="22"/>
          <w:szCs w:val="22"/>
        </w:rPr>
        <w:t xml:space="preserve">) is administered as an IV injection in combination with oral dexamethasone for four 3-week treatment cycles as shown in Table </w:t>
      </w:r>
      <w:r w:rsidR="00D44639" w:rsidRPr="00A45996">
        <w:rPr>
          <w:b w:val="0"/>
          <w:sz w:val="22"/>
          <w:szCs w:val="22"/>
        </w:rPr>
        <w:t>21</w:t>
      </w:r>
      <w:r w:rsidRPr="00A45996">
        <w:rPr>
          <w:b w:val="0"/>
          <w:sz w:val="22"/>
          <w:szCs w:val="22"/>
        </w:rPr>
        <w:t>.</w:t>
      </w:r>
    </w:p>
    <w:p w:rsidR="00326C73" w:rsidRPr="00A45996" w:rsidRDefault="00326C73" w:rsidP="00326C73">
      <w:pPr>
        <w:pStyle w:val="BodyText2"/>
        <w:rPr>
          <w:b w:val="0"/>
          <w:sz w:val="22"/>
          <w:szCs w:val="22"/>
        </w:rPr>
      </w:pPr>
    </w:p>
    <w:p w:rsidR="00326C73" w:rsidRPr="00A45996" w:rsidRDefault="00326C73" w:rsidP="00326C73">
      <w:pPr>
        <w:pStyle w:val="Footer"/>
        <w:tabs>
          <w:tab w:val="clear" w:pos="4153"/>
          <w:tab w:val="clear" w:pos="8306"/>
        </w:tabs>
        <w:jc w:val="left"/>
        <w:rPr>
          <w:bCs/>
          <w:sz w:val="20"/>
        </w:rPr>
      </w:pPr>
      <w:r w:rsidRPr="00A45996">
        <w:rPr>
          <w:b/>
          <w:bCs/>
          <w:sz w:val="20"/>
        </w:rPr>
        <w:t xml:space="preserve">Table </w:t>
      </w:r>
      <w:r w:rsidR="00D44639" w:rsidRPr="00A45996">
        <w:rPr>
          <w:b/>
          <w:bCs/>
          <w:sz w:val="20"/>
        </w:rPr>
        <w:t>21</w:t>
      </w:r>
      <w:r w:rsidRPr="00A45996">
        <w:rPr>
          <w:b/>
          <w:bCs/>
          <w:sz w:val="20"/>
        </w:rPr>
        <w:t>:</w:t>
      </w:r>
      <w:r w:rsidRPr="00A45996">
        <w:rPr>
          <w:bCs/>
          <w:sz w:val="20"/>
        </w:rPr>
        <w:t xml:space="preserve"> </w:t>
      </w:r>
      <w:r w:rsidR="00913EA2" w:rsidRPr="00A45996">
        <w:rPr>
          <w:b/>
          <w:bCs/>
          <w:sz w:val="20"/>
        </w:rPr>
        <w:t>Recommended dosage regimen for VELCADE when used in combination with dexamethasone</w:t>
      </w:r>
    </w:p>
    <w:p w:rsidR="00326C73" w:rsidRPr="00A45996" w:rsidRDefault="00326C73" w:rsidP="00326C73">
      <w:pPr>
        <w:pStyle w:val="BodyText2"/>
        <w:rPr>
          <w:b w:val="0"/>
          <w:sz w:val="22"/>
          <w:szCs w:val="22"/>
        </w:rPr>
      </w:pPr>
    </w:p>
    <w:tbl>
      <w:tblPr>
        <w:tblW w:w="1014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418"/>
        <w:gridCol w:w="1559"/>
        <w:gridCol w:w="699"/>
        <w:gridCol w:w="803"/>
        <w:gridCol w:w="850"/>
        <w:gridCol w:w="851"/>
        <w:gridCol w:w="1758"/>
      </w:tblGrid>
      <w:tr w:rsidR="00326C73" w:rsidRPr="00A45996" w:rsidTr="00326C73">
        <w:trPr>
          <w:cantSplit/>
        </w:trPr>
        <w:tc>
          <w:tcPr>
            <w:tcW w:w="2202" w:type="dxa"/>
            <w:tcBorders>
              <w:top w:val="single" w:sz="12" w:space="0" w:color="auto"/>
              <w:left w:val="nil"/>
            </w:tcBorders>
          </w:tcPr>
          <w:p w:rsidR="00326C73" w:rsidRPr="00A45996" w:rsidRDefault="00326C73" w:rsidP="00326C73">
            <w:pPr>
              <w:pStyle w:val="TableBody"/>
              <w:spacing w:before="40" w:after="40"/>
              <w:jc w:val="center"/>
              <w:rPr>
                <w:rFonts w:ascii="Arial" w:hAnsi="Arial" w:cs="Arial"/>
                <w:b/>
                <w:bCs/>
                <w:sz w:val="18"/>
              </w:rPr>
            </w:pPr>
            <w:r w:rsidRPr="00A45996">
              <w:rPr>
                <w:rFonts w:ascii="Arial" w:hAnsi="Arial" w:cs="Arial"/>
                <w:b/>
                <w:bCs/>
                <w:sz w:val="18"/>
              </w:rPr>
              <w:t>Week</w:t>
            </w:r>
          </w:p>
        </w:tc>
        <w:tc>
          <w:tcPr>
            <w:tcW w:w="2977" w:type="dxa"/>
            <w:gridSpan w:val="2"/>
            <w:tcBorders>
              <w:top w:val="single" w:sz="12" w:space="0" w:color="auto"/>
              <w:bottom w:val="single" w:sz="4" w:space="0" w:color="auto"/>
            </w:tcBorders>
          </w:tcPr>
          <w:p w:rsidR="00326C73" w:rsidRPr="00A45996" w:rsidRDefault="00326C73" w:rsidP="00326C73">
            <w:pPr>
              <w:pStyle w:val="TableHeadings"/>
              <w:keepNext w:val="0"/>
              <w:keepLines w:val="0"/>
              <w:widowControl/>
              <w:spacing w:before="0" w:after="0"/>
              <w:rPr>
                <w:rFonts w:ascii="Arial" w:hAnsi="Arial" w:cs="Arial"/>
                <w:bCs/>
                <w:snapToGrid/>
                <w:sz w:val="18"/>
                <w:szCs w:val="24"/>
              </w:rPr>
            </w:pPr>
            <w:r w:rsidRPr="00A45996">
              <w:rPr>
                <w:rFonts w:ascii="Arial" w:hAnsi="Arial" w:cs="Arial"/>
                <w:bCs/>
                <w:snapToGrid/>
                <w:sz w:val="18"/>
                <w:szCs w:val="24"/>
              </w:rPr>
              <w:t>1</w:t>
            </w:r>
          </w:p>
        </w:tc>
        <w:tc>
          <w:tcPr>
            <w:tcW w:w="3203" w:type="dxa"/>
            <w:gridSpan w:val="4"/>
            <w:tcBorders>
              <w:top w:val="single" w:sz="12" w:space="0" w:color="auto"/>
              <w:bottom w:val="single" w:sz="4" w:space="0" w:color="auto"/>
            </w:tcBorders>
          </w:tcPr>
          <w:p w:rsidR="00326C73" w:rsidRPr="00A45996" w:rsidRDefault="00326C73" w:rsidP="00326C73">
            <w:pPr>
              <w:jc w:val="center"/>
              <w:rPr>
                <w:rFonts w:cs="Arial"/>
                <w:b/>
                <w:bCs/>
                <w:sz w:val="18"/>
              </w:rPr>
            </w:pPr>
            <w:r w:rsidRPr="00A45996">
              <w:rPr>
                <w:rFonts w:cs="Arial"/>
                <w:b/>
                <w:bCs/>
                <w:sz w:val="18"/>
              </w:rPr>
              <w:t>2</w:t>
            </w:r>
          </w:p>
        </w:tc>
        <w:tc>
          <w:tcPr>
            <w:tcW w:w="1758" w:type="dxa"/>
            <w:tcBorders>
              <w:top w:val="single" w:sz="12" w:space="0" w:color="auto"/>
              <w:bottom w:val="single" w:sz="4" w:space="0" w:color="auto"/>
              <w:right w:val="nil"/>
            </w:tcBorders>
          </w:tcPr>
          <w:p w:rsidR="00326C73" w:rsidRPr="00A45996" w:rsidRDefault="00326C73" w:rsidP="00326C73">
            <w:pPr>
              <w:jc w:val="center"/>
              <w:rPr>
                <w:rFonts w:cs="Arial"/>
                <w:b/>
                <w:bCs/>
                <w:sz w:val="18"/>
              </w:rPr>
            </w:pPr>
            <w:r w:rsidRPr="00A45996">
              <w:rPr>
                <w:rFonts w:cs="Arial"/>
                <w:b/>
                <w:bCs/>
                <w:sz w:val="18"/>
              </w:rPr>
              <w:t>3</w:t>
            </w:r>
          </w:p>
        </w:tc>
      </w:tr>
      <w:tr w:rsidR="00326C73" w:rsidRPr="00A45996" w:rsidTr="00326C73">
        <w:trPr>
          <w:cantSplit/>
        </w:trPr>
        <w:tc>
          <w:tcPr>
            <w:tcW w:w="2202" w:type="dxa"/>
            <w:tcBorders>
              <w:left w:val="nil"/>
            </w:tcBorders>
            <w:vAlign w:val="center"/>
          </w:tcPr>
          <w:p w:rsidR="00326C73" w:rsidRPr="00A45996" w:rsidRDefault="00326C73" w:rsidP="00326C73">
            <w:pPr>
              <w:pStyle w:val="TableBody"/>
              <w:spacing w:before="40" w:after="40"/>
              <w:jc w:val="center"/>
              <w:rPr>
                <w:rFonts w:ascii="Arial" w:hAnsi="Arial" w:cs="Arial"/>
                <w:sz w:val="18"/>
              </w:rPr>
            </w:pPr>
            <w:proofErr w:type="spellStart"/>
            <w:r w:rsidRPr="00A45996">
              <w:rPr>
                <w:rFonts w:ascii="Arial" w:hAnsi="Arial" w:cs="Arial"/>
                <w:sz w:val="18"/>
              </w:rPr>
              <w:t>Vc</w:t>
            </w:r>
            <w:proofErr w:type="spellEnd"/>
            <w:r w:rsidRPr="00A45996">
              <w:rPr>
                <w:rFonts w:ascii="Arial" w:hAnsi="Arial" w:cs="Arial"/>
                <w:sz w:val="18"/>
              </w:rPr>
              <w:t xml:space="preserve"> (1.3 mg/m</w:t>
            </w:r>
            <w:r w:rsidRPr="00A45996">
              <w:rPr>
                <w:rFonts w:ascii="Arial" w:hAnsi="Arial" w:cs="Arial"/>
                <w:sz w:val="18"/>
                <w:vertAlign w:val="superscript"/>
              </w:rPr>
              <w:t>2</w:t>
            </w:r>
            <w:r w:rsidRPr="00A45996">
              <w:rPr>
                <w:rFonts w:ascii="Arial" w:hAnsi="Arial" w:cs="Arial"/>
                <w:sz w:val="18"/>
              </w:rPr>
              <w:t>)</w:t>
            </w:r>
          </w:p>
        </w:tc>
        <w:tc>
          <w:tcPr>
            <w:tcW w:w="1418" w:type="dxa"/>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1</w:t>
            </w:r>
          </w:p>
        </w:tc>
        <w:tc>
          <w:tcPr>
            <w:tcW w:w="1559" w:type="dxa"/>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4</w:t>
            </w:r>
          </w:p>
        </w:tc>
        <w:tc>
          <w:tcPr>
            <w:tcW w:w="699" w:type="dxa"/>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8</w:t>
            </w:r>
          </w:p>
        </w:tc>
        <w:tc>
          <w:tcPr>
            <w:tcW w:w="803" w:type="dxa"/>
            <w:tcBorders>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850" w:type="dxa"/>
            <w:tcBorders>
              <w:bottom w:val="single" w:sz="4"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11</w:t>
            </w:r>
          </w:p>
        </w:tc>
        <w:tc>
          <w:tcPr>
            <w:tcW w:w="851" w:type="dxa"/>
            <w:tcBorders>
              <w:bottom w:val="single" w:sz="4" w:space="0" w:color="auto"/>
            </w:tcBorders>
          </w:tcPr>
          <w:p w:rsidR="00326C73" w:rsidRPr="00A45996" w:rsidRDefault="00326C73" w:rsidP="00326C73">
            <w:pPr>
              <w:jc w:val="center"/>
              <w:rPr>
                <w:rStyle w:val="CommentReference"/>
                <w:rFonts w:ascii="Times New Roman" w:hAnsi="Times New Roman"/>
                <w:lang w:val="en-GB"/>
              </w:rPr>
            </w:pPr>
            <w:r w:rsidRPr="00A45996">
              <w:rPr>
                <w:rStyle w:val="CommentReference"/>
                <w:rFonts w:ascii="Times New Roman" w:hAnsi="Times New Roman"/>
                <w:lang w:val="en-GB"/>
              </w:rPr>
              <w:t>--</w:t>
            </w:r>
          </w:p>
          <w:p w:rsidR="00326C73" w:rsidRPr="00A45996" w:rsidRDefault="00326C73" w:rsidP="00326C73">
            <w:pPr>
              <w:jc w:val="center"/>
              <w:rPr>
                <w:rFonts w:cs="Arial"/>
                <w:sz w:val="18"/>
              </w:rPr>
            </w:pPr>
          </w:p>
        </w:tc>
        <w:tc>
          <w:tcPr>
            <w:tcW w:w="1758" w:type="dxa"/>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p w:rsidR="00326C73" w:rsidRPr="00A45996" w:rsidRDefault="00326C73" w:rsidP="00326C73">
            <w:pPr>
              <w:jc w:val="center"/>
              <w:rPr>
                <w:rFonts w:cs="Arial"/>
                <w:sz w:val="18"/>
              </w:rPr>
            </w:pPr>
          </w:p>
        </w:tc>
      </w:tr>
      <w:tr w:rsidR="00326C73" w:rsidRPr="00A45996" w:rsidTr="00326C73">
        <w:trPr>
          <w:cantSplit/>
        </w:trPr>
        <w:tc>
          <w:tcPr>
            <w:tcW w:w="2202" w:type="dxa"/>
            <w:tcBorders>
              <w:left w:val="nil"/>
              <w:bottom w:val="single" w:sz="12" w:space="0" w:color="auto"/>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d (40 mg)-All Cycles</w:t>
            </w:r>
          </w:p>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d (40 mg)-Cycle 1-2</w:t>
            </w:r>
          </w:p>
        </w:tc>
        <w:tc>
          <w:tcPr>
            <w:tcW w:w="2977" w:type="dxa"/>
            <w:gridSpan w:val="2"/>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Day 1-4--</w:t>
            </w:r>
          </w:p>
        </w:tc>
        <w:tc>
          <w:tcPr>
            <w:tcW w:w="3203" w:type="dxa"/>
            <w:gridSpan w:val="4"/>
            <w:tcBorders>
              <w:top w:val="single" w:sz="4" w:space="0" w:color="auto"/>
              <w:bottom w:val="single" w:sz="12" w:space="0" w:color="auto"/>
            </w:tcBorders>
          </w:tcPr>
          <w:p w:rsidR="00326C73" w:rsidRPr="00A45996" w:rsidRDefault="00326C73" w:rsidP="00326C73">
            <w:pPr>
              <w:jc w:val="center"/>
              <w:rPr>
                <w:rFonts w:cs="Arial"/>
                <w:sz w:val="18"/>
              </w:rPr>
            </w:pPr>
          </w:p>
          <w:p w:rsidR="00326C73" w:rsidRPr="00A45996" w:rsidRDefault="00326C73" w:rsidP="00326C73">
            <w:pPr>
              <w:jc w:val="center"/>
              <w:rPr>
                <w:rFonts w:cs="Arial"/>
                <w:sz w:val="18"/>
              </w:rPr>
            </w:pPr>
            <w:r w:rsidRPr="00A45996">
              <w:rPr>
                <w:rFonts w:cs="Arial"/>
                <w:sz w:val="18"/>
              </w:rPr>
              <w:t>--</w:t>
            </w:r>
          </w:p>
          <w:p w:rsidR="00326C73" w:rsidRPr="00A45996" w:rsidRDefault="00326C73" w:rsidP="00326C73">
            <w:pPr>
              <w:jc w:val="center"/>
              <w:rPr>
                <w:rFonts w:cs="Arial"/>
                <w:sz w:val="18"/>
              </w:rPr>
            </w:pPr>
            <w:r w:rsidRPr="00A45996">
              <w:rPr>
                <w:rFonts w:cs="Arial"/>
                <w:sz w:val="18"/>
              </w:rPr>
              <w:t>Day 9-12</w:t>
            </w:r>
          </w:p>
        </w:tc>
        <w:tc>
          <w:tcPr>
            <w:tcW w:w="1758" w:type="dxa"/>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w:t>
            </w:r>
          </w:p>
          <w:p w:rsidR="00326C73" w:rsidRPr="00A45996" w:rsidRDefault="00326C73" w:rsidP="00326C73">
            <w:pPr>
              <w:jc w:val="center"/>
              <w:rPr>
                <w:rFonts w:cs="Arial"/>
                <w:sz w:val="18"/>
              </w:rPr>
            </w:pPr>
            <w:r w:rsidRPr="00A45996">
              <w:rPr>
                <w:rFonts w:cs="Arial"/>
                <w:sz w:val="18"/>
              </w:rPr>
              <w:t>--</w:t>
            </w:r>
          </w:p>
        </w:tc>
      </w:tr>
    </w:tbl>
    <w:p w:rsidR="00326C73" w:rsidRPr="00A45996" w:rsidRDefault="00326C73" w:rsidP="00326C73">
      <w:pPr>
        <w:pStyle w:val="Footer"/>
        <w:tabs>
          <w:tab w:val="clear" w:pos="4153"/>
          <w:tab w:val="clear" w:pos="8306"/>
        </w:tabs>
        <w:rPr>
          <w:sz w:val="16"/>
          <w:szCs w:val="16"/>
        </w:rPr>
      </w:pPr>
      <w:proofErr w:type="spellStart"/>
      <w:proofErr w:type="gramStart"/>
      <w:r w:rsidRPr="00A45996">
        <w:rPr>
          <w:bCs/>
          <w:sz w:val="16"/>
          <w:szCs w:val="16"/>
        </w:rPr>
        <w:t>Vc</w:t>
      </w:r>
      <w:proofErr w:type="spellEnd"/>
      <w:proofErr w:type="gramEnd"/>
      <w:r w:rsidRPr="00A45996">
        <w:rPr>
          <w:bCs/>
          <w:sz w:val="16"/>
          <w:szCs w:val="16"/>
        </w:rPr>
        <w:t xml:space="preserve"> = VELCADE; d = dexamethasone</w:t>
      </w:r>
    </w:p>
    <w:p w:rsidR="00326C73" w:rsidRPr="00A45996" w:rsidRDefault="00326C73" w:rsidP="00326C73">
      <w:pPr>
        <w:pStyle w:val="Footer"/>
        <w:tabs>
          <w:tab w:val="clear" w:pos="4153"/>
          <w:tab w:val="clear" w:pos="8306"/>
        </w:tabs>
        <w:rPr>
          <w:sz w:val="20"/>
        </w:rPr>
      </w:pPr>
    </w:p>
    <w:p w:rsidR="00326C73" w:rsidRPr="00E07EDD" w:rsidRDefault="00D44639" w:rsidP="00326C73">
      <w:pPr>
        <w:pStyle w:val="PIHEADING2"/>
        <w:keepLines/>
        <w:tabs>
          <w:tab w:val="clear" w:pos="-720"/>
        </w:tabs>
        <w:suppressAutoHyphens w:val="0"/>
        <w:rPr>
          <w:rFonts w:cs="Arial"/>
          <w:bCs/>
          <w:i/>
          <w:szCs w:val="22"/>
        </w:rPr>
      </w:pPr>
      <w:r w:rsidRPr="00A45996">
        <w:rPr>
          <w:rFonts w:cs="Arial"/>
          <w:bCs/>
          <w:i/>
          <w:szCs w:val="22"/>
        </w:rPr>
        <w:t xml:space="preserve">Previously Untreated Multiple Myeloma - </w:t>
      </w:r>
      <w:r w:rsidR="00326C73" w:rsidRPr="00E07EDD">
        <w:rPr>
          <w:rFonts w:cs="Arial"/>
          <w:bCs/>
          <w:i/>
          <w:spacing w:val="0"/>
          <w:szCs w:val="22"/>
        </w:rPr>
        <w:t>Non-Transplant Eligible</w:t>
      </w:r>
    </w:p>
    <w:p w:rsidR="00B13221" w:rsidRPr="00A45996" w:rsidRDefault="00326C73" w:rsidP="00326C73">
      <w:pPr>
        <w:autoSpaceDE w:val="0"/>
        <w:autoSpaceDN w:val="0"/>
        <w:adjustRightInd w:val="0"/>
        <w:rPr>
          <w:sz w:val="22"/>
        </w:rPr>
      </w:pPr>
      <w:r w:rsidRPr="00A45996">
        <w:rPr>
          <w:sz w:val="22"/>
          <w:szCs w:val="22"/>
        </w:rPr>
        <w:t>VELCADE (</w:t>
      </w:r>
      <w:proofErr w:type="spellStart"/>
      <w:r w:rsidRPr="00A45996">
        <w:rPr>
          <w:sz w:val="22"/>
          <w:szCs w:val="22"/>
        </w:rPr>
        <w:t>bortezomib</w:t>
      </w:r>
      <w:proofErr w:type="spellEnd"/>
      <w:r w:rsidRPr="00A45996">
        <w:rPr>
          <w:sz w:val="22"/>
          <w:szCs w:val="22"/>
        </w:rPr>
        <w:t xml:space="preserve">) </w:t>
      </w:r>
      <w:r w:rsidR="0090466C" w:rsidRPr="00A45996">
        <w:rPr>
          <w:sz w:val="22"/>
          <w:szCs w:val="22"/>
        </w:rPr>
        <w:t xml:space="preserve">for injection </w:t>
      </w:r>
      <w:r w:rsidRPr="00A45996">
        <w:rPr>
          <w:sz w:val="22"/>
          <w:szCs w:val="22"/>
        </w:rPr>
        <w:t xml:space="preserve">is administered in combination with oral </w:t>
      </w:r>
      <w:proofErr w:type="spellStart"/>
      <w:r w:rsidRPr="00A45996">
        <w:rPr>
          <w:sz w:val="22"/>
          <w:szCs w:val="22"/>
        </w:rPr>
        <w:t>melphalan</w:t>
      </w:r>
      <w:proofErr w:type="spellEnd"/>
      <w:r w:rsidRPr="00A45996">
        <w:rPr>
          <w:sz w:val="22"/>
          <w:szCs w:val="22"/>
        </w:rPr>
        <w:t xml:space="preserve"> and oral prednisone for nine 6-week treatment cycles as shown in Table </w:t>
      </w:r>
      <w:r w:rsidR="0092571C" w:rsidRPr="00A45996">
        <w:rPr>
          <w:sz w:val="22"/>
          <w:szCs w:val="22"/>
        </w:rPr>
        <w:t>20</w:t>
      </w:r>
      <w:r w:rsidRPr="00A45996">
        <w:rPr>
          <w:sz w:val="22"/>
          <w:szCs w:val="22"/>
        </w:rPr>
        <w:t xml:space="preserve">. </w:t>
      </w:r>
      <w:r w:rsidRPr="00A45996">
        <w:rPr>
          <w:sz w:val="22"/>
        </w:rPr>
        <w:t xml:space="preserve">In Cycles 1-4, VELCADE is administered twice weekly (days 1, 4, 8, 11, 22, 25, 29 and 32). In Cycles 5-9, VELCADE is administered once weekly (days 1, 8, 22 and 29). </w:t>
      </w:r>
    </w:p>
    <w:p w:rsidR="00FA7728" w:rsidRPr="00A45996" w:rsidRDefault="00FA7728" w:rsidP="00326C73">
      <w:pPr>
        <w:autoSpaceDE w:val="0"/>
        <w:autoSpaceDN w:val="0"/>
        <w:adjustRightInd w:val="0"/>
        <w:rPr>
          <w:sz w:val="22"/>
        </w:rPr>
      </w:pPr>
    </w:p>
    <w:p w:rsidR="00326C73" w:rsidRPr="00A45996" w:rsidRDefault="00326C73" w:rsidP="00326C73">
      <w:pPr>
        <w:pStyle w:val="tablebodyChar"/>
        <w:suppressAutoHyphens w:val="0"/>
        <w:spacing w:before="0" w:after="0"/>
        <w:rPr>
          <w:rFonts w:ascii="Arial" w:hAnsi="Arial" w:cs="Arial"/>
          <w:b/>
          <w:bCs/>
        </w:rPr>
      </w:pPr>
      <w:r w:rsidRPr="00A45996">
        <w:rPr>
          <w:rFonts w:ascii="Arial" w:hAnsi="Arial" w:cs="Arial"/>
          <w:b/>
          <w:bCs/>
        </w:rPr>
        <w:t xml:space="preserve">Table </w:t>
      </w:r>
      <w:r w:rsidR="0092571C" w:rsidRPr="00A45996">
        <w:rPr>
          <w:rFonts w:ascii="Arial" w:hAnsi="Arial" w:cs="Arial"/>
          <w:b/>
          <w:bCs/>
        </w:rPr>
        <w:t>2</w:t>
      </w:r>
      <w:r w:rsidR="00D44639" w:rsidRPr="00A45996">
        <w:rPr>
          <w:rFonts w:ascii="Arial" w:hAnsi="Arial" w:cs="Arial"/>
          <w:b/>
          <w:bCs/>
        </w:rPr>
        <w:t>2</w:t>
      </w:r>
      <w:r w:rsidRPr="00A45996">
        <w:rPr>
          <w:rFonts w:ascii="Arial" w:hAnsi="Arial" w:cs="Arial"/>
          <w:b/>
          <w:bCs/>
        </w:rPr>
        <w:t xml:space="preserve">: </w:t>
      </w:r>
      <w:r w:rsidRPr="00A45996">
        <w:rPr>
          <w:rFonts w:ascii="Arial" w:hAnsi="Arial" w:cs="Arial"/>
          <w:b/>
        </w:rPr>
        <w:t xml:space="preserve">Recommended Dosage Regimen for VELCADE when used in combination with </w:t>
      </w:r>
      <w:proofErr w:type="spellStart"/>
      <w:r w:rsidRPr="00A45996">
        <w:rPr>
          <w:rFonts w:ascii="Arial" w:hAnsi="Arial" w:cs="Arial"/>
          <w:b/>
        </w:rPr>
        <w:t>melphalan</w:t>
      </w:r>
      <w:proofErr w:type="spellEnd"/>
      <w:r w:rsidRPr="00A45996">
        <w:rPr>
          <w:rFonts w:ascii="Arial" w:hAnsi="Arial" w:cs="Arial"/>
          <w:b/>
        </w:rPr>
        <w:t xml:space="preserve"> and prednisone for Patients with Previously Untreated Multiple Myeloma</w:t>
      </w:r>
    </w:p>
    <w:tbl>
      <w:tblPr>
        <w:tblW w:w="10008"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638"/>
        <w:gridCol w:w="638"/>
        <w:gridCol w:w="639"/>
        <w:gridCol w:w="639"/>
        <w:gridCol w:w="639"/>
        <w:gridCol w:w="707"/>
        <w:gridCol w:w="988"/>
        <w:gridCol w:w="707"/>
        <w:gridCol w:w="707"/>
        <w:gridCol w:w="707"/>
        <w:gridCol w:w="707"/>
        <w:gridCol w:w="954"/>
      </w:tblGrid>
      <w:tr w:rsidR="00326C73" w:rsidRPr="00A45996" w:rsidTr="00326C73">
        <w:trPr>
          <w:cantSplit/>
        </w:trPr>
        <w:tc>
          <w:tcPr>
            <w:tcW w:w="0" w:type="auto"/>
            <w:gridSpan w:val="13"/>
            <w:tcBorders>
              <w:top w:val="single" w:sz="12" w:space="0" w:color="auto"/>
              <w:left w:val="nil"/>
              <w:bottom w:val="single" w:sz="12" w:space="0" w:color="auto"/>
              <w:right w:val="nil"/>
            </w:tcBorders>
          </w:tcPr>
          <w:p w:rsidR="00326C73" w:rsidRPr="00A45996" w:rsidRDefault="00326C73" w:rsidP="00326C73">
            <w:pPr>
              <w:jc w:val="center"/>
              <w:rPr>
                <w:rFonts w:cs="Arial"/>
                <w:b/>
                <w:bCs/>
                <w:sz w:val="18"/>
              </w:rPr>
            </w:pPr>
            <w:r w:rsidRPr="00A45996">
              <w:rPr>
                <w:rFonts w:cs="Arial"/>
                <w:b/>
                <w:bCs/>
                <w:sz w:val="18"/>
              </w:rPr>
              <w:t>Twice Weekly VELCADE (Cycles 1-4)</w:t>
            </w:r>
          </w:p>
        </w:tc>
      </w:tr>
      <w:tr w:rsidR="00326C73" w:rsidRPr="00A45996" w:rsidTr="00326C73">
        <w:trPr>
          <w:cantSplit/>
        </w:trPr>
        <w:tc>
          <w:tcPr>
            <w:tcW w:w="0" w:type="auto"/>
            <w:tcBorders>
              <w:top w:val="single" w:sz="12" w:space="0" w:color="auto"/>
              <w:left w:val="nil"/>
            </w:tcBorders>
          </w:tcPr>
          <w:p w:rsidR="00326C73" w:rsidRPr="00A45996" w:rsidRDefault="00326C73" w:rsidP="00326C73">
            <w:pPr>
              <w:pStyle w:val="TableBody"/>
              <w:spacing w:before="40" w:after="40"/>
              <w:jc w:val="center"/>
              <w:rPr>
                <w:rFonts w:ascii="Arial" w:hAnsi="Arial" w:cs="Arial"/>
                <w:b/>
                <w:bCs/>
                <w:sz w:val="18"/>
              </w:rPr>
            </w:pPr>
            <w:r w:rsidRPr="00A45996">
              <w:rPr>
                <w:rFonts w:ascii="Arial" w:hAnsi="Arial" w:cs="Arial"/>
                <w:b/>
                <w:bCs/>
                <w:sz w:val="18"/>
              </w:rPr>
              <w:t>Week</w:t>
            </w:r>
          </w:p>
        </w:tc>
        <w:tc>
          <w:tcPr>
            <w:tcW w:w="0" w:type="auto"/>
            <w:gridSpan w:val="4"/>
            <w:tcBorders>
              <w:top w:val="single" w:sz="12" w:space="0" w:color="auto"/>
              <w:bottom w:val="single" w:sz="4" w:space="0" w:color="auto"/>
            </w:tcBorders>
          </w:tcPr>
          <w:p w:rsidR="00326C73" w:rsidRPr="00A45996" w:rsidRDefault="00326C73" w:rsidP="00326C73">
            <w:pPr>
              <w:pStyle w:val="TableHeadings"/>
              <w:keepNext w:val="0"/>
              <w:keepLines w:val="0"/>
              <w:widowControl/>
              <w:spacing w:before="0" w:after="0"/>
              <w:rPr>
                <w:rFonts w:ascii="Arial" w:hAnsi="Arial" w:cs="Arial"/>
                <w:bCs/>
                <w:snapToGrid/>
                <w:sz w:val="18"/>
                <w:szCs w:val="24"/>
              </w:rPr>
            </w:pPr>
            <w:r w:rsidRPr="00A45996">
              <w:rPr>
                <w:rFonts w:ascii="Arial" w:hAnsi="Arial" w:cs="Arial"/>
                <w:bCs/>
                <w:snapToGrid/>
                <w:sz w:val="18"/>
                <w:szCs w:val="24"/>
              </w:rPr>
              <w:t>1</w:t>
            </w:r>
          </w:p>
        </w:tc>
        <w:tc>
          <w:tcPr>
            <w:tcW w:w="0" w:type="auto"/>
            <w:gridSpan w:val="2"/>
            <w:tcBorders>
              <w:top w:val="single" w:sz="12" w:space="0" w:color="auto"/>
              <w:bottom w:val="single" w:sz="4" w:space="0" w:color="auto"/>
            </w:tcBorders>
          </w:tcPr>
          <w:p w:rsidR="00326C73" w:rsidRPr="00A45996" w:rsidRDefault="00326C73" w:rsidP="00326C73">
            <w:pPr>
              <w:jc w:val="center"/>
              <w:rPr>
                <w:rFonts w:cs="Arial"/>
                <w:b/>
                <w:bCs/>
                <w:sz w:val="18"/>
              </w:rPr>
            </w:pPr>
            <w:r w:rsidRPr="00A45996">
              <w:rPr>
                <w:rFonts w:cs="Arial"/>
                <w:b/>
                <w:bCs/>
                <w:sz w:val="18"/>
              </w:rPr>
              <w:t>2</w:t>
            </w:r>
          </w:p>
        </w:tc>
        <w:tc>
          <w:tcPr>
            <w:tcW w:w="0" w:type="auto"/>
            <w:tcBorders>
              <w:top w:val="single" w:sz="12" w:space="0" w:color="auto"/>
              <w:bottom w:val="single" w:sz="4" w:space="0" w:color="auto"/>
            </w:tcBorders>
          </w:tcPr>
          <w:p w:rsidR="00326C73" w:rsidRPr="00A45996" w:rsidRDefault="00326C73" w:rsidP="00326C73">
            <w:pPr>
              <w:jc w:val="center"/>
              <w:rPr>
                <w:rFonts w:cs="Arial"/>
                <w:b/>
                <w:bCs/>
                <w:sz w:val="18"/>
              </w:rPr>
            </w:pPr>
            <w:r w:rsidRPr="00A45996">
              <w:rPr>
                <w:rFonts w:cs="Arial"/>
                <w:b/>
                <w:bCs/>
                <w:sz w:val="18"/>
              </w:rPr>
              <w:t>3</w:t>
            </w:r>
          </w:p>
        </w:tc>
        <w:tc>
          <w:tcPr>
            <w:tcW w:w="0" w:type="auto"/>
            <w:gridSpan w:val="2"/>
            <w:tcBorders>
              <w:top w:val="single" w:sz="12" w:space="0" w:color="auto"/>
              <w:bottom w:val="single" w:sz="4" w:space="0" w:color="auto"/>
            </w:tcBorders>
          </w:tcPr>
          <w:p w:rsidR="00326C73" w:rsidRPr="00A45996" w:rsidRDefault="00326C73" w:rsidP="00326C73">
            <w:pPr>
              <w:jc w:val="center"/>
              <w:rPr>
                <w:rFonts w:cs="Arial"/>
                <w:b/>
                <w:bCs/>
                <w:sz w:val="18"/>
              </w:rPr>
            </w:pPr>
            <w:r w:rsidRPr="00A45996">
              <w:rPr>
                <w:rFonts w:cs="Arial"/>
                <w:b/>
                <w:bCs/>
                <w:sz w:val="18"/>
              </w:rPr>
              <w:t>4</w:t>
            </w:r>
          </w:p>
        </w:tc>
        <w:tc>
          <w:tcPr>
            <w:tcW w:w="0" w:type="auto"/>
            <w:gridSpan w:val="2"/>
            <w:tcBorders>
              <w:top w:val="single" w:sz="12" w:space="0" w:color="auto"/>
              <w:bottom w:val="single" w:sz="4" w:space="0" w:color="auto"/>
            </w:tcBorders>
          </w:tcPr>
          <w:p w:rsidR="00326C73" w:rsidRPr="00A45996" w:rsidRDefault="00326C73" w:rsidP="00326C73">
            <w:pPr>
              <w:jc w:val="center"/>
              <w:rPr>
                <w:rFonts w:cs="Arial"/>
                <w:b/>
                <w:bCs/>
                <w:sz w:val="18"/>
              </w:rPr>
            </w:pPr>
            <w:r w:rsidRPr="00A45996">
              <w:rPr>
                <w:rFonts w:cs="Arial"/>
                <w:b/>
                <w:bCs/>
                <w:sz w:val="18"/>
              </w:rPr>
              <w:t>5</w:t>
            </w:r>
          </w:p>
        </w:tc>
        <w:tc>
          <w:tcPr>
            <w:tcW w:w="0" w:type="auto"/>
            <w:tcBorders>
              <w:top w:val="single" w:sz="12" w:space="0" w:color="auto"/>
              <w:bottom w:val="single" w:sz="4" w:space="0" w:color="auto"/>
              <w:right w:val="nil"/>
            </w:tcBorders>
          </w:tcPr>
          <w:p w:rsidR="00326C73" w:rsidRPr="00A45996" w:rsidRDefault="00326C73" w:rsidP="00326C73">
            <w:pPr>
              <w:jc w:val="center"/>
              <w:rPr>
                <w:rFonts w:cs="Arial"/>
                <w:b/>
                <w:bCs/>
                <w:sz w:val="18"/>
              </w:rPr>
            </w:pPr>
            <w:r w:rsidRPr="00A45996">
              <w:rPr>
                <w:rFonts w:cs="Arial"/>
                <w:b/>
                <w:bCs/>
                <w:sz w:val="18"/>
              </w:rPr>
              <w:t>6</w:t>
            </w:r>
          </w:p>
        </w:tc>
      </w:tr>
      <w:tr w:rsidR="00326C73" w:rsidRPr="00A45996" w:rsidTr="00326C73">
        <w:trPr>
          <w:cantSplit/>
        </w:trPr>
        <w:tc>
          <w:tcPr>
            <w:tcW w:w="0" w:type="auto"/>
            <w:tcBorders>
              <w:left w:val="nil"/>
            </w:tcBorders>
            <w:vAlign w:val="center"/>
          </w:tcPr>
          <w:p w:rsidR="00326C73" w:rsidRPr="00A45996" w:rsidRDefault="00326C73" w:rsidP="00326C73">
            <w:pPr>
              <w:pStyle w:val="TableBody"/>
              <w:spacing w:before="40" w:after="40"/>
              <w:jc w:val="center"/>
              <w:rPr>
                <w:rFonts w:ascii="Arial" w:hAnsi="Arial" w:cs="Arial"/>
                <w:sz w:val="18"/>
              </w:rPr>
            </w:pPr>
            <w:proofErr w:type="spellStart"/>
            <w:r w:rsidRPr="00A45996">
              <w:rPr>
                <w:rFonts w:ascii="Arial" w:hAnsi="Arial" w:cs="Arial"/>
                <w:sz w:val="18"/>
              </w:rPr>
              <w:t>Vc</w:t>
            </w:r>
            <w:proofErr w:type="spellEnd"/>
            <w:r w:rsidRPr="00A45996">
              <w:rPr>
                <w:rFonts w:ascii="Arial" w:hAnsi="Arial" w:cs="Arial"/>
                <w:sz w:val="18"/>
              </w:rPr>
              <w:t xml:space="preserve"> (1.3 mg/m</w:t>
            </w:r>
            <w:r w:rsidRPr="00A45996">
              <w:rPr>
                <w:rFonts w:ascii="Arial" w:hAnsi="Arial" w:cs="Arial"/>
                <w:sz w:val="18"/>
                <w:vertAlign w:val="superscript"/>
              </w:rPr>
              <w:t>2</w:t>
            </w:r>
            <w:r w:rsidRPr="00A45996">
              <w:rPr>
                <w:rFonts w:ascii="Arial" w:hAnsi="Arial" w:cs="Arial"/>
                <w:sz w:val="18"/>
              </w:rPr>
              <w:t>)</w:t>
            </w:r>
          </w:p>
        </w:tc>
        <w:tc>
          <w:tcPr>
            <w:tcW w:w="0" w:type="auto"/>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Day 1</w:t>
            </w:r>
          </w:p>
        </w:tc>
        <w:tc>
          <w:tcPr>
            <w:tcW w:w="0" w:type="auto"/>
            <w:tcBorders>
              <w:left w:val="nil"/>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left w:val="nil"/>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left w:val="nil"/>
              <w:bottom w:val="single" w:sz="4" w:space="0" w:color="auto"/>
            </w:tcBorders>
          </w:tcPr>
          <w:p w:rsidR="00326C73" w:rsidRPr="00A45996" w:rsidRDefault="00326C73" w:rsidP="00326C73">
            <w:pPr>
              <w:jc w:val="center"/>
              <w:rPr>
                <w:rFonts w:cs="Arial"/>
                <w:sz w:val="18"/>
              </w:rPr>
            </w:pPr>
            <w:r w:rsidRPr="00A45996">
              <w:rPr>
                <w:rFonts w:cs="Arial"/>
                <w:sz w:val="18"/>
              </w:rPr>
              <w:t>Day 4</w:t>
            </w:r>
          </w:p>
        </w:tc>
        <w:tc>
          <w:tcPr>
            <w:tcW w:w="0" w:type="auto"/>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Day 8</w:t>
            </w:r>
          </w:p>
        </w:tc>
        <w:tc>
          <w:tcPr>
            <w:tcW w:w="0" w:type="auto"/>
            <w:tcBorders>
              <w:left w:val="nil"/>
              <w:bottom w:val="single" w:sz="4" w:space="0" w:color="auto"/>
            </w:tcBorders>
          </w:tcPr>
          <w:p w:rsidR="00326C73" w:rsidRPr="00A45996" w:rsidRDefault="00326C73" w:rsidP="00326C73">
            <w:pPr>
              <w:jc w:val="center"/>
              <w:rPr>
                <w:rFonts w:cs="Arial"/>
                <w:sz w:val="18"/>
              </w:rPr>
            </w:pPr>
            <w:r w:rsidRPr="00A45996">
              <w:rPr>
                <w:rFonts w:cs="Arial"/>
                <w:sz w:val="18"/>
              </w:rPr>
              <w:t>Day 11</w:t>
            </w:r>
          </w:p>
        </w:tc>
        <w:tc>
          <w:tcPr>
            <w:tcW w:w="0" w:type="auto"/>
            <w:tcBorders>
              <w:bottom w:val="single" w:sz="4" w:space="0" w:color="auto"/>
            </w:tcBorders>
          </w:tcPr>
          <w:p w:rsidR="00326C73" w:rsidRPr="00A45996" w:rsidRDefault="00326C73" w:rsidP="00326C73">
            <w:pPr>
              <w:jc w:val="center"/>
              <w:rPr>
                <w:rFonts w:cs="Arial"/>
                <w:sz w:val="18"/>
              </w:rPr>
            </w:pPr>
            <w:r w:rsidRPr="00A45996">
              <w:rPr>
                <w:rFonts w:cs="Arial"/>
                <w:sz w:val="18"/>
              </w:rPr>
              <w:t>rest period</w:t>
            </w:r>
          </w:p>
        </w:tc>
        <w:tc>
          <w:tcPr>
            <w:tcW w:w="0" w:type="auto"/>
            <w:tcBorders>
              <w:bottom w:val="single" w:sz="4" w:space="0" w:color="auto"/>
              <w:right w:val="nil"/>
            </w:tcBorders>
          </w:tcPr>
          <w:p w:rsidR="00326C73" w:rsidRPr="00A45996" w:rsidRDefault="00326C73" w:rsidP="00326C73">
            <w:pPr>
              <w:rPr>
                <w:rFonts w:cs="Arial"/>
                <w:sz w:val="18"/>
              </w:rPr>
            </w:pPr>
            <w:r w:rsidRPr="00A45996">
              <w:rPr>
                <w:rFonts w:cs="Arial"/>
                <w:sz w:val="18"/>
              </w:rPr>
              <w:t>Day 22</w:t>
            </w:r>
          </w:p>
        </w:tc>
        <w:tc>
          <w:tcPr>
            <w:tcW w:w="0" w:type="auto"/>
            <w:tcBorders>
              <w:left w:val="nil"/>
              <w:bottom w:val="single" w:sz="4" w:space="0" w:color="auto"/>
            </w:tcBorders>
          </w:tcPr>
          <w:p w:rsidR="00326C73" w:rsidRPr="00A45996" w:rsidRDefault="00326C73" w:rsidP="00326C73">
            <w:pPr>
              <w:rPr>
                <w:rFonts w:cs="Arial"/>
                <w:sz w:val="18"/>
              </w:rPr>
            </w:pPr>
            <w:r w:rsidRPr="00A45996">
              <w:rPr>
                <w:rFonts w:cs="Arial"/>
                <w:sz w:val="18"/>
              </w:rPr>
              <w:t>Day 25</w:t>
            </w:r>
          </w:p>
        </w:tc>
        <w:tc>
          <w:tcPr>
            <w:tcW w:w="0" w:type="auto"/>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Day 29</w:t>
            </w:r>
          </w:p>
        </w:tc>
        <w:tc>
          <w:tcPr>
            <w:tcW w:w="0" w:type="auto"/>
            <w:tcBorders>
              <w:left w:val="nil"/>
              <w:bottom w:val="single" w:sz="4" w:space="0" w:color="auto"/>
            </w:tcBorders>
          </w:tcPr>
          <w:p w:rsidR="00326C73" w:rsidRPr="00A45996" w:rsidRDefault="00326C73" w:rsidP="00326C73">
            <w:pPr>
              <w:jc w:val="center"/>
              <w:rPr>
                <w:rFonts w:cs="Arial"/>
                <w:sz w:val="18"/>
              </w:rPr>
            </w:pPr>
            <w:r w:rsidRPr="00A45996">
              <w:rPr>
                <w:rFonts w:cs="Arial"/>
                <w:sz w:val="18"/>
              </w:rPr>
              <w:t>Day 32</w:t>
            </w:r>
          </w:p>
        </w:tc>
        <w:tc>
          <w:tcPr>
            <w:tcW w:w="0" w:type="auto"/>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rest period</w:t>
            </w:r>
          </w:p>
        </w:tc>
      </w:tr>
      <w:tr w:rsidR="00326C73" w:rsidRPr="00A45996" w:rsidTr="00326C73">
        <w:trPr>
          <w:cantSplit/>
        </w:trPr>
        <w:tc>
          <w:tcPr>
            <w:tcW w:w="0" w:type="auto"/>
            <w:tcBorders>
              <w:left w:val="nil"/>
              <w:bottom w:val="single" w:sz="12" w:space="0" w:color="auto"/>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m(9 mg/m</w:t>
            </w:r>
            <w:r w:rsidRPr="00A45996">
              <w:rPr>
                <w:rFonts w:ascii="Arial" w:hAnsi="Arial" w:cs="Arial"/>
                <w:sz w:val="18"/>
                <w:vertAlign w:val="superscript"/>
              </w:rPr>
              <w:t>2</w:t>
            </w:r>
            <w:r w:rsidRPr="00A45996">
              <w:rPr>
                <w:rFonts w:ascii="Arial" w:hAnsi="Arial" w:cs="Arial"/>
                <w:sz w:val="18"/>
              </w:rPr>
              <w:t>)</w:t>
            </w:r>
          </w:p>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p(60 mg/m</w:t>
            </w:r>
            <w:r w:rsidRPr="00A45996">
              <w:rPr>
                <w:rFonts w:ascii="Arial" w:hAnsi="Arial" w:cs="Arial"/>
                <w:sz w:val="18"/>
                <w:vertAlign w:val="superscript"/>
              </w:rPr>
              <w:t>2)</w:t>
            </w:r>
          </w:p>
        </w:tc>
        <w:tc>
          <w:tcPr>
            <w:tcW w:w="0" w:type="auto"/>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Day 1</w:t>
            </w:r>
          </w:p>
        </w:tc>
        <w:tc>
          <w:tcPr>
            <w:tcW w:w="0" w:type="auto"/>
            <w:tcBorders>
              <w:top w:val="single" w:sz="4" w:space="0" w:color="auto"/>
              <w:left w:val="nil"/>
              <w:bottom w:val="single" w:sz="12" w:space="0" w:color="auto"/>
              <w:right w:val="nil"/>
            </w:tcBorders>
          </w:tcPr>
          <w:p w:rsidR="00326C73" w:rsidRPr="00A45996" w:rsidRDefault="00326C73" w:rsidP="00326C73">
            <w:pPr>
              <w:jc w:val="center"/>
              <w:rPr>
                <w:rFonts w:cs="Arial"/>
                <w:sz w:val="18"/>
              </w:rPr>
            </w:pPr>
            <w:r w:rsidRPr="00A45996">
              <w:rPr>
                <w:rFonts w:cs="Arial"/>
                <w:sz w:val="18"/>
              </w:rPr>
              <w:t>Day 2</w:t>
            </w:r>
          </w:p>
        </w:tc>
        <w:tc>
          <w:tcPr>
            <w:tcW w:w="0" w:type="auto"/>
            <w:tcBorders>
              <w:top w:val="single" w:sz="4" w:space="0" w:color="auto"/>
              <w:left w:val="nil"/>
              <w:bottom w:val="single" w:sz="12" w:space="0" w:color="auto"/>
              <w:right w:val="nil"/>
            </w:tcBorders>
          </w:tcPr>
          <w:p w:rsidR="00326C73" w:rsidRPr="00A45996" w:rsidRDefault="00326C73" w:rsidP="00326C73">
            <w:pPr>
              <w:jc w:val="center"/>
              <w:rPr>
                <w:rFonts w:cs="Arial"/>
                <w:sz w:val="18"/>
              </w:rPr>
            </w:pPr>
            <w:r w:rsidRPr="00A45996">
              <w:rPr>
                <w:rFonts w:cs="Arial"/>
                <w:sz w:val="18"/>
              </w:rPr>
              <w:t>Day 3</w:t>
            </w:r>
          </w:p>
        </w:tc>
        <w:tc>
          <w:tcPr>
            <w:tcW w:w="0" w:type="auto"/>
            <w:tcBorders>
              <w:top w:val="single" w:sz="4" w:space="0" w:color="auto"/>
              <w:left w:val="nil"/>
              <w:bottom w:val="single" w:sz="12" w:space="0" w:color="auto"/>
            </w:tcBorders>
          </w:tcPr>
          <w:p w:rsidR="00326C73" w:rsidRPr="00A45996" w:rsidRDefault="00326C73" w:rsidP="00326C73">
            <w:pPr>
              <w:jc w:val="center"/>
              <w:rPr>
                <w:rFonts w:cs="Arial"/>
                <w:sz w:val="18"/>
              </w:rPr>
            </w:pPr>
            <w:r w:rsidRPr="00A45996">
              <w:rPr>
                <w:rFonts w:cs="Arial"/>
                <w:sz w:val="18"/>
              </w:rPr>
              <w:t>Day 4</w:t>
            </w:r>
          </w:p>
        </w:tc>
        <w:tc>
          <w:tcPr>
            <w:tcW w:w="0" w:type="auto"/>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top w:val="single" w:sz="4" w:space="0" w:color="auto"/>
              <w:left w:val="nil"/>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0" w:type="auto"/>
            <w:tcBorders>
              <w:top w:val="single" w:sz="4" w:space="0" w:color="auto"/>
              <w:bottom w:val="single" w:sz="12" w:space="0" w:color="auto"/>
            </w:tcBorders>
          </w:tcPr>
          <w:p w:rsidR="00326C73" w:rsidRPr="00A45996" w:rsidRDefault="00326C73" w:rsidP="00326C73">
            <w:pPr>
              <w:jc w:val="center"/>
              <w:rPr>
                <w:rFonts w:cs="Arial"/>
                <w:sz w:val="18"/>
              </w:rPr>
            </w:pPr>
            <w:r w:rsidRPr="00A45996">
              <w:rPr>
                <w:rFonts w:cs="Arial"/>
                <w:sz w:val="18"/>
              </w:rPr>
              <w:t xml:space="preserve"> rest period</w:t>
            </w:r>
          </w:p>
        </w:tc>
        <w:tc>
          <w:tcPr>
            <w:tcW w:w="0" w:type="auto"/>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top w:val="single" w:sz="4" w:space="0" w:color="auto"/>
              <w:left w:val="nil"/>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0" w:type="auto"/>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top w:val="single" w:sz="4" w:space="0" w:color="auto"/>
              <w:left w:val="nil"/>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0" w:type="auto"/>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rest period</w:t>
            </w:r>
          </w:p>
        </w:tc>
      </w:tr>
    </w:tbl>
    <w:p w:rsidR="00326C73" w:rsidRPr="00A45996" w:rsidRDefault="00326C73" w:rsidP="00326C73">
      <w:pPr>
        <w:jc w:val="center"/>
        <w:rPr>
          <w:b/>
          <w:bCs/>
          <w:sz w:val="20"/>
        </w:rPr>
      </w:pPr>
    </w:p>
    <w:p w:rsidR="00DA1B27" w:rsidRPr="00A45996" w:rsidRDefault="00DA1B27" w:rsidP="00F511BE">
      <w:pPr>
        <w:rPr>
          <w:b/>
          <w:bCs/>
          <w:sz w:val="20"/>
        </w:rPr>
      </w:pPr>
    </w:p>
    <w:p w:rsidR="000B0FEE" w:rsidRPr="00A45996" w:rsidRDefault="000B0FEE" w:rsidP="00F511BE">
      <w:pPr>
        <w:rPr>
          <w:b/>
          <w:bCs/>
          <w:sz w:val="20"/>
        </w:rPr>
      </w:pPr>
    </w:p>
    <w:p w:rsidR="000B0FEE" w:rsidRPr="00A45996" w:rsidRDefault="000B0FEE" w:rsidP="00F511BE">
      <w:pPr>
        <w:rPr>
          <w:b/>
          <w:bCs/>
          <w:sz w:val="20"/>
        </w:rPr>
      </w:pPr>
    </w:p>
    <w:p w:rsidR="000B0FEE" w:rsidRPr="00A45996" w:rsidRDefault="000B0FEE" w:rsidP="00F511BE">
      <w:pPr>
        <w:rPr>
          <w:b/>
          <w:bCs/>
          <w:sz w:val="20"/>
        </w:rPr>
      </w:pPr>
    </w:p>
    <w:p w:rsidR="0088345F" w:rsidRPr="00A45996" w:rsidRDefault="0088345F" w:rsidP="00326C73">
      <w:pPr>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928"/>
        <w:gridCol w:w="841"/>
        <w:gridCol w:w="552"/>
        <w:gridCol w:w="552"/>
        <w:gridCol w:w="537"/>
        <w:gridCol w:w="1067"/>
        <w:gridCol w:w="728"/>
        <w:gridCol w:w="720"/>
        <w:gridCol w:w="1401"/>
      </w:tblGrid>
      <w:tr w:rsidR="00326C73" w:rsidRPr="00A45996" w:rsidTr="00326C73">
        <w:trPr>
          <w:cantSplit/>
        </w:trPr>
        <w:tc>
          <w:tcPr>
            <w:tcW w:w="0" w:type="auto"/>
            <w:gridSpan w:val="10"/>
            <w:tcBorders>
              <w:top w:val="single" w:sz="12" w:space="0" w:color="auto"/>
              <w:left w:val="nil"/>
              <w:bottom w:val="single" w:sz="12" w:space="0" w:color="auto"/>
              <w:right w:val="nil"/>
            </w:tcBorders>
            <w:vAlign w:val="center"/>
          </w:tcPr>
          <w:p w:rsidR="00326C73" w:rsidRPr="00A45996" w:rsidRDefault="00326C73" w:rsidP="00326C73">
            <w:pPr>
              <w:jc w:val="center"/>
              <w:rPr>
                <w:rFonts w:cs="Arial"/>
                <w:b/>
                <w:bCs/>
                <w:sz w:val="18"/>
              </w:rPr>
            </w:pPr>
            <w:r w:rsidRPr="00A45996">
              <w:rPr>
                <w:rFonts w:cs="Arial"/>
                <w:b/>
                <w:bCs/>
                <w:sz w:val="18"/>
              </w:rPr>
              <w:lastRenderedPageBreak/>
              <w:t xml:space="preserve"> Once Weekly  VELCADE (Cycles 5-9)</w:t>
            </w:r>
          </w:p>
        </w:tc>
      </w:tr>
      <w:tr w:rsidR="00326C73" w:rsidRPr="00A45996" w:rsidTr="00326C73">
        <w:trPr>
          <w:cantSplit/>
        </w:trPr>
        <w:tc>
          <w:tcPr>
            <w:tcW w:w="1368" w:type="dxa"/>
            <w:tcBorders>
              <w:top w:val="single" w:sz="12" w:space="0" w:color="auto"/>
              <w:left w:val="nil"/>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b/>
                <w:bCs/>
                <w:sz w:val="18"/>
              </w:rPr>
              <w:t>Week</w:t>
            </w:r>
          </w:p>
        </w:tc>
        <w:tc>
          <w:tcPr>
            <w:tcW w:w="2873" w:type="dxa"/>
            <w:gridSpan w:val="4"/>
            <w:tcBorders>
              <w:top w:val="single" w:sz="12" w:space="0" w:color="auto"/>
              <w:bottom w:val="single" w:sz="4" w:space="0" w:color="auto"/>
            </w:tcBorders>
          </w:tcPr>
          <w:p w:rsidR="00326C73" w:rsidRPr="00A45996" w:rsidRDefault="00326C73" w:rsidP="00326C73">
            <w:pPr>
              <w:jc w:val="center"/>
              <w:rPr>
                <w:rFonts w:cs="Arial"/>
                <w:sz w:val="18"/>
              </w:rPr>
            </w:pPr>
            <w:r w:rsidRPr="00A45996">
              <w:rPr>
                <w:rFonts w:cs="Arial"/>
                <w:b/>
                <w:bCs/>
                <w:sz w:val="18"/>
              </w:rPr>
              <w:t>1</w:t>
            </w:r>
          </w:p>
        </w:tc>
        <w:tc>
          <w:tcPr>
            <w:tcW w:w="0" w:type="auto"/>
            <w:tcBorders>
              <w:top w:val="single" w:sz="12" w:space="0" w:color="auto"/>
            </w:tcBorders>
          </w:tcPr>
          <w:p w:rsidR="00326C73" w:rsidRPr="00A45996" w:rsidRDefault="00326C73" w:rsidP="00326C73">
            <w:pPr>
              <w:jc w:val="center"/>
              <w:rPr>
                <w:rFonts w:cs="Arial"/>
                <w:sz w:val="18"/>
              </w:rPr>
            </w:pPr>
            <w:r w:rsidRPr="00A45996">
              <w:rPr>
                <w:rFonts w:cs="Arial"/>
                <w:b/>
                <w:bCs/>
                <w:sz w:val="18"/>
              </w:rPr>
              <w:t>2</w:t>
            </w:r>
          </w:p>
        </w:tc>
        <w:tc>
          <w:tcPr>
            <w:tcW w:w="0" w:type="auto"/>
            <w:tcBorders>
              <w:top w:val="single" w:sz="12" w:space="0" w:color="auto"/>
            </w:tcBorders>
          </w:tcPr>
          <w:p w:rsidR="00326C73" w:rsidRPr="00A45996" w:rsidRDefault="00326C73" w:rsidP="00326C73">
            <w:pPr>
              <w:jc w:val="center"/>
              <w:rPr>
                <w:rFonts w:cs="Arial"/>
                <w:b/>
                <w:bCs/>
                <w:sz w:val="18"/>
              </w:rPr>
            </w:pPr>
            <w:r w:rsidRPr="00A45996">
              <w:rPr>
                <w:rFonts w:cs="Arial"/>
                <w:b/>
                <w:bCs/>
                <w:sz w:val="18"/>
              </w:rPr>
              <w:t>3</w:t>
            </w:r>
          </w:p>
        </w:tc>
        <w:tc>
          <w:tcPr>
            <w:tcW w:w="728" w:type="dxa"/>
            <w:tcBorders>
              <w:top w:val="single" w:sz="12" w:space="0" w:color="auto"/>
            </w:tcBorders>
          </w:tcPr>
          <w:p w:rsidR="00326C73" w:rsidRPr="00A45996" w:rsidRDefault="00326C73" w:rsidP="00326C73">
            <w:pPr>
              <w:jc w:val="center"/>
              <w:rPr>
                <w:rFonts w:cs="Arial"/>
                <w:sz w:val="18"/>
              </w:rPr>
            </w:pPr>
            <w:r w:rsidRPr="00A45996">
              <w:rPr>
                <w:rFonts w:cs="Arial"/>
                <w:b/>
                <w:bCs/>
                <w:sz w:val="18"/>
              </w:rPr>
              <w:t>4</w:t>
            </w:r>
          </w:p>
        </w:tc>
        <w:tc>
          <w:tcPr>
            <w:tcW w:w="720" w:type="dxa"/>
            <w:tcBorders>
              <w:top w:val="single" w:sz="12" w:space="0" w:color="auto"/>
            </w:tcBorders>
          </w:tcPr>
          <w:p w:rsidR="00326C73" w:rsidRPr="00A45996" w:rsidRDefault="00326C73" w:rsidP="00326C73">
            <w:pPr>
              <w:jc w:val="center"/>
              <w:rPr>
                <w:rFonts w:cs="Arial"/>
                <w:sz w:val="18"/>
              </w:rPr>
            </w:pPr>
            <w:r w:rsidRPr="00A45996">
              <w:rPr>
                <w:rFonts w:cs="Arial"/>
                <w:b/>
                <w:bCs/>
                <w:sz w:val="18"/>
              </w:rPr>
              <w:t>5</w:t>
            </w:r>
          </w:p>
        </w:tc>
        <w:tc>
          <w:tcPr>
            <w:tcW w:w="1401" w:type="dxa"/>
            <w:tcBorders>
              <w:top w:val="single" w:sz="12" w:space="0" w:color="auto"/>
              <w:right w:val="nil"/>
            </w:tcBorders>
          </w:tcPr>
          <w:p w:rsidR="00326C73" w:rsidRPr="00A45996" w:rsidRDefault="00326C73" w:rsidP="00326C73">
            <w:pPr>
              <w:jc w:val="center"/>
              <w:rPr>
                <w:rFonts w:cs="Arial"/>
                <w:sz w:val="18"/>
              </w:rPr>
            </w:pPr>
            <w:r w:rsidRPr="00A45996">
              <w:rPr>
                <w:rFonts w:cs="Arial"/>
                <w:b/>
                <w:bCs/>
                <w:sz w:val="18"/>
              </w:rPr>
              <w:t>6</w:t>
            </w:r>
          </w:p>
        </w:tc>
      </w:tr>
      <w:tr w:rsidR="00326C73" w:rsidRPr="00A45996" w:rsidTr="00326C73">
        <w:trPr>
          <w:cantSplit/>
        </w:trPr>
        <w:tc>
          <w:tcPr>
            <w:tcW w:w="1368" w:type="dxa"/>
            <w:tcBorders>
              <w:left w:val="nil"/>
            </w:tcBorders>
            <w:vAlign w:val="center"/>
          </w:tcPr>
          <w:p w:rsidR="00326C73" w:rsidRPr="00A45996" w:rsidRDefault="00326C73" w:rsidP="00326C73">
            <w:pPr>
              <w:pStyle w:val="TableBody"/>
              <w:spacing w:before="40" w:after="40"/>
              <w:jc w:val="center"/>
              <w:rPr>
                <w:rFonts w:ascii="Arial" w:hAnsi="Arial" w:cs="Arial"/>
                <w:sz w:val="18"/>
              </w:rPr>
            </w:pPr>
            <w:proofErr w:type="spellStart"/>
            <w:r w:rsidRPr="00A45996">
              <w:rPr>
                <w:rFonts w:ascii="Arial" w:hAnsi="Arial" w:cs="Arial"/>
                <w:sz w:val="18"/>
              </w:rPr>
              <w:t>Vc</w:t>
            </w:r>
            <w:proofErr w:type="spellEnd"/>
            <w:r w:rsidRPr="00A45996">
              <w:rPr>
                <w:rFonts w:ascii="Arial" w:hAnsi="Arial" w:cs="Arial"/>
                <w:sz w:val="18"/>
              </w:rPr>
              <w:t xml:space="preserve"> (1.3 mg/m</w:t>
            </w:r>
            <w:r w:rsidRPr="00A45996">
              <w:rPr>
                <w:rFonts w:ascii="Arial" w:hAnsi="Arial" w:cs="Arial"/>
                <w:sz w:val="18"/>
                <w:vertAlign w:val="superscript"/>
              </w:rPr>
              <w:t>2)</w:t>
            </w:r>
          </w:p>
        </w:tc>
        <w:tc>
          <w:tcPr>
            <w:tcW w:w="903" w:type="dxa"/>
            <w:tcBorders>
              <w:bottom w:val="single" w:sz="4" w:space="0" w:color="auto"/>
              <w:right w:val="nil"/>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1</w:t>
            </w:r>
          </w:p>
        </w:tc>
        <w:tc>
          <w:tcPr>
            <w:tcW w:w="818" w:type="dxa"/>
            <w:tcBorders>
              <w:left w:val="nil"/>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left w:val="nil"/>
              <w:bottom w:val="single" w:sz="4" w:space="0" w:color="auto"/>
              <w:right w:val="nil"/>
            </w:tcBorders>
          </w:tcPr>
          <w:p w:rsidR="00326C73" w:rsidRPr="00A45996" w:rsidRDefault="00326C73" w:rsidP="00326C73">
            <w:pPr>
              <w:jc w:val="center"/>
              <w:rPr>
                <w:rFonts w:cs="Arial"/>
                <w:sz w:val="18"/>
              </w:rPr>
            </w:pPr>
            <w:r w:rsidRPr="00A45996">
              <w:rPr>
                <w:rFonts w:cs="Arial"/>
                <w:sz w:val="18"/>
              </w:rPr>
              <w:t>--</w:t>
            </w:r>
          </w:p>
        </w:tc>
        <w:tc>
          <w:tcPr>
            <w:tcW w:w="0" w:type="auto"/>
            <w:tcBorders>
              <w:left w:val="nil"/>
              <w:bottom w:val="single" w:sz="4" w:space="0" w:color="auto"/>
            </w:tcBorders>
          </w:tcPr>
          <w:p w:rsidR="00326C73" w:rsidRPr="00A45996" w:rsidRDefault="00326C73" w:rsidP="00326C73">
            <w:pPr>
              <w:jc w:val="center"/>
              <w:rPr>
                <w:rFonts w:cs="Arial"/>
                <w:sz w:val="18"/>
              </w:rPr>
            </w:pPr>
            <w:r w:rsidRPr="00A45996">
              <w:rPr>
                <w:rFonts w:cs="Arial"/>
                <w:sz w:val="18"/>
              </w:rPr>
              <w:t>--</w:t>
            </w:r>
          </w:p>
        </w:tc>
        <w:tc>
          <w:tcPr>
            <w:tcW w:w="0" w:type="auto"/>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8</w:t>
            </w:r>
          </w:p>
        </w:tc>
        <w:tc>
          <w:tcPr>
            <w:tcW w:w="0" w:type="auto"/>
          </w:tcPr>
          <w:p w:rsidR="00326C73" w:rsidRPr="00A45996" w:rsidRDefault="00326C73" w:rsidP="00326C73">
            <w:pPr>
              <w:jc w:val="center"/>
              <w:rPr>
                <w:rFonts w:cs="Arial"/>
                <w:sz w:val="18"/>
              </w:rPr>
            </w:pPr>
            <w:r w:rsidRPr="00A45996">
              <w:rPr>
                <w:rFonts w:cs="Arial"/>
                <w:sz w:val="18"/>
              </w:rPr>
              <w:t>rest period</w:t>
            </w:r>
          </w:p>
        </w:tc>
        <w:tc>
          <w:tcPr>
            <w:tcW w:w="728" w:type="dxa"/>
          </w:tcPr>
          <w:p w:rsidR="00326C73" w:rsidRPr="00A45996" w:rsidRDefault="00326C73" w:rsidP="00326C73">
            <w:pPr>
              <w:jc w:val="center"/>
              <w:rPr>
                <w:rFonts w:cs="Arial"/>
                <w:sz w:val="18"/>
              </w:rPr>
            </w:pPr>
            <w:r w:rsidRPr="00A45996">
              <w:rPr>
                <w:rFonts w:cs="Arial"/>
                <w:sz w:val="18"/>
              </w:rPr>
              <w:t>Day 22</w:t>
            </w:r>
          </w:p>
        </w:tc>
        <w:tc>
          <w:tcPr>
            <w:tcW w:w="720" w:type="dxa"/>
          </w:tcPr>
          <w:p w:rsidR="00326C73" w:rsidRPr="00A45996" w:rsidRDefault="00326C73" w:rsidP="00326C73">
            <w:pPr>
              <w:jc w:val="center"/>
              <w:rPr>
                <w:rFonts w:cs="Arial"/>
                <w:sz w:val="18"/>
              </w:rPr>
            </w:pPr>
            <w:r w:rsidRPr="00A45996">
              <w:rPr>
                <w:rFonts w:cs="Arial"/>
                <w:sz w:val="18"/>
              </w:rPr>
              <w:t>Day 29</w:t>
            </w:r>
          </w:p>
        </w:tc>
        <w:tc>
          <w:tcPr>
            <w:tcW w:w="1401" w:type="dxa"/>
            <w:tcBorders>
              <w:right w:val="nil"/>
            </w:tcBorders>
          </w:tcPr>
          <w:p w:rsidR="00326C73" w:rsidRPr="00A45996" w:rsidRDefault="00326C73" w:rsidP="00326C73">
            <w:pPr>
              <w:jc w:val="center"/>
              <w:rPr>
                <w:rFonts w:cs="Arial"/>
                <w:sz w:val="18"/>
              </w:rPr>
            </w:pPr>
            <w:r w:rsidRPr="00A45996">
              <w:rPr>
                <w:rFonts w:cs="Arial"/>
                <w:sz w:val="18"/>
              </w:rPr>
              <w:t>rest period</w:t>
            </w:r>
          </w:p>
        </w:tc>
      </w:tr>
      <w:tr w:rsidR="00326C73" w:rsidRPr="00A45996" w:rsidTr="00326C73">
        <w:trPr>
          <w:cantSplit/>
        </w:trPr>
        <w:tc>
          <w:tcPr>
            <w:tcW w:w="1368" w:type="dxa"/>
            <w:tcBorders>
              <w:left w:val="nil"/>
              <w:bottom w:val="single" w:sz="12" w:space="0" w:color="auto"/>
            </w:tcBorders>
            <w:vAlign w:val="center"/>
          </w:tcPr>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m (9 mg/m</w:t>
            </w:r>
            <w:r w:rsidRPr="00A45996">
              <w:rPr>
                <w:rFonts w:ascii="Arial" w:hAnsi="Arial" w:cs="Arial"/>
                <w:sz w:val="18"/>
                <w:vertAlign w:val="superscript"/>
              </w:rPr>
              <w:t>2</w:t>
            </w:r>
            <w:r w:rsidRPr="00A45996">
              <w:rPr>
                <w:rFonts w:ascii="Arial" w:hAnsi="Arial" w:cs="Arial"/>
                <w:sz w:val="18"/>
              </w:rPr>
              <w:t>)</w:t>
            </w:r>
          </w:p>
          <w:p w:rsidR="00326C73" w:rsidRPr="00A45996" w:rsidRDefault="00326C73" w:rsidP="00326C73">
            <w:pPr>
              <w:pStyle w:val="TableBody"/>
              <w:spacing w:before="40" w:after="40"/>
              <w:jc w:val="center"/>
              <w:rPr>
                <w:rFonts w:ascii="Arial" w:hAnsi="Arial" w:cs="Arial"/>
                <w:sz w:val="18"/>
              </w:rPr>
            </w:pPr>
            <w:r w:rsidRPr="00A45996">
              <w:rPr>
                <w:rFonts w:ascii="Arial" w:hAnsi="Arial" w:cs="Arial"/>
                <w:sz w:val="18"/>
              </w:rPr>
              <w:t>p (60 mg/m</w:t>
            </w:r>
            <w:r w:rsidRPr="00A45996">
              <w:rPr>
                <w:rFonts w:ascii="Arial" w:hAnsi="Arial" w:cs="Arial"/>
                <w:sz w:val="18"/>
                <w:vertAlign w:val="superscript"/>
              </w:rPr>
              <w:t>2</w:t>
            </w:r>
            <w:r w:rsidRPr="00A45996">
              <w:rPr>
                <w:rFonts w:ascii="Arial" w:hAnsi="Arial" w:cs="Arial"/>
                <w:sz w:val="18"/>
              </w:rPr>
              <w:t>)</w:t>
            </w:r>
          </w:p>
        </w:tc>
        <w:tc>
          <w:tcPr>
            <w:tcW w:w="903" w:type="dxa"/>
            <w:tcBorders>
              <w:top w:val="single" w:sz="4" w:space="0" w:color="auto"/>
              <w:bottom w:val="single" w:sz="12" w:space="0" w:color="auto"/>
              <w:right w:val="nil"/>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1</w:t>
            </w:r>
          </w:p>
        </w:tc>
        <w:tc>
          <w:tcPr>
            <w:tcW w:w="818" w:type="dxa"/>
            <w:tcBorders>
              <w:top w:val="single" w:sz="4" w:space="0" w:color="auto"/>
              <w:left w:val="nil"/>
              <w:bottom w:val="single" w:sz="12" w:space="0" w:color="auto"/>
              <w:right w:val="nil"/>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2</w:t>
            </w:r>
          </w:p>
        </w:tc>
        <w:tc>
          <w:tcPr>
            <w:tcW w:w="0" w:type="auto"/>
            <w:tcBorders>
              <w:top w:val="single" w:sz="4" w:space="0" w:color="auto"/>
              <w:left w:val="nil"/>
              <w:bottom w:val="single" w:sz="12" w:space="0" w:color="auto"/>
              <w:right w:val="nil"/>
            </w:tcBorders>
          </w:tcPr>
          <w:p w:rsidR="00326C73" w:rsidRPr="00A45996" w:rsidRDefault="00326C73" w:rsidP="00326C73">
            <w:pPr>
              <w:jc w:val="center"/>
              <w:rPr>
                <w:rFonts w:cs="Arial"/>
                <w:sz w:val="18"/>
              </w:rPr>
            </w:pPr>
            <w:r w:rsidRPr="00A45996">
              <w:rPr>
                <w:rFonts w:cs="Arial"/>
                <w:sz w:val="18"/>
              </w:rPr>
              <w:t>Day</w:t>
            </w:r>
          </w:p>
          <w:p w:rsidR="00326C73" w:rsidRPr="00A45996" w:rsidRDefault="00326C73" w:rsidP="00326C73">
            <w:pPr>
              <w:jc w:val="center"/>
              <w:rPr>
                <w:rFonts w:cs="Arial"/>
                <w:sz w:val="18"/>
              </w:rPr>
            </w:pPr>
            <w:r w:rsidRPr="00A45996">
              <w:rPr>
                <w:rFonts w:cs="Arial"/>
                <w:sz w:val="18"/>
              </w:rPr>
              <w:t xml:space="preserve"> 3</w:t>
            </w:r>
          </w:p>
        </w:tc>
        <w:tc>
          <w:tcPr>
            <w:tcW w:w="0" w:type="auto"/>
            <w:tcBorders>
              <w:top w:val="single" w:sz="4" w:space="0" w:color="auto"/>
              <w:left w:val="nil"/>
              <w:bottom w:val="single" w:sz="12" w:space="0" w:color="auto"/>
            </w:tcBorders>
          </w:tcPr>
          <w:p w:rsidR="00326C73" w:rsidRPr="00A45996" w:rsidRDefault="00326C73" w:rsidP="00326C73">
            <w:pPr>
              <w:jc w:val="center"/>
              <w:rPr>
                <w:rFonts w:cs="Arial"/>
                <w:sz w:val="18"/>
              </w:rPr>
            </w:pPr>
            <w:r w:rsidRPr="00A45996">
              <w:rPr>
                <w:rFonts w:cs="Arial"/>
                <w:sz w:val="18"/>
              </w:rPr>
              <w:t xml:space="preserve">Day </w:t>
            </w:r>
          </w:p>
          <w:p w:rsidR="00326C73" w:rsidRPr="00A45996" w:rsidRDefault="00326C73" w:rsidP="00326C73">
            <w:pPr>
              <w:jc w:val="center"/>
              <w:rPr>
                <w:rFonts w:cs="Arial"/>
                <w:sz w:val="18"/>
              </w:rPr>
            </w:pPr>
            <w:r w:rsidRPr="00A45996">
              <w:rPr>
                <w:rFonts w:cs="Arial"/>
                <w:sz w:val="18"/>
              </w:rPr>
              <w:t>4</w:t>
            </w:r>
          </w:p>
        </w:tc>
        <w:tc>
          <w:tcPr>
            <w:tcW w:w="0" w:type="auto"/>
            <w:tcBorders>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0" w:type="auto"/>
            <w:tcBorders>
              <w:bottom w:val="single" w:sz="12" w:space="0" w:color="auto"/>
            </w:tcBorders>
          </w:tcPr>
          <w:p w:rsidR="00326C73" w:rsidRPr="00A45996" w:rsidRDefault="00326C73" w:rsidP="00326C73">
            <w:pPr>
              <w:jc w:val="center"/>
              <w:rPr>
                <w:rFonts w:cs="Arial"/>
                <w:sz w:val="18"/>
              </w:rPr>
            </w:pPr>
            <w:r w:rsidRPr="00A45996">
              <w:rPr>
                <w:rFonts w:cs="Arial"/>
                <w:sz w:val="18"/>
              </w:rPr>
              <w:t>rest period</w:t>
            </w:r>
          </w:p>
        </w:tc>
        <w:tc>
          <w:tcPr>
            <w:tcW w:w="728" w:type="dxa"/>
            <w:tcBorders>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720" w:type="dxa"/>
            <w:tcBorders>
              <w:bottom w:val="single" w:sz="12" w:space="0" w:color="auto"/>
            </w:tcBorders>
          </w:tcPr>
          <w:p w:rsidR="00326C73" w:rsidRPr="00A45996" w:rsidRDefault="00326C73" w:rsidP="00326C73">
            <w:pPr>
              <w:jc w:val="center"/>
              <w:rPr>
                <w:rFonts w:cs="Arial"/>
                <w:sz w:val="18"/>
              </w:rPr>
            </w:pPr>
            <w:r w:rsidRPr="00A45996">
              <w:rPr>
                <w:rFonts w:cs="Arial"/>
                <w:sz w:val="18"/>
              </w:rPr>
              <w:t>--</w:t>
            </w:r>
          </w:p>
        </w:tc>
        <w:tc>
          <w:tcPr>
            <w:tcW w:w="1401" w:type="dxa"/>
            <w:tcBorders>
              <w:bottom w:val="single" w:sz="12" w:space="0" w:color="auto"/>
              <w:right w:val="nil"/>
            </w:tcBorders>
          </w:tcPr>
          <w:p w:rsidR="00326C73" w:rsidRPr="00A45996" w:rsidRDefault="00326C73" w:rsidP="00326C73">
            <w:pPr>
              <w:jc w:val="center"/>
              <w:rPr>
                <w:rFonts w:cs="Arial"/>
                <w:sz w:val="18"/>
              </w:rPr>
            </w:pPr>
            <w:r w:rsidRPr="00A45996">
              <w:rPr>
                <w:rFonts w:cs="Arial"/>
                <w:sz w:val="18"/>
              </w:rPr>
              <w:t xml:space="preserve">rest period </w:t>
            </w:r>
          </w:p>
        </w:tc>
      </w:tr>
    </w:tbl>
    <w:p w:rsidR="00326C73" w:rsidRPr="00A45996" w:rsidRDefault="00326C73" w:rsidP="00326C73">
      <w:pPr>
        <w:pStyle w:val="Caption"/>
        <w:rPr>
          <w:sz w:val="16"/>
          <w:szCs w:val="16"/>
        </w:rPr>
      </w:pPr>
      <w:proofErr w:type="spellStart"/>
      <w:proofErr w:type="gramStart"/>
      <w:r w:rsidRPr="00A45996">
        <w:rPr>
          <w:sz w:val="16"/>
          <w:szCs w:val="16"/>
        </w:rPr>
        <w:t>Vc</w:t>
      </w:r>
      <w:proofErr w:type="spellEnd"/>
      <w:proofErr w:type="gramEnd"/>
      <w:r w:rsidRPr="00A45996">
        <w:rPr>
          <w:sz w:val="16"/>
          <w:szCs w:val="16"/>
        </w:rPr>
        <w:t xml:space="preserve"> = VELCADE; m = </w:t>
      </w:r>
      <w:proofErr w:type="spellStart"/>
      <w:r w:rsidRPr="00A45996">
        <w:rPr>
          <w:sz w:val="16"/>
          <w:szCs w:val="16"/>
        </w:rPr>
        <w:t>melphalan</w:t>
      </w:r>
      <w:proofErr w:type="spellEnd"/>
      <w:r w:rsidRPr="00A45996">
        <w:rPr>
          <w:sz w:val="16"/>
          <w:szCs w:val="16"/>
        </w:rPr>
        <w:t>, p=prednisone</w:t>
      </w:r>
    </w:p>
    <w:p w:rsidR="00326C73" w:rsidRPr="00A45996" w:rsidRDefault="00326C73" w:rsidP="00326C73">
      <w:pPr>
        <w:rPr>
          <w:u w:val="single"/>
        </w:rPr>
      </w:pPr>
    </w:p>
    <w:p w:rsidR="00F511BE" w:rsidRPr="00A45996" w:rsidRDefault="00F511BE" w:rsidP="00326C73">
      <w:pPr>
        <w:pStyle w:val="Footer"/>
        <w:tabs>
          <w:tab w:val="clear" w:pos="4153"/>
          <w:tab w:val="clear" w:pos="8306"/>
        </w:tabs>
        <w:rPr>
          <w:b/>
          <w:bCs/>
          <w:sz w:val="24"/>
          <w:u w:val="single"/>
        </w:rPr>
      </w:pPr>
    </w:p>
    <w:p w:rsidR="00326C73" w:rsidRPr="00E07EDD" w:rsidRDefault="00326C73" w:rsidP="00326C73">
      <w:pPr>
        <w:pStyle w:val="Footer"/>
        <w:tabs>
          <w:tab w:val="clear" w:pos="4153"/>
          <w:tab w:val="clear" w:pos="8306"/>
        </w:tabs>
        <w:rPr>
          <w:bCs/>
          <w:sz w:val="22"/>
          <w:szCs w:val="22"/>
          <w:u w:val="single"/>
        </w:rPr>
      </w:pPr>
      <w:r w:rsidRPr="00E07EDD">
        <w:rPr>
          <w:bCs/>
          <w:sz w:val="22"/>
          <w:szCs w:val="22"/>
          <w:u w:val="single"/>
        </w:rPr>
        <w:t>Dose Management Guidelines</w:t>
      </w:r>
    </w:p>
    <w:p w:rsidR="00326C73" w:rsidRPr="00E07EDD" w:rsidRDefault="00326C73" w:rsidP="00326C73">
      <w:pPr>
        <w:pStyle w:val="BodyText"/>
        <w:rPr>
          <w:rFonts w:ascii="Arial" w:hAnsi="Arial" w:cs="Arial"/>
          <w:b w:val="0"/>
          <w:iCs/>
          <w:szCs w:val="24"/>
        </w:rPr>
      </w:pPr>
      <w:r w:rsidRPr="00E07EDD">
        <w:rPr>
          <w:rFonts w:ascii="Arial" w:hAnsi="Arial" w:cs="Arial"/>
          <w:b w:val="0"/>
          <w:iCs/>
          <w:szCs w:val="24"/>
        </w:rPr>
        <w:t xml:space="preserve">Dose modification and re-initiation of therapy when VELCADE is administered in combination with </w:t>
      </w:r>
      <w:proofErr w:type="spellStart"/>
      <w:r w:rsidRPr="00E07EDD">
        <w:rPr>
          <w:rFonts w:ascii="Arial" w:hAnsi="Arial" w:cs="Arial"/>
          <w:b w:val="0"/>
          <w:iCs/>
          <w:szCs w:val="24"/>
        </w:rPr>
        <w:t>melphalan</w:t>
      </w:r>
      <w:proofErr w:type="spellEnd"/>
      <w:r w:rsidRPr="00E07EDD">
        <w:rPr>
          <w:rFonts w:ascii="Arial" w:hAnsi="Arial" w:cs="Arial"/>
          <w:b w:val="0"/>
          <w:iCs/>
          <w:szCs w:val="24"/>
        </w:rPr>
        <w:t xml:space="preserve"> and prednisone</w:t>
      </w:r>
    </w:p>
    <w:p w:rsidR="00326C73" w:rsidRPr="00A45996" w:rsidRDefault="00326C73" w:rsidP="00326C73">
      <w:pPr>
        <w:rPr>
          <w:rFonts w:cs="Arial"/>
          <w:sz w:val="22"/>
          <w:u w:val="single"/>
        </w:rPr>
      </w:pPr>
    </w:p>
    <w:p w:rsidR="00326C73" w:rsidRPr="00A45996" w:rsidRDefault="00326C73" w:rsidP="00326C73">
      <w:pPr>
        <w:rPr>
          <w:rFonts w:cs="Arial"/>
          <w:sz w:val="22"/>
        </w:rPr>
      </w:pPr>
      <w:r w:rsidRPr="00A45996">
        <w:rPr>
          <w:rFonts w:cs="Arial"/>
          <w:sz w:val="22"/>
        </w:rPr>
        <w:t>Prior to initiating a new cycle of therapy:</w:t>
      </w:r>
    </w:p>
    <w:p w:rsidR="00326C73" w:rsidRPr="00A45996" w:rsidRDefault="00326C73" w:rsidP="00326C73">
      <w:pPr>
        <w:numPr>
          <w:ilvl w:val="0"/>
          <w:numId w:val="6"/>
        </w:numPr>
        <w:rPr>
          <w:rFonts w:cs="Arial"/>
          <w:sz w:val="22"/>
        </w:rPr>
      </w:pPr>
      <w:r w:rsidRPr="00A45996">
        <w:rPr>
          <w:rFonts w:cs="Arial"/>
          <w:sz w:val="22"/>
        </w:rPr>
        <w:t>Platelet count should be ≥70 x 10</w:t>
      </w:r>
      <w:r w:rsidRPr="00A45996">
        <w:rPr>
          <w:rFonts w:cs="Arial"/>
          <w:sz w:val="22"/>
          <w:vertAlign w:val="superscript"/>
        </w:rPr>
        <w:t>9</w:t>
      </w:r>
      <w:r w:rsidRPr="00A45996">
        <w:rPr>
          <w:rFonts w:cs="Arial"/>
          <w:sz w:val="22"/>
        </w:rPr>
        <w:t>/L and the ANC should be ≥ 1.0 x 10</w:t>
      </w:r>
      <w:r w:rsidRPr="00A45996">
        <w:rPr>
          <w:rFonts w:cs="Arial"/>
          <w:sz w:val="22"/>
          <w:vertAlign w:val="superscript"/>
        </w:rPr>
        <w:t>9</w:t>
      </w:r>
      <w:r w:rsidRPr="00A45996">
        <w:rPr>
          <w:rFonts w:cs="Arial"/>
          <w:sz w:val="22"/>
        </w:rPr>
        <w:t xml:space="preserve">/L </w:t>
      </w:r>
    </w:p>
    <w:p w:rsidR="00326C73" w:rsidRPr="00A45996" w:rsidRDefault="00326C73" w:rsidP="00326C73">
      <w:pPr>
        <w:numPr>
          <w:ilvl w:val="0"/>
          <w:numId w:val="6"/>
        </w:numPr>
        <w:rPr>
          <w:rFonts w:cs="Arial"/>
          <w:sz w:val="22"/>
        </w:rPr>
      </w:pPr>
      <w:r w:rsidRPr="00A45996">
        <w:rPr>
          <w:rFonts w:cs="Arial"/>
          <w:sz w:val="22"/>
        </w:rPr>
        <w:t>Non-</w:t>
      </w:r>
      <w:proofErr w:type="spellStart"/>
      <w:r w:rsidRPr="00A45996">
        <w:rPr>
          <w:rFonts w:cs="Arial"/>
          <w:sz w:val="22"/>
        </w:rPr>
        <w:t>hematological</w:t>
      </w:r>
      <w:proofErr w:type="spellEnd"/>
      <w:r w:rsidRPr="00A45996">
        <w:rPr>
          <w:rFonts w:cs="Arial"/>
          <w:sz w:val="22"/>
        </w:rPr>
        <w:t xml:space="preserve"> toxicities should have resolved to Grade 1 or baseline</w:t>
      </w:r>
    </w:p>
    <w:p w:rsidR="00326C73" w:rsidRPr="00A45996" w:rsidRDefault="00326C73" w:rsidP="00326C73">
      <w:pPr>
        <w:pStyle w:val="BodyText"/>
        <w:rPr>
          <w:rFonts w:ascii="Arial" w:hAnsi="Arial" w:cs="Arial"/>
          <w:i w:val="0"/>
          <w:iCs/>
          <w:sz w:val="20"/>
        </w:rPr>
      </w:pPr>
    </w:p>
    <w:p w:rsidR="00326C73" w:rsidRPr="00A45996" w:rsidRDefault="00326C73" w:rsidP="00326C73">
      <w:pPr>
        <w:pStyle w:val="BodyText"/>
        <w:rPr>
          <w:rFonts w:ascii="Arial" w:hAnsi="Arial" w:cs="Arial"/>
          <w:i w:val="0"/>
          <w:iCs/>
          <w:sz w:val="20"/>
        </w:rPr>
      </w:pPr>
      <w:r w:rsidRPr="00A45996">
        <w:rPr>
          <w:rFonts w:ascii="Arial" w:hAnsi="Arial" w:cs="Arial"/>
          <w:i w:val="0"/>
          <w:iCs/>
          <w:sz w:val="20"/>
        </w:rPr>
        <w:t xml:space="preserve">Table </w:t>
      </w:r>
      <w:r w:rsidR="0092571C" w:rsidRPr="00A45996">
        <w:rPr>
          <w:rFonts w:ascii="Arial" w:hAnsi="Arial" w:cs="Arial"/>
          <w:i w:val="0"/>
          <w:iCs/>
          <w:sz w:val="20"/>
        </w:rPr>
        <w:t>2</w:t>
      </w:r>
      <w:r w:rsidR="00D44639" w:rsidRPr="00A45996">
        <w:rPr>
          <w:rFonts w:ascii="Arial" w:hAnsi="Arial" w:cs="Arial"/>
          <w:i w:val="0"/>
          <w:iCs/>
          <w:sz w:val="20"/>
        </w:rPr>
        <w:t>3</w:t>
      </w:r>
      <w:r w:rsidRPr="00A45996">
        <w:rPr>
          <w:rFonts w:ascii="Arial" w:hAnsi="Arial" w:cs="Arial"/>
          <w:i w:val="0"/>
          <w:iCs/>
          <w:sz w:val="20"/>
        </w:rPr>
        <w:t xml:space="preserve">: Dose Modifications during Subsequent Cycles: </w:t>
      </w:r>
    </w:p>
    <w:p w:rsidR="00326C73" w:rsidRPr="00A45996" w:rsidRDefault="00326C73" w:rsidP="00326C73">
      <w:pPr>
        <w:pStyle w:val="BodyText"/>
        <w:rPr>
          <w:rFonts w:ascii="Arial" w:hAnsi="Arial" w:cs="Arial"/>
          <w:i w:val="0"/>
          <w:iCs/>
          <w:sz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4734"/>
      </w:tblGrid>
      <w:tr w:rsidR="00326C73" w:rsidRPr="00A45996" w:rsidTr="00326C73">
        <w:tc>
          <w:tcPr>
            <w:tcW w:w="4734" w:type="dxa"/>
          </w:tcPr>
          <w:p w:rsidR="00326C73" w:rsidRPr="00A45996" w:rsidRDefault="00326C73" w:rsidP="00326C73">
            <w:pPr>
              <w:rPr>
                <w:rFonts w:cs="Arial"/>
                <w:b/>
                <w:bCs/>
                <w:sz w:val="18"/>
              </w:rPr>
            </w:pPr>
            <w:r w:rsidRPr="00A45996">
              <w:rPr>
                <w:rFonts w:cs="Arial"/>
                <w:b/>
                <w:bCs/>
                <w:sz w:val="18"/>
              </w:rPr>
              <w:t xml:space="preserve">Toxicity </w:t>
            </w:r>
          </w:p>
        </w:tc>
        <w:tc>
          <w:tcPr>
            <w:tcW w:w="4734" w:type="dxa"/>
          </w:tcPr>
          <w:p w:rsidR="00326C73" w:rsidRPr="00A45996" w:rsidRDefault="00326C73" w:rsidP="00326C73">
            <w:pPr>
              <w:rPr>
                <w:rFonts w:cs="Arial"/>
                <w:b/>
                <w:bCs/>
                <w:sz w:val="18"/>
              </w:rPr>
            </w:pPr>
            <w:r w:rsidRPr="00A45996">
              <w:rPr>
                <w:rFonts w:cs="Arial"/>
                <w:b/>
                <w:bCs/>
                <w:sz w:val="18"/>
              </w:rPr>
              <w:t>Dose modification or delay</w:t>
            </w:r>
          </w:p>
          <w:p w:rsidR="00326C73" w:rsidRPr="00A45996" w:rsidRDefault="00326C73" w:rsidP="00326C73">
            <w:pPr>
              <w:rPr>
                <w:rFonts w:cs="Arial"/>
                <w:b/>
                <w:bCs/>
                <w:sz w:val="18"/>
              </w:rPr>
            </w:pPr>
          </w:p>
        </w:tc>
      </w:tr>
      <w:tr w:rsidR="00326C73" w:rsidRPr="00A45996" w:rsidTr="00326C73">
        <w:tc>
          <w:tcPr>
            <w:tcW w:w="4734" w:type="dxa"/>
          </w:tcPr>
          <w:p w:rsidR="00326C73" w:rsidRPr="00A45996" w:rsidRDefault="00326C73" w:rsidP="00326C73">
            <w:pPr>
              <w:pStyle w:val="DashIndent3"/>
              <w:ind w:left="288"/>
              <w:jc w:val="left"/>
              <w:rPr>
                <w:rFonts w:ascii="Arial" w:hAnsi="Arial" w:cs="Arial"/>
                <w:b/>
                <w:bCs/>
                <w:sz w:val="18"/>
                <w:lang w:val="en-GB"/>
              </w:rPr>
            </w:pPr>
            <w:proofErr w:type="spellStart"/>
            <w:r w:rsidRPr="00A45996">
              <w:rPr>
                <w:rFonts w:ascii="Arial" w:hAnsi="Arial" w:cs="Arial"/>
                <w:b/>
                <w:bCs/>
                <w:sz w:val="18"/>
              </w:rPr>
              <w:t>Haematological</w:t>
            </w:r>
            <w:proofErr w:type="spellEnd"/>
            <w:r w:rsidRPr="00A45996">
              <w:rPr>
                <w:rFonts w:ascii="Arial" w:hAnsi="Arial" w:cs="Arial"/>
                <w:b/>
                <w:bCs/>
                <w:sz w:val="18"/>
              </w:rPr>
              <w:t xml:space="preserve"> toxicity during a cycle:</w:t>
            </w:r>
          </w:p>
        </w:tc>
        <w:tc>
          <w:tcPr>
            <w:tcW w:w="4734" w:type="dxa"/>
          </w:tcPr>
          <w:p w:rsidR="00326C73" w:rsidRPr="00A45996" w:rsidRDefault="00326C73" w:rsidP="00326C73">
            <w:pPr>
              <w:rPr>
                <w:rFonts w:cs="Arial"/>
                <w:sz w:val="18"/>
              </w:rPr>
            </w:pPr>
          </w:p>
        </w:tc>
      </w:tr>
      <w:tr w:rsidR="00326C73" w:rsidRPr="00A45996" w:rsidTr="00326C73">
        <w:tc>
          <w:tcPr>
            <w:tcW w:w="4734" w:type="dxa"/>
          </w:tcPr>
          <w:p w:rsidR="00326C73" w:rsidRPr="00A45996" w:rsidRDefault="00326C73" w:rsidP="00326C73">
            <w:pPr>
              <w:pStyle w:val="DashIndent3"/>
              <w:numPr>
                <w:ilvl w:val="0"/>
                <w:numId w:val="5"/>
              </w:numPr>
              <w:jc w:val="left"/>
              <w:rPr>
                <w:rFonts w:ascii="Arial" w:hAnsi="Arial" w:cs="Arial"/>
                <w:sz w:val="18"/>
              </w:rPr>
            </w:pPr>
            <w:r w:rsidRPr="00A45996">
              <w:rPr>
                <w:rFonts w:ascii="Arial" w:hAnsi="Arial" w:cs="Arial"/>
                <w:sz w:val="18"/>
                <w:lang w:val="en-GB"/>
              </w:rPr>
              <w:t>If prolonged Grade 4 neutropenia or thrombocytopenia, or thrombocytopenia with bleeding is observed in the previous cycle</w:t>
            </w:r>
          </w:p>
        </w:tc>
        <w:tc>
          <w:tcPr>
            <w:tcW w:w="4734" w:type="dxa"/>
          </w:tcPr>
          <w:p w:rsidR="00326C73" w:rsidRPr="00A45996" w:rsidRDefault="00326C73" w:rsidP="00326C73">
            <w:pPr>
              <w:rPr>
                <w:rFonts w:cs="Arial"/>
                <w:sz w:val="18"/>
              </w:rPr>
            </w:pPr>
            <w:r w:rsidRPr="00A45996">
              <w:rPr>
                <w:rFonts w:cs="Arial"/>
                <w:sz w:val="18"/>
              </w:rPr>
              <w:t xml:space="preserve">Consider reduction of the </w:t>
            </w:r>
            <w:proofErr w:type="spellStart"/>
            <w:r w:rsidRPr="00A45996">
              <w:rPr>
                <w:rFonts w:cs="Arial"/>
                <w:sz w:val="18"/>
              </w:rPr>
              <w:t>melphalan</w:t>
            </w:r>
            <w:proofErr w:type="spellEnd"/>
            <w:r w:rsidRPr="00A45996">
              <w:rPr>
                <w:rFonts w:cs="Arial"/>
                <w:sz w:val="18"/>
              </w:rPr>
              <w:t xml:space="preserve"> dose by 25% in the next cycle. </w:t>
            </w:r>
          </w:p>
        </w:tc>
      </w:tr>
      <w:tr w:rsidR="00326C73" w:rsidRPr="00A45996" w:rsidTr="00326C73">
        <w:tc>
          <w:tcPr>
            <w:tcW w:w="4734" w:type="dxa"/>
          </w:tcPr>
          <w:p w:rsidR="00326C73" w:rsidRPr="00A45996" w:rsidRDefault="00326C73" w:rsidP="00326C73">
            <w:pPr>
              <w:pStyle w:val="DashIndent3"/>
              <w:numPr>
                <w:ilvl w:val="0"/>
                <w:numId w:val="4"/>
              </w:numPr>
              <w:tabs>
                <w:tab w:val="clear" w:pos="1714"/>
                <w:tab w:val="left" w:pos="360"/>
              </w:tabs>
              <w:rPr>
                <w:rFonts w:ascii="Arial" w:hAnsi="Arial" w:cs="Arial"/>
                <w:sz w:val="18"/>
                <w:lang w:val="en-GB"/>
              </w:rPr>
            </w:pPr>
            <w:r w:rsidRPr="00A45996">
              <w:rPr>
                <w:rFonts w:ascii="Arial" w:hAnsi="Arial" w:cs="Arial"/>
                <w:sz w:val="18"/>
                <w:lang w:val="en-GB"/>
              </w:rPr>
              <w:t xml:space="preserve">If platelet count </w:t>
            </w:r>
            <w:r w:rsidRPr="00A45996">
              <w:rPr>
                <w:rFonts w:ascii="Arial" w:hAnsi="Arial" w:cs="Arial"/>
                <w:sz w:val="18"/>
                <w:lang w:val="en-GB"/>
              </w:rPr>
              <w:sym w:font="Symbol" w:char="F0A3"/>
            </w:r>
            <w:r w:rsidRPr="00A45996">
              <w:rPr>
                <w:rFonts w:ascii="Arial" w:hAnsi="Arial" w:cs="Arial"/>
                <w:sz w:val="18"/>
                <w:lang w:val="en-GB"/>
              </w:rPr>
              <w:t>30 </w:t>
            </w:r>
            <w:r w:rsidRPr="00A45996">
              <w:rPr>
                <w:rFonts w:ascii="Arial" w:hAnsi="Arial" w:cs="Arial"/>
                <w:sz w:val="18"/>
                <w:lang w:val="en-GB"/>
              </w:rPr>
              <w:sym w:font="Symbol" w:char="F0B4"/>
            </w:r>
            <w:r w:rsidRPr="00A45996">
              <w:rPr>
                <w:rFonts w:ascii="Arial" w:hAnsi="Arial" w:cs="Arial"/>
                <w:sz w:val="18"/>
                <w:lang w:val="en-GB"/>
              </w:rPr>
              <w:t> 10</w:t>
            </w:r>
            <w:r w:rsidRPr="00A45996">
              <w:rPr>
                <w:rFonts w:ascii="Arial" w:hAnsi="Arial" w:cs="Arial"/>
                <w:sz w:val="18"/>
                <w:vertAlign w:val="superscript"/>
                <w:lang w:val="en-GB"/>
              </w:rPr>
              <w:t>9</w:t>
            </w:r>
            <w:r w:rsidRPr="00A45996">
              <w:rPr>
                <w:rFonts w:ascii="Arial" w:hAnsi="Arial" w:cs="Arial"/>
                <w:sz w:val="18"/>
                <w:lang w:val="en-GB"/>
              </w:rPr>
              <w:t xml:space="preserve">/L or ANC </w:t>
            </w:r>
            <w:r w:rsidRPr="00A45996">
              <w:rPr>
                <w:rFonts w:ascii="Arial" w:hAnsi="Arial" w:cs="Arial"/>
                <w:sz w:val="18"/>
                <w:lang w:val="en-GB"/>
              </w:rPr>
              <w:sym w:font="Symbol" w:char="F0A3"/>
            </w:r>
            <w:r w:rsidRPr="00A45996">
              <w:rPr>
                <w:rFonts w:ascii="Arial" w:hAnsi="Arial" w:cs="Arial"/>
                <w:sz w:val="18"/>
                <w:lang w:val="en-GB"/>
              </w:rPr>
              <w:t>0.75 x 10</w:t>
            </w:r>
            <w:r w:rsidRPr="00A45996">
              <w:rPr>
                <w:rFonts w:ascii="Arial" w:hAnsi="Arial" w:cs="Arial"/>
                <w:sz w:val="18"/>
                <w:vertAlign w:val="superscript"/>
                <w:lang w:val="en-GB"/>
              </w:rPr>
              <w:t>9</w:t>
            </w:r>
            <w:r w:rsidRPr="00A45996">
              <w:rPr>
                <w:rFonts w:ascii="Arial" w:hAnsi="Arial" w:cs="Arial"/>
                <w:sz w:val="18"/>
                <w:lang w:val="en-GB"/>
              </w:rPr>
              <w:t xml:space="preserve">/L  on a VELCADE dosing day (other than day 1) </w:t>
            </w:r>
          </w:p>
        </w:tc>
        <w:tc>
          <w:tcPr>
            <w:tcW w:w="4734" w:type="dxa"/>
          </w:tcPr>
          <w:p w:rsidR="00326C73" w:rsidRPr="00A45996" w:rsidRDefault="00326C73" w:rsidP="00326C73">
            <w:pPr>
              <w:rPr>
                <w:rFonts w:cs="Arial"/>
                <w:sz w:val="18"/>
              </w:rPr>
            </w:pPr>
            <w:r w:rsidRPr="00A45996">
              <w:rPr>
                <w:rFonts w:cs="Arial"/>
                <w:sz w:val="18"/>
              </w:rPr>
              <w:t xml:space="preserve">Velcade dose should be withheld </w:t>
            </w:r>
          </w:p>
          <w:p w:rsidR="00326C73" w:rsidRPr="00A45996" w:rsidRDefault="00326C73" w:rsidP="00326C73">
            <w:pPr>
              <w:rPr>
                <w:rFonts w:cs="Arial"/>
                <w:sz w:val="18"/>
              </w:rPr>
            </w:pPr>
          </w:p>
        </w:tc>
      </w:tr>
      <w:tr w:rsidR="00326C73" w:rsidRPr="00A45996" w:rsidTr="00326C73">
        <w:tc>
          <w:tcPr>
            <w:tcW w:w="4734" w:type="dxa"/>
          </w:tcPr>
          <w:p w:rsidR="00326C73" w:rsidRPr="00A45996" w:rsidRDefault="00326C73" w:rsidP="00326C73">
            <w:pPr>
              <w:pStyle w:val="EndnoteText"/>
              <w:numPr>
                <w:ilvl w:val="0"/>
                <w:numId w:val="6"/>
              </w:numPr>
              <w:tabs>
                <w:tab w:val="left" w:pos="360"/>
              </w:tabs>
              <w:spacing w:line="260" w:lineRule="exact"/>
              <w:ind w:left="0" w:firstLine="0"/>
              <w:rPr>
                <w:rFonts w:ascii="Arial" w:hAnsi="Arial" w:cs="Arial"/>
                <w:sz w:val="18"/>
              </w:rPr>
            </w:pPr>
            <w:r w:rsidRPr="00A45996">
              <w:rPr>
                <w:rFonts w:ascii="Arial" w:hAnsi="Arial" w:cs="Arial"/>
                <w:sz w:val="18"/>
              </w:rPr>
              <w:t xml:space="preserve">If several VELCADE doses in a cycle are withheld (≥ 3 doses during twice weekly administration or ≥ 2 doses during weekly administration) </w:t>
            </w:r>
          </w:p>
        </w:tc>
        <w:tc>
          <w:tcPr>
            <w:tcW w:w="4734" w:type="dxa"/>
          </w:tcPr>
          <w:p w:rsidR="00326C73" w:rsidRPr="00A45996" w:rsidRDefault="00326C73" w:rsidP="00326C73">
            <w:pPr>
              <w:rPr>
                <w:rFonts w:cs="Arial"/>
                <w:sz w:val="18"/>
              </w:rPr>
            </w:pPr>
            <w:r w:rsidRPr="00A45996">
              <w:rPr>
                <w:rFonts w:cs="Arial"/>
                <w:sz w:val="18"/>
              </w:rPr>
              <w:t>VELCADE dose should be reduced by 1 dose level (from 1.3 mg/m</w:t>
            </w:r>
            <w:r w:rsidRPr="00A45996">
              <w:rPr>
                <w:rFonts w:cs="Arial"/>
                <w:sz w:val="18"/>
                <w:vertAlign w:val="superscript"/>
              </w:rPr>
              <w:t>2</w:t>
            </w:r>
            <w:r w:rsidRPr="00A45996">
              <w:rPr>
                <w:rFonts w:cs="Arial"/>
                <w:sz w:val="18"/>
              </w:rPr>
              <w:t xml:space="preserve"> to 1 mg/m</w:t>
            </w:r>
            <w:r w:rsidRPr="00A45996">
              <w:rPr>
                <w:rFonts w:cs="Arial"/>
                <w:sz w:val="18"/>
                <w:vertAlign w:val="superscript"/>
              </w:rPr>
              <w:t>2</w:t>
            </w:r>
            <w:r w:rsidRPr="00A45996">
              <w:rPr>
                <w:rFonts w:cs="Arial"/>
                <w:sz w:val="18"/>
              </w:rPr>
              <w:t>, or from 1 mg/m</w:t>
            </w:r>
            <w:r w:rsidRPr="00A45996">
              <w:rPr>
                <w:rFonts w:cs="Arial"/>
                <w:sz w:val="18"/>
                <w:vertAlign w:val="superscript"/>
              </w:rPr>
              <w:t>2</w:t>
            </w:r>
            <w:r w:rsidRPr="00A45996">
              <w:rPr>
                <w:rFonts w:cs="Arial"/>
                <w:sz w:val="18"/>
              </w:rPr>
              <w:t xml:space="preserve"> to 0.7 mg/m</w:t>
            </w:r>
            <w:r w:rsidRPr="00A45996">
              <w:rPr>
                <w:rFonts w:cs="Arial"/>
                <w:sz w:val="18"/>
                <w:vertAlign w:val="superscript"/>
              </w:rPr>
              <w:t>2</w:t>
            </w:r>
            <w:r w:rsidRPr="00A45996">
              <w:rPr>
                <w:rFonts w:cs="Arial"/>
                <w:sz w:val="18"/>
              </w:rPr>
              <w:t>)</w:t>
            </w:r>
          </w:p>
        </w:tc>
      </w:tr>
      <w:tr w:rsidR="00326C73" w:rsidRPr="00A45996" w:rsidTr="00326C73">
        <w:tc>
          <w:tcPr>
            <w:tcW w:w="4734" w:type="dxa"/>
          </w:tcPr>
          <w:p w:rsidR="00326C73" w:rsidRPr="00A45996" w:rsidRDefault="00326C73" w:rsidP="00326C73">
            <w:pPr>
              <w:tabs>
                <w:tab w:val="left" w:pos="360"/>
              </w:tabs>
              <w:rPr>
                <w:rFonts w:cs="Arial"/>
                <w:i/>
                <w:iCs/>
                <w:sz w:val="18"/>
              </w:rPr>
            </w:pPr>
          </w:p>
          <w:p w:rsidR="00326C73" w:rsidRPr="00A45996" w:rsidRDefault="00326C73" w:rsidP="00326C73">
            <w:pPr>
              <w:pStyle w:val="Heading1"/>
              <w:rPr>
                <w:rFonts w:cs="Arial"/>
                <w:b w:val="0"/>
                <w:caps/>
                <w:sz w:val="18"/>
              </w:rPr>
            </w:pPr>
            <w:r w:rsidRPr="00A45996">
              <w:rPr>
                <w:rFonts w:cs="Arial"/>
                <w:b w:val="0"/>
                <w:caps/>
                <w:sz w:val="18"/>
              </w:rPr>
              <w:t xml:space="preserve">Grade ≥ 3 non-haematological toxicities </w:t>
            </w:r>
          </w:p>
        </w:tc>
        <w:tc>
          <w:tcPr>
            <w:tcW w:w="4734" w:type="dxa"/>
          </w:tcPr>
          <w:p w:rsidR="00326C73" w:rsidRPr="00A45996" w:rsidRDefault="00326C73" w:rsidP="00326C73">
            <w:pPr>
              <w:rPr>
                <w:rFonts w:cs="Arial"/>
                <w:sz w:val="18"/>
              </w:rPr>
            </w:pPr>
            <w:r w:rsidRPr="00A45996">
              <w:rPr>
                <w:rFonts w:cs="Arial"/>
                <w:sz w:val="18"/>
              </w:rPr>
              <w:t>VELCADE therapy should be withheld until symptoms of the toxicity have resolved to Grade 1 or baseline. Then, VELCADE may be reinitiated with one dose level reduction (from 1.3 mg/m</w:t>
            </w:r>
            <w:r w:rsidRPr="00A45996">
              <w:rPr>
                <w:rFonts w:cs="Arial"/>
                <w:sz w:val="18"/>
                <w:vertAlign w:val="superscript"/>
              </w:rPr>
              <w:t>2</w:t>
            </w:r>
            <w:r w:rsidRPr="00A45996">
              <w:rPr>
                <w:rFonts w:cs="Arial"/>
                <w:sz w:val="18"/>
              </w:rPr>
              <w:t xml:space="preserve"> to 1 mg/m</w:t>
            </w:r>
            <w:r w:rsidRPr="00A45996">
              <w:rPr>
                <w:rFonts w:cs="Arial"/>
                <w:sz w:val="18"/>
                <w:vertAlign w:val="superscript"/>
              </w:rPr>
              <w:t>2</w:t>
            </w:r>
            <w:r w:rsidRPr="00A45996">
              <w:rPr>
                <w:rFonts w:cs="Arial"/>
                <w:sz w:val="18"/>
              </w:rPr>
              <w:t>, or from 1 mg/m</w:t>
            </w:r>
            <w:r w:rsidRPr="00A45996">
              <w:rPr>
                <w:rFonts w:cs="Arial"/>
                <w:sz w:val="18"/>
                <w:vertAlign w:val="superscript"/>
              </w:rPr>
              <w:t>2</w:t>
            </w:r>
            <w:r w:rsidRPr="00A45996">
              <w:rPr>
                <w:rFonts w:cs="Arial"/>
                <w:sz w:val="18"/>
              </w:rPr>
              <w:t xml:space="preserve"> to 0.7 mg/m</w:t>
            </w:r>
            <w:r w:rsidRPr="00A45996">
              <w:rPr>
                <w:rFonts w:cs="Arial"/>
                <w:sz w:val="18"/>
                <w:vertAlign w:val="superscript"/>
              </w:rPr>
              <w:t>2</w:t>
            </w:r>
            <w:r w:rsidRPr="00A45996">
              <w:rPr>
                <w:rFonts w:cs="Arial"/>
                <w:sz w:val="18"/>
              </w:rPr>
              <w:t xml:space="preserve">). </w:t>
            </w:r>
          </w:p>
          <w:p w:rsidR="00326C73" w:rsidRPr="00A45996" w:rsidRDefault="00326C73" w:rsidP="0092571C">
            <w:pPr>
              <w:rPr>
                <w:rFonts w:cs="Arial"/>
                <w:b/>
                <w:kern w:val="28"/>
                <w:sz w:val="18"/>
              </w:rPr>
            </w:pPr>
            <w:r w:rsidRPr="00A45996">
              <w:rPr>
                <w:rFonts w:cs="Arial"/>
                <w:sz w:val="18"/>
              </w:rPr>
              <w:t xml:space="preserve">For VELCADE-related neuropathic pain and/or peripheral neuropathy, hold and/or modify VELCADE as outlined in Table </w:t>
            </w:r>
            <w:r w:rsidR="0092571C" w:rsidRPr="00A45996">
              <w:rPr>
                <w:rFonts w:cs="Arial"/>
                <w:sz w:val="18"/>
              </w:rPr>
              <w:t>2</w:t>
            </w:r>
            <w:r w:rsidR="00D44639" w:rsidRPr="00A45996">
              <w:rPr>
                <w:rFonts w:cs="Arial"/>
                <w:sz w:val="18"/>
              </w:rPr>
              <w:t>4</w:t>
            </w:r>
            <w:r w:rsidRPr="00A45996">
              <w:rPr>
                <w:rFonts w:cs="Arial"/>
                <w:sz w:val="18"/>
              </w:rPr>
              <w:t>.</w:t>
            </w:r>
          </w:p>
        </w:tc>
      </w:tr>
    </w:tbl>
    <w:p w:rsidR="00326C73" w:rsidRPr="00A45996" w:rsidRDefault="00326C73" w:rsidP="00326C73"/>
    <w:p w:rsidR="00B13221" w:rsidRPr="00A45996" w:rsidRDefault="00326C73" w:rsidP="00DA1B27">
      <w:pPr>
        <w:rPr>
          <w:snapToGrid w:val="0"/>
          <w:lang w:val="en-US"/>
        </w:rPr>
      </w:pPr>
      <w:r w:rsidRPr="00A45996">
        <w:t xml:space="preserve">For additional information concerning </w:t>
      </w:r>
      <w:proofErr w:type="spellStart"/>
      <w:r w:rsidRPr="00A45996">
        <w:t>melphalan</w:t>
      </w:r>
      <w:proofErr w:type="spellEnd"/>
      <w:r w:rsidRPr="00A45996">
        <w:t xml:space="preserve"> and prednisone, see manufacturer's prescribing information.</w:t>
      </w:r>
    </w:p>
    <w:p w:rsidR="00B13221" w:rsidRPr="00A45996" w:rsidRDefault="00B13221" w:rsidP="00326C73">
      <w:pPr>
        <w:pStyle w:val="BodyText2"/>
        <w:rPr>
          <w:rFonts w:cs="Arial"/>
          <w:sz w:val="20"/>
        </w:rPr>
      </w:pPr>
    </w:p>
    <w:p w:rsidR="00326C73" w:rsidRPr="00A45996" w:rsidRDefault="00326C73" w:rsidP="00326C73">
      <w:pPr>
        <w:pStyle w:val="BodyText2"/>
        <w:rPr>
          <w:rFonts w:cs="Arial"/>
          <w:sz w:val="20"/>
        </w:rPr>
      </w:pPr>
      <w:r w:rsidRPr="00A45996">
        <w:rPr>
          <w:rFonts w:cs="Arial"/>
          <w:sz w:val="20"/>
        </w:rPr>
        <w:t xml:space="preserve">Table </w:t>
      </w:r>
      <w:r w:rsidR="0092571C" w:rsidRPr="00A45996">
        <w:rPr>
          <w:rFonts w:cs="Arial"/>
          <w:sz w:val="20"/>
        </w:rPr>
        <w:t>2</w:t>
      </w:r>
      <w:r w:rsidR="00D44639" w:rsidRPr="00A45996">
        <w:rPr>
          <w:rFonts w:cs="Arial"/>
          <w:sz w:val="20"/>
        </w:rPr>
        <w:t>4</w:t>
      </w:r>
      <w:r w:rsidRPr="00A45996">
        <w:rPr>
          <w:rFonts w:cs="Arial"/>
          <w:sz w:val="20"/>
        </w:rPr>
        <w:t>: Recommended Dose Modification for VELCADE-related Neuropathic Pain and/or Peripheral Sensory or Motor Neuropathy.</w:t>
      </w:r>
    </w:p>
    <w:p w:rsidR="00326C73" w:rsidRPr="00A45996" w:rsidRDefault="00326C73" w:rsidP="00326C73">
      <w:pPr>
        <w:pStyle w:val="BodyText2"/>
        <w:rPr>
          <w:rFont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326C73" w:rsidRPr="00A45996" w:rsidTr="00326C73">
        <w:tc>
          <w:tcPr>
            <w:tcW w:w="4643" w:type="dxa"/>
          </w:tcPr>
          <w:p w:rsidR="00326C73" w:rsidRPr="00A45996" w:rsidRDefault="00326C73" w:rsidP="00326C73">
            <w:pPr>
              <w:rPr>
                <w:rFonts w:cs="Arial"/>
                <w:b/>
                <w:bCs/>
                <w:sz w:val="18"/>
              </w:rPr>
            </w:pPr>
            <w:r w:rsidRPr="00A45996">
              <w:rPr>
                <w:rFonts w:cs="Arial"/>
                <w:b/>
                <w:bCs/>
                <w:sz w:val="18"/>
              </w:rPr>
              <w:t>Severity of Peripheral Neuropathy</w:t>
            </w:r>
          </w:p>
          <w:p w:rsidR="00326C73" w:rsidRPr="00A45996" w:rsidRDefault="00326C73" w:rsidP="00326C73">
            <w:pPr>
              <w:rPr>
                <w:rFonts w:cs="Arial"/>
                <w:b/>
                <w:bCs/>
                <w:sz w:val="18"/>
              </w:rPr>
            </w:pPr>
            <w:r w:rsidRPr="00A45996">
              <w:rPr>
                <w:rFonts w:cs="Arial"/>
                <w:b/>
                <w:bCs/>
                <w:sz w:val="18"/>
              </w:rPr>
              <w:t>Signs and Symptoms</w:t>
            </w:r>
            <w:r w:rsidR="0090466C" w:rsidRPr="00A45996">
              <w:rPr>
                <w:rFonts w:cs="Arial"/>
                <w:b/>
                <w:bCs/>
                <w:sz w:val="18"/>
              </w:rPr>
              <w:t>*</w:t>
            </w:r>
            <w:r w:rsidRPr="00A45996">
              <w:rPr>
                <w:rFonts w:cs="Arial"/>
                <w:b/>
                <w:bCs/>
                <w:sz w:val="18"/>
              </w:rPr>
              <w:t xml:space="preserve"> </w:t>
            </w:r>
          </w:p>
        </w:tc>
        <w:tc>
          <w:tcPr>
            <w:tcW w:w="4644" w:type="dxa"/>
          </w:tcPr>
          <w:p w:rsidR="00326C73" w:rsidRPr="00A45996" w:rsidRDefault="00326C73" w:rsidP="00326C73">
            <w:pPr>
              <w:rPr>
                <w:rFonts w:cs="Arial"/>
                <w:b/>
                <w:bCs/>
                <w:sz w:val="18"/>
                <w:vertAlign w:val="superscript"/>
              </w:rPr>
            </w:pPr>
            <w:r w:rsidRPr="00A45996">
              <w:rPr>
                <w:rFonts w:cs="Arial"/>
                <w:b/>
                <w:bCs/>
                <w:sz w:val="18"/>
              </w:rPr>
              <w:t>Modification of Dose and Regimen</w:t>
            </w:r>
          </w:p>
        </w:tc>
      </w:tr>
      <w:tr w:rsidR="00326C73" w:rsidRPr="00A45996" w:rsidTr="00326C73">
        <w:tc>
          <w:tcPr>
            <w:tcW w:w="4643" w:type="dxa"/>
          </w:tcPr>
          <w:p w:rsidR="00326C73" w:rsidRPr="00A45996" w:rsidRDefault="00326C73" w:rsidP="00326C73">
            <w:pPr>
              <w:rPr>
                <w:rFonts w:cs="Arial"/>
                <w:sz w:val="18"/>
              </w:rPr>
            </w:pPr>
            <w:r w:rsidRPr="00A45996">
              <w:rPr>
                <w:rFonts w:cs="Arial"/>
                <w:sz w:val="18"/>
              </w:rPr>
              <w:t>Grade 1 (</w:t>
            </w:r>
            <w:r w:rsidR="0090466C" w:rsidRPr="00A45996">
              <w:rPr>
                <w:rFonts w:cs="Arial"/>
                <w:sz w:val="18"/>
              </w:rPr>
              <w:t>asymptomatic; loss of deep tendon reflexes or paraesthesia</w:t>
            </w:r>
            <w:r w:rsidRPr="00A45996">
              <w:rPr>
                <w:rFonts w:cs="Arial"/>
                <w:sz w:val="18"/>
              </w:rPr>
              <w:t>) without pain or loss of function</w:t>
            </w:r>
          </w:p>
        </w:tc>
        <w:tc>
          <w:tcPr>
            <w:tcW w:w="4644" w:type="dxa"/>
          </w:tcPr>
          <w:p w:rsidR="00326C73" w:rsidRPr="00A45996" w:rsidRDefault="00326C73" w:rsidP="00326C73">
            <w:pPr>
              <w:rPr>
                <w:rFonts w:cs="Arial"/>
                <w:sz w:val="18"/>
                <w:vertAlign w:val="superscript"/>
              </w:rPr>
            </w:pPr>
            <w:r w:rsidRPr="00A45996">
              <w:rPr>
                <w:rFonts w:cs="Arial"/>
                <w:sz w:val="18"/>
              </w:rPr>
              <w:t>No action</w:t>
            </w:r>
          </w:p>
        </w:tc>
      </w:tr>
      <w:tr w:rsidR="00326C73" w:rsidRPr="00A45996" w:rsidTr="00326C73">
        <w:tc>
          <w:tcPr>
            <w:tcW w:w="4643" w:type="dxa"/>
          </w:tcPr>
          <w:p w:rsidR="00326C73" w:rsidRPr="00A45996" w:rsidRDefault="00326C73" w:rsidP="00326C73">
            <w:pPr>
              <w:rPr>
                <w:rFonts w:cs="Arial"/>
                <w:sz w:val="18"/>
              </w:rPr>
            </w:pPr>
            <w:r w:rsidRPr="00A45996">
              <w:rPr>
                <w:rFonts w:cs="Arial"/>
                <w:sz w:val="18"/>
              </w:rPr>
              <w:t>Grade 1 with pain or Grade 2 (</w:t>
            </w:r>
            <w:r w:rsidR="0090466C" w:rsidRPr="00A45996">
              <w:rPr>
                <w:rFonts w:cs="Arial"/>
                <w:sz w:val="18"/>
              </w:rPr>
              <w:t>moderate symptoms; limiting Instrumental Activities of Daily Living (ADL))**</w:t>
            </w:r>
            <w:r w:rsidRPr="00A45996">
              <w:rPr>
                <w:rFonts w:cs="Arial"/>
                <w:sz w:val="18"/>
              </w:rPr>
              <w:t xml:space="preserve">) </w:t>
            </w:r>
          </w:p>
        </w:tc>
        <w:tc>
          <w:tcPr>
            <w:tcW w:w="4644" w:type="dxa"/>
          </w:tcPr>
          <w:p w:rsidR="00326C73" w:rsidRPr="00A45996" w:rsidRDefault="00326C73" w:rsidP="00326C73">
            <w:pPr>
              <w:rPr>
                <w:rFonts w:cs="Arial"/>
                <w:sz w:val="18"/>
                <w:vertAlign w:val="superscript"/>
              </w:rPr>
            </w:pPr>
            <w:r w:rsidRPr="00A45996">
              <w:rPr>
                <w:rFonts w:cs="Arial"/>
                <w:sz w:val="18"/>
              </w:rPr>
              <w:t>Reduce VELCADE to 1.0 mg/m</w:t>
            </w:r>
            <w:r w:rsidRPr="00A45996">
              <w:rPr>
                <w:rFonts w:cs="Arial"/>
                <w:sz w:val="18"/>
                <w:vertAlign w:val="superscript"/>
              </w:rPr>
              <w:t>2</w:t>
            </w:r>
          </w:p>
          <w:p w:rsidR="00E13AD4" w:rsidRPr="00A45996" w:rsidRDefault="00E13AD4" w:rsidP="00E13AD4">
            <w:pPr>
              <w:rPr>
                <w:rFonts w:cs="Arial"/>
                <w:sz w:val="18"/>
              </w:rPr>
            </w:pPr>
            <w:r w:rsidRPr="00A45996">
              <w:rPr>
                <w:rFonts w:cs="Arial"/>
                <w:sz w:val="18"/>
              </w:rPr>
              <w:t>OR</w:t>
            </w:r>
          </w:p>
          <w:p w:rsidR="00E13AD4" w:rsidRPr="00A45996" w:rsidRDefault="00E13AD4" w:rsidP="00E13AD4">
            <w:pPr>
              <w:rPr>
                <w:rFonts w:cs="Arial"/>
                <w:sz w:val="18"/>
              </w:rPr>
            </w:pPr>
            <w:r w:rsidRPr="00A45996">
              <w:rPr>
                <w:rFonts w:cs="Arial"/>
                <w:sz w:val="18"/>
              </w:rPr>
              <w:t>Change VELCADE treatment schedule to 1.3 mg/m</w:t>
            </w:r>
            <w:r w:rsidRPr="00A45996">
              <w:rPr>
                <w:rFonts w:cs="Arial"/>
                <w:sz w:val="18"/>
                <w:vertAlign w:val="superscript"/>
              </w:rPr>
              <w:t>2</w:t>
            </w:r>
            <w:r w:rsidRPr="00A45996">
              <w:rPr>
                <w:rFonts w:cs="Arial"/>
                <w:sz w:val="18"/>
              </w:rPr>
              <w:t xml:space="preserve"> once per week</w:t>
            </w:r>
          </w:p>
        </w:tc>
      </w:tr>
      <w:tr w:rsidR="00326C73" w:rsidRPr="00A45996" w:rsidTr="00326C73">
        <w:tc>
          <w:tcPr>
            <w:tcW w:w="4643" w:type="dxa"/>
          </w:tcPr>
          <w:p w:rsidR="00326C73" w:rsidRPr="00A45996" w:rsidRDefault="00326C73" w:rsidP="00E13AD4">
            <w:pPr>
              <w:rPr>
                <w:rFonts w:cs="Arial"/>
                <w:sz w:val="18"/>
              </w:rPr>
            </w:pPr>
            <w:r w:rsidRPr="00A45996">
              <w:rPr>
                <w:rFonts w:cs="Arial"/>
                <w:sz w:val="18"/>
              </w:rPr>
              <w:t>Grade 2 with pain or Grade 3 (</w:t>
            </w:r>
            <w:r w:rsidR="00E13AD4" w:rsidRPr="00A45996">
              <w:rPr>
                <w:rFonts w:cs="Arial"/>
                <w:sz w:val="18"/>
              </w:rPr>
              <w:t xml:space="preserve">severe symptoms; limiting </w:t>
            </w:r>
            <w:proofErr w:type="spellStart"/>
            <w:r w:rsidR="00E13AD4" w:rsidRPr="00A45996">
              <w:rPr>
                <w:rFonts w:cs="Arial"/>
                <w:sz w:val="18"/>
              </w:rPr>
              <w:t>self care</w:t>
            </w:r>
            <w:proofErr w:type="spellEnd"/>
            <w:r w:rsidR="00E13AD4" w:rsidRPr="00A45996">
              <w:rPr>
                <w:rFonts w:cs="Arial"/>
                <w:sz w:val="18"/>
              </w:rPr>
              <w:t xml:space="preserve"> ADL)**</w:t>
            </w:r>
            <w:r w:rsidRPr="00A45996">
              <w:rPr>
                <w:rFonts w:cs="Arial"/>
                <w:sz w:val="18"/>
              </w:rPr>
              <w:t xml:space="preserve"> </w:t>
            </w:r>
          </w:p>
        </w:tc>
        <w:tc>
          <w:tcPr>
            <w:tcW w:w="4644" w:type="dxa"/>
          </w:tcPr>
          <w:p w:rsidR="00326C73" w:rsidRPr="00A45996" w:rsidRDefault="00326C73" w:rsidP="00E13AD4">
            <w:pPr>
              <w:rPr>
                <w:rFonts w:cs="Arial"/>
                <w:sz w:val="18"/>
              </w:rPr>
            </w:pPr>
            <w:r w:rsidRPr="00A45996">
              <w:rPr>
                <w:rFonts w:cs="Arial"/>
                <w:sz w:val="18"/>
              </w:rPr>
              <w:t>Withhold VELCADE therapy until toxicity resolves. When toxicity resolves reinitiate with a reduced dose of VELCADE at 0.7 mg/m</w:t>
            </w:r>
            <w:r w:rsidRPr="00A45996">
              <w:rPr>
                <w:rFonts w:cs="Arial"/>
                <w:sz w:val="18"/>
                <w:vertAlign w:val="superscript"/>
              </w:rPr>
              <w:t xml:space="preserve">2 </w:t>
            </w:r>
            <w:r w:rsidRPr="00A45996">
              <w:rPr>
                <w:rFonts w:cs="Arial"/>
                <w:sz w:val="18"/>
              </w:rPr>
              <w:t>once per week.</w:t>
            </w:r>
          </w:p>
        </w:tc>
      </w:tr>
      <w:tr w:rsidR="00326C73" w:rsidRPr="00A45996" w:rsidTr="00326C73">
        <w:tc>
          <w:tcPr>
            <w:tcW w:w="4643" w:type="dxa"/>
          </w:tcPr>
          <w:p w:rsidR="00326C73" w:rsidRPr="00A45996" w:rsidRDefault="00326C73" w:rsidP="00326C73">
            <w:pPr>
              <w:rPr>
                <w:rFonts w:cs="Arial"/>
                <w:sz w:val="18"/>
              </w:rPr>
            </w:pPr>
            <w:r w:rsidRPr="00A45996">
              <w:rPr>
                <w:rFonts w:cs="Arial"/>
                <w:sz w:val="18"/>
              </w:rPr>
              <w:t>Grade 4 (</w:t>
            </w:r>
            <w:r w:rsidR="00E13AD4" w:rsidRPr="00A45996">
              <w:rPr>
                <w:rFonts w:cs="Arial"/>
                <w:sz w:val="18"/>
              </w:rPr>
              <w:t>life-threatening consequences; urgent intervention indicated</w:t>
            </w:r>
            <w:r w:rsidRPr="00A45996">
              <w:rPr>
                <w:rFonts w:cs="Arial"/>
                <w:sz w:val="18"/>
              </w:rPr>
              <w:t>)</w:t>
            </w:r>
          </w:p>
        </w:tc>
        <w:tc>
          <w:tcPr>
            <w:tcW w:w="4644" w:type="dxa"/>
          </w:tcPr>
          <w:p w:rsidR="00326C73" w:rsidRPr="00A45996" w:rsidRDefault="00326C73" w:rsidP="00326C73">
            <w:pPr>
              <w:pStyle w:val="EndnoteText"/>
              <w:rPr>
                <w:rFonts w:ascii="Arial" w:hAnsi="Arial" w:cs="Arial"/>
                <w:sz w:val="18"/>
              </w:rPr>
            </w:pPr>
            <w:r w:rsidRPr="00A45996">
              <w:rPr>
                <w:rFonts w:ascii="Arial" w:hAnsi="Arial" w:cs="Arial"/>
                <w:sz w:val="18"/>
              </w:rPr>
              <w:t>Discontinue VELCADE</w:t>
            </w:r>
          </w:p>
        </w:tc>
      </w:tr>
    </w:tbl>
    <w:p w:rsidR="00E13AD4" w:rsidRPr="00A45996" w:rsidRDefault="00E13AD4" w:rsidP="00E13AD4">
      <w:pPr>
        <w:rPr>
          <w:rFonts w:cs="Arial"/>
          <w:sz w:val="16"/>
          <w:vertAlign w:val="superscript"/>
        </w:rPr>
      </w:pPr>
      <w:r w:rsidRPr="00A45996">
        <w:rPr>
          <w:rFonts w:cs="Arial"/>
          <w:sz w:val="16"/>
        </w:rPr>
        <w:t xml:space="preserve">* Grading based on </w:t>
      </w:r>
      <w:r w:rsidR="00326C73" w:rsidRPr="00A45996">
        <w:rPr>
          <w:rFonts w:cs="Arial"/>
          <w:sz w:val="16"/>
        </w:rPr>
        <w:t xml:space="preserve">NCI Common Toxicity Criteria </w:t>
      </w:r>
      <w:r w:rsidRPr="00A45996">
        <w:rPr>
          <w:rFonts w:cs="Arial"/>
          <w:sz w:val="16"/>
        </w:rPr>
        <w:t>CTCAE v 4.0</w:t>
      </w:r>
    </w:p>
    <w:p w:rsidR="00E13AD4" w:rsidRPr="00A45996" w:rsidRDefault="00E13AD4" w:rsidP="00E13AD4">
      <w:pPr>
        <w:rPr>
          <w:rFonts w:cs="Arial"/>
          <w:sz w:val="16"/>
        </w:rPr>
      </w:pPr>
      <w:r w:rsidRPr="00A45996">
        <w:rPr>
          <w:rFonts w:cs="Arial"/>
          <w:sz w:val="16"/>
        </w:rPr>
        <w:t xml:space="preserve">** </w:t>
      </w:r>
      <w:r w:rsidRPr="00A45996">
        <w:rPr>
          <w:rFonts w:cs="Arial"/>
          <w:i/>
          <w:sz w:val="16"/>
        </w:rPr>
        <w:t>Instrumental ADL:</w:t>
      </w:r>
      <w:r w:rsidRPr="00A45996">
        <w:rPr>
          <w:rFonts w:cs="Arial"/>
          <w:sz w:val="16"/>
        </w:rPr>
        <w:t xml:space="preserve"> refers to preparing meals, shopping for groceries or clothes, using telephone, managing money, </w:t>
      </w:r>
      <w:proofErr w:type="spellStart"/>
      <w:r w:rsidRPr="00A45996">
        <w:rPr>
          <w:rFonts w:cs="Arial"/>
          <w:sz w:val="16"/>
        </w:rPr>
        <w:t>etc</w:t>
      </w:r>
      <w:proofErr w:type="spellEnd"/>
      <w:r w:rsidRPr="00A45996">
        <w:rPr>
          <w:rFonts w:cs="Arial"/>
          <w:sz w:val="16"/>
        </w:rPr>
        <w:t>;</w:t>
      </w:r>
    </w:p>
    <w:p w:rsidR="00E13AD4" w:rsidRPr="00A45996" w:rsidRDefault="00E13AD4" w:rsidP="00E13AD4">
      <w:pPr>
        <w:rPr>
          <w:rFonts w:cs="Arial"/>
          <w:sz w:val="16"/>
          <w:vertAlign w:val="superscript"/>
        </w:rPr>
      </w:pPr>
      <w:r w:rsidRPr="00A45996">
        <w:rPr>
          <w:rFonts w:cs="Arial"/>
          <w:sz w:val="16"/>
        </w:rPr>
        <w:t xml:space="preserve">*** </w:t>
      </w:r>
      <w:proofErr w:type="spellStart"/>
      <w:r w:rsidRPr="00A45996">
        <w:rPr>
          <w:rFonts w:cs="Arial"/>
          <w:i/>
          <w:sz w:val="16"/>
        </w:rPr>
        <w:t>Self care</w:t>
      </w:r>
      <w:proofErr w:type="spellEnd"/>
      <w:r w:rsidRPr="00A45996">
        <w:rPr>
          <w:rFonts w:cs="Arial"/>
          <w:i/>
          <w:sz w:val="16"/>
        </w:rPr>
        <w:t xml:space="preserve"> ADL:</w:t>
      </w:r>
      <w:r w:rsidRPr="00A45996">
        <w:rPr>
          <w:rFonts w:cs="Arial"/>
          <w:sz w:val="16"/>
        </w:rPr>
        <w:t xml:space="preserve"> refers to bathing, dressing and undressing, feeding self, using the toilet, taking medications, and not bedridden.</w:t>
      </w:r>
    </w:p>
    <w:p w:rsidR="00326C73" w:rsidRPr="00A45996" w:rsidRDefault="00326C73" w:rsidP="00326C73">
      <w:pPr>
        <w:rPr>
          <w:rFonts w:cs="Arial"/>
          <w:sz w:val="16"/>
          <w:vertAlign w:val="superscript"/>
        </w:rPr>
      </w:pPr>
    </w:p>
    <w:p w:rsidR="00326C73" w:rsidRPr="00A45996" w:rsidRDefault="00326C73" w:rsidP="00326C73">
      <w:pPr>
        <w:rPr>
          <w:rFonts w:ascii="Times" w:hAnsi="Times"/>
          <w:sz w:val="16"/>
        </w:rPr>
      </w:pPr>
    </w:p>
    <w:p w:rsidR="00326C73" w:rsidRPr="00E07EDD" w:rsidRDefault="00326C73" w:rsidP="00326C73">
      <w:pPr>
        <w:pStyle w:val="Footer"/>
        <w:tabs>
          <w:tab w:val="clear" w:pos="4153"/>
          <w:tab w:val="clear" w:pos="8306"/>
        </w:tabs>
        <w:rPr>
          <w:rFonts w:cs="Arial"/>
          <w:b/>
          <w:i/>
          <w:sz w:val="22"/>
          <w:szCs w:val="22"/>
        </w:rPr>
      </w:pPr>
      <w:r w:rsidRPr="00E07EDD">
        <w:rPr>
          <w:rFonts w:cs="Arial"/>
          <w:b/>
          <w:i/>
          <w:sz w:val="22"/>
          <w:szCs w:val="22"/>
        </w:rPr>
        <w:lastRenderedPageBreak/>
        <w:t xml:space="preserve">Relapsed / Refractory </w:t>
      </w:r>
      <w:r w:rsidRPr="00E07EDD">
        <w:rPr>
          <w:rFonts w:cs="Arial"/>
          <w:b/>
          <w:bCs/>
          <w:i/>
          <w:sz w:val="22"/>
          <w:szCs w:val="22"/>
        </w:rPr>
        <w:t>Multiple Myeloma</w:t>
      </w:r>
    </w:p>
    <w:p w:rsidR="00326C73" w:rsidRPr="00A45996" w:rsidRDefault="00326C73" w:rsidP="00326C73">
      <w:pPr>
        <w:rPr>
          <w:sz w:val="22"/>
        </w:rPr>
      </w:pPr>
    </w:p>
    <w:p w:rsidR="00D44639" w:rsidRPr="00A45996" w:rsidRDefault="00D44639" w:rsidP="00D44639">
      <w:pPr>
        <w:spacing w:before="20" w:after="80"/>
        <w:rPr>
          <w:sz w:val="20"/>
          <w:u w:val="single"/>
        </w:rPr>
      </w:pPr>
      <w:r w:rsidRPr="00A45996">
        <w:rPr>
          <w:sz w:val="22"/>
          <w:u w:val="single"/>
        </w:rPr>
        <w:t>Recommended Dose</w:t>
      </w:r>
    </w:p>
    <w:p w:rsidR="00326C73" w:rsidRPr="00A45996" w:rsidRDefault="00326C73" w:rsidP="00326C73">
      <w:pPr>
        <w:spacing w:before="20" w:after="80"/>
        <w:rPr>
          <w:sz w:val="22"/>
        </w:rPr>
      </w:pPr>
      <w:r w:rsidRPr="00A45996">
        <w:rPr>
          <w:sz w:val="22"/>
        </w:rPr>
        <w:t>The recommended dose of VELCADE is 1.3 mg/m</w:t>
      </w:r>
      <w:r w:rsidRPr="00A45996">
        <w:rPr>
          <w:sz w:val="22"/>
          <w:vertAlign w:val="superscript"/>
        </w:rPr>
        <w:t>2</w:t>
      </w:r>
      <w:r w:rsidRPr="00A45996">
        <w:rPr>
          <w:sz w:val="22"/>
        </w:rPr>
        <w:t xml:space="preserve">/dose administered twice weekly for two weeks (days 1, 4, 8, and 11) followed by a 10-day rest period (days 12-21).  This 3-week period is considered a treatment cycle.  At least 72 hours should elapse between consecutive doses of VELCADE.  </w:t>
      </w:r>
    </w:p>
    <w:p w:rsidR="00326C73" w:rsidRPr="00A45996" w:rsidRDefault="00326C73" w:rsidP="00326C73">
      <w:pPr>
        <w:spacing w:before="20" w:after="80"/>
        <w:rPr>
          <w:rFonts w:eastAsia="MS Mincho"/>
          <w:sz w:val="22"/>
          <w:szCs w:val="24"/>
          <w:lang w:eastAsia="ja-JP"/>
        </w:rPr>
      </w:pPr>
      <w:r w:rsidRPr="00A45996">
        <w:rPr>
          <w:sz w:val="22"/>
        </w:rPr>
        <w:t xml:space="preserve">It is recommended that patients with a confirmed complete response receive 2 additional cycles of VELCADE beyond a confirmation.  </w:t>
      </w:r>
      <w:r w:rsidRPr="00A45996">
        <w:rPr>
          <w:rFonts w:eastAsia="MS Mincho"/>
          <w:sz w:val="22"/>
          <w:szCs w:val="24"/>
          <w:lang w:eastAsia="ja-JP"/>
        </w:rPr>
        <w:t>It is also recommended that responding patients who do not achieve a complete remission receive a total of 8 cycles of VELCADE therapy.</w:t>
      </w:r>
    </w:p>
    <w:p w:rsidR="00326C73" w:rsidRPr="00A45996" w:rsidRDefault="00326C73" w:rsidP="00326C73">
      <w:pPr>
        <w:spacing w:before="20" w:after="80"/>
      </w:pPr>
      <w:r w:rsidRPr="00A45996">
        <w:rPr>
          <w:sz w:val="22"/>
        </w:rPr>
        <w:t xml:space="preserve">For extended therapy of more than 8 cycles, VELCADE may be administered on the standard schedule or on a maintenance schedule of once weekly for 4 weeks (days 1, 8, 15, and 22) followed by a 13-day rest period (days 23 to 35) (see </w:t>
      </w:r>
      <w:r w:rsidRPr="00A45996">
        <w:rPr>
          <w:b/>
          <w:bCs/>
          <w:sz w:val="22"/>
        </w:rPr>
        <w:t xml:space="preserve">CLINICAL TRIALS </w:t>
      </w:r>
      <w:r w:rsidRPr="00A45996">
        <w:rPr>
          <w:sz w:val="22"/>
        </w:rPr>
        <w:t>for a summary of dose administration during clinical trials).</w:t>
      </w:r>
    </w:p>
    <w:p w:rsidR="00326C73" w:rsidRPr="00E07EDD" w:rsidRDefault="00326C73" w:rsidP="00326C73">
      <w:pPr>
        <w:pStyle w:val="Heading4"/>
        <w:spacing w:before="120" w:after="80"/>
        <w:rPr>
          <w:b w:val="0"/>
          <w:sz w:val="22"/>
          <w:szCs w:val="22"/>
          <w:u w:val="single"/>
        </w:rPr>
      </w:pPr>
      <w:r w:rsidRPr="00E07EDD">
        <w:rPr>
          <w:b w:val="0"/>
          <w:sz w:val="22"/>
          <w:szCs w:val="22"/>
          <w:u w:val="single"/>
        </w:rPr>
        <w:t xml:space="preserve">Dose Modification and </w:t>
      </w:r>
      <w:proofErr w:type="spellStart"/>
      <w:r w:rsidRPr="00E07EDD">
        <w:rPr>
          <w:b w:val="0"/>
          <w:sz w:val="22"/>
          <w:szCs w:val="22"/>
          <w:u w:val="single"/>
        </w:rPr>
        <w:t>Reinitiation</w:t>
      </w:r>
      <w:proofErr w:type="spellEnd"/>
      <w:r w:rsidRPr="00E07EDD">
        <w:rPr>
          <w:b w:val="0"/>
          <w:sz w:val="22"/>
          <w:szCs w:val="22"/>
          <w:u w:val="single"/>
        </w:rPr>
        <w:t xml:space="preserve"> of Therapy</w:t>
      </w:r>
    </w:p>
    <w:p w:rsidR="00326C73" w:rsidRPr="00A45996" w:rsidRDefault="00326C73" w:rsidP="00326C73">
      <w:pPr>
        <w:keepLines w:val="0"/>
        <w:rPr>
          <w:sz w:val="22"/>
        </w:rPr>
      </w:pPr>
      <w:r w:rsidRPr="00A45996">
        <w:rPr>
          <w:sz w:val="22"/>
        </w:rPr>
        <w:t xml:space="preserve">VELCADE therapy should be withheld at the onset of any Grade 3 non-haematological or Grade 4 haematological toxicities excluding neuropathy as discussed above (see </w:t>
      </w:r>
      <w:r w:rsidRPr="00A45996">
        <w:rPr>
          <w:b/>
          <w:bCs/>
          <w:sz w:val="22"/>
        </w:rPr>
        <w:t>PRECAUTIONS</w:t>
      </w:r>
      <w:r w:rsidRPr="00A45996">
        <w:rPr>
          <w:sz w:val="22"/>
        </w:rPr>
        <w:t>).  Once the symptoms of the toxicity have resolved, VELCADE therapy may be reinitiated at a 25% reduced dose (1.3 mg/m</w:t>
      </w:r>
      <w:r w:rsidRPr="00A45996">
        <w:rPr>
          <w:sz w:val="22"/>
          <w:vertAlign w:val="superscript"/>
        </w:rPr>
        <w:t>2</w:t>
      </w:r>
      <w:r w:rsidRPr="00A45996">
        <w:rPr>
          <w:sz w:val="22"/>
        </w:rPr>
        <w:t>/dose reduced to 1.0 mg/m</w:t>
      </w:r>
      <w:r w:rsidRPr="00A45996">
        <w:rPr>
          <w:sz w:val="22"/>
          <w:vertAlign w:val="superscript"/>
        </w:rPr>
        <w:t>2</w:t>
      </w:r>
      <w:r w:rsidRPr="00A45996">
        <w:rPr>
          <w:sz w:val="22"/>
        </w:rPr>
        <w:t>/dose; 1.0 mg/m</w:t>
      </w:r>
      <w:r w:rsidRPr="00A45996">
        <w:rPr>
          <w:sz w:val="22"/>
          <w:vertAlign w:val="superscript"/>
        </w:rPr>
        <w:t>2</w:t>
      </w:r>
      <w:r w:rsidRPr="00A45996">
        <w:rPr>
          <w:sz w:val="22"/>
        </w:rPr>
        <w:t>/dose reduced to 0.7 mg/m</w:t>
      </w:r>
      <w:r w:rsidRPr="00A45996">
        <w:rPr>
          <w:sz w:val="22"/>
          <w:vertAlign w:val="superscript"/>
        </w:rPr>
        <w:t>2</w:t>
      </w:r>
      <w:r w:rsidRPr="00A45996">
        <w:rPr>
          <w:sz w:val="22"/>
        </w:rPr>
        <w:t xml:space="preserve">/dose).  Table </w:t>
      </w:r>
      <w:r w:rsidR="0092571C" w:rsidRPr="00A45996">
        <w:rPr>
          <w:sz w:val="22"/>
        </w:rPr>
        <w:t>2</w:t>
      </w:r>
      <w:r w:rsidR="00405A74" w:rsidRPr="00A45996">
        <w:rPr>
          <w:sz w:val="22"/>
        </w:rPr>
        <w:t>4</w:t>
      </w:r>
      <w:r w:rsidR="0092571C" w:rsidRPr="00A45996">
        <w:rPr>
          <w:sz w:val="22"/>
        </w:rPr>
        <w:t xml:space="preserve"> </w:t>
      </w:r>
      <w:r w:rsidRPr="00A45996">
        <w:rPr>
          <w:sz w:val="22"/>
        </w:rPr>
        <w:t xml:space="preserve">contains the recommended dose modification for the management of patients who experience VELCADE-related neuropathic pain and/or peripheral sensory neuropathy.  </w:t>
      </w:r>
      <w:r w:rsidR="00D979F5" w:rsidRPr="00A45996">
        <w:rPr>
          <w:sz w:val="22"/>
        </w:rPr>
        <w:t xml:space="preserve">Severe autonomic neuropathy resulting in treatment interruption or discontinuation has been reported.  </w:t>
      </w:r>
      <w:r w:rsidRPr="00A45996">
        <w:rPr>
          <w:sz w:val="22"/>
        </w:rPr>
        <w:t>Patients with pre-existing severe neuropathy should be treated with VELCADE only after careful risk/benefit assessment.</w:t>
      </w:r>
    </w:p>
    <w:p w:rsidR="00405A74" w:rsidRPr="00A45996" w:rsidRDefault="00405A74" w:rsidP="00326C73">
      <w:pPr>
        <w:keepLines w:val="0"/>
        <w:rPr>
          <w:sz w:val="22"/>
        </w:rPr>
      </w:pPr>
    </w:p>
    <w:p w:rsidR="00405A74" w:rsidRPr="00A45996" w:rsidRDefault="00405A74" w:rsidP="00405A74">
      <w:pPr>
        <w:pStyle w:val="Heading4"/>
        <w:spacing w:before="120" w:after="80"/>
        <w:rPr>
          <w:i/>
          <w:sz w:val="22"/>
          <w:szCs w:val="28"/>
        </w:rPr>
      </w:pPr>
      <w:r w:rsidRPr="00A45996">
        <w:rPr>
          <w:i/>
          <w:sz w:val="22"/>
          <w:szCs w:val="28"/>
        </w:rPr>
        <w:t>Previously Untreated Mantle Cell Lymphoma</w:t>
      </w:r>
    </w:p>
    <w:p w:rsidR="00405A74" w:rsidRPr="00A45996" w:rsidRDefault="00405A74" w:rsidP="00405A74">
      <w:pPr>
        <w:pStyle w:val="Heading4"/>
        <w:spacing w:before="120" w:after="80"/>
        <w:rPr>
          <w:b w:val="0"/>
          <w:sz w:val="22"/>
          <w:szCs w:val="22"/>
          <w:u w:val="single"/>
        </w:rPr>
      </w:pPr>
      <w:r w:rsidRPr="00A45996">
        <w:rPr>
          <w:b w:val="0"/>
          <w:sz w:val="22"/>
          <w:szCs w:val="22"/>
          <w:u w:val="single"/>
        </w:rPr>
        <w:t>Recommended Dosage in Combination with Rituximab, Cyclophosphamide, Doxorubicin and Prednisone</w:t>
      </w:r>
    </w:p>
    <w:p w:rsidR="00405A74" w:rsidRPr="00E07EDD" w:rsidRDefault="00405A74" w:rsidP="00405A74">
      <w:pPr>
        <w:pStyle w:val="Heading4"/>
        <w:spacing w:before="120" w:after="80"/>
        <w:rPr>
          <w:b w:val="0"/>
          <w:sz w:val="22"/>
          <w:szCs w:val="22"/>
        </w:rPr>
      </w:pPr>
      <w:r w:rsidRPr="00E07EDD">
        <w:rPr>
          <w:b w:val="0"/>
          <w:sz w:val="22"/>
          <w:szCs w:val="22"/>
        </w:rPr>
        <w:t>VELCADE (</w:t>
      </w:r>
      <w:proofErr w:type="spellStart"/>
      <w:r w:rsidRPr="00E07EDD">
        <w:rPr>
          <w:b w:val="0"/>
          <w:sz w:val="22"/>
          <w:szCs w:val="22"/>
        </w:rPr>
        <w:t>bortezomib</w:t>
      </w:r>
      <w:proofErr w:type="spellEnd"/>
      <w:r w:rsidRPr="00E07EDD">
        <w:rPr>
          <w:b w:val="0"/>
          <w:sz w:val="22"/>
          <w:szCs w:val="22"/>
        </w:rPr>
        <w:t>) for injection is administered at the recommended dose of 1.3 mg/m</w:t>
      </w:r>
      <w:r w:rsidRPr="00E07EDD">
        <w:rPr>
          <w:b w:val="0"/>
          <w:sz w:val="22"/>
          <w:szCs w:val="22"/>
          <w:vertAlign w:val="superscript"/>
        </w:rPr>
        <w:t>2</w:t>
      </w:r>
      <w:r w:rsidRPr="00E07EDD">
        <w:rPr>
          <w:b w:val="0"/>
          <w:sz w:val="22"/>
          <w:szCs w:val="22"/>
        </w:rPr>
        <w:t xml:space="preserve"> body surface area twice weekly for two weeks on days 1, 4, 8, and 11, followed by a 10 day rest period on days 12-21. This 3 week period is considered a treatment cycle. Six VELCADE cycles are recommended, although for patients with a response first documented at cycle 6, two additional VELCADE cycles may be given. At least 72 hours should elapse between consecutive doses of VELCADE.</w:t>
      </w:r>
    </w:p>
    <w:p w:rsidR="00405A74" w:rsidRPr="00E07EDD" w:rsidRDefault="00405A74" w:rsidP="00405A74">
      <w:pPr>
        <w:pStyle w:val="Heading4"/>
        <w:spacing w:before="120" w:after="80"/>
        <w:rPr>
          <w:b w:val="0"/>
          <w:sz w:val="22"/>
          <w:szCs w:val="22"/>
        </w:rPr>
      </w:pPr>
      <w:r w:rsidRPr="00E07EDD">
        <w:rPr>
          <w:b w:val="0"/>
          <w:sz w:val="22"/>
          <w:szCs w:val="22"/>
        </w:rPr>
        <w:t>The following medicinal products are administered on Day 1 of each VELCADE 3 week treatment cycle as intravenous infusions: rituximab at 375 mg/m</w:t>
      </w:r>
      <w:r w:rsidRPr="00E07EDD">
        <w:rPr>
          <w:b w:val="0"/>
          <w:sz w:val="22"/>
          <w:szCs w:val="22"/>
          <w:vertAlign w:val="superscript"/>
        </w:rPr>
        <w:t>2</w:t>
      </w:r>
      <w:r w:rsidRPr="00E07EDD">
        <w:rPr>
          <w:b w:val="0"/>
          <w:sz w:val="22"/>
          <w:szCs w:val="22"/>
        </w:rPr>
        <w:t>, cyclophosphamide at 750 mg/m</w:t>
      </w:r>
      <w:r w:rsidRPr="00E07EDD">
        <w:rPr>
          <w:b w:val="0"/>
          <w:sz w:val="22"/>
          <w:szCs w:val="22"/>
          <w:vertAlign w:val="superscript"/>
        </w:rPr>
        <w:t>2</w:t>
      </w:r>
      <w:r w:rsidRPr="00E07EDD">
        <w:rPr>
          <w:b w:val="0"/>
          <w:sz w:val="22"/>
          <w:szCs w:val="22"/>
        </w:rPr>
        <w:t>, and doxorubicin at 50 mg/m</w:t>
      </w:r>
      <w:r w:rsidRPr="00E07EDD">
        <w:rPr>
          <w:b w:val="0"/>
          <w:sz w:val="22"/>
          <w:szCs w:val="22"/>
          <w:vertAlign w:val="superscript"/>
        </w:rPr>
        <w:t>2</w:t>
      </w:r>
      <w:r w:rsidRPr="00E07EDD">
        <w:rPr>
          <w:b w:val="0"/>
          <w:sz w:val="22"/>
          <w:szCs w:val="22"/>
        </w:rPr>
        <w:t xml:space="preserve">.  </w:t>
      </w:r>
    </w:p>
    <w:p w:rsidR="00405A74" w:rsidRPr="00E07EDD" w:rsidRDefault="00405A74" w:rsidP="00405A74">
      <w:pPr>
        <w:pStyle w:val="Heading4"/>
        <w:spacing w:before="120" w:after="80"/>
        <w:rPr>
          <w:rFonts w:cs="Arial"/>
          <w:b w:val="0"/>
          <w:sz w:val="22"/>
          <w:szCs w:val="22"/>
        </w:rPr>
      </w:pPr>
      <w:r w:rsidRPr="00E07EDD">
        <w:rPr>
          <w:b w:val="0"/>
          <w:sz w:val="22"/>
          <w:szCs w:val="22"/>
        </w:rPr>
        <w:t>Prednisone is administered orally at 100 mg/m</w:t>
      </w:r>
      <w:r w:rsidRPr="00E07EDD">
        <w:rPr>
          <w:b w:val="0"/>
          <w:sz w:val="22"/>
          <w:szCs w:val="22"/>
          <w:vertAlign w:val="superscript"/>
        </w:rPr>
        <w:t>2</w:t>
      </w:r>
      <w:r w:rsidRPr="00E07EDD">
        <w:rPr>
          <w:b w:val="0"/>
          <w:sz w:val="22"/>
          <w:szCs w:val="22"/>
        </w:rPr>
        <w:t xml:space="preserve"> on </w:t>
      </w:r>
      <w:r w:rsidRPr="00E07EDD">
        <w:rPr>
          <w:rFonts w:cs="Arial"/>
          <w:b w:val="0"/>
          <w:sz w:val="22"/>
          <w:szCs w:val="22"/>
        </w:rPr>
        <w:t xml:space="preserve">Days 1, 2, 3, 4 and 5 of each treatment cycle. </w:t>
      </w:r>
    </w:p>
    <w:p w:rsidR="00405A74" w:rsidRPr="00A45996" w:rsidRDefault="00405A74" w:rsidP="00405A74">
      <w:pPr>
        <w:rPr>
          <w:sz w:val="14"/>
        </w:rPr>
      </w:pPr>
    </w:p>
    <w:p w:rsidR="00405A74" w:rsidRPr="00A45996" w:rsidRDefault="00405A74" w:rsidP="00405A74">
      <w:pPr>
        <w:pStyle w:val="Heading4"/>
        <w:spacing w:before="120" w:after="80"/>
        <w:rPr>
          <w:rFonts w:cs="Arial"/>
          <w:b w:val="0"/>
          <w:sz w:val="22"/>
          <w:szCs w:val="22"/>
          <w:u w:val="single"/>
        </w:rPr>
      </w:pPr>
      <w:r w:rsidRPr="00A45996">
        <w:rPr>
          <w:rFonts w:cs="Arial"/>
          <w:b w:val="0"/>
          <w:sz w:val="22"/>
          <w:szCs w:val="22"/>
          <w:u w:val="single"/>
        </w:rPr>
        <w:t>Dose Adjustments during Treatment for Patients with Previously Untreated Mantle Cell Lymphoma</w:t>
      </w:r>
    </w:p>
    <w:p w:rsidR="00405A74" w:rsidRPr="00A45996" w:rsidRDefault="00405A74" w:rsidP="00405A74">
      <w:pPr>
        <w:autoSpaceDE w:val="0"/>
        <w:autoSpaceDN w:val="0"/>
        <w:adjustRightInd w:val="0"/>
        <w:rPr>
          <w:rFonts w:cs="Arial"/>
          <w:sz w:val="22"/>
          <w:szCs w:val="22"/>
        </w:rPr>
      </w:pPr>
      <w:r w:rsidRPr="00A45996">
        <w:rPr>
          <w:rFonts w:cs="Arial"/>
          <w:sz w:val="22"/>
          <w:szCs w:val="22"/>
        </w:rPr>
        <w:t>Prior to initiating a new cycle of therapy:</w:t>
      </w:r>
    </w:p>
    <w:p w:rsidR="00405A74" w:rsidRPr="00A45996" w:rsidRDefault="00405A74" w:rsidP="00405A74">
      <w:pPr>
        <w:keepLines w:val="0"/>
        <w:numPr>
          <w:ilvl w:val="0"/>
          <w:numId w:val="12"/>
        </w:numPr>
        <w:autoSpaceDE w:val="0"/>
        <w:autoSpaceDN w:val="0"/>
        <w:adjustRightInd w:val="0"/>
        <w:jc w:val="left"/>
        <w:rPr>
          <w:rFonts w:cs="Arial"/>
          <w:sz w:val="22"/>
          <w:szCs w:val="22"/>
        </w:rPr>
      </w:pPr>
      <w:r w:rsidRPr="00A45996">
        <w:rPr>
          <w:rFonts w:cs="Arial"/>
          <w:sz w:val="22"/>
          <w:szCs w:val="22"/>
        </w:rPr>
        <w:t>Platelet count should be ≥ 100 x 10</w:t>
      </w:r>
      <w:r w:rsidRPr="00A45996">
        <w:rPr>
          <w:rFonts w:cs="Arial"/>
          <w:sz w:val="22"/>
          <w:szCs w:val="22"/>
          <w:vertAlign w:val="superscript"/>
        </w:rPr>
        <w:t>9</w:t>
      </w:r>
      <w:r w:rsidRPr="00A45996">
        <w:rPr>
          <w:rFonts w:cs="Arial"/>
          <w:sz w:val="22"/>
          <w:szCs w:val="22"/>
        </w:rPr>
        <w:t>/L and absolute neutrophil count (ANC) should be ≥ 1.5 x 10</w:t>
      </w:r>
      <w:r w:rsidRPr="00A45996">
        <w:rPr>
          <w:rFonts w:cs="Arial"/>
          <w:sz w:val="22"/>
          <w:szCs w:val="22"/>
          <w:vertAlign w:val="superscript"/>
        </w:rPr>
        <w:t>9</w:t>
      </w:r>
      <w:r w:rsidRPr="00A45996">
        <w:rPr>
          <w:rFonts w:cs="Arial"/>
          <w:sz w:val="22"/>
          <w:szCs w:val="22"/>
        </w:rPr>
        <w:t>/L</w:t>
      </w:r>
    </w:p>
    <w:p w:rsidR="00405A74" w:rsidRPr="00A45996" w:rsidRDefault="00405A74" w:rsidP="00405A74">
      <w:pPr>
        <w:keepLines w:val="0"/>
        <w:numPr>
          <w:ilvl w:val="0"/>
          <w:numId w:val="12"/>
        </w:numPr>
        <w:autoSpaceDE w:val="0"/>
        <w:autoSpaceDN w:val="0"/>
        <w:adjustRightInd w:val="0"/>
        <w:jc w:val="left"/>
        <w:rPr>
          <w:rFonts w:cs="Arial"/>
          <w:sz w:val="22"/>
          <w:szCs w:val="22"/>
        </w:rPr>
      </w:pPr>
      <w:proofErr w:type="spellStart"/>
      <w:r w:rsidRPr="00A45996">
        <w:rPr>
          <w:rFonts w:cs="Arial"/>
          <w:sz w:val="22"/>
          <w:szCs w:val="22"/>
        </w:rPr>
        <w:t>Hemoglobin</w:t>
      </w:r>
      <w:proofErr w:type="spellEnd"/>
      <w:r w:rsidRPr="00A45996">
        <w:rPr>
          <w:rFonts w:cs="Arial"/>
          <w:sz w:val="22"/>
          <w:szCs w:val="22"/>
        </w:rPr>
        <w:t xml:space="preserve"> should be ≥ 8 g/</w:t>
      </w:r>
      <w:proofErr w:type="spellStart"/>
      <w:r w:rsidRPr="00A45996">
        <w:rPr>
          <w:rFonts w:cs="Arial"/>
          <w:sz w:val="22"/>
          <w:szCs w:val="22"/>
        </w:rPr>
        <w:t>dL</w:t>
      </w:r>
      <w:proofErr w:type="spellEnd"/>
      <w:r w:rsidRPr="00A45996">
        <w:rPr>
          <w:rFonts w:cs="Arial"/>
          <w:sz w:val="22"/>
          <w:szCs w:val="22"/>
        </w:rPr>
        <w:t xml:space="preserve"> </w:t>
      </w:r>
    </w:p>
    <w:p w:rsidR="00405A74" w:rsidRPr="00A45996" w:rsidRDefault="00405A74" w:rsidP="00405A74">
      <w:pPr>
        <w:keepLines w:val="0"/>
        <w:numPr>
          <w:ilvl w:val="0"/>
          <w:numId w:val="12"/>
        </w:numPr>
        <w:autoSpaceDE w:val="0"/>
        <w:autoSpaceDN w:val="0"/>
        <w:adjustRightInd w:val="0"/>
        <w:spacing w:after="120"/>
        <w:jc w:val="left"/>
        <w:rPr>
          <w:rFonts w:cs="Arial"/>
          <w:sz w:val="22"/>
          <w:szCs w:val="22"/>
        </w:rPr>
      </w:pPr>
      <w:r w:rsidRPr="00A45996">
        <w:rPr>
          <w:rFonts w:cs="Arial"/>
          <w:sz w:val="22"/>
          <w:szCs w:val="22"/>
        </w:rPr>
        <w:t xml:space="preserve">Non-hematologic toxicity should have recovered to Grade 1 or baseline </w:t>
      </w:r>
    </w:p>
    <w:p w:rsidR="00405A74" w:rsidRPr="00A45996" w:rsidRDefault="00405A74" w:rsidP="00405A74">
      <w:pPr>
        <w:outlineLvl w:val="0"/>
        <w:rPr>
          <w:rFonts w:cs="Arial"/>
          <w:sz w:val="22"/>
          <w:szCs w:val="22"/>
        </w:rPr>
      </w:pPr>
    </w:p>
    <w:p w:rsidR="00405A74" w:rsidRPr="00A45996" w:rsidRDefault="00405A74" w:rsidP="00405A74">
      <w:pPr>
        <w:outlineLvl w:val="0"/>
        <w:rPr>
          <w:rFonts w:cs="Arial"/>
          <w:sz w:val="22"/>
          <w:szCs w:val="22"/>
        </w:rPr>
      </w:pPr>
      <w:r w:rsidRPr="00A45996">
        <w:rPr>
          <w:rFonts w:cs="Arial"/>
          <w:sz w:val="22"/>
          <w:szCs w:val="22"/>
        </w:rPr>
        <w:t xml:space="preserve">VELCADE treatment must be withheld at the onset of any ≥ Grade 3 VELCADE-related non haematological toxicities (excluding neuropathy) or ≥ Grade 3 haematological toxicities (see also </w:t>
      </w:r>
      <w:r w:rsidRPr="00A45996">
        <w:rPr>
          <w:rFonts w:cs="Arial"/>
          <w:b/>
          <w:sz w:val="22"/>
          <w:szCs w:val="22"/>
        </w:rPr>
        <w:t>PRECAUTIONS</w:t>
      </w:r>
      <w:r w:rsidRPr="00A45996">
        <w:rPr>
          <w:rFonts w:cs="Arial"/>
          <w:sz w:val="22"/>
          <w:szCs w:val="22"/>
        </w:rPr>
        <w:t xml:space="preserve">).  For dose adjustments, see Table 25 below. Colony stimulating factors may be administered for </w:t>
      </w:r>
      <w:proofErr w:type="spellStart"/>
      <w:r w:rsidRPr="00A45996">
        <w:rPr>
          <w:rFonts w:cs="Arial"/>
          <w:sz w:val="22"/>
          <w:szCs w:val="22"/>
        </w:rPr>
        <w:t>haematologic</w:t>
      </w:r>
      <w:proofErr w:type="spellEnd"/>
      <w:r w:rsidRPr="00A45996">
        <w:rPr>
          <w:rFonts w:cs="Arial"/>
          <w:sz w:val="22"/>
          <w:szCs w:val="22"/>
        </w:rPr>
        <w:t xml:space="preserve"> toxicity according to local standard practice. Platelet transfusion for the treatment of thrombocytopenia may be considered.</w:t>
      </w:r>
    </w:p>
    <w:p w:rsidR="00405A74" w:rsidRPr="00A45996" w:rsidRDefault="00405A74" w:rsidP="00405A74">
      <w:pPr>
        <w:outlineLvl w:val="0"/>
        <w:rPr>
          <w:rFonts w:cs="Arial"/>
          <w:sz w:val="22"/>
          <w:szCs w:val="22"/>
        </w:rPr>
      </w:pPr>
    </w:p>
    <w:p w:rsidR="00405A74" w:rsidRPr="00A45996" w:rsidRDefault="00405A74" w:rsidP="00405A74">
      <w:pPr>
        <w:ind w:left="900" w:hanging="900"/>
        <w:outlineLvl w:val="0"/>
        <w:rPr>
          <w:b/>
          <w:iCs/>
          <w:u w:val="single"/>
        </w:rPr>
      </w:pPr>
      <w:r w:rsidRPr="00A45996">
        <w:rPr>
          <w:b/>
          <w:bCs/>
          <w:iCs/>
        </w:rPr>
        <w:t xml:space="preserve">Table 25: </w:t>
      </w:r>
      <w:r w:rsidRPr="00A45996">
        <w:rPr>
          <w:b/>
        </w:rPr>
        <w:t>Dose Adjustments during Treatment for Patients with Previously Untreated Mantle Cell Lymphoma</w:t>
      </w:r>
    </w:p>
    <w:p w:rsidR="00405A74" w:rsidRPr="00A45996" w:rsidRDefault="00405A74" w:rsidP="00405A74">
      <w:pPr>
        <w:rPr>
          <w:rFonts w:cs="Arial"/>
          <w:sz w:val="22"/>
          <w:szCs w:val="22"/>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92"/>
        <w:gridCol w:w="4697"/>
      </w:tblGrid>
      <w:tr w:rsidR="00405A74" w:rsidRPr="00A45996" w:rsidTr="004748A1">
        <w:trPr>
          <w:cantSplit/>
          <w:tblHeader/>
        </w:trPr>
        <w:tc>
          <w:tcPr>
            <w:tcW w:w="4787" w:type="dxa"/>
            <w:tcBorders>
              <w:top w:val="single" w:sz="12" w:space="0" w:color="auto"/>
              <w:bottom w:val="single" w:sz="12" w:space="0" w:color="auto"/>
            </w:tcBorders>
          </w:tcPr>
          <w:p w:rsidR="00405A74" w:rsidRPr="00A45996" w:rsidRDefault="00405A74" w:rsidP="004748A1">
            <w:pPr>
              <w:rPr>
                <w:rFonts w:cs="Arial"/>
                <w:b/>
                <w:bCs/>
                <w:sz w:val="22"/>
                <w:szCs w:val="22"/>
              </w:rPr>
            </w:pPr>
            <w:r w:rsidRPr="00A45996">
              <w:rPr>
                <w:rFonts w:cs="Arial"/>
                <w:b/>
                <w:bCs/>
                <w:sz w:val="22"/>
                <w:szCs w:val="22"/>
              </w:rPr>
              <w:t>Toxicity</w:t>
            </w:r>
          </w:p>
        </w:tc>
        <w:tc>
          <w:tcPr>
            <w:tcW w:w="4789" w:type="dxa"/>
            <w:tcBorders>
              <w:top w:val="single" w:sz="12" w:space="0" w:color="auto"/>
              <w:bottom w:val="single" w:sz="12" w:space="0" w:color="auto"/>
            </w:tcBorders>
          </w:tcPr>
          <w:p w:rsidR="00405A74" w:rsidRPr="00A45996" w:rsidRDefault="00405A74" w:rsidP="004748A1">
            <w:pPr>
              <w:rPr>
                <w:rFonts w:cs="Arial"/>
                <w:b/>
                <w:bCs/>
                <w:sz w:val="22"/>
                <w:szCs w:val="22"/>
              </w:rPr>
            </w:pPr>
            <w:r w:rsidRPr="00A45996">
              <w:rPr>
                <w:rFonts w:cs="Arial"/>
                <w:b/>
                <w:bCs/>
                <w:sz w:val="22"/>
                <w:szCs w:val="22"/>
              </w:rPr>
              <w:t>Posology modification or delay</w:t>
            </w:r>
          </w:p>
        </w:tc>
      </w:tr>
      <w:tr w:rsidR="00405A74" w:rsidRPr="00A45996" w:rsidTr="004748A1">
        <w:trPr>
          <w:cantSplit/>
        </w:trPr>
        <w:tc>
          <w:tcPr>
            <w:tcW w:w="4787" w:type="dxa"/>
            <w:tcBorders>
              <w:top w:val="single" w:sz="12" w:space="0" w:color="auto"/>
              <w:bottom w:val="nil"/>
            </w:tcBorders>
          </w:tcPr>
          <w:p w:rsidR="00405A74" w:rsidRPr="00A45996" w:rsidRDefault="00405A74" w:rsidP="004748A1">
            <w:pPr>
              <w:rPr>
                <w:rFonts w:cs="Arial"/>
                <w:bCs/>
                <w:i/>
                <w:iCs/>
                <w:sz w:val="22"/>
                <w:szCs w:val="22"/>
                <w:u w:val="single"/>
              </w:rPr>
            </w:pPr>
            <w:proofErr w:type="spellStart"/>
            <w:r w:rsidRPr="00A45996">
              <w:rPr>
                <w:rFonts w:cs="Arial"/>
                <w:bCs/>
                <w:i/>
                <w:iCs/>
                <w:sz w:val="22"/>
                <w:szCs w:val="22"/>
              </w:rPr>
              <w:t>Hematological</w:t>
            </w:r>
            <w:proofErr w:type="spellEnd"/>
            <w:r w:rsidRPr="00A45996">
              <w:rPr>
                <w:rFonts w:cs="Arial"/>
                <w:bCs/>
                <w:i/>
                <w:iCs/>
                <w:sz w:val="22"/>
                <w:szCs w:val="22"/>
              </w:rPr>
              <w:t xml:space="preserve"> toxicity </w:t>
            </w:r>
          </w:p>
        </w:tc>
        <w:tc>
          <w:tcPr>
            <w:tcW w:w="4789" w:type="dxa"/>
            <w:tcBorders>
              <w:top w:val="single" w:sz="12" w:space="0" w:color="auto"/>
              <w:bottom w:val="nil"/>
            </w:tcBorders>
          </w:tcPr>
          <w:p w:rsidR="00405A74" w:rsidRPr="00A45996" w:rsidRDefault="00405A74" w:rsidP="004748A1">
            <w:pPr>
              <w:rPr>
                <w:rFonts w:cs="Arial"/>
                <w:bCs/>
                <w:i/>
                <w:iCs/>
                <w:sz w:val="22"/>
                <w:szCs w:val="22"/>
                <w:u w:val="single"/>
              </w:rPr>
            </w:pPr>
          </w:p>
        </w:tc>
      </w:tr>
      <w:tr w:rsidR="00405A74" w:rsidRPr="00A45996" w:rsidTr="004748A1">
        <w:trPr>
          <w:cantSplit/>
        </w:trPr>
        <w:tc>
          <w:tcPr>
            <w:tcW w:w="4787" w:type="dxa"/>
            <w:tcBorders>
              <w:top w:val="nil"/>
            </w:tcBorders>
          </w:tcPr>
          <w:p w:rsidR="00405A74" w:rsidRPr="00A45996" w:rsidRDefault="00405A74" w:rsidP="00405A74">
            <w:pPr>
              <w:keepLines w:val="0"/>
              <w:numPr>
                <w:ilvl w:val="0"/>
                <w:numId w:val="13"/>
              </w:numPr>
              <w:tabs>
                <w:tab w:val="clear" w:pos="360"/>
              </w:tabs>
              <w:ind w:left="284" w:hanging="284"/>
              <w:jc w:val="left"/>
              <w:rPr>
                <w:rFonts w:cs="Arial"/>
                <w:sz w:val="22"/>
                <w:szCs w:val="22"/>
              </w:rPr>
            </w:pPr>
            <w:r w:rsidRPr="00A45996">
              <w:rPr>
                <w:rFonts w:cs="Arial"/>
                <w:sz w:val="22"/>
                <w:szCs w:val="22"/>
              </w:rPr>
              <w:t>≥ Grade 3 neutropenia with fever, Grade 4 neutropenia lasting more than 7 days, a platelet count &lt; 10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/L</w:t>
            </w:r>
          </w:p>
        </w:tc>
        <w:tc>
          <w:tcPr>
            <w:tcW w:w="4789" w:type="dxa"/>
            <w:tcBorders>
              <w:top w:val="nil"/>
            </w:tcBorders>
          </w:tcPr>
          <w:p w:rsidR="00405A74" w:rsidRPr="00A45996" w:rsidRDefault="00405A74" w:rsidP="004748A1">
            <w:pPr>
              <w:rPr>
                <w:rFonts w:cs="Arial"/>
                <w:sz w:val="22"/>
                <w:szCs w:val="22"/>
              </w:rPr>
            </w:pPr>
            <w:r w:rsidRPr="00A45996">
              <w:rPr>
                <w:rFonts w:cs="Arial"/>
                <w:sz w:val="22"/>
                <w:szCs w:val="22"/>
              </w:rPr>
              <w:t>VELCADE therapy should be withheld for up to 2 weeks until the patient has an ANC ≥ </w:t>
            </w:r>
            <w:proofErr w:type="gramStart"/>
            <w:r w:rsidRPr="00A45996">
              <w:rPr>
                <w:rFonts w:cs="Arial"/>
                <w:sz w:val="22"/>
                <w:szCs w:val="22"/>
              </w:rPr>
              <w:t>0.75 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/L</w:t>
            </w:r>
            <w:proofErr w:type="gramEnd"/>
            <w:r w:rsidRPr="00A45996">
              <w:rPr>
                <w:rFonts w:cs="Arial"/>
                <w:sz w:val="22"/>
                <w:szCs w:val="22"/>
              </w:rPr>
              <w:t xml:space="preserve"> and a platelet count ≥ 25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 xml:space="preserve">/L. </w:t>
            </w:r>
          </w:p>
          <w:p w:rsidR="00405A74" w:rsidRPr="00A45996" w:rsidRDefault="00405A74" w:rsidP="00405A74">
            <w:pPr>
              <w:pStyle w:val="ListParagraph"/>
              <w:keepLines w:val="0"/>
              <w:numPr>
                <w:ilvl w:val="0"/>
                <w:numId w:val="13"/>
              </w:numPr>
              <w:contextualSpacing w:val="0"/>
              <w:jc w:val="left"/>
              <w:rPr>
                <w:rFonts w:cs="Arial"/>
                <w:sz w:val="22"/>
                <w:szCs w:val="22"/>
              </w:rPr>
            </w:pPr>
            <w:r w:rsidRPr="00A45996">
              <w:rPr>
                <w:rFonts w:cs="Arial"/>
                <w:sz w:val="22"/>
                <w:szCs w:val="22"/>
              </w:rPr>
              <w:t>If, after VELCADE has been held, the toxicity does not resolve, as defined above, then VELCADE must be discontinued.</w:t>
            </w:r>
          </w:p>
          <w:p w:rsidR="00405A74" w:rsidRPr="00A45996" w:rsidRDefault="00405A74" w:rsidP="00405A74">
            <w:pPr>
              <w:pStyle w:val="ListParagraph"/>
              <w:keepLines w:val="0"/>
              <w:numPr>
                <w:ilvl w:val="0"/>
                <w:numId w:val="13"/>
              </w:numPr>
              <w:contextualSpacing w:val="0"/>
              <w:jc w:val="left"/>
              <w:rPr>
                <w:rFonts w:cs="Arial"/>
                <w:sz w:val="22"/>
                <w:szCs w:val="22"/>
              </w:rPr>
            </w:pPr>
            <w:r w:rsidRPr="00A45996">
              <w:rPr>
                <w:rFonts w:cs="Arial"/>
                <w:sz w:val="22"/>
                <w:szCs w:val="22"/>
              </w:rPr>
              <w:t>If toxicity resolves i.e. patient has an ANC ≥ 0.75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/L and a platelet count ≥ 25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/L,  VELCADE may be reinitiated at a dose reduced by one dose level (from 1.3 mg/m</w:t>
            </w:r>
            <w:r w:rsidRPr="00A45996">
              <w:rPr>
                <w:rFonts w:cs="Arial"/>
                <w:sz w:val="22"/>
                <w:szCs w:val="22"/>
                <w:vertAlign w:val="superscript"/>
              </w:rPr>
              <w:t>2</w:t>
            </w:r>
            <w:r w:rsidRPr="00A45996">
              <w:rPr>
                <w:rFonts w:cs="Arial"/>
                <w:sz w:val="22"/>
                <w:szCs w:val="22"/>
              </w:rPr>
              <w:t xml:space="preserve"> to 1 mg/m</w:t>
            </w:r>
            <w:r w:rsidRPr="00A45996">
              <w:rPr>
                <w:rFonts w:cs="Arial"/>
                <w:sz w:val="22"/>
                <w:szCs w:val="22"/>
                <w:vertAlign w:val="superscript"/>
              </w:rPr>
              <w:t>2</w:t>
            </w:r>
            <w:r w:rsidRPr="00A45996">
              <w:rPr>
                <w:rFonts w:cs="Arial"/>
                <w:sz w:val="22"/>
                <w:szCs w:val="22"/>
              </w:rPr>
              <w:t>, or from 1 mg/m</w:t>
            </w:r>
            <w:r w:rsidRPr="00A45996">
              <w:rPr>
                <w:rFonts w:cs="Arial"/>
                <w:sz w:val="22"/>
                <w:szCs w:val="22"/>
                <w:vertAlign w:val="superscript"/>
              </w:rPr>
              <w:t xml:space="preserve">2 </w:t>
            </w:r>
            <w:r w:rsidRPr="00A45996">
              <w:rPr>
                <w:rFonts w:cs="Arial"/>
                <w:sz w:val="22"/>
                <w:szCs w:val="22"/>
              </w:rPr>
              <w:t>to 0.7 mg/m</w:t>
            </w:r>
            <w:r w:rsidRPr="00A45996">
              <w:rPr>
                <w:rFonts w:cs="Arial"/>
                <w:sz w:val="22"/>
                <w:szCs w:val="22"/>
                <w:vertAlign w:val="superscript"/>
              </w:rPr>
              <w:t>2</w:t>
            </w:r>
            <w:r w:rsidRPr="00A45996">
              <w:rPr>
                <w:rFonts w:cs="Arial"/>
                <w:sz w:val="22"/>
                <w:szCs w:val="22"/>
              </w:rPr>
              <w:t>).</w:t>
            </w:r>
          </w:p>
          <w:p w:rsidR="00405A74" w:rsidRPr="00A45996" w:rsidRDefault="00405A74" w:rsidP="004748A1">
            <w:pPr>
              <w:pStyle w:val="ListParagraph"/>
              <w:keepLines w:val="0"/>
              <w:ind w:left="360"/>
              <w:contextualSpacing w:val="0"/>
              <w:jc w:val="left"/>
              <w:rPr>
                <w:rFonts w:cs="Arial"/>
                <w:sz w:val="22"/>
                <w:szCs w:val="22"/>
              </w:rPr>
            </w:pPr>
          </w:p>
        </w:tc>
      </w:tr>
      <w:tr w:rsidR="00405A74" w:rsidRPr="00A45996" w:rsidTr="004748A1">
        <w:trPr>
          <w:cantSplit/>
        </w:trPr>
        <w:tc>
          <w:tcPr>
            <w:tcW w:w="4787" w:type="dxa"/>
            <w:tcBorders>
              <w:bottom w:val="double" w:sz="12" w:space="0" w:color="auto"/>
            </w:tcBorders>
          </w:tcPr>
          <w:p w:rsidR="00405A74" w:rsidRPr="00A45996" w:rsidRDefault="00405A74" w:rsidP="00405A74">
            <w:pPr>
              <w:keepLines w:val="0"/>
              <w:numPr>
                <w:ilvl w:val="0"/>
                <w:numId w:val="13"/>
              </w:numPr>
              <w:tabs>
                <w:tab w:val="clear" w:pos="360"/>
              </w:tabs>
              <w:ind w:left="284" w:hanging="284"/>
              <w:jc w:val="left"/>
              <w:rPr>
                <w:rFonts w:cs="Arial"/>
                <w:sz w:val="22"/>
                <w:szCs w:val="22"/>
              </w:rPr>
            </w:pPr>
            <w:r w:rsidRPr="00A45996">
              <w:rPr>
                <w:rFonts w:cs="Arial"/>
                <w:sz w:val="22"/>
                <w:szCs w:val="22"/>
              </w:rPr>
              <w:t>If platelet counts &lt; 25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/L. or ANC &lt; 0.75 </w:t>
            </w:r>
            <w:r w:rsidRPr="00A45996">
              <w:rPr>
                <w:rFonts w:cs="Arial"/>
                <w:sz w:val="22"/>
                <w:szCs w:val="22"/>
              </w:rPr>
              <w:sym w:font="Symbol" w:char="F0B4"/>
            </w:r>
            <w:r w:rsidRPr="00A45996">
              <w:rPr>
                <w:rFonts w:cs="Arial"/>
                <w:sz w:val="22"/>
                <w:szCs w:val="22"/>
              </w:rPr>
              <w:t> 10</w:t>
            </w:r>
            <w:r w:rsidRPr="00A45996">
              <w:rPr>
                <w:rFonts w:cs="Arial"/>
                <w:sz w:val="22"/>
                <w:szCs w:val="22"/>
                <w:vertAlign w:val="superscript"/>
              </w:rPr>
              <w:t>9</w:t>
            </w:r>
            <w:r w:rsidRPr="00A45996">
              <w:rPr>
                <w:rFonts w:cs="Arial"/>
                <w:sz w:val="22"/>
                <w:szCs w:val="22"/>
              </w:rPr>
              <w:t>/L on a VELCADE dosing day (other than Day 1 of each cycle)</w:t>
            </w:r>
          </w:p>
        </w:tc>
        <w:tc>
          <w:tcPr>
            <w:tcW w:w="4789" w:type="dxa"/>
            <w:tcBorders>
              <w:bottom w:val="double" w:sz="12" w:space="0" w:color="auto"/>
            </w:tcBorders>
          </w:tcPr>
          <w:p w:rsidR="00405A74" w:rsidRPr="00A45996" w:rsidRDefault="00405A74" w:rsidP="004748A1">
            <w:pPr>
              <w:rPr>
                <w:rFonts w:cs="Arial"/>
                <w:sz w:val="22"/>
                <w:szCs w:val="22"/>
              </w:rPr>
            </w:pPr>
            <w:r w:rsidRPr="00A45996">
              <w:rPr>
                <w:rFonts w:cs="Arial"/>
                <w:sz w:val="22"/>
                <w:szCs w:val="22"/>
              </w:rPr>
              <w:t xml:space="preserve">VELCADE dose should be withheld </w:t>
            </w:r>
          </w:p>
        </w:tc>
      </w:tr>
      <w:tr w:rsidR="00405A74" w:rsidRPr="00A45996" w:rsidTr="004748A1">
        <w:trPr>
          <w:cantSplit/>
        </w:trPr>
        <w:tc>
          <w:tcPr>
            <w:tcW w:w="4787" w:type="dxa"/>
            <w:tcBorders>
              <w:top w:val="double" w:sz="12" w:space="0" w:color="auto"/>
              <w:bottom w:val="single" w:sz="12" w:space="0" w:color="auto"/>
            </w:tcBorders>
          </w:tcPr>
          <w:p w:rsidR="00405A74" w:rsidRPr="00A45996" w:rsidRDefault="00405A74" w:rsidP="004748A1">
            <w:pPr>
              <w:rPr>
                <w:rFonts w:cs="Arial"/>
                <w:i/>
                <w:sz w:val="22"/>
                <w:szCs w:val="22"/>
              </w:rPr>
            </w:pPr>
            <w:r w:rsidRPr="00A45996">
              <w:rPr>
                <w:rFonts w:cs="Arial"/>
                <w:i/>
                <w:sz w:val="22"/>
                <w:szCs w:val="22"/>
              </w:rPr>
              <w:t>Grade ≥ 3 non</w:t>
            </w:r>
            <w:r w:rsidRPr="00A45996">
              <w:rPr>
                <w:rFonts w:cs="Arial"/>
                <w:i/>
                <w:sz w:val="22"/>
                <w:szCs w:val="22"/>
              </w:rPr>
              <w:noBreakHyphen/>
            </w:r>
            <w:proofErr w:type="spellStart"/>
            <w:r w:rsidRPr="00A45996">
              <w:rPr>
                <w:rFonts w:cs="Arial"/>
                <w:i/>
                <w:sz w:val="22"/>
                <w:szCs w:val="22"/>
              </w:rPr>
              <w:t>hematological</w:t>
            </w:r>
            <w:proofErr w:type="spellEnd"/>
            <w:r w:rsidRPr="00A45996">
              <w:rPr>
                <w:rFonts w:cs="Arial"/>
                <w:i/>
                <w:sz w:val="22"/>
                <w:szCs w:val="22"/>
              </w:rPr>
              <w:t xml:space="preserve"> toxicities considered to be related to VELCADE </w:t>
            </w:r>
          </w:p>
        </w:tc>
        <w:tc>
          <w:tcPr>
            <w:tcW w:w="4789" w:type="dxa"/>
            <w:tcBorders>
              <w:top w:val="double" w:sz="12" w:space="0" w:color="auto"/>
              <w:bottom w:val="single" w:sz="12" w:space="0" w:color="auto"/>
            </w:tcBorders>
          </w:tcPr>
          <w:p w:rsidR="00405A74" w:rsidRPr="00A45996" w:rsidRDefault="00405A74" w:rsidP="004748A1">
            <w:pPr>
              <w:rPr>
                <w:rFonts w:cs="Arial"/>
                <w:sz w:val="22"/>
                <w:szCs w:val="22"/>
              </w:rPr>
            </w:pPr>
            <w:r w:rsidRPr="00A45996">
              <w:rPr>
                <w:rFonts w:cs="Arial"/>
                <w:sz w:val="22"/>
                <w:szCs w:val="22"/>
              </w:rPr>
              <w:t>VELCADE therapy should be withheld until symptoms of the toxicity have resolved to Grade 2 or better. Then, VELCADE may be reinitiated with one dose level reduction (from 1.3 mg/m</w:t>
            </w:r>
            <w:r w:rsidRPr="00A45996">
              <w:rPr>
                <w:rFonts w:cs="Arial"/>
                <w:sz w:val="22"/>
                <w:szCs w:val="22"/>
                <w:vertAlign w:val="superscript"/>
              </w:rPr>
              <w:t>2</w:t>
            </w:r>
            <w:r w:rsidRPr="00A45996">
              <w:rPr>
                <w:rFonts w:cs="Arial"/>
                <w:sz w:val="22"/>
                <w:szCs w:val="22"/>
              </w:rPr>
              <w:t xml:space="preserve"> to 1 mg/m</w:t>
            </w:r>
            <w:r w:rsidRPr="00A45996">
              <w:rPr>
                <w:rFonts w:cs="Arial"/>
                <w:sz w:val="22"/>
                <w:szCs w:val="22"/>
                <w:vertAlign w:val="superscript"/>
              </w:rPr>
              <w:t>2</w:t>
            </w:r>
            <w:r w:rsidRPr="00A45996">
              <w:rPr>
                <w:rFonts w:cs="Arial"/>
                <w:sz w:val="22"/>
                <w:szCs w:val="22"/>
              </w:rPr>
              <w:t>, or from 1 mg/m</w:t>
            </w:r>
            <w:r w:rsidRPr="00A45996">
              <w:rPr>
                <w:rFonts w:cs="Arial"/>
                <w:sz w:val="22"/>
                <w:szCs w:val="22"/>
                <w:vertAlign w:val="superscript"/>
              </w:rPr>
              <w:t>2</w:t>
            </w:r>
            <w:r w:rsidRPr="00A45996">
              <w:rPr>
                <w:rFonts w:cs="Arial"/>
                <w:sz w:val="22"/>
                <w:szCs w:val="22"/>
              </w:rPr>
              <w:t xml:space="preserve"> to 0.7 mg/m</w:t>
            </w:r>
            <w:r w:rsidRPr="00A45996">
              <w:rPr>
                <w:rFonts w:cs="Arial"/>
                <w:sz w:val="22"/>
                <w:szCs w:val="22"/>
                <w:vertAlign w:val="superscript"/>
              </w:rPr>
              <w:t>2</w:t>
            </w:r>
            <w:r w:rsidRPr="00A45996">
              <w:rPr>
                <w:rFonts w:cs="Arial"/>
                <w:sz w:val="22"/>
                <w:szCs w:val="22"/>
              </w:rPr>
              <w:t xml:space="preserve">). </w:t>
            </w:r>
          </w:p>
          <w:p w:rsidR="00405A74" w:rsidRPr="00A45996" w:rsidRDefault="00405A74" w:rsidP="004748A1">
            <w:pPr>
              <w:rPr>
                <w:rFonts w:cs="Arial"/>
                <w:sz w:val="22"/>
                <w:szCs w:val="22"/>
              </w:rPr>
            </w:pPr>
          </w:p>
          <w:p w:rsidR="00405A74" w:rsidRPr="00A45996" w:rsidRDefault="00405A74" w:rsidP="004748A1">
            <w:pPr>
              <w:rPr>
                <w:rFonts w:cs="Arial"/>
                <w:sz w:val="22"/>
                <w:szCs w:val="22"/>
              </w:rPr>
            </w:pPr>
            <w:r w:rsidRPr="00A45996">
              <w:rPr>
                <w:rFonts w:cs="Arial"/>
                <w:sz w:val="22"/>
                <w:szCs w:val="22"/>
              </w:rPr>
              <w:t>For VELCADE</w:t>
            </w:r>
            <w:r w:rsidRPr="00A45996">
              <w:rPr>
                <w:rFonts w:cs="Arial"/>
                <w:sz w:val="22"/>
                <w:szCs w:val="22"/>
              </w:rPr>
              <w:noBreakHyphen/>
              <w:t>related neuropathic pain and/or peripheral neuropathy, hold and/or modify VELCADE as outlined in Table 24.</w:t>
            </w:r>
          </w:p>
        </w:tc>
      </w:tr>
    </w:tbl>
    <w:p w:rsidR="00405A74" w:rsidRPr="00A45996" w:rsidRDefault="00405A74" w:rsidP="00405A74">
      <w:pPr>
        <w:rPr>
          <w:rFonts w:cs="Arial"/>
          <w:sz w:val="22"/>
          <w:szCs w:val="22"/>
        </w:rPr>
      </w:pPr>
    </w:p>
    <w:p w:rsidR="00405A74" w:rsidRPr="00A45996" w:rsidRDefault="00405A74" w:rsidP="00405A74">
      <w:pPr>
        <w:rPr>
          <w:rFonts w:cs="Arial"/>
          <w:sz w:val="22"/>
          <w:szCs w:val="22"/>
        </w:rPr>
      </w:pPr>
    </w:p>
    <w:p w:rsidR="00405A74" w:rsidRPr="00A45996" w:rsidRDefault="00405A74" w:rsidP="00405A74">
      <w:pPr>
        <w:outlineLvl w:val="0"/>
      </w:pPr>
      <w:r w:rsidRPr="00A45996">
        <w:rPr>
          <w:sz w:val="22"/>
          <w:szCs w:val="24"/>
        </w:rPr>
        <w:t>In addition, when VELCADE is given in combination with other chemotherapeutic medicinal products, appropriate dose reductions for these medicinal products should be considered in the event of toxicities, according to the recommendations in the respective Product Information documents.</w:t>
      </w:r>
    </w:p>
    <w:p w:rsidR="00405A74" w:rsidRPr="00A45996" w:rsidRDefault="00405A74" w:rsidP="00405A74">
      <w:pPr>
        <w:outlineLvl w:val="0"/>
        <w:rPr>
          <w:rFonts w:cs="Arial"/>
          <w:sz w:val="22"/>
          <w:szCs w:val="22"/>
        </w:rPr>
      </w:pPr>
    </w:p>
    <w:p w:rsidR="00405A74" w:rsidRPr="00A45996" w:rsidRDefault="00405A74" w:rsidP="00326C73">
      <w:pPr>
        <w:keepLines w:val="0"/>
        <w:rPr>
          <w:sz w:val="22"/>
        </w:rPr>
      </w:pPr>
    </w:p>
    <w:p w:rsidR="00326C73" w:rsidRPr="00A45996" w:rsidRDefault="00326C73" w:rsidP="00326C73">
      <w:pPr>
        <w:pStyle w:val="Heading4"/>
        <w:spacing w:before="120" w:after="80"/>
        <w:rPr>
          <w:sz w:val="24"/>
          <w:szCs w:val="24"/>
        </w:rPr>
      </w:pPr>
      <w:r w:rsidRPr="00A45996">
        <w:rPr>
          <w:sz w:val="24"/>
          <w:szCs w:val="24"/>
        </w:rPr>
        <w:t>Patients with Renal Impairment</w:t>
      </w:r>
    </w:p>
    <w:p w:rsidR="00834AB8" w:rsidRDefault="00326C73" w:rsidP="00326C73">
      <w:pPr>
        <w:rPr>
          <w:sz w:val="22"/>
          <w:szCs w:val="22"/>
        </w:rPr>
      </w:pPr>
      <w:r w:rsidRPr="00A45996">
        <w:rPr>
          <w:sz w:val="22"/>
          <w:szCs w:val="22"/>
        </w:rPr>
        <w:t xml:space="preserve">Based on the data from a small study, the pharmacokinetics of VELCADE are not influenced by mild </w:t>
      </w:r>
      <w:r w:rsidR="00645015" w:rsidRPr="00A45996">
        <w:rPr>
          <w:sz w:val="22"/>
          <w:szCs w:val="22"/>
        </w:rPr>
        <w:t>(</w:t>
      </w:r>
      <w:proofErr w:type="spellStart"/>
      <w:r w:rsidR="00645015" w:rsidRPr="00A45996">
        <w:rPr>
          <w:sz w:val="22"/>
          <w:szCs w:val="22"/>
        </w:rPr>
        <w:t>CrCL</w:t>
      </w:r>
      <w:proofErr w:type="spellEnd"/>
      <w:r w:rsidR="00645015" w:rsidRPr="00A45996">
        <w:rPr>
          <w:sz w:val="22"/>
          <w:szCs w:val="22"/>
        </w:rPr>
        <w:t xml:space="preserve"> = 40-59 mL/min/1.73 m</w:t>
      </w:r>
      <w:r w:rsidR="00645015" w:rsidRPr="00A45996">
        <w:rPr>
          <w:sz w:val="22"/>
          <w:szCs w:val="22"/>
          <w:vertAlign w:val="superscript"/>
        </w:rPr>
        <w:t>2</w:t>
      </w:r>
      <w:r w:rsidR="00645015" w:rsidRPr="00A45996">
        <w:rPr>
          <w:sz w:val="22"/>
          <w:szCs w:val="22"/>
        </w:rPr>
        <w:t xml:space="preserve">, n=10) </w:t>
      </w:r>
      <w:r w:rsidRPr="00A45996">
        <w:rPr>
          <w:sz w:val="22"/>
          <w:szCs w:val="22"/>
        </w:rPr>
        <w:t xml:space="preserve">or moderate </w:t>
      </w:r>
      <w:r w:rsidR="00645015" w:rsidRPr="00A45996">
        <w:rPr>
          <w:sz w:val="22"/>
          <w:szCs w:val="22"/>
        </w:rPr>
        <w:t>(</w:t>
      </w:r>
      <w:proofErr w:type="spellStart"/>
      <w:r w:rsidR="00645015" w:rsidRPr="00A45996">
        <w:rPr>
          <w:sz w:val="22"/>
          <w:szCs w:val="22"/>
        </w:rPr>
        <w:t>CrCL</w:t>
      </w:r>
      <w:proofErr w:type="spellEnd"/>
      <w:r w:rsidR="00645015" w:rsidRPr="00A45996">
        <w:rPr>
          <w:sz w:val="22"/>
          <w:szCs w:val="22"/>
        </w:rPr>
        <w:t xml:space="preserve"> = 20-39 mL/min/1.73 m</w:t>
      </w:r>
      <w:r w:rsidR="00645015" w:rsidRPr="00A45996">
        <w:rPr>
          <w:sz w:val="22"/>
          <w:szCs w:val="22"/>
          <w:vertAlign w:val="superscript"/>
        </w:rPr>
        <w:t>2</w:t>
      </w:r>
      <w:r w:rsidR="00645015" w:rsidRPr="00A45996">
        <w:rPr>
          <w:sz w:val="22"/>
          <w:szCs w:val="22"/>
        </w:rPr>
        <w:t xml:space="preserve">, n=9) </w:t>
      </w:r>
      <w:r w:rsidRPr="00A45996">
        <w:rPr>
          <w:sz w:val="22"/>
          <w:szCs w:val="22"/>
        </w:rPr>
        <w:t>renal impairment.  Therefore, dosing adjustments of VELCADE are not necessary for these patients.  The effect of severe renal impairment (</w:t>
      </w:r>
      <w:proofErr w:type="spellStart"/>
      <w:r w:rsidRPr="00A45996">
        <w:rPr>
          <w:sz w:val="22"/>
          <w:szCs w:val="22"/>
        </w:rPr>
        <w:t>CrCl</w:t>
      </w:r>
      <w:proofErr w:type="spellEnd"/>
      <w:r w:rsidRPr="00A45996">
        <w:rPr>
          <w:sz w:val="22"/>
          <w:szCs w:val="22"/>
        </w:rPr>
        <w:t xml:space="preserve"> &lt; 20mL/min/1.73m</w:t>
      </w:r>
      <w:r w:rsidRPr="00A45996">
        <w:rPr>
          <w:sz w:val="22"/>
          <w:szCs w:val="22"/>
          <w:vertAlign w:val="superscript"/>
        </w:rPr>
        <w:t>2</w:t>
      </w:r>
      <w:r w:rsidRPr="00A45996">
        <w:rPr>
          <w:sz w:val="22"/>
          <w:szCs w:val="22"/>
        </w:rPr>
        <w:t xml:space="preserve">) has not been determined. Since dialysis may reduce VELCADE concentrations, the drug should be administered after the dialysis procedure (see </w:t>
      </w:r>
      <w:r w:rsidRPr="00A45996">
        <w:rPr>
          <w:b/>
          <w:sz w:val="22"/>
          <w:szCs w:val="22"/>
        </w:rPr>
        <w:t>PHARMACOKINETICS)</w:t>
      </w:r>
      <w:r w:rsidRPr="00A45996">
        <w:rPr>
          <w:sz w:val="22"/>
          <w:szCs w:val="22"/>
        </w:rPr>
        <w:t xml:space="preserve">. </w:t>
      </w:r>
    </w:p>
    <w:p w:rsidR="00E07EDD" w:rsidRPr="00A45996" w:rsidRDefault="00E07EDD" w:rsidP="00326C73">
      <w:pPr>
        <w:rPr>
          <w:sz w:val="22"/>
          <w:szCs w:val="22"/>
        </w:rPr>
      </w:pPr>
    </w:p>
    <w:p w:rsidR="00326C73" w:rsidRPr="00E07EDD" w:rsidRDefault="00326C73" w:rsidP="00326C73">
      <w:pPr>
        <w:pStyle w:val="Heading4"/>
        <w:spacing w:before="120" w:after="80"/>
        <w:rPr>
          <w:sz w:val="24"/>
          <w:szCs w:val="24"/>
        </w:rPr>
      </w:pPr>
      <w:r w:rsidRPr="00E07EDD">
        <w:rPr>
          <w:sz w:val="24"/>
          <w:szCs w:val="24"/>
        </w:rPr>
        <w:lastRenderedPageBreak/>
        <w:t>Patients with Hepatic Impairment</w:t>
      </w:r>
    </w:p>
    <w:p w:rsidR="00326C73" w:rsidRPr="00A45996" w:rsidRDefault="00326C73" w:rsidP="00326C73">
      <w:pPr>
        <w:rPr>
          <w:sz w:val="22"/>
          <w:szCs w:val="22"/>
        </w:rPr>
      </w:pPr>
      <w:r w:rsidRPr="00A45996">
        <w:rPr>
          <w:sz w:val="22"/>
          <w:szCs w:val="22"/>
        </w:rPr>
        <w:t>Patients with mild hepatic impairment do not require a starting dose adjustment and should be treated per the recommended VELCADE dose. Patients with moderate or severe hepatic impairment should be started on VELCADE at a reduced dose of 0.7 mg/m</w:t>
      </w:r>
      <w:r w:rsidRPr="00A45996">
        <w:rPr>
          <w:sz w:val="22"/>
          <w:szCs w:val="22"/>
          <w:vertAlign w:val="superscript"/>
        </w:rPr>
        <w:t xml:space="preserve">2 </w:t>
      </w:r>
      <w:r w:rsidRPr="00A45996">
        <w:rPr>
          <w:sz w:val="22"/>
          <w:szCs w:val="22"/>
        </w:rPr>
        <w:t>per injection during the first cycle, and a subsequent dose escalation to 1.0 mg/m</w:t>
      </w:r>
      <w:r w:rsidRPr="00A45996">
        <w:rPr>
          <w:sz w:val="22"/>
          <w:szCs w:val="22"/>
          <w:vertAlign w:val="superscript"/>
        </w:rPr>
        <w:t>2</w:t>
      </w:r>
      <w:r w:rsidRPr="00A45996">
        <w:rPr>
          <w:sz w:val="22"/>
          <w:szCs w:val="22"/>
        </w:rPr>
        <w:t xml:space="preserve"> or further dose reduction to 0.5 mg/m</w:t>
      </w:r>
      <w:r w:rsidRPr="00A45996">
        <w:rPr>
          <w:sz w:val="22"/>
          <w:szCs w:val="22"/>
          <w:vertAlign w:val="superscript"/>
        </w:rPr>
        <w:t>2</w:t>
      </w:r>
      <w:r w:rsidRPr="00A45996">
        <w:rPr>
          <w:sz w:val="22"/>
          <w:szCs w:val="22"/>
        </w:rPr>
        <w:t xml:space="preserve"> may be considered based on patient tolerance (see Table </w:t>
      </w:r>
      <w:r w:rsidR="00405A74" w:rsidRPr="00A45996">
        <w:rPr>
          <w:sz w:val="22"/>
          <w:szCs w:val="22"/>
        </w:rPr>
        <w:t>26</w:t>
      </w:r>
      <w:r w:rsidRPr="00A45996">
        <w:rPr>
          <w:sz w:val="22"/>
          <w:szCs w:val="22"/>
        </w:rPr>
        <w:t>).</w:t>
      </w:r>
    </w:p>
    <w:p w:rsidR="00326C73" w:rsidRPr="00A45996" w:rsidRDefault="00326C73" w:rsidP="00326C73">
      <w:pPr>
        <w:pStyle w:val="PITableTitle"/>
        <w:tabs>
          <w:tab w:val="left" w:pos="1350"/>
        </w:tabs>
        <w:jc w:val="left"/>
        <w:rPr>
          <w:rFonts w:ascii="Arial" w:hAnsi="Arial" w:cs="Arial"/>
          <w:sz w:val="20"/>
          <w:szCs w:val="20"/>
        </w:rPr>
      </w:pPr>
      <w:r w:rsidRPr="00A45996">
        <w:rPr>
          <w:rFonts w:ascii="Arial" w:hAnsi="Arial" w:cs="Arial"/>
          <w:sz w:val="20"/>
          <w:szCs w:val="20"/>
        </w:rPr>
        <w:t xml:space="preserve">Table </w:t>
      </w:r>
      <w:r w:rsidR="00405A74" w:rsidRPr="00A45996">
        <w:rPr>
          <w:rFonts w:ascii="Arial" w:hAnsi="Arial" w:cs="Arial"/>
          <w:sz w:val="20"/>
          <w:szCs w:val="20"/>
        </w:rPr>
        <w:t>26</w:t>
      </w:r>
      <w:r w:rsidRPr="00A45996">
        <w:rPr>
          <w:rFonts w:ascii="Arial" w:hAnsi="Arial" w:cs="Arial"/>
          <w:sz w:val="20"/>
          <w:szCs w:val="20"/>
        </w:rPr>
        <w:t>: Recommended Starting Dose Modification for VELCADE in Patients with Hepatic Impairment</w:t>
      </w:r>
    </w:p>
    <w:tbl>
      <w:tblPr>
        <w:tblW w:w="4818" w:type="pct"/>
        <w:tblLook w:val="01E0" w:firstRow="1" w:lastRow="1" w:firstColumn="1" w:lastColumn="1" w:noHBand="0" w:noVBand="0"/>
      </w:tblPr>
      <w:tblGrid>
        <w:gridCol w:w="1681"/>
        <w:gridCol w:w="1909"/>
        <w:gridCol w:w="1811"/>
        <w:gridCol w:w="3646"/>
      </w:tblGrid>
      <w:tr w:rsidR="00326C73" w:rsidRPr="00A45996" w:rsidTr="00326C73">
        <w:trPr>
          <w:trHeight w:val="648"/>
        </w:trPr>
        <w:tc>
          <w:tcPr>
            <w:tcW w:w="929"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keepNext/>
              <w:numPr>
                <w:ilvl w:val="12"/>
                <w:numId w:val="0"/>
              </w:numPr>
              <w:tabs>
                <w:tab w:val="left" w:pos="360"/>
              </w:tabs>
              <w:suppressAutoHyphens/>
              <w:spacing w:before="120" w:line="240" w:lineRule="exact"/>
              <w:rPr>
                <w:rFonts w:ascii="Arial" w:hAnsi="Arial" w:cs="Arial"/>
                <w:sz w:val="20"/>
              </w:rPr>
            </w:pPr>
          </w:p>
        </w:tc>
        <w:tc>
          <w:tcPr>
            <w:tcW w:w="1055"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b/>
                <w:sz w:val="20"/>
              </w:rPr>
            </w:pPr>
            <w:r w:rsidRPr="00A45996">
              <w:rPr>
                <w:rFonts w:ascii="Arial" w:hAnsi="Arial" w:cs="Arial"/>
                <w:b/>
                <w:sz w:val="20"/>
              </w:rPr>
              <w:t>Bilirubin Level</w:t>
            </w:r>
          </w:p>
        </w:tc>
        <w:tc>
          <w:tcPr>
            <w:tcW w:w="1001"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b/>
                <w:sz w:val="20"/>
              </w:rPr>
            </w:pPr>
            <w:r w:rsidRPr="00A45996">
              <w:rPr>
                <w:rFonts w:ascii="Arial" w:hAnsi="Arial" w:cs="Arial"/>
                <w:b/>
                <w:sz w:val="20"/>
              </w:rPr>
              <w:t>SGOT (AST) Levels</w:t>
            </w:r>
          </w:p>
        </w:tc>
        <w:tc>
          <w:tcPr>
            <w:tcW w:w="2015"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b/>
                <w:sz w:val="20"/>
              </w:rPr>
            </w:pPr>
            <w:r w:rsidRPr="00A45996">
              <w:rPr>
                <w:rFonts w:ascii="Arial" w:hAnsi="Arial" w:cs="Arial"/>
                <w:b/>
                <w:sz w:val="20"/>
              </w:rPr>
              <w:t>Modification of Starting Dose</w:t>
            </w:r>
          </w:p>
        </w:tc>
      </w:tr>
      <w:tr w:rsidR="00326C73" w:rsidRPr="00A45996" w:rsidTr="00326C73">
        <w:trPr>
          <w:trHeight w:val="412"/>
        </w:trPr>
        <w:tc>
          <w:tcPr>
            <w:tcW w:w="929" w:type="pct"/>
            <w:vMerge w:val="restar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t>Mild</w:t>
            </w:r>
          </w:p>
        </w:tc>
        <w:tc>
          <w:tcPr>
            <w:tcW w:w="1055"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sym w:font="Symbol" w:char="F0A3"/>
            </w:r>
            <w:r w:rsidRPr="00A45996">
              <w:rPr>
                <w:rFonts w:ascii="Arial" w:hAnsi="Arial" w:cs="Arial"/>
                <w:sz w:val="20"/>
              </w:rPr>
              <w:t xml:space="preserve"> 1.0x ULN</w:t>
            </w:r>
          </w:p>
        </w:tc>
        <w:tc>
          <w:tcPr>
            <w:tcW w:w="1001"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sz w:val="20"/>
              </w:rPr>
            </w:pPr>
            <w:r w:rsidRPr="00A45996">
              <w:rPr>
                <w:rFonts w:ascii="Arial" w:hAnsi="Arial" w:cs="Arial"/>
                <w:sz w:val="20"/>
              </w:rPr>
              <w:sym w:font="Symbol" w:char="F03E"/>
            </w:r>
            <w:r w:rsidRPr="00A45996">
              <w:rPr>
                <w:rFonts w:ascii="Arial" w:hAnsi="Arial" w:cs="Arial"/>
                <w:sz w:val="20"/>
              </w:rPr>
              <w:t xml:space="preserve"> ULN</w:t>
            </w:r>
          </w:p>
        </w:tc>
        <w:tc>
          <w:tcPr>
            <w:tcW w:w="2015" w:type="pct"/>
            <w:tcBorders>
              <w:top w:val="single" w:sz="4" w:space="0" w:color="auto"/>
              <w:left w:val="single" w:sz="4" w:space="0" w:color="auto"/>
              <w:bottom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sz w:val="20"/>
              </w:rPr>
            </w:pPr>
            <w:r w:rsidRPr="00A45996">
              <w:rPr>
                <w:rFonts w:ascii="Arial" w:hAnsi="Arial" w:cs="Arial"/>
                <w:sz w:val="20"/>
              </w:rPr>
              <w:t>None</w:t>
            </w:r>
          </w:p>
        </w:tc>
      </w:tr>
      <w:tr w:rsidR="00326C73" w:rsidRPr="00A45996" w:rsidTr="00326C73">
        <w:trPr>
          <w:trHeight w:val="397"/>
        </w:trPr>
        <w:tc>
          <w:tcPr>
            <w:tcW w:w="929" w:type="pct"/>
            <w:vMerge/>
            <w:tcBorders>
              <w:top w:val="single" w:sz="4" w:space="0" w:color="auto"/>
              <w:left w:val="single" w:sz="4" w:space="0" w:color="auto"/>
              <w:right w:val="single" w:sz="4" w:space="0" w:color="auto"/>
            </w:tcBorders>
          </w:tcPr>
          <w:p w:rsidR="00326C73" w:rsidRPr="00A45996" w:rsidRDefault="00326C73" w:rsidP="00326C73">
            <w:pPr>
              <w:pStyle w:val="PIParagraphCharCharChar"/>
              <w:tabs>
                <w:tab w:val="left" w:pos="360"/>
              </w:tabs>
              <w:rPr>
                <w:rFonts w:ascii="Arial" w:hAnsi="Arial" w:cs="Arial"/>
                <w:sz w:val="20"/>
              </w:rPr>
            </w:pPr>
          </w:p>
        </w:tc>
        <w:tc>
          <w:tcPr>
            <w:tcW w:w="1055" w:type="pct"/>
            <w:tcBorders>
              <w:top w:val="single" w:sz="4" w:space="0" w:color="auto"/>
              <w:left w:val="single" w:sz="4" w:space="0" w:color="auto"/>
              <w:right w:val="single" w:sz="4" w:space="0" w:color="auto"/>
            </w:tcBorders>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sym w:font="Symbol" w:char="F03E"/>
            </w:r>
            <w:r w:rsidRPr="00A45996">
              <w:rPr>
                <w:rFonts w:ascii="Arial" w:hAnsi="Arial" w:cs="Arial"/>
                <w:sz w:val="20"/>
              </w:rPr>
              <w:t xml:space="preserve"> 1.0x</w:t>
            </w:r>
            <w:r w:rsidRPr="00A45996">
              <w:rPr>
                <w:rFonts w:ascii="Arial" w:hAnsi="Arial" w:cs="Arial"/>
                <w:sz w:val="20"/>
              </w:rPr>
              <w:sym w:font="Symbol" w:char="F02D"/>
            </w:r>
            <w:r w:rsidRPr="00A45996">
              <w:rPr>
                <w:rFonts w:ascii="Arial" w:hAnsi="Arial" w:cs="Arial"/>
                <w:sz w:val="20"/>
              </w:rPr>
              <w:t>1.5x ULN</w:t>
            </w:r>
          </w:p>
        </w:tc>
        <w:tc>
          <w:tcPr>
            <w:tcW w:w="1001" w:type="pct"/>
            <w:tcBorders>
              <w:top w:val="single" w:sz="4" w:space="0" w:color="auto"/>
              <w:left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sz w:val="20"/>
              </w:rPr>
            </w:pPr>
            <w:r w:rsidRPr="00A45996">
              <w:rPr>
                <w:rFonts w:ascii="Arial" w:hAnsi="Arial" w:cs="Arial"/>
                <w:sz w:val="20"/>
              </w:rPr>
              <w:t>Any</w:t>
            </w:r>
          </w:p>
        </w:tc>
        <w:tc>
          <w:tcPr>
            <w:tcW w:w="2015" w:type="pct"/>
            <w:tcBorders>
              <w:top w:val="single" w:sz="4" w:space="0" w:color="auto"/>
              <w:left w:val="single" w:sz="4" w:space="0" w:color="auto"/>
              <w:right w:val="single" w:sz="4" w:space="0" w:color="auto"/>
            </w:tcBorders>
          </w:tcPr>
          <w:p w:rsidR="00326C73" w:rsidRPr="00A45996" w:rsidRDefault="00326C73" w:rsidP="00326C73">
            <w:pPr>
              <w:pStyle w:val="PIParagraphCharCharChar"/>
              <w:tabs>
                <w:tab w:val="left" w:pos="360"/>
              </w:tabs>
              <w:jc w:val="center"/>
              <w:rPr>
                <w:rFonts w:ascii="Arial" w:hAnsi="Arial" w:cs="Arial"/>
                <w:sz w:val="20"/>
              </w:rPr>
            </w:pPr>
            <w:r w:rsidRPr="00A45996">
              <w:rPr>
                <w:rFonts w:ascii="Arial" w:hAnsi="Arial" w:cs="Arial"/>
                <w:sz w:val="20"/>
              </w:rPr>
              <w:t>None</w:t>
            </w:r>
          </w:p>
        </w:tc>
      </w:tr>
      <w:tr w:rsidR="00326C73" w:rsidRPr="00A45996" w:rsidTr="0032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29" w:type="pct"/>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t>Moderate</w:t>
            </w:r>
          </w:p>
        </w:tc>
        <w:tc>
          <w:tcPr>
            <w:tcW w:w="1055" w:type="pct"/>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sym w:font="Symbol" w:char="F03E"/>
            </w:r>
            <w:r w:rsidRPr="00A45996">
              <w:rPr>
                <w:rFonts w:ascii="Arial" w:hAnsi="Arial" w:cs="Arial"/>
                <w:sz w:val="20"/>
              </w:rPr>
              <w:t xml:space="preserve"> 1.5x</w:t>
            </w:r>
            <w:r w:rsidRPr="00A45996">
              <w:rPr>
                <w:rFonts w:ascii="Arial" w:hAnsi="Arial" w:cs="Arial"/>
                <w:sz w:val="20"/>
              </w:rPr>
              <w:sym w:font="Symbol" w:char="F02D"/>
            </w:r>
            <w:r w:rsidRPr="00A45996">
              <w:rPr>
                <w:rFonts w:ascii="Arial" w:hAnsi="Arial" w:cs="Arial"/>
                <w:sz w:val="20"/>
              </w:rPr>
              <w:t>3x ULN</w:t>
            </w:r>
          </w:p>
        </w:tc>
        <w:tc>
          <w:tcPr>
            <w:tcW w:w="1001" w:type="pct"/>
          </w:tcPr>
          <w:p w:rsidR="00326C73" w:rsidRPr="00A45996" w:rsidRDefault="00326C73" w:rsidP="00326C73">
            <w:pPr>
              <w:pStyle w:val="PIParagraphCharCharChar"/>
              <w:tabs>
                <w:tab w:val="left" w:pos="360"/>
              </w:tabs>
              <w:jc w:val="center"/>
              <w:rPr>
                <w:rFonts w:ascii="Arial" w:hAnsi="Arial" w:cs="Arial"/>
                <w:sz w:val="20"/>
              </w:rPr>
            </w:pPr>
            <w:r w:rsidRPr="00A45996">
              <w:rPr>
                <w:rFonts w:ascii="Arial" w:hAnsi="Arial" w:cs="Arial"/>
                <w:sz w:val="20"/>
              </w:rPr>
              <w:t>Any</w:t>
            </w:r>
          </w:p>
        </w:tc>
        <w:tc>
          <w:tcPr>
            <w:tcW w:w="2015" w:type="pct"/>
            <w:vMerge w:val="restart"/>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t>Reduce VELCADE to 0.7 mg/m</w:t>
            </w:r>
            <w:r w:rsidRPr="00A45996">
              <w:rPr>
                <w:rFonts w:ascii="Arial" w:hAnsi="Arial" w:cs="Arial"/>
                <w:sz w:val="20"/>
                <w:vertAlign w:val="superscript"/>
              </w:rPr>
              <w:t>2</w:t>
            </w:r>
            <w:r w:rsidRPr="00A45996">
              <w:rPr>
                <w:rFonts w:ascii="Arial" w:hAnsi="Arial" w:cs="Arial"/>
                <w:sz w:val="20"/>
              </w:rPr>
              <w:t xml:space="preserve"> in the first cycle. Consider dose escalation to 1.0 mg/m</w:t>
            </w:r>
            <w:r w:rsidRPr="00A45996">
              <w:rPr>
                <w:rFonts w:ascii="Arial" w:hAnsi="Arial" w:cs="Arial"/>
                <w:sz w:val="20"/>
                <w:vertAlign w:val="superscript"/>
              </w:rPr>
              <w:t>2</w:t>
            </w:r>
            <w:r w:rsidRPr="00A45996">
              <w:rPr>
                <w:rFonts w:ascii="Arial" w:hAnsi="Arial" w:cs="Arial"/>
                <w:sz w:val="20"/>
              </w:rPr>
              <w:t xml:space="preserve"> or further dose reduction to 0.5 mg/m</w:t>
            </w:r>
            <w:r w:rsidRPr="00A45996">
              <w:rPr>
                <w:rFonts w:ascii="Arial" w:hAnsi="Arial" w:cs="Arial"/>
                <w:sz w:val="20"/>
                <w:vertAlign w:val="superscript"/>
              </w:rPr>
              <w:t>2</w:t>
            </w:r>
            <w:r w:rsidRPr="00A45996">
              <w:rPr>
                <w:rFonts w:ascii="Arial" w:hAnsi="Arial" w:cs="Arial"/>
                <w:sz w:val="20"/>
              </w:rPr>
              <w:t xml:space="preserve"> in subsequent cycles based on patient tolerability.</w:t>
            </w:r>
          </w:p>
        </w:tc>
      </w:tr>
      <w:tr w:rsidR="00326C73" w:rsidRPr="00A45996" w:rsidTr="0032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29" w:type="pct"/>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t>Severe</w:t>
            </w:r>
          </w:p>
        </w:tc>
        <w:tc>
          <w:tcPr>
            <w:tcW w:w="1055" w:type="pct"/>
          </w:tcPr>
          <w:p w:rsidR="00326C73" w:rsidRPr="00A45996" w:rsidRDefault="00326C73" w:rsidP="00326C73">
            <w:pPr>
              <w:pStyle w:val="PIParagraphCharCharChar"/>
              <w:tabs>
                <w:tab w:val="left" w:pos="360"/>
              </w:tabs>
              <w:rPr>
                <w:rFonts w:ascii="Arial" w:hAnsi="Arial" w:cs="Arial"/>
                <w:sz w:val="20"/>
              </w:rPr>
            </w:pPr>
            <w:r w:rsidRPr="00A45996">
              <w:rPr>
                <w:rFonts w:ascii="Arial" w:hAnsi="Arial" w:cs="Arial"/>
                <w:sz w:val="20"/>
              </w:rPr>
              <w:sym w:font="Symbol" w:char="F03E"/>
            </w:r>
            <w:r w:rsidRPr="00A45996">
              <w:rPr>
                <w:rFonts w:ascii="Arial" w:hAnsi="Arial" w:cs="Arial"/>
                <w:sz w:val="20"/>
              </w:rPr>
              <w:t xml:space="preserve"> 3x ULN</w:t>
            </w:r>
          </w:p>
        </w:tc>
        <w:tc>
          <w:tcPr>
            <w:tcW w:w="1001" w:type="pct"/>
          </w:tcPr>
          <w:p w:rsidR="00326C73" w:rsidRPr="00A45996" w:rsidRDefault="00326C73" w:rsidP="00326C73">
            <w:pPr>
              <w:pStyle w:val="PIParagraphCharCharChar"/>
              <w:tabs>
                <w:tab w:val="left" w:pos="360"/>
              </w:tabs>
              <w:jc w:val="center"/>
              <w:rPr>
                <w:rFonts w:ascii="Arial" w:hAnsi="Arial" w:cs="Arial"/>
                <w:sz w:val="20"/>
              </w:rPr>
            </w:pPr>
            <w:r w:rsidRPr="00A45996">
              <w:rPr>
                <w:rFonts w:ascii="Arial" w:hAnsi="Arial" w:cs="Arial"/>
                <w:sz w:val="20"/>
              </w:rPr>
              <w:t>Any</w:t>
            </w:r>
          </w:p>
        </w:tc>
        <w:tc>
          <w:tcPr>
            <w:tcW w:w="2015" w:type="pct"/>
            <w:vMerge/>
          </w:tcPr>
          <w:p w:rsidR="00326C73" w:rsidRPr="00A45996" w:rsidRDefault="00326C73" w:rsidP="00326C73">
            <w:pPr>
              <w:pStyle w:val="PIParagraphCharCharChar"/>
              <w:tabs>
                <w:tab w:val="left" w:pos="360"/>
              </w:tabs>
              <w:jc w:val="center"/>
              <w:rPr>
                <w:rFonts w:ascii="Arial" w:hAnsi="Arial" w:cs="Arial"/>
                <w:sz w:val="20"/>
              </w:rPr>
            </w:pPr>
          </w:p>
        </w:tc>
      </w:tr>
    </w:tbl>
    <w:p w:rsidR="00326C73" w:rsidRPr="00A45996" w:rsidRDefault="00326C73" w:rsidP="00326C73">
      <w:pPr>
        <w:pStyle w:val="TableFootnote"/>
        <w:ind w:firstLine="0"/>
        <w:rPr>
          <w:rFonts w:ascii="Arial" w:hAnsi="Arial" w:cs="Arial"/>
          <w:sz w:val="16"/>
          <w:szCs w:val="16"/>
        </w:rPr>
      </w:pPr>
      <w:r w:rsidRPr="00A45996">
        <w:rPr>
          <w:rFonts w:ascii="Arial" w:hAnsi="Arial" w:cs="Arial"/>
          <w:sz w:val="16"/>
          <w:szCs w:val="16"/>
        </w:rPr>
        <w:t xml:space="preserve">Abbreviations: SGOT = serum glutamic </w:t>
      </w:r>
      <w:proofErr w:type="spellStart"/>
      <w:r w:rsidRPr="00A45996">
        <w:rPr>
          <w:rFonts w:ascii="Arial" w:hAnsi="Arial" w:cs="Arial"/>
          <w:sz w:val="16"/>
          <w:szCs w:val="16"/>
        </w:rPr>
        <w:t>oxaloacetic</w:t>
      </w:r>
      <w:proofErr w:type="spellEnd"/>
      <w:r w:rsidRPr="00A45996">
        <w:rPr>
          <w:rFonts w:ascii="Arial" w:hAnsi="Arial" w:cs="Arial"/>
          <w:sz w:val="16"/>
          <w:szCs w:val="16"/>
        </w:rPr>
        <w:t xml:space="preserve"> transaminase; </w:t>
      </w:r>
    </w:p>
    <w:p w:rsidR="00326C73" w:rsidRPr="00A45996" w:rsidRDefault="00326C73" w:rsidP="00326C73">
      <w:pPr>
        <w:pStyle w:val="TableFootnote"/>
        <w:ind w:firstLine="0"/>
        <w:rPr>
          <w:rFonts w:ascii="Arial" w:hAnsi="Arial" w:cs="Arial"/>
          <w:sz w:val="16"/>
          <w:szCs w:val="16"/>
        </w:rPr>
      </w:pPr>
      <w:r w:rsidRPr="00A45996">
        <w:rPr>
          <w:rFonts w:ascii="Arial" w:hAnsi="Arial" w:cs="Arial"/>
          <w:sz w:val="16"/>
          <w:szCs w:val="16"/>
        </w:rPr>
        <w:t>AST = aspartate aminotransferase;   ULN = upper limit of the normal range.</w:t>
      </w:r>
    </w:p>
    <w:p w:rsidR="00405A74" w:rsidRPr="00A45996" w:rsidRDefault="00405A74" w:rsidP="00E07EDD">
      <w:pPr>
        <w:keepLines w:val="0"/>
        <w:jc w:val="left"/>
        <w:rPr>
          <w:sz w:val="24"/>
          <w:szCs w:val="24"/>
          <w:u w:val="single"/>
        </w:rPr>
      </w:pPr>
    </w:p>
    <w:p w:rsidR="00326C73" w:rsidRPr="00E07EDD" w:rsidRDefault="00326C73" w:rsidP="00E07EDD">
      <w:pPr>
        <w:keepLines w:val="0"/>
        <w:jc w:val="left"/>
        <w:rPr>
          <w:sz w:val="24"/>
          <w:szCs w:val="24"/>
        </w:rPr>
      </w:pPr>
      <w:r w:rsidRPr="00E07EDD">
        <w:rPr>
          <w:b/>
          <w:sz w:val="24"/>
          <w:szCs w:val="24"/>
        </w:rPr>
        <w:t>Administration</w:t>
      </w:r>
    </w:p>
    <w:p w:rsidR="00E13AD4" w:rsidRPr="00A45996" w:rsidRDefault="00E13AD4" w:rsidP="00E13AD4">
      <w:pPr>
        <w:rPr>
          <w:rStyle w:val="TableFootnoteChar1"/>
          <w:i/>
          <w:snapToGrid/>
          <w:lang w:val="en-AU"/>
        </w:rPr>
      </w:pPr>
      <w:r w:rsidRPr="00A45996">
        <w:rPr>
          <w:b/>
          <w:i/>
        </w:rPr>
        <w:t>Intravenous injection (IV)</w:t>
      </w:r>
    </w:p>
    <w:p w:rsidR="00326C73" w:rsidRDefault="00326C73" w:rsidP="00326C73">
      <w:pPr>
        <w:pStyle w:val="tablebodyChar"/>
        <w:suppressAutoHyphens w:val="0"/>
        <w:spacing w:before="0" w:after="0"/>
        <w:rPr>
          <w:rStyle w:val="TableFootnoteChar1"/>
          <w:rFonts w:ascii="Arial" w:hAnsi="Arial" w:cs="Arial"/>
          <w:sz w:val="22"/>
          <w:szCs w:val="24"/>
        </w:rPr>
      </w:pPr>
      <w:r w:rsidRPr="00A45996">
        <w:rPr>
          <w:rStyle w:val="TableFootnoteChar1"/>
          <w:rFonts w:ascii="Arial" w:hAnsi="Arial" w:cs="Arial"/>
          <w:sz w:val="22"/>
          <w:szCs w:val="24"/>
        </w:rPr>
        <w:t>VELCADE is administered as a 3-5 second bolus intravenous injection through a peripheral or central intravenous catheter followed by a flush with 0.9% sodium chloride solution for injection.</w:t>
      </w:r>
    </w:p>
    <w:p w:rsidR="00E07EDD" w:rsidRPr="00A45996" w:rsidRDefault="00E07EDD" w:rsidP="00326C73">
      <w:pPr>
        <w:pStyle w:val="tablebodyChar"/>
        <w:suppressAutoHyphens w:val="0"/>
        <w:spacing w:before="0" w:after="0"/>
        <w:rPr>
          <w:rStyle w:val="TableFootnoteChar1"/>
          <w:rFonts w:ascii="Arial" w:hAnsi="Arial" w:cs="Arial"/>
          <w:sz w:val="22"/>
          <w:szCs w:val="24"/>
        </w:rPr>
      </w:pPr>
    </w:p>
    <w:p w:rsidR="00E13AD4" w:rsidRPr="00A45996" w:rsidRDefault="00E13AD4" w:rsidP="00E13AD4">
      <w:pPr>
        <w:pStyle w:val="tablebodyChar"/>
        <w:suppressAutoHyphens w:val="0"/>
        <w:spacing w:after="0"/>
        <w:rPr>
          <w:rStyle w:val="TableFootnoteChar1"/>
          <w:rFonts w:ascii="Arial" w:hAnsi="Arial" w:cs="Arial"/>
          <w:b/>
          <w:i/>
          <w:sz w:val="22"/>
          <w:szCs w:val="24"/>
        </w:rPr>
      </w:pPr>
      <w:r w:rsidRPr="00A45996">
        <w:rPr>
          <w:rStyle w:val="TableFootnoteChar1"/>
          <w:rFonts w:ascii="Arial" w:hAnsi="Arial" w:cs="Arial"/>
          <w:b/>
          <w:i/>
          <w:sz w:val="22"/>
          <w:szCs w:val="24"/>
        </w:rPr>
        <w:t>Subcutaneous injection (SC)</w:t>
      </w:r>
    </w:p>
    <w:p w:rsidR="00E13AD4" w:rsidRPr="00A45996" w:rsidRDefault="00E13AD4" w:rsidP="00E13AD4">
      <w:pPr>
        <w:pStyle w:val="tablebodyChar"/>
        <w:suppressAutoHyphens w:val="0"/>
        <w:spacing w:after="0"/>
        <w:rPr>
          <w:rStyle w:val="TableFootnoteChar1"/>
          <w:rFonts w:ascii="Arial" w:hAnsi="Arial" w:cs="Arial"/>
          <w:sz w:val="22"/>
          <w:szCs w:val="24"/>
        </w:rPr>
      </w:pPr>
      <w:r w:rsidRPr="00A45996">
        <w:rPr>
          <w:rStyle w:val="TableFootnoteChar1"/>
          <w:rFonts w:ascii="Arial" w:hAnsi="Arial" w:cs="Arial"/>
          <w:sz w:val="22"/>
          <w:szCs w:val="24"/>
        </w:rPr>
        <w:t>The reconstituted solution is injected into the thighs (right or left) or abdomen (right or left). Injection sites should be rotated for successive injections.</w:t>
      </w:r>
    </w:p>
    <w:p w:rsidR="00E13AD4" w:rsidRPr="00A45996" w:rsidRDefault="00E13AD4" w:rsidP="00E13AD4">
      <w:pPr>
        <w:pStyle w:val="tablebodyChar"/>
        <w:tabs>
          <w:tab w:val="left" w:pos="2038"/>
        </w:tabs>
        <w:suppressAutoHyphens w:val="0"/>
        <w:spacing w:after="0"/>
        <w:rPr>
          <w:rStyle w:val="TableFootnoteChar1"/>
          <w:rFonts w:ascii="Arial" w:hAnsi="Arial" w:cs="Arial"/>
          <w:sz w:val="22"/>
          <w:szCs w:val="24"/>
        </w:rPr>
      </w:pPr>
      <w:r w:rsidRPr="00A45996">
        <w:rPr>
          <w:rStyle w:val="TableFootnoteChar1"/>
          <w:rFonts w:ascii="Arial" w:hAnsi="Arial" w:cs="Arial"/>
          <w:sz w:val="22"/>
          <w:szCs w:val="24"/>
        </w:rPr>
        <w:tab/>
      </w:r>
    </w:p>
    <w:p w:rsidR="00E13AD4" w:rsidRPr="00A45996" w:rsidRDefault="00E13AD4" w:rsidP="00DA1B27">
      <w:pPr>
        <w:pStyle w:val="tablebodyChar"/>
        <w:suppressAutoHyphens w:val="0"/>
        <w:spacing w:after="0"/>
        <w:rPr>
          <w:rStyle w:val="TableFootnoteChar1"/>
          <w:rFonts w:ascii="Arial" w:hAnsi="Arial" w:cs="Arial"/>
          <w:sz w:val="22"/>
          <w:szCs w:val="24"/>
        </w:rPr>
      </w:pPr>
      <w:r w:rsidRPr="00A45996">
        <w:rPr>
          <w:rStyle w:val="TableFootnoteChar1"/>
          <w:rFonts w:ascii="Arial" w:hAnsi="Arial" w:cs="Arial"/>
          <w:sz w:val="22"/>
          <w:szCs w:val="24"/>
        </w:rPr>
        <w:t>If local injection site reactions occur following VELCADE injection subcutaneously, a less concentrated VELCADE solution (1 mg/mL instead of 2.5 mg/mL) may be administered subcutaneously or change to IV injection.</w:t>
      </w:r>
    </w:p>
    <w:p w:rsidR="00405A74" w:rsidRPr="00A45996" w:rsidRDefault="00405A74" w:rsidP="00DA1B27">
      <w:pPr>
        <w:pStyle w:val="tablebodyChar"/>
        <w:suppressAutoHyphens w:val="0"/>
        <w:spacing w:after="0"/>
        <w:rPr>
          <w:rStyle w:val="TableFootnoteChar1"/>
          <w:rFonts w:ascii="Arial" w:hAnsi="Arial" w:cs="Arial"/>
          <w:sz w:val="22"/>
          <w:szCs w:val="24"/>
        </w:rPr>
      </w:pPr>
    </w:p>
    <w:p w:rsidR="00405A74" w:rsidRPr="00A45996" w:rsidRDefault="00405A74" w:rsidP="00DA1B27">
      <w:pPr>
        <w:pStyle w:val="tablebodyChar"/>
        <w:suppressAutoHyphens w:val="0"/>
        <w:spacing w:after="0"/>
        <w:rPr>
          <w:rStyle w:val="TableFootnoteChar1"/>
          <w:rFonts w:ascii="Arial" w:hAnsi="Arial" w:cs="Arial"/>
          <w:sz w:val="22"/>
          <w:szCs w:val="24"/>
        </w:rPr>
      </w:pPr>
      <w:r w:rsidRPr="00A45996">
        <w:rPr>
          <w:rStyle w:val="TableFootnoteChar1"/>
          <w:rFonts w:ascii="Arial" w:hAnsi="Arial" w:cs="Arial"/>
          <w:sz w:val="22"/>
          <w:szCs w:val="24"/>
        </w:rPr>
        <w:t>When VELCADE is given in combination with other medicinal products, refer to the Product Information for these products for instructions for administration.</w:t>
      </w:r>
    </w:p>
    <w:p w:rsidR="00F511BE" w:rsidRPr="00A45996" w:rsidRDefault="00F511BE" w:rsidP="00326C73">
      <w:pPr>
        <w:pStyle w:val="Footer"/>
        <w:tabs>
          <w:tab w:val="clear" w:pos="4153"/>
          <w:tab w:val="clear" w:pos="8306"/>
        </w:tabs>
        <w:spacing w:before="120" w:after="80"/>
        <w:rPr>
          <w:b/>
          <w:bCs/>
          <w:sz w:val="24"/>
          <w:szCs w:val="24"/>
          <w:u w:val="single"/>
        </w:rPr>
      </w:pPr>
    </w:p>
    <w:p w:rsidR="00326C73" w:rsidRPr="00E07EDD" w:rsidRDefault="00326C73" w:rsidP="00326C73">
      <w:pPr>
        <w:pStyle w:val="Footer"/>
        <w:tabs>
          <w:tab w:val="clear" w:pos="4153"/>
          <w:tab w:val="clear" w:pos="8306"/>
        </w:tabs>
        <w:spacing w:before="120" w:after="80"/>
        <w:rPr>
          <w:b/>
          <w:bCs/>
          <w:sz w:val="24"/>
          <w:szCs w:val="24"/>
        </w:rPr>
      </w:pPr>
      <w:r w:rsidRPr="00E07EDD">
        <w:rPr>
          <w:b/>
          <w:bCs/>
          <w:sz w:val="24"/>
          <w:szCs w:val="24"/>
        </w:rPr>
        <w:t>Instructions for Use and Handling and Disposal</w:t>
      </w:r>
    </w:p>
    <w:p w:rsidR="00326C73" w:rsidRPr="00A45996" w:rsidRDefault="00326C73" w:rsidP="00326C73">
      <w:pPr>
        <w:spacing w:before="20" w:after="80"/>
        <w:rPr>
          <w:sz w:val="22"/>
        </w:rPr>
      </w:pPr>
      <w:r w:rsidRPr="00E07EDD">
        <w:rPr>
          <w:b/>
          <w:i/>
          <w:iCs/>
          <w:sz w:val="22"/>
        </w:rPr>
        <w:t>Administration Precautions</w:t>
      </w:r>
      <w:r w:rsidRPr="00A45996">
        <w:rPr>
          <w:i/>
          <w:iCs/>
          <w:sz w:val="22"/>
        </w:rPr>
        <w:t xml:space="preserve">: </w:t>
      </w:r>
      <w:r w:rsidRPr="00A45996">
        <w:rPr>
          <w:sz w:val="22"/>
        </w:rPr>
        <w:t xml:space="preserve">VELCADE is an antineoplastic. Caution should be used during handling and preparation.  Proper aseptic technique should be used. Use of gloves and other protective clothing to prevent skin contact is recommended.  In clinical trials, local skin irritation was reported in 5% of patients, but extravasation of VELCADE was not associated with tissue damage. </w:t>
      </w:r>
    </w:p>
    <w:p w:rsidR="00E13AD4" w:rsidRPr="00A45996" w:rsidRDefault="00E13AD4" w:rsidP="00326C73">
      <w:pPr>
        <w:spacing w:before="20" w:after="80"/>
        <w:rPr>
          <w:sz w:val="22"/>
        </w:rPr>
      </w:pPr>
      <w:r w:rsidRPr="00A45996">
        <w:rPr>
          <w:sz w:val="22"/>
        </w:rPr>
        <w:t>When administered subcutaneously, alternate sites for each injection (thigh or abdomen). New injections should be given at least one inch from an old site and never into areas where the site is tender, bruised, red, or hard.</w:t>
      </w:r>
    </w:p>
    <w:p w:rsidR="008D04AF" w:rsidRPr="00A45996" w:rsidRDefault="008D04AF" w:rsidP="00326C73">
      <w:pPr>
        <w:spacing w:before="20" w:after="80"/>
        <w:rPr>
          <w:sz w:val="22"/>
        </w:rPr>
      </w:pPr>
      <w:r w:rsidRPr="00A45996">
        <w:rPr>
          <w:sz w:val="22"/>
        </w:rPr>
        <w:t xml:space="preserve">There have been fatal cases of inadvertent intrathecal administration of VELCADE. VELCADE is for IV and subcutaneous use only. </w:t>
      </w:r>
      <w:r w:rsidRPr="00A45996">
        <w:rPr>
          <w:b/>
          <w:sz w:val="22"/>
        </w:rPr>
        <w:t>DO NOT ADMINISTER VELCADE INTRATHECALLY</w:t>
      </w:r>
      <w:r w:rsidRPr="00A45996">
        <w:rPr>
          <w:sz w:val="22"/>
        </w:rPr>
        <w:t>.</w:t>
      </w:r>
    </w:p>
    <w:p w:rsidR="00E13AD4" w:rsidRPr="00A45996" w:rsidRDefault="00326C73" w:rsidP="00E13AD4">
      <w:pPr>
        <w:spacing w:before="20" w:after="80"/>
        <w:rPr>
          <w:sz w:val="22"/>
        </w:rPr>
      </w:pPr>
      <w:r w:rsidRPr="00E07EDD">
        <w:rPr>
          <w:b/>
          <w:i/>
          <w:iCs/>
          <w:sz w:val="22"/>
        </w:rPr>
        <w:t xml:space="preserve">Reconstitution/Preparation for </w:t>
      </w:r>
      <w:r w:rsidR="00E13AD4" w:rsidRPr="00E07EDD">
        <w:rPr>
          <w:b/>
          <w:i/>
          <w:iCs/>
          <w:sz w:val="22"/>
        </w:rPr>
        <w:t>Administration</w:t>
      </w:r>
      <w:r w:rsidRPr="00A45996">
        <w:rPr>
          <w:i/>
          <w:iCs/>
          <w:sz w:val="22"/>
        </w:rPr>
        <w:t>:</w:t>
      </w:r>
      <w:r w:rsidRPr="00A45996">
        <w:rPr>
          <w:sz w:val="22"/>
        </w:rPr>
        <w:t xml:space="preserve"> Prior to use, the contents of each vial must be reconstituted </w:t>
      </w:r>
      <w:r w:rsidR="00E13AD4" w:rsidRPr="00A45996">
        <w:rPr>
          <w:sz w:val="22"/>
        </w:rPr>
        <w:t xml:space="preserve">only </w:t>
      </w:r>
      <w:r w:rsidRPr="00A45996">
        <w:rPr>
          <w:sz w:val="22"/>
        </w:rPr>
        <w:t>with normal (0.9%) saline, Sodium Chloride for Injection</w:t>
      </w:r>
      <w:r w:rsidR="00E13AD4" w:rsidRPr="00A45996">
        <w:rPr>
          <w:sz w:val="22"/>
        </w:rPr>
        <w:t xml:space="preserve"> according to the following instructions based on route of administration:</w:t>
      </w:r>
    </w:p>
    <w:p w:rsidR="00B13221" w:rsidRPr="00A45996" w:rsidRDefault="00B13221" w:rsidP="00326C73">
      <w:pPr>
        <w:spacing w:before="20" w:after="80"/>
        <w:rPr>
          <w:sz w:val="22"/>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1254"/>
        <w:gridCol w:w="1353"/>
        <w:gridCol w:w="1242"/>
        <w:gridCol w:w="1552"/>
        <w:gridCol w:w="1837"/>
      </w:tblGrid>
      <w:tr w:rsidR="00F15A1A" w:rsidRPr="00A45996" w:rsidTr="00A45996">
        <w:tc>
          <w:tcPr>
            <w:tcW w:w="2151" w:type="dxa"/>
          </w:tcPr>
          <w:p w:rsidR="00F15A1A" w:rsidRPr="00A45996" w:rsidRDefault="00F15A1A" w:rsidP="00A45996">
            <w:pPr>
              <w:pStyle w:val="PIParagraphCharCharChar"/>
              <w:jc w:val="center"/>
              <w:rPr>
                <w:rFonts w:ascii="Arial" w:hAnsi="Arial" w:cs="Arial"/>
                <w:b/>
                <w:sz w:val="18"/>
                <w:szCs w:val="18"/>
              </w:rPr>
            </w:pPr>
          </w:p>
        </w:tc>
        <w:tc>
          <w:tcPr>
            <w:tcW w:w="3849" w:type="dxa"/>
            <w:gridSpan w:val="3"/>
          </w:tcPr>
          <w:p w:rsidR="00F15A1A" w:rsidRPr="00A45996" w:rsidRDefault="00F15A1A" w:rsidP="00A45996">
            <w:pPr>
              <w:pStyle w:val="PIParagraphCharCharChar"/>
              <w:jc w:val="center"/>
              <w:rPr>
                <w:rFonts w:ascii="Arial" w:hAnsi="Arial" w:cs="Arial"/>
                <w:b/>
                <w:sz w:val="18"/>
                <w:szCs w:val="18"/>
                <w:lang w:val="da-DK"/>
              </w:rPr>
            </w:pPr>
            <w:r w:rsidRPr="00A45996">
              <w:rPr>
                <w:rFonts w:ascii="Arial" w:hAnsi="Arial" w:cs="Arial"/>
                <w:b/>
                <w:sz w:val="18"/>
                <w:szCs w:val="18"/>
                <w:lang w:val="da-DK"/>
              </w:rPr>
              <w:t>IV</w:t>
            </w:r>
          </w:p>
        </w:tc>
        <w:tc>
          <w:tcPr>
            <w:tcW w:w="3389" w:type="dxa"/>
            <w:gridSpan w:val="2"/>
          </w:tcPr>
          <w:p w:rsidR="00F15A1A" w:rsidRPr="00A45996" w:rsidRDefault="00F15A1A" w:rsidP="00A45996">
            <w:pPr>
              <w:pStyle w:val="PIParagraphCharCharChar"/>
              <w:jc w:val="center"/>
              <w:rPr>
                <w:rFonts w:ascii="Arial" w:hAnsi="Arial" w:cs="Arial"/>
                <w:b/>
                <w:sz w:val="18"/>
                <w:szCs w:val="18"/>
                <w:lang w:val="da-DK"/>
              </w:rPr>
            </w:pPr>
            <w:r w:rsidRPr="00A45996">
              <w:rPr>
                <w:rFonts w:ascii="Arial" w:hAnsi="Arial" w:cs="Arial"/>
                <w:b/>
                <w:sz w:val="18"/>
                <w:szCs w:val="18"/>
                <w:lang w:val="da-DK"/>
              </w:rPr>
              <w:t>SC</w:t>
            </w:r>
          </w:p>
        </w:tc>
      </w:tr>
      <w:tr w:rsidR="00F15A1A" w:rsidRPr="00A45996" w:rsidTr="00A45996">
        <w:tc>
          <w:tcPr>
            <w:tcW w:w="2151" w:type="dxa"/>
          </w:tcPr>
          <w:p w:rsidR="00F15A1A" w:rsidRPr="00A45996" w:rsidRDefault="00F15A1A" w:rsidP="00A45996">
            <w:pPr>
              <w:pStyle w:val="PIParagraphCharCharChar"/>
              <w:rPr>
                <w:rFonts w:ascii="Arial" w:hAnsi="Arial" w:cs="Arial"/>
                <w:sz w:val="18"/>
                <w:szCs w:val="18"/>
              </w:rPr>
            </w:pPr>
          </w:p>
        </w:tc>
        <w:tc>
          <w:tcPr>
            <w:tcW w:w="1254" w:type="dxa"/>
          </w:tcPr>
          <w:p w:rsidR="00F15A1A" w:rsidRPr="00A45996" w:rsidRDefault="00F15A1A" w:rsidP="00A45996">
            <w:pPr>
              <w:pStyle w:val="PIParagraphCharCharChar"/>
              <w:rPr>
                <w:rFonts w:ascii="Arial" w:hAnsi="Arial" w:cs="Arial"/>
                <w:sz w:val="18"/>
                <w:szCs w:val="18"/>
                <w:lang w:val="da-DK"/>
              </w:rPr>
            </w:pPr>
            <w:r w:rsidRPr="00A45996">
              <w:rPr>
                <w:rFonts w:ascii="Arial" w:hAnsi="Arial" w:cs="Arial"/>
                <w:sz w:val="18"/>
                <w:szCs w:val="18"/>
                <w:lang w:val="da-DK"/>
              </w:rPr>
              <w:t>1 mg bortezomib</w:t>
            </w:r>
          </w:p>
        </w:tc>
        <w:tc>
          <w:tcPr>
            <w:tcW w:w="1353" w:type="dxa"/>
          </w:tcPr>
          <w:p w:rsidR="00F15A1A" w:rsidRPr="00A45996" w:rsidRDefault="00F15A1A" w:rsidP="00A45996">
            <w:pPr>
              <w:pStyle w:val="PIParagraphCharCharChar"/>
              <w:rPr>
                <w:rFonts w:ascii="Arial" w:hAnsi="Arial" w:cs="Arial"/>
                <w:sz w:val="18"/>
                <w:szCs w:val="18"/>
                <w:lang w:val="da-DK"/>
              </w:rPr>
            </w:pPr>
            <w:r w:rsidRPr="00A45996">
              <w:rPr>
                <w:rFonts w:ascii="Arial" w:hAnsi="Arial" w:cs="Arial"/>
                <w:sz w:val="18"/>
                <w:szCs w:val="18"/>
                <w:lang w:val="da-DK"/>
              </w:rPr>
              <w:t>3.0 mg bortezomib</w:t>
            </w:r>
          </w:p>
        </w:tc>
        <w:tc>
          <w:tcPr>
            <w:tcW w:w="1242" w:type="dxa"/>
          </w:tcPr>
          <w:p w:rsidR="00F15A1A" w:rsidRPr="00A45996" w:rsidDel="002D627A" w:rsidRDefault="00F15A1A" w:rsidP="00A45996">
            <w:pPr>
              <w:pStyle w:val="PIParagraphCharCharChar"/>
              <w:rPr>
                <w:rFonts w:ascii="Arial" w:hAnsi="Arial" w:cs="Arial"/>
                <w:sz w:val="18"/>
                <w:szCs w:val="18"/>
                <w:lang w:val="da-DK"/>
              </w:rPr>
            </w:pPr>
            <w:r w:rsidRPr="00A45996">
              <w:rPr>
                <w:rFonts w:ascii="Arial" w:hAnsi="Arial" w:cs="Arial"/>
                <w:sz w:val="18"/>
                <w:szCs w:val="18"/>
                <w:lang w:val="da-DK"/>
              </w:rPr>
              <w:t>3.5 mg bortezomib</w:t>
            </w:r>
          </w:p>
        </w:tc>
        <w:tc>
          <w:tcPr>
            <w:tcW w:w="1552" w:type="dxa"/>
          </w:tcPr>
          <w:p w:rsidR="00F15A1A" w:rsidRPr="00A45996" w:rsidRDefault="00F15A1A" w:rsidP="00A45996">
            <w:pPr>
              <w:pStyle w:val="PIParagraphCharCharChar"/>
              <w:rPr>
                <w:rFonts w:ascii="Arial" w:hAnsi="Arial" w:cs="Arial"/>
                <w:sz w:val="18"/>
                <w:szCs w:val="18"/>
                <w:lang w:val="da-DK"/>
              </w:rPr>
            </w:pPr>
            <w:r w:rsidRPr="00A45996">
              <w:rPr>
                <w:rFonts w:ascii="Arial" w:hAnsi="Arial" w:cs="Arial"/>
                <w:sz w:val="18"/>
                <w:szCs w:val="18"/>
                <w:lang w:val="da-DK"/>
              </w:rPr>
              <w:t>3.0 mg bortezomib</w:t>
            </w:r>
          </w:p>
        </w:tc>
        <w:tc>
          <w:tcPr>
            <w:tcW w:w="1837" w:type="dxa"/>
          </w:tcPr>
          <w:p w:rsidR="00F15A1A" w:rsidRPr="00A45996" w:rsidDel="002D627A" w:rsidRDefault="00F15A1A" w:rsidP="00A45996">
            <w:pPr>
              <w:pStyle w:val="PIParagraphCharCharChar"/>
              <w:rPr>
                <w:rFonts w:ascii="Arial" w:hAnsi="Arial" w:cs="Arial"/>
                <w:sz w:val="18"/>
                <w:szCs w:val="18"/>
                <w:lang w:val="da-DK"/>
              </w:rPr>
            </w:pPr>
            <w:r w:rsidRPr="00A45996">
              <w:rPr>
                <w:rFonts w:ascii="Arial" w:hAnsi="Arial" w:cs="Arial"/>
                <w:sz w:val="18"/>
                <w:szCs w:val="18"/>
                <w:lang w:val="da-DK"/>
              </w:rPr>
              <w:t>3.5 mg bortezomib</w:t>
            </w:r>
          </w:p>
        </w:tc>
      </w:tr>
      <w:tr w:rsidR="00F15A1A" w:rsidRPr="00A45996" w:rsidTr="00A45996">
        <w:tc>
          <w:tcPr>
            <w:tcW w:w="2151"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Volume of diluent (0.9% Sodium Chloride) added to reconstitute one vial</w:t>
            </w:r>
          </w:p>
        </w:tc>
        <w:tc>
          <w:tcPr>
            <w:tcW w:w="1254"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1.0 mL</w:t>
            </w:r>
          </w:p>
        </w:tc>
        <w:tc>
          <w:tcPr>
            <w:tcW w:w="1353"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3.0 mL</w:t>
            </w:r>
          </w:p>
        </w:tc>
        <w:tc>
          <w:tcPr>
            <w:tcW w:w="1242"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3.5 mL</w:t>
            </w:r>
          </w:p>
        </w:tc>
        <w:tc>
          <w:tcPr>
            <w:tcW w:w="1552"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1.2 mL</w:t>
            </w:r>
          </w:p>
        </w:tc>
        <w:tc>
          <w:tcPr>
            <w:tcW w:w="1837"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1.4 mL</w:t>
            </w:r>
          </w:p>
        </w:tc>
      </w:tr>
      <w:tr w:rsidR="00F15A1A" w:rsidRPr="00A45996" w:rsidTr="00A45996">
        <w:tc>
          <w:tcPr>
            <w:tcW w:w="2151"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Final Concentration after reconstitution (mg/mL)</w:t>
            </w:r>
          </w:p>
        </w:tc>
        <w:tc>
          <w:tcPr>
            <w:tcW w:w="1254"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1.0 mg/mL</w:t>
            </w:r>
          </w:p>
        </w:tc>
        <w:tc>
          <w:tcPr>
            <w:tcW w:w="1353"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1.0 mg/mL</w:t>
            </w:r>
          </w:p>
        </w:tc>
        <w:tc>
          <w:tcPr>
            <w:tcW w:w="1242"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1.0 mg/mL</w:t>
            </w:r>
          </w:p>
        </w:tc>
        <w:tc>
          <w:tcPr>
            <w:tcW w:w="1552"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2.5 mg/mL</w:t>
            </w:r>
          </w:p>
        </w:tc>
        <w:tc>
          <w:tcPr>
            <w:tcW w:w="1837" w:type="dxa"/>
          </w:tcPr>
          <w:p w:rsidR="00F15A1A" w:rsidRPr="00A45996" w:rsidRDefault="00F15A1A" w:rsidP="00A45996">
            <w:pPr>
              <w:pStyle w:val="PIParagraphCharCharChar"/>
              <w:rPr>
                <w:rFonts w:ascii="Arial" w:hAnsi="Arial" w:cs="Arial"/>
                <w:sz w:val="18"/>
                <w:szCs w:val="18"/>
              </w:rPr>
            </w:pPr>
            <w:r w:rsidRPr="00A45996">
              <w:rPr>
                <w:rFonts w:ascii="Arial" w:hAnsi="Arial" w:cs="Arial"/>
                <w:sz w:val="18"/>
                <w:szCs w:val="18"/>
              </w:rPr>
              <w:t>2.5 mg/mL</w:t>
            </w:r>
          </w:p>
        </w:tc>
      </w:tr>
    </w:tbl>
    <w:p w:rsidR="00F15A1A" w:rsidRPr="00A45996" w:rsidRDefault="00F15A1A" w:rsidP="00326C73">
      <w:pPr>
        <w:spacing w:before="20" w:after="80"/>
        <w:rPr>
          <w:sz w:val="22"/>
        </w:rPr>
      </w:pPr>
    </w:p>
    <w:p w:rsidR="00326C73" w:rsidRPr="00A45996" w:rsidRDefault="00326C73" w:rsidP="00326C73">
      <w:pPr>
        <w:spacing w:before="20" w:after="80"/>
        <w:rPr>
          <w:sz w:val="22"/>
        </w:rPr>
      </w:pPr>
      <w:r w:rsidRPr="00A45996">
        <w:rPr>
          <w:sz w:val="22"/>
        </w:rPr>
        <w:t xml:space="preserve">The reconstituted product should be a clear and colourless solution. </w:t>
      </w:r>
    </w:p>
    <w:p w:rsidR="00326C73" w:rsidRPr="00A45996" w:rsidRDefault="00326C73" w:rsidP="00326C73">
      <w:pPr>
        <w:spacing w:before="20" w:after="80"/>
        <w:rPr>
          <w:sz w:val="22"/>
        </w:rPr>
      </w:pPr>
      <w:r w:rsidRPr="00A45996">
        <w:rPr>
          <w:sz w:val="22"/>
        </w:rPr>
        <w:t>Parenteral drug products should be inspected visually for particulate matter and discolouration prior to administration whenever solution and container permit.  If any discolouration or particulate matter is observed, the reconstituted product should not be used.</w:t>
      </w:r>
    </w:p>
    <w:p w:rsidR="00326C73" w:rsidRPr="00A45996" w:rsidRDefault="00326C73" w:rsidP="00326C73">
      <w:pPr>
        <w:spacing w:before="20" w:after="80"/>
        <w:rPr>
          <w:sz w:val="22"/>
        </w:rPr>
      </w:pPr>
      <w:r w:rsidRPr="00E07EDD">
        <w:rPr>
          <w:b/>
          <w:i/>
          <w:iCs/>
          <w:sz w:val="22"/>
          <w:lang w:val="en-US"/>
        </w:rPr>
        <w:t>Procedure for proper disposal:</w:t>
      </w:r>
      <w:r w:rsidRPr="00A45996">
        <w:rPr>
          <w:i/>
          <w:iCs/>
          <w:sz w:val="22"/>
          <w:lang w:val="en-US"/>
        </w:rPr>
        <w:t xml:space="preserve"> </w:t>
      </w:r>
      <w:r w:rsidRPr="00A45996">
        <w:rPr>
          <w:sz w:val="22"/>
        </w:rPr>
        <w:t>Any unused product or waste material should be disposed of in accordance with local requirements.</w:t>
      </w:r>
    </w:p>
    <w:p w:rsidR="00326C73" w:rsidRPr="00A45996" w:rsidRDefault="00326C73" w:rsidP="00326C73">
      <w:pPr>
        <w:pStyle w:val="PIHEADING1"/>
        <w:keepLines/>
      </w:pPr>
      <w:r w:rsidRPr="00A45996">
        <w:t>OVERDOSAGE</w:t>
      </w:r>
    </w:p>
    <w:p w:rsidR="00326C73" w:rsidRPr="00A45996" w:rsidRDefault="00326C73" w:rsidP="00326C73">
      <w:pPr>
        <w:pStyle w:val="PIEXPLAIN"/>
        <w:keepLines/>
        <w:tabs>
          <w:tab w:val="clear" w:pos="-720"/>
        </w:tabs>
        <w:suppressAutoHyphens w:val="0"/>
        <w:spacing w:before="0" w:after="0"/>
        <w:rPr>
          <w:spacing w:val="0"/>
        </w:rPr>
      </w:pPr>
      <w:r w:rsidRPr="00A45996">
        <w:t xml:space="preserve">Cardiovascular safety pharmacology studies in monkeys and dogs showed that IV doses approximately two to three times the recommended clinical dose on </w:t>
      </w:r>
      <w:proofErr w:type="gramStart"/>
      <w:r w:rsidRPr="00A45996">
        <w:t>a</w:t>
      </w:r>
      <w:proofErr w:type="gramEnd"/>
      <w:r w:rsidRPr="00A45996">
        <w:t xml:space="preserve"> mg/m</w:t>
      </w:r>
      <w:r w:rsidRPr="00A45996">
        <w:rPr>
          <w:vertAlign w:val="superscript"/>
        </w:rPr>
        <w:t>2</w:t>
      </w:r>
      <w:r w:rsidRPr="00A45996">
        <w:t xml:space="preserve"> basis are associated with increases in heart rate, decreases in contractility, hypotension and death.  The decreased cardiac contractility and hypotension responded to acute intervention with positive ionotropic or pressor agents.  In dog studies, a slight increase in the corrected QT interval was observed at a lethal dose.  </w:t>
      </w:r>
    </w:p>
    <w:p w:rsidR="00326C73" w:rsidRPr="00A45996" w:rsidRDefault="00326C73" w:rsidP="00326C73">
      <w:pPr>
        <w:keepLines w:val="0"/>
        <w:autoSpaceDE w:val="0"/>
        <w:autoSpaceDN w:val="0"/>
        <w:adjustRightInd w:val="0"/>
        <w:rPr>
          <w:rFonts w:cs="Arial"/>
          <w:sz w:val="22"/>
          <w:szCs w:val="24"/>
          <w:lang w:val="en-US"/>
        </w:rPr>
      </w:pPr>
      <w:r w:rsidRPr="00A45996">
        <w:rPr>
          <w:rFonts w:cs="Arial"/>
          <w:sz w:val="22"/>
        </w:rPr>
        <w:t>In patients, o</w:t>
      </w:r>
      <w:proofErr w:type="spellStart"/>
      <w:r w:rsidRPr="00A45996">
        <w:rPr>
          <w:rFonts w:cs="Arial"/>
          <w:sz w:val="22"/>
          <w:szCs w:val="24"/>
          <w:lang w:val="en-US"/>
        </w:rPr>
        <w:t>verdosage</w:t>
      </w:r>
      <w:proofErr w:type="spellEnd"/>
      <w:r w:rsidRPr="00A45996">
        <w:rPr>
          <w:rFonts w:cs="Arial"/>
          <w:sz w:val="22"/>
          <w:szCs w:val="24"/>
          <w:lang w:val="en-US"/>
        </w:rPr>
        <w:t xml:space="preserve"> more than twice the recommended dose has been associated with the acute onset of symptomatic hypotension and thrombocytopenia with fatal outcomes. </w:t>
      </w:r>
    </w:p>
    <w:p w:rsidR="00326C73" w:rsidRPr="00A45996" w:rsidRDefault="00326C73" w:rsidP="00326C73">
      <w:pPr>
        <w:keepLines w:val="0"/>
        <w:autoSpaceDE w:val="0"/>
        <w:autoSpaceDN w:val="0"/>
        <w:adjustRightInd w:val="0"/>
        <w:rPr>
          <w:rFonts w:cs="Arial"/>
          <w:sz w:val="22"/>
          <w:szCs w:val="24"/>
          <w:lang w:val="en-US"/>
        </w:rPr>
      </w:pPr>
    </w:p>
    <w:p w:rsidR="00326C73" w:rsidRPr="00A45996" w:rsidRDefault="00326C73" w:rsidP="00326C73">
      <w:pPr>
        <w:keepLines w:val="0"/>
        <w:autoSpaceDE w:val="0"/>
        <w:autoSpaceDN w:val="0"/>
        <w:adjustRightInd w:val="0"/>
        <w:rPr>
          <w:sz w:val="22"/>
        </w:rPr>
      </w:pPr>
      <w:r w:rsidRPr="00A45996">
        <w:rPr>
          <w:sz w:val="22"/>
        </w:rPr>
        <w:t xml:space="preserve">There is no known specific antidote for VELCADE </w:t>
      </w:r>
      <w:proofErr w:type="spellStart"/>
      <w:r w:rsidRPr="00A45996">
        <w:rPr>
          <w:sz w:val="22"/>
        </w:rPr>
        <w:t>overdosage</w:t>
      </w:r>
      <w:proofErr w:type="spellEnd"/>
      <w:r w:rsidRPr="00A45996">
        <w:rPr>
          <w:sz w:val="22"/>
        </w:rPr>
        <w:t xml:space="preserve">.  </w:t>
      </w:r>
      <w:r w:rsidRPr="00A45996">
        <w:rPr>
          <w:rFonts w:cs="Arial"/>
          <w:sz w:val="22"/>
        </w:rPr>
        <w:t>In</w:t>
      </w:r>
      <w:r w:rsidRPr="00A45996">
        <w:rPr>
          <w:sz w:val="22"/>
        </w:rPr>
        <w:t xml:space="preserve"> the event of </w:t>
      </w:r>
      <w:proofErr w:type="spellStart"/>
      <w:r w:rsidRPr="00A45996">
        <w:rPr>
          <w:sz w:val="22"/>
        </w:rPr>
        <w:t>overdosage</w:t>
      </w:r>
      <w:proofErr w:type="spellEnd"/>
      <w:r w:rsidRPr="00A45996">
        <w:rPr>
          <w:sz w:val="22"/>
        </w:rPr>
        <w:t xml:space="preserve">, patient’s vital signs should be monitored and appropriate supportive care given to maintain blood pressure (such as fluids, </w:t>
      </w:r>
      <w:proofErr w:type="spellStart"/>
      <w:r w:rsidRPr="00A45996">
        <w:rPr>
          <w:sz w:val="22"/>
        </w:rPr>
        <w:t>pressors</w:t>
      </w:r>
      <w:proofErr w:type="spellEnd"/>
      <w:r w:rsidRPr="00A45996">
        <w:rPr>
          <w:sz w:val="22"/>
        </w:rPr>
        <w:t xml:space="preserve">, and/or ionotropic agents) and body temperature (see </w:t>
      </w:r>
      <w:r w:rsidRPr="00A45996">
        <w:rPr>
          <w:b/>
          <w:bCs/>
          <w:sz w:val="22"/>
        </w:rPr>
        <w:t>DOSAGE AND ADMINISTRATION</w:t>
      </w:r>
      <w:r w:rsidRPr="00A45996">
        <w:rPr>
          <w:sz w:val="22"/>
        </w:rPr>
        <w:t xml:space="preserve"> and </w:t>
      </w:r>
      <w:r w:rsidRPr="00A45996">
        <w:rPr>
          <w:b/>
          <w:bCs/>
          <w:sz w:val="22"/>
        </w:rPr>
        <w:t>PRECAUTIONS</w:t>
      </w:r>
      <w:r w:rsidRPr="00A45996">
        <w:rPr>
          <w:sz w:val="22"/>
        </w:rPr>
        <w:t>).</w:t>
      </w:r>
    </w:p>
    <w:p w:rsidR="00A87874" w:rsidRPr="00A45996" w:rsidRDefault="00326C73" w:rsidP="00F511BE">
      <w:pPr>
        <w:keepLines w:val="0"/>
        <w:autoSpaceDE w:val="0"/>
        <w:autoSpaceDN w:val="0"/>
        <w:adjustRightInd w:val="0"/>
      </w:pPr>
      <w:r w:rsidRPr="00A45996">
        <w:rPr>
          <w:sz w:val="22"/>
        </w:rPr>
        <w:t>Refer to Australian Poisons Information Centre for further information (telephone number: 131126).</w:t>
      </w:r>
    </w:p>
    <w:p w:rsidR="00326C73" w:rsidRPr="00A45996" w:rsidRDefault="00326C73" w:rsidP="00326C73">
      <w:pPr>
        <w:pStyle w:val="PIHEADING1"/>
        <w:keepLines/>
        <w:jc w:val="both"/>
      </w:pPr>
      <w:r w:rsidRPr="00A45996">
        <w:t>PRESENTATION and Storage Conditions</w:t>
      </w:r>
    </w:p>
    <w:p w:rsidR="00326C73" w:rsidRPr="00A45996" w:rsidRDefault="00326C73" w:rsidP="00326C73">
      <w:pPr>
        <w:pStyle w:val="BodyText12"/>
        <w:spacing w:before="20" w:after="80" w:line="240" w:lineRule="auto"/>
        <w:ind w:left="0"/>
        <w:rPr>
          <w:rFonts w:ascii="Arial" w:hAnsi="Arial" w:cs="Arial"/>
          <w:sz w:val="22"/>
          <w:szCs w:val="24"/>
        </w:rPr>
      </w:pPr>
      <w:r w:rsidRPr="00A45996">
        <w:rPr>
          <w:rFonts w:ascii="Arial" w:hAnsi="Arial" w:cs="Arial"/>
          <w:sz w:val="22"/>
          <w:szCs w:val="24"/>
        </w:rPr>
        <w:t xml:space="preserve">VELCADE is supplied in a 5 mL or 10 mL, type I, glass vial with a gray </w:t>
      </w:r>
      <w:proofErr w:type="spellStart"/>
      <w:r w:rsidRPr="00A45996">
        <w:rPr>
          <w:rFonts w:ascii="Arial" w:hAnsi="Arial" w:cs="Arial"/>
          <w:sz w:val="22"/>
          <w:szCs w:val="24"/>
        </w:rPr>
        <w:t>bromobutyl</w:t>
      </w:r>
      <w:proofErr w:type="spellEnd"/>
      <w:r w:rsidRPr="00A45996">
        <w:rPr>
          <w:rFonts w:ascii="Arial" w:hAnsi="Arial" w:cs="Arial"/>
          <w:sz w:val="22"/>
          <w:szCs w:val="24"/>
        </w:rPr>
        <w:t xml:space="preserve"> stopper and aluminum seal.  The cap </w:t>
      </w:r>
      <w:proofErr w:type="spellStart"/>
      <w:r w:rsidRPr="00A45996">
        <w:rPr>
          <w:rFonts w:ascii="Arial" w:hAnsi="Arial" w:cs="Arial"/>
          <w:sz w:val="22"/>
          <w:szCs w:val="24"/>
        </w:rPr>
        <w:t>colour</w:t>
      </w:r>
      <w:proofErr w:type="spellEnd"/>
      <w:r w:rsidRPr="00A45996">
        <w:rPr>
          <w:rFonts w:ascii="Arial" w:hAnsi="Arial" w:cs="Arial"/>
          <w:sz w:val="22"/>
          <w:szCs w:val="24"/>
        </w:rPr>
        <w:t xml:space="preserve"> of the 5 mL vial is green</w:t>
      </w:r>
      <w:r w:rsidR="00F15A1A" w:rsidRPr="00A45996">
        <w:rPr>
          <w:rFonts w:ascii="Arial" w:hAnsi="Arial" w:cs="Arial"/>
          <w:sz w:val="22"/>
          <w:szCs w:val="24"/>
        </w:rPr>
        <w:t>.</w:t>
      </w:r>
      <w:r w:rsidRPr="00A45996">
        <w:rPr>
          <w:rFonts w:ascii="Arial" w:hAnsi="Arial" w:cs="Arial"/>
          <w:sz w:val="22"/>
          <w:szCs w:val="24"/>
        </w:rPr>
        <w:t xml:space="preserve"> </w:t>
      </w:r>
      <w:r w:rsidR="00F15A1A" w:rsidRPr="00A45996">
        <w:rPr>
          <w:rFonts w:ascii="Arial" w:hAnsi="Arial" w:cs="Arial"/>
          <w:sz w:val="22"/>
          <w:szCs w:val="24"/>
        </w:rPr>
        <w:t>T</w:t>
      </w:r>
      <w:r w:rsidRPr="00A45996">
        <w:rPr>
          <w:rFonts w:ascii="Arial" w:hAnsi="Arial" w:cs="Arial"/>
          <w:sz w:val="22"/>
          <w:szCs w:val="24"/>
        </w:rPr>
        <w:t xml:space="preserve">he cap </w:t>
      </w:r>
      <w:proofErr w:type="spellStart"/>
      <w:r w:rsidRPr="00A45996">
        <w:rPr>
          <w:rFonts w:ascii="Arial" w:hAnsi="Arial" w:cs="Arial"/>
          <w:sz w:val="22"/>
          <w:szCs w:val="24"/>
        </w:rPr>
        <w:t>colour</w:t>
      </w:r>
      <w:proofErr w:type="spellEnd"/>
      <w:r w:rsidRPr="00A45996">
        <w:rPr>
          <w:rFonts w:ascii="Arial" w:hAnsi="Arial" w:cs="Arial"/>
          <w:sz w:val="22"/>
          <w:szCs w:val="24"/>
        </w:rPr>
        <w:t xml:space="preserve"> for the 10 mL vial is </w:t>
      </w:r>
      <w:r w:rsidR="00F15A1A" w:rsidRPr="00A45996">
        <w:rPr>
          <w:rFonts w:ascii="Arial" w:hAnsi="Arial" w:cs="Arial"/>
          <w:sz w:val="22"/>
          <w:szCs w:val="24"/>
        </w:rPr>
        <w:t xml:space="preserve">orange for the 3.0 mg product presentation and </w:t>
      </w:r>
      <w:r w:rsidRPr="00A45996">
        <w:rPr>
          <w:rFonts w:ascii="Arial" w:hAnsi="Arial" w:cs="Arial"/>
          <w:sz w:val="22"/>
          <w:szCs w:val="24"/>
        </w:rPr>
        <w:t>royal blue</w:t>
      </w:r>
      <w:r w:rsidR="00F15A1A" w:rsidRPr="00A45996">
        <w:rPr>
          <w:rFonts w:ascii="Arial" w:hAnsi="Arial" w:cs="Arial"/>
          <w:sz w:val="22"/>
          <w:szCs w:val="24"/>
        </w:rPr>
        <w:t xml:space="preserve"> for the 3.5 mg product presentation</w:t>
      </w:r>
      <w:r w:rsidRPr="00A45996">
        <w:rPr>
          <w:rFonts w:ascii="Arial" w:hAnsi="Arial" w:cs="Arial"/>
          <w:sz w:val="22"/>
          <w:szCs w:val="24"/>
        </w:rPr>
        <w:t xml:space="preserve">.  The vial is contained in a transparent blister pack consisting of a tray with a lid.  The 5 mL vial contains 11 mg powder (1.0 mg </w:t>
      </w:r>
      <w:proofErr w:type="spellStart"/>
      <w:r w:rsidRPr="00A45996">
        <w:rPr>
          <w:rFonts w:ascii="Arial" w:hAnsi="Arial" w:cs="Arial"/>
          <w:sz w:val="22"/>
          <w:szCs w:val="24"/>
        </w:rPr>
        <w:t>bortezomib</w:t>
      </w:r>
      <w:proofErr w:type="spellEnd"/>
      <w:r w:rsidRPr="00A45996">
        <w:rPr>
          <w:rFonts w:ascii="Arial" w:hAnsi="Arial" w:cs="Arial"/>
          <w:sz w:val="22"/>
          <w:szCs w:val="24"/>
        </w:rPr>
        <w:t xml:space="preserve">) for </w:t>
      </w:r>
      <w:r w:rsidR="00F15A1A" w:rsidRPr="00A45996">
        <w:rPr>
          <w:rFonts w:ascii="Arial" w:hAnsi="Arial" w:cs="Arial"/>
          <w:sz w:val="22"/>
          <w:szCs w:val="24"/>
        </w:rPr>
        <w:t xml:space="preserve">solution for </w:t>
      </w:r>
      <w:r w:rsidR="00E13AD4" w:rsidRPr="00A45996">
        <w:rPr>
          <w:rFonts w:ascii="Arial" w:hAnsi="Arial" w:cs="Arial"/>
          <w:sz w:val="22"/>
          <w:szCs w:val="24"/>
        </w:rPr>
        <w:t xml:space="preserve">IV </w:t>
      </w:r>
      <w:r w:rsidRPr="00A45996">
        <w:rPr>
          <w:rFonts w:ascii="Arial" w:hAnsi="Arial" w:cs="Arial"/>
          <w:sz w:val="22"/>
          <w:szCs w:val="24"/>
        </w:rPr>
        <w:t xml:space="preserve">injection </w:t>
      </w:r>
      <w:r w:rsidR="00E13AD4" w:rsidRPr="00A45996">
        <w:rPr>
          <w:rFonts w:ascii="Arial" w:hAnsi="Arial" w:cs="Arial"/>
          <w:sz w:val="22"/>
          <w:szCs w:val="24"/>
        </w:rPr>
        <w:t>only</w:t>
      </w:r>
      <w:r w:rsidR="00F15A1A" w:rsidRPr="00A45996">
        <w:rPr>
          <w:rFonts w:ascii="Arial" w:hAnsi="Arial" w:cs="Arial"/>
          <w:sz w:val="22"/>
          <w:szCs w:val="24"/>
        </w:rPr>
        <w:t>.  T</w:t>
      </w:r>
      <w:r w:rsidRPr="00A45996">
        <w:rPr>
          <w:rFonts w:ascii="Arial" w:hAnsi="Arial" w:cs="Arial"/>
          <w:sz w:val="22"/>
          <w:szCs w:val="24"/>
        </w:rPr>
        <w:t xml:space="preserve">he 10 mL vial contains </w:t>
      </w:r>
      <w:r w:rsidR="00F15A1A" w:rsidRPr="00A45996">
        <w:rPr>
          <w:rFonts w:ascii="Arial" w:hAnsi="Arial" w:cs="Arial"/>
          <w:sz w:val="22"/>
          <w:szCs w:val="24"/>
        </w:rPr>
        <w:t xml:space="preserve">33 mg powder for the 3.0 mg product, and </w:t>
      </w:r>
      <w:r w:rsidRPr="00A45996">
        <w:rPr>
          <w:rFonts w:ascii="Arial" w:hAnsi="Arial" w:cs="Arial"/>
          <w:sz w:val="22"/>
          <w:szCs w:val="24"/>
        </w:rPr>
        <w:t xml:space="preserve">38.5 mg powder </w:t>
      </w:r>
      <w:r w:rsidR="00F15A1A" w:rsidRPr="00A45996">
        <w:rPr>
          <w:rFonts w:ascii="Arial" w:hAnsi="Arial" w:cs="Arial"/>
          <w:sz w:val="22"/>
          <w:szCs w:val="24"/>
        </w:rPr>
        <w:t xml:space="preserve">for the 3.5 mg product, </w:t>
      </w:r>
      <w:r w:rsidRPr="00A45996">
        <w:rPr>
          <w:rFonts w:ascii="Arial" w:hAnsi="Arial" w:cs="Arial"/>
          <w:sz w:val="22"/>
          <w:szCs w:val="24"/>
        </w:rPr>
        <w:t xml:space="preserve">for </w:t>
      </w:r>
      <w:r w:rsidR="00F15A1A" w:rsidRPr="00A45996">
        <w:rPr>
          <w:rFonts w:ascii="Arial" w:hAnsi="Arial" w:cs="Arial"/>
          <w:sz w:val="22"/>
          <w:szCs w:val="24"/>
        </w:rPr>
        <w:t xml:space="preserve">solution for </w:t>
      </w:r>
      <w:r w:rsidR="00E13AD4" w:rsidRPr="00A45996">
        <w:rPr>
          <w:rFonts w:ascii="Arial" w:hAnsi="Arial" w:cs="Arial"/>
          <w:sz w:val="22"/>
          <w:szCs w:val="24"/>
        </w:rPr>
        <w:t>IV or</w:t>
      </w:r>
      <w:r w:rsidR="0092571C" w:rsidRPr="00A45996">
        <w:rPr>
          <w:rFonts w:ascii="Arial" w:hAnsi="Arial" w:cs="Arial"/>
          <w:sz w:val="22"/>
          <w:szCs w:val="24"/>
        </w:rPr>
        <w:t xml:space="preserve"> SC</w:t>
      </w:r>
      <w:r w:rsidR="00E13AD4" w:rsidRPr="00A45996">
        <w:rPr>
          <w:rFonts w:ascii="Arial" w:hAnsi="Arial" w:cs="Arial"/>
          <w:sz w:val="22"/>
          <w:szCs w:val="24"/>
        </w:rPr>
        <w:t xml:space="preserve"> </w:t>
      </w:r>
      <w:r w:rsidRPr="00A45996">
        <w:rPr>
          <w:rFonts w:ascii="Arial" w:hAnsi="Arial" w:cs="Arial"/>
          <w:sz w:val="22"/>
          <w:szCs w:val="24"/>
        </w:rPr>
        <w:t xml:space="preserve">injection. </w:t>
      </w:r>
    </w:p>
    <w:p w:rsidR="00326C73" w:rsidRPr="00A45996" w:rsidRDefault="00326C73" w:rsidP="00326C73">
      <w:pPr>
        <w:pStyle w:val="PIEXPLAIN"/>
        <w:keepLines/>
      </w:pPr>
      <w:r w:rsidRPr="00A45996">
        <w:t>VELCADE is available in cartons containing 1 vial.  Product is for single use in one patient only.</w:t>
      </w:r>
    </w:p>
    <w:p w:rsidR="00326C73" w:rsidRPr="00A45996" w:rsidRDefault="00326C73" w:rsidP="00326C73">
      <w:pPr>
        <w:pStyle w:val="PIHEADING2"/>
        <w:keepLines/>
        <w:rPr>
          <w:sz w:val="28"/>
        </w:rPr>
      </w:pPr>
      <w:r w:rsidRPr="00A45996">
        <w:rPr>
          <w:sz w:val="28"/>
        </w:rPr>
        <w:t>Storage</w:t>
      </w:r>
    </w:p>
    <w:p w:rsidR="00326C73" w:rsidRPr="00A45996" w:rsidRDefault="00326C73" w:rsidP="00326C73">
      <w:pPr>
        <w:spacing w:before="20" w:after="80"/>
        <w:rPr>
          <w:sz w:val="22"/>
        </w:rPr>
      </w:pPr>
      <w:r w:rsidRPr="00A45996">
        <w:rPr>
          <w:i/>
          <w:iCs/>
          <w:sz w:val="22"/>
        </w:rPr>
        <w:t>Unopened vials:</w:t>
      </w:r>
      <w:r w:rsidRPr="00A45996">
        <w:rPr>
          <w:sz w:val="22"/>
        </w:rPr>
        <w:t xml:space="preserve"> Store below 25ºC.  Keep the container in the outer carton in order to protect from light.</w:t>
      </w:r>
    </w:p>
    <w:p w:rsidR="00326C73" w:rsidRPr="00A45996" w:rsidRDefault="00326C73" w:rsidP="00326C73">
      <w:pPr>
        <w:spacing w:before="20" w:after="80"/>
        <w:rPr>
          <w:sz w:val="22"/>
        </w:rPr>
      </w:pPr>
      <w:r w:rsidRPr="00A45996">
        <w:rPr>
          <w:bCs/>
          <w:i/>
          <w:sz w:val="22"/>
        </w:rPr>
        <w:t>Reconstituted solution:</w:t>
      </w:r>
      <w:r w:rsidRPr="00A45996">
        <w:rPr>
          <w:sz w:val="22"/>
        </w:rPr>
        <w:t xml:space="preserve"> VELCADE contains no antimicrobial preservative. </w:t>
      </w:r>
      <w:r w:rsidRPr="00A45996">
        <w:rPr>
          <w:sz w:val="22"/>
          <w:szCs w:val="24"/>
          <w:lang w:val="en-US"/>
        </w:rPr>
        <w:t>The chemical and physical in-use stability of the reconstituted solution has been demonstrated for 8 hours at 25°C when it is stored under normal lighting conditions in the original vial and/or syringe prior to administration. However, to reduce microbiological hazard, use as soon as possible after dilution and if storage is necessary hold at 2-8</w:t>
      </w:r>
      <w:r w:rsidRPr="00A45996">
        <w:rPr>
          <w:sz w:val="22"/>
          <w:szCs w:val="25"/>
          <w:lang w:val="en-US"/>
        </w:rPr>
        <w:t>°</w:t>
      </w:r>
      <w:r w:rsidRPr="00A45996">
        <w:rPr>
          <w:sz w:val="22"/>
          <w:szCs w:val="24"/>
          <w:lang w:val="en-US"/>
        </w:rPr>
        <w:t>C for up to 8 hours.</w:t>
      </w:r>
    </w:p>
    <w:p w:rsidR="00326C73" w:rsidRPr="00A45996" w:rsidRDefault="00326C73" w:rsidP="00326C73">
      <w:pPr>
        <w:pStyle w:val="PIHEADING1"/>
        <w:keepLines/>
        <w:jc w:val="both"/>
      </w:pPr>
      <w:r w:rsidRPr="00A45996">
        <w:lastRenderedPageBreak/>
        <w:t>Name and Address of the Sponsor</w:t>
      </w:r>
    </w:p>
    <w:p w:rsidR="00326C73" w:rsidRPr="00A45996" w:rsidRDefault="00326C73" w:rsidP="00326C73">
      <w:pPr>
        <w:spacing w:before="20" w:after="80"/>
        <w:rPr>
          <w:sz w:val="22"/>
        </w:rPr>
      </w:pPr>
      <w:r w:rsidRPr="00A45996">
        <w:rPr>
          <w:sz w:val="22"/>
        </w:rPr>
        <w:t xml:space="preserve">JANSSEN-CILAG Pty Ltd </w:t>
      </w:r>
    </w:p>
    <w:p w:rsidR="00326C73" w:rsidRPr="00A45996" w:rsidRDefault="00326C73" w:rsidP="00326C73">
      <w:pPr>
        <w:spacing w:before="20" w:after="80"/>
        <w:rPr>
          <w:sz w:val="22"/>
        </w:rPr>
      </w:pPr>
      <w:r w:rsidRPr="00A45996">
        <w:rPr>
          <w:sz w:val="22"/>
        </w:rPr>
        <w:t>1-5 Khartoum Rd Macquarie Park NSW 2113 Australia</w:t>
      </w:r>
    </w:p>
    <w:p w:rsidR="00326C73" w:rsidRPr="00A45996" w:rsidRDefault="00326C73" w:rsidP="00326C73">
      <w:pPr>
        <w:spacing w:before="20" w:after="80"/>
        <w:rPr>
          <w:sz w:val="22"/>
        </w:rPr>
      </w:pPr>
      <w:r w:rsidRPr="00A45996">
        <w:rPr>
          <w:sz w:val="22"/>
        </w:rPr>
        <w:t>NZ Office: Auckland New Zealand</w:t>
      </w:r>
    </w:p>
    <w:p w:rsidR="00326C73" w:rsidRPr="00A45996" w:rsidRDefault="00326C73" w:rsidP="00326C73">
      <w:pPr>
        <w:pStyle w:val="PIEXPLAIN"/>
        <w:rPr>
          <w:rFonts w:cs="Arial"/>
          <w:szCs w:val="22"/>
        </w:rPr>
      </w:pPr>
      <w:r w:rsidRPr="00A45996">
        <w:rPr>
          <w:rFonts w:cs="Arial"/>
          <w:szCs w:val="22"/>
        </w:rPr>
        <w:t xml:space="preserve">®VELCADE is the registered trademark of Millennium Pharmaceuticals for </w:t>
      </w:r>
      <w:proofErr w:type="spellStart"/>
      <w:r w:rsidRPr="00A45996">
        <w:rPr>
          <w:rFonts w:cs="Arial"/>
          <w:szCs w:val="22"/>
        </w:rPr>
        <w:t>bortezomib</w:t>
      </w:r>
      <w:proofErr w:type="spellEnd"/>
      <w:r w:rsidRPr="00A45996">
        <w:rPr>
          <w:rFonts w:cs="Arial"/>
          <w:szCs w:val="22"/>
        </w:rPr>
        <w:t xml:space="preserve"> injections. </w:t>
      </w:r>
    </w:p>
    <w:p w:rsidR="00326C73" w:rsidRPr="00A45996" w:rsidRDefault="00326C73" w:rsidP="00326C73">
      <w:pPr>
        <w:pStyle w:val="PIHEADING1"/>
        <w:keepLines/>
        <w:jc w:val="both"/>
      </w:pPr>
      <w:r w:rsidRPr="00A45996">
        <w:t>poison schedule of the Medicine</w:t>
      </w:r>
    </w:p>
    <w:p w:rsidR="00326C73" w:rsidRPr="00A45996" w:rsidRDefault="00326C73" w:rsidP="00326C73">
      <w:pPr>
        <w:pStyle w:val="PIEXPLAIN"/>
        <w:keepLines/>
      </w:pPr>
      <w:r w:rsidRPr="00A45996">
        <w:t xml:space="preserve">Prescription Only Medicine  </w:t>
      </w:r>
    </w:p>
    <w:p w:rsidR="00963907" w:rsidRPr="00A45996" w:rsidRDefault="00963907">
      <w:pPr>
        <w:pStyle w:val="PIEXPLAIN"/>
        <w:keepLines/>
        <w:tabs>
          <w:tab w:val="clear" w:pos="-720"/>
        </w:tabs>
        <w:suppressAutoHyphens w:val="0"/>
        <w:spacing w:before="0" w:after="0"/>
        <w:rPr>
          <w:spacing w:val="0"/>
        </w:rPr>
      </w:pPr>
    </w:p>
    <w:p w:rsidR="0059024A" w:rsidRPr="00A45996" w:rsidRDefault="0059024A">
      <w:pPr>
        <w:pStyle w:val="PIEXPLAIN"/>
        <w:keepLines/>
        <w:tabs>
          <w:tab w:val="clear" w:pos="-720"/>
        </w:tabs>
        <w:suppressAutoHyphens w:val="0"/>
        <w:spacing w:before="0" w:after="0"/>
        <w:rPr>
          <w:spacing w:val="0"/>
          <w:sz w:val="24"/>
          <w:szCs w:val="24"/>
        </w:rPr>
      </w:pPr>
      <w:r w:rsidRPr="00A45996">
        <w:rPr>
          <w:b/>
          <w:spacing w:val="0"/>
          <w:sz w:val="28"/>
          <w:szCs w:val="28"/>
        </w:rPr>
        <w:t xml:space="preserve">DATE OF FIRST INCLUSION IN THE ARTG: </w:t>
      </w:r>
      <w:r w:rsidRPr="00A45996">
        <w:rPr>
          <w:spacing w:val="0"/>
          <w:sz w:val="24"/>
          <w:szCs w:val="24"/>
        </w:rPr>
        <w:t>14 February 2006</w:t>
      </w:r>
    </w:p>
    <w:p w:rsidR="0059024A" w:rsidRDefault="0059024A">
      <w:pPr>
        <w:pStyle w:val="PIEXPLAIN"/>
        <w:keepLines/>
        <w:tabs>
          <w:tab w:val="clear" w:pos="-720"/>
        </w:tabs>
        <w:suppressAutoHyphens w:val="0"/>
        <w:spacing w:before="0" w:after="0"/>
        <w:rPr>
          <w:spacing w:val="0"/>
        </w:rPr>
      </w:pPr>
      <w:r w:rsidRPr="00A45996">
        <w:rPr>
          <w:b/>
          <w:spacing w:val="0"/>
          <w:sz w:val="28"/>
          <w:szCs w:val="28"/>
        </w:rPr>
        <w:t>DATE OF MOST RECENT AMENDMENT:</w:t>
      </w:r>
      <w:r w:rsidRPr="00A45996">
        <w:rPr>
          <w:spacing w:val="0"/>
        </w:rPr>
        <w:t xml:space="preserve"> </w:t>
      </w:r>
      <w:r w:rsidR="00B71662">
        <w:rPr>
          <w:spacing w:val="0"/>
          <w:sz w:val="24"/>
          <w:szCs w:val="24"/>
        </w:rPr>
        <w:t>18 November 2015</w:t>
      </w:r>
    </w:p>
    <w:p w:rsidR="005948A0" w:rsidRDefault="005948A0">
      <w:pPr>
        <w:pStyle w:val="PIEXPLAIN"/>
        <w:keepLines/>
        <w:tabs>
          <w:tab w:val="clear" w:pos="-720"/>
        </w:tabs>
        <w:suppressAutoHyphens w:val="0"/>
        <w:spacing w:before="0" w:after="0"/>
        <w:rPr>
          <w:spacing w:val="0"/>
        </w:rPr>
      </w:pPr>
    </w:p>
    <w:sectPr w:rsidR="005948A0" w:rsidSect="00F61357">
      <w:headerReference w:type="default" r:id="rId16"/>
      <w:footerReference w:type="default" r:id="rId17"/>
      <w:headerReference w:type="first" r:id="rId18"/>
      <w:pgSz w:w="11909" w:h="16834" w:code="9"/>
      <w:pgMar w:top="993" w:right="1368" w:bottom="851" w:left="1368" w:header="283" w:footer="505"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96" w:rsidRDefault="00A45996">
      <w:r>
        <w:separator/>
      </w:r>
    </w:p>
  </w:endnote>
  <w:endnote w:type="continuationSeparator" w:id="0">
    <w:p w:rsidR="00A45996" w:rsidRDefault="00A4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y">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96" w:rsidRDefault="00A45996">
    <w:pPr>
      <w:pBdr>
        <w:top w:val="single" w:sz="6" w:space="1" w:color="auto"/>
      </w:pBdr>
      <w:tabs>
        <w:tab w:val="center" w:pos="4536"/>
        <w:tab w:val="right" w:pos="9072"/>
      </w:tabs>
      <w:suppressAutoHyphens/>
      <w:rPr>
        <w:spacing w:val="-2"/>
        <w:sz w:val="16"/>
      </w:rPr>
    </w:pPr>
    <w:r>
      <w:rPr>
        <w:sz w:val="16"/>
      </w:rPr>
      <w:t>CCDS 1504</w:t>
    </w:r>
    <w:r>
      <w:rPr>
        <w:spacing w:val="-2"/>
        <w:sz w:val="16"/>
      </w:rPr>
      <w:tab/>
    </w:r>
    <w:r>
      <w:rPr>
        <w:sz w:val="16"/>
      </w:rPr>
      <w:fldChar w:fldCharType="begin"/>
    </w:r>
    <w:r>
      <w:rPr>
        <w:sz w:val="16"/>
      </w:rPr>
      <w:instrText xml:space="preserve"> PAGE </w:instrText>
    </w:r>
    <w:r>
      <w:rPr>
        <w:sz w:val="16"/>
      </w:rPr>
      <w:fldChar w:fldCharType="separate"/>
    </w:r>
    <w:r w:rsidR="00F61357">
      <w:rPr>
        <w:noProof/>
        <w:sz w:val="16"/>
      </w:rPr>
      <w:t>2</w:t>
    </w:r>
    <w:r>
      <w:rPr>
        <w:sz w:val="16"/>
      </w:rPr>
      <w:fldChar w:fldCharType="end"/>
    </w:r>
    <w:r>
      <w:rPr>
        <w:spacing w:val="-2"/>
        <w:sz w:val="16"/>
      </w:rPr>
      <w:tab/>
      <w:t>VELCADE (15111</w:t>
    </w:r>
    <w:r w:rsidR="00B71662">
      <w:rPr>
        <w:spacing w:val="-2"/>
        <w:sz w:val="16"/>
      </w:rPr>
      <w:t>8</w:t>
    </w:r>
    <w:proofErr w:type="gramStart"/>
    <w:r>
      <w:rPr>
        <w:spacing w:val="-2"/>
        <w:sz w:val="16"/>
      </w:rPr>
      <w:t>)</w:t>
    </w:r>
    <w:r w:rsidR="00B71662">
      <w:rPr>
        <w:spacing w:val="-2"/>
        <w:sz w:val="16"/>
      </w:rPr>
      <w:t>A</w:t>
    </w:r>
    <w:r>
      <w:rPr>
        <w:spacing w:val="-2"/>
        <w:sz w:val="16"/>
      </w:rPr>
      <w:t>PI</w:t>
    </w:r>
    <w:proofErr w:type="gramEnd"/>
  </w:p>
  <w:p w:rsidR="00A45996" w:rsidRDefault="00A45996">
    <w:pPr>
      <w:tabs>
        <w:tab w:val="right" w:pos="8449"/>
      </w:tabs>
      <w:suppressAutoHyphens/>
      <w:rPr>
        <w:spacing w:val="-2"/>
        <w:sz w:val="20"/>
      </w:rPr>
    </w:pPr>
    <w:r>
      <w:rPr>
        <w:spacing w:val="-2"/>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96" w:rsidRDefault="00A45996">
      <w:r>
        <w:separator/>
      </w:r>
    </w:p>
  </w:footnote>
  <w:footnote w:type="continuationSeparator" w:id="0">
    <w:p w:rsidR="00A45996" w:rsidRDefault="00A4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61357" w:rsidRPr="00F61357" w:rsidTr="00F44674">
      <w:tc>
        <w:tcPr>
          <w:tcW w:w="8720" w:type="dxa"/>
          <w:shd w:val="clear" w:color="auto" w:fill="E4F2E0"/>
        </w:tcPr>
        <w:p w:rsidR="00F61357" w:rsidRPr="00F61357" w:rsidRDefault="00F61357" w:rsidP="00F44674">
          <w:pPr>
            <w:spacing w:before="40" w:after="40"/>
            <w:rPr>
              <w:rFonts w:ascii="Cambria" w:hAnsi="Cambria"/>
              <w:b/>
              <w:sz w:val="20"/>
            </w:rPr>
          </w:pPr>
          <w:r w:rsidRPr="00F61357">
            <w:rPr>
              <w:rFonts w:ascii="Cambria" w:hAnsi="Cambria"/>
              <w:b/>
              <w:sz w:val="20"/>
            </w:rPr>
            <w:t xml:space="preserve">Attachment 1: Product information for </w:t>
          </w:r>
          <w:proofErr w:type="spellStart"/>
          <w:r w:rsidRPr="00F61357">
            <w:rPr>
              <w:rFonts w:ascii="Cambria" w:hAnsi="Cambria"/>
              <w:b/>
              <w:sz w:val="20"/>
            </w:rPr>
            <w:t>AusPAR</w:t>
          </w:r>
          <w:proofErr w:type="spellEnd"/>
          <w:r w:rsidRPr="00F61357">
            <w:rPr>
              <w:rFonts w:ascii="Cambria" w:hAnsi="Cambria"/>
              <w:b/>
              <w:sz w:val="20"/>
            </w:rPr>
            <w:t xml:space="preserve"> </w:t>
          </w:r>
          <w:proofErr w:type="spellStart"/>
          <w:r w:rsidRPr="00F61357">
            <w:rPr>
              <w:rFonts w:ascii="Cambria" w:hAnsi="Cambria"/>
              <w:b/>
              <w:sz w:val="20"/>
            </w:rPr>
            <w:t>Velcade</w:t>
          </w:r>
          <w:proofErr w:type="spellEnd"/>
          <w:r w:rsidRPr="00F61357">
            <w:rPr>
              <w:rFonts w:ascii="Cambria" w:hAnsi="Cambria"/>
              <w:b/>
              <w:sz w:val="20"/>
            </w:rPr>
            <w:t xml:space="preserve"> Janssen-</w:t>
          </w:r>
          <w:proofErr w:type="spellStart"/>
          <w:r w:rsidRPr="00F61357">
            <w:rPr>
              <w:rFonts w:ascii="Cambria" w:hAnsi="Cambria"/>
              <w:b/>
              <w:sz w:val="20"/>
            </w:rPr>
            <w:t>Cilag</w:t>
          </w:r>
          <w:proofErr w:type="spellEnd"/>
          <w:r w:rsidRPr="00F61357">
            <w:rPr>
              <w:rFonts w:ascii="Cambria" w:hAnsi="Cambria"/>
              <w:b/>
              <w:sz w:val="20"/>
            </w:rPr>
            <w:t xml:space="preserve"> Pty Ltd PM-2014-03463-1-4 Final 26 February 2016This Product Information was approved at the time this </w:t>
          </w:r>
          <w:proofErr w:type="spellStart"/>
          <w:r w:rsidRPr="00F61357">
            <w:rPr>
              <w:rFonts w:ascii="Cambria" w:hAnsi="Cambria"/>
              <w:b/>
              <w:sz w:val="20"/>
            </w:rPr>
            <w:t>AusPAR</w:t>
          </w:r>
          <w:proofErr w:type="spellEnd"/>
          <w:r w:rsidRPr="00F61357">
            <w:rPr>
              <w:rFonts w:ascii="Cambria" w:hAnsi="Cambria"/>
              <w:b/>
              <w:sz w:val="20"/>
            </w:rPr>
            <w:t xml:space="preserve"> was published.</w:t>
          </w:r>
        </w:p>
      </w:tc>
    </w:tr>
  </w:tbl>
  <w:p w:rsidR="00A45996" w:rsidRDefault="00F61357" w:rsidP="00F61357">
    <w:pPr>
      <w:tabs>
        <w:tab w:val="left" w:pos="1056"/>
        <w:tab w:val="left" w:pos="1752"/>
        <w:tab w:val="left" w:pos="2448"/>
      </w:tabs>
      <w:suppressAutoHyphens/>
      <w:spacing w:after="140" w:line="100" w:lineRule="exact"/>
      <w:rPr>
        <w:sz w:val="10"/>
      </w:rPr>
    </w:pPr>
    <w:r>
      <w:rPr>
        <w:noProof/>
      </w:rPr>
      <w:pict>
        <v:rect id="_x0000_s1025" style="position:absolute;left:0;text-align:left;margin-left:86.4pt;margin-top:0;width:422.5pt;height:12pt;z-index:251657728;mso-position-horizontal-relative:page;mso-position-vertical-relative:text" o:allowincell="f" filled="f" stroked="f" strokeweight="0">
          <v:textbox style="mso-next-textbox:#_x0000_s1025" inset="0,0,0,0">
            <w:txbxContent>
              <w:p w:rsidR="00A45996" w:rsidRDefault="00A45996">
                <w:pPr>
                  <w:tabs>
                    <w:tab w:val="center" w:pos="4225"/>
                    <w:tab w:val="right" w:pos="8450"/>
                  </w:tabs>
                  <w:rPr>
                    <w:spacing w:val="-3"/>
                  </w:rPr>
                </w:pPr>
                <w:r>
                  <w:tab/>
                </w:r>
                <w:r>
                  <w:tab/>
                </w:r>
              </w:p>
            </w:txbxContent>
          </v:textbox>
          <w10:wrap anchorx="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61357" w:rsidRPr="00F61357" w:rsidTr="00F44674">
      <w:tc>
        <w:tcPr>
          <w:tcW w:w="8720" w:type="dxa"/>
          <w:shd w:val="clear" w:color="auto" w:fill="E4F2E0"/>
        </w:tcPr>
        <w:p w:rsidR="00F61357" w:rsidRPr="00F61357" w:rsidRDefault="00F61357" w:rsidP="00F44674">
          <w:pPr>
            <w:spacing w:before="40" w:after="40"/>
            <w:rPr>
              <w:rFonts w:ascii="Cambria" w:hAnsi="Cambria"/>
              <w:b/>
              <w:sz w:val="20"/>
            </w:rPr>
          </w:pPr>
          <w:r w:rsidRPr="00F61357">
            <w:rPr>
              <w:rFonts w:ascii="Cambria" w:hAnsi="Cambria"/>
              <w:b/>
              <w:sz w:val="20"/>
            </w:rPr>
            <w:t xml:space="preserve">Attachment 1: Product information for </w:t>
          </w:r>
          <w:proofErr w:type="spellStart"/>
          <w:r w:rsidRPr="00F61357">
            <w:rPr>
              <w:rFonts w:ascii="Cambria" w:hAnsi="Cambria"/>
              <w:b/>
              <w:sz w:val="20"/>
            </w:rPr>
            <w:t>AusPAR</w:t>
          </w:r>
          <w:proofErr w:type="spellEnd"/>
          <w:r w:rsidRPr="00F61357">
            <w:rPr>
              <w:rFonts w:ascii="Cambria" w:hAnsi="Cambria"/>
              <w:b/>
              <w:sz w:val="20"/>
            </w:rPr>
            <w:t xml:space="preserve"> </w:t>
          </w:r>
          <w:proofErr w:type="spellStart"/>
          <w:r w:rsidRPr="00F61357">
            <w:rPr>
              <w:rFonts w:ascii="Cambria" w:hAnsi="Cambria"/>
              <w:b/>
              <w:sz w:val="20"/>
            </w:rPr>
            <w:t>Velcade</w:t>
          </w:r>
          <w:proofErr w:type="spellEnd"/>
          <w:r w:rsidRPr="00F61357">
            <w:rPr>
              <w:rFonts w:ascii="Cambria" w:hAnsi="Cambria"/>
              <w:b/>
              <w:sz w:val="20"/>
            </w:rPr>
            <w:t xml:space="preserve"> Janssen-</w:t>
          </w:r>
          <w:proofErr w:type="spellStart"/>
          <w:r w:rsidRPr="00F61357">
            <w:rPr>
              <w:rFonts w:ascii="Cambria" w:hAnsi="Cambria"/>
              <w:b/>
              <w:sz w:val="20"/>
            </w:rPr>
            <w:t>Cilag</w:t>
          </w:r>
          <w:proofErr w:type="spellEnd"/>
          <w:r w:rsidRPr="00F61357">
            <w:rPr>
              <w:rFonts w:ascii="Cambria" w:hAnsi="Cambria"/>
              <w:b/>
              <w:sz w:val="20"/>
            </w:rPr>
            <w:t xml:space="preserve"> Pty Ltd PM-2014-03463-1-4 Final 26 February 2016This Product Information was approved at the time this </w:t>
          </w:r>
          <w:proofErr w:type="spellStart"/>
          <w:r w:rsidRPr="00F61357">
            <w:rPr>
              <w:rFonts w:ascii="Cambria" w:hAnsi="Cambria"/>
              <w:b/>
              <w:sz w:val="20"/>
            </w:rPr>
            <w:t>AusPAR</w:t>
          </w:r>
          <w:proofErr w:type="spellEnd"/>
          <w:r w:rsidRPr="00F61357">
            <w:rPr>
              <w:rFonts w:ascii="Cambria" w:hAnsi="Cambria"/>
              <w:b/>
              <w:sz w:val="20"/>
            </w:rPr>
            <w:t xml:space="preserve"> was published.</w:t>
          </w:r>
        </w:p>
      </w:tc>
    </w:tr>
  </w:tbl>
  <w:p w:rsidR="00F61357" w:rsidRDefault="00A45996" w:rsidP="00F61357">
    <w:pPr>
      <w:pStyle w:val="Header"/>
      <w:keepLines w:val="0"/>
      <w:widowControl w:val="0"/>
      <w:jc w:val="right"/>
    </w:pPr>
    <w:r>
      <w:rPr>
        <w:noProof/>
        <w:lang w:eastAsia="en-AU"/>
      </w:rPr>
      <w:drawing>
        <wp:inline distT="0" distB="0" distL="0" distR="0" wp14:anchorId="69A22A11" wp14:editId="0D34C876">
          <wp:extent cx="1828800" cy="819150"/>
          <wp:effectExtent l="19050" t="0" r="0" b="0"/>
          <wp:docPr id="1" name="Picture 1"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1"/>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B84"/>
    <w:multiLevelType w:val="hybridMultilevel"/>
    <w:tmpl w:val="5B809024"/>
    <w:lvl w:ilvl="0" w:tplc="4ED805E4">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4D32F5B"/>
    <w:multiLevelType w:val="hybridMultilevel"/>
    <w:tmpl w:val="CAD4B1C0"/>
    <w:lvl w:ilvl="0" w:tplc="C4B4E5F6">
      <w:start w:val="1"/>
      <w:numFmt w:val="bullet"/>
      <w:lvlText w:val=""/>
      <w:lvlJc w:val="left"/>
      <w:pPr>
        <w:tabs>
          <w:tab w:val="num" w:pos="432"/>
        </w:tabs>
        <w:ind w:left="0" w:firstLine="7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1D2E2F"/>
    <w:multiLevelType w:val="hybridMultilevel"/>
    <w:tmpl w:val="24F8A36E"/>
    <w:lvl w:ilvl="0" w:tplc="CEA06D4A">
      <w:start w:val="1"/>
      <w:numFmt w:val="decimal"/>
      <w:lvlText w:val="%1."/>
      <w:lvlJc w:val="left"/>
      <w:pPr>
        <w:ind w:left="720" w:hanging="360"/>
      </w:pPr>
      <w:rPr>
        <w:rFonts w:asciiTheme="minorHAnsi" w:hAnsiTheme="minorHAns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2D2A18"/>
    <w:multiLevelType w:val="hybridMultilevel"/>
    <w:tmpl w:val="A9C0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77674"/>
    <w:multiLevelType w:val="hybridMultilevel"/>
    <w:tmpl w:val="A2D0AB92"/>
    <w:lvl w:ilvl="0" w:tplc="73DAF09C">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1E414E8F"/>
    <w:multiLevelType w:val="hybridMultilevel"/>
    <w:tmpl w:val="40E0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40717"/>
    <w:multiLevelType w:val="hybridMultilevel"/>
    <w:tmpl w:val="5FD0064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FB7B82"/>
    <w:multiLevelType w:val="multilevel"/>
    <w:tmpl w:val="40D0DB70"/>
    <w:lvl w:ilvl="0">
      <w:start w:val="1"/>
      <w:numFmt w:val="upperLetter"/>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nsid w:val="221129CB"/>
    <w:multiLevelType w:val="hybridMultilevel"/>
    <w:tmpl w:val="DC74F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8F3B85"/>
    <w:multiLevelType w:val="hybridMultilevel"/>
    <w:tmpl w:val="A2D0AB92"/>
    <w:lvl w:ilvl="0" w:tplc="73DAF09C">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2BFF166A"/>
    <w:multiLevelType w:val="hybridMultilevel"/>
    <w:tmpl w:val="A176C602"/>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9919D8"/>
    <w:multiLevelType w:val="hybridMultilevel"/>
    <w:tmpl w:val="3B7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C03F81"/>
    <w:multiLevelType w:val="hybridMultilevel"/>
    <w:tmpl w:val="E2FA5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00414B"/>
    <w:multiLevelType w:val="hybridMultilevel"/>
    <w:tmpl w:val="AE68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E75BB"/>
    <w:multiLevelType w:val="hybridMultilevel"/>
    <w:tmpl w:val="A2D0AB92"/>
    <w:lvl w:ilvl="0" w:tplc="73DAF09C">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4CE93F44"/>
    <w:multiLevelType w:val="hybridMultilevel"/>
    <w:tmpl w:val="69D696C6"/>
    <w:lvl w:ilvl="0" w:tplc="41BC1FEA">
      <w:start w:val="1"/>
      <w:numFmt w:val="bullet"/>
      <w:lvlText w:val=""/>
      <w:lvlJc w:val="left"/>
      <w:pPr>
        <w:tabs>
          <w:tab w:val="num" w:pos="360"/>
        </w:tabs>
        <w:ind w:left="-72" w:firstLine="72"/>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6A8A0950"/>
    <w:multiLevelType w:val="hybridMultilevel"/>
    <w:tmpl w:val="A2D0AB92"/>
    <w:lvl w:ilvl="0" w:tplc="73DAF09C">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7EC2215D"/>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num w:numId="1">
    <w:abstractNumId w:val="17"/>
  </w:num>
  <w:num w:numId="2">
    <w:abstractNumId w:val="7"/>
  </w:num>
  <w:num w:numId="3">
    <w:abstractNumId w:val="10"/>
  </w:num>
  <w:num w:numId="4">
    <w:abstractNumId w:val="1"/>
  </w:num>
  <w:num w:numId="5">
    <w:abstractNumId w:val="15"/>
  </w:num>
  <w:num w:numId="6">
    <w:abstractNumId w:val="8"/>
  </w:num>
  <w:num w:numId="7">
    <w:abstractNumId w:val="12"/>
  </w:num>
  <w:num w:numId="8">
    <w:abstractNumId w:val="5"/>
  </w:num>
  <w:num w:numId="9">
    <w:abstractNumId w:val="11"/>
  </w:num>
  <w:num w:numId="10">
    <w:abstractNumId w:val="13"/>
  </w:num>
  <w:num w:numId="11">
    <w:abstractNumId w:val="2"/>
  </w:num>
  <w:num w:numId="12">
    <w:abstractNumId w:val="3"/>
  </w:num>
  <w:num w:numId="13">
    <w:abstractNumId w:val="6"/>
  </w:num>
  <w:num w:numId="14">
    <w:abstractNumId w:val="0"/>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4"/>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oNotTrackFormatting/>
  <w:defaultTabStop w:val="720"/>
  <w:drawingGridHorizontalSpacing w:val="105"/>
  <w:drawingGridVerticalSpacing w:val="181"/>
  <w:displayHorizontalDrawingGridEvery w:val="0"/>
  <w:displayVerticalDrawingGridEvery w:val="0"/>
  <w:noPunctuationKerning/>
  <w:characterSpacingControl w:val="doNotCompress"/>
  <w:hdrShapeDefaults>
    <o:shapedefaults v:ext="edit" spidmax="2060">
      <o:colormenu v:ext="edit" fillcolor="none" strokecolor="non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A60DA"/>
    <w:rsid w:val="00001839"/>
    <w:rsid w:val="00004CB1"/>
    <w:rsid w:val="000119F3"/>
    <w:rsid w:val="000210E9"/>
    <w:rsid w:val="000355C6"/>
    <w:rsid w:val="00041A2F"/>
    <w:rsid w:val="00043328"/>
    <w:rsid w:val="00043394"/>
    <w:rsid w:val="000448CC"/>
    <w:rsid w:val="00044E0C"/>
    <w:rsid w:val="00063E2D"/>
    <w:rsid w:val="00083B48"/>
    <w:rsid w:val="000902AF"/>
    <w:rsid w:val="00095908"/>
    <w:rsid w:val="000B0FEE"/>
    <w:rsid w:val="000C177C"/>
    <w:rsid w:val="000C3726"/>
    <w:rsid w:val="000D503F"/>
    <w:rsid w:val="000D5C4D"/>
    <w:rsid w:val="000D623F"/>
    <w:rsid w:val="000E1629"/>
    <w:rsid w:val="000E6E7D"/>
    <w:rsid w:val="000F05A6"/>
    <w:rsid w:val="000F793F"/>
    <w:rsid w:val="00101EA5"/>
    <w:rsid w:val="00110CF5"/>
    <w:rsid w:val="00126CD2"/>
    <w:rsid w:val="001274B4"/>
    <w:rsid w:val="0013161F"/>
    <w:rsid w:val="00133F32"/>
    <w:rsid w:val="00143336"/>
    <w:rsid w:val="00143E88"/>
    <w:rsid w:val="0014407B"/>
    <w:rsid w:val="001476B9"/>
    <w:rsid w:val="00147FD7"/>
    <w:rsid w:val="00161DFF"/>
    <w:rsid w:val="001746C9"/>
    <w:rsid w:val="001867EA"/>
    <w:rsid w:val="00192635"/>
    <w:rsid w:val="001A6201"/>
    <w:rsid w:val="001C5DEE"/>
    <w:rsid w:val="001E1674"/>
    <w:rsid w:val="001E45DE"/>
    <w:rsid w:val="001F56E2"/>
    <w:rsid w:val="001F5BCA"/>
    <w:rsid w:val="00200419"/>
    <w:rsid w:val="00201211"/>
    <w:rsid w:val="0020659F"/>
    <w:rsid w:val="002124EA"/>
    <w:rsid w:val="00225F5D"/>
    <w:rsid w:val="002276F4"/>
    <w:rsid w:val="00245310"/>
    <w:rsid w:val="002462C9"/>
    <w:rsid w:val="00252233"/>
    <w:rsid w:val="00254432"/>
    <w:rsid w:val="0026151C"/>
    <w:rsid w:val="002623FA"/>
    <w:rsid w:val="00275778"/>
    <w:rsid w:val="002759E3"/>
    <w:rsid w:val="00275B82"/>
    <w:rsid w:val="00277AF5"/>
    <w:rsid w:val="00284007"/>
    <w:rsid w:val="00285CFB"/>
    <w:rsid w:val="00291371"/>
    <w:rsid w:val="002936A6"/>
    <w:rsid w:val="002C7690"/>
    <w:rsid w:val="002D7BB9"/>
    <w:rsid w:val="002E23CA"/>
    <w:rsid w:val="002E41B7"/>
    <w:rsid w:val="002E53A6"/>
    <w:rsid w:val="002E73F1"/>
    <w:rsid w:val="002E7775"/>
    <w:rsid w:val="002F46CB"/>
    <w:rsid w:val="00304789"/>
    <w:rsid w:val="00320C54"/>
    <w:rsid w:val="0032668A"/>
    <w:rsid w:val="00326C73"/>
    <w:rsid w:val="00345E26"/>
    <w:rsid w:val="003578ED"/>
    <w:rsid w:val="0036190F"/>
    <w:rsid w:val="00363AB3"/>
    <w:rsid w:val="00367CC3"/>
    <w:rsid w:val="0038089B"/>
    <w:rsid w:val="0038171E"/>
    <w:rsid w:val="0038627B"/>
    <w:rsid w:val="003B40AE"/>
    <w:rsid w:val="003C20B8"/>
    <w:rsid w:val="003C2763"/>
    <w:rsid w:val="003D79CD"/>
    <w:rsid w:val="003E563A"/>
    <w:rsid w:val="00405A74"/>
    <w:rsid w:val="0041075E"/>
    <w:rsid w:val="0041155C"/>
    <w:rsid w:val="00416679"/>
    <w:rsid w:val="00417D51"/>
    <w:rsid w:val="00430AD3"/>
    <w:rsid w:val="00432405"/>
    <w:rsid w:val="00432D4E"/>
    <w:rsid w:val="00445383"/>
    <w:rsid w:val="004563BA"/>
    <w:rsid w:val="00461320"/>
    <w:rsid w:val="00464ED9"/>
    <w:rsid w:val="00473CE0"/>
    <w:rsid w:val="004748A1"/>
    <w:rsid w:val="00480705"/>
    <w:rsid w:val="00480753"/>
    <w:rsid w:val="004B1A8E"/>
    <w:rsid w:val="004B7549"/>
    <w:rsid w:val="004C28ED"/>
    <w:rsid w:val="004D35CF"/>
    <w:rsid w:val="004D3CD5"/>
    <w:rsid w:val="004D3D9C"/>
    <w:rsid w:val="004E3DAA"/>
    <w:rsid w:val="004F5211"/>
    <w:rsid w:val="00501BD5"/>
    <w:rsid w:val="00503BF3"/>
    <w:rsid w:val="00505386"/>
    <w:rsid w:val="005112D7"/>
    <w:rsid w:val="005178A9"/>
    <w:rsid w:val="00530A53"/>
    <w:rsid w:val="00533A95"/>
    <w:rsid w:val="005418CA"/>
    <w:rsid w:val="005536C1"/>
    <w:rsid w:val="0055745E"/>
    <w:rsid w:val="00560FDB"/>
    <w:rsid w:val="0056122D"/>
    <w:rsid w:val="00571557"/>
    <w:rsid w:val="005744BF"/>
    <w:rsid w:val="0057798A"/>
    <w:rsid w:val="005860E5"/>
    <w:rsid w:val="0059024A"/>
    <w:rsid w:val="00590748"/>
    <w:rsid w:val="005948A0"/>
    <w:rsid w:val="005A4BBD"/>
    <w:rsid w:val="005D2459"/>
    <w:rsid w:val="005E7322"/>
    <w:rsid w:val="005F48E6"/>
    <w:rsid w:val="005F6B32"/>
    <w:rsid w:val="005F7084"/>
    <w:rsid w:val="00606CA5"/>
    <w:rsid w:val="00606E6F"/>
    <w:rsid w:val="00612C66"/>
    <w:rsid w:val="0061437A"/>
    <w:rsid w:val="00620C3A"/>
    <w:rsid w:val="00623D19"/>
    <w:rsid w:val="00632820"/>
    <w:rsid w:val="00634201"/>
    <w:rsid w:val="00636049"/>
    <w:rsid w:val="00642F8C"/>
    <w:rsid w:val="00644030"/>
    <w:rsid w:val="00645015"/>
    <w:rsid w:val="00660D4F"/>
    <w:rsid w:val="00663CC9"/>
    <w:rsid w:val="00667EC3"/>
    <w:rsid w:val="0067485C"/>
    <w:rsid w:val="00677E05"/>
    <w:rsid w:val="0068097F"/>
    <w:rsid w:val="00687D28"/>
    <w:rsid w:val="006907CE"/>
    <w:rsid w:val="00690AE4"/>
    <w:rsid w:val="0069201F"/>
    <w:rsid w:val="00692933"/>
    <w:rsid w:val="00692E9B"/>
    <w:rsid w:val="006948E9"/>
    <w:rsid w:val="006A6B47"/>
    <w:rsid w:val="006B2EBD"/>
    <w:rsid w:val="006C19D9"/>
    <w:rsid w:val="006C4AC0"/>
    <w:rsid w:val="006C7918"/>
    <w:rsid w:val="006D6F28"/>
    <w:rsid w:val="006D77AB"/>
    <w:rsid w:val="006E47EB"/>
    <w:rsid w:val="006F6898"/>
    <w:rsid w:val="006F6DFB"/>
    <w:rsid w:val="00701576"/>
    <w:rsid w:val="00704FBC"/>
    <w:rsid w:val="007108F8"/>
    <w:rsid w:val="00711AC8"/>
    <w:rsid w:val="0071229B"/>
    <w:rsid w:val="0071679A"/>
    <w:rsid w:val="007201D5"/>
    <w:rsid w:val="007317D1"/>
    <w:rsid w:val="00734D2C"/>
    <w:rsid w:val="00741E76"/>
    <w:rsid w:val="00750405"/>
    <w:rsid w:val="0075402C"/>
    <w:rsid w:val="00762DD6"/>
    <w:rsid w:val="00764153"/>
    <w:rsid w:val="00781ACB"/>
    <w:rsid w:val="00792DF2"/>
    <w:rsid w:val="007A545D"/>
    <w:rsid w:val="007B3AD3"/>
    <w:rsid w:val="007B62CF"/>
    <w:rsid w:val="007D25D9"/>
    <w:rsid w:val="007D47BE"/>
    <w:rsid w:val="0080360B"/>
    <w:rsid w:val="008130D9"/>
    <w:rsid w:val="008137DA"/>
    <w:rsid w:val="008151E4"/>
    <w:rsid w:val="008302D0"/>
    <w:rsid w:val="008339DF"/>
    <w:rsid w:val="00834AB8"/>
    <w:rsid w:val="0084233D"/>
    <w:rsid w:val="00845C51"/>
    <w:rsid w:val="0085367B"/>
    <w:rsid w:val="00855C6A"/>
    <w:rsid w:val="008611F7"/>
    <w:rsid w:val="0086173E"/>
    <w:rsid w:val="008646B8"/>
    <w:rsid w:val="00864CA0"/>
    <w:rsid w:val="00866F33"/>
    <w:rsid w:val="008679C5"/>
    <w:rsid w:val="00877F7C"/>
    <w:rsid w:val="0088345F"/>
    <w:rsid w:val="00894FAA"/>
    <w:rsid w:val="008A02A5"/>
    <w:rsid w:val="008A2270"/>
    <w:rsid w:val="008B3B51"/>
    <w:rsid w:val="008B62EA"/>
    <w:rsid w:val="008C0AC1"/>
    <w:rsid w:val="008C2087"/>
    <w:rsid w:val="008C2429"/>
    <w:rsid w:val="008D04AF"/>
    <w:rsid w:val="008D36E6"/>
    <w:rsid w:val="008D7889"/>
    <w:rsid w:val="008E1374"/>
    <w:rsid w:val="0090466C"/>
    <w:rsid w:val="0090532B"/>
    <w:rsid w:val="00913EA2"/>
    <w:rsid w:val="00917A98"/>
    <w:rsid w:val="0092571C"/>
    <w:rsid w:val="00930094"/>
    <w:rsid w:val="00941807"/>
    <w:rsid w:val="00947FB2"/>
    <w:rsid w:val="00950873"/>
    <w:rsid w:val="00963907"/>
    <w:rsid w:val="00964F74"/>
    <w:rsid w:val="0097050D"/>
    <w:rsid w:val="0098100E"/>
    <w:rsid w:val="009833A0"/>
    <w:rsid w:val="00983E0C"/>
    <w:rsid w:val="009933CD"/>
    <w:rsid w:val="00994348"/>
    <w:rsid w:val="00994A4D"/>
    <w:rsid w:val="00997773"/>
    <w:rsid w:val="009A60DA"/>
    <w:rsid w:val="009B2D26"/>
    <w:rsid w:val="009E3415"/>
    <w:rsid w:val="009E4A22"/>
    <w:rsid w:val="009F6067"/>
    <w:rsid w:val="009F669E"/>
    <w:rsid w:val="009F66C1"/>
    <w:rsid w:val="00A07B82"/>
    <w:rsid w:val="00A13681"/>
    <w:rsid w:val="00A17C8B"/>
    <w:rsid w:val="00A22B46"/>
    <w:rsid w:val="00A32DBB"/>
    <w:rsid w:val="00A36335"/>
    <w:rsid w:val="00A37130"/>
    <w:rsid w:val="00A37C34"/>
    <w:rsid w:val="00A40D5C"/>
    <w:rsid w:val="00A4406D"/>
    <w:rsid w:val="00A45996"/>
    <w:rsid w:val="00A51DE4"/>
    <w:rsid w:val="00A564DE"/>
    <w:rsid w:val="00A639AB"/>
    <w:rsid w:val="00A65533"/>
    <w:rsid w:val="00A67C60"/>
    <w:rsid w:val="00A83985"/>
    <w:rsid w:val="00A87874"/>
    <w:rsid w:val="00A91EF5"/>
    <w:rsid w:val="00A932EE"/>
    <w:rsid w:val="00A96395"/>
    <w:rsid w:val="00AA62C1"/>
    <w:rsid w:val="00AC0EE6"/>
    <w:rsid w:val="00AC626E"/>
    <w:rsid w:val="00AD474B"/>
    <w:rsid w:val="00AE6B6D"/>
    <w:rsid w:val="00AF785C"/>
    <w:rsid w:val="00B13221"/>
    <w:rsid w:val="00B233DE"/>
    <w:rsid w:val="00B25904"/>
    <w:rsid w:val="00B26D16"/>
    <w:rsid w:val="00B35925"/>
    <w:rsid w:val="00B46CA2"/>
    <w:rsid w:val="00B47187"/>
    <w:rsid w:val="00B50A9A"/>
    <w:rsid w:val="00B52A2D"/>
    <w:rsid w:val="00B53E1E"/>
    <w:rsid w:val="00B61680"/>
    <w:rsid w:val="00B63279"/>
    <w:rsid w:val="00B71662"/>
    <w:rsid w:val="00B771F4"/>
    <w:rsid w:val="00B83DF7"/>
    <w:rsid w:val="00B849E4"/>
    <w:rsid w:val="00B94177"/>
    <w:rsid w:val="00B97810"/>
    <w:rsid w:val="00BA0A4A"/>
    <w:rsid w:val="00BA12D4"/>
    <w:rsid w:val="00BA1F0A"/>
    <w:rsid w:val="00BA4831"/>
    <w:rsid w:val="00BC4BB4"/>
    <w:rsid w:val="00BC4DA6"/>
    <w:rsid w:val="00BC5BBA"/>
    <w:rsid w:val="00BD43CD"/>
    <w:rsid w:val="00BD6992"/>
    <w:rsid w:val="00BD6B84"/>
    <w:rsid w:val="00BE33BB"/>
    <w:rsid w:val="00BE69A7"/>
    <w:rsid w:val="00BE7C9F"/>
    <w:rsid w:val="00BF2EC5"/>
    <w:rsid w:val="00C043C5"/>
    <w:rsid w:val="00C057F0"/>
    <w:rsid w:val="00C05C3F"/>
    <w:rsid w:val="00C1087F"/>
    <w:rsid w:val="00C26B4B"/>
    <w:rsid w:val="00C27422"/>
    <w:rsid w:val="00C27CF3"/>
    <w:rsid w:val="00C33444"/>
    <w:rsid w:val="00C37684"/>
    <w:rsid w:val="00C40D24"/>
    <w:rsid w:val="00C52AE0"/>
    <w:rsid w:val="00C67E29"/>
    <w:rsid w:val="00C720C4"/>
    <w:rsid w:val="00C72878"/>
    <w:rsid w:val="00C73BD9"/>
    <w:rsid w:val="00C760C8"/>
    <w:rsid w:val="00C761E1"/>
    <w:rsid w:val="00C77C7F"/>
    <w:rsid w:val="00C977BB"/>
    <w:rsid w:val="00CB105E"/>
    <w:rsid w:val="00CB5986"/>
    <w:rsid w:val="00CC4154"/>
    <w:rsid w:val="00CC48E8"/>
    <w:rsid w:val="00CC66A0"/>
    <w:rsid w:val="00CD61F9"/>
    <w:rsid w:val="00CD7B75"/>
    <w:rsid w:val="00CE6D0C"/>
    <w:rsid w:val="00CF23D0"/>
    <w:rsid w:val="00CF7146"/>
    <w:rsid w:val="00CF738C"/>
    <w:rsid w:val="00D2592A"/>
    <w:rsid w:val="00D312A5"/>
    <w:rsid w:val="00D34575"/>
    <w:rsid w:val="00D34C5C"/>
    <w:rsid w:val="00D44639"/>
    <w:rsid w:val="00D47AA3"/>
    <w:rsid w:val="00D655BA"/>
    <w:rsid w:val="00D979F5"/>
    <w:rsid w:val="00DA0BA4"/>
    <w:rsid w:val="00DA1B27"/>
    <w:rsid w:val="00DA3FC6"/>
    <w:rsid w:val="00DA502D"/>
    <w:rsid w:val="00DB0254"/>
    <w:rsid w:val="00DB5D5D"/>
    <w:rsid w:val="00DC6301"/>
    <w:rsid w:val="00DC7458"/>
    <w:rsid w:val="00DD0721"/>
    <w:rsid w:val="00DD2872"/>
    <w:rsid w:val="00DE0059"/>
    <w:rsid w:val="00DE2756"/>
    <w:rsid w:val="00DE2CB0"/>
    <w:rsid w:val="00DE4800"/>
    <w:rsid w:val="00DF1654"/>
    <w:rsid w:val="00E01E45"/>
    <w:rsid w:val="00E07EDD"/>
    <w:rsid w:val="00E11103"/>
    <w:rsid w:val="00E13AD4"/>
    <w:rsid w:val="00E1530C"/>
    <w:rsid w:val="00E20D88"/>
    <w:rsid w:val="00E24549"/>
    <w:rsid w:val="00E323A6"/>
    <w:rsid w:val="00E33A9E"/>
    <w:rsid w:val="00E40229"/>
    <w:rsid w:val="00E40A3E"/>
    <w:rsid w:val="00E50102"/>
    <w:rsid w:val="00E514F0"/>
    <w:rsid w:val="00E57CA9"/>
    <w:rsid w:val="00E637DC"/>
    <w:rsid w:val="00E81C27"/>
    <w:rsid w:val="00E924BD"/>
    <w:rsid w:val="00E92F69"/>
    <w:rsid w:val="00E9429F"/>
    <w:rsid w:val="00E94367"/>
    <w:rsid w:val="00E96993"/>
    <w:rsid w:val="00E96A88"/>
    <w:rsid w:val="00EA4192"/>
    <w:rsid w:val="00EB4477"/>
    <w:rsid w:val="00EB6B26"/>
    <w:rsid w:val="00EC3D55"/>
    <w:rsid w:val="00ED648C"/>
    <w:rsid w:val="00EE73EC"/>
    <w:rsid w:val="00F002F0"/>
    <w:rsid w:val="00F15A1A"/>
    <w:rsid w:val="00F32320"/>
    <w:rsid w:val="00F377B8"/>
    <w:rsid w:val="00F40FC2"/>
    <w:rsid w:val="00F45239"/>
    <w:rsid w:val="00F45E2B"/>
    <w:rsid w:val="00F511BE"/>
    <w:rsid w:val="00F522A0"/>
    <w:rsid w:val="00F61357"/>
    <w:rsid w:val="00F62B83"/>
    <w:rsid w:val="00F7222F"/>
    <w:rsid w:val="00F856A2"/>
    <w:rsid w:val="00F86B39"/>
    <w:rsid w:val="00F91061"/>
    <w:rsid w:val="00F926A3"/>
    <w:rsid w:val="00FA7728"/>
    <w:rsid w:val="00FA7769"/>
    <w:rsid w:val="00FD38FE"/>
    <w:rsid w:val="00FD6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enu v:ext="edit" fillcolor="none" strokecolor="none"/>
    </o:shapedefaults>
    <o:shapelayout v:ext="edit">
      <o:idmap v:ext="edit" data="2"/>
      <o:rules v:ext="edit">
        <o:r id="V:Rule2" type="connector" idref="#_x0000_s2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BA"/>
    <w:pPr>
      <w:keepLines/>
      <w:jc w:val="both"/>
    </w:pPr>
    <w:rPr>
      <w:rFonts w:ascii="Arial" w:hAnsi="Arial"/>
      <w:sz w:val="21"/>
      <w:lang w:eastAsia="en-US"/>
    </w:rPr>
  </w:style>
  <w:style w:type="paragraph" w:styleId="Heading1">
    <w:name w:val="heading 1"/>
    <w:aliases w:val="Heading 1 Char1,D70AR,Info rubrik 1,titel 1,Title_1"/>
    <w:basedOn w:val="Normal"/>
    <w:next w:val="Normal"/>
    <w:qFormat/>
    <w:rsid w:val="00D655BA"/>
    <w:pPr>
      <w:keepNext/>
      <w:keepLines w:val="0"/>
      <w:spacing w:before="240" w:after="60"/>
      <w:jc w:val="left"/>
      <w:outlineLvl w:val="0"/>
    </w:pPr>
    <w:rPr>
      <w:b/>
      <w:kern w:val="28"/>
      <w:sz w:val="28"/>
    </w:rPr>
  </w:style>
  <w:style w:type="paragraph" w:styleId="Heading2">
    <w:name w:val="heading 2"/>
    <w:aliases w:val="D70AR2,Heading two,Heading 2 Char,Heading 2 Char1 Char,Heading 2 Char Char Char,Heading two Char Char Char,Heading two Char1 Char"/>
    <w:basedOn w:val="Normal"/>
    <w:next w:val="Normal"/>
    <w:qFormat/>
    <w:rsid w:val="00D655BA"/>
    <w:pPr>
      <w:keepNext/>
      <w:outlineLvl w:val="1"/>
    </w:pPr>
    <w:rPr>
      <w:u w:val="single"/>
    </w:rPr>
  </w:style>
  <w:style w:type="paragraph" w:styleId="Heading3">
    <w:name w:val="heading 3"/>
    <w:aliases w:val="Heading 3 Char,D70AR3,titel 3,OLD Heading 3,Heading 3 Char1 Char,Heading 3 Char Char Char"/>
    <w:basedOn w:val="Normal"/>
    <w:next w:val="Normal"/>
    <w:qFormat/>
    <w:rsid w:val="00D655BA"/>
    <w:pPr>
      <w:keepNext/>
      <w:keepLines w:val="0"/>
      <w:jc w:val="center"/>
      <w:outlineLvl w:val="2"/>
    </w:pPr>
    <w:rPr>
      <w:sz w:val="18"/>
    </w:rPr>
  </w:style>
  <w:style w:type="paragraph" w:styleId="Heading4">
    <w:name w:val="heading 4"/>
    <w:aliases w:val="D70AR4,titel 4"/>
    <w:basedOn w:val="Normal"/>
    <w:next w:val="Normal"/>
    <w:qFormat/>
    <w:rsid w:val="00D655BA"/>
    <w:pPr>
      <w:keepNext/>
      <w:outlineLvl w:val="3"/>
    </w:pPr>
    <w:rPr>
      <w:b/>
      <w:bCs/>
    </w:rPr>
  </w:style>
  <w:style w:type="paragraph" w:styleId="Heading5">
    <w:name w:val="heading 5"/>
    <w:aliases w:val="D70AR5,titel 5,DontUse,DontUse1,DontUse2,DontUse11,DontUse3,DontUse4,DontUse12,DontUse21,DontUse111,DontUse31,DontUse5,DontUse13,DontUse22,DontUse112,DontUse32,DontUse6,DontUse14,DontUse23,DontUse113,DontUse33,DontUse7,DontUse15,DontUse24"/>
    <w:basedOn w:val="Normal"/>
    <w:next w:val="Normal"/>
    <w:qFormat/>
    <w:rsid w:val="00D655BA"/>
    <w:pPr>
      <w:keepNext/>
      <w:outlineLvl w:val="4"/>
    </w:pPr>
    <w:rPr>
      <w:sz w:val="22"/>
      <w:u w:val="single"/>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dontUse8"/>
    <w:basedOn w:val="Normal"/>
    <w:next w:val="Normal"/>
    <w:qFormat/>
    <w:rsid w:val="00D655BA"/>
    <w:pPr>
      <w:keepNext/>
      <w:tabs>
        <w:tab w:val="right" w:pos="9072"/>
      </w:tabs>
      <w:suppressAutoHyphens/>
      <w:outlineLvl w:val="5"/>
    </w:pPr>
    <w:rPr>
      <w:vanish/>
      <w:sz w:val="16"/>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qFormat/>
    <w:rsid w:val="00D655BA"/>
    <w:pPr>
      <w:keepNext/>
      <w:outlineLvl w:val="6"/>
    </w:pPr>
    <w:rPr>
      <w:i/>
      <w:sz w:val="22"/>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qFormat/>
    <w:rsid w:val="00D655BA"/>
    <w:pPr>
      <w:keepNext/>
      <w:jc w:val="left"/>
      <w:outlineLvl w:val="7"/>
    </w:pPr>
    <w:rPr>
      <w:b/>
      <w:sz w:val="18"/>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qFormat/>
    <w:rsid w:val="00D655BA"/>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655BA"/>
    <w:pPr>
      <w:tabs>
        <w:tab w:val="right" w:pos="9639"/>
      </w:tabs>
    </w:pPr>
    <w:rPr>
      <w:rFonts w:ascii="Arial Narrow" w:hAnsi="Arial Narrow"/>
      <w:i/>
      <w:sz w:val="22"/>
    </w:rPr>
  </w:style>
  <w:style w:type="paragraph" w:customStyle="1" w:styleId="Hint">
    <w:name w:val="Hint"/>
    <w:basedOn w:val="BodyTextIndent2"/>
    <w:autoRedefine/>
    <w:rsid w:val="00D655BA"/>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semiHidden/>
    <w:rsid w:val="00D655BA"/>
    <w:pPr>
      <w:spacing w:after="120" w:line="480" w:lineRule="auto"/>
      <w:ind w:left="360"/>
    </w:pPr>
  </w:style>
  <w:style w:type="paragraph" w:customStyle="1" w:styleId="PIMAINHEADING">
    <w:name w:val="PI MAINHEADING"/>
    <w:basedOn w:val="Heading1"/>
    <w:rsid w:val="00D655BA"/>
    <w:pPr>
      <w:keepNext w:val="0"/>
      <w:widowControl w:val="0"/>
      <w:pBdr>
        <w:top w:val="single" w:sz="6" w:space="1" w:color="auto"/>
      </w:pBdr>
      <w:spacing w:before="0" w:after="0"/>
      <w:jc w:val="center"/>
      <w:outlineLvl w:val="9"/>
    </w:pPr>
    <w:rPr>
      <w:rFonts w:ascii="Arial Rounded MT Bold" w:hAnsi="Arial Rounded MT Bold"/>
      <w:sz w:val="56"/>
    </w:rPr>
  </w:style>
  <w:style w:type="paragraph" w:customStyle="1" w:styleId="PIProductInfo">
    <w:name w:val="PI Product Info"/>
    <w:basedOn w:val="Normal"/>
    <w:rsid w:val="00D655BA"/>
    <w:pPr>
      <w:keepLines w:val="0"/>
      <w:widowControl w:val="0"/>
      <w:pBdr>
        <w:bottom w:val="single" w:sz="6" w:space="1" w:color="auto"/>
      </w:pBdr>
      <w:spacing w:before="60" w:after="240"/>
      <w:jc w:val="center"/>
    </w:pPr>
    <w:rPr>
      <w:b/>
      <w:sz w:val="36"/>
      <w:lang w:val="en-US"/>
    </w:rPr>
  </w:style>
  <w:style w:type="paragraph" w:customStyle="1" w:styleId="PIHEADTOP">
    <w:name w:val="PI HEADTOP"/>
    <w:basedOn w:val="Normal"/>
    <w:rsid w:val="00D655BA"/>
    <w:pPr>
      <w:keepLines w:val="0"/>
      <w:tabs>
        <w:tab w:val="left" w:pos="-720"/>
      </w:tabs>
      <w:suppressAutoHyphens/>
      <w:spacing w:after="120"/>
      <w:jc w:val="left"/>
    </w:pPr>
    <w:rPr>
      <w:b/>
      <w:caps/>
      <w:spacing w:val="-2"/>
      <w:sz w:val="28"/>
    </w:rPr>
  </w:style>
  <w:style w:type="paragraph" w:customStyle="1" w:styleId="PIEXPLAIN">
    <w:name w:val="PI EXPLAIN"/>
    <w:basedOn w:val="Normal"/>
    <w:rsid w:val="00D655BA"/>
    <w:pPr>
      <w:keepLines w:val="0"/>
      <w:tabs>
        <w:tab w:val="left" w:pos="-720"/>
      </w:tabs>
      <w:suppressAutoHyphens/>
      <w:spacing w:before="20" w:after="80"/>
    </w:pPr>
    <w:rPr>
      <w:spacing w:val="-2"/>
      <w:sz w:val="22"/>
    </w:rPr>
  </w:style>
  <w:style w:type="paragraph" w:customStyle="1" w:styleId="PIHEADING1">
    <w:name w:val="PI HEADING1"/>
    <w:basedOn w:val="PIHEADTOP"/>
    <w:rsid w:val="00D655BA"/>
    <w:pPr>
      <w:spacing w:before="360"/>
    </w:pPr>
  </w:style>
  <w:style w:type="paragraph" w:customStyle="1" w:styleId="PIHEADING2">
    <w:name w:val="PI HEADING2"/>
    <w:basedOn w:val="Normal"/>
    <w:rsid w:val="00D655BA"/>
    <w:pPr>
      <w:keepLines w:val="0"/>
      <w:tabs>
        <w:tab w:val="left" w:pos="-720"/>
      </w:tabs>
      <w:suppressAutoHyphens/>
      <w:spacing w:before="120" w:after="80"/>
    </w:pPr>
    <w:rPr>
      <w:b/>
      <w:spacing w:val="-2"/>
      <w:sz w:val="22"/>
    </w:rPr>
  </w:style>
  <w:style w:type="paragraph" w:customStyle="1" w:styleId="PIDOTPOINT">
    <w:name w:val="PI DOTPOINT"/>
    <w:basedOn w:val="PIEXPLAIN"/>
    <w:rsid w:val="00D655BA"/>
    <w:pPr>
      <w:spacing w:before="0" w:after="40"/>
      <w:ind w:left="568" w:hanging="284"/>
    </w:pPr>
  </w:style>
  <w:style w:type="paragraph" w:styleId="Footer">
    <w:name w:val="footer"/>
    <w:basedOn w:val="Normal"/>
    <w:semiHidden/>
    <w:rsid w:val="00D655BA"/>
    <w:pPr>
      <w:tabs>
        <w:tab w:val="center" w:pos="4153"/>
        <w:tab w:val="right" w:pos="8306"/>
      </w:tabs>
    </w:pPr>
  </w:style>
  <w:style w:type="character" w:styleId="LineNumber">
    <w:name w:val="line number"/>
    <w:basedOn w:val="DefaultParagraphFont"/>
    <w:semiHidden/>
    <w:rsid w:val="00D655BA"/>
  </w:style>
  <w:style w:type="character" w:styleId="Strong">
    <w:name w:val="Strong"/>
    <w:basedOn w:val="DefaultParagraphFont"/>
    <w:qFormat/>
    <w:rsid w:val="00D655BA"/>
    <w:rPr>
      <w: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semiHidden/>
    <w:rsid w:val="00D655BA"/>
    <w:pPr>
      <w:keepLines w:val="0"/>
      <w:tabs>
        <w:tab w:val="left" w:pos="567"/>
      </w:tabs>
      <w:spacing w:line="260" w:lineRule="exact"/>
      <w:jc w:val="left"/>
    </w:pPr>
    <w:rPr>
      <w:rFonts w:ascii="Times New Roman" w:hAnsi="Times New Roman"/>
      <w:b/>
      <w:i/>
      <w:sz w:val="22"/>
      <w:lang w:val="en-GB"/>
    </w:rPr>
  </w:style>
  <w:style w:type="paragraph" w:customStyle="1" w:styleId="Paragraph">
    <w:name w:val="Paragraph"/>
    <w:rsid w:val="00D655BA"/>
    <w:pPr>
      <w:numPr>
        <w:ilvl w:val="12"/>
      </w:numPr>
      <w:suppressAutoHyphens/>
      <w:spacing w:before="120" w:line="260" w:lineRule="exact"/>
    </w:pPr>
    <w:rPr>
      <w:sz w:val="22"/>
      <w:lang w:val="en-US" w:eastAsia="en-US"/>
    </w:rPr>
  </w:style>
  <w:style w:type="paragraph" w:styleId="CommentText">
    <w:name w:val="annotation text"/>
    <w:basedOn w:val="Normal"/>
    <w:link w:val="CommentTextChar"/>
    <w:semiHidden/>
    <w:rsid w:val="00D655BA"/>
    <w:pPr>
      <w:keepLines w:val="0"/>
      <w:tabs>
        <w:tab w:val="left" w:pos="567"/>
      </w:tabs>
      <w:spacing w:line="260" w:lineRule="exact"/>
      <w:jc w:val="left"/>
    </w:pPr>
    <w:rPr>
      <w:rFonts w:ascii="Times New Roman" w:hAnsi="Times New Roman"/>
      <w:sz w:val="20"/>
      <w:lang w:val="en-GB"/>
    </w:rPr>
  </w:style>
  <w:style w:type="paragraph" w:styleId="EndnoteText">
    <w:name w:val="endnote text"/>
    <w:basedOn w:val="Normal"/>
    <w:next w:val="Normal"/>
    <w:semiHidden/>
    <w:rsid w:val="00D655BA"/>
    <w:pPr>
      <w:keepLines w:val="0"/>
      <w:tabs>
        <w:tab w:val="left" w:pos="567"/>
      </w:tabs>
      <w:jc w:val="left"/>
    </w:pPr>
    <w:rPr>
      <w:rFonts w:ascii="Times New Roman" w:hAnsi="Times New Roman"/>
      <w:sz w:val="22"/>
      <w:lang w:val="en-GB"/>
    </w:rPr>
  </w:style>
  <w:style w:type="character" w:styleId="PageNumber">
    <w:name w:val="page number"/>
    <w:basedOn w:val="DefaultParagraphFont"/>
    <w:semiHidden/>
    <w:rsid w:val="00D655BA"/>
  </w:style>
  <w:style w:type="paragraph" w:customStyle="1" w:styleId="ParagraphChar">
    <w:name w:val="Paragraph Char"/>
    <w:rsid w:val="00D655BA"/>
    <w:pPr>
      <w:numPr>
        <w:ilvl w:val="12"/>
      </w:numPr>
      <w:suppressAutoHyphens/>
      <w:spacing w:after="120" w:line="260" w:lineRule="exact"/>
    </w:pPr>
    <w:rPr>
      <w:sz w:val="22"/>
      <w:lang w:val="en-US" w:eastAsia="en-US"/>
    </w:rPr>
  </w:style>
  <w:style w:type="paragraph" w:styleId="BodyText2">
    <w:name w:val="Body Text 2"/>
    <w:basedOn w:val="Normal"/>
    <w:semiHidden/>
    <w:rsid w:val="00D655BA"/>
    <w:rPr>
      <w:b/>
      <w:bCs/>
    </w:rPr>
  </w:style>
  <w:style w:type="character" w:customStyle="1" w:styleId="TableFootnoteChar1">
    <w:name w:val="Table Footnote Char1"/>
    <w:basedOn w:val="DefaultParagraphFont"/>
    <w:rsid w:val="00D655BA"/>
    <w:rPr>
      <w:noProof w:val="0"/>
      <w:snapToGrid w:val="0"/>
      <w:lang w:val="en-US" w:eastAsia="en-US" w:bidi="ar-SA"/>
    </w:rPr>
  </w:style>
  <w:style w:type="paragraph" w:customStyle="1" w:styleId="tablebodyChar">
    <w:name w:val="table:body Char"/>
    <w:basedOn w:val="Normal"/>
    <w:rsid w:val="00D655BA"/>
    <w:pPr>
      <w:keepLines w:val="0"/>
      <w:suppressAutoHyphens/>
      <w:spacing w:before="20" w:after="20"/>
      <w:jc w:val="left"/>
    </w:pPr>
    <w:rPr>
      <w:rFonts w:ascii="Times New Roman" w:hAnsi="Times New Roman"/>
      <w:sz w:val="20"/>
      <w:lang w:val="en-US"/>
    </w:rPr>
  </w:style>
  <w:style w:type="paragraph" w:customStyle="1" w:styleId="ParagraphCharChar">
    <w:name w:val="Paragraph Char Char"/>
    <w:rsid w:val="00D655BA"/>
    <w:pPr>
      <w:numPr>
        <w:ilvl w:val="12"/>
      </w:numPr>
      <w:suppressAutoHyphens/>
      <w:spacing w:after="120" w:line="260" w:lineRule="exact"/>
    </w:pPr>
    <w:rPr>
      <w:sz w:val="22"/>
      <w:lang w:val="en-US" w:eastAsia="en-US"/>
    </w:rPr>
  </w:style>
  <w:style w:type="paragraph" w:customStyle="1" w:styleId="tabletitleCharChar">
    <w:name w:val="table:title Char Char"/>
    <w:basedOn w:val="Normal"/>
    <w:next w:val="Normal"/>
    <w:uiPriority w:val="99"/>
    <w:rsid w:val="00D655BA"/>
    <w:pPr>
      <w:keepNext/>
      <w:keepLines w:val="0"/>
      <w:numPr>
        <w:ilvl w:val="12"/>
      </w:numPr>
      <w:suppressAutoHyphens/>
      <w:spacing w:before="120" w:after="120" w:line="260" w:lineRule="exact"/>
      <w:ind w:left="1152" w:hanging="1152"/>
      <w:jc w:val="left"/>
    </w:pPr>
    <w:rPr>
      <w:rFonts w:ascii="Times New Roman" w:hAnsi="Times New Roman"/>
      <w:b/>
      <w:sz w:val="22"/>
      <w:lang w:val="en-US"/>
    </w:rPr>
  </w:style>
  <w:style w:type="character" w:customStyle="1" w:styleId="BodyTextIndentCharChar">
    <w:name w:val="Body Text Indent Char Char"/>
    <w:basedOn w:val="DefaultParagraphFont"/>
    <w:rsid w:val="00D655BA"/>
    <w:rPr>
      <w:lang w:val="en-US" w:eastAsia="en-US" w:bidi="ar-SA"/>
    </w:rPr>
  </w:style>
  <w:style w:type="paragraph" w:customStyle="1" w:styleId="BodyText12">
    <w:name w:val="BodyText12"/>
    <w:link w:val="BodyText12Char"/>
    <w:rsid w:val="00D655BA"/>
    <w:pPr>
      <w:spacing w:after="200" w:line="300" w:lineRule="auto"/>
      <w:ind w:left="850"/>
      <w:jc w:val="both"/>
    </w:pPr>
    <w:rPr>
      <w:sz w:val="24"/>
      <w:lang w:val="en-US" w:eastAsia="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D655BA"/>
    <w:pPr>
      <w:keepNext/>
      <w:tabs>
        <w:tab w:val="clear" w:pos="567"/>
      </w:tabs>
      <w:spacing w:after="60" w:line="240" w:lineRule="auto"/>
    </w:pPr>
    <w:rPr>
      <w:b w:val="0"/>
      <w:i w:val="0"/>
      <w:u w:val="single"/>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D655BA"/>
    <w:pPr>
      <w:keepNext/>
      <w:tabs>
        <w:tab w:val="clear" w:pos="567"/>
      </w:tabs>
      <w:spacing w:after="60" w:line="240" w:lineRule="auto"/>
    </w:pPr>
    <w:rPr>
      <w:b w:val="0"/>
      <w:i w:val="0"/>
      <w:u w:val="single"/>
    </w:rPr>
  </w:style>
  <w:style w:type="character" w:styleId="CommentReference">
    <w:name w:val="annotation reference"/>
    <w:basedOn w:val="DefaultParagraphFont"/>
    <w:uiPriority w:val="99"/>
    <w:semiHidden/>
    <w:rsid w:val="00D655BA"/>
    <w:rPr>
      <w:sz w:val="16"/>
    </w:rPr>
  </w:style>
  <w:style w:type="paragraph" w:customStyle="1" w:styleId="TableFootnoteCharChar1">
    <w:name w:val="Table Footnote Char Char1"/>
    <w:basedOn w:val="Normal"/>
    <w:next w:val="Normal"/>
    <w:rsid w:val="00D655BA"/>
    <w:pPr>
      <w:keepNext/>
      <w:widowControl w:val="0"/>
      <w:tabs>
        <w:tab w:val="left" w:pos="259"/>
      </w:tabs>
      <w:spacing w:before="20" w:after="20" w:line="220" w:lineRule="atLeast"/>
      <w:ind w:left="259" w:hanging="259"/>
      <w:jc w:val="left"/>
    </w:pPr>
    <w:rPr>
      <w:rFonts w:ascii="Times New Roman" w:hAnsi="Times New Roman"/>
      <w:sz w:val="20"/>
      <w:lang w:val="en-US"/>
    </w:rPr>
  </w:style>
  <w:style w:type="paragraph" w:styleId="FootnoteText">
    <w:name w:val="footnote text"/>
    <w:basedOn w:val="Normal"/>
    <w:link w:val="FootnoteTextChar"/>
    <w:rsid w:val="00D655BA"/>
    <w:pPr>
      <w:keepLines w:val="0"/>
      <w:jc w:val="left"/>
    </w:pPr>
    <w:rPr>
      <w:rFonts w:ascii="Times New Roman" w:hAnsi="Times New Roman"/>
      <w:sz w:val="20"/>
      <w:lang w:val="en-GB"/>
    </w:rPr>
  </w:style>
  <w:style w:type="character" w:styleId="EndnoteReference">
    <w:name w:val="endnote reference"/>
    <w:basedOn w:val="DefaultParagraphFont"/>
    <w:semiHidden/>
    <w:rsid w:val="00D655BA"/>
    <w:rPr>
      <w:vertAlign w:val="superscript"/>
    </w:rPr>
  </w:style>
  <w:style w:type="paragraph" w:customStyle="1" w:styleId="tableheaderChar">
    <w:name w:val="table:header Char"/>
    <w:basedOn w:val="Normal"/>
    <w:rsid w:val="00D655BA"/>
    <w:pPr>
      <w:keepLines w:val="0"/>
      <w:suppressAutoHyphens/>
      <w:spacing w:before="20" w:after="20"/>
      <w:jc w:val="left"/>
    </w:pPr>
    <w:rPr>
      <w:rFonts w:ascii="Times New Roman" w:hAnsi="Times New Roman"/>
      <w:b/>
      <w:sz w:val="20"/>
      <w:lang w:val="en-US"/>
    </w:rPr>
  </w:style>
  <w:style w:type="character" w:styleId="Hyperlink">
    <w:name w:val="Hyperlink"/>
    <w:basedOn w:val="DefaultParagraphFont"/>
    <w:semiHidden/>
    <w:rsid w:val="00D655BA"/>
    <w:rPr>
      <w:color w:val="0000FF"/>
      <w:u w:val="single"/>
    </w:rPr>
  </w:style>
  <w:style w:type="character" w:styleId="FollowedHyperlink">
    <w:name w:val="FollowedHyperlink"/>
    <w:basedOn w:val="DefaultParagraphFont"/>
    <w:semiHidden/>
    <w:rsid w:val="00D655BA"/>
    <w:rPr>
      <w:color w:val="800080"/>
      <w:u w:val="single"/>
    </w:rPr>
  </w:style>
  <w:style w:type="paragraph" w:customStyle="1" w:styleId="Narrative1">
    <w:name w:val="Narrative 1"/>
    <w:rsid w:val="00D655BA"/>
    <w:pPr>
      <w:tabs>
        <w:tab w:val="num" w:pos="1210"/>
      </w:tabs>
      <w:spacing w:after="200" w:line="300" w:lineRule="auto"/>
      <w:ind w:left="1210" w:hanging="360"/>
      <w:jc w:val="both"/>
    </w:pPr>
    <w:rPr>
      <w:sz w:val="24"/>
      <w:lang w:val="en-US" w:eastAsia="en-US"/>
    </w:rPr>
  </w:style>
  <w:style w:type="paragraph" w:customStyle="1" w:styleId="Narrative2">
    <w:name w:val="Narrative 2"/>
    <w:rsid w:val="00D655BA"/>
    <w:pPr>
      <w:tabs>
        <w:tab w:val="num" w:pos="1570"/>
      </w:tabs>
      <w:spacing w:after="200" w:line="300" w:lineRule="auto"/>
      <w:ind w:left="1570" w:hanging="360"/>
      <w:jc w:val="both"/>
    </w:pPr>
    <w:rPr>
      <w:sz w:val="24"/>
      <w:lang w:val="en-US" w:eastAsia="en-US"/>
    </w:rPr>
  </w:style>
  <w:style w:type="paragraph" w:customStyle="1" w:styleId="MarkTable">
    <w:name w:val="Mark Table"/>
    <w:next w:val="TableText"/>
    <w:uiPriority w:val="99"/>
    <w:rsid w:val="00D655BA"/>
    <w:pPr>
      <w:keepNext/>
      <w:ind w:left="1080" w:hanging="1066"/>
    </w:pPr>
    <w:rPr>
      <w:lang w:val="en-US" w:eastAsia="en-US"/>
    </w:rPr>
  </w:style>
  <w:style w:type="paragraph" w:customStyle="1" w:styleId="TableText">
    <w:name w:val="TableText"/>
    <w:rsid w:val="00D655BA"/>
    <w:pPr>
      <w:keepNext/>
    </w:pPr>
    <w:rPr>
      <w:lang w:val="en-US" w:eastAsia="en-US"/>
    </w:rPr>
  </w:style>
  <w:style w:type="paragraph" w:customStyle="1" w:styleId="paragraph0">
    <w:name w:val="paragraph"/>
    <w:basedOn w:val="Normal"/>
    <w:rsid w:val="00D655BA"/>
    <w:pPr>
      <w:keepLines w:val="0"/>
      <w:spacing w:before="120" w:after="120" w:line="280" w:lineRule="atLeast"/>
      <w:jc w:val="left"/>
    </w:pPr>
    <w:rPr>
      <w:rFonts w:ascii="Times New Roman" w:eastAsia="Arial Unicode MS" w:hAnsi="Times New Roman"/>
      <w:sz w:val="24"/>
      <w:szCs w:val="24"/>
      <w:lang w:val="en-GB"/>
    </w:rPr>
  </w:style>
  <w:style w:type="paragraph" w:styleId="BodyText3">
    <w:name w:val="Body Text 3"/>
    <w:basedOn w:val="Normal"/>
    <w:semiHidden/>
    <w:rsid w:val="00D655BA"/>
    <w:pPr>
      <w:jc w:val="center"/>
    </w:pPr>
    <w:rPr>
      <w:sz w:val="20"/>
    </w:rPr>
  </w:style>
  <w:style w:type="paragraph" w:customStyle="1" w:styleId="TableHeadings">
    <w:name w:val="Table Headings"/>
    <w:basedOn w:val="Normal"/>
    <w:rsid w:val="00D655BA"/>
    <w:pPr>
      <w:keepNext/>
      <w:widowControl w:val="0"/>
      <w:spacing w:before="40" w:after="40"/>
      <w:jc w:val="center"/>
    </w:pPr>
    <w:rPr>
      <w:rFonts w:ascii="Times New Roman" w:hAnsi="Times New Roman"/>
      <w:b/>
      <w:snapToGrid w:val="0"/>
      <w:sz w:val="20"/>
      <w:lang w:val="en-US"/>
    </w:rPr>
  </w:style>
  <w:style w:type="paragraph" w:customStyle="1" w:styleId="TableBody-tight">
    <w:name w:val="Table Body-tight"/>
    <w:basedOn w:val="Normal"/>
    <w:uiPriority w:val="99"/>
    <w:rsid w:val="00D655BA"/>
    <w:pPr>
      <w:keepNext/>
      <w:widowControl w:val="0"/>
      <w:suppressAutoHyphens/>
      <w:spacing w:before="20" w:after="20" w:line="240" w:lineRule="exact"/>
      <w:jc w:val="left"/>
    </w:pPr>
    <w:rPr>
      <w:rFonts w:ascii="Times New Roman" w:hAnsi="Times New Roman"/>
      <w:snapToGrid w:val="0"/>
      <w:sz w:val="20"/>
      <w:lang w:val="en-US"/>
    </w:rPr>
  </w:style>
  <w:style w:type="paragraph" w:customStyle="1" w:styleId="PIParagraphCharCharChar">
    <w:name w:val="PI Paragraph Char Char Char"/>
    <w:basedOn w:val="Normal"/>
    <w:uiPriority w:val="99"/>
    <w:rsid w:val="00D655BA"/>
    <w:pPr>
      <w:keepLines w:val="0"/>
      <w:spacing w:after="120"/>
      <w:jc w:val="left"/>
    </w:pPr>
    <w:rPr>
      <w:rFonts w:ascii="Times New Roman" w:hAnsi="Times New Roman"/>
      <w:sz w:val="24"/>
      <w:lang w:val="en-US"/>
    </w:rPr>
  </w:style>
  <w:style w:type="paragraph" w:customStyle="1" w:styleId="TableBody">
    <w:name w:val="Table Body"/>
    <w:basedOn w:val="Normal"/>
    <w:rsid w:val="00D655BA"/>
    <w:pPr>
      <w:keepNext/>
      <w:widowControl w:val="0"/>
      <w:snapToGrid w:val="0"/>
      <w:spacing w:before="60" w:after="60" w:line="240" w:lineRule="exact"/>
      <w:jc w:val="left"/>
    </w:pPr>
    <w:rPr>
      <w:rFonts w:ascii="Times New Roman" w:hAnsi="Times New Roman"/>
      <w:sz w:val="20"/>
      <w:lang w:val="en-US"/>
    </w:rPr>
  </w:style>
  <w:style w:type="paragraph" w:customStyle="1" w:styleId="DashIndent3">
    <w:name w:val="Dash Indent 3"/>
    <w:basedOn w:val="Normal"/>
    <w:rsid w:val="00D655BA"/>
    <w:pPr>
      <w:keepLines w:val="0"/>
      <w:tabs>
        <w:tab w:val="left" w:pos="1714"/>
      </w:tabs>
      <w:spacing w:after="100"/>
      <w:ind w:left="1714" w:hanging="288"/>
    </w:pPr>
    <w:rPr>
      <w:rFonts w:ascii="Times New Roman" w:hAnsi="Times New Roman"/>
      <w:sz w:val="24"/>
      <w:lang w:val="en-US"/>
    </w:rPr>
  </w:style>
  <w:style w:type="paragraph" w:styleId="BodyTextIndent">
    <w:name w:val="Body Text Indent"/>
    <w:basedOn w:val="Normal"/>
    <w:link w:val="BodyTextIndentChar"/>
    <w:uiPriority w:val="99"/>
    <w:rsid w:val="00D655BA"/>
    <w:pPr>
      <w:keepLines w:val="0"/>
      <w:spacing w:after="120"/>
      <w:ind w:left="360"/>
      <w:jc w:val="left"/>
    </w:pPr>
    <w:rPr>
      <w:rFonts w:ascii="Times New Roman" w:hAnsi="Times New Roman"/>
      <w:sz w:val="24"/>
      <w:szCs w:val="24"/>
      <w:lang w:val="en-US"/>
    </w:rPr>
  </w:style>
  <w:style w:type="paragraph" w:styleId="Caption">
    <w:name w:val="caption"/>
    <w:basedOn w:val="Normal"/>
    <w:next w:val="Normal"/>
    <w:qFormat/>
    <w:rsid w:val="00D655BA"/>
    <w:pPr>
      <w:tabs>
        <w:tab w:val="left" w:pos="6780"/>
      </w:tabs>
      <w:ind w:left="567" w:hanging="567"/>
    </w:pPr>
    <w:rPr>
      <w:sz w:val="20"/>
    </w:rPr>
  </w:style>
  <w:style w:type="paragraph" w:styleId="CommentSubject">
    <w:name w:val="annotation subject"/>
    <w:basedOn w:val="CommentText"/>
    <w:next w:val="CommentText"/>
    <w:link w:val="CommentSubjectChar"/>
    <w:uiPriority w:val="99"/>
    <w:semiHidden/>
    <w:unhideWhenUsed/>
    <w:rsid w:val="009A60DA"/>
    <w:pPr>
      <w:keepLines/>
      <w:tabs>
        <w:tab w:val="clear" w:pos="567"/>
      </w:tabs>
      <w:spacing w:line="240" w:lineRule="auto"/>
      <w:jc w:val="both"/>
    </w:pPr>
    <w:rPr>
      <w:rFonts w:ascii="Arial" w:hAnsi="Arial"/>
      <w:b/>
      <w:bCs/>
      <w:lang w:val="en-AU"/>
    </w:rPr>
  </w:style>
  <w:style w:type="character" w:customStyle="1" w:styleId="CommentTextChar">
    <w:name w:val="Comment Text Char"/>
    <w:basedOn w:val="DefaultParagraphFont"/>
    <w:link w:val="CommentText"/>
    <w:semiHidden/>
    <w:rsid w:val="009A60DA"/>
    <w:rPr>
      <w:lang w:val="en-GB" w:eastAsia="en-US"/>
    </w:rPr>
  </w:style>
  <w:style w:type="character" w:customStyle="1" w:styleId="CommentSubjectChar">
    <w:name w:val="Comment Subject Char"/>
    <w:basedOn w:val="CommentTextChar"/>
    <w:link w:val="CommentSubject"/>
    <w:rsid w:val="009A60DA"/>
    <w:rPr>
      <w:lang w:val="en-GB" w:eastAsia="en-US"/>
    </w:rPr>
  </w:style>
  <w:style w:type="paragraph" w:styleId="Revision">
    <w:name w:val="Revision"/>
    <w:hidden/>
    <w:uiPriority w:val="99"/>
    <w:semiHidden/>
    <w:rsid w:val="009A60DA"/>
    <w:rPr>
      <w:rFonts w:ascii="Arial" w:hAnsi="Arial"/>
      <w:sz w:val="21"/>
      <w:lang w:eastAsia="en-US"/>
    </w:rPr>
  </w:style>
  <w:style w:type="paragraph" w:styleId="BalloonText">
    <w:name w:val="Balloon Text"/>
    <w:basedOn w:val="Normal"/>
    <w:link w:val="BalloonTextChar"/>
    <w:uiPriority w:val="99"/>
    <w:semiHidden/>
    <w:unhideWhenUsed/>
    <w:rsid w:val="009A60DA"/>
    <w:rPr>
      <w:rFonts w:ascii="Tahoma" w:hAnsi="Tahoma" w:cs="Tahoma"/>
      <w:sz w:val="16"/>
      <w:szCs w:val="16"/>
    </w:rPr>
  </w:style>
  <w:style w:type="character" w:customStyle="1" w:styleId="BalloonTextChar">
    <w:name w:val="Balloon Text Char"/>
    <w:basedOn w:val="DefaultParagraphFont"/>
    <w:link w:val="BalloonText"/>
    <w:uiPriority w:val="99"/>
    <w:semiHidden/>
    <w:rsid w:val="009A60DA"/>
    <w:rPr>
      <w:rFonts w:ascii="Tahoma" w:hAnsi="Tahoma" w:cs="Tahoma"/>
      <w:sz w:val="16"/>
      <w:szCs w:val="16"/>
      <w:lang w:eastAsia="en-US"/>
    </w:rPr>
  </w:style>
  <w:style w:type="paragraph" w:customStyle="1" w:styleId="TableFootnote">
    <w:name w:val="Table Footnote"/>
    <w:basedOn w:val="Normal"/>
    <w:next w:val="Normal"/>
    <w:rsid w:val="00044E0C"/>
    <w:pPr>
      <w:keepNext/>
      <w:widowControl w:val="0"/>
      <w:tabs>
        <w:tab w:val="left" w:pos="259"/>
      </w:tabs>
      <w:spacing w:before="20" w:after="20" w:line="220" w:lineRule="atLeast"/>
      <w:ind w:left="259" w:hanging="259"/>
      <w:jc w:val="left"/>
    </w:pPr>
    <w:rPr>
      <w:rFonts w:ascii="Times New Roman" w:hAnsi="Times New Roman"/>
      <w:sz w:val="20"/>
      <w:lang w:val="en-US"/>
    </w:rPr>
  </w:style>
  <w:style w:type="paragraph" w:customStyle="1" w:styleId="table-heading-10">
    <w:name w:val="table-heading-10"/>
    <w:basedOn w:val="Normal"/>
    <w:rsid w:val="00044E0C"/>
    <w:pPr>
      <w:keepLines w:val="0"/>
      <w:spacing w:before="40" w:after="40"/>
      <w:jc w:val="left"/>
    </w:pPr>
    <w:rPr>
      <w:rFonts w:ascii="Times New Roman" w:hAnsi="Times New Roman"/>
      <w:b/>
      <w:sz w:val="20"/>
      <w:szCs w:val="24"/>
      <w:lang w:val="en-US"/>
    </w:rPr>
  </w:style>
  <w:style w:type="paragraph" w:customStyle="1" w:styleId="table-body-10">
    <w:name w:val="table-body-10"/>
    <w:basedOn w:val="Normal"/>
    <w:rsid w:val="00044E0C"/>
    <w:pPr>
      <w:keepLines w:val="0"/>
      <w:spacing w:before="40" w:after="40"/>
      <w:jc w:val="left"/>
    </w:pPr>
    <w:rPr>
      <w:rFonts w:ascii="Times New Roman" w:hAnsi="Times New Roman"/>
      <w:sz w:val="20"/>
      <w:szCs w:val="24"/>
      <w:lang w:val="en-US"/>
    </w:rPr>
  </w:style>
  <w:style w:type="table" w:styleId="TableGrid">
    <w:name w:val="Table Grid"/>
    <w:basedOn w:val="TableNormal"/>
    <w:uiPriority w:val="59"/>
    <w:rsid w:val="005536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0">
    <w:name w:val="Table Text"/>
    <w:basedOn w:val="Normal"/>
    <w:rsid w:val="002936A6"/>
    <w:pPr>
      <w:keepLines w:val="0"/>
      <w:spacing w:before="60"/>
      <w:jc w:val="left"/>
    </w:pPr>
    <w:rPr>
      <w:spacing w:val="-5"/>
      <w:sz w:val="16"/>
    </w:rPr>
  </w:style>
  <w:style w:type="character" w:customStyle="1" w:styleId="FootnoteTextChar">
    <w:name w:val="Footnote Text Char"/>
    <w:basedOn w:val="DefaultParagraphFont"/>
    <w:link w:val="FootnoteText"/>
    <w:rsid w:val="002936A6"/>
    <w:rPr>
      <w:lang w:val="en-GB" w:eastAsia="en-US"/>
    </w:rPr>
  </w:style>
  <w:style w:type="character" w:styleId="FootnoteReference">
    <w:name w:val="footnote reference"/>
    <w:basedOn w:val="DefaultParagraphFont"/>
    <w:rsid w:val="002936A6"/>
    <w:rPr>
      <w:vertAlign w:val="superscript"/>
    </w:rPr>
  </w:style>
  <w:style w:type="paragraph" w:customStyle="1" w:styleId="PITableTitle">
    <w:name w:val="PI Table Title"/>
    <w:basedOn w:val="Normal"/>
    <w:rsid w:val="00F86B39"/>
    <w:pPr>
      <w:keepNext/>
      <w:keepLines w:val="0"/>
      <w:numPr>
        <w:ilvl w:val="12"/>
      </w:numPr>
      <w:suppressAutoHyphens/>
      <w:spacing w:before="120" w:after="60" w:line="240" w:lineRule="exact"/>
      <w:jc w:val="center"/>
    </w:pPr>
    <w:rPr>
      <w:rFonts w:ascii="Times New Roman" w:hAnsi="Times New Roman"/>
      <w:b/>
      <w:sz w:val="24"/>
      <w:szCs w:val="24"/>
      <w:lang w:val="en-US"/>
    </w:rPr>
  </w:style>
  <w:style w:type="paragraph" w:styleId="ListParagraph">
    <w:name w:val="List Paragraph"/>
    <w:basedOn w:val="Normal"/>
    <w:uiPriority w:val="34"/>
    <w:qFormat/>
    <w:rsid w:val="00866F33"/>
    <w:pPr>
      <w:ind w:left="720"/>
      <w:contextualSpacing/>
    </w:pPr>
  </w:style>
  <w:style w:type="paragraph" w:customStyle="1" w:styleId="ParagraphCharChar1">
    <w:name w:val="Paragraph Char Char1"/>
    <w:uiPriority w:val="99"/>
    <w:rsid w:val="00DE0059"/>
    <w:pPr>
      <w:numPr>
        <w:ilvl w:val="12"/>
      </w:numPr>
      <w:suppressAutoHyphens/>
      <w:spacing w:after="120" w:line="260" w:lineRule="exact"/>
    </w:pPr>
    <w:rPr>
      <w:sz w:val="22"/>
      <w:szCs w:val="24"/>
      <w:lang w:val="en-US" w:eastAsia="en-US"/>
    </w:rPr>
  </w:style>
  <w:style w:type="character" w:customStyle="1" w:styleId="BodyText12Char">
    <w:name w:val="BodyText12 Char"/>
    <w:basedOn w:val="DefaultParagraphFont"/>
    <w:link w:val="BodyText12"/>
    <w:locked/>
    <w:rsid w:val="00DE0059"/>
    <w:rPr>
      <w:sz w:val="24"/>
      <w:lang w:val="en-US" w:eastAsia="en-US"/>
    </w:rPr>
  </w:style>
  <w:style w:type="paragraph" w:customStyle="1" w:styleId="VELCADEHEADING3">
    <w:name w:val="VELCADE HEADING 3"/>
    <w:basedOn w:val="Normal"/>
    <w:autoRedefine/>
    <w:qFormat/>
    <w:rsid w:val="007B3AD3"/>
    <w:pPr>
      <w:keepLines w:val="0"/>
      <w:numPr>
        <w:ilvl w:val="1"/>
      </w:numPr>
      <w:jc w:val="left"/>
    </w:pPr>
    <w:rPr>
      <w:rFonts w:cs="Arial"/>
      <w:b/>
      <w:i/>
      <w:sz w:val="24"/>
      <w:szCs w:val="24"/>
      <w:u w:val="single"/>
      <w:lang w:val="en-US"/>
    </w:rPr>
  </w:style>
  <w:style w:type="character" w:customStyle="1" w:styleId="BodyTextIndentChar">
    <w:name w:val="Body Text Indent Char"/>
    <w:basedOn w:val="DefaultParagraphFont"/>
    <w:link w:val="BodyTextIndent"/>
    <w:uiPriority w:val="99"/>
    <w:locked/>
    <w:rsid w:val="007B3AD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23464">
      <w:bodyDiv w:val="1"/>
      <w:marLeft w:val="0"/>
      <w:marRight w:val="0"/>
      <w:marTop w:val="0"/>
      <w:marBottom w:val="0"/>
      <w:divBdr>
        <w:top w:val="none" w:sz="0" w:space="0" w:color="auto"/>
        <w:left w:val="none" w:sz="0" w:space="0" w:color="auto"/>
        <w:bottom w:val="none" w:sz="0" w:space="0" w:color="auto"/>
        <w:right w:val="none" w:sz="0" w:space="0" w:color="auto"/>
      </w:divBdr>
    </w:div>
    <w:div w:id="511603839">
      <w:bodyDiv w:val="1"/>
      <w:marLeft w:val="0"/>
      <w:marRight w:val="0"/>
      <w:marTop w:val="0"/>
      <w:marBottom w:val="0"/>
      <w:divBdr>
        <w:top w:val="none" w:sz="0" w:space="0" w:color="auto"/>
        <w:left w:val="none" w:sz="0" w:space="0" w:color="auto"/>
        <w:bottom w:val="none" w:sz="0" w:space="0" w:color="auto"/>
        <w:right w:val="none" w:sz="0" w:space="0" w:color="auto"/>
      </w:divBdr>
    </w:div>
    <w:div w:id="962686970">
      <w:bodyDiv w:val="1"/>
      <w:marLeft w:val="0"/>
      <w:marRight w:val="0"/>
      <w:marTop w:val="0"/>
      <w:marBottom w:val="0"/>
      <w:divBdr>
        <w:top w:val="none" w:sz="0" w:space="0" w:color="auto"/>
        <w:left w:val="none" w:sz="0" w:space="0" w:color="auto"/>
        <w:bottom w:val="none" w:sz="0" w:space="0" w:color="auto"/>
        <w:right w:val="none" w:sz="0" w:space="0" w:color="auto"/>
      </w:divBdr>
    </w:div>
    <w:div w:id="1209877339">
      <w:bodyDiv w:val="1"/>
      <w:marLeft w:val="0"/>
      <w:marRight w:val="0"/>
      <w:marTop w:val="0"/>
      <w:marBottom w:val="0"/>
      <w:divBdr>
        <w:top w:val="none" w:sz="0" w:space="0" w:color="auto"/>
        <w:left w:val="none" w:sz="0" w:space="0" w:color="auto"/>
        <w:bottom w:val="none" w:sz="0" w:space="0" w:color="auto"/>
        <w:right w:val="none" w:sz="0" w:space="0" w:color="auto"/>
      </w:divBdr>
    </w:div>
    <w:div w:id="1465001267">
      <w:bodyDiv w:val="1"/>
      <w:marLeft w:val="0"/>
      <w:marRight w:val="0"/>
      <w:marTop w:val="0"/>
      <w:marBottom w:val="0"/>
      <w:divBdr>
        <w:top w:val="none" w:sz="0" w:space="0" w:color="auto"/>
        <w:left w:val="none" w:sz="0" w:space="0" w:color="auto"/>
        <w:bottom w:val="none" w:sz="0" w:space="0" w:color="auto"/>
        <w:right w:val="none" w:sz="0" w:space="0" w:color="auto"/>
      </w:divBdr>
    </w:div>
    <w:div w:id="1600676085">
      <w:bodyDiv w:val="1"/>
      <w:marLeft w:val="0"/>
      <w:marRight w:val="0"/>
      <w:marTop w:val="0"/>
      <w:marBottom w:val="0"/>
      <w:divBdr>
        <w:top w:val="none" w:sz="0" w:space="0" w:color="auto"/>
        <w:left w:val="none" w:sz="0" w:space="0" w:color="auto"/>
        <w:bottom w:val="none" w:sz="0" w:space="0" w:color="auto"/>
        <w:right w:val="none" w:sz="0" w:space="0" w:color="auto"/>
      </w:divBdr>
    </w:div>
    <w:div w:id="20905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9553-0AF2-4D47-9B77-6C495E4F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45</Pages>
  <Words>16286</Words>
  <Characters>91251</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Velcade </vt:lpstr>
    </vt:vector>
  </TitlesOfParts>
  <Company>Janssen-Cilag</Company>
  <LinksUpToDate>false</LinksUpToDate>
  <CharactersWithSpaces>107323</CharactersWithSpaces>
  <SharedDoc>false</SharedDoc>
  <HLinks>
    <vt:vector size="6" baseType="variant">
      <vt:variant>
        <vt:i4>6094966</vt:i4>
      </vt:variant>
      <vt:variant>
        <vt:i4>-1</vt:i4>
      </vt:variant>
      <vt:variant>
        <vt:i4>2263</vt:i4>
      </vt:variant>
      <vt:variant>
        <vt:i4>1</vt:i4>
      </vt:variant>
      <vt:variant>
        <vt:lpwstr>C:\DOCUME~1\AESTELL\LOCALS~1\Temp\~AUT0000.bmp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Velcade </dc:title>
  <dc:subject>Prescription medicines</dc:subject>
  <dc:creator>Shirley Lo</dc:creator>
  <cp:keywords>AusPARs</cp:keywords>
  <dc:description/>
  <cp:lastModifiedBy>Lack, Janet</cp:lastModifiedBy>
  <cp:revision>61</cp:revision>
  <cp:lastPrinted>2012-11-12T00:05:00Z</cp:lastPrinted>
  <dcterms:created xsi:type="dcterms:W3CDTF">2013-06-03T05:25:00Z</dcterms:created>
  <dcterms:modified xsi:type="dcterms:W3CDTF">2016-02-29T23:40:00Z</dcterms:modified>
</cp:coreProperties>
</file>