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2C73D1E7" w14:textId="77777777" w:rsidTr="00BF1190">
        <w:trPr>
          <w:trHeight w:val="1863"/>
        </w:trPr>
        <w:tc>
          <w:tcPr>
            <w:tcW w:w="3652" w:type="dxa"/>
            <w:tcBorders>
              <w:top w:val="nil"/>
              <w:left w:val="nil"/>
              <w:bottom w:val="nil"/>
              <w:right w:val="nil"/>
            </w:tcBorders>
          </w:tcPr>
          <w:p w14:paraId="59E47546" w14:textId="73F89A79" w:rsidR="008E7846" w:rsidRPr="00096AA7" w:rsidRDefault="00090CBC" w:rsidP="00090CBC">
            <w:pPr>
              <w:rPr>
                <w:rFonts w:ascii="Arial" w:hAnsi="Arial" w:cs="Arial"/>
                <w:b/>
                <w:color w:val="002C47"/>
                <w:sz w:val="36"/>
                <w:szCs w:val="36"/>
              </w:rPr>
            </w:pPr>
            <w:r>
              <w:rPr>
                <w:rFonts w:ascii="Arial" w:hAnsi="Arial" w:cs="Arial"/>
                <w:b/>
                <w:color w:val="002C47"/>
                <w:sz w:val="36"/>
                <w:szCs w:val="36"/>
              </w:rPr>
              <w:t>September</w:t>
            </w:r>
            <w:r w:rsidR="005B6383">
              <w:rPr>
                <w:rFonts w:ascii="Arial" w:hAnsi="Arial" w:cs="Arial"/>
                <w:b/>
                <w:color w:val="002C47"/>
                <w:sz w:val="36"/>
                <w:szCs w:val="36"/>
              </w:rPr>
              <w:t xml:space="preserve"> </w:t>
            </w:r>
            <w:r w:rsidR="00DD17C6">
              <w:rPr>
                <w:rFonts w:ascii="Arial" w:hAnsi="Arial" w:cs="Arial"/>
                <w:b/>
                <w:color w:val="002C47"/>
                <w:sz w:val="36"/>
                <w:szCs w:val="36"/>
              </w:rPr>
              <w:t>2019</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5A8E2358" w14:textId="77777777" w:rsidTr="0032583B">
        <w:trPr>
          <w:trHeight w:val="868"/>
        </w:trPr>
        <w:tc>
          <w:tcPr>
            <w:tcW w:w="9079" w:type="dxa"/>
          </w:tcPr>
          <w:p w14:paraId="72484BBA" w14:textId="77777777" w:rsidR="0032583B" w:rsidRPr="00A964D1" w:rsidRDefault="0032583B" w:rsidP="003D2185">
            <w:pPr>
              <w:pStyle w:val="Title"/>
              <w:rPr>
                <w:color w:val="FFFFFF" w:themeColor="background1"/>
              </w:rPr>
            </w:pPr>
            <w:r w:rsidRPr="00A964D1">
              <w:rPr>
                <w:color w:val="FFFFFF" w:themeColor="background1"/>
              </w:rPr>
              <w:t xml:space="preserve">Australian Public Assessment Report for </w:t>
            </w:r>
            <w:proofErr w:type="spellStart"/>
            <w:r w:rsidR="003D2185">
              <w:rPr>
                <w:color w:val="FFFFFF" w:themeColor="background1"/>
              </w:rPr>
              <w:t>blinatumomab</w:t>
            </w:r>
            <w:proofErr w:type="spellEnd"/>
          </w:p>
        </w:tc>
      </w:tr>
      <w:tr w:rsidR="0032583B" w:rsidRPr="00B64760" w14:paraId="76A41FAA" w14:textId="77777777" w:rsidTr="0032583B">
        <w:tc>
          <w:tcPr>
            <w:tcW w:w="9079" w:type="dxa"/>
          </w:tcPr>
          <w:p w14:paraId="19EEBBB7" w14:textId="77777777" w:rsidR="0032583B" w:rsidRPr="008E7846" w:rsidRDefault="0032583B" w:rsidP="003D2185">
            <w:pPr>
              <w:pStyle w:val="Subtitle"/>
              <w:rPr>
                <w:color w:val="FFFFFF" w:themeColor="background1"/>
              </w:rPr>
            </w:pPr>
            <w:r w:rsidRPr="008E7846">
              <w:rPr>
                <w:color w:val="FFFFFF" w:themeColor="background1"/>
              </w:rPr>
              <w:t xml:space="preserve">Proprietary Product Name: </w:t>
            </w:r>
            <w:proofErr w:type="spellStart"/>
            <w:r w:rsidR="003D2185">
              <w:rPr>
                <w:color w:val="FFFFFF" w:themeColor="background1"/>
              </w:rPr>
              <w:t>Blincyto</w:t>
            </w:r>
            <w:proofErr w:type="spellEnd"/>
            <w:r w:rsidRPr="008E7846">
              <w:rPr>
                <w:color w:val="FFFFFF" w:themeColor="background1"/>
              </w:rPr>
              <w:t xml:space="preserve"> </w:t>
            </w:r>
          </w:p>
        </w:tc>
      </w:tr>
      <w:tr w:rsidR="0032583B" w:rsidRPr="00B64760" w14:paraId="1CD069EF" w14:textId="77777777" w:rsidTr="0032583B">
        <w:trPr>
          <w:trHeight w:val="486"/>
        </w:trPr>
        <w:tc>
          <w:tcPr>
            <w:tcW w:w="9079" w:type="dxa"/>
          </w:tcPr>
          <w:p w14:paraId="115FA1D7" w14:textId="177E96A6" w:rsidR="0032583B" w:rsidRPr="008E7846" w:rsidRDefault="0032583B" w:rsidP="0032583B">
            <w:pPr>
              <w:pStyle w:val="Subtitle"/>
              <w:rPr>
                <w:color w:val="FFFFFF" w:themeColor="background1"/>
              </w:rPr>
            </w:pPr>
            <w:r w:rsidRPr="008E7846">
              <w:rPr>
                <w:color w:val="FFFFFF" w:themeColor="background1"/>
              </w:rPr>
              <w:t>Sponsor</w:t>
            </w:r>
            <w:r w:rsidRPr="004C4DBD">
              <w:rPr>
                <w:color w:val="FFFFFF" w:themeColor="background1"/>
              </w:rPr>
              <w:t xml:space="preserve">: </w:t>
            </w:r>
            <w:r w:rsidR="003D2185" w:rsidRPr="004C4DBD">
              <w:rPr>
                <w:color w:val="FFFFFF" w:themeColor="background1"/>
              </w:rPr>
              <w:t>A</w:t>
            </w:r>
            <w:r w:rsidR="003D2185" w:rsidRPr="003D2185">
              <w:rPr>
                <w:color w:val="FFFFFF" w:themeColor="background1"/>
              </w:rPr>
              <w:t>mgen Australia Pty Ltd</w:t>
            </w:r>
          </w:p>
        </w:tc>
      </w:tr>
    </w:tbl>
    <w:p w14:paraId="027CAB7A" w14:textId="77777777" w:rsidR="008E7846" w:rsidRPr="0085156D" w:rsidRDefault="008E7846" w:rsidP="0085156D">
      <w:r w:rsidRPr="0085156D">
        <w:br w:type="page"/>
      </w:r>
    </w:p>
    <w:p w14:paraId="03CB1CE6" w14:textId="77777777" w:rsidR="008E7846" w:rsidRPr="001F6CBA" w:rsidRDefault="008E7846" w:rsidP="008E7846">
      <w:pPr>
        <w:pStyle w:val="NonTOCHeading2"/>
      </w:pPr>
      <w:r w:rsidRPr="001F6CBA">
        <w:lastRenderedPageBreak/>
        <w:t>About the Therapeutic Goods Administration (TGA)</w:t>
      </w:r>
    </w:p>
    <w:p w14:paraId="2220522A" w14:textId="77777777" w:rsidR="008E7846" w:rsidRDefault="008E7846" w:rsidP="008674E2">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4CFCDEFA" w14:textId="77777777" w:rsidR="008E7846" w:rsidRDefault="00C80137" w:rsidP="008674E2">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1C030396" w14:textId="77777777" w:rsidR="008E7846" w:rsidRDefault="008E7846" w:rsidP="008674E2">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3AAD5CB9" w14:textId="77777777" w:rsidR="008E7846" w:rsidRDefault="008E7846" w:rsidP="008674E2">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27CAE6C5" w14:textId="50E392DA" w:rsidR="00441C3F" w:rsidRDefault="008E7846" w:rsidP="008674E2">
      <w:pPr>
        <w:pStyle w:val="ListBullet"/>
        <w:numPr>
          <w:ilvl w:val="0"/>
          <w:numId w:val="1"/>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14:paraId="2E03EAEF" w14:textId="77777777" w:rsidR="008E7846" w:rsidRDefault="008E7846" w:rsidP="00875A6B">
      <w:pPr>
        <w:pStyle w:val="NonTOCHeading2"/>
      </w:pPr>
      <w:r>
        <w:t>About AusPARs</w:t>
      </w:r>
    </w:p>
    <w:p w14:paraId="6758A4B8" w14:textId="77777777" w:rsidR="008E7846" w:rsidRDefault="008E7846" w:rsidP="008674E2">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4EB41523" w14:textId="77777777" w:rsidR="008E7846" w:rsidRDefault="008E7846" w:rsidP="008674E2">
      <w:pPr>
        <w:pStyle w:val="ListBullet"/>
        <w:numPr>
          <w:ilvl w:val="0"/>
          <w:numId w:val="1"/>
        </w:numPr>
        <w:ind w:left="357" w:hanging="357"/>
      </w:pPr>
      <w:r>
        <w:t>AusPARs are prepared and published by the TGA.</w:t>
      </w:r>
    </w:p>
    <w:p w14:paraId="6D9BC7F0" w14:textId="77777777" w:rsidR="008E7846" w:rsidRDefault="008E7846" w:rsidP="008674E2">
      <w:pPr>
        <w:pStyle w:val="ListBullet"/>
        <w:numPr>
          <w:ilvl w:val="0"/>
          <w:numId w:val="1"/>
        </w:numPr>
        <w:ind w:left="357" w:hanging="357"/>
      </w:pPr>
      <w:r>
        <w:t>An AusPAR is prepared for submissions that relate to new chemical entities, generic medicines, major variations and extensions of indications.</w:t>
      </w:r>
    </w:p>
    <w:p w14:paraId="0C52356E" w14:textId="77777777" w:rsidR="008E7846" w:rsidRDefault="008E7846" w:rsidP="008674E2">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48D87E86" w14:textId="77777777" w:rsidR="00B452CE" w:rsidRDefault="008E7846" w:rsidP="008674E2">
      <w:pPr>
        <w:pStyle w:val="ListBullet"/>
        <w:numPr>
          <w:ilvl w:val="0"/>
          <w:numId w:val="1"/>
        </w:numPr>
        <w:ind w:left="357" w:hanging="357"/>
      </w:pPr>
      <w:r>
        <w:t>A new AusPAR will be developed to reflect changes to indications and/or major variations to a prescription medicine subject to evaluation by the TGA.</w:t>
      </w:r>
    </w:p>
    <w:p w14:paraId="347AB20C" w14:textId="77777777" w:rsidR="00924482" w:rsidRPr="00DF1D7F" w:rsidRDefault="00924482" w:rsidP="00F54B65">
      <w:pPr>
        <w:pStyle w:val="LegalSubheading"/>
        <w:spacing w:before="3120"/>
      </w:pPr>
      <w:r w:rsidRPr="00DF1D7F">
        <w:t>Copyright</w:t>
      </w:r>
    </w:p>
    <w:p w14:paraId="620D4841" w14:textId="61AE00C3" w:rsidR="00924482" w:rsidRDefault="00924482" w:rsidP="00924482">
      <w:pPr>
        <w:pStyle w:val="LegalCopy"/>
      </w:pPr>
      <w:r w:rsidRPr="00191B3B">
        <w:rPr>
          <w:rFonts w:cs="Arial"/>
          <w:lang w:val="en-GB"/>
        </w:rPr>
        <w:t>© Comm</w:t>
      </w:r>
      <w:r>
        <w:rPr>
          <w:rFonts w:cs="Arial"/>
          <w:lang w:val="en-GB"/>
        </w:rPr>
        <w:t>onwealth of Australia 201</w:t>
      </w:r>
      <w:r w:rsidR="00031B12">
        <w:rPr>
          <w:rFonts w:cs="Arial"/>
          <w:lang w:val="en-GB"/>
        </w:rPr>
        <w:t>9</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14:paraId="3299D3E9" w14:textId="77777777" w:rsidR="00924482" w:rsidRDefault="00924482" w:rsidP="00924482">
      <w:pPr>
        <w:pStyle w:val="LegalCopy"/>
        <w:sectPr w:rsidR="00924482" w:rsidSect="003D1E62">
          <w:headerReference w:type="even" r:id="rId11"/>
          <w:headerReference w:type="default" r:id="rId12"/>
          <w:footerReference w:type="even" r:id="rId13"/>
          <w:footerReference w:type="default" r:id="rId14"/>
          <w:headerReference w:type="first" r:id="rId15"/>
          <w:footerReference w:type="first" r:id="rId16"/>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52635381" w14:textId="77777777" w:rsidR="0089635C" w:rsidRPr="0089635C" w:rsidRDefault="0089635C" w:rsidP="0010788A">
          <w:pPr>
            <w:pStyle w:val="Contents"/>
          </w:pPr>
          <w:r w:rsidRPr="0010788A">
            <w:t>Con</w:t>
          </w:r>
          <w:bookmarkStart w:id="2" w:name="_GoBack"/>
          <w:bookmarkEnd w:id="2"/>
          <w:r w:rsidRPr="0010788A">
            <w:t>tents</w:t>
          </w:r>
        </w:p>
        <w:p w14:paraId="704D936B" w14:textId="1DC0C5E2" w:rsidR="005E3131"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22198166" w:history="1">
            <w:r w:rsidR="005E3131" w:rsidRPr="001C747B">
              <w:rPr>
                <w:rStyle w:val="Hyperlink"/>
                <w:noProof/>
              </w:rPr>
              <w:t>Common abbreviations</w:t>
            </w:r>
            <w:r w:rsidR="005E3131">
              <w:rPr>
                <w:noProof/>
                <w:webHidden/>
              </w:rPr>
              <w:tab/>
            </w:r>
            <w:r w:rsidR="005E3131">
              <w:rPr>
                <w:noProof/>
                <w:webHidden/>
              </w:rPr>
              <w:fldChar w:fldCharType="begin"/>
            </w:r>
            <w:r w:rsidR="005E3131">
              <w:rPr>
                <w:noProof/>
                <w:webHidden/>
              </w:rPr>
              <w:instrText xml:space="preserve"> PAGEREF _Toc22198166 \h </w:instrText>
            </w:r>
            <w:r w:rsidR="005E3131">
              <w:rPr>
                <w:noProof/>
                <w:webHidden/>
              </w:rPr>
            </w:r>
            <w:r w:rsidR="005E3131">
              <w:rPr>
                <w:noProof/>
                <w:webHidden/>
              </w:rPr>
              <w:fldChar w:fldCharType="separate"/>
            </w:r>
            <w:r w:rsidR="005E3131">
              <w:rPr>
                <w:noProof/>
                <w:webHidden/>
              </w:rPr>
              <w:t>4</w:t>
            </w:r>
            <w:r w:rsidR="005E3131">
              <w:rPr>
                <w:noProof/>
                <w:webHidden/>
              </w:rPr>
              <w:fldChar w:fldCharType="end"/>
            </w:r>
          </w:hyperlink>
        </w:p>
        <w:p w14:paraId="6B1D5B3E" w14:textId="6A0D4622" w:rsidR="005E3131" w:rsidRDefault="005E3131">
          <w:pPr>
            <w:pStyle w:val="TOC2"/>
            <w:rPr>
              <w:rFonts w:asciiTheme="minorHAnsi" w:eastAsiaTheme="minorEastAsia" w:hAnsiTheme="minorHAnsi" w:cstheme="minorBidi"/>
              <w:b w:val="0"/>
              <w:noProof/>
              <w:sz w:val="22"/>
              <w:lang w:eastAsia="en-AU"/>
            </w:rPr>
          </w:pPr>
          <w:hyperlink w:anchor="_Toc22198167" w:history="1">
            <w:r w:rsidRPr="001C747B">
              <w:rPr>
                <w:rStyle w:val="Hyperlink"/>
                <w:noProof/>
              </w:rPr>
              <w:t>I. Introduction to product submission</w:t>
            </w:r>
            <w:r>
              <w:rPr>
                <w:noProof/>
                <w:webHidden/>
              </w:rPr>
              <w:tab/>
            </w:r>
            <w:r>
              <w:rPr>
                <w:noProof/>
                <w:webHidden/>
              </w:rPr>
              <w:fldChar w:fldCharType="begin"/>
            </w:r>
            <w:r>
              <w:rPr>
                <w:noProof/>
                <w:webHidden/>
              </w:rPr>
              <w:instrText xml:space="preserve"> PAGEREF _Toc22198167 \h </w:instrText>
            </w:r>
            <w:r>
              <w:rPr>
                <w:noProof/>
                <w:webHidden/>
              </w:rPr>
            </w:r>
            <w:r>
              <w:rPr>
                <w:noProof/>
                <w:webHidden/>
              </w:rPr>
              <w:fldChar w:fldCharType="separate"/>
            </w:r>
            <w:r>
              <w:rPr>
                <w:noProof/>
                <w:webHidden/>
              </w:rPr>
              <w:t>7</w:t>
            </w:r>
            <w:r>
              <w:rPr>
                <w:noProof/>
                <w:webHidden/>
              </w:rPr>
              <w:fldChar w:fldCharType="end"/>
            </w:r>
          </w:hyperlink>
        </w:p>
        <w:p w14:paraId="60423E9A" w14:textId="2F3AF067" w:rsidR="005E3131" w:rsidRDefault="005E3131">
          <w:pPr>
            <w:pStyle w:val="TOC3"/>
            <w:rPr>
              <w:rFonts w:asciiTheme="minorHAnsi" w:eastAsiaTheme="minorEastAsia" w:hAnsiTheme="minorHAnsi" w:cstheme="minorBidi"/>
              <w:noProof/>
              <w:lang w:eastAsia="en-AU"/>
            </w:rPr>
          </w:pPr>
          <w:hyperlink w:anchor="_Toc22198168" w:history="1">
            <w:r w:rsidRPr="001C747B">
              <w:rPr>
                <w:rStyle w:val="Hyperlink"/>
                <w:noProof/>
                <w:lang w:eastAsia="en-AU"/>
              </w:rPr>
              <w:t>Submission details</w:t>
            </w:r>
            <w:r>
              <w:rPr>
                <w:noProof/>
                <w:webHidden/>
              </w:rPr>
              <w:tab/>
            </w:r>
            <w:r>
              <w:rPr>
                <w:noProof/>
                <w:webHidden/>
              </w:rPr>
              <w:fldChar w:fldCharType="begin"/>
            </w:r>
            <w:r>
              <w:rPr>
                <w:noProof/>
                <w:webHidden/>
              </w:rPr>
              <w:instrText xml:space="preserve"> PAGEREF _Toc22198168 \h </w:instrText>
            </w:r>
            <w:r>
              <w:rPr>
                <w:noProof/>
                <w:webHidden/>
              </w:rPr>
            </w:r>
            <w:r>
              <w:rPr>
                <w:noProof/>
                <w:webHidden/>
              </w:rPr>
              <w:fldChar w:fldCharType="separate"/>
            </w:r>
            <w:r>
              <w:rPr>
                <w:noProof/>
                <w:webHidden/>
              </w:rPr>
              <w:t>7</w:t>
            </w:r>
            <w:r>
              <w:rPr>
                <w:noProof/>
                <w:webHidden/>
              </w:rPr>
              <w:fldChar w:fldCharType="end"/>
            </w:r>
          </w:hyperlink>
        </w:p>
        <w:p w14:paraId="68687522" w14:textId="35737B86" w:rsidR="005E3131" w:rsidRDefault="005E3131">
          <w:pPr>
            <w:pStyle w:val="TOC3"/>
            <w:rPr>
              <w:rFonts w:asciiTheme="minorHAnsi" w:eastAsiaTheme="minorEastAsia" w:hAnsiTheme="minorHAnsi" w:cstheme="minorBidi"/>
              <w:noProof/>
              <w:lang w:eastAsia="en-AU"/>
            </w:rPr>
          </w:pPr>
          <w:hyperlink w:anchor="_Toc22198169" w:history="1">
            <w:r w:rsidRPr="001C747B">
              <w:rPr>
                <w:rStyle w:val="Hyperlink"/>
                <w:noProof/>
              </w:rPr>
              <w:t>Product background</w:t>
            </w:r>
            <w:r>
              <w:rPr>
                <w:noProof/>
                <w:webHidden/>
              </w:rPr>
              <w:tab/>
            </w:r>
            <w:r>
              <w:rPr>
                <w:noProof/>
                <w:webHidden/>
              </w:rPr>
              <w:fldChar w:fldCharType="begin"/>
            </w:r>
            <w:r>
              <w:rPr>
                <w:noProof/>
                <w:webHidden/>
              </w:rPr>
              <w:instrText xml:space="preserve"> PAGEREF _Toc22198169 \h </w:instrText>
            </w:r>
            <w:r>
              <w:rPr>
                <w:noProof/>
                <w:webHidden/>
              </w:rPr>
            </w:r>
            <w:r>
              <w:rPr>
                <w:noProof/>
                <w:webHidden/>
              </w:rPr>
              <w:fldChar w:fldCharType="separate"/>
            </w:r>
            <w:r>
              <w:rPr>
                <w:noProof/>
                <w:webHidden/>
              </w:rPr>
              <w:t>7</w:t>
            </w:r>
            <w:r>
              <w:rPr>
                <w:noProof/>
                <w:webHidden/>
              </w:rPr>
              <w:fldChar w:fldCharType="end"/>
            </w:r>
          </w:hyperlink>
        </w:p>
        <w:p w14:paraId="0A62755E" w14:textId="0109EC6A" w:rsidR="005E3131" w:rsidRDefault="005E3131">
          <w:pPr>
            <w:pStyle w:val="TOC3"/>
            <w:rPr>
              <w:rFonts w:asciiTheme="minorHAnsi" w:eastAsiaTheme="minorEastAsia" w:hAnsiTheme="minorHAnsi" w:cstheme="minorBidi"/>
              <w:noProof/>
              <w:lang w:eastAsia="en-AU"/>
            </w:rPr>
          </w:pPr>
          <w:hyperlink w:anchor="_Toc22198170" w:history="1">
            <w:r w:rsidRPr="001C747B">
              <w:rPr>
                <w:rStyle w:val="Hyperlink"/>
                <w:noProof/>
              </w:rPr>
              <w:t>Regulatory status</w:t>
            </w:r>
            <w:r>
              <w:rPr>
                <w:noProof/>
                <w:webHidden/>
              </w:rPr>
              <w:tab/>
            </w:r>
            <w:r>
              <w:rPr>
                <w:noProof/>
                <w:webHidden/>
              </w:rPr>
              <w:fldChar w:fldCharType="begin"/>
            </w:r>
            <w:r>
              <w:rPr>
                <w:noProof/>
                <w:webHidden/>
              </w:rPr>
              <w:instrText xml:space="preserve"> PAGEREF _Toc22198170 \h </w:instrText>
            </w:r>
            <w:r>
              <w:rPr>
                <w:noProof/>
                <w:webHidden/>
              </w:rPr>
            </w:r>
            <w:r>
              <w:rPr>
                <w:noProof/>
                <w:webHidden/>
              </w:rPr>
              <w:fldChar w:fldCharType="separate"/>
            </w:r>
            <w:r>
              <w:rPr>
                <w:noProof/>
                <w:webHidden/>
              </w:rPr>
              <w:t>8</w:t>
            </w:r>
            <w:r>
              <w:rPr>
                <w:noProof/>
                <w:webHidden/>
              </w:rPr>
              <w:fldChar w:fldCharType="end"/>
            </w:r>
          </w:hyperlink>
        </w:p>
        <w:p w14:paraId="7E3D4CB8" w14:textId="72ECEBAC" w:rsidR="005E3131" w:rsidRDefault="005E3131">
          <w:pPr>
            <w:pStyle w:val="TOC3"/>
            <w:rPr>
              <w:rFonts w:asciiTheme="minorHAnsi" w:eastAsiaTheme="minorEastAsia" w:hAnsiTheme="minorHAnsi" w:cstheme="minorBidi"/>
              <w:noProof/>
              <w:lang w:eastAsia="en-AU"/>
            </w:rPr>
          </w:pPr>
          <w:hyperlink w:anchor="_Toc22198171" w:history="1">
            <w:r w:rsidRPr="001C747B">
              <w:rPr>
                <w:rStyle w:val="Hyperlink"/>
                <w:noProof/>
              </w:rPr>
              <w:t>Product Information</w:t>
            </w:r>
            <w:r>
              <w:rPr>
                <w:noProof/>
                <w:webHidden/>
              </w:rPr>
              <w:tab/>
            </w:r>
            <w:r>
              <w:rPr>
                <w:noProof/>
                <w:webHidden/>
              </w:rPr>
              <w:fldChar w:fldCharType="begin"/>
            </w:r>
            <w:r>
              <w:rPr>
                <w:noProof/>
                <w:webHidden/>
              </w:rPr>
              <w:instrText xml:space="preserve"> PAGEREF _Toc22198171 \h </w:instrText>
            </w:r>
            <w:r>
              <w:rPr>
                <w:noProof/>
                <w:webHidden/>
              </w:rPr>
            </w:r>
            <w:r>
              <w:rPr>
                <w:noProof/>
                <w:webHidden/>
              </w:rPr>
              <w:fldChar w:fldCharType="separate"/>
            </w:r>
            <w:r>
              <w:rPr>
                <w:noProof/>
                <w:webHidden/>
              </w:rPr>
              <w:t>10</w:t>
            </w:r>
            <w:r>
              <w:rPr>
                <w:noProof/>
                <w:webHidden/>
              </w:rPr>
              <w:fldChar w:fldCharType="end"/>
            </w:r>
          </w:hyperlink>
        </w:p>
        <w:p w14:paraId="10B52A2E" w14:textId="281FF607" w:rsidR="005E3131" w:rsidRDefault="005E3131">
          <w:pPr>
            <w:pStyle w:val="TOC2"/>
            <w:rPr>
              <w:rFonts w:asciiTheme="minorHAnsi" w:eastAsiaTheme="minorEastAsia" w:hAnsiTheme="minorHAnsi" w:cstheme="minorBidi"/>
              <w:b w:val="0"/>
              <w:noProof/>
              <w:sz w:val="22"/>
              <w:lang w:eastAsia="en-AU"/>
            </w:rPr>
          </w:pPr>
          <w:hyperlink w:anchor="_Toc22198172" w:history="1">
            <w:r w:rsidRPr="001C747B">
              <w:rPr>
                <w:rStyle w:val="Hyperlink"/>
                <w:noProof/>
              </w:rPr>
              <w:t>II. Registration time line</w:t>
            </w:r>
            <w:r>
              <w:rPr>
                <w:noProof/>
                <w:webHidden/>
              </w:rPr>
              <w:tab/>
            </w:r>
            <w:r>
              <w:rPr>
                <w:noProof/>
                <w:webHidden/>
              </w:rPr>
              <w:fldChar w:fldCharType="begin"/>
            </w:r>
            <w:r>
              <w:rPr>
                <w:noProof/>
                <w:webHidden/>
              </w:rPr>
              <w:instrText xml:space="preserve"> PAGEREF _Toc22198172 \h </w:instrText>
            </w:r>
            <w:r>
              <w:rPr>
                <w:noProof/>
                <w:webHidden/>
              </w:rPr>
            </w:r>
            <w:r>
              <w:rPr>
                <w:noProof/>
                <w:webHidden/>
              </w:rPr>
              <w:fldChar w:fldCharType="separate"/>
            </w:r>
            <w:r>
              <w:rPr>
                <w:noProof/>
                <w:webHidden/>
              </w:rPr>
              <w:t>10</w:t>
            </w:r>
            <w:r>
              <w:rPr>
                <w:noProof/>
                <w:webHidden/>
              </w:rPr>
              <w:fldChar w:fldCharType="end"/>
            </w:r>
          </w:hyperlink>
        </w:p>
        <w:p w14:paraId="111FD997" w14:textId="5CCC5B07" w:rsidR="005E3131" w:rsidRDefault="005E3131">
          <w:pPr>
            <w:pStyle w:val="TOC2"/>
            <w:rPr>
              <w:rFonts w:asciiTheme="minorHAnsi" w:eastAsiaTheme="minorEastAsia" w:hAnsiTheme="minorHAnsi" w:cstheme="minorBidi"/>
              <w:b w:val="0"/>
              <w:noProof/>
              <w:sz w:val="22"/>
              <w:lang w:eastAsia="en-AU"/>
            </w:rPr>
          </w:pPr>
          <w:hyperlink w:anchor="_Toc22198173" w:history="1">
            <w:r w:rsidRPr="001C747B">
              <w:rPr>
                <w:rStyle w:val="Hyperlink"/>
                <w:noProof/>
              </w:rPr>
              <w:t>III. Quality findings</w:t>
            </w:r>
            <w:r>
              <w:rPr>
                <w:noProof/>
                <w:webHidden/>
              </w:rPr>
              <w:tab/>
            </w:r>
            <w:r>
              <w:rPr>
                <w:noProof/>
                <w:webHidden/>
              </w:rPr>
              <w:fldChar w:fldCharType="begin"/>
            </w:r>
            <w:r>
              <w:rPr>
                <w:noProof/>
                <w:webHidden/>
              </w:rPr>
              <w:instrText xml:space="preserve"> PAGEREF _Toc22198173 \h </w:instrText>
            </w:r>
            <w:r>
              <w:rPr>
                <w:noProof/>
                <w:webHidden/>
              </w:rPr>
            </w:r>
            <w:r>
              <w:rPr>
                <w:noProof/>
                <w:webHidden/>
              </w:rPr>
              <w:fldChar w:fldCharType="separate"/>
            </w:r>
            <w:r>
              <w:rPr>
                <w:noProof/>
                <w:webHidden/>
              </w:rPr>
              <w:t>10</w:t>
            </w:r>
            <w:r>
              <w:rPr>
                <w:noProof/>
                <w:webHidden/>
              </w:rPr>
              <w:fldChar w:fldCharType="end"/>
            </w:r>
          </w:hyperlink>
        </w:p>
        <w:p w14:paraId="0DEB3626" w14:textId="7839B0BB" w:rsidR="005E3131" w:rsidRDefault="005E3131">
          <w:pPr>
            <w:pStyle w:val="TOC2"/>
            <w:rPr>
              <w:rFonts w:asciiTheme="minorHAnsi" w:eastAsiaTheme="minorEastAsia" w:hAnsiTheme="minorHAnsi" w:cstheme="minorBidi"/>
              <w:b w:val="0"/>
              <w:noProof/>
              <w:sz w:val="22"/>
              <w:lang w:eastAsia="en-AU"/>
            </w:rPr>
          </w:pPr>
          <w:hyperlink w:anchor="_Toc22198174" w:history="1">
            <w:r w:rsidRPr="001C747B">
              <w:rPr>
                <w:rStyle w:val="Hyperlink"/>
                <w:noProof/>
              </w:rPr>
              <w:t>IV. Nonclinical findings</w:t>
            </w:r>
            <w:r>
              <w:rPr>
                <w:noProof/>
                <w:webHidden/>
              </w:rPr>
              <w:tab/>
            </w:r>
            <w:r>
              <w:rPr>
                <w:noProof/>
                <w:webHidden/>
              </w:rPr>
              <w:fldChar w:fldCharType="begin"/>
            </w:r>
            <w:r>
              <w:rPr>
                <w:noProof/>
                <w:webHidden/>
              </w:rPr>
              <w:instrText xml:space="preserve"> PAGEREF _Toc22198174 \h </w:instrText>
            </w:r>
            <w:r>
              <w:rPr>
                <w:noProof/>
                <w:webHidden/>
              </w:rPr>
            </w:r>
            <w:r>
              <w:rPr>
                <w:noProof/>
                <w:webHidden/>
              </w:rPr>
              <w:fldChar w:fldCharType="separate"/>
            </w:r>
            <w:r>
              <w:rPr>
                <w:noProof/>
                <w:webHidden/>
              </w:rPr>
              <w:t>10</w:t>
            </w:r>
            <w:r>
              <w:rPr>
                <w:noProof/>
                <w:webHidden/>
              </w:rPr>
              <w:fldChar w:fldCharType="end"/>
            </w:r>
          </w:hyperlink>
        </w:p>
        <w:p w14:paraId="1388FD70" w14:textId="7BF644C3" w:rsidR="005E3131" w:rsidRDefault="005E3131">
          <w:pPr>
            <w:pStyle w:val="TOC2"/>
            <w:rPr>
              <w:rFonts w:asciiTheme="minorHAnsi" w:eastAsiaTheme="minorEastAsia" w:hAnsiTheme="minorHAnsi" w:cstheme="minorBidi"/>
              <w:b w:val="0"/>
              <w:noProof/>
              <w:sz w:val="22"/>
              <w:lang w:eastAsia="en-AU"/>
            </w:rPr>
          </w:pPr>
          <w:hyperlink w:anchor="_Toc22198175" w:history="1">
            <w:r w:rsidRPr="001C747B">
              <w:rPr>
                <w:rStyle w:val="Hyperlink"/>
                <w:noProof/>
              </w:rPr>
              <w:t>V. Clinical findings</w:t>
            </w:r>
            <w:r>
              <w:rPr>
                <w:noProof/>
                <w:webHidden/>
              </w:rPr>
              <w:tab/>
            </w:r>
            <w:r>
              <w:rPr>
                <w:noProof/>
                <w:webHidden/>
              </w:rPr>
              <w:fldChar w:fldCharType="begin"/>
            </w:r>
            <w:r>
              <w:rPr>
                <w:noProof/>
                <w:webHidden/>
              </w:rPr>
              <w:instrText xml:space="preserve"> PAGEREF _Toc22198175 \h </w:instrText>
            </w:r>
            <w:r>
              <w:rPr>
                <w:noProof/>
                <w:webHidden/>
              </w:rPr>
            </w:r>
            <w:r>
              <w:rPr>
                <w:noProof/>
                <w:webHidden/>
              </w:rPr>
              <w:fldChar w:fldCharType="separate"/>
            </w:r>
            <w:r>
              <w:rPr>
                <w:noProof/>
                <w:webHidden/>
              </w:rPr>
              <w:t>11</w:t>
            </w:r>
            <w:r>
              <w:rPr>
                <w:noProof/>
                <w:webHidden/>
              </w:rPr>
              <w:fldChar w:fldCharType="end"/>
            </w:r>
          </w:hyperlink>
        </w:p>
        <w:p w14:paraId="096F7CEB" w14:textId="5FE6C16E" w:rsidR="005E3131" w:rsidRDefault="005E3131">
          <w:pPr>
            <w:pStyle w:val="TOC3"/>
            <w:rPr>
              <w:rFonts w:asciiTheme="minorHAnsi" w:eastAsiaTheme="minorEastAsia" w:hAnsiTheme="minorHAnsi" w:cstheme="minorBidi"/>
              <w:noProof/>
              <w:lang w:eastAsia="en-AU"/>
            </w:rPr>
          </w:pPr>
          <w:hyperlink w:anchor="_Toc22198176" w:history="1">
            <w:r w:rsidRPr="001C747B">
              <w:rPr>
                <w:rStyle w:val="Hyperlink"/>
                <w:noProof/>
              </w:rPr>
              <w:t>Introduction</w:t>
            </w:r>
            <w:r>
              <w:rPr>
                <w:noProof/>
                <w:webHidden/>
              </w:rPr>
              <w:tab/>
            </w:r>
            <w:r>
              <w:rPr>
                <w:noProof/>
                <w:webHidden/>
              </w:rPr>
              <w:fldChar w:fldCharType="begin"/>
            </w:r>
            <w:r>
              <w:rPr>
                <w:noProof/>
                <w:webHidden/>
              </w:rPr>
              <w:instrText xml:space="preserve"> PAGEREF _Toc22198176 \h </w:instrText>
            </w:r>
            <w:r>
              <w:rPr>
                <w:noProof/>
                <w:webHidden/>
              </w:rPr>
            </w:r>
            <w:r>
              <w:rPr>
                <w:noProof/>
                <w:webHidden/>
              </w:rPr>
              <w:fldChar w:fldCharType="separate"/>
            </w:r>
            <w:r>
              <w:rPr>
                <w:noProof/>
                <w:webHidden/>
              </w:rPr>
              <w:t>11</w:t>
            </w:r>
            <w:r>
              <w:rPr>
                <w:noProof/>
                <w:webHidden/>
              </w:rPr>
              <w:fldChar w:fldCharType="end"/>
            </w:r>
          </w:hyperlink>
        </w:p>
        <w:p w14:paraId="151804F0" w14:textId="2ED9B8ED" w:rsidR="005E3131" w:rsidRDefault="005E3131">
          <w:pPr>
            <w:pStyle w:val="TOC3"/>
            <w:rPr>
              <w:rFonts w:asciiTheme="minorHAnsi" w:eastAsiaTheme="minorEastAsia" w:hAnsiTheme="minorHAnsi" w:cstheme="minorBidi"/>
              <w:noProof/>
              <w:lang w:eastAsia="en-AU"/>
            </w:rPr>
          </w:pPr>
          <w:hyperlink w:anchor="_Toc22198177" w:history="1">
            <w:r w:rsidRPr="001C747B">
              <w:rPr>
                <w:rStyle w:val="Hyperlink"/>
                <w:noProof/>
              </w:rPr>
              <w:t>Pharmacokinetics</w:t>
            </w:r>
            <w:r>
              <w:rPr>
                <w:noProof/>
                <w:webHidden/>
              </w:rPr>
              <w:tab/>
            </w:r>
            <w:r>
              <w:rPr>
                <w:noProof/>
                <w:webHidden/>
              </w:rPr>
              <w:fldChar w:fldCharType="begin"/>
            </w:r>
            <w:r>
              <w:rPr>
                <w:noProof/>
                <w:webHidden/>
              </w:rPr>
              <w:instrText xml:space="preserve"> PAGEREF _Toc22198177 \h </w:instrText>
            </w:r>
            <w:r>
              <w:rPr>
                <w:noProof/>
                <w:webHidden/>
              </w:rPr>
            </w:r>
            <w:r>
              <w:rPr>
                <w:noProof/>
                <w:webHidden/>
              </w:rPr>
              <w:fldChar w:fldCharType="separate"/>
            </w:r>
            <w:r>
              <w:rPr>
                <w:noProof/>
                <w:webHidden/>
              </w:rPr>
              <w:t>13</w:t>
            </w:r>
            <w:r>
              <w:rPr>
                <w:noProof/>
                <w:webHidden/>
              </w:rPr>
              <w:fldChar w:fldCharType="end"/>
            </w:r>
          </w:hyperlink>
        </w:p>
        <w:p w14:paraId="55821C31" w14:textId="5BACBE73" w:rsidR="005E3131" w:rsidRDefault="005E3131">
          <w:pPr>
            <w:pStyle w:val="TOC3"/>
            <w:rPr>
              <w:rFonts w:asciiTheme="minorHAnsi" w:eastAsiaTheme="minorEastAsia" w:hAnsiTheme="minorHAnsi" w:cstheme="minorBidi"/>
              <w:noProof/>
              <w:lang w:eastAsia="en-AU"/>
            </w:rPr>
          </w:pPr>
          <w:hyperlink w:anchor="_Toc22198178" w:history="1">
            <w:r w:rsidRPr="001C747B">
              <w:rPr>
                <w:rStyle w:val="Hyperlink"/>
                <w:noProof/>
              </w:rPr>
              <w:t>Pharmacodynamics</w:t>
            </w:r>
            <w:r>
              <w:rPr>
                <w:noProof/>
                <w:webHidden/>
              </w:rPr>
              <w:tab/>
            </w:r>
            <w:r>
              <w:rPr>
                <w:noProof/>
                <w:webHidden/>
              </w:rPr>
              <w:fldChar w:fldCharType="begin"/>
            </w:r>
            <w:r>
              <w:rPr>
                <w:noProof/>
                <w:webHidden/>
              </w:rPr>
              <w:instrText xml:space="preserve"> PAGEREF _Toc22198178 \h </w:instrText>
            </w:r>
            <w:r>
              <w:rPr>
                <w:noProof/>
                <w:webHidden/>
              </w:rPr>
            </w:r>
            <w:r>
              <w:rPr>
                <w:noProof/>
                <w:webHidden/>
              </w:rPr>
              <w:fldChar w:fldCharType="separate"/>
            </w:r>
            <w:r>
              <w:rPr>
                <w:noProof/>
                <w:webHidden/>
              </w:rPr>
              <w:t>14</w:t>
            </w:r>
            <w:r>
              <w:rPr>
                <w:noProof/>
                <w:webHidden/>
              </w:rPr>
              <w:fldChar w:fldCharType="end"/>
            </w:r>
          </w:hyperlink>
        </w:p>
        <w:p w14:paraId="7B8055B2" w14:textId="5EE3B9B7" w:rsidR="005E3131" w:rsidRDefault="005E3131">
          <w:pPr>
            <w:pStyle w:val="TOC3"/>
            <w:rPr>
              <w:rFonts w:asciiTheme="minorHAnsi" w:eastAsiaTheme="minorEastAsia" w:hAnsiTheme="minorHAnsi" w:cstheme="minorBidi"/>
              <w:noProof/>
              <w:lang w:eastAsia="en-AU"/>
            </w:rPr>
          </w:pPr>
          <w:hyperlink w:anchor="_Toc22198179" w:history="1">
            <w:r w:rsidRPr="001C747B">
              <w:rPr>
                <w:rStyle w:val="Hyperlink"/>
                <w:noProof/>
              </w:rPr>
              <w:t>Dosage selection for the pivotal studies</w:t>
            </w:r>
            <w:r>
              <w:rPr>
                <w:noProof/>
                <w:webHidden/>
              </w:rPr>
              <w:tab/>
            </w:r>
            <w:r>
              <w:rPr>
                <w:noProof/>
                <w:webHidden/>
              </w:rPr>
              <w:fldChar w:fldCharType="begin"/>
            </w:r>
            <w:r>
              <w:rPr>
                <w:noProof/>
                <w:webHidden/>
              </w:rPr>
              <w:instrText xml:space="preserve"> PAGEREF _Toc22198179 \h </w:instrText>
            </w:r>
            <w:r>
              <w:rPr>
                <w:noProof/>
                <w:webHidden/>
              </w:rPr>
            </w:r>
            <w:r>
              <w:rPr>
                <w:noProof/>
                <w:webHidden/>
              </w:rPr>
              <w:fldChar w:fldCharType="separate"/>
            </w:r>
            <w:r>
              <w:rPr>
                <w:noProof/>
                <w:webHidden/>
              </w:rPr>
              <w:t>15</w:t>
            </w:r>
            <w:r>
              <w:rPr>
                <w:noProof/>
                <w:webHidden/>
              </w:rPr>
              <w:fldChar w:fldCharType="end"/>
            </w:r>
          </w:hyperlink>
        </w:p>
        <w:p w14:paraId="05647BF6" w14:textId="0BA3E309" w:rsidR="005E3131" w:rsidRDefault="005E3131">
          <w:pPr>
            <w:pStyle w:val="TOC3"/>
            <w:rPr>
              <w:rFonts w:asciiTheme="minorHAnsi" w:eastAsiaTheme="minorEastAsia" w:hAnsiTheme="minorHAnsi" w:cstheme="minorBidi"/>
              <w:noProof/>
              <w:lang w:eastAsia="en-AU"/>
            </w:rPr>
          </w:pPr>
          <w:hyperlink w:anchor="_Toc22198180" w:history="1">
            <w:r w:rsidRPr="001C747B">
              <w:rPr>
                <w:rStyle w:val="Hyperlink"/>
                <w:noProof/>
              </w:rPr>
              <w:t>Efficacy</w:t>
            </w:r>
            <w:r>
              <w:rPr>
                <w:noProof/>
                <w:webHidden/>
              </w:rPr>
              <w:tab/>
            </w:r>
            <w:r>
              <w:rPr>
                <w:noProof/>
                <w:webHidden/>
              </w:rPr>
              <w:fldChar w:fldCharType="begin"/>
            </w:r>
            <w:r>
              <w:rPr>
                <w:noProof/>
                <w:webHidden/>
              </w:rPr>
              <w:instrText xml:space="preserve"> PAGEREF _Toc22198180 \h </w:instrText>
            </w:r>
            <w:r>
              <w:rPr>
                <w:noProof/>
                <w:webHidden/>
              </w:rPr>
            </w:r>
            <w:r>
              <w:rPr>
                <w:noProof/>
                <w:webHidden/>
              </w:rPr>
              <w:fldChar w:fldCharType="separate"/>
            </w:r>
            <w:r>
              <w:rPr>
                <w:noProof/>
                <w:webHidden/>
              </w:rPr>
              <w:t>15</w:t>
            </w:r>
            <w:r>
              <w:rPr>
                <w:noProof/>
                <w:webHidden/>
              </w:rPr>
              <w:fldChar w:fldCharType="end"/>
            </w:r>
          </w:hyperlink>
        </w:p>
        <w:p w14:paraId="7AF44E3A" w14:textId="5EEFF5C5" w:rsidR="005E3131" w:rsidRDefault="005E3131">
          <w:pPr>
            <w:pStyle w:val="TOC3"/>
            <w:rPr>
              <w:rFonts w:asciiTheme="minorHAnsi" w:eastAsiaTheme="minorEastAsia" w:hAnsiTheme="minorHAnsi" w:cstheme="minorBidi"/>
              <w:noProof/>
              <w:lang w:eastAsia="en-AU"/>
            </w:rPr>
          </w:pPr>
          <w:hyperlink w:anchor="_Toc22198181" w:history="1">
            <w:r w:rsidRPr="001C747B">
              <w:rPr>
                <w:rStyle w:val="Hyperlink"/>
                <w:noProof/>
              </w:rPr>
              <w:t>Safety</w:t>
            </w:r>
            <w:r>
              <w:rPr>
                <w:noProof/>
                <w:webHidden/>
              </w:rPr>
              <w:tab/>
            </w:r>
            <w:r>
              <w:rPr>
                <w:noProof/>
                <w:webHidden/>
              </w:rPr>
              <w:fldChar w:fldCharType="begin"/>
            </w:r>
            <w:r>
              <w:rPr>
                <w:noProof/>
                <w:webHidden/>
              </w:rPr>
              <w:instrText xml:space="preserve"> PAGEREF _Toc22198181 \h </w:instrText>
            </w:r>
            <w:r>
              <w:rPr>
                <w:noProof/>
                <w:webHidden/>
              </w:rPr>
            </w:r>
            <w:r>
              <w:rPr>
                <w:noProof/>
                <w:webHidden/>
              </w:rPr>
              <w:fldChar w:fldCharType="separate"/>
            </w:r>
            <w:r>
              <w:rPr>
                <w:noProof/>
                <w:webHidden/>
              </w:rPr>
              <w:t>18</w:t>
            </w:r>
            <w:r>
              <w:rPr>
                <w:noProof/>
                <w:webHidden/>
              </w:rPr>
              <w:fldChar w:fldCharType="end"/>
            </w:r>
          </w:hyperlink>
        </w:p>
        <w:p w14:paraId="0969FA50" w14:textId="0BEAB436" w:rsidR="005E3131" w:rsidRDefault="005E3131">
          <w:pPr>
            <w:pStyle w:val="TOC3"/>
            <w:rPr>
              <w:rFonts w:asciiTheme="minorHAnsi" w:eastAsiaTheme="minorEastAsia" w:hAnsiTheme="minorHAnsi" w:cstheme="minorBidi"/>
              <w:noProof/>
              <w:lang w:eastAsia="en-AU"/>
            </w:rPr>
          </w:pPr>
          <w:hyperlink w:anchor="_Toc22198182" w:history="1">
            <w:r w:rsidRPr="001C747B">
              <w:rPr>
                <w:rStyle w:val="Hyperlink"/>
                <w:noProof/>
              </w:rPr>
              <w:t>First round benefit-risk assessment</w:t>
            </w:r>
            <w:r>
              <w:rPr>
                <w:noProof/>
                <w:webHidden/>
              </w:rPr>
              <w:tab/>
            </w:r>
            <w:r>
              <w:rPr>
                <w:noProof/>
                <w:webHidden/>
              </w:rPr>
              <w:fldChar w:fldCharType="begin"/>
            </w:r>
            <w:r>
              <w:rPr>
                <w:noProof/>
                <w:webHidden/>
              </w:rPr>
              <w:instrText xml:space="preserve"> PAGEREF _Toc22198182 \h </w:instrText>
            </w:r>
            <w:r>
              <w:rPr>
                <w:noProof/>
                <w:webHidden/>
              </w:rPr>
            </w:r>
            <w:r>
              <w:rPr>
                <w:noProof/>
                <w:webHidden/>
              </w:rPr>
              <w:fldChar w:fldCharType="separate"/>
            </w:r>
            <w:r>
              <w:rPr>
                <w:noProof/>
                <w:webHidden/>
              </w:rPr>
              <w:t>27</w:t>
            </w:r>
            <w:r>
              <w:rPr>
                <w:noProof/>
                <w:webHidden/>
              </w:rPr>
              <w:fldChar w:fldCharType="end"/>
            </w:r>
          </w:hyperlink>
        </w:p>
        <w:p w14:paraId="41B490A0" w14:textId="5B378DAF" w:rsidR="005E3131" w:rsidRDefault="005E3131">
          <w:pPr>
            <w:pStyle w:val="TOC3"/>
            <w:rPr>
              <w:rFonts w:asciiTheme="minorHAnsi" w:eastAsiaTheme="minorEastAsia" w:hAnsiTheme="minorHAnsi" w:cstheme="minorBidi"/>
              <w:noProof/>
              <w:lang w:eastAsia="en-AU"/>
            </w:rPr>
          </w:pPr>
          <w:hyperlink w:anchor="_Toc22198183" w:history="1">
            <w:r w:rsidRPr="001C747B">
              <w:rPr>
                <w:rStyle w:val="Hyperlink"/>
                <w:noProof/>
              </w:rPr>
              <w:t>First round recommendation regarding authorisation</w:t>
            </w:r>
            <w:r>
              <w:rPr>
                <w:noProof/>
                <w:webHidden/>
              </w:rPr>
              <w:tab/>
            </w:r>
            <w:r>
              <w:rPr>
                <w:noProof/>
                <w:webHidden/>
              </w:rPr>
              <w:fldChar w:fldCharType="begin"/>
            </w:r>
            <w:r>
              <w:rPr>
                <w:noProof/>
                <w:webHidden/>
              </w:rPr>
              <w:instrText xml:space="preserve"> PAGEREF _Toc22198183 \h </w:instrText>
            </w:r>
            <w:r>
              <w:rPr>
                <w:noProof/>
                <w:webHidden/>
              </w:rPr>
            </w:r>
            <w:r>
              <w:rPr>
                <w:noProof/>
                <w:webHidden/>
              </w:rPr>
              <w:fldChar w:fldCharType="separate"/>
            </w:r>
            <w:r>
              <w:rPr>
                <w:noProof/>
                <w:webHidden/>
              </w:rPr>
              <w:t>29</w:t>
            </w:r>
            <w:r>
              <w:rPr>
                <w:noProof/>
                <w:webHidden/>
              </w:rPr>
              <w:fldChar w:fldCharType="end"/>
            </w:r>
          </w:hyperlink>
        </w:p>
        <w:p w14:paraId="471D217E" w14:textId="6260A200" w:rsidR="005E3131" w:rsidRDefault="005E3131">
          <w:pPr>
            <w:pStyle w:val="TOC3"/>
            <w:rPr>
              <w:rFonts w:asciiTheme="minorHAnsi" w:eastAsiaTheme="minorEastAsia" w:hAnsiTheme="minorHAnsi" w:cstheme="minorBidi"/>
              <w:noProof/>
              <w:lang w:eastAsia="en-AU"/>
            </w:rPr>
          </w:pPr>
          <w:hyperlink w:anchor="_Toc22198184" w:history="1">
            <w:r w:rsidRPr="001C747B">
              <w:rPr>
                <w:rStyle w:val="Hyperlink"/>
                <w:noProof/>
              </w:rPr>
              <w:t>Second round evaluation</w:t>
            </w:r>
            <w:r>
              <w:rPr>
                <w:noProof/>
                <w:webHidden/>
              </w:rPr>
              <w:tab/>
            </w:r>
            <w:r>
              <w:rPr>
                <w:noProof/>
                <w:webHidden/>
              </w:rPr>
              <w:fldChar w:fldCharType="begin"/>
            </w:r>
            <w:r>
              <w:rPr>
                <w:noProof/>
                <w:webHidden/>
              </w:rPr>
              <w:instrText xml:space="preserve"> PAGEREF _Toc22198184 \h </w:instrText>
            </w:r>
            <w:r>
              <w:rPr>
                <w:noProof/>
                <w:webHidden/>
              </w:rPr>
            </w:r>
            <w:r>
              <w:rPr>
                <w:noProof/>
                <w:webHidden/>
              </w:rPr>
              <w:fldChar w:fldCharType="separate"/>
            </w:r>
            <w:r>
              <w:rPr>
                <w:noProof/>
                <w:webHidden/>
              </w:rPr>
              <w:t>29</w:t>
            </w:r>
            <w:r>
              <w:rPr>
                <w:noProof/>
                <w:webHidden/>
              </w:rPr>
              <w:fldChar w:fldCharType="end"/>
            </w:r>
          </w:hyperlink>
        </w:p>
        <w:p w14:paraId="439AB0AC" w14:textId="7CDC4153" w:rsidR="005E3131" w:rsidRDefault="005E3131">
          <w:pPr>
            <w:pStyle w:val="TOC3"/>
            <w:rPr>
              <w:rFonts w:asciiTheme="minorHAnsi" w:eastAsiaTheme="minorEastAsia" w:hAnsiTheme="minorHAnsi" w:cstheme="minorBidi"/>
              <w:noProof/>
              <w:lang w:eastAsia="en-AU"/>
            </w:rPr>
          </w:pPr>
          <w:hyperlink w:anchor="_Toc22198185" w:history="1">
            <w:r w:rsidRPr="001C747B">
              <w:rPr>
                <w:rStyle w:val="Hyperlink"/>
                <w:noProof/>
              </w:rPr>
              <w:t>Second round benefit-risk assessment</w:t>
            </w:r>
            <w:r>
              <w:rPr>
                <w:noProof/>
                <w:webHidden/>
              </w:rPr>
              <w:tab/>
            </w:r>
            <w:r>
              <w:rPr>
                <w:noProof/>
                <w:webHidden/>
              </w:rPr>
              <w:fldChar w:fldCharType="begin"/>
            </w:r>
            <w:r>
              <w:rPr>
                <w:noProof/>
                <w:webHidden/>
              </w:rPr>
              <w:instrText xml:space="preserve"> PAGEREF _Toc22198185 \h </w:instrText>
            </w:r>
            <w:r>
              <w:rPr>
                <w:noProof/>
                <w:webHidden/>
              </w:rPr>
            </w:r>
            <w:r>
              <w:rPr>
                <w:noProof/>
                <w:webHidden/>
              </w:rPr>
              <w:fldChar w:fldCharType="separate"/>
            </w:r>
            <w:r>
              <w:rPr>
                <w:noProof/>
                <w:webHidden/>
              </w:rPr>
              <w:t>30</w:t>
            </w:r>
            <w:r>
              <w:rPr>
                <w:noProof/>
                <w:webHidden/>
              </w:rPr>
              <w:fldChar w:fldCharType="end"/>
            </w:r>
          </w:hyperlink>
        </w:p>
        <w:p w14:paraId="20787E6B" w14:textId="6D17AEAB" w:rsidR="005E3131" w:rsidRDefault="005E3131">
          <w:pPr>
            <w:pStyle w:val="TOC3"/>
            <w:rPr>
              <w:rFonts w:asciiTheme="minorHAnsi" w:eastAsiaTheme="minorEastAsia" w:hAnsiTheme="minorHAnsi" w:cstheme="minorBidi"/>
              <w:noProof/>
              <w:lang w:eastAsia="en-AU"/>
            </w:rPr>
          </w:pPr>
          <w:hyperlink w:anchor="_Toc22198186" w:history="1">
            <w:r w:rsidRPr="001C747B">
              <w:rPr>
                <w:rStyle w:val="Hyperlink"/>
                <w:noProof/>
              </w:rPr>
              <w:t>Second round recommendation regarding authorisation</w:t>
            </w:r>
            <w:r>
              <w:rPr>
                <w:noProof/>
                <w:webHidden/>
              </w:rPr>
              <w:tab/>
            </w:r>
            <w:r>
              <w:rPr>
                <w:noProof/>
                <w:webHidden/>
              </w:rPr>
              <w:fldChar w:fldCharType="begin"/>
            </w:r>
            <w:r>
              <w:rPr>
                <w:noProof/>
                <w:webHidden/>
              </w:rPr>
              <w:instrText xml:space="preserve"> PAGEREF _Toc22198186 \h </w:instrText>
            </w:r>
            <w:r>
              <w:rPr>
                <w:noProof/>
                <w:webHidden/>
              </w:rPr>
            </w:r>
            <w:r>
              <w:rPr>
                <w:noProof/>
                <w:webHidden/>
              </w:rPr>
              <w:fldChar w:fldCharType="separate"/>
            </w:r>
            <w:r>
              <w:rPr>
                <w:noProof/>
                <w:webHidden/>
              </w:rPr>
              <w:t>30</w:t>
            </w:r>
            <w:r>
              <w:rPr>
                <w:noProof/>
                <w:webHidden/>
              </w:rPr>
              <w:fldChar w:fldCharType="end"/>
            </w:r>
          </w:hyperlink>
        </w:p>
        <w:p w14:paraId="499690BC" w14:textId="557C1669" w:rsidR="005E3131" w:rsidRDefault="005E3131">
          <w:pPr>
            <w:pStyle w:val="TOC2"/>
            <w:rPr>
              <w:rFonts w:asciiTheme="minorHAnsi" w:eastAsiaTheme="minorEastAsia" w:hAnsiTheme="minorHAnsi" w:cstheme="minorBidi"/>
              <w:b w:val="0"/>
              <w:noProof/>
              <w:sz w:val="22"/>
              <w:lang w:eastAsia="en-AU"/>
            </w:rPr>
          </w:pPr>
          <w:hyperlink w:anchor="_Toc22198187" w:history="1">
            <w:r w:rsidRPr="001C747B">
              <w:rPr>
                <w:rStyle w:val="Hyperlink"/>
                <w:noProof/>
              </w:rPr>
              <w:t>VI. Pharmacovigilance findings</w:t>
            </w:r>
            <w:r>
              <w:rPr>
                <w:noProof/>
                <w:webHidden/>
              </w:rPr>
              <w:tab/>
            </w:r>
            <w:r>
              <w:rPr>
                <w:noProof/>
                <w:webHidden/>
              </w:rPr>
              <w:fldChar w:fldCharType="begin"/>
            </w:r>
            <w:r>
              <w:rPr>
                <w:noProof/>
                <w:webHidden/>
              </w:rPr>
              <w:instrText xml:space="preserve"> PAGEREF _Toc22198187 \h </w:instrText>
            </w:r>
            <w:r>
              <w:rPr>
                <w:noProof/>
                <w:webHidden/>
              </w:rPr>
            </w:r>
            <w:r>
              <w:rPr>
                <w:noProof/>
                <w:webHidden/>
              </w:rPr>
              <w:fldChar w:fldCharType="separate"/>
            </w:r>
            <w:r>
              <w:rPr>
                <w:noProof/>
                <w:webHidden/>
              </w:rPr>
              <w:t>30</w:t>
            </w:r>
            <w:r>
              <w:rPr>
                <w:noProof/>
                <w:webHidden/>
              </w:rPr>
              <w:fldChar w:fldCharType="end"/>
            </w:r>
          </w:hyperlink>
        </w:p>
        <w:p w14:paraId="303B492D" w14:textId="722D4A1A" w:rsidR="005E3131" w:rsidRDefault="005E3131">
          <w:pPr>
            <w:pStyle w:val="TOC3"/>
            <w:rPr>
              <w:rFonts w:asciiTheme="minorHAnsi" w:eastAsiaTheme="minorEastAsia" w:hAnsiTheme="minorHAnsi" w:cstheme="minorBidi"/>
              <w:noProof/>
              <w:lang w:eastAsia="en-AU"/>
            </w:rPr>
          </w:pPr>
          <w:hyperlink w:anchor="_Toc22198188" w:history="1">
            <w:r w:rsidRPr="001C747B">
              <w:rPr>
                <w:rStyle w:val="Hyperlink"/>
                <w:noProof/>
                <w:lang w:eastAsia="en-AU"/>
              </w:rPr>
              <w:t>Risk management plan</w:t>
            </w:r>
            <w:r>
              <w:rPr>
                <w:noProof/>
                <w:webHidden/>
              </w:rPr>
              <w:tab/>
            </w:r>
            <w:r>
              <w:rPr>
                <w:noProof/>
                <w:webHidden/>
              </w:rPr>
              <w:fldChar w:fldCharType="begin"/>
            </w:r>
            <w:r>
              <w:rPr>
                <w:noProof/>
                <w:webHidden/>
              </w:rPr>
              <w:instrText xml:space="preserve"> PAGEREF _Toc22198188 \h </w:instrText>
            </w:r>
            <w:r>
              <w:rPr>
                <w:noProof/>
                <w:webHidden/>
              </w:rPr>
            </w:r>
            <w:r>
              <w:rPr>
                <w:noProof/>
                <w:webHidden/>
              </w:rPr>
              <w:fldChar w:fldCharType="separate"/>
            </w:r>
            <w:r>
              <w:rPr>
                <w:noProof/>
                <w:webHidden/>
              </w:rPr>
              <w:t>30</w:t>
            </w:r>
            <w:r>
              <w:rPr>
                <w:noProof/>
                <w:webHidden/>
              </w:rPr>
              <w:fldChar w:fldCharType="end"/>
            </w:r>
          </w:hyperlink>
        </w:p>
        <w:p w14:paraId="6D7304C2" w14:textId="2E2B61E2" w:rsidR="005E3131" w:rsidRDefault="005E3131">
          <w:pPr>
            <w:pStyle w:val="TOC2"/>
            <w:rPr>
              <w:rFonts w:asciiTheme="minorHAnsi" w:eastAsiaTheme="minorEastAsia" w:hAnsiTheme="minorHAnsi" w:cstheme="minorBidi"/>
              <w:b w:val="0"/>
              <w:noProof/>
              <w:sz w:val="22"/>
              <w:lang w:eastAsia="en-AU"/>
            </w:rPr>
          </w:pPr>
          <w:hyperlink w:anchor="_Toc22198189" w:history="1">
            <w:r w:rsidRPr="001C747B">
              <w:rPr>
                <w:rStyle w:val="Hyperlink"/>
                <w:noProof/>
              </w:rPr>
              <w:t>VII. Overall conclusion and risk/benefit assessment</w:t>
            </w:r>
            <w:r>
              <w:rPr>
                <w:noProof/>
                <w:webHidden/>
              </w:rPr>
              <w:tab/>
            </w:r>
            <w:r>
              <w:rPr>
                <w:noProof/>
                <w:webHidden/>
              </w:rPr>
              <w:fldChar w:fldCharType="begin"/>
            </w:r>
            <w:r>
              <w:rPr>
                <w:noProof/>
                <w:webHidden/>
              </w:rPr>
              <w:instrText xml:space="preserve"> PAGEREF _Toc22198189 \h </w:instrText>
            </w:r>
            <w:r>
              <w:rPr>
                <w:noProof/>
                <w:webHidden/>
              </w:rPr>
            </w:r>
            <w:r>
              <w:rPr>
                <w:noProof/>
                <w:webHidden/>
              </w:rPr>
              <w:fldChar w:fldCharType="separate"/>
            </w:r>
            <w:r>
              <w:rPr>
                <w:noProof/>
                <w:webHidden/>
              </w:rPr>
              <w:t>34</w:t>
            </w:r>
            <w:r>
              <w:rPr>
                <w:noProof/>
                <w:webHidden/>
              </w:rPr>
              <w:fldChar w:fldCharType="end"/>
            </w:r>
          </w:hyperlink>
        </w:p>
        <w:p w14:paraId="708A7644" w14:textId="3BBF4E69" w:rsidR="005E3131" w:rsidRDefault="005E3131">
          <w:pPr>
            <w:pStyle w:val="TOC3"/>
            <w:rPr>
              <w:rFonts w:asciiTheme="minorHAnsi" w:eastAsiaTheme="minorEastAsia" w:hAnsiTheme="minorHAnsi" w:cstheme="minorBidi"/>
              <w:noProof/>
              <w:lang w:eastAsia="en-AU"/>
            </w:rPr>
          </w:pPr>
          <w:hyperlink w:anchor="_Toc22198190" w:history="1">
            <w:r w:rsidRPr="001C747B">
              <w:rPr>
                <w:rStyle w:val="Hyperlink"/>
                <w:noProof/>
              </w:rPr>
              <w:t>Quality</w:t>
            </w:r>
            <w:r>
              <w:rPr>
                <w:noProof/>
                <w:webHidden/>
              </w:rPr>
              <w:tab/>
            </w:r>
            <w:r>
              <w:rPr>
                <w:noProof/>
                <w:webHidden/>
              </w:rPr>
              <w:fldChar w:fldCharType="begin"/>
            </w:r>
            <w:r>
              <w:rPr>
                <w:noProof/>
                <w:webHidden/>
              </w:rPr>
              <w:instrText xml:space="preserve"> PAGEREF _Toc22198190 \h </w:instrText>
            </w:r>
            <w:r>
              <w:rPr>
                <w:noProof/>
                <w:webHidden/>
              </w:rPr>
            </w:r>
            <w:r>
              <w:rPr>
                <w:noProof/>
                <w:webHidden/>
              </w:rPr>
              <w:fldChar w:fldCharType="separate"/>
            </w:r>
            <w:r>
              <w:rPr>
                <w:noProof/>
                <w:webHidden/>
              </w:rPr>
              <w:t>34</w:t>
            </w:r>
            <w:r>
              <w:rPr>
                <w:noProof/>
                <w:webHidden/>
              </w:rPr>
              <w:fldChar w:fldCharType="end"/>
            </w:r>
          </w:hyperlink>
        </w:p>
        <w:p w14:paraId="0AE80F35" w14:textId="45DD5238" w:rsidR="005E3131" w:rsidRDefault="005E3131">
          <w:pPr>
            <w:pStyle w:val="TOC3"/>
            <w:rPr>
              <w:rFonts w:asciiTheme="minorHAnsi" w:eastAsiaTheme="minorEastAsia" w:hAnsiTheme="minorHAnsi" w:cstheme="minorBidi"/>
              <w:noProof/>
              <w:lang w:eastAsia="en-AU"/>
            </w:rPr>
          </w:pPr>
          <w:hyperlink w:anchor="_Toc22198191" w:history="1">
            <w:r w:rsidRPr="001C747B">
              <w:rPr>
                <w:rStyle w:val="Hyperlink"/>
                <w:noProof/>
              </w:rPr>
              <w:t>Nonclinical</w:t>
            </w:r>
            <w:r>
              <w:rPr>
                <w:noProof/>
                <w:webHidden/>
              </w:rPr>
              <w:tab/>
            </w:r>
            <w:r>
              <w:rPr>
                <w:noProof/>
                <w:webHidden/>
              </w:rPr>
              <w:fldChar w:fldCharType="begin"/>
            </w:r>
            <w:r>
              <w:rPr>
                <w:noProof/>
                <w:webHidden/>
              </w:rPr>
              <w:instrText xml:space="preserve"> PAGEREF _Toc22198191 \h </w:instrText>
            </w:r>
            <w:r>
              <w:rPr>
                <w:noProof/>
                <w:webHidden/>
              </w:rPr>
            </w:r>
            <w:r>
              <w:rPr>
                <w:noProof/>
                <w:webHidden/>
              </w:rPr>
              <w:fldChar w:fldCharType="separate"/>
            </w:r>
            <w:r>
              <w:rPr>
                <w:noProof/>
                <w:webHidden/>
              </w:rPr>
              <w:t>34</w:t>
            </w:r>
            <w:r>
              <w:rPr>
                <w:noProof/>
                <w:webHidden/>
              </w:rPr>
              <w:fldChar w:fldCharType="end"/>
            </w:r>
          </w:hyperlink>
        </w:p>
        <w:p w14:paraId="039C2B84" w14:textId="0AA1EF0A" w:rsidR="005E3131" w:rsidRDefault="005E3131">
          <w:pPr>
            <w:pStyle w:val="TOC3"/>
            <w:rPr>
              <w:rFonts w:asciiTheme="minorHAnsi" w:eastAsiaTheme="minorEastAsia" w:hAnsiTheme="minorHAnsi" w:cstheme="minorBidi"/>
              <w:noProof/>
              <w:lang w:eastAsia="en-AU"/>
            </w:rPr>
          </w:pPr>
          <w:hyperlink w:anchor="_Toc22198192" w:history="1">
            <w:r w:rsidRPr="001C747B">
              <w:rPr>
                <w:rStyle w:val="Hyperlink"/>
                <w:noProof/>
              </w:rPr>
              <w:t>Clinical</w:t>
            </w:r>
            <w:r>
              <w:rPr>
                <w:noProof/>
                <w:webHidden/>
              </w:rPr>
              <w:tab/>
            </w:r>
            <w:r>
              <w:rPr>
                <w:noProof/>
                <w:webHidden/>
              </w:rPr>
              <w:fldChar w:fldCharType="begin"/>
            </w:r>
            <w:r>
              <w:rPr>
                <w:noProof/>
                <w:webHidden/>
              </w:rPr>
              <w:instrText xml:space="preserve"> PAGEREF _Toc22198192 \h </w:instrText>
            </w:r>
            <w:r>
              <w:rPr>
                <w:noProof/>
                <w:webHidden/>
              </w:rPr>
            </w:r>
            <w:r>
              <w:rPr>
                <w:noProof/>
                <w:webHidden/>
              </w:rPr>
              <w:fldChar w:fldCharType="separate"/>
            </w:r>
            <w:r>
              <w:rPr>
                <w:noProof/>
                <w:webHidden/>
              </w:rPr>
              <w:t>34</w:t>
            </w:r>
            <w:r>
              <w:rPr>
                <w:noProof/>
                <w:webHidden/>
              </w:rPr>
              <w:fldChar w:fldCharType="end"/>
            </w:r>
          </w:hyperlink>
        </w:p>
        <w:p w14:paraId="193E1077" w14:textId="56DAF5C8" w:rsidR="005E3131" w:rsidRDefault="005E3131">
          <w:pPr>
            <w:pStyle w:val="TOC3"/>
            <w:rPr>
              <w:rFonts w:asciiTheme="minorHAnsi" w:eastAsiaTheme="minorEastAsia" w:hAnsiTheme="minorHAnsi" w:cstheme="minorBidi"/>
              <w:noProof/>
              <w:lang w:eastAsia="en-AU"/>
            </w:rPr>
          </w:pPr>
          <w:hyperlink w:anchor="_Toc22198193" w:history="1">
            <w:r w:rsidRPr="001C747B">
              <w:rPr>
                <w:rStyle w:val="Hyperlink"/>
                <w:rFonts w:eastAsiaTheme="minorHAnsi"/>
                <w:noProof/>
              </w:rPr>
              <w:t>RMP evaluation</w:t>
            </w:r>
            <w:r>
              <w:rPr>
                <w:noProof/>
                <w:webHidden/>
              </w:rPr>
              <w:tab/>
            </w:r>
            <w:r>
              <w:rPr>
                <w:noProof/>
                <w:webHidden/>
              </w:rPr>
              <w:fldChar w:fldCharType="begin"/>
            </w:r>
            <w:r>
              <w:rPr>
                <w:noProof/>
                <w:webHidden/>
              </w:rPr>
              <w:instrText xml:space="preserve"> PAGEREF _Toc22198193 \h </w:instrText>
            </w:r>
            <w:r>
              <w:rPr>
                <w:noProof/>
                <w:webHidden/>
              </w:rPr>
            </w:r>
            <w:r>
              <w:rPr>
                <w:noProof/>
                <w:webHidden/>
              </w:rPr>
              <w:fldChar w:fldCharType="separate"/>
            </w:r>
            <w:r>
              <w:rPr>
                <w:noProof/>
                <w:webHidden/>
              </w:rPr>
              <w:t>43</w:t>
            </w:r>
            <w:r>
              <w:rPr>
                <w:noProof/>
                <w:webHidden/>
              </w:rPr>
              <w:fldChar w:fldCharType="end"/>
            </w:r>
          </w:hyperlink>
        </w:p>
        <w:p w14:paraId="7D0A70D4" w14:textId="4CF28985" w:rsidR="005E3131" w:rsidRDefault="005E3131">
          <w:pPr>
            <w:pStyle w:val="TOC3"/>
            <w:rPr>
              <w:rFonts w:asciiTheme="minorHAnsi" w:eastAsiaTheme="minorEastAsia" w:hAnsiTheme="minorHAnsi" w:cstheme="minorBidi"/>
              <w:noProof/>
              <w:lang w:eastAsia="en-AU"/>
            </w:rPr>
          </w:pPr>
          <w:hyperlink w:anchor="_Toc22198194" w:history="1">
            <w:r w:rsidRPr="001C747B">
              <w:rPr>
                <w:rStyle w:val="Hyperlink"/>
                <w:noProof/>
              </w:rPr>
              <w:t>Risk-benefit analysis</w:t>
            </w:r>
            <w:r>
              <w:rPr>
                <w:noProof/>
                <w:webHidden/>
              </w:rPr>
              <w:tab/>
            </w:r>
            <w:r>
              <w:rPr>
                <w:noProof/>
                <w:webHidden/>
              </w:rPr>
              <w:fldChar w:fldCharType="begin"/>
            </w:r>
            <w:r>
              <w:rPr>
                <w:noProof/>
                <w:webHidden/>
              </w:rPr>
              <w:instrText xml:space="preserve"> PAGEREF _Toc22198194 \h </w:instrText>
            </w:r>
            <w:r>
              <w:rPr>
                <w:noProof/>
                <w:webHidden/>
              </w:rPr>
            </w:r>
            <w:r>
              <w:rPr>
                <w:noProof/>
                <w:webHidden/>
              </w:rPr>
              <w:fldChar w:fldCharType="separate"/>
            </w:r>
            <w:r>
              <w:rPr>
                <w:noProof/>
                <w:webHidden/>
              </w:rPr>
              <w:t>43</w:t>
            </w:r>
            <w:r>
              <w:rPr>
                <w:noProof/>
                <w:webHidden/>
              </w:rPr>
              <w:fldChar w:fldCharType="end"/>
            </w:r>
          </w:hyperlink>
        </w:p>
        <w:p w14:paraId="14977FC9" w14:textId="5C466332" w:rsidR="005E3131" w:rsidRDefault="005E3131">
          <w:pPr>
            <w:pStyle w:val="TOC3"/>
            <w:rPr>
              <w:rFonts w:asciiTheme="minorHAnsi" w:eastAsiaTheme="minorEastAsia" w:hAnsiTheme="minorHAnsi" w:cstheme="minorBidi"/>
              <w:noProof/>
              <w:lang w:eastAsia="en-AU"/>
            </w:rPr>
          </w:pPr>
          <w:hyperlink w:anchor="_Toc22198195" w:history="1">
            <w:r w:rsidRPr="001C747B">
              <w:rPr>
                <w:rStyle w:val="Hyperlink"/>
                <w:noProof/>
              </w:rPr>
              <w:t>Outcome</w:t>
            </w:r>
            <w:r>
              <w:rPr>
                <w:noProof/>
                <w:webHidden/>
              </w:rPr>
              <w:tab/>
            </w:r>
            <w:r>
              <w:rPr>
                <w:noProof/>
                <w:webHidden/>
              </w:rPr>
              <w:fldChar w:fldCharType="begin"/>
            </w:r>
            <w:r>
              <w:rPr>
                <w:noProof/>
                <w:webHidden/>
              </w:rPr>
              <w:instrText xml:space="preserve"> PAGEREF _Toc22198195 \h </w:instrText>
            </w:r>
            <w:r>
              <w:rPr>
                <w:noProof/>
                <w:webHidden/>
              </w:rPr>
            </w:r>
            <w:r>
              <w:rPr>
                <w:noProof/>
                <w:webHidden/>
              </w:rPr>
              <w:fldChar w:fldCharType="separate"/>
            </w:r>
            <w:r>
              <w:rPr>
                <w:noProof/>
                <w:webHidden/>
              </w:rPr>
              <w:t>51</w:t>
            </w:r>
            <w:r>
              <w:rPr>
                <w:noProof/>
                <w:webHidden/>
              </w:rPr>
              <w:fldChar w:fldCharType="end"/>
            </w:r>
          </w:hyperlink>
        </w:p>
        <w:p w14:paraId="130E04C9" w14:textId="56786BD7" w:rsidR="005E3131" w:rsidRDefault="005E3131">
          <w:pPr>
            <w:pStyle w:val="TOC2"/>
            <w:rPr>
              <w:rFonts w:asciiTheme="minorHAnsi" w:eastAsiaTheme="minorEastAsia" w:hAnsiTheme="minorHAnsi" w:cstheme="minorBidi"/>
              <w:b w:val="0"/>
              <w:noProof/>
              <w:sz w:val="22"/>
              <w:lang w:eastAsia="en-AU"/>
            </w:rPr>
          </w:pPr>
          <w:hyperlink w:anchor="_Toc22198196" w:history="1">
            <w:r w:rsidRPr="001C747B">
              <w:rPr>
                <w:rStyle w:val="Hyperlink"/>
                <w:noProof/>
              </w:rPr>
              <w:t>Attachment 1. Product Information</w:t>
            </w:r>
            <w:r>
              <w:rPr>
                <w:noProof/>
                <w:webHidden/>
              </w:rPr>
              <w:tab/>
            </w:r>
            <w:r>
              <w:rPr>
                <w:noProof/>
                <w:webHidden/>
              </w:rPr>
              <w:fldChar w:fldCharType="begin"/>
            </w:r>
            <w:r>
              <w:rPr>
                <w:noProof/>
                <w:webHidden/>
              </w:rPr>
              <w:instrText xml:space="preserve"> PAGEREF _Toc22198196 \h </w:instrText>
            </w:r>
            <w:r>
              <w:rPr>
                <w:noProof/>
                <w:webHidden/>
              </w:rPr>
            </w:r>
            <w:r>
              <w:rPr>
                <w:noProof/>
                <w:webHidden/>
              </w:rPr>
              <w:fldChar w:fldCharType="separate"/>
            </w:r>
            <w:r>
              <w:rPr>
                <w:noProof/>
                <w:webHidden/>
              </w:rPr>
              <w:t>51</w:t>
            </w:r>
            <w:r>
              <w:rPr>
                <w:noProof/>
                <w:webHidden/>
              </w:rPr>
              <w:fldChar w:fldCharType="end"/>
            </w:r>
          </w:hyperlink>
        </w:p>
        <w:p w14:paraId="1BDA406E" w14:textId="13C76A40" w:rsidR="005E3131" w:rsidRDefault="005E3131">
          <w:pPr>
            <w:pStyle w:val="TOC2"/>
            <w:rPr>
              <w:rFonts w:asciiTheme="minorHAnsi" w:eastAsiaTheme="minorEastAsia" w:hAnsiTheme="minorHAnsi" w:cstheme="minorBidi"/>
              <w:b w:val="0"/>
              <w:noProof/>
              <w:sz w:val="22"/>
              <w:lang w:eastAsia="en-AU"/>
            </w:rPr>
          </w:pPr>
          <w:hyperlink w:anchor="_Toc22198197" w:history="1">
            <w:r w:rsidRPr="001C747B">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_Toc22198197 \h </w:instrText>
            </w:r>
            <w:r>
              <w:rPr>
                <w:noProof/>
                <w:webHidden/>
              </w:rPr>
            </w:r>
            <w:r>
              <w:rPr>
                <w:noProof/>
                <w:webHidden/>
              </w:rPr>
              <w:fldChar w:fldCharType="separate"/>
            </w:r>
            <w:r>
              <w:rPr>
                <w:noProof/>
                <w:webHidden/>
              </w:rPr>
              <w:t>51</w:t>
            </w:r>
            <w:r>
              <w:rPr>
                <w:noProof/>
                <w:webHidden/>
              </w:rPr>
              <w:fldChar w:fldCharType="end"/>
            </w:r>
          </w:hyperlink>
        </w:p>
        <w:p w14:paraId="41677B04" w14:textId="2B6C2ED6" w:rsidR="003A7F6C" w:rsidRPr="00B811C6" w:rsidRDefault="00DB6124" w:rsidP="00B811C6">
          <w:pPr>
            <w:pStyle w:val="TOC2"/>
          </w:pPr>
          <w:r>
            <w:fldChar w:fldCharType="end"/>
          </w:r>
        </w:p>
      </w:sdtContent>
    </w:sdt>
    <w:bookmarkStart w:id="3" w:name="_Toc314842482" w:displacedByCustomXml="prev"/>
    <w:p w14:paraId="39E732DA" w14:textId="77777777" w:rsidR="00FD119B" w:rsidRDefault="00FD119B">
      <w:pPr>
        <w:spacing w:before="0" w:after="200" w:line="0" w:lineRule="auto"/>
      </w:pPr>
      <w:r>
        <w:br w:type="page"/>
      </w:r>
    </w:p>
    <w:p w14:paraId="305E4299" w14:textId="77777777" w:rsidR="00CA38EC" w:rsidRPr="00CA38EC" w:rsidRDefault="005B6383" w:rsidP="004C4DBD">
      <w:pPr>
        <w:pStyle w:val="Heading2"/>
      </w:pPr>
      <w:bookmarkStart w:id="4" w:name="_Toc22198166"/>
      <w:r>
        <w:lastRenderedPageBreak/>
        <w:t>Common</w:t>
      </w:r>
      <w:r w:rsidRPr="00FD119B">
        <w:t xml:space="preserve"> abbreviations</w:t>
      </w:r>
      <w:bookmarkEnd w:id="4"/>
    </w:p>
    <w:tbl>
      <w:tblPr>
        <w:tblStyle w:val="TableTGAblue"/>
        <w:tblW w:w="0" w:type="auto"/>
        <w:tblLook w:val="04A0" w:firstRow="1" w:lastRow="0" w:firstColumn="1" w:lastColumn="0" w:noHBand="0" w:noVBand="1"/>
      </w:tblPr>
      <w:tblGrid>
        <w:gridCol w:w="2518"/>
        <w:gridCol w:w="6062"/>
      </w:tblGrid>
      <w:tr w:rsidR="00FD119B" w:rsidRPr="00FD119B" w14:paraId="6C545E8A" w14:textId="77777777" w:rsidTr="004C4DBD">
        <w:trPr>
          <w:cnfStyle w:val="100000000000" w:firstRow="1" w:lastRow="0" w:firstColumn="0" w:lastColumn="0" w:oddVBand="0" w:evenVBand="0" w:oddHBand="0" w:evenHBand="0" w:firstRowFirstColumn="0" w:firstRowLastColumn="0" w:lastRowFirstColumn="0" w:lastRowLastColumn="0"/>
        </w:trPr>
        <w:tc>
          <w:tcPr>
            <w:tcW w:w="2518" w:type="dxa"/>
          </w:tcPr>
          <w:p w14:paraId="2B2DBC07" w14:textId="77777777" w:rsidR="00FD119B" w:rsidRPr="00FD119B" w:rsidRDefault="00031B12" w:rsidP="004C4DBD">
            <w:pPr>
              <w:rPr>
                <w:b w:val="0"/>
                <w:color w:val="auto"/>
                <w:szCs w:val="22"/>
                <w:lang w:eastAsia="en-US"/>
              </w:rPr>
            </w:pPr>
            <w:r>
              <w:t>A</w:t>
            </w:r>
            <w:r w:rsidRPr="00FD119B">
              <w:t>bbreviation</w:t>
            </w:r>
          </w:p>
        </w:tc>
        <w:tc>
          <w:tcPr>
            <w:tcW w:w="6062" w:type="dxa"/>
          </w:tcPr>
          <w:p w14:paraId="14932738" w14:textId="77777777" w:rsidR="00FD119B" w:rsidRPr="00FD119B" w:rsidRDefault="00031B12" w:rsidP="004C4DBD">
            <w:pPr>
              <w:rPr>
                <w:b w:val="0"/>
                <w:color w:val="auto"/>
                <w:szCs w:val="22"/>
                <w:lang w:eastAsia="en-US"/>
              </w:rPr>
            </w:pPr>
            <w:r>
              <w:rPr>
                <w:szCs w:val="22"/>
                <w:lang w:eastAsia="en-US"/>
              </w:rPr>
              <w:t>Description</w:t>
            </w:r>
          </w:p>
        </w:tc>
      </w:tr>
      <w:tr w:rsidR="00743A77" w:rsidRPr="00FD119B" w14:paraId="776884CC" w14:textId="77777777" w:rsidTr="004C4DBD">
        <w:tc>
          <w:tcPr>
            <w:tcW w:w="2518" w:type="dxa"/>
          </w:tcPr>
          <w:p w14:paraId="7BBBD41B" w14:textId="77777777" w:rsidR="00743A77" w:rsidRDefault="00743A77" w:rsidP="004C4DBD">
            <w:pPr>
              <w:rPr>
                <w:color w:val="auto"/>
                <w:szCs w:val="22"/>
              </w:rPr>
            </w:pPr>
            <w:r>
              <w:t>ADA</w:t>
            </w:r>
          </w:p>
        </w:tc>
        <w:tc>
          <w:tcPr>
            <w:tcW w:w="6062" w:type="dxa"/>
          </w:tcPr>
          <w:p w14:paraId="6FC5194D" w14:textId="77777777" w:rsidR="00743A77" w:rsidRDefault="00743A77" w:rsidP="004C4DBD">
            <w:pPr>
              <w:rPr>
                <w:color w:val="auto"/>
                <w:szCs w:val="22"/>
              </w:rPr>
            </w:pPr>
            <w:r>
              <w:t>Antidrug antibodies</w:t>
            </w:r>
          </w:p>
        </w:tc>
      </w:tr>
      <w:tr w:rsidR="00743A77" w:rsidRPr="00FD119B" w14:paraId="1B0581F2" w14:textId="77777777" w:rsidTr="004C4DBD">
        <w:tc>
          <w:tcPr>
            <w:tcW w:w="2518" w:type="dxa"/>
          </w:tcPr>
          <w:p w14:paraId="7FBB809D" w14:textId="77777777" w:rsidR="00743A77" w:rsidRDefault="00743A77" w:rsidP="004C4DBD">
            <w:pPr>
              <w:rPr>
                <w:color w:val="auto"/>
                <w:szCs w:val="22"/>
              </w:rPr>
            </w:pPr>
            <w:r>
              <w:t>ADR</w:t>
            </w:r>
          </w:p>
        </w:tc>
        <w:tc>
          <w:tcPr>
            <w:tcW w:w="6062" w:type="dxa"/>
          </w:tcPr>
          <w:p w14:paraId="574206A3" w14:textId="77777777" w:rsidR="00743A77" w:rsidRDefault="00743A77" w:rsidP="004C4DBD">
            <w:pPr>
              <w:rPr>
                <w:color w:val="auto"/>
                <w:szCs w:val="22"/>
              </w:rPr>
            </w:pPr>
            <w:r>
              <w:t>Adverse drug reaction</w:t>
            </w:r>
          </w:p>
        </w:tc>
      </w:tr>
      <w:tr w:rsidR="00743A77" w:rsidRPr="00FD119B" w14:paraId="7A8B57BF" w14:textId="77777777" w:rsidTr="004C4DBD">
        <w:tc>
          <w:tcPr>
            <w:tcW w:w="2518" w:type="dxa"/>
          </w:tcPr>
          <w:p w14:paraId="3D56D584" w14:textId="77777777" w:rsidR="00743A77" w:rsidRDefault="00743A77" w:rsidP="004C4DBD">
            <w:pPr>
              <w:rPr>
                <w:color w:val="auto"/>
                <w:szCs w:val="22"/>
              </w:rPr>
            </w:pPr>
            <w:r>
              <w:t>AE</w:t>
            </w:r>
          </w:p>
        </w:tc>
        <w:tc>
          <w:tcPr>
            <w:tcW w:w="6062" w:type="dxa"/>
          </w:tcPr>
          <w:p w14:paraId="4749F00F" w14:textId="77777777" w:rsidR="00743A77" w:rsidRDefault="00743A77" w:rsidP="004C4DBD">
            <w:pPr>
              <w:rPr>
                <w:color w:val="auto"/>
                <w:szCs w:val="22"/>
              </w:rPr>
            </w:pPr>
            <w:r>
              <w:t>Adverse event</w:t>
            </w:r>
          </w:p>
        </w:tc>
      </w:tr>
      <w:tr w:rsidR="00743A77" w:rsidRPr="00FD119B" w14:paraId="68B0D10C" w14:textId="77777777" w:rsidTr="004C4DBD">
        <w:tc>
          <w:tcPr>
            <w:tcW w:w="2518" w:type="dxa"/>
          </w:tcPr>
          <w:p w14:paraId="4EB23498" w14:textId="77777777" w:rsidR="00743A77" w:rsidRDefault="00743A77" w:rsidP="004C4DBD">
            <w:pPr>
              <w:rPr>
                <w:color w:val="auto"/>
                <w:szCs w:val="22"/>
              </w:rPr>
            </w:pPr>
            <w:r>
              <w:t>ALL</w:t>
            </w:r>
          </w:p>
        </w:tc>
        <w:tc>
          <w:tcPr>
            <w:tcW w:w="6062" w:type="dxa"/>
          </w:tcPr>
          <w:p w14:paraId="25988EF3" w14:textId="77777777" w:rsidR="00743A77" w:rsidRDefault="00743A77" w:rsidP="004C4DBD">
            <w:pPr>
              <w:rPr>
                <w:color w:val="auto"/>
                <w:szCs w:val="22"/>
              </w:rPr>
            </w:pPr>
            <w:r>
              <w:t>Acute lymphoblastic leukaemia</w:t>
            </w:r>
          </w:p>
        </w:tc>
      </w:tr>
      <w:tr w:rsidR="00743A77" w:rsidRPr="00FD119B" w14:paraId="6EE9FDD4" w14:textId="77777777" w:rsidTr="004C4DBD">
        <w:tc>
          <w:tcPr>
            <w:tcW w:w="2518" w:type="dxa"/>
          </w:tcPr>
          <w:p w14:paraId="18C2297A" w14:textId="5DD2B839" w:rsidR="00743A77" w:rsidRDefault="00743A77" w:rsidP="004C4DBD">
            <w:pPr>
              <w:rPr>
                <w:rFonts w:ascii="Symbol" w:hAnsi="Symbol"/>
                <w:color w:val="auto"/>
                <w:szCs w:val="22"/>
              </w:rPr>
            </w:pPr>
            <w:proofErr w:type="spellStart"/>
            <w:r>
              <w:t>BiTE</w:t>
            </w:r>
            <w:proofErr w:type="spellEnd"/>
          </w:p>
        </w:tc>
        <w:tc>
          <w:tcPr>
            <w:tcW w:w="6062" w:type="dxa"/>
          </w:tcPr>
          <w:p w14:paraId="6BBDE43E" w14:textId="77777777" w:rsidR="00743A77" w:rsidRDefault="00743A77" w:rsidP="004C4DBD">
            <w:pPr>
              <w:rPr>
                <w:color w:val="auto"/>
                <w:szCs w:val="22"/>
              </w:rPr>
            </w:pPr>
            <w:proofErr w:type="spellStart"/>
            <w:r>
              <w:t>Biospecific</w:t>
            </w:r>
            <w:proofErr w:type="spellEnd"/>
            <w:r>
              <w:t xml:space="preserve"> T cell engager</w:t>
            </w:r>
          </w:p>
        </w:tc>
      </w:tr>
      <w:tr w:rsidR="00743A77" w:rsidRPr="00FD119B" w14:paraId="5E547BF8" w14:textId="77777777" w:rsidTr="004C4DBD">
        <w:tc>
          <w:tcPr>
            <w:tcW w:w="2518" w:type="dxa"/>
          </w:tcPr>
          <w:p w14:paraId="14895174" w14:textId="77777777" w:rsidR="00743A77" w:rsidRDefault="00743A77" w:rsidP="004C4DBD">
            <w:pPr>
              <w:rPr>
                <w:color w:val="auto"/>
                <w:szCs w:val="22"/>
              </w:rPr>
            </w:pPr>
            <w:r>
              <w:t>BSA</w:t>
            </w:r>
          </w:p>
        </w:tc>
        <w:tc>
          <w:tcPr>
            <w:tcW w:w="6062" w:type="dxa"/>
          </w:tcPr>
          <w:p w14:paraId="73069379" w14:textId="77777777" w:rsidR="00743A77" w:rsidRDefault="00743A77" w:rsidP="004C4DBD">
            <w:pPr>
              <w:rPr>
                <w:color w:val="auto"/>
                <w:szCs w:val="22"/>
              </w:rPr>
            </w:pPr>
            <w:r>
              <w:t>Body surface area</w:t>
            </w:r>
          </w:p>
        </w:tc>
      </w:tr>
      <w:tr w:rsidR="00743A77" w:rsidRPr="00FD119B" w14:paraId="4498F7D2" w14:textId="77777777" w:rsidTr="004C4DBD">
        <w:tc>
          <w:tcPr>
            <w:tcW w:w="2518" w:type="dxa"/>
          </w:tcPr>
          <w:p w14:paraId="3300F275" w14:textId="77777777" w:rsidR="00743A77" w:rsidRDefault="00743A77" w:rsidP="004C4DBD">
            <w:pPr>
              <w:rPr>
                <w:color w:val="auto"/>
                <w:szCs w:val="22"/>
              </w:rPr>
            </w:pPr>
            <w:r>
              <w:t>CHMP</w:t>
            </w:r>
          </w:p>
        </w:tc>
        <w:tc>
          <w:tcPr>
            <w:tcW w:w="6062" w:type="dxa"/>
          </w:tcPr>
          <w:p w14:paraId="46624FB7" w14:textId="77777777" w:rsidR="00743A77" w:rsidRDefault="00743A77" w:rsidP="004C4DBD">
            <w:pPr>
              <w:rPr>
                <w:color w:val="auto"/>
                <w:szCs w:val="22"/>
              </w:rPr>
            </w:pPr>
            <w:r>
              <w:t>Committee for Medicinal Products for Human Use (EMA)</w:t>
            </w:r>
          </w:p>
        </w:tc>
      </w:tr>
      <w:tr w:rsidR="00743A77" w:rsidRPr="00FD119B" w14:paraId="4491E625" w14:textId="77777777" w:rsidTr="004C4DBD">
        <w:tc>
          <w:tcPr>
            <w:tcW w:w="2518" w:type="dxa"/>
          </w:tcPr>
          <w:p w14:paraId="3B68130C" w14:textId="77777777" w:rsidR="00743A77" w:rsidRDefault="00743A77" w:rsidP="004C4DBD">
            <w:pPr>
              <w:rPr>
                <w:color w:val="auto"/>
                <w:szCs w:val="22"/>
              </w:rPr>
            </w:pPr>
            <w:r>
              <w:t>CI</w:t>
            </w:r>
          </w:p>
        </w:tc>
        <w:tc>
          <w:tcPr>
            <w:tcW w:w="6062" w:type="dxa"/>
          </w:tcPr>
          <w:p w14:paraId="22AF9272" w14:textId="77777777" w:rsidR="00743A77" w:rsidRDefault="00743A77" w:rsidP="004C4DBD">
            <w:pPr>
              <w:rPr>
                <w:color w:val="auto"/>
                <w:szCs w:val="22"/>
              </w:rPr>
            </w:pPr>
            <w:r>
              <w:t>Confidence interval</w:t>
            </w:r>
          </w:p>
        </w:tc>
      </w:tr>
      <w:tr w:rsidR="00743A77" w:rsidRPr="00FD119B" w14:paraId="6B50FE29" w14:textId="77777777" w:rsidTr="004C4DBD">
        <w:tc>
          <w:tcPr>
            <w:tcW w:w="2518" w:type="dxa"/>
          </w:tcPr>
          <w:p w14:paraId="2C370544" w14:textId="77777777" w:rsidR="00743A77" w:rsidRDefault="00743A77" w:rsidP="004C4DBD">
            <w:pPr>
              <w:rPr>
                <w:color w:val="auto"/>
                <w:szCs w:val="22"/>
              </w:rPr>
            </w:pPr>
            <w:proofErr w:type="spellStart"/>
            <w:r>
              <w:t>cIV</w:t>
            </w:r>
            <w:proofErr w:type="spellEnd"/>
          </w:p>
        </w:tc>
        <w:tc>
          <w:tcPr>
            <w:tcW w:w="6062" w:type="dxa"/>
          </w:tcPr>
          <w:p w14:paraId="55D1C3CA" w14:textId="77777777" w:rsidR="00743A77" w:rsidRDefault="00743A77" w:rsidP="004C4DBD">
            <w:pPr>
              <w:rPr>
                <w:color w:val="auto"/>
                <w:szCs w:val="22"/>
              </w:rPr>
            </w:pPr>
            <w:r>
              <w:t>Continuous intravenous infusion</w:t>
            </w:r>
          </w:p>
        </w:tc>
      </w:tr>
      <w:tr w:rsidR="00743A77" w:rsidRPr="00FD119B" w14:paraId="29B2C835" w14:textId="77777777" w:rsidTr="004C4DBD">
        <w:tc>
          <w:tcPr>
            <w:tcW w:w="2518" w:type="dxa"/>
          </w:tcPr>
          <w:p w14:paraId="1D336CAC" w14:textId="77777777" w:rsidR="00743A77" w:rsidRDefault="00743A77" w:rsidP="004C4DBD">
            <w:pPr>
              <w:rPr>
                <w:color w:val="auto"/>
                <w:szCs w:val="22"/>
              </w:rPr>
            </w:pPr>
            <w:r>
              <w:t>CL</w:t>
            </w:r>
          </w:p>
        </w:tc>
        <w:tc>
          <w:tcPr>
            <w:tcW w:w="6062" w:type="dxa"/>
          </w:tcPr>
          <w:p w14:paraId="58DCCD09" w14:textId="07659162" w:rsidR="00743A77" w:rsidRDefault="00090CBC" w:rsidP="004C4DBD">
            <w:pPr>
              <w:rPr>
                <w:color w:val="auto"/>
                <w:szCs w:val="22"/>
              </w:rPr>
            </w:pPr>
            <w:r>
              <w:t>Clearance</w:t>
            </w:r>
          </w:p>
        </w:tc>
      </w:tr>
      <w:tr w:rsidR="00743A77" w:rsidRPr="00FD119B" w14:paraId="3CFDF42F" w14:textId="77777777" w:rsidTr="004C4DBD">
        <w:tc>
          <w:tcPr>
            <w:tcW w:w="2518" w:type="dxa"/>
          </w:tcPr>
          <w:p w14:paraId="4AB76F59" w14:textId="77777777" w:rsidR="00743A77" w:rsidRDefault="00743A77" w:rsidP="004C4DBD">
            <w:pPr>
              <w:rPr>
                <w:color w:val="auto"/>
                <w:szCs w:val="22"/>
              </w:rPr>
            </w:pPr>
            <w:r>
              <w:t>CLS</w:t>
            </w:r>
          </w:p>
        </w:tc>
        <w:tc>
          <w:tcPr>
            <w:tcW w:w="6062" w:type="dxa"/>
          </w:tcPr>
          <w:p w14:paraId="7A3777DB" w14:textId="77777777" w:rsidR="00743A77" w:rsidRDefault="00743A77" w:rsidP="004C4DBD">
            <w:pPr>
              <w:rPr>
                <w:color w:val="auto"/>
                <w:szCs w:val="22"/>
              </w:rPr>
            </w:pPr>
            <w:r>
              <w:t>Capillary leak syndrome</w:t>
            </w:r>
          </w:p>
        </w:tc>
      </w:tr>
      <w:tr w:rsidR="00743A77" w:rsidRPr="00FD119B" w14:paraId="5E547AF1" w14:textId="77777777" w:rsidTr="004C4DBD">
        <w:tc>
          <w:tcPr>
            <w:tcW w:w="2518" w:type="dxa"/>
          </w:tcPr>
          <w:p w14:paraId="758D9101" w14:textId="77777777" w:rsidR="00743A77" w:rsidRDefault="00743A77" w:rsidP="004C4DBD">
            <w:pPr>
              <w:rPr>
                <w:color w:val="auto"/>
                <w:szCs w:val="22"/>
              </w:rPr>
            </w:pPr>
            <w:r>
              <w:t>CNS</w:t>
            </w:r>
          </w:p>
        </w:tc>
        <w:tc>
          <w:tcPr>
            <w:tcW w:w="6062" w:type="dxa"/>
          </w:tcPr>
          <w:p w14:paraId="5300BCB6" w14:textId="77777777" w:rsidR="00743A77" w:rsidRDefault="00743A77" w:rsidP="004C4DBD">
            <w:pPr>
              <w:rPr>
                <w:color w:val="auto"/>
                <w:szCs w:val="22"/>
              </w:rPr>
            </w:pPr>
            <w:r>
              <w:t>Central nervous system</w:t>
            </w:r>
          </w:p>
        </w:tc>
      </w:tr>
      <w:tr w:rsidR="00743A77" w:rsidRPr="00FD119B" w14:paraId="2CB867F1" w14:textId="77777777" w:rsidTr="004C4DBD">
        <w:tc>
          <w:tcPr>
            <w:tcW w:w="2518" w:type="dxa"/>
          </w:tcPr>
          <w:p w14:paraId="69FD4DCF" w14:textId="77777777" w:rsidR="00743A77" w:rsidRDefault="00743A77" w:rsidP="004C4DBD">
            <w:pPr>
              <w:rPr>
                <w:color w:val="auto"/>
                <w:szCs w:val="22"/>
              </w:rPr>
            </w:pPr>
            <w:r>
              <w:t>CR</w:t>
            </w:r>
          </w:p>
        </w:tc>
        <w:tc>
          <w:tcPr>
            <w:tcW w:w="6062" w:type="dxa"/>
          </w:tcPr>
          <w:p w14:paraId="359EEB5F" w14:textId="77777777" w:rsidR="00743A77" w:rsidRDefault="00743A77" w:rsidP="004C4DBD">
            <w:pPr>
              <w:rPr>
                <w:color w:val="auto"/>
                <w:szCs w:val="22"/>
              </w:rPr>
            </w:pPr>
            <w:r>
              <w:t>Complete response/complete remission</w:t>
            </w:r>
          </w:p>
        </w:tc>
      </w:tr>
      <w:tr w:rsidR="00743A77" w:rsidRPr="00FD119B" w14:paraId="096F4277" w14:textId="77777777" w:rsidTr="004C4DBD">
        <w:tc>
          <w:tcPr>
            <w:tcW w:w="2518" w:type="dxa"/>
          </w:tcPr>
          <w:p w14:paraId="7FECBC1F" w14:textId="77777777" w:rsidR="00743A77" w:rsidRDefault="00743A77" w:rsidP="004C4DBD">
            <w:pPr>
              <w:rPr>
                <w:color w:val="auto"/>
                <w:szCs w:val="22"/>
              </w:rPr>
            </w:pPr>
            <w:proofErr w:type="spellStart"/>
            <w:r>
              <w:t>CrCL</w:t>
            </w:r>
            <w:proofErr w:type="spellEnd"/>
          </w:p>
        </w:tc>
        <w:tc>
          <w:tcPr>
            <w:tcW w:w="6062" w:type="dxa"/>
          </w:tcPr>
          <w:p w14:paraId="37F9E913" w14:textId="77777777" w:rsidR="00743A77" w:rsidRDefault="00743A77" w:rsidP="004C4DBD">
            <w:pPr>
              <w:rPr>
                <w:color w:val="auto"/>
                <w:szCs w:val="22"/>
              </w:rPr>
            </w:pPr>
            <w:r>
              <w:t>Creatinine clearance</w:t>
            </w:r>
          </w:p>
        </w:tc>
      </w:tr>
      <w:tr w:rsidR="00743A77" w:rsidRPr="00FD119B" w14:paraId="12D768BA" w14:textId="77777777" w:rsidTr="004C4DBD">
        <w:tc>
          <w:tcPr>
            <w:tcW w:w="2518" w:type="dxa"/>
          </w:tcPr>
          <w:p w14:paraId="0C558A6D" w14:textId="77777777" w:rsidR="00743A77" w:rsidRDefault="00743A77" w:rsidP="004C4DBD">
            <w:pPr>
              <w:rPr>
                <w:color w:val="auto"/>
                <w:szCs w:val="22"/>
              </w:rPr>
            </w:pPr>
            <w:proofErr w:type="spellStart"/>
            <w:r>
              <w:t>CRh</w:t>
            </w:r>
            <w:proofErr w:type="spellEnd"/>
            <w:r>
              <w:t>*</w:t>
            </w:r>
          </w:p>
        </w:tc>
        <w:tc>
          <w:tcPr>
            <w:tcW w:w="6062" w:type="dxa"/>
          </w:tcPr>
          <w:p w14:paraId="48AC3E1B" w14:textId="77777777" w:rsidR="00743A77" w:rsidRDefault="00743A77" w:rsidP="004C4DBD">
            <w:pPr>
              <w:rPr>
                <w:color w:val="auto"/>
                <w:szCs w:val="22"/>
              </w:rPr>
            </w:pPr>
            <w:r>
              <w:t>Complete remission with partial haematological recovery</w:t>
            </w:r>
          </w:p>
        </w:tc>
      </w:tr>
      <w:tr w:rsidR="00743A77" w:rsidRPr="00FD119B" w14:paraId="744746B8" w14:textId="77777777" w:rsidTr="004C4DBD">
        <w:tc>
          <w:tcPr>
            <w:tcW w:w="2518" w:type="dxa"/>
          </w:tcPr>
          <w:p w14:paraId="03C7EBA7" w14:textId="77777777" w:rsidR="00743A77" w:rsidRDefault="00743A77" w:rsidP="004C4DBD">
            <w:pPr>
              <w:rPr>
                <w:color w:val="auto"/>
                <w:szCs w:val="22"/>
              </w:rPr>
            </w:pPr>
            <w:proofErr w:type="spellStart"/>
            <w:r>
              <w:t>CRi</w:t>
            </w:r>
            <w:proofErr w:type="spellEnd"/>
          </w:p>
        </w:tc>
        <w:tc>
          <w:tcPr>
            <w:tcW w:w="6062" w:type="dxa"/>
          </w:tcPr>
          <w:p w14:paraId="27A807FD" w14:textId="77777777" w:rsidR="00743A77" w:rsidRDefault="00743A77" w:rsidP="004C4DBD">
            <w:pPr>
              <w:rPr>
                <w:color w:val="auto"/>
                <w:szCs w:val="22"/>
              </w:rPr>
            </w:pPr>
            <w:r>
              <w:t>Complete remission with incomplete haematological recovery</w:t>
            </w:r>
          </w:p>
        </w:tc>
      </w:tr>
      <w:tr w:rsidR="00A96457" w:rsidRPr="00FD119B" w14:paraId="15D2F2E1" w14:textId="77777777" w:rsidTr="004C4DBD">
        <w:tc>
          <w:tcPr>
            <w:tcW w:w="2518" w:type="dxa"/>
          </w:tcPr>
          <w:p w14:paraId="6D70FF48" w14:textId="77777777" w:rsidR="00A96457" w:rsidRDefault="00A96457" w:rsidP="004C4DBD">
            <w:pPr>
              <w:rPr>
                <w:color w:val="auto"/>
                <w:szCs w:val="22"/>
              </w:rPr>
            </w:pPr>
            <w:r>
              <w:t>CRS</w:t>
            </w:r>
          </w:p>
        </w:tc>
        <w:tc>
          <w:tcPr>
            <w:tcW w:w="6062" w:type="dxa"/>
          </w:tcPr>
          <w:p w14:paraId="22FE6E1C" w14:textId="77777777" w:rsidR="00A96457" w:rsidRDefault="00A96457" w:rsidP="004C4DBD">
            <w:pPr>
              <w:rPr>
                <w:color w:val="auto"/>
                <w:szCs w:val="22"/>
              </w:rPr>
            </w:pPr>
            <w:r>
              <w:t>Cytokine release syndrome</w:t>
            </w:r>
          </w:p>
        </w:tc>
      </w:tr>
      <w:tr w:rsidR="00A96457" w:rsidRPr="00FD119B" w14:paraId="4F2054B3" w14:textId="77777777" w:rsidTr="004C4DBD">
        <w:tc>
          <w:tcPr>
            <w:tcW w:w="2518" w:type="dxa"/>
          </w:tcPr>
          <w:p w14:paraId="58BC58E2" w14:textId="77777777" w:rsidR="00A96457" w:rsidRDefault="00A96457" w:rsidP="004C4DBD">
            <w:pPr>
              <w:rPr>
                <w:color w:val="auto"/>
                <w:szCs w:val="22"/>
              </w:rPr>
            </w:pPr>
            <w:r>
              <w:t>CSR</w:t>
            </w:r>
          </w:p>
        </w:tc>
        <w:tc>
          <w:tcPr>
            <w:tcW w:w="6062" w:type="dxa"/>
          </w:tcPr>
          <w:p w14:paraId="4CAACA51" w14:textId="77777777" w:rsidR="00A96457" w:rsidRDefault="00A96457" w:rsidP="004C4DBD">
            <w:pPr>
              <w:rPr>
                <w:color w:val="auto"/>
                <w:szCs w:val="22"/>
              </w:rPr>
            </w:pPr>
            <w:r>
              <w:t>Clinical Study Report</w:t>
            </w:r>
          </w:p>
        </w:tc>
      </w:tr>
      <w:tr w:rsidR="00A96457" w:rsidRPr="00FD119B" w14:paraId="785999D8" w14:textId="77777777" w:rsidTr="004C4DBD">
        <w:tc>
          <w:tcPr>
            <w:tcW w:w="2518" w:type="dxa"/>
          </w:tcPr>
          <w:p w14:paraId="035BBBD5" w14:textId="77777777" w:rsidR="00A96457" w:rsidRDefault="00A96457" w:rsidP="004C4DBD">
            <w:pPr>
              <w:rPr>
                <w:color w:val="auto"/>
                <w:szCs w:val="22"/>
              </w:rPr>
            </w:pPr>
            <w:r>
              <w:t>DMC</w:t>
            </w:r>
          </w:p>
        </w:tc>
        <w:tc>
          <w:tcPr>
            <w:tcW w:w="6062" w:type="dxa"/>
          </w:tcPr>
          <w:p w14:paraId="71417CB2" w14:textId="77777777" w:rsidR="00A96457" w:rsidRDefault="00A96457" w:rsidP="004C4DBD">
            <w:pPr>
              <w:rPr>
                <w:color w:val="auto"/>
                <w:szCs w:val="22"/>
              </w:rPr>
            </w:pPr>
            <w:r>
              <w:t>Data management committee</w:t>
            </w:r>
          </w:p>
        </w:tc>
      </w:tr>
      <w:tr w:rsidR="00A96457" w:rsidRPr="00FD119B" w14:paraId="2834DDC1" w14:textId="77777777" w:rsidTr="004C4DBD">
        <w:tc>
          <w:tcPr>
            <w:tcW w:w="2518" w:type="dxa"/>
          </w:tcPr>
          <w:p w14:paraId="206FE3F0" w14:textId="77777777" w:rsidR="00A96457" w:rsidRDefault="00A96457" w:rsidP="004C4DBD">
            <w:pPr>
              <w:rPr>
                <w:color w:val="auto"/>
                <w:szCs w:val="22"/>
              </w:rPr>
            </w:pPr>
            <w:r>
              <w:t>ECG</w:t>
            </w:r>
          </w:p>
        </w:tc>
        <w:tc>
          <w:tcPr>
            <w:tcW w:w="6062" w:type="dxa"/>
          </w:tcPr>
          <w:p w14:paraId="7F883A63" w14:textId="77777777" w:rsidR="00A96457" w:rsidRDefault="00A96457" w:rsidP="004C4DBD">
            <w:pPr>
              <w:rPr>
                <w:color w:val="auto"/>
                <w:szCs w:val="22"/>
              </w:rPr>
            </w:pPr>
            <w:r>
              <w:t>Electrocardiogram</w:t>
            </w:r>
          </w:p>
        </w:tc>
      </w:tr>
      <w:tr w:rsidR="00A96457" w:rsidRPr="00FD119B" w14:paraId="0998D042" w14:textId="77777777" w:rsidTr="004C4DBD">
        <w:tc>
          <w:tcPr>
            <w:tcW w:w="2518" w:type="dxa"/>
          </w:tcPr>
          <w:p w14:paraId="0F2BFD46" w14:textId="77777777" w:rsidR="00A96457" w:rsidRDefault="00A96457" w:rsidP="004C4DBD">
            <w:pPr>
              <w:rPr>
                <w:color w:val="auto"/>
                <w:szCs w:val="22"/>
              </w:rPr>
            </w:pPr>
            <w:r>
              <w:t>ECOG</w:t>
            </w:r>
          </w:p>
        </w:tc>
        <w:tc>
          <w:tcPr>
            <w:tcW w:w="6062" w:type="dxa"/>
          </w:tcPr>
          <w:p w14:paraId="25A016D6" w14:textId="77777777" w:rsidR="00A96457" w:rsidRDefault="00A96457" w:rsidP="004C4DBD">
            <w:pPr>
              <w:rPr>
                <w:color w:val="auto"/>
                <w:szCs w:val="22"/>
              </w:rPr>
            </w:pPr>
            <w:r>
              <w:t>Eastern Cooperative Oncology Group</w:t>
            </w:r>
          </w:p>
        </w:tc>
      </w:tr>
      <w:tr w:rsidR="00A96457" w:rsidRPr="00FD119B" w14:paraId="6E8E3396" w14:textId="77777777" w:rsidTr="004C4DBD">
        <w:tc>
          <w:tcPr>
            <w:tcW w:w="2518" w:type="dxa"/>
          </w:tcPr>
          <w:p w14:paraId="30E999A0" w14:textId="77777777" w:rsidR="00A96457" w:rsidRDefault="00A96457" w:rsidP="004C4DBD">
            <w:pPr>
              <w:rPr>
                <w:color w:val="auto"/>
                <w:szCs w:val="22"/>
              </w:rPr>
            </w:pPr>
            <w:r>
              <w:t>EMA</w:t>
            </w:r>
          </w:p>
        </w:tc>
        <w:tc>
          <w:tcPr>
            <w:tcW w:w="6062" w:type="dxa"/>
          </w:tcPr>
          <w:p w14:paraId="0CB74993" w14:textId="77777777" w:rsidR="00A96457" w:rsidRDefault="00A96457" w:rsidP="004C4DBD">
            <w:pPr>
              <w:rPr>
                <w:color w:val="auto"/>
                <w:szCs w:val="22"/>
              </w:rPr>
            </w:pPr>
            <w:r>
              <w:t>European Medicines Agency</w:t>
            </w:r>
          </w:p>
        </w:tc>
      </w:tr>
      <w:tr w:rsidR="00A96457" w:rsidRPr="00FD119B" w14:paraId="3671A17C" w14:textId="77777777" w:rsidTr="004C4DBD">
        <w:tc>
          <w:tcPr>
            <w:tcW w:w="2518" w:type="dxa"/>
          </w:tcPr>
          <w:p w14:paraId="605E019E" w14:textId="77777777" w:rsidR="00A96457" w:rsidRDefault="00A96457" w:rsidP="004C4DBD">
            <w:pPr>
              <w:rPr>
                <w:color w:val="auto"/>
                <w:szCs w:val="22"/>
              </w:rPr>
            </w:pPr>
            <w:r>
              <w:t>EOI</w:t>
            </w:r>
          </w:p>
        </w:tc>
        <w:tc>
          <w:tcPr>
            <w:tcW w:w="6062" w:type="dxa"/>
          </w:tcPr>
          <w:p w14:paraId="1170FB9E" w14:textId="77777777" w:rsidR="00A96457" w:rsidRDefault="00A96457" w:rsidP="004C4DBD">
            <w:pPr>
              <w:rPr>
                <w:color w:val="auto"/>
                <w:szCs w:val="22"/>
              </w:rPr>
            </w:pPr>
            <w:r>
              <w:t>Event of interest</w:t>
            </w:r>
          </w:p>
        </w:tc>
      </w:tr>
      <w:tr w:rsidR="00A96457" w:rsidRPr="00FD119B" w14:paraId="3B79AAA0" w14:textId="77777777" w:rsidTr="004C4DBD">
        <w:tc>
          <w:tcPr>
            <w:tcW w:w="2518" w:type="dxa"/>
          </w:tcPr>
          <w:p w14:paraId="404CD7A8" w14:textId="77777777" w:rsidR="00A96457" w:rsidRDefault="00A96457" w:rsidP="004C4DBD">
            <w:pPr>
              <w:rPr>
                <w:color w:val="auto"/>
                <w:szCs w:val="22"/>
              </w:rPr>
            </w:pPr>
            <w:r>
              <w:t>EU</w:t>
            </w:r>
          </w:p>
        </w:tc>
        <w:tc>
          <w:tcPr>
            <w:tcW w:w="6062" w:type="dxa"/>
          </w:tcPr>
          <w:p w14:paraId="5EFA180E" w14:textId="77777777" w:rsidR="00A96457" w:rsidRDefault="00A96457" w:rsidP="004C4DBD">
            <w:pPr>
              <w:rPr>
                <w:color w:val="auto"/>
                <w:szCs w:val="22"/>
              </w:rPr>
            </w:pPr>
            <w:r>
              <w:t>European Union</w:t>
            </w:r>
          </w:p>
        </w:tc>
      </w:tr>
      <w:tr w:rsidR="00A96457" w:rsidRPr="00FD119B" w14:paraId="7D3C796A" w14:textId="77777777" w:rsidTr="004C4DBD">
        <w:tc>
          <w:tcPr>
            <w:tcW w:w="2518" w:type="dxa"/>
          </w:tcPr>
          <w:p w14:paraId="45939849" w14:textId="77777777" w:rsidR="00A96457" w:rsidRDefault="00A96457" w:rsidP="004C4DBD">
            <w:pPr>
              <w:rPr>
                <w:color w:val="auto"/>
                <w:szCs w:val="22"/>
              </w:rPr>
            </w:pPr>
            <w:r>
              <w:lastRenderedPageBreak/>
              <w:t>FAS</w:t>
            </w:r>
          </w:p>
        </w:tc>
        <w:tc>
          <w:tcPr>
            <w:tcW w:w="6062" w:type="dxa"/>
          </w:tcPr>
          <w:p w14:paraId="4A461265" w14:textId="77777777" w:rsidR="00A96457" w:rsidRDefault="00A96457" w:rsidP="004C4DBD">
            <w:pPr>
              <w:rPr>
                <w:color w:val="auto"/>
                <w:szCs w:val="22"/>
              </w:rPr>
            </w:pPr>
            <w:r>
              <w:t>Full analysis set</w:t>
            </w:r>
          </w:p>
        </w:tc>
      </w:tr>
      <w:tr w:rsidR="00A96457" w:rsidRPr="00FD119B" w14:paraId="126628A5" w14:textId="77777777" w:rsidTr="004C4DBD">
        <w:tc>
          <w:tcPr>
            <w:tcW w:w="2518" w:type="dxa"/>
          </w:tcPr>
          <w:p w14:paraId="140AD7B7" w14:textId="77777777" w:rsidR="00A96457" w:rsidRDefault="00A96457" w:rsidP="004C4DBD">
            <w:pPr>
              <w:rPr>
                <w:color w:val="auto"/>
                <w:szCs w:val="22"/>
              </w:rPr>
            </w:pPr>
            <w:r>
              <w:t>FDA</w:t>
            </w:r>
          </w:p>
        </w:tc>
        <w:tc>
          <w:tcPr>
            <w:tcW w:w="6062" w:type="dxa"/>
          </w:tcPr>
          <w:p w14:paraId="7F0232DC" w14:textId="77777777" w:rsidR="00A96457" w:rsidRDefault="00A96457" w:rsidP="004C4DBD">
            <w:pPr>
              <w:rPr>
                <w:color w:val="auto"/>
                <w:szCs w:val="22"/>
              </w:rPr>
            </w:pPr>
            <w:r>
              <w:t>Food and Drug Administration (USA)</w:t>
            </w:r>
          </w:p>
        </w:tc>
      </w:tr>
      <w:tr w:rsidR="00A96457" w:rsidRPr="00FD119B" w14:paraId="1998D108" w14:textId="77777777" w:rsidTr="004C4DBD">
        <w:tc>
          <w:tcPr>
            <w:tcW w:w="2518" w:type="dxa"/>
          </w:tcPr>
          <w:p w14:paraId="58B89C12" w14:textId="77777777" w:rsidR="00A96457" w:rsidRDefault="00A96457" w:rsidP="004C4DBD">
            <w:pPr>
              <w:rPr>
                <w:color w:val="auto"/>
                <w:szCs w:val="22"/>
              </w:rPr>
            </w:pPr>
            <w:r>
              <w:t>HR</w:t>
            </w:r>
          </w:p>
        </w:tc>
        <w:tc>
          <w:tcPr>
            <w:tcW w:w="6062" w:type="dxa"/>
          </w:tcPr>
          <w:p w14:paraId="3D484C03" w14:textId="7D9BAC61" w:rsidR="00A96457" w:rsidRDefault="005B6383" w:rsidP="004C4DBD">
            <w:pPr>
              <w:rPr>
                <w:color w:val="auto"/>
                <w:szCs w:val="22"/>
              </w:rPr>
            </w:pPr>
            <w:r>
              <w:t>High risk</w:t>
            </w:r>
          </w:p>
        </w:tc>
      </w:tr>
      <w:tr w:rsidR="00A96457" w:rsidRPr="00FD119B" w14:paraId="5435C791" w14:textId="77777777" w:rsidTr="004C4DBD">
        <w:tc>
          <w:tcPr>
            <w:tcW w:w="2518" w:type="dxa"/>
          </w:tcPr>
          <w:p w14:paraId="1697CD64" w14:textId="77777777" w:rsidR="00A96457" w:rsidRDefault="00A96457" w:rsidP="004C4DBD">
            <w:pPr>
              <w:rPr>
                <w:color w:val="auto"/>
                <w:szCs w:val="22"/>
              </w:rPr>
            </w:pPr>
            <w:r>
              <w:t>HSCT</w:t>
            </w:r>
          </w:p>
        </w:tc>
        <w:tc>
          <w:tcPr>
            <w:tcW w:w="6062" w:type="dxa"/>
          </w:tcPr>
          <w:p w14:paraId="58AF329E" w14:textId="77777777" w:rsidR="00A96457" w:rsidRDefault="00A96457" w:rsidP="004C4DBD">
            <w:pPr>
              <w:rPr>
                <w:color w:val="auto"/>
                <w:szCs w:val="22"/>
              </w:rPr>
            </w:pPr>
            <w:r>
              <w:t>Haematopoietic stem cell transplantation</w:t>
            </w:r>
          </w:p>
        </w:tc>
      </w:tr>
      <w:tr w:rsidR="00A96457" w:rsidRPr="00FD119B" w14:paraId="35CDB638" w14:textId="77777777" w:rsidTr="004C4DBD">
        <w:tc>
          <w:tcPr>
            <w:tcW w:w="2518" w:type="dxa"/>
          </w:tcPr>
          <w:p w14:paraId="2E35DC4B" w14:textId="77777777" w:rsidR="00A96457" w:rsidRDefault="00A96457" w:rsidP="004C4DBD">
            <w:pPr>
              <w:rPr>
                <w:color w:val="auto"/>
                <w:szCs w:val="22"/>
              </w:rPr>
            </w:pPr>
            <w:r>
              <w:t>ICH</w:t>
            </w:r>
          </w:p>
        </w:tc>
        <w:tc>
          <w:tcPr>
            <w:tcW w:w="6062" w:type="dxa"/>
          </w:tcPr>
          <w:p w14:paraId="6351022F" w14:textId="77777777" w:rsidR="00A96457" w:rsidRDefault="00A96457" w:rsidP="004C4DBD">
            <w:pPr>
              <w:rPr>
                <w:color w:val="auto"/>
                <w:szCs w:val="22"/>
              </w:rPr>
            </w:pPr>
            <w:r>
              <w:t>International Conference on Harmonisation</w:t>
            </w:r>
          </w:p>
        </w:tc>
      </w:tr>
      <w:tr w:rsidR="00A96457" w:rsidRPr="00FD119B" w14:paraId="7A1666E4" w14:textId="77777777" w:rsidTr="004C4DBD">
        <w:tc>
          <w:tcPr>
            <w:tcW w:w="2518" w:type="dxa"/>
          </w:tcPr>
          <w:p w14:paraId="17C8D592" w14:textId="77777777" w:rsidR="00A96457" w:rsidRDefault="00A96457" w:rsidP="004C4DBD">
            <w:pPr>
              <w:rPr>
                <w:color w:val="auto"/>
                <w:szCs w:val="22"/>
              </w:rPr>
            </w:pPr>
            <w:r>
              <w:t>ISAP</w:t>
            </w:r>
          </w:p>
        </w:tc>
        <w:tc>
          <w:tcPr>
            <w:tcW w:w="6062" w:type="dxa"/>
          </w:tcPr>
          <w:p w14:paraId="0EB6137D" w14:textId="77777777" w:rsidR="00A96457" w:rsidRDefault="00A96457" w:rsidP="004C4DBD">
            <w:pPr>
              <w:rPr>
                <w:color w:val="auto"/>
                <w:szCs w:val="22"/>
              </w:rPr>
            </w:pPr>
            <w:r>
              <w:t>Integrated statistical analysis plan</w:t>
            </w:r>
          </w:p>
        </w:tc>
      </w:tr>
      <w:tr w:rsidR="00A96457" w:rsidRPr="00FD119B" w14:paraId="067D3EF0" w14:textId="77777777" w:rsidTr="004C4DBD">
        <w:tc>
          <w:tcPr>
            <w:tcW w:w="2518" w:type="dxa"/>
          </w:tcPr>
          <w:p w14:paraId="487639C8" w14:textId="77777777" w:rsidR="00A96457" w:rsidRDefault="00A96457" w:rsidP="004C4DBD">
            <w:pPr>
              <w:rPr>
                <w:color w:val="auto"/>
                <w:szCs w:val="22"/>
              </w:rPr>
            </w:pPr>
            <w:r>
              <w:t>ISE</w:t>
            </w:r>
          </w:p>
        </w:tc>
        <w:tc>
          <w:tcPr>
            <w:tcW w:w="6062" w:type="dxa"/>
          </w:tcPr>
          <w:p w14:paraId="7A93785B" w14:textId="7C41746D" w:rsidR="00A96457" w:rsidRDefault="00A96457" w:rsidP="004C4DBD">
            <w:pPr>
              <w:rPr>
                <w:color w:val="auto"/>
                <w:szCs w:val="22"/>
              </w:rPr>
            </w:pPr>
            <w:r>
              <w:t xml:space="preserve">Integrated summary of </w:t>
            </w:r>
            <w:r w:rsidR="005B6383">
              <w:t>efficacy</w:t>
            </w:r>
          </w:p>
        </w:tc>
      </w:tr>
      <w:tr w:rsidR="00A96457" w:rsidRPr="00FD119B" w14:paraId="6AC015D8" w14:textId="77777777" w:rsidTr="004C4DBD">
        <w:tc>
          <w:tcPr>
            <w:tcW w:w="2518" w:type="dxa"/>
          </w:tcPr>
          <w:p w14:paraId="0DE424AE" w14:textId="77777777" w:rsidR="00A96457" w:rsidRDefault="00A96457" w:rsidP="004C4DBD">
            <w:pPr>
              <w:rPr>
                <w:color w:val="auto"/>
                <w:szCs w:val="22"/>
              </w:rPr>
            </w:pPr>
            <w:r>
              <w:t>ISS</w:t>
            </w:r>
          </w:p>
        </w:tc>
        <w:tc>
          <w:tcPr>
            <w:tcW w:w="6062" w:type="dxa"/>
          </w:tcPr>
          <w:p w14:paraId="045FD020" w14:textId="77777777" w:rsidR="00A96457" w:rsidRDefault="00A96457" w:rsidP="004C4DBD">
            <w:pPr>
              <w:rPr>
                <w:color w:val="auto"/>
                <w:szCs w:val="22"/>
              </w:rPr>
            </w:pPr>
            <w:r>
              <w:t>Integrated summary of safety</w:t>
            </w:r>
          </w:p>
        </w:tc>
      </w:tr>
      <w:tr w:rsidR="00A96457" w:rsidRPr="00FD119B" w14:paraId="4AFC095B" w14:textId="77777777" w:rsidTr="004C4DBD">
        <w:tc>
          <w:tcPr>
            <w:tcW w:w="2518" w:type="dxa"/>
          </w:tcPr>
          <w:p w14:paraId="6612DE7A" w14:textId="77777777" w:rsidR="00A96457" w:rsidRDefault="00A96457" w:rsidP="004C4DBD">
            <w:pPr>
              <w:rPr>
                <w:color w:val="auto"/>
                <w:szCs w:val="22"/>
              </w:rPr>
            </w:pPr>
            <w:r>
              <w:t>KM</w:t>
            </w:r>
          </w:p>
        </w:tc>
        <w:tc>
          <w:tcPr>
            <w:tcW w:w="6062" w:type="dxa"/>
          </w:tcPr>
          <w:p w14:paraId="7CEDD472" w14:textId="77777777" w:rsidR="00A96457" w:rsidRDefault="00A96457" w:rsidP="004C4DBD">
            <w:pPr>
              <w:rPr>
                <w:color w:val="auto"/>
                <w:szCs w:val="22"/>
              </w:rPr>
            </w:pPr>
            <w:r>
              <w:t>Kaplan Meier</w:t>
            </w:r>
          </w:p>
        </w:tc>
      </w:tr>
      <w:tr w:rsidR="00A96457" w:rsidRPr="00FD119B" w14:paraId="0AFEA557" w14:textId="77777777" w:rsidTr="004C4DBD">
        <w:tc>
          <w:tcPr>
            <w:tcW w:w="2518" w:type="dxa"/>
          </w:tcPr>
          <w:p w14:paraId="455F9238" w14:textId="77777777" w:rsidR="00A96457" w:rsidRDefault="00A96457" w:rsidP="004C4DBD">
            <w:pPr>
              <w:rPr>
                <w:color w:val="auto"/>
                <w:szCs w:val="22"/>
              </w:rPr>
            </w:pPr>
            <w:r>
              <w:t>MRD</w:t>
            </w:r>
          </w:p>
        </w:tc>
        <w:tc>
          <w:tcPr>
            <w:tcW w:w="6062" w:type="dxa"/>
          </w:tcPr>
          <w:p w14:paraId="7E79354C" w14:textId="77777777" w:rsidR="00A96457" w:rsidRDefault="00A96457" w:rsidP="004C4DBD">
            <w:pPr>
              <w:rPr>
                <w:color w:val="auto"/>
                <w:szCs w:val="22"/>
              </w:rPr>
            </w:pPr>
            <w:r>
              <w:t>Minimal residual disease</w:t>
            </w:r>
          </w:p>
        </w:tc>
      </w:tr>
      <w:tr w:rsidR="00A96457" w:rsidRPr="00FD119B" w14:paraId="08FBF8DE" w14:textId="77777777" w:rsidTr="004C4DBD">
        <w:tc>
          <w:tcPr>
            <w:tcW w:w="2518" w:type="dxa"/>
          </w:tcPr>
          <w:p w14:paraId="6619B07A" w14:textId="77777777" w:rsidR="00A96457" w:rsidRDefault="00A96457" w:rsidP="004C4DBD">
            <w:pPr>
              <w:rPr>
                <w:color w:val="auto"/>
                <w:szCs w:val="22"/>
              </w:rPr>
            </w:pPr>
            <w:r>
              <w:t>MT103</w:t>
            </w:r>
          </w:p>
        </w:tc>
        <w:tc>
          <w:tcPr>
            <w:tcW w:w="6062" w:type="dxa"/>
          </w:tcPr>
          <w:p w14:paraId="0294292B" w14:textId="53A18663" w:rsidR="00A96457" w:rsidRDefault="00090CBC" w:rsidP="004C4DBD">
            <w:pPr>
              <w:rPr>
                <w:color w:val="auto"/>
                <w:szCs w:val="22"/>
              </w:rPr>
            </w:pPr>
            <w:proofErr w:type="spellStart"/>
            <w:r>
              <w:t>Blinatumomab</w:t>
            </w:r>
            <w:proofErr w:type="spellEnd"/>
            <w:r>
              <w:t xml:space="preserve"> (drug development code name)</w:t>
            </w:r>
          </w:p>
        </w:tc>
      </w:tr>
      <w:tr w:rsidR="00A96457" w:rsidRPr="00FD119B" w14:paraId="767A03BC" w14:textId="77777777" w:rsidTr="004C4DBD">
        <w:tc>
          <w:tcPr>
            <w:tcW w:w="2518" w:type="dxa"/>
          </w:tcPr>
          <w:p w14:paraId="45871080" w14:textId="77777777" w:rsidR="00A96457" w:rsidRDefault="00A96457" w:rsidP="004C4DBD">
            <w:pPr>
              <w:rPr>
                <w:color w:val="auto"/>
                <w:szCs w:val="22"/>
              </w:rPr>
            </w:pPr>
            <w:r>
              <w:t>NCCN</w:t>
            </w:r>
          </w:p>
        </w:tc>
        <w:tc>
          <w:tcPr>
            <w:tcW w:w="6062" w:type="dxa"/>
          </w:tcPr>
          <w:p w14:paraId="6990E3A4" w14:textId="77777777" w:rsidR="00A96457" w:rsidRDefault="00A96457" w:rsidP="004C4DBD">
            <w:pPr>
              <w:rPr>
                <w:color w:val="auto"/>
                <w:szCs w:val="22"/>
              </w:rPr>
            </w:pPr>
            <w:r>
              <w:t>National Comprehensive Cancer Network</w:t>
            </w:r>
          </w:p>
        </w:tc>
      </w:tr>
      <w:tr w:rsidR="00A96457" w:rsidRPr="00FD119B" w14:paraId="0BCE3E73" w14:textId="77777777" w:rsidTr="004C4DBD">
        <w:tc>
          <w:tcPr>
            <w:tcW w:w="2518" w:type="dxa"/>
          </w:tcPr>
          <w:p w14:paraId="41EE387C" w14:textId="77777777" w:rsidR="00A96457" w:rsidRDefault="00A96457" w:rsidP="004C4DBD">
            <w:pPr>
              <w:rPr>
                <w:color w:val="auto"/>
                <w:szCs w:val="22"/>
              </w:rPr>
            </w:pPr>
            <w:r>
              <w:t>NE/ne</w:t>
            </w:r>
          </w:p>
        </w:tc>
        <w:tc>
          <w:tcPr>
            <w:tcW w:w="6062" w:type="dxa"/>
          </w:tcPr>
          <w:p w14:paraId="6AF9CA2E" w14:textId="77777777" w:rsidR="00A96457" w:rsidRDefault="00A96457" w:rsidP="004C4DBD">
            <w:pPr>
              <w:rPr>
                <w:color w:val="auto"/>
                <w:szCs w:val="22"/>
              </w:rPr>
            </w:pPr>
            <w:r>
              <w:t>Not estimable</w:t>
            </w:r>
          </w:p>
        </w:tc>
      </w:tr>
      <w:tr w:rsidR="00A96457" w:rsidRPr="00FD119B" w14:paraId="373CC5E4" w14:textId="77777777" w:rsidTr="004C4DBD">
        <w:tc>
          <w:tcPr>
            <w:tcW w:w="2518" w:type="dxa"/>
          </w:tcPr>
          <w:p w14:paraId="1E1E0074" w14:textId="77777777" w:rsidR="00A96457" w:rsidRDefault="00A96457" w:rsidP="004C4DBD">
            <w:pPr>
              <w:rPr>
                <w:color w:val="auto"/>
                <w:szCs w:val="22"/>
              </w:rPr>
            </w:pPr>
            <w:r>
              <w:t>OS</w:t>
            </w:r>
          </w:p>
        </w:tc>
        <w:tc>
          <w:tcPr>
            <w:tcW w:w="6062" w:type="dxa"/>
          </w:tcPr>
          <w:p w14:paraId="00041240" w14:textId="77777777" w:rsidR="00A96457" w:rsidRDefault="00A96457" w:rsidP="004C4DBD">
            <w:pPr>
              <w:rPr>
                <w:color w:val="auto"/>
                <w:szCs w:val="22"/>
              </w:rPr>
            </w:pPr>
            <w:r>
              <w:t>Overall survival</w:t>
            </w:r>
          </w:p>
        </w:tc>
      </w:tr>
      <w:tr w:rsidR="00A96457" w:rsidRPr="00FD119B" w14:paraId="5271B2D5" w14:textId="77777777" w:rsidTr="004C4DBD">
        <w:tc>
          <w:tcPr>
            <w:tcW w:w="2518" w:type="dxa"/>
          </w:tcPr>
          <w:p w14:paraId="2750C343" w14:textId="77777777" w:rsidR="00A96457" w:rsidRDefault="00A96457" w:rsidP="004C4DBD">
            <w:pPr>
              <w:rPr>
                <w:color w:val="auto"/>
                <w:szCs w:val="22"/>
              </w:rPr>
            </w:pPr>
            <w:r>
              <w:t>PCR</w:t>
            </w:r>
          </w:p>
        </w:tc>
        <w:tc>
          <w:tcPr>
            <w:tcW w:w="6062" w:type="dxa"/>
          </w:tcPr>
          <w:p w14:paraId="605FB362" w14:textId="77777777" w:rsidR="00A96457" w:rsidRDefault="00A96457" w:rsidP="004C4DBD">
            <w:pPr>
              <w:rPr>
                <w:color w:val="auto"/>
                <w:szCs w:val="22"/>
              </w:rPr>
            </w:pPr>
            <w:r>
              <w:t>Polymerase chain reaction</w:t>
            </w:r>
          </w:p>
        </w:tc>
      </w:tr>
      <w:tr w:rsidR="00A96457" w:rsidRPr="00FD119B" w14:paraId="6E3422E0" w14:textId="77777777" w:rsidTr="004C4DBD">
        <w:tc>
          <w:tcPr>
            <w:tcW w:w="2518" w:type="dxa"/>
          </w:tcPr>
          <w:p w14:paraId="6EE6755C" w14:textId="77777777" w:rsidR="00A96457" w:rsidRDefault="00A96457" w:rsidP="004C4DBD">
            <w:pPr>
              <w:rPr>
                <w:color w:val="auto"/>
                <w:szCs w:val="22"/>
              </w:rPr>
            </w:pPr>
            <w:r>
              <w:t>PD</w:t>
            </w:r>
          </w:p>
        </w:tc>
        <w:tc>
          <w:tcPr>
            <w:tcW w:w="6062" w:type="dxa"/>
          </w:tcPr>
          <w:p w14:paraId="1A313E6A" w14:textId="73FA53F0" w:rsidR="00A96457" w:rsidRDefault="00A96457" w:rsidP="004C4DBD">
            <w:pPr>
              <w:rPr>
                <w:color w:val="auto"/>
                <w:szCs w:val="22"/>
              </w:rPr>
            </w:pPr>
            <w:proofErr w:type="spellStart"/>
            <w:r>
              <w:t>Pharmacodynamic</w:t>
            </w:r>
            <w:proofErr w:type="spellEnd"/>
            <w:r w:rsidR="00090CBC">
              <w:t>(</w:t>
            </w:r>
            <w:r>
              <w:t>s</w:t>
            </w:r>
            <w:r w:rsidR="00090CBC">
              <w:t>)</w:t>
            </w:r>
          </w:p>
        </w:tc>
      </w:tr>
      <w:tr w:rsidR="00A96457" w:rsidRPr="00FD119B" w14:paraId="684940CD" w14:textId="77777777" w:rsidTr="004C4DBD">
        <w:tc>
          <w:tcPr>
            <w:tcW w:w="2518" w:type="dxa"/>
          </w:tcPr>
          <w:p w14:paraId="6BFBC529" w14:textId="77777777" w:rsidR="00A96457" w:rsidRDefault="00A96457" w:rsidP="004C4DBD">
            <w:pPr>
              <w:rPr>
                <w:color w:val="auto"/>
                <w:szCs w:val="22"/>
              </w:rPr>
            </w:pPr>
            <w:r>
              <w:t>PI</w:t>
            </w:r>
          </w:p>
        </w:tc>
        <w:tc>
          <w:tcPr>
            <w:tcW w:w="6062" w:type="dxa"/>
          </w:tcPr>
          <w:p w14:paraId="34C7991A" w14:textId="1659D7D0" w:rsidR="00A96457" w:rsidRDefault="00A96457" w:rsidP="004C4DBD">
            <w:pPr>
              <w:rPr>
                <w:color w:val="auto"/>
                <w:szCs w:val="22"/>
              </w:rPr>
            </w:pPr>
            <w:r>
              <w:t xml:space="preserve">Product </w:t>
            </w:r>
            <w:r w:rsidR="00090CBC">
              <w:t>I</w:t>
            </w:r>
            <w:r>
              <w:t>nformation</w:t>
            </w:r>
          </w:p>
        </w:tc>
      </w:tr>
      <w:tr w:rsidR="00A96457" w:rsidRPr="00FD119B" w14:paraId="64516B37" w14:textId="77777777" w:rsidTr="004C4DBD">
        <w:tc>
          <w:tcPr>
            <w:tcW w:w="2518" w:type="dxa"/>
          </w:tcPr>
          <w:p w14:paraId="0F60C15C" w14:textId="77777777" w:rsidR="00A96457" w:rsidRDefault="00A96457" w:rsidP="004C4DBD">
            <w:pPr>
              <w:rPr>
                <w:color w:val="auto"/>
                <w:szCs w:val="22"/>
              </w:rPr>
            </w:pPr>
            <w:r>
              <w:t>PK</w:t>
            </w:r>
          </w:p>
        </w:tc>
        <w:tc>
          <w:tcPr>
            <w:tcW w:w="6062" w:type="dxa"/>
          </w:tcPr>
          <w:p w14:paraId="0DE6A4EA" w14:textId="27A85E80" w:rsidR="00A96457" w:rsidRDefault="00A96457" w:rsidP="004C4DBD">
            <w:pPr>
              <w:rPr>
                <w:color w:val="auto"/>
                <w:szCs w:val="22"/>
              </w:rPr>
            </w:pPr>
            <w:r>
              <w:t>Pharmacokinetic</w:t>
            </w:r>
            <w:r w:rsidR="00090CBC">
              <w:t>(</w:t>
            </w:r>
            <w:r>
              <w:t>s</w:t>
            </w:r>
            <w:r w:rsidR="00090CBC">
              <w:t>)</w:t>
            </w:r>
          </w:p>
        </w:tc>
      </w:tr>
      <w:tr w:rsidR="00A96457" w:rsidRPr="00FD119B" w14:paraId="4159D813" w14:textId="77777777" w:rsidTr="004C4DBD">
        <w:tc>
          <w:tcPr>
            <w:tcW w:w="2518" w:type="dxa"/>
          </w:tcPr>
          <w:p w14:paraId="1639925B" w14:textId="77777777" w:rsidR="00A96457" w:rsidRDefault="00A96457" w:rsidP="004C4DBD">
            <w:pPr>
              <w:rPr>
                <w:color w:val="auto"/>
                <w:szCs w:val="22"/>
              </w:rPr>
            </w:pPr>
            <w:r>
              <w:t>PSUR</w:t>
            </w:r>
          </w:p>
        </w:tc>
        <w:tc>
          <w:tcPr>
            <w:tcW w:w="6062" w:type="dxa"/>
          </w:tcPr>
          <w:p w14:paraId="39B073DE" w14:textId="77777777" w:rsidR="00A96457" w:rsidRDefault="00A96457" w:rsidP="004C4DBD">
            <w:pPr>
              <w:rPr>
                <w:color w:val="auto"/>
                <w:szCs w:val="22"/>
              </w:rPr>
            </w:pPr>
            <w:r>
              <w:t>Periodic Safety Update Reports</w:t>
            </w:r>
          </w:p>
        </w:tc>
      </w:tr>
      <w:tr w:rsidR="00A96457" w:rsidRPr="00FD119B" w14:paraId="5E7EA5CE" w14:textId="77777777" w:rsidTr="004C4DBD">
        <w:tc>
          <w:tcPr>
            <w:tcW w:w="2518" w:type="dxa"/>
          </w:tcPr>
          <w:p w14:paraId="29B75DB3" w14:textId="77777777" w:rsidR="00A96457" w:rsidRDefault="00A96457" w:rsidP="00131F12">
            <w:pPr>
              <w:rPr>
                <w:color w:val="auto"/>
                <w:szCs w:val="22"/>
              </w:rPr>
            </w:pPr>
            <w:r>
              <w:t>R/R</w:t>
            </w:r>
          </w:p>
        </w:tc>
        <w:tc>
          <w:tcPr>
            <w:tcW w:w="6062" w:type="dxa"/>
          </w:tcPr>
          <w:p w14:paraId="7A926D79" w14:textId="77777777" w:rsidR="00A96457" w:rsidRDefault="00A96457" w:rsidP="00131F12">
            <w:pPr>
              <w:rPr>
                <w:color w:val="auto"/>
                <w:szCs w:val="22"/>
              </w:rPr>
            </w:pPr>
            <w:r>
              <w:t>Relapsed / refractory</w:t>
            </w:r>
          </w:p>
        </w:tc>
      </w:tr>
      <w:tr w:rsidR="00A96457" w:rsidRPr="00FD119B" w14:paraId="5144390B" w14:textId="77777777" w:rsidTr="004C4DBD">
        <w:tc>
          <w:tcPr>
            <w:tcW w:w="2518" w:type="dxa"/>
          </w:tcPr>
          <w:p w14:paraId="3A41766A" w14:textId="77777777" w:rsidR="00A96457" w:rsidRDefault="00A96457" w:rsidP="00131F12">
            <w:pPr>
              <w:rPr>
                <w:color w:val="auto"/>
                <w:szCs w:val="22"/>
              </w:rPr>
            </w:pPr>
            <w:r>
              <w:t>RFS</w:t>
            </w:r>
          </w:p>
        </w:tc>
        <w:tc>
          <w:tcPr>
            <w:tcW w:w="6062" w:type="dxa"/>
          </w:tcPr>
          <w:p w14:paraId="7C68885C" w14:textId="77777777" w:rsidR="00A96457" w:rsidRDefault="00A96457" w:rsidP="00131F12">
            <w:pPr>
              <w:rPr>
                <w:color w:val="auto"/>
                <w:szCs w:val="22"/>
              </w:rPr>
            </w:pPr>
            <w:r>
              <w:t>Relapse free survival</w:t>
            </w:r>
          </w:p>
        </w:tc>
      </w:tr>
      <w:tr w:rsidR="00A96457" w:rsidRPr="00FD119B" w14:paraId="3D370B95" w14:textId="77777777" w:rsidTr="004C4DBD">
        <w:tc>
          <w:tcPr>
            <w:tcW w:w="2518" w:type="dxa"/>
          </w:tcPr>
          <w:p w14:paraId="414D2C25" w14:textId="77777777" w:rsidR="00A96457" w:rsidRDefault="00A96457" w:rsidP="00131F12">
            <w:pPr>
              <w:rPr>
                <w:color w:val="auto"/>
                <w:szCs w:val="22"/>
              </w:rPr>
            </w:pPr>
            <w:r>
              <w:t>RMP</w:t>
            </w:r>
          </w:p>
        </w:tc>
        <w:tc>
          <w:tcPr>
            <w:tcW w:w="6062" w:type="dxa"/>
          </w:tcPr>
          <w:p w14:paraId="48A3566A" w14:textId="77777777" w:rsidR="00A96457" w:rsidRDefault="00A96457" w:rsidP="00131F12">
            <w:pPr>
              <w:rPr>
                <w:color w:val="auto"/>
                <w:szCs w:val="22"/>
              </w:rPr>
            </w:pPr>
            <w:r>
              <w:t>Risk Management Plan</w:t>
            </w:r>
          </w:p>
        </w:tc>
      </w:tr>
      <w:tr w:rsidR="00A96457" w:rsidRPr="00FD119B" w14:paraId="627E4E68" w14:textId="77777777" w:rsidTr="004C4DBD">
        <w:tc>
          <w:tcPr>
            <w:tcW w:w="2518" w:type="dxa"/>
          </w:tcPr>
          <w:p w14:paraId="7D11FF39" w14:textId="77777777" w:rsidR="00A96457" w:rsidRDefault="00A96457" w:rsidP="00131F12">
            <w:pPr>
              <w:rPr>
                <w:color w:val="auto"/>
                <w:szCs w:val="22"/>
              </w:rPr>
            </w:pPr>
            <w:r>
              <w:t>SD</w:t>
            </w:r>
          </w:p>
        </w:tc>
        <w:tc>
          <w:tcPr>
            <w:tcW w:w="6062" w:type="dxa"/>
          </w:tcPr>
          <w:p w14:paraId="367931F5" w14:textId="77777777" w:rsidR="00A96457" w:rsidRDefault="00A96457" w:rsidP="00131F12">
            <w:pPr>
              <w:rPr>
                <w:color w:val="auto"/>
                <w:szCs w:val="22"/>
              </w:rPr>
            </w:pPr>
            <w:r>
              <w:t>Standard deviation</w:t>
            </w:r>
          </w:p>
        </w:tc>
      </w:tr>
      <w:tr w:rsidR="00A96457" w:rsidRPr="00FD119B" w14:paraId="4D95470C" w14:textId="77777777" w:rsidTr="004C4DBD">
        <w:tc>
          <w:tcPr>
            <w:tcW w:w="2518" w:type="dxa"/>
          </w:tcPr>
          <w:p w14:paraId="2292D3C9" w14:textId="77777777" w:rsidR="00A96457" w:rsidRDefault="00A96457" w:rsidP="00195218">
            <w:pPr>
              <w:rPr>
                <w:color w:val="auto"/>
                <w:szCs w:val="22"/>
              </w:rPr>
            </w:pPr>
            <w:r>
              <w:t>SOC</w:t>
            </w:r>
          </w:p>
        </w:tc>
        <w:tc>
          <w:tcPr>
            <w:tcW w:w="6062" w:type="dxa"/>
          </w:tcPr>
          <w:p w14:paraId="75D37DFD" w14:textId="77777777" w:rsidR="00A96457" w:rsidRDefault="00A96457" w:rsidP="00195218">
            <w:pPr>
              <w:rPr>
                <w:color w:val="auto"/>
                <w:szCs w:val="22"/>
              </w:rPr>
            </w:pPr>
            <w:r>
              <w:t>Standard of care</w:t>
            </w:r>
          </w:p>
        </w:tc>
      </w:tr>
      <w:tr w:rsidR="00A96457" w:rsidRPr="00FD119B" w14:paraId="297BE674" w14:textId="77777777" w:rsidTr="004C4DBD">
        <w:tc>
          <w:tcPr>
            <w:tcW w:w="2518" w:type="dxa"/>
          </w:tcPr>
          <w:p w14:paraId="72D3862D" w14:textId="77777777" w:rsidR="00A96457" w:rsidRDefault="00A96457" w:rsidP="00195218">
            <w:pPr>
              <w:rPr>
                <w:color w:val="auto"/>
                <w:szCs w:val="22"/>
              </w:rPr>
            </w:pPr>
            <w:proofErr w:type="spellStart"/>
            <w:r>
              <w:t>SmPC</w:t>
            </w:r>
            <w:proofErr w:type="spellEnd"/>
          </w:p>
        </w:tc>
        <w:tc>
          <w:tcPr>
            <w:tcW w:w="6062" w:type="dxa"/>
          </w:tcPr>
          <w:p w14:paraId="37CF5EFD" w14:textId="2A2EFD9A" w:rsidR="00A96457" w:rsidRDefault="00A96457" w:rsidP="00195218">
            <w:pPr>
              <w:rPr>
                <w:color w:val="auto"/>
                <w:szCs w:val="22"/>
              </w:rPr>
            </w:pPr>
            <w:r>
              <w:t>Summary of Product Characteristics (E</w:t>
            </w:r>
            <w:r w:rsidR="00090CBC">
              <w:t>U</w:t>
            </w:r>
            <w:r>
              <w:t>)</w:t>
            </w:r>
          </w:p>
        </w:tc>
      </w:tr>
      <w:tr w:rsidR="00A96457" w:rsidRPr="00FD119B" w14:paraId="3007D533" w14:textId="77777777" w:rsidTr="004C4DBD">
        <w:tc>
          <w:tcPr>
            <w:tcW w:w="2518" w:type="dxa"/>
          </w:tcPr>
          <w:p w14:paraId="4DE56036" w14:textId="77777777" w:rsidR="00A96457" w:rsidRDefault="00A96457" w:rsidP="00195218">
            <w:pPr>
              <w:rPr>
                <w:color w:val="auto"/>
                <w:szCs w:val="22"/>
              </w:rPr>
            </w:pPr>
            <w:r>
              <w:lastRenderedPageBreak/>
              <w:t>T½</w:t>
            </w:r>
          </w:p>
        </w:tc>
        <w:tc>
          <w:tcPr>
            <w:tcW w:w="6062" w:type="dxa"/>
          </w:tcPr>
          <w:p w14:paraId="73A8DBDE" w14:textId="77777777" w:rsidR="00A96457" w:rsidRDefault="00A96457" w:rsidP="00195218">
            <w:pPr>
              <w:rPr>
                <w:color w:val="auto"/>
                <w:szCs w:val="22"/>
              </w:rPr>
            </w:pPr>
            <w:r>
              <w:t>Half life</w:t>
            </w:r>
          </w:p>
        </w:tc>
      </w:tr>
      <w:tr w:rsidR="00A96457" w:rsidRPr="00FD119B" w14:paraId="6228BC66" w14:textId="77777777" w:rsidTr="004C4DBD">
        <w:tc>
          <w:tcPr>
            <w:tcW w:w="2518" w:type="dxa"/>
          </w:tcPr>
          <w:p w14:paraId="378AE19D" w14:textId="77777777" w:rsidR="00A96457" w:rsidRDefault="00A96457" w:rsidP="00195218">
            <w:pPr>
              <w:rPr>
                <w:color w:val="auto"/>
                <w:szCs w:val="22"/>
              </w:rPr>
            </w:pPr>
            <w:r>
              <w:t>TEAE</w:t>
            </w:r>
          </w:p>
        </w:tc>
        <w:tc>
          <w:tcPr>
            <w:tcW w:w="6062" w:type="dxa"/>
          </w:tcPr>
          <w:p w14:paraId="65FE26F0" w14:textId="77777777" w:rsidR="00A96457" w:rsidRDefault="00A96457" w:rsidP="00195218">
            <w:pPr>
              <w:rPr>
                <w:color w:val="auto"/>
                <w:szCs w:val="22"/>
              </w:rPr>
            </w:pPr>
            <w:r>
              <w:t>Treatment emergent adverse event</w:t>
            </w:r>
          </w:p>
        </w:tc>
      </w:tr>
      <w:tr w:rsidR="00A96457" w:rsidRPr="00FD119B" w14:paraId="70D59E38" w14:textId="77777777" w:rsidTr="004C4DBD">
        <w:tc>
          <w:tcPr>
            <w:tcW w:w="2518" w:type="dxa"/>
          </w:tcPr>
          <w:p w14:paraId="4FD06E85" w14:textId="77777777" w:rsidR="00A96457" w:rsidRDefault="00A96457" w:rsidP="00195218">
            <w:pPr>
              <w:rPr>
                <w:color w:val="auto"/>
                <w:szCs w:val="22"/>
              </w:rPr>
            </w:pPr>
            <w:r>
              <w:t>TCR</w:t>
            </w:r>
          </w:p>
        </w:tc>
        <w:tc>
          <w:tcPr>
            <w:tcW w:w="6062" w:type="dxa"/>
          </w:tcPr>
          <w:p w14:paraId="0A2CB983" w14:textId="77777777" w:rsidR="00A96457" w:rsidRDefault="00A96457" w:rsidP="00195218">
            <w:pPr>
              <w:rPr>
                <w:color w:val="auto"/>
                <w:szCs w:val="22"/>
              </w:rPr>
            </w:pPr>
            <w:r>
              <w:t>T cell receptor</w:t>
            </w:r>
          </w:p>
        </w:tc>
      </w:tr>
    </w:tbl>
    <w:p w14:paraId="29C197FF" w14:textId="77777777" w:rsidR="00FD119B" w:rsidRDefault="00FD119B"/>
    <w:p w14:paraId="02F0E8C8" w14:textId="77777777" w:rsidR="00FD119B" w:rsidRPr="00FD119B" w:rsidRDefault="00FD119B" w:rsidP="00FD119B">
      <w:pPr>
        <w:spacing w:before="0" w:after="200" w:line="0" w:lineRule="auto"/>
        <w:rPr>
          <w:b/>
          <w:i/>
          <w:sz w:val="24"/>
          <w:szCs w:val="24"/>
        </w:rPr>
      </w:pPr>
      <w:r w:rsidRPr="00FD119B">
        <w:rPr>
          <w:b/>
          <w:i/>
          <w:sz w:val="24"/>
          <w:szCs w:val="24"/>
        </w:rPr>
        <w:br w:type="page"/>
      </w:r>
    </w:p>
    <w:p w14:paraId="6F1EFDA5" w14:textId="77777777" w:rsidR="008E7846" w:rsidRDefault="00F53C07" w:rsidP="008E7846">
      <w:pPr>
        <w:pStyle w:val="Heading2"/>
      </w:pPr>
      <w:bookmarkStart w:id="5" w:name="_Toc22198167"/>
      <w:r>
        <w:lastRenderedPageBreak/>
        <w:t>I.</w:t>
      </w:r>
      <w:r w:rsidR="008E7846">
        <w:t xml:space="preserve"> Introduction to product submission</w:t>
      </w:r>
      <w:bookmarkEnd w:id="0"/>
      <w:bookmarkEnd w:id="3"/>
      <w:bookmarkEnd w:id="5"/>
    </w:p>
    <w:p w14:paraId="12F59D9B" w14:textId="77777777" w:rsidR="008E7846" w:rsidRDefault="008E7846" w:rsidP="008E7846">
      <w:pPr>
        <w:pStyle w:val="Heading3"/>
        <w:rPr>
          <w:lang w:eastAsia="en-AU"/>
        </w:rPr>
      </w:pPr>
      <w:bookmarkStart w:id="6" w:name="_Toc247691502"/>
      <w:bookmarkStart w:id="7" w:name="_Toc314842483"/>
      <w:bookmarkStart w:id="8" w:name="_Toc22198168"/>
      <w:r>
        <w:rPr>
          <w:lang w:eastAsia="en-AU"/>
        </w:rPr>
        <w:t>Submission details</w:t>
      </w:r>
      <w:bookmarkEnd w:id="6"/>
      <w:bookmarkEnd w:id="7"/>
      <w:bookmarkEnd w:id="8"/>
    </w:p>
    <w:tbl>
      <w:tblPr>
        <w:tblW w:w="9214" w:type="dxa"/>
        <w:tblInd w:w="108" w:type="dxa"/>
        <w:tblLook w:val="01E0" w:firstRow="1" w:lastRow="1" w:firstColumn="1" w:lastColumn="1" w:noHBand="0" w:noVBand="0"/>
      </w:tblPr>
      <w:tblGrid>
        <w:gridCol w:w="2907"/>
        <w:gridCol w:w="6307"/>
      </w:tblGrid>
      <w:tr w:rsidR="008E7846" w:rsidRPr="003D1E62" w14:paraId="1A4F20E7" w14:textId="77777777" w:rsidTr="00BF5C77">
        <w:trPr>
          <w:trHeight w:hRule="exact" w:val="454"/>
        </w:trPr>
        <w:tc>
          <w:tcPr>
            <w:tcW w:w="2907" w:type="dxa"/>
          </w:tcPr>
          <w:p w14:paraId="73ABF4AF"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26D6D250" w14:textId="77777777" w:rsidR="008E7846" w:rsidRPr="003D1E62" w:rsidRDefault="00F54549" w:rsidP="00F54549">
            <w:r>
              <w:t>Extension of indications</w:t>
            </w:r>
          </w:p>
        </w:tc>
      </w:tr>
      <w:tr w:rsidR="008E7846" w:rsidRPr="003D1E62" w14:paraId="1DD2581D" w14:textId="77777777" w:rsidTr="00BF5C77">
        <w:trPr>
          <w:trHeight w:hRule="exact" w:val="454"/>
        </w:trPr>
        <w:tc>
          <w:tcPr>
            <w:tcW w:w="2907" w:type="dxa"/>
          </w:tcPr>
          <w:p w14:paraId="68AE0F96" w14:textId="77777777" w:rsidR="008E7846" w:rsidRPr="003D1E62" w:rsidRDefault="008E7846" w:rsidP="003D1E62">
            <w:r w:rsidRPr="003D1E62">
              <w:rPr>
                <w:i/>
              </w:rPr>
              <w:t>Decision</w:t>
            </w:r>
            <w:r w:rsidRPr="003D1E62">
              <w:t>:</w:t>
            </w:r>
          </w:p>
        </w:tc>
        <w:tc>
          <w:tcPr>
            <w:tcW w:w="6307" w:type="dxa"/>
          </w:tcPr>
          <w:p w14:paraId="7898ED3E" w14:textId="77777777" w:rsidR="008E7846" w:rsidRPr="003D1E62" w:rsidRDefault="008E7846" w:rsidP="00F54549">
            <w:r w:rsidRPr="003D1E62">
              <w:t>Approved</w:t>
            </w:r>
          </w:p>
        </w:tc>
      </w:tr>
      <w:tr w:rsidR="008E7846" w:rsidRPr="003D1E62" w14:paraId="344BEECE" w14:textId="77777777" w:rsidTr="00BF5C77">
        <w:trPr>
          <w:trHeight w:hRule="exact" w:val="454"/>
        </w:trPr>
        <w:tc>
          <w:tcPr>
            <w:tcW w:w="2907" w:type="dxa"/>
          </w:tcPr>
          <w:p w14:paraId="298B1C4A"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58C90EDC" w14:textId="77777777" w:rsidR="008E7846" w:rsidRPr="003D1E62" w:rsidRDefault="005926D0" w:rsidP="005926D0">
            <w:r>
              <w:t>3 May 2018</w:t>
            </w:r>
          </w:p>
        </w:tc>
      </w:tr>
      <w:tr w:rsidR="00ED2922" w:rsidRPr="003D1E62" w14:paraId="08778D79" w14:textId="77777777" w:rsidTr="00BF5C77">
        <w:trPr>
          <w:trHeight w:hRule="exact" w:val="454"/>
        </w:trPr>
        <w:tc>
          <w:tcPr>
            <w:tcW w:w="2907" w:type="dxa"/>
          </w:tcPr>
          <w:p w14:paraId="6015295A" w14:textId="77777777" w:rsidR="00ED2922" w:rsidRPr="00441C3F" w:rsidRDefault="00ED2922" w:rsidP="001B5C90">
            <w:pPr>
              <w:rPr>
                <w:i/>
              </w:rPr>
            </w:pPr>
            <w:r w:rsidRPr="00441C3F">
              <w:rPr>
                <w:i/>
              </w:rPr>
              <w:t>Date of entry onto ARTG</w:t>
            </w:r>
          </w:p>
        </w:tc>
        <w:tc>
          <w:tcPr>
            <w:tcW w:w="6307" w:type="dxa"/>
          </w:tcPr>
          <w:p w14:paraId="26E05DB4" w14:textId="77777777" w:rsidR="00ED2922" w:rsidRPr="00441C3F" w:rsidRDefault="005926D0" w:rsidP="005926D0">
            <w:pPr>
              <w:rPr>
                <w:i/>
              </w:rPr>
            </w:pPr>
            <w:r>
              <w:t>7 May 2018</w:t>
            </w:r>
          </w:p>
        </w:tc>
      </w:tr>
      <w:tr w:rsidR="0089473E" w:rsidRPr="003D1E62" w14:paraId="7178A8CE" w14:textId="77777777" w:rsidTr="00BF5C77">
        <w:trPr>
          <w:trHeight w:hRule="exact" w:val="454"/>
        </w:trPr>
        <w:tc>
          <w:tcPr>
            <w:tcW w:w="2907" w:type="dxa"/>
          </w:tcPr>
          <w:p w14:paraId="6D7B0E95" w14:textId="37C1E108" w:rsidR="0089473E" w:rsidRPr="00487162" w:rsidRDefault="0089473E" w:rsidP="00B226CC">
            <w:pPr>
              <w:rPr>
                <w:i/>
              </w:rPr>
            </w:pPr>
            <w:r w:rsidRPr="00487162">
              <w:rPr>
                <w:i/>
              </w:rPr>
              <w:t xml:space="preserve">ARTG </w:t>
            </w:r>
            <w:r>
              <w:rPr>
                <w:i/>
              </w:rPr>
              <w:t>n</w:t>
            </w:r>
            <w:r w:rsidRPr="00487162">
              <w:rPr>
                <w:i/>
              </w:rPr>
              <w:t>umber</w:t>
            </w:r>
            <w:r>
              <w:rPr>
                <w:i/>
              </w:rPr>
              <w:t>:</w:t>
            </w:r>
          </w:p>
        </w:tc>
        <w:tc>
          <w:tcPr>
            <w:tcW w:w="6307" w:type="dxa"/>
          </w:tcPr>
          <w:p w14:paraId="24EB49BD" w14:textId="77777777" w:rsidR="0089473E" w:rsidRPr="00487162" w:rsidRDefault="005A615F" w:rsidP="00B226CC">
            <w:r w:rsidRPr="0029684F">
              <w:t>232805</w:t>
            </w:r>
          </w:p>
        </w:tc>
      </w:tr>
      <w:tr w:rsidR="008E7846" w:rsidRPr="00487162" w14:paraId="1EF2F554" w14:textId="77777777" w:rsidTr="00BF1190">
        <w:tc>
          <w:tcPr>
            <w:tcW w:w="2907" w:type="dxa"/>
          </w:tcPr>
          <w:p w14:paraId="7F3B6F34" w14:textId="55C94D89" w:rsidR="008E7846" w:rsidRPr="00487162" w:rsidRDefault="001B5C90" w:rsidP="00E45619">
            <w:pPr>
              <w:rPr>
                <w:i/>
              </w:rPr>
            </w:pPr>
            <w:r>
              <w:rPr>
                <w:i/>
              </w:rPr>
              <w:t>Active ingredien</w:t>
            </w:r>
            <w:r w:rsidR="00A4669C">
              <w:rPr>
                <w:i/>
              </w:rPr>
              <w:t>t</w:t>
            </w:r>
            <w:r>
              <w:rPr>
                <w:i/>
              </w:rPr>
              <w:t>:</w:t>
            </w:r>
          </w:p>
        </w:tc>
        <w:tc>
          <w:tcPr>
            <w:tcW w:w="6307" w:type="dxa"/>
          </w:tcPr>
          <w:p w14:paraId="26261B53" w14:textId="28C27B86" w:rsidR="008E7846" w:rsidRPr="00487162" w:rsidRDefault="005A615F" w:rsidP="005A615F">
            <w:proofErr w:type="spellStart"/>
            <w:r w:rsidRPr="0029684F">
              <w:t>blinatumomab</w:t>
            </w:r>
            <w:proofErr w:type="spellEnd"/>
          </w:p>
        </w:tc>
      </w:tr>
      <w:tr w:rsidR="008E7846" w:rsidRPr="00487162" w14:paraId="3BE8080B" w14:textId="77777777" w:rsidTr="00BF1190">
        <w:tc>
          <w:tcPr>
            <w:tcW w:w="2907" w:type="dxa"/>
          </w:tcPr>
          <w:p w14:paraId="69BA5781" w14:textId="5565B6F7" w:rsidR="008E7846" w:rsidRPr="00487162" w:rsidRDefault="008E7846" w:rsidP="001B5C90">
            <w:pPr>
              <w:rPr>
                <w:i/>
              </w:rPr>
            </w:pPr>
            <w:r w:rsidRPr="00487162">
              <w:rPr>
                <w:i/>
              </w:rPr>
              <w:t>Product</w:t>
            </w:r>
            <w:r w:rsidR="001B5C90">
              <w:rPr>
                <w:i/>
              </w:rPr>
              <w:t xml:space="preserve"> name:</w:t>
            </w:r>
          </w:p>
        </w:tc>
        <w:tc>
          <w:tcPr>
            <w:tcW w:w="6307" w:type="dxa"/>
          </w:tcPr>
          <w:p w14:paraId="2CBBCE59" w14:textId="77777777" w:rsidR="008E7846" w:rsidRPr="00487162" w:rsidRDefault="00242DD1" w:rsidP="00242DD1">
            <w:proofErr w:type="spellStart"/>
            <w:r>
              <w:t>Blincyto</w:t>
            </w:r>
            <w:proofErr w:type="spellEnd"/>
          </w:p>
        </w:tc>
      </w:tr>
      <w:tr w:rsidR="008E7846" w:rsidRPr="00487162" w14:paraId="27968467" w14:textId="77777777" w:rsidTr="00BF1190">
        <w:tc>
          <w:tcPr>
            <w:tcW w:w="2907" w:type="dxa"/>
          </w:tcPr>
          <w:p w14:paraId="4F89746C"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674438AF" w14:textId="5366B704" w:rsidR="00B36B44" w:rsidRDefault="00B36B44" w:rsidP="00B36B44">
            <w:r w:rsidRPr="00B36B44">
              <w:t>Amgen Australia Pty Ltd</w:t>
            </w:r>
          </w:p>
          <w:p w14:paraId="3F3F8F87" w14:textId="77777777" w:rsidR="00B36B44" w:rsidRDefault="00B36B44" w:rsidP="00B36B44">
            <w:r>
              <w:t>Mezzanine Level 115 Cotham Road</w:t>
            </w:r>
          </w:p>
          <w:p w14:paraId="047214D9" w14:textId="77777777" w:rsidR="008E7846" w:rsidRPr="00487162" w:rsidRDefault="00B36B44" w:rsidP="00B36B44">
            <w:r>
              <w:t>KEW VIC 3101</w:t>
            </w:r>
          </w:p>
        </w:tc>
      </w:tr>
      <w:tr w:rsidR="008E7846" w:rsidRPr="00487162" w14:paraId="3A8A370B" w14:textId="77777777" w:rsidTr="00BF1190">
        <w:tc>
          <w:tcPr>
            <w:tcW w:w="2907" w:type="dxa"/>
          </w:tcPr>
          <w:p w14:paraId="54622667" w14:textId="0E462C3F" w:rsidR="008E7846" w:rsidRPr="00487162" w:rsidRDefault="001B5C90" w:rsidP="00E45619">
            <w:pPr>
              <w:rPr>
                <w:i/>
              </w:rPr>
            </w:pPr>
            <w:r>
              <w:rPr>
                <w:i/>
              </w:rPr>
              <w:t>Dose form:</w:t>
            </w:r>
          </w:p>
        </w:tc>
        <w:tc>
          <w:tcPr>
            <w:tcW w:w="6307" w:type="dxa"/>
          </w:tcPr>
          <w:p w14:paraId="54682618" w14:textId="77777777" w:rsidR="008E7846" w:rsidRPr="00487162" w:rsidRDefault="005A615F" w:rsidP="005A615F">
            <w:r>
              <w:t>P</w:t>
            </w:r>
            <w:r w:rsidRPr="0029684F">
              <w:t>owder for injection</w:t>
            </w:r>
            <w:r w:rsidR="00B96EBD">
              <w:t xml:space="preserve"> with IV solution stabiliser</w:t>
            </w:r>
          </w:p>
        </w:tc>
      </w:tr>
      <w:tr w:rsidR="008E7846" w:rsidRPr="00487162" w14:paraId="02C1B496" w14:textId="77777777" w:rsidTr="00BF1190">
        <w:tc>
          <w:tcPr>
            <w:tcW w:w="2907" w:type="dxa"/>
          </w:tcPr>
          <w:p w14:paraId="636E700B" w14:textId="5E55125E" w:rsidR="008E7846" w:rsidRPr="00487162" w:rsidRDefault="008E7846" w:rsidP="00E45619">
            <w:pPr>
              <w:rPr>
                <w:i/>
              </w:rPr>
            </w:pPr>
            <w:r w:rsidRPr="00487162">
              <w:rPr>
                <w:i/>
              </w:rPr>
              <w:t>Strength:</w:t>
            </w:r>
          </w:p>
        </w:tc>
        <w:tc>
          <w:tcPr>
            <w:tcW w:w="6307" w:type="dxa"/>
          </w:tcPr>
          <w:p w14:paraId="44516CA4" w14:textId="42553707" w:rsidR="008E7846" w:rsidRPr="00487162" w:rsidRDefault="005A615F" w:rsidP="00E45619">
            <w:r w:rsidRPr="0029684F">
              <w:t xml:space="preserve">38.5 </w:t>
            </w:r>
            <w:proofErr w:type="spellStart"/>
            <w:r w:rsidR="00B96EBD">
              <w:t>μg</w:t>
            </w:r>
            <w:proofErr w:type="spellEnd"/>
          </w:p>
        </w:tc>
      </w:tr>
      <w:tr w:rsidR="008E7846" w:rsidRPr="00487162" w14:paraId="42ECE7E8" w14:textId="77777777" w:rsidTr="00BF1190">
        <w:tc>
          <w:tcPr>
            <w:tcW w:w="2907" w:type="dxa"/>
          </w:tcPr>
          <w:p w14:paraId="5C398C46" w14:textId="2C597B26" w:rsidR="008E7846" w:rsidRPr="00487162" w:rsidRDefault="008E7846" w:rsidP="00E45619">
            <w:pPr>
              <w:rPr>
                <w:i/>
              </w:rPr>
            </w:pPr>
            <w:r w:rsidRPr="00487162">
              <w:rPr>
                <w:i/>
              </w:rPr>
              <w:t>Container</w:t>
            </w:r>
            <w:r w:rsidR="00B96EBD">
              <w:rPr>
                <w:i/>
              </w:rPr>
              <w:t>s</w:t>
            </w:r>
            <w:r w:rsidRPr="00487162">
              <w:rPr>
                <w:i/>
              </w:rPr>
              <w:t>:</w:t>
            </w:r>
          </w:p>
        </w:tc>
        <w:tc>
          <w:tcPr>
            <w:tcW w:w="6307" w:type="dxa"/>
          </w:tcPr>
          <w:p w14:paraId="26C73299" w14:textId="1636855E" w:rsidR="008E7846" w:rsidRPr="00487162" w:rsidRDefault="005A615F" w:rsidP="00B96EBD">
            <w:r>
              <w:t>V</w:t>
            </w:r>
            <w:r w:rsidRPr="0029684F">
              <w:t>ial</w:t>
            </w:r>
            <w:r w:rsidR="00B96EBD">
              <w:t xml:space="preserve"> with IV solution stabiliser vial</w:t>
            </w:r>
          </w:p>
        </w:tc>
      </w:tr>
      <w:tr w:rsidR="008E7846" w:rsidRPr="00487162" w14:paraId="2A9288F6" w14:textId="77777777" w:rsidTr="00BF1190">
        <w:tc>
          <w:tcPr>
            <w:tcW w:w="2907" w:type="dxa"/>
          </w:tcPr>
          <w:p w14:paraId="15897E55" w14:textId="6FE8E270" w:rsidR="008E7846" w:rsidRPr="00487162" w:rsidRDefault="008E7846" w:rsidP="00E45619">
            <w:pPr>
              <w:rPr>
                <w:i/>
              </w:rPr>
            </w:pPr>
            <w:r w:rsidRPr="00487162">
              <w:rPr>
                <w:i/>
              </w:rPr>
              <w:t>Pack size:</w:t>
            </w:r>
          </w:p>
        </w:tc>
        <w:tc>
          <w:tcPr>
            <w:tcW w:w="6307" w:type="dxa"/>
          </w:tcPr>
          <w:p w14:paraId="56C04E8E" w14:textId="5EDFE6B5" w:rsidR="008E7846" w:rsidRPr="00487162" w:rsidRDefault="00B96EBD" w:rsidP="00E45619">
            <w:r>
              <w:t>1</w:t>
            </w:r>
          </w:p>
        </w:tc>
      </w:tr>
      <w:tr w:rsidR="008E7846" w:rsidRPr="00487162" w14:paraId="1A4EB9D1" w14:textId="77777777" w:rsidTr="00BF1190">
        <w:tc>
          <w:tcPr>
            <w:tcW w:w="2907" w:type="dxa"/>
          </w:tcPr>
          <w:p w14:paraId="529D0402"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6CAF94DE" w14:textId="77777777" w:rsidR="0038533F" w:rsidRPr="00195218" w:rsidRDefault="0038533F" w:rsidP="0038533F">
            <w:pPr>
              <w:rPr>
                <w:rFonts w:asciiTheme="minorHAnsi" w:eastAsiaTheme="minorHAnsi" w:hAnsiTheme="minorHAnsi" w:cstheme="minorBidi"/>
                <w:i/>
              </w:rPr>
            </w:pPr>
            <w:proofErr w:type="spellStart"/>
            <w:r w:rsidRPr="00195218">
              <w:rPr>
                <w:rFonts w:asciiTheme="minorHAnsi" w:hAnsiTheme="minorHAnsi" w:cstheme="minorBidi"/>
                <w:i/>
              </w:rPr>
              <w:t>Blincyto</w:t>
            </w:r>
            <w:proofErr w:type="spellEnd"/>
            <w:r w:rsidRPr="00195218">
              <w:rPr>
                <w:rFonts w:asciiTheme="minorHAnsi" w:hAnsiTheme="minorHAnsi" w:cstheme="minorBidi"/>
                <w:i/>
              </w:rPr>
              <w:t xml:space="preserve"> is indicated for the treatment of relapsed or refractory B-cell precursor acute lymphoblastic leukaemia (ALL).</w:t>
            </w:r>
          </w:p>
          <w:p w14:paraId="26EF082E" w14:textId="77777777" w:rsidR="0038533F" w:rsidRPr="00195218" w:rsidRDefault="0038533F" w:rsidP="0038533F">
            <w:pPr>
              <w:rPr>
                <w:rFonts w:asciiTheme="minorHAnsi" w:hAnsiTheme="minorHAnsi" w:cstheme="minorBidi"/>
                <w:i/>
              </w:rPr>
            </w:pPr>
            <w:proofErr w:type="spellStart"/>
            <w:r w:rsidRPr="00195218">
              <w:rPr>
                <w:rFonts w:asciiTheme="minorHAnsi" w:hAnsiTheme="minorHAnsi" w:cstheme="minorBidi"/>
                <w:i/>
              </w:rPr>
              <w:t>Blincyto</w:t>
            </w:r>
            <w:proofErr w:type="spellEnd"/>
            <w:r w:rsidRPr="00195218">
              <w:rPr>
                <w:rFonts w:asciiTheme="minorHAnsi" w:hAnsiTheme="minorHAnsi" w:cstheme="minorBidi"/>
                <w:i/>
              </w:rPr>
              <w:t xml:space="preserve"> is indicated for the treatment of minimal residual disease (MRD) positive B-cell precursor acute lymphoblastic leukaemia (ALL) in patients in complete haematological remission.</w:t>
            </w:r>
          </w:p>
          <w:p w14:paraId="5D3D78C3" w14:textId="591FBEBB" w:rsidR="008E7846" w:rsidRPr="00487162" w:rsidRDefault="0038533F" w:rsidP="005A615F">
            <w:pPr>
              <w:rPr>
                <w:rFonts w:eastAsia="MS Mincho"/>
                <w:lang w:eastAsia="ja-JP"/>
              </w:rPr>
            </w:pPr>
            <w:r w:rsidRPr="00195218">
              <w:rPr>
                <w:rFonts w:asciiTheme="minorHAnsi" w:hAnsiTheme="minorHAnsi" w:cstheme="minorBidi"/>
                <w:i/>
              </w:rPr>
              <w:t>Note to indication: the indications in Philadelphia positive, MRD positive and paediatric patients were approved based on phase II, non-randomised evidence. An improvement in clinical outcomes by direct prospective comparison in a randomised setting relative to other standard-of-care salvage therapies has not been established.</w:t>
            </w:r>
          </w:p>
        </w:tc>
      </w:tr>
      <w:tr w:rsidR="008E7846" w:rsidRPr="00487162" w14:paraId="3EAFC9F5" w14:textId="77777777" w:rsidTr="00BF1190">
        <w:tc>
          <w:tcPr>
            <w:tcW w:w="2907" w:type="dxa"/>
          </w:tcPr>
          <w:p w14:paraId="593B4CC2" w14:textId="069AD408" w:rsidR="008E7846" w:rsidRPr="00487162" w:rsidRDefault="008E7846" w:rsidP="00E45619">
            <w:pPr>
              <w:rPr>
                <w:i/>
              </w:rPr>
            </w:pPr>
            <w:r w:rsidRPr="00487162">
              <w:rPr>
                <w:i/>
              </w:rPr>
              <w:t>Route of administration:</w:t>
            </w:r>
          </w:p>
        </w:tc>
        <w:tc>
          <w:tcPr>
            <w:tcW w:w="6307" w:type="dxa"/>
          </w:tcPr>
          <w:p w14:paraId="52FC9367" w14:textId="77777777" w:rsidR="008E7846" w:rsidRPr="00487162" w:rsidRDefault="005A615F" w:rsidP="00E45619">
            <w:r>
              <w:t>IV</w:t>
            </w:r>
          </w:p>
        </w:tc>
      </w:tr>
      <w:tr w:rsidR="008E7846" w:rsidRPr="00487162" w14:paraId="1AF4B271" w14:textId="77777777" w:rsidTr="00BF1190">
        <w:tc>
          <w:tcPr>
            <w:tcW w:w="2907" w:type="dxa"/>
          </w:tcPr>
          <w:p w14:paraId="78E39949" w14:textId="76D1391F" w:rsidR="008E7846" w:rsidRPr="00487162" w:rsidRDefault="008E7846" w:rsidP="00E45619">
            <w:pPr>
              <w:rPr>
                <w:i/>
              </w:rPr>
            </w:pPr>
          </w:p>
        </w:tc>
        <w:tc>
          <w:tcPr>
            <w:tcW w:w="6307" w:type="dxa"/>
          </w:tcPr>
          <w:p w14:paraId="4E7C8B31" w14:textId="042F1FA7" w:rsidR="008E7846" w:rsidRPr="00487162" w:rsidRDefault="00212ECD" w:rsidP="00090CBC">
            <w:r>
              <w:t xml:space="preserve">Weight based micrograms per day as per protocol detail in </w:t>
            </w:r>
            <w:r w:rsidR="00090CBC">
              <w:t>P</w:t>
            </w:r>
            <w:r w:rsidR="00EB0B1E">
              <w:t xml:space="preserve">roduct </w:t>
            </w:r>
            <w:r w:rsidR="00090CBC">
              <w:t>I</w:t>
            </w:r>
            <w:r w:rsidR="00EB0B1E">
              <w:t>nformation (</w:t>
            </w:r>
            <w:r w:rsidR="000B38D2">
              <w:t>PI</w:t>
            </w:r>
            <w:r w:rsidR="00EB0B1E">
              <w:t>)</w:t>
            </w:r>
            <w:r w:rsidR="00B96EBD">
              <w:t>.</w:t>
            </w:r>
            <w:r>
              <w:t xml:space="preserve"> </w:t>
            </w:r>
            <w:r w:rsidR="00B96EBD">
              <w:t>F</w:t>
            </w:r>
            <w:r>
              <w:t>or specialist use only</w:t>
            </w:r>
            <w:r w:rsidR="00B96EBD">
              <w:t>.</w:t>
            </w:r>
          </w:p>
        </w:tc>
      </w:tr>
    </w:tbl>
    <w:p w14:paraId="386E5226" w14:textId="77777777" w:rsidR="008E7846" w:rsidRDefault="008E7846" w:rsidP="00811F68">
      <w:pPr>
        <w:pStyle w:val="Heading3"/>
      </w:pPr>
      <w:bookmarkStart w:id="9" w:name="_Toc247691503"/>
      <w:bookmarkStart w:id="10" w:name="_Toc314842484"/>
      <w:bookmarkStart w:id="11" w:name="_Toc22198169"/>
      <w:r>
        <w:t>Product background</w:t>
      </w:r>
      <w:bookmarkEnd w:id="9"/>
      <w:bookmarkEnd w:id="10"/>
      <w:bookmarkEnd w:id="11"/>
    </w:p>
    <w:p w14:paraId="7B523F03" w14:textId="75713850" w:rsidR="008E7846" w:rsidRDefault="000537E6" w:rsidP="00940A89">
      <w:r w:rsidRPr="00811F68">
        <w:t>T</w:t>
      </w:r>
      <w:r w:rsidR="00940A89" w:rsidRPr="00811F68">
        <w:t xml:space="preserve">his AusPAR describes the application by </w:t>
      </w:r>
      <w:r w:rsidRPr="00811F68">
        <w:t xml:space="preserve">Amgen Australia Pty Ltd </w:t>
      </w:r>
      <w:r w:rsidR="00B96EBD">
        <w:t xml:space="preserve">(the sponsor) </w:t>
      </w:r>
      <w:r w:rsidR="00940A89" w:rsidRPr="00811F68">
        <w:t xml:space="preserve">to register </w:t>
      </w:r>
      <w:proofErr w:type="spellStart"/>
      <w:r w:rsidRPr="00811F68">
        <w:t>Blincyto</w:t>
      </w:r>
      <w:proofErr w:type="spellEnd"/>
      <w:r w:rsidRPr="00811F68">
        <w:t xml:space="preserve"> containing </w:t>
      </w:r>
      <w:proofErr w:type="spellStart"/>
      <w:r w:rsidRPr="00811F68">
        <w:t>blinatumomab</w:t>
      </w:r>
      <w:proofErr w:type="spellEnd"/>
      <w:r w:rsidRPr="00811F68">
        <w:t xml:space="preserve"> </w:t>
      </w:r>
      <w:r w:rsidR="00940A89" w:rsidRPr="00811F68">
        <w:t>for the following</w:t>
      </w:r>
      <w:r w:rsidR="00B96EBD">
        <w:t xml:space="preserve"> extension of</w:t>
      </w:r>
      <w:r w:rsidR="00940A89" w:rsidRPr="00811F68">
        <w:t xml:space="preserve"> indication</w:t>
      </w:r>
      <w:r>
        <w:t>:</w:t>
      </w:r>
    </w:p>
    <w:p w14:paraId="1D4853AC" w14:textId="0BD3306B" w:rsidR="000537E6" w:rsidRPr="00811F68" w:rsidRDefault="000537E6" w:rsidP="00811F68">
      <w:r w:rsidRPr="00811F68">
        <w:lastRenderedPageBreak/>
        <w:t>Initially proposed by sponsor</w:t>
      </w:r>
      <w:r w:rsidR="00BE48ED">
        <w:rPr>
          <w:rStyle w:val="FootnoteReference"/>
        </w:rPr>
        <w:footnoteReference w:id="1"/>
      </w:r>
      <w:r w:rsidR="00A97AE3">
        <w:t>:</w:t>
      </w:r>
    </w:p>
    <w:p w14:paraId="00AA3297" w14:textId="46DB5B24" w:rsidR="00031B12" w:rsidRPr="00195218" w:rsidRDefault="000537E6" w:rsidP="00811F68">
      <w:pPr>
        <w:pStyle w:val="ListBullet"/>
        <w:rPr>
          <w:i/>
        </w:rPr>
      </w:pPr>
      <w:proofErr w:type="spellStart"/>
      <w:r w:rsidRPr="00195218">
        <w:rPr>
          <w:i/>
        </w:rPr>
        <w:t>Blincyto</w:t>
      </w:r>
      <w:proofErr w:type="spellEnd"/>
      <w:r w:rsidRPr="00195218">
        <w:rPr>
          <w:i/>
        </w:rPr>
        <w:t xml:space="preserve"> is indicated for the treatment of relapsed or refractory B-cell precursor acute lymphoblastic leukaemia (ALL)</w:t>
      </w:r>
      <w:r w:rsidR="00031B12" w:rsidRPr="00195218">
        <w:rPr>
          <w:i/>
        </w:rPr>
        <w:t>.</w:t>
      </w:r>
    </w:p>
    <w:p w14:paraId="32033CC2" w14:textId="1D48FABF" w:rsidR="00031B12" w:rsidRPr="00195218" w:rsidRDefault="000537E6" w:rsidP="00811F68">
      <w:pPr>
        <w:pStyle w:val="ListBullet"/>
        <w:rPr>
          <w:i/>
        </w:rPr>
      </w:pPr>
      <w:proofErr w:type="spellStart"/>
      <w:r w:rsidRPr="00195218">
        <w:rPr>
          <w:i/>
        </w:rPr>
        <w:t>Blincyto</w:t>
      </w:r>
      <w:proofErr w:type="spellEnd"/>
      <w:r w:rsidRPr="00195218">
        <w:rPr>
          <w:i/>
        </w:rPr>
        <w:t xml:space="preserve"> is indicated for the treatment of minimal residual disease (MRD) positive B-cell precursor acute lymphoblastic leukaemia</w:t>
      </w:r>
      <w:r w:rsidR="00011AF8" w:rsidRPr="00195218">
        <w:rPr>
          <w:i/>
        </w:rPr>
        <w:t xml:space="preserve"> </w:t>
      </w:r>
      <w:r w:rsidRPr="00195218">
        <w:rPr>
          <w:i/>
        </w:rPr>
        <w:t>(ALL)</w:t>
      </w:r>
      <w:r w:rsidR="00031B12" w:rsidRPr="00195218">
        <w:rPr>
          <w:i/>
        </w:rPr>
        <w:t>.</w:t>
      </w:r>
    </w:p>
    <w:p w14:paraId="413EA5FF" w14:textId="77777777" w:rsidR="000537E6" w:rsidRPr="00195218" w:rsidRDefault="000537E6" w:rsidP="00195218">
      <w:pPr>
        <w:ind w:left="360"/>
        <w:rPr>
          <w:i/>
        </w:rPr>
      </w:pPr>
      <w:r w:rsidRPr="00195218">
        <w:rPr>
          <w:i/>
        </w:rPr>
        <w:t>Note to indication: the indications in Philadelphia positive, MRD positive and paediatric patients were approved based on phase II, non-randomised evidence. An improvement in clinical outcomes by direct prospective comparison in a randomised setting relative to other standard-of-care salvage therapies has not been established.</w:t>
      </w:r>
    </w:p>
    <w:p w14:paraId="4485056B" w14:textId="77777777" w:rsidR="00005CC2" w:rsidRPr="00005CC2" w:rsidRDefault="00005CC2" w:rsidP="00005CC2">
      <w:r w:rsidRPr="00005CC2">
        <w:t>This submission contains data to amend the indications to include:</w:t>
      </w:r>
    </w:p>
    <w:p w14:paraId="3E2DA673" w14:textId="77777777" w:rsidR="00005CC2" w:rsidRDefault="00005CC2" w:rsidP="00195218">
      <w:pPr>
        <w:pStyle w:val="ListBullet"/>
      </w:pPr>
      <w:r>
        <w:t>Use in adults with relapsed or refractory Philadelphia positive B-precursor ALL</w:t>
      </w:r>
    </w:p>
    <w:p w14:paraId="785755AD" w14:textId="77777777" w:rsidR="00005CC2" w:rsidRDefault="00005CC2" w:rsidP="00195218">
      <w:pPr>
        <w:pStyle w:val="ListBullet"/>
      </w:pPr>
      <w:r>
        <w:t>Use in patients with relapsed or refractory B-precursor ALL who had a complete response or complete response with partial haematological recovery, but with persistent minimal residual disease</w:t>
      </w:r>
    </w:p>
    <w:p w14:paraId="497ECE20" w14:textId="77777777" w:rsidR="00005CC2" w:rsidRDefault="00005CC2" w:rsidP="00195218">
      <w:pPr>
        <w:pStyle w:val="ListBullet"/>
      </w:pPr>
      <w:r>
        <w:t xml:space="preserve">Include confirmatory information to support the initial registration in adults with </w:t>
      </w:r>
      <w:r w:rsidR="00F52D89">
        <w:t>relapsed / refractory (</w:t>
      </w:r>
      <w:r>
        <w:t>R/R</w:t>
      </w:r>
      <w:r w:rsidR="00F52D89">
        <w:t>)</w:t>
      </w:r>
      <w:r>
        <w:t xml:space="preserve"> pre-B ALL to fulfil the initial registration condition.</w:t>
      </w:r>
    </w:p>
    <w:p w14:paraId="137D57F9" w14:textId="660233FF" w:rsidR="00031B12" w:rsidRDefault="00005CC2" w:rsidP="00811F68">
      <w:r w:rsidRPr="00005CC2">
        <w:t>Minimal residual disease (MRD) is the presence of disease in individuals who have been assessed as having complete remission as assessed by conventional pathology analysis and is considered an intermediate trial end-point</w:t>
      </w:r>
      <w:r w:rsidR="00031B12">
        <w:t>.</w:t>
      </w:r>
    </w:p>
    <w:p w14:paraId="4AA4BA0E" w14:textId="7D91A110" w:rsidR="00005CC2" w:rsidRPr="00005CC2" w:rsidRDefault="00005CC2" w:rsidP="00811F68">
      <w:r w:rsidRPr="00005CC2">
        <w:t xml:space="preserve">Presence of MRD has been associated with worse event-free survival and overall survival. MRD may be measured by </w:t>
      </w:r>
      <w:proofErr w:type="spellStart"/>
      <w:r w:rsidRPr="00005CC2">
        <w:t>multiparametric</w:t>
      </w:r>
      <w:proofErr w:type="spellEnd"/>
      <w:r w:rsidRPr="00005CC2">
        <w:t xml:space="preserve"> flow cytometry or by polymerase chain reaction of the </w:t>
      </w:r>
      <w:proofErr w:type="spellStart"/>
      <w:r w:rsidRPr="00005CC2">
        <w:t>IgHVDJ</w:t>
      </w:r>
      <w:proofErr w:type="spellEnd"/>
      <w:r w:rsidRPr="00005CC2">
        <w:t xml:space="preserve"> and/or </w:t>
      </w:r>
      <w:r w:rsidR="00F52D89">
        <w:t>T cell receptor</w:t>
      </w:r>
      <w:r w:rsidR="00F52D89" w:rsidRPr="00005CC2">
        <w:t xml:space="preserve"> </w:t>
      </w:r>
      <w:r w:rsidR="00F52D89">
        <w:t>(</w:t>
      </w:r>
      <w:r w:rsidRPr="00005CC2">
        <w:t>TCR</w:t>
      </w:r>
      <w:r w:rsidR="00F52D89">
        <w:t>)</w:t>
      </w:r>
      <w:r w:rsidRPr="00005CC2">
        <w:t xml:space="preserve"> gene rearrangements, or of the appropriate leukaemia-specific marker.</w:t>
      </w:r>
      <w:r w:rsidR="00093C1B">
        <w:t xml:space="preserve"> </w:t>
      </w:r>
    </w:p>
    <w:p w14:paraId="294E85F3" w14:textId="73347FD1" w:rsidR="00031B12" w:rsidRDefault="00005CC2" w:rsidP="00811F68">
      <w:r w:rsidRPr="00005CC2">
        <w:t>MRD is a time-dependent variable, but with the relationship between efficacy being affected by the threshold at which negativity/positivity is defined, depth of response and duration of response</w:t>
      </w:r>
      <w:r w:rsidR="00031B12">
        <w:t>.</w:t>
      </w:r>
    </w:p>
    <w:p w14:paraId="447577AB" w14:textId="77777777" w:rsidR="00005CC2" w:rsidRPr="00005CC2" w:rsidRDefault="00005CC2" w:rsidP="00005CC2">
      <w:r w:rsidRPr="00005CC2">
        <w:t>For this submission where the sponsor is proposing to amend the indication to include treatment of MRD positive patients, the MRD level describing negativity/positivity is of critical importance, together with the requirement of later reporting of traditional efficacy end-points.</w:t>
      </w:r>
    </w:p>
    <w:p w14:paraId="697CC465" w14:textId="77777777" w:rsidR="008E7846" w:rsidRPr="00811F68" w:rsidRDefault="00386150" w:rsidP="00811F68">
      <w:pPr>
        <w:pStyle w:val="Heading3"/>
      </w:pPr>
      <w:bookmarkStart w:id="12" w:name="_Toc314842485"/>
      <w:bookmarkStart w:id="13" w:name="_Toc247691504"/>
      <w:bookmarkStart w:id="14" w:name="_Toc22198170"/>
      <w:r w:rsidRPr="00811F68">
        <w:t>Regulatory s</w:t>
      </w:r>
      <w:r w:rsidR="008E7846" w:rsidRPr="00811F68">
        <w:t>tatus</w:t>
      </w:r>
      <w:bookmarkEnd w:id="12"/>
      <w:bookmarkEnd w:id="13"/>
      <w:bookmarkEnd w:id="14"/>
    </w:p>
    <w:p w14:paraId="72873865" w14:textId="5B480022" w:rsidR="00DB63FC" w:rsidRPr="00DB63FC" w:rsidRDefault="00DB63FC" w:rsidP="00DB63FC">
      <w:bookmarkStart w:id="15" w:name="_Toc247691505"/>
      <w:bookmarkStart w:id="16" w:name="_Toc314842486"/>
      <w:proofErr w:type="spellStart"/>
      <w:r w:rsidRPr="00DB63FC">
        <w:t>Blinatumomab</w:t>
      </w:r>
      <w:proofErr w:type="spellEnd"/>
      <w:r w:rsidRPr="00DB63FC">
        <w:t xml:space="preserve"> was first </w:t>
      </w:r>
      <w:r w:rsidR="00B96EBD">
        <w:t>registered</w:t>
      </w:r>
      <w:r w:rsidR="00B96EBD" w:rsidRPr="00DB63FC">
        <w:t xml:space="preserve"> </w:t>
      </w:r>
      <w:r w:rsidRPr="00DB63FC">
        <w:t xml:space="preserve">on the </w:t>
      </w:r>
      <w:r w:rsidR="00090CBC">
        <w:t>Australian Register of Therapeutic Goods (</w:t>
      </w:r>
      <w:r w:rsidRPr="00DB63FC">
        <w:t>ARTG</w:t>
      </w:r>
      <w:r w:rsidR="00090CBC">
        <w:t>)</w:t>
      </w:r>
      <w:r w:rsidRPr="00DB63FC">
        <w:t xml:space="preserve"> on 9 November 2015 for use in adults with Philadelphia chromosome negative</w:t>
      </w:r>
      <w:r w:rsidR="00090CBC">
        <w:t xml:space="preserve"> </w:t>
      </w:r>
      <w:r w:rsidRPr="00DB63FC">
        <w:t>relapsed or refractory B-precursor ALL.</w:t>
      </w:r>
    </w:p>
    <w:p w14:paraId="488B7580" w14:textId="7439F1AA" w:rsidR="00DB63FC" w:rsidRPr="00DB63FC" w:rsidRDefault="00DB63FC" w:rsidP="00DB63FC">
      <w:r w:rsidRPr="00DB63FC">
        <w:t>A subsequent extension of indications to include use in paediatric patients with Ph</w:t>
      </w:r>
      <w:r w:rsidR="00090CBC">
        <w:t>iladelphia chromosome negative</w:t>
      </w:r>
      <w:r w:rsidRPr="00DB63FC">
        <w:t xml:space="preserve"> relapsed or refractory B-precursor ALL was approved </w:t>
      </w:r>
      <w:r w:rsidRPr="00DB63FC">
        <w:lastRenderedPageBreak/>
        <w:t>on 19 July 2017, subject to the sponsor providing confirmatory data to support this indication.</w:t>
      </w:r>
    </w:p>
    <w:p w14:paraId="29277E40" w14:textId="667FB63C" w:rsidR="00DB63FC" w:rsidRDefault="00DB63FC" w:rsidP="00DB63FC">
      <w:r w:rsidRPr="00DB63FC">
        <w:t>The overseas regulatory status is shown in the table below. Of note, the Oncologic Drugs Advisory Committee of the</w:t>
      </w:r>
      <w:r w:rsidR="00090CBC">
        <w:t xml:space="preserve"> United States (US)</w:t>
      </w:r>
      <w:r w:rsidRPr="00DB63FC">
        <w:t xml:space="preserve"> </w:t>
      </w:r>
      <w:r w:rsidR="005B6383">
        <w:t>Food and Drug Administration (</w:t>
      </w:r>
      <w:r w:rsidRPr="00DB63FC">
        <w:t>FDA</w:t>
      </w:r>
      <w:r w:rsidR="005B6383">
        <w:t>)</w:t>
      </w:r>
      <w:r w:rsidRPr="00DB63FC">
        <w:t xml:space="preserve"> is meeting on 7 March 2018 to discuss the use of </w:t>
      </w:r>
      <w:proofErr w:type="spellStart"/>
      <w:r w:rsidRPr="00DB63FC">
        <w:t>blinatumomab</w:t>
      </w:r>
      <w:proofErr w:type="spellEnd"/>
      <w:r w:rsidRPr="00DB63FC">
        <w:t xml:space="preserve"> for the treatment of minimal residual disease-positive B-cell precursor acute lymphoblastic </w:t>
      </w:r>
      <w:r w:rsidR="00B96EBD" w:rsidRPr="00DB63FC">
        <w:t>leukaemia</w:t>
      </w:r>
      <w:r w:rsidRPr="00DB63FC">
        <w:t xml:space="preserve"> (as per the FDA website accessed 23 February 2018).</w:t>
      </w:r>
    </w:p>
    <w:p w14:paraId="6B23336A" w14:textId="77777777" w:rsidR="00482F6D" w:rsidRDefault="00BE48ED" w:rsidP="00090CBC">
      <w:pPr>
        <w:pStyle w:val="TableTitle"/>
      </w:pPr>
      <w:r>
        <w:t xml:space="preserve">Table 1: </w:t>
      </w:r>
      <w:r w:rsidR="00A73CFE">
        <w:t>O</w:t>
      </w:r>
      <w:r w:rsidR="00A73CFE" w:rsidRPr="00DB63FC">
        <w:t xml:space="preserve">verseas </w:t>
      </w:r>
      <w:r w:rsidR="00811513">
        <w:t>r</w:t>
      </w:r>
      <w:r w:rsidR="00811513" w:rsidRPr="00DB63FC">
        <w:t xml:space="preserve">egulatory </w:t>
      </w:r>
      <w:r w:rsidR="00811513">
        <w:t>s</w:t>
      </w:r>
      <w:r w:rsidR="00811513" w:rsidRPr="00DB63FC">
        <w:t>tatus</w:t>
      </w:r>
    </w:p>
    <w:tbl>
      <w:tblPr>
        <w:tblStyle w:val="TableTGAblue"/>
        <w:tblW w:w="8526" w:type="dxa"/>
        <w:tblLayout w:type="fixed"/>
        <w:tblLook w:val="01E0" w:firstRow="1" w:lastRow="1" w:firstColumn="1" w:lastColumn="1" w:noHBand="0" w:noVBand="0"/>
        <w:tblDescription w:val="Overseas Regulatory Status"/>
      </w:tblPr>
      <w:tblGrid>
        <w:gridCol w:w="1396"/>
        <w:gridCol w:w="64"/>
        <w:gridCol w:w="1232"/>
        <w:gridCol w:w="1297"/>
        <w:gridCol w:w="1944"/>
        <w:gridCol w:w="2593"/>
      </w:tblGrid>
      <w:tr w:rsidR="00482F6D" w:rsidRPr="00B96EBD" w14:paraId="61B168F7" w14:textId="77777777" w:rsidTr="00A97AE3">
        <w:trPr>
          <w:cnfStyle w:val="100000000000" w:firstRow="1" w:lastRow="0" w:firstColumn="0" w:lastColumn="0" w:oddVBand="0" w:evenVBand="0" w:oddHBand="0" w:evenHBand="0" w:firstRowFirstColumn="0" w:firstRowLastColumn="0" w:lastRowFirstColumn="0" w:lastRowLastColumn="0"/>
          <w:trHeight w:val="866"/>
        </w:trPr>
        <w:tc>
          <w:tcPr>
            <w:tcW w:w="1460" w:type="dxa"/>
            <w:gridSpan w:val="2"/>
          </w:tcPr>
          <w:p w14:paraId="65D5845D" w14:textId="69F136A0" w:rsidR="00DB63FC" w:rsidRPr="00090CBC" w:rsidRDefault="00DB63FC" w:rsidP="00090CBC">
            <w:pPr>
              <w:pStyle w:val="TableParagraph"/>
              <w:spacing w:before="0" w:line="241" w:lineRule="exact"/>
              <w:ind w:left="0" w:right="0"/>
              <w:rPr>
                <w:rFonts w:asciiTheme="minorHAnsi" w:hAnsiTheme="minorHAnsi"/>
                <w:b w:val="0"/>
                <w:sz w:val="20"/>
                <w:szCs w:val="20"/>
              </w:rPr>
            </w:pPr>
            <w:r w:rsidRPr="00090CBC">
              <w:rPr>
                <w:rFonts w:asciiTheme="minorHAnsi" w:hAnsiTheme="minorHAnsi"/>
                <w:sz w:val="20"/>
                <w:szCs w:val="20"/>
              </w:rPr>
              <w:t>Country/</w:t>
            </w:r>
            <w:r w:rsidR="00811513">
              <w:rPr>
                <w:rFonts w:asciiTheme="minorHAnsi" w:hAnsiTheme="minorHAnsi"/>
                <w:sz w:val="20"/>
                <w:szCs w:val="20"/>
              </w:rPr>
              <w:t xml:space="preserve"> </w:t>
            </w:r>
            <w:r w:rsidRPr="00090CBC">
              <w:rPr>
                <w:rFonts w:asciiTheme="minorHAnsi" w:hAnsiTheme="minorHAnsi"/>
                <w:sz w:val="20"/>
                <w:szCs w:val="20"/>
              </w:rPr>
              <w:t>region</w:t>
            </w:r>
          </w:p>
        </w:tc>
        <w:tc>
          <w:tcPr>
            <w:tcW w:w="1231" w:type="dxa"/>
          </w:tcPr>
          <w:p w14:paraId="031BBA4A" w14:textId="65C990FB" w:rsidR="00DB63FC" w:rsidRPr="00090CBC" w:rsidRDefault="00DB63FC" w:rsidP="001F5C1B">
            <w:pPr>
              <w:pStyle w:val="TableParagraph"/>
              <w:spacing w:before="0" w:line="241" w:lineRule="exact"/>
              <w:ind w:left="0" w:right="0"/>
              <w:rPr>
                <w:rFonts w:asciiTheme="minorHAnsi" w:hAnsiTheme="minorHAnsi"/>
                <w:b w:val="0"/>
                <w:sz w:val="20"/>
                <w:szCs w:val="20"/>
              </w:rPr>
            </w:pPr>
            <w:r w:rsidRPr="00090CBC">
              <w:rPr>
                <w:rFonts w:asciiTheme="minorHAnsi" w:hAnsiTheme="minorHAnsi"/>
                <w:sz w:val="20"/>
                <w:szCs w:val="20"/>
              </w:rPr>
              <w:t>Sub</w:t>
            </w:r>
            <w:r w:rsidR="00482F6D" w:rsidRPr="00090CBC">
              <w:rPr>
                <w:rFonts w:asciiTheme="minorHAnsi" w:hAnsiTheme="minorHAnsi"/>
                <w:sz w:val="20"/>
                <w:szCs w:val="20"/>
              </w:rPr>
              <w:t>-</w:t>
            </w:r>
            <w:r w:rsidRPr="00090CBC">
              <w:rPr>
                <w:rFonts w:asciiTheme="minorHAnsi" w:hAnsiTheme="minorHAnsi"/>
                <w:sz w:val="20"/>
                <w:szCs w:val="20"/>
              </w:rPr>
              <w:t>mission</w:t>
            </w:r>
            <w:r w:rsidR="00811513">
              <w:rPr>
                <w:rFonts w:asciiTheme="minorHAnsi" w:hAnsiTheme="minorHAnsi"/>
                <w:sz w:val="20"/>
                <w:szCs w:val="20"/>
              </w:rPr>
              <w:t xml:space="preserve"> </w:t>
            </w:r>
            <w:r w:rsidRPr="00090CBC">
              <w:rPr>
                <w:rFonts w:asciiTheme="minorHAnsi" w:hAnsiTheme="minorHAnsi"/>
                <w:sz w:val="20"/>
                <w:szCs w:val="20"/>
              </w:rPr>
              <w:t>date</w:t>
            </w:r>
          </w:p>
        </w:tc>
        <w:tc>
          <w:tcPr>
            <w:tcW w:w="1297" w:type="dxa"/>
          </w:tcPr>
          <w:p w14:paraId="59C65B15" w14:textId="77777777" w:rsidR="00DB63FC" w:rsidRPr="00090CBC" w:rsidRDefault="00DB63FC" w:rsidP="00CC23E8">
            <w:pPr>
              <w:pStyle w:val="TableParagraph"/>
              <w:spacing w:before="0" w:line="241" w:lineRule="exact"/>
              <w:ind w:left="0" w:right="0"/>
              <w:jc w:val="left"/>
              <w:rPr>
                <w:rFonts w:asciiTheme="minorHAnsi" w:hAnsiTheme="minorHAnsi"/>
                <w:b w:val="0"/>
                <w:sz w:val="20"/>
                <w:szCs w:val="20"/>
              </w:rPr>
            </w:pPr>
            <w:r w:rsidRPr="00090CBC">
              <w:rPr>
                <w:rFonts w:asciiTheme="minorHAnsi" w:hAnsiTheme="minorHAnsi"/>
                <w:sz w:val="20"/>
                <w:szCs w:val="20"/>
              </w:rPr>
              <w:t>Status</w:t>
            </w:r>
          </w:p>
        </w:tc>
        <w:tc>
          <w:tcPr>
            <w:tcW w:w="1944" w:type="dxa"/>
          </w:tcPr>
          <w:p w14:paraId="26BA0BF9" w14:textId="00CBECDE" w:rsidR="00DB63FC" w:rsidRPr="00090CBC" w:rsidRDefault="00DB63FC" w:rsidP="00195218">
            <w:pPr>
              <w:pStyle w:val="TableParagraph"/>
              <w:spacing w:before="0" w:line="241" w:lineRule="exact"/>
              <w:ind w:left="0" w:right="0"/>
              <w:rPr>
                <w:rFonts w:asciiTheme="minorHAnsi" w:hAnsiTheme="minorHAnsi"/>
                <w:b w:val="0"/>
                <w:color w:val="auto"/>
                <w:sz w:val="20"/>
                <w:szCs w:val="20"/>
              </w:rPr>
            </w:pPr>
            <w:r w:rsidRPr="00090CBC">
              <w:rPr>
                <w:rFonts w:asciiTheme="minorHAnsi" w:hAnsiTheme="minorHAnsi"/>
                <w:sz w:val="20"/>
                <w:szCs w:val="20"/>
              </w:rPr>
              <w:t>Indications</w:t>
            </w:r>
            <w:r w:rsidR="00811513">
              <w:rPr>
                <w:rFonts w:asciiTheme="minorHAnsi" w:hAnsiTheme="minorHAnsi"/>
                <w:sz w:val="20"/>
                <w:szCs w:val="20"/>
              </w:rPr>
              <w:t xml:space="preserve"> </w:t>
            </w:r>
            <w:r w:rsidRPr="00090CBC">
              <w:rPr>
                <w:rFonts w:asciiTheme="minorHAnsi" w:hAnsiTheme="minorHAnsi"/>
                <w:sz w:val="20"/>
                <w:szCs w:val="20"/>
              </w:rPr>
              <w:t>(approved or requested)</w:t>
            </w:r>
          </w:p>
        </w:tc>
        <w:tc>
          <w:tcPr>
            <w:tcW w:w="2593" w:type="dxa"/>
          </w:tcPr>
          <w:p w14:paraId="4A6A0E3F" w14:textId="77777777" w:rsidR="00DB63FC" w:rsidRPr="00090CBC" w:rsidRDefault="00DB63FC" w:rsidP="00195218">
            <w:pPr>
              <w:pStyle w:val="TableParagraph"/>
              <w:spacing w:before="0" w:line="241" w:lineRule="exact"/>
              <w:ind w:left="0" w:right="0"/>
              <w:jc w:val="left"/>
              <w:rPr>
                <w:rFonts w:asciiTheme="minorHAnsi" w:hAnsiTheme="minorHAnsi"/>
                <w:b w:val="0"/>
                <w:color w:val="auto"/>
                <w:sz w:val="20"/>
                <w:szCs w:val="20"/>
              </w:rPr>
            </w:pPr>
            <w:r w:rsidRPr="00090CBC">
              <w:rPr>
                <w:rFonts w:asciiTheme="minorHAnsi" w:hAnsiTheme="minorHAnsi"/>
                <w:sz w:val="20"/>
                <w:szCs w:val="20"/>
              </w:rPr>
              <w:t>Other relevant information</w:t>
            </w:r>
          </w:p>
        </w:tc>
      </w:tr>
      <w:tr w:rsidR="00DB63FC" w:rsidRPr="00B96EBD" w14:paraId="2D8A50E3" w14:textId="77777777" w:rsidTr="00A97AE3">
        <w:trPr>
          <w:trHeight w:val="397"/>
        </w:trPr>
        <w:tc>
          <w:tcPr>
            <w:tcW w:w="8525" w:type="dxa"/>
            <w:gridSpan w:val="6"/>
          </w:tcPr>
          <w:p w14:paraId="6E14C304" w14:textId="77777777" w:rsidR="00DB63FC" w:rsidRPr="00090CBC" w:rsidRDefault="00DB63FC" w:rsidP="00195218">
            <w:pPr>
              <w:pStyle w:val="TableParagraph"/>
              <w:keepNext/>
              <w:spacing w:before="15" w:line="240" w:lineRule="auto"/>
              <w:ind w:left="0" w:right="0"/>
              <w:jc w:val="left"/>
              <w:rPr>
                <w:rFonts w:asciiTheme="minorHAnsi" w:hAnsiTheme="minorHAnsi"/>
                <w:b/>
                <w:color w:val="auto"/>
                <w:sz w:val="20"/>
                <w:szCs w:val="20"/>
              </w:rPr>
            </w:pPr>
            <w:r w:rsidRPr="00090CBC">
              <w:rPr>
                <w:rFonts w:asciiTheme="minorHAnsi" w:hAnsiTheme="minorHAnsi"/>
                <w:b/>
                <w:sz w:val="20"/>
                <w:szCs w:val="20"/>
              </w:rPr>
              <w:t>Extension of indications to include Philadelphia-chromosome positive (</w:t>
            </w:r>
            <w:proofErr w:type="spellStart"/>
            <w:r w:rsidRPr="00090CBC">
              <w:rPr>
                <w:rFonts w:asciiTheme="minorHAnsi" w:hAnsiTheme="minorHAnsi"/>
                <w:b/>
                <w:sz w:val="20"/>
                <w:szCs w:val="20"/>
              </w:rPr>
              <w:t>Ph</w:t>
            </w:r>
            <w:proofErr w:type="spellEnd"/>
            <w:r w:rsidRPr="00090CBC">
              <w:rPr>
                <w:rFonts w:asciiTheme="minorHAnsi" w:hAnsiTheme="minorHAnsi"/>
                <w:b/>
                <w:sz w:val="20"/>
                <w:szCs w:val="20"/>
              </w:rPr>
              <w:t>+) ALL</w:t>
            </w:r>
          </w:p>
        </w:tc>
      </w:tr>
      <w:tr w:rsidR="00482F6D" w:rsidRPr="00B96EBD" w14:paraId="5D76F3F5" w14:textId="77777777" w:rsidTr="00A97AE3">
        <w:trPr>
          <w:trHeight w:val="1976"/>
        </w:trPr>
        <w:tc>
          <w:tcPr>
            <w:tcW w:w="1396" w:type="dxa"/>
          </w:tcPr>
          <w:p w14:paraId="2E4DE59D" w14:textId="77777777" w:rsidR="00DB63FC" w:rsidRPr="00195218" w:rsidRDefault="00DB63FC" w:rsidP="00195218">
            <w:pPr>
              <w:pStyle w:val="TableParagraph"/>
              <w:keepNext/>
              <w:spacing w:before="0" w:line="241" w:lineRule="exact"/>
              <w:ind w:left="0" w:right="0"/>
              <w:jc w:val="left"/>
              <w:rPr>
                <w:rFonts w:asciiTheme="minorHAnsi" w:hAnsiTheme="minorHAnsi"/>
                <w:sz w:val="20"/>
                <w:szCs w:val="20"/>
              </w:rPr>
            </w:pPr>
            <w:r w:rsidRPr="00195218">
              <w:rPr>
                <w:rFonts w:asciiTheme="minorHAnsi" w:hAnsiTheme="minorHAnsi"/>
                <w:sz w:val="20"/>
                <w:szCs w:val="20"/>
              </w:rPr>
              <w:t>USA</w:t>
            </w:r>
          </w:p>
        </w:tc>
        <w:tc>
          <w:tcPr>
            <w:tcW w:w="1296" w:type="dxa"/>
            <w:gridSpan w:val="2"/>
          </w:tcPr>
          <w:p w14:paraId="7D6E8702" w14:textId="11675B85" w:rsidR="00DB63FC" w:rsidRPr="00195218" w:rsidRDefault="00DB63FC" w:rsidP="00195218">
            <w:pPr>
              <w:pStyle w:val="TableParagraph"/>
              <w:keepNext/>
              <w:spacing w:before="0" w:line="241" w:lineRule="exact"/>
              <w:ind w:left="0" w:right="0"/>
              <w:jc w:val="left"/>
              <w:rPr>
                <w:rFonts w:asciiTheme="minorHAnsi" w:hAnsiTheme="minorHAnsi"/>
                <w:sz w:val="20"/>
                <w:szCs w:val="20"/>
              </w:rPr>
            </w:pPr>
            <w:r w:rsidRPr="00195218">
              <w:rPr>
                <w:rFonts w:asciiTheme="minorHAnsi" w:hAnsiTheme="minorHAnsi"/>
                <w:sz w:val="20"/>
                <w:szCs w:val="20"/>
              </w:rPr>
              <w:t>13 Feb</w:t>
            </w:r>
            <w:r w:rsidR="00090CBC">
              <w:rPr>
                <w:rFonts w:asciiTheme="minorHAnsi" w:hAnsiTheme="minorHAnsi"/>
                <w:sz w:val="20"/>
                <w:szCs w:val="20"/>
              </w:rPr>
              <w:t>ruary</w:t>
            </w:r>
            <w:r w:rsidRPr="00195218">
              <w:rPr>
                <w:rFonts w:asciiTheme="minorHAnsi" w:hAnsiTheme="minorHAnsi"/>
                <w:sz w:val="20"/>
                <w:szCs w:val="20"/>
              </w:rPr>
              <w:t xml:space="preserve"> 2017</w:t>
            </w:r>
          </w:p>
        </w:tc>
        <w:tc>
          <w:tcPr>
            <w:tcW w:w="1297" w:type="dxa"/>
          </w:tcPr>
          <w:p w14:paraId="143E42CD" w14:textId="77777777" w:rsidR="00DB63FC" w:rsidRPr="00195218" w:rsidRDefault="00DB63FC" w:rsidP="00195218">
            <w:pPr>
              <w:pStyle w:val="TableParagraph"/>
              <w:keepNext/>
              <w:spacing w:before="0" w:line="240" w:lineRule="auto"/>
              <w:ind w:left="0" w:right="0"/>
              <w:jc w:val="left"/>
              <w:rPr>
                <w:rFonts w:asciiTheme="minorHAnsi" w:hAnsiTheme="minorHAnsi"/>
                <w:sz w:val="20"/>
                <w:szCs w:val="20"/>
              </w:rPr>
            </w:pPr>
            <w:r w:rsidRPr="00195218">
              <w:rPr>
                <w:rFonts w:asciiTheme="minorHAnsi" w:hAnsiTheme="minorHAnsi"/>
                <w:sz w:val="20"/>
                <w:szCs w:val="20"/>
              </w:rPr>
              <w:t>Under evaluation</w:t>
            </w:r>
          </w:p>
        </w:tc>
        <w:tc>
          <w:tcPr>
            <w:tcW w:w="1944" w:type="dxa"/>
          </w:tcPr>
          <w:p w14:paraId="33957BAE" w14:textId="2CBA30A3" w:rsidR="00DB63FC" w:rsidRPr="00195218" w:rsidRDefault="00093C1B" w:rsidP="00195218">
            <w:pPr>
              <w:pStyle w:val="TableParagraph"/>
              <w:keepNext/>
              <w:spacing w:before="0" w:line="240" w:lineRule="auto"/>
              <w:ind w:left="0" w:right="0"/>
              <w:jc w:val="left"/>
              <w:rPr>
                <w:rFonts w:asciiTheme="minorHAnsi" w:hAnsiTheme="minorHAnsi"/>
                <w:sz w:val="20"/>
                <w:szCs w:val="20"/>
              </w:rPr>
            </w:pPr>
            <w:proofErr w:type="spellStart"/>
            <w:r>
              <w:rPr>
                <w:rFonts w:asciiTheme="minorHAnsi" w:hAnsiTheme="minorHAnsi"/>
                <w:sz w:val="20"/>
                <w:szCs w:val="20"/>
              </w:rPr>
              <w:t>Blincyto</w:t>
            </w:r>
            <w:proofErr w:type="spellEnd"/>
            <w:r w:rsidR="00DB63FC" w:rsidRPr="00195218">
              <w:rPr>
                <w:rFonts w:asciiTheme="minorHAnsi" w:hAnsiTheme="minorHAnsi"/>
                <w:sz w:val="20"/>
                <w:szCs w:val="20"/>
              </w:rPr>
              <w:t xml:space="preserve"> is indicated for the treatment </w:t>
            </w:r>
            <w:r w:rsidR="00DB63FC" w:rsidRPr="00195218">
              <w:rPr>
                <w:rFonts w:asciiTheme="minorHAnsi" w:hAnsiTheme="minorHAnsi"/>
                <w:spacing w:val="-6"/>
                <w:sz w:val="20"/>
                <w:szCs w:val="20"/>
              </w:rPr>
              <w:t xml:space="preserve">of </w:t>
            </w:r>
            <w:r w:rsidR="00DB63FC" w:rsidRPr="00195218">
              <w:rPr>
                <w:rFonts w:asciiTheme="minorHAnsi" w:hAnsiTheme="minorHAnsi"/>
                <w:sz w:val="20"/>
                <w:szCs w:val="20"/>
              </w:rPr>
              <w:t xml:space="preserve">relapsed </w:t>
            </w:r>
            <w:r w:rsidR="00DB63FC" w:rsidRPr="00195218">
              <w:rPr>
                <w:rFonts w:asciiTheme="minorHAnsi" w:hAnsiTheme="minorHAnsi"/>
                <w:spacing w:val="-3"/>
                <w:sz w:val="20"/>
                <w:szCs w:val="20"/>
              </w:rPr>
              <w:t xml:space="preserve">or </w:t>
            </w:r>
            <w:r w:rsidR="00DB63FC" w:rsidRPr="00195218">
              <w:rPr>
                <w:rFonts w:asciiTheme="minorHAnsi" w:hAnsiTheme="minorHAnsi"/>
                <w:sz w:val="20"/>
                <w:szCs w:val="20"/>
              </w:rPr>
              <w:t xml:space="preserve">refractory B- cell </w:t>
            </w:r>
            <w:r w:rsidR="00DB63FC" w:rsidRPr="00195218">
              <w:rPr>
                <w:rFonts w:asciiTheme="minorHAnsi" w:hAnsiTheme="minorHAnsi"/>
                <w:spacing w:val="-3"/>
                <w:sz w:val="20"/>
                <w:szCs w:val="20"/>
              </w:rPr>
              <w:t xml:space="preserve">precursor </w:t>
            </w:r>
            <w:r w:rsidR="00DB63FC" w:rsidRPr="00195218">
              <w:rPr>
                <w:rFonts w:asciiTheme="minorHAnsi" w:hAnsiTheme="minorHAnsi"/>
                <w:sz w:val="20"/>
                <w:szCs w:val="20"/>
              </w:rPr>
              <w:t>acute lymphoblastic leukaemia (ALL)</w:t>
            </w:r>
          </w:p>
        </w:tc>
        <w:tc>
          <w:tcPr>
            <w:tcW w:w="2593" w:type="dxa"/>
          </w:tcPr>
          <w:p w14:paraId="08B68773" w14:textId="2C3D4063" w:rsidR="00DB63FC" w:rsidRPr="002840C3" w:rsidRDefault="00DB63FC" w:rsidP="00195218">
            <w:pPr>
              <w:pStyle w:val="TableParagraph"/>
              <w:keepNext/>
              <w:spacing w:before="0" w:line="240" w:lineRule="auto"/>
              <w:ind w:left="0" w:right="0"/>
              <w:jc w:val="left"/>
              <w:rPr>
                <w:rFonts w:asciiTheme="minorHAnsi" w:hAnsiTheme="minorHAnsi"/>
                <w:sz w:val="20"/>
                <w:szCs w:val="20"/>
              </w:rPr>
            </w:pPr>
            <w:r w:rsidRPr="00195218">
              <w:rPr>
                <w:rFonts w:asciiTheme="minorHAnsi" w:hAnsiTheme="minorHAnsi"/>
                <w:sz w:val="20"/>
                <w:szCs w:val="20"/>
              </w:rPr>
              <w:t>Also included Study</w:t>
            </w:r>
            <w:r w:rsidR="00090CBC">
              <w:rPr>
                <w:rFonts w:asciiTheme="minorHAnsi" w:hAnsiTheme="minorHAnsi"/>
                <w:sz w:val="20"/>
                <w:szCs w:val="20"/>
              </w:rPr>
              <w:t> </w:t>
            </w:r>
            <w:r w:rsidRPr="00195218">
              <w:rPr>
                <w:rFonts w:asciiTheme="minorHAnsi" w:hAnsiTheme="minorHAnsi"/>
                <w:sz w:val="20"/>
                <w:szCs w:val="20"/>
              </w:rPr>
              <w:t>0010331</w:t>
            </w:r>
            <w:r w:rsidR="0038533F" w:rsidRPr="00195218">
              <w:rPr>
                <w:rFonts w:asciiTheme="minorHAnsi" w:hAnsiTheme="minorHAnsi"/>
                <w:sz w:val="20"/>
                <w:szCs w:val="20"/>
              </w:rPr>
              <w:t>1</w:t>
            </w:r>
            <w:r w:rsidRPr="00195218">
              <w:rPr>
                <w:rFonts w:asciiTheme="minorHAnsi" w:hAnsiTheme="minorHAnsi"/>
                <w:sz w:val="20"/>
                <w:szCs w:val="20"/>
              </w:rPr>
              <w:t xml:space="preserve"> </w:t>
            </w:r>
            <w:r w:rsidR="005B6383" w:rsidRPr="00195218">
              <w:rPr>
                <w:rFonts w:asciiTheme="minorHAnsi" w:hAnsiTheme="minorHAnsi"/>
                <w:sz w:val="20"/>
                <w:szCs w:val="20"/>
              </w:rPr>
              <w:t>Clinical Study Report</w:t>
            </w:r>
            <w:r w:rsidR="00090CBC">
              <w:rPr>
                <w:rFonts w:asciiTheme="minorHAnsi" w:hAnsiTheme="minorHAnsi"/>
                <w:sz w:val="20"/>
                <w:szCs w:val="20"/>
              </w:rPr>
              <w:t xml:space="preserve"> (CSR)</w:t>
            </w:r>
            <w:r w:rsidRPr="00195218">
              <w:rPr>
                <w:rFonts w:asciiTheme="minorHAnsi" w:hAnsiTheme="minorHAnsi"/>
                <w:sz w:val="20"/>
                <w:szCs w:val="20"/>
              </w:rPr>
              <w:t xml:space="preserve"> to convert to full marketing </w:t>
            </w:r>
            <w:r w:rsidRPr="002840C3">
              <w:rPr>
                <w:rFonts w:asciiTheme="minorHAnsi" w:hAnsiTheme="minorHAnsi"/>
                <w:sz w:val="20"/>
                <w:szCs w:val="20"/>
              </w:rPr>
              <w:t>approval</w:t>
            </w:r>
          </w:p>
        </w:tc>
      </w:tr>
      <w:tr w:rsidR="00DB63FC" w:rsidRPr="00B96EBD" w14:paraId="64BC3B9E" w14:textId="77777777" w:rsidTr="00A97AE3">
        <w:trPr>
          <w:trHeight w:val="1962"/>
        </w:trPr>
        <w:tc>
          <w:tcPr>
            <w:tcW w:w="1396" w:type="dxa"/>
          </w:tcPr>
          <w:p w14:paraId="3779EC26" w14:textId="77777777" w:rsidR="00DB63FC" w:rsidRPr="002840C3" w:rsidRDefault="00DB63FC" w:rsidP="002840C3">
            <w:pPr>
              <w:pStyle w:val="TableParagraph"/>
              <w:spacing w:before="0" w:line="241" w:lineRule="exact"/>
              <w:ind w:left="0" w:right="0"/>
              <w:jc w:val="left"/>
              <w:rPr>
                <w:rFonts w:asciiTheme="minorHAnsi" w:hAnsiTheme="minorHAnsi"/>
                <w:sz w:val="20"/>
                <w:szCs w:val="20"/>
              </w:rPr>
            </w:pPr>
            <w:r w:rsidRPr="002840C3">
              <w:rPr>
                <w:rFonts w:asciiTheme="minorHAnsi" w:hAnsiTheme="minorHAnsi"/>
                <w:sz w:val="20"/>
                <w:szCs w:val="20"/>
              </w:rPr>
              <w:t>Canada</w:t>
            </w:r>
          </w:p>
        </w:tc>
        <w:tc>
          <w:tcPr>
            <w:tcW w:w="1296" w:type="dxa"/>
            <w:gridSpan w:val="2"/>
          </w:tcPr>
          <w:p w14:paraId="5B654818" w14:textId="5A129AB6" w:rsidR="00DB63FC" w:rsidRPr="002840C3" w:rsidRDefault="00DB63FC" w:rsidP="002840C3">
            <w:pPr>
              <w:pStyle w:val="TableParagraph"/>
              <w:spacing w:before="0" w:line="241" w:lineRule="exact"/>
              <w:ind w:left="0" w:right="0"/>
              <w:jc w:val="left"/>
              <w:rPr>
                <w:rFonts w:asciiTheme="minorHAnsi" w:hAnsiTheme="minorHAnsi"/>
                <w:sz w:val="20"/>
                <w:szCs w:val="20"/>
              </w:rPr>
            </w:pPr>
            <w:r w:rsidRPr="002840C3">
              <w:rPr>
                <w:rFonts w:asciiTheme="minorHAnsi" w:hAnsiTheme="minorHAnsi"/>
                <w:sz w:val="20"/>
                <w:szCs w:val="20"/>
              </w:rPr>
              <w:t>27 Mar</w:t>
            </w:r>
            <w:r w:rsidR="00090CBC">
              <w:rPr>
                <w:rFonts w:asciiTheme="minorHAnsi" w:hAnsiTheme="minorHAnsi"/>
                <w:sz w:val="20"/>
                <w:szCs w:val="20"/>
              </w:rPr>
              <w:t>ch</w:t>
            </w:r>
            <w:r w:rsidRPr="002840C3">
              <w:rPr>
                <w:rFonts w:asciiTheme="minorHAnsi" w:hAnsiTheme="minorHAnsi"/>
                <w:sz w:val="20"/>
                <w:szCs w:val="20"/>
              </w:rPr>
              <w:t xml:space="preserve"> 2017</w:t>
            </w:r>
          </w:p>
        </w:tc>
        <w:tc>
          <w:tcPr>
            <w:tcW w:w="1297" w:type="dxa"/>
          </w:tcPr>
          <w:p w14:paraId="578B95D6" w14:textId="77777777" w:rsidR="00DB63FC" w:rsidRPr="00670435" w:rsidRDefault="00DB63FC" w:rsidP="00670435">
            <w:pPr>
              <w:pStyle w:val="TableParagraph"/>
              <w:spacing w:before="0" w:line="240" w:lineRule="auto"/>
              <w:ind w:left="0" w:right="0"/>
              <w:jc w:val="left"/>
              <w:rPr>
                <w:rFonts w:asciiTheme="minorHAnsi" w:hAnsiTheme="minorHAnsi"/>
                <w:sz w:val="20"/>
                <w:szCs w:val="20"/>
              </w:rPr>
            </w:pPr>
            <w:r w:rsidRPr="00670435">
              <w:rPr>
                <w:rFonts w:asciiTheme="minorHAnsi" w:hAnsiTheme="minorHAnsi"/>
                <w:sz w:val="20"/>
                <w:szCs w:val="20"/>
              </w:rPr>
              <w:t>Under evaluation</w:t>
            </w:r>
          </w:p>
        </w:tc>
        <w:tc>
          <w:tcPr>
            <w:tcW w:w="1944" w:type="dxa"/>
          </w:tcPr>
          <w:p w14:paraId="210019C5" w14:textId="2C23D084" w:rsidR="00DB63FC" w:rsidRPr="00670435" w:rsidRDefault="00093C1B" w:rsidP="00670435">
            <w:pPr>
              <w:pStyle w:val="TableParagraph"/>
              <w:spacing w:before="0" w:line="240" w:lineRule="auto"/>
              <w:ind w:left="0" w:right="0"/>
              <w:jc w:val="left"/>
              <w:rPr>
                <w:rFonts w:asciiTheme="minorHAnsi" w:hAnsiTheme="minorHAnsi"/>
                <w:sz w:val="20"/>
                <w:szCs w:val="20"/>
              </w:rPr>
            </w:pPr>
            <w:proofErr w:type="spellStart"/>
            <w:r>
              <w:rPr>
                <w:rFonts w:asciiTheme="minorHAnsi" w:hAnsiTheme="minorHAnsi"/>
                <w:sz w:val="20"/>
                <w:szCs w:val="20"/>
              </w:rPr>
              <w:t>Blincyto</w:t>
            </w:r>
            <w:proofErr w:type="spellEnd"/>
            <w:r w:rsidR="00DB63FC" w:rsidRPr="00670435">
              <w:rPr>
                <w:rFonts w:asciiTheme="minorHAnsi" w:hAnsiTheme="minorHAnsi"/>
                <w:sz w:val="20"/>
                <w:szCs w:val="20"/>
              </w:rPr>
              <w:t xml:space="preserve"> is indicated for the treatment of adults with relapsed or refractory B precursor acute lymphoblastic leukaemia (ALL)</w:t>
            </w:r>
          </w:p>
        </w:tc>
        <w:tc>
          <w:tcPr>
            <w:tcW w:w="2593" w:type="dxa"/>
          </w:tcPr>
          <w:p w14:paraId="1BE96B0B" w14:textId="77777777" w:rsidR="00DB63FC" w:rsidRPr="00670435" w:rsidRDefault="00DB63FC" w:rsidP="00670435">
            <w:pPr>
              <w:pStyle w:val="TableParagraph"/>
              <w:spacing w:before="0" w:line="240" w:lineRule="auto"/>
              <w:ind w:left="0" w:right="0"/>
              <w:jc w:val="left"/>
              <w:rPr>
                <w:rFonts w:asciiTheme="minorHAnsi" w:hAnsiTheme="minorHAnsi"/>
                <w:sz w:val="20"/>
                <w:szCs w:val="20"/>
              </w:rPr>
            </w:pPr>
            <w:r w:rsidRPr="00670435">
              <w:rPr>
                <w:rFonts w:asciiTheme="minorHAnsi" w:hAnsiTheme="minorHAnsi"/>
                <w:sz w:val="20"/>
                <w:szCs w:val="20"/>
              </w:rPr>
              <w:t>Study 0010331</w:t>
            </w:r>
            <w:r w:rsidR="0038533F" w:rsidRPr="00670435">
              <w:rPr>
                <w:rFonts w:asciiTheme="minorHAnsi" w:hAnsiTheme="minorHAnsi"/>
                <w:sz w:val="20"/>
                <w:szCs w:val="20"/>
              </w:rPr>
              <w:t>1</w:t>
            </w:r>
            <w:r w:rsidRPr="00670435">
              <w:rPr>
                <w:rFonts w:asciiTheme="minorHAnsi" w:hAnsiTheme="minorHAnsi"/>
                <w:sz w:val="20"/>
                <w:szCs w:val="20"/>
              </w:rPr>
              <w:t xml:space="preserve"> CSR was submitted on 30 Nov 2016 to fulfil a marketing authorisation commitment and seek full marketing approval</w:t>
            </w:r>
          </w:p>
        </w:tc>
      </w:tr>
      <w:tr w:rsidR="00DB63FC" w:rsidRPr="00B96EBD" w14:paraId="27792582" w14:textId="77777777" w:rsidTr="00195218">
        <w:trPr>
          <w:trHeight w:val="1502"/>
        </w:trPr>
        <w:tc>
          <w:tcPr>
            <w:tcW w:w="1396" w:type="dxa"/>
          </w:tcPr>
          <w:p w14:paraId="24480633" w14:textId="77777777" w:rsidR="00DB63FC" w:rsidRPr="00670435" w:rsidRDefault="00DB63FC" w:rsidP="00670435">
            <w:pPr>
              <w:pStyle w:val="TableParagraph"/>
              <w:spacing w:before="0" w:line="241" w:lineRule="exact"/>
              <w:ind w:left="0" w:right="0"/>
              <w:jc w:val="left"/>
              <w:rPr>
                <w:rFonts w:asciiTheme="minorHAnsi" w:hAnsiTheme="minorHAnsi"/>
                <w:sz w:val="20"/>
                <w:szCs w:val="20"/>
              </w:rPr>
            </w:pPr>
            <w:r w:rsidRPr="00670435">
              <w:rPr>
                <w:rFonts w:asciiTheme="minorHAnsi" w:hAnsiTheme="minorHAnsi"/>
                <w:sz w:val="20"/>
                <w:szCs w:val="20"/>
              </w:rPr>
              <w:t>Switzerland</w:t>
            </w:r>
          </w:p>
        </w:tc>
        <w:tc>
          <w:tcPr>
            <w:tcW w:w="1296" w:type="dxa"/>
            <w:gridSpan w:val="2"/>
          </w:tcPr>
          <w:p w14:paraId="7A229848" w14:textId="77777777" w:rsidR="00DB63FC" w:rsidRPr="00670435" w:rsidRDefault="00DB63FC" w:rsidP="00670435">
            <w:pPr>
              <w:pStyle w:val="TableParagraph"/>
              <w:spacing w:before="0" w:line="241" w:lineRule="exact"/>
              <w:ind w:left="0" w:right="0"/>
              <w:jc w:val="left"/>
              <w:rPr>
                <w:rFonts w:asciiTheme="minorHAnsi" w:hAnsiTheme="minorHAnsi"/>
                <w:sz w:val="20"/>
                <w:szCs w:val="20"/>
              </w:rPr>
            </w:pPr>
            <w:r w:rsidRPr="00670435">
              <w:rPr>
                <w:rFonts w:asciiTheme="minorHAnsi" w:hAnsiTheme="minorHAnsi"/>
                <w:sz w:val="20"/>
                <w:szCs w:val="20"/>
              </w:rPr>
              <w:t>NA</w:t>
            </w:r>
          </w:p>
        </w:tc>
        <w:tc>
          <w:tcPr>
            <w:tcW w:w="1297" w:type="dxa"/>
          </w:tcPr>
          <w:p w14:paraId="1C39067B" w14:textId="77777777" w:rsidR="00DB63FC" w:rsidRPr="00670435" w:rsidRDefault="00DB63FC" w:rsidP="00670435">
            <w:pPr>
              <w:pStyle w:val="TableParagraph"/>
              <w:spacing w:before="0" w:line="240" w:lineRule="auto"/>
              <w:ind w:left="0" w:right="0"/>
              <w:jc w:val="left"/>
              <w:rPr>
                <w:rFonts w:asciiTheme="minorHAnsi" w:hAnsiTheme="minorHAnsi"/>
                <w:sz w:val="20"/>
                <w:szCs w:val="20"/>
              </w:rPr>
            </w:pPr>
            <w:r w:rsidRPr="00670435">
              <w:rPr>
                <w:rFonts w:asciiTheme="minorHAnsi" w:hAnsiTheme="minorHAnsi"/>
                <w:sz w:val="20"/>
                <w:szCs w:val="20"/>
              </w:rPr>
              <w:t>NA</w:t>
            </w:r>
          </w:p>
        </w:tc>
        <w:tc>
          <w:tcPr>
            <w:tcW w:w="1944" w:type="dxa"/>
          </w:tcPr>
          <w:p w14:paraId="52BA6E21" w14:textId="77777777" w:rsidR="00DB63FC" w:rsidRPr="00670435" w:rsidRDefault="00DB63FC" w:rsidP="00670435">
            <w:pPr>
              <w:pStyle w:val="TableParagraph"/>
              <w:spacing w:before="0" w:line="240" w:lineRule="auto"/>
              <w:ind w:left="0" w:right="0"/>
              <w:jc w:val="left"/>
              <w:rPr>
                <w:rFonts w:asciiTheme="minorHAnsi" w:hAnsiTheme="minorHAnsi"/>
                <w:sz w:val="20"/>
                <w:szCs w:val="20"/>
              </w:rPr>
            </w:pPr>
          </w:p>
        </w:tc>
        <w:tc>
          <w:tcPr>
            <w:tcW w:w="2593" w:type="dxa"/>
          </w:tcPr>
          <w:p w14:paraId="40E83655" w14:textId="706A46B6" w:rsidR="00DB63FC" w:rsidRPr="00670435" w:rsidRDefault="00DB63FC" w:rsidP="00670435">
            <w:pPr>
              <w:pStyle w:val="TableParagraph"/>
              <w:spacing w:before="0" w:line="240" w:lineRule="auto"/>
              <w:ind w:left="0" w:right="0"/>
              <w:jc w:val="left"/>
              <w:rPr>
                <w:rFonts w:asciiTheme="minorHAnsi" w:hAnsiTheme="minorHAnsi"/>
                <w:sz w:val="20"/>
                <w:szCs w:val="20"/>
              </w:rPr>
            </w:pPr>
            <w:r w:rsidRPr="00670435">
              <w:rPr>
                <w:rFonts w:asciiTheme="minorHAnsi" w:hAnsiTheme="minorHAnsi"/>
                <w:sz w:val="20"/>
                <w:szCs w:val="20"/>
              </w:rPr>
              <w:t>Study 0010331</w:t>
            </w:r>
            <w:r w:rsidR="0038533F" w:rsidRPr="00670435">
              <w:rPr>
                <w:rFonts w:asciiTheme="minorHAnsi" w:hAnsiTheme="minorHAnsi"/>
                <w:sz w:val="20"/>
                <w:szCs w:val="20"/>
              </w:rPr>
              <w:t>1</w:t>
            </w:r>
            <w:r w:rsidRPr="00670435">
              <w:rPr>
                <w:rFonts w:asciiTheme="minorHAnsi" w:hAnsiTheme="minorHAnsi"/>
                <w:sz w:val="20"/>
                <w:szCs w:val="20"/>
              </w:rPr>
              <w:t xml:space="preserve"> CSR was submitted to </w:t>
            </w:r>
            <w:proofErr w:type="spellStart"/>
            <w:r w:rsidRPr="00670435">
              <w:rPr>
                <w:rFonts w:asciiTheme="minorHAnsi" w:hAnsiTheme="minorHAnsi"/>
                <w:sz w:val="20"/>
                <w:szCs w:val="20"/>
              </w:rPr>
              <w:t>SwissMedic</w:t>
            </w:r>
            <w:proofErr w:type="spellEnd"/>
            <w:r w:rsidRPr="00670435">
              <w:rPr>
                <w:rFonts w:asciiTheme="minorHAnsi" w:hAnsiTheme="minorHAnsi"/>
                <w:sz w:val="20"/>
                <w:szCs w:val="20"/>
              </w:rPr>
              <w:t xml:space="preserve"> on 31 Oct</w:t>
            </w:r>
            <w:r w:rsidR="00090CBC">
              <w:rPr>
                <w:rFonts w:asciiTheme="minorHAnsi" w:hAnsiTheme="minorHAnsi"/>
                <w:sz w:val="20"/>
                <w:szCs w:val="20"/>
              </w:rPr>
              <w:t>ober</w:t>
            </w:r>
            <w:r w:rsidRPr="00670435">
              <w:rPr>
                <w:rFonts w:asciiTheme="minorHAnsi" w:hAnsiTheme="minorHAnsi"/>
                <w:sz w:val="20"/>
                <w:szCs w:val="20"/>
              </w:rPr>
              <w:t xml:space="preserve"> 2016 as a Follow Up Measure (commitment) to their marketing authorisation, with approval on 25</w:t>
            </w:r>
            <w:r w:rsidR="00090CBC">
              <w:rPr>
                <w:rFonts w:asciiTheme="minorHAnsi" w:hAnsiTheme="minorHAnsi"/>
                <w:sz w:val="20"/>
                <w:szCs w:val="20"/>
              </w:rPr>
              <w:t> </w:t>
            </w:r>
            <w:r w:rsidRPr="00670435">
              <w:rPr>
                <w:rFonts w:asciiTheme="minorHAnsi" w:hAnsiTheme="minorHAnsi"/>
                <w:sz w:val="20"/>
                <w:szCs w:val="20"/>
              </w:rPr>
              <w:t>Jan</w:t>
            </w:r>
            <w:r w:rsidR="00090CBC">
              <w:rPr>
                <w:rFonts w:asciiTheme="minorHAnsi" w:hAnsiTheme="minorHAnsi"/>
                <w:sz w:val="20"/>
                <w:szCs w:val="20"/>
              </w:rPr>
              <w:t>uary</w:t>
            </w:r>
            <w:r w:rsidRPr="00670435">
              <w:rPr>
                <w:rFonts w:asciiTheme="minorHAnsi" w:hAnsiTheme="minorHAnsi"/>
                <w:sz w:val="20"/>
                <w:szCs w:val="20"/>
              </w:rPr>
              <w:t xml:space="preserve"> 2017. On 15</w:t>
            </w:r>
            <w:r w:rsidR="00090CBC">
              <w:rPr>
                <w:rFonts w:asciiTheme="minorHAnsi" w:hAnsiTheme="minorHAnsi"/>
                <w:sz w:val="20"/>
                <w:szCs w:val="20"/>
              </w:rPr>
              <w:t> </w:t>
            </w:r>
            <w:r w:rsidRPr="00670435">
              <w:rPr>
                <w:rFonts w:asciiTheme="minorHAnsi" w:hAnsiTheme="minorHAnsi"/>
                <w:sz w:val="20"/>
                <w:szCs w:val="20"/>
              </w:rPr>
              <w:t>Dec</w:t>
            </w:r>
            <w:r w:rsidR="00090CBC">
              <w:rPr>
                <w:rFonts w:asciiTheme="minorHAnsi" w:hAnsiTheme="minorHAnsi"/>
                <w:sz w:val="20"/>
                <w:szCs w:val="20"/>
              </w:rPr>
              <w:t xml:space="preserve">ember </w:t>
            </w:r>
            <w:r w:rsidRPr="00670435">
              <w:rPr>
                <w:rFonts w:asciiTheme="minorHAnsi" w:hAnsiTheme="minorHAnsi"/>
                <w:sz w:val="20"/>
                <w:szCs w:val="20"/>
              </w:rPr>
              <w:t>2016, an amendment to the Swiss PI was submitted to include details arising from Study</w:t>
            </w:r>
            <w:r w:rsidR="00090CBC">
              <w:rPr>
                <w:rFonts w:asciiTheme="minorHAnsi" w:hAnsiTheme="minorHAnsi"/>
                <w:sz w:val="20"/>
                <w:szCs w:val="20"/>
              </w:rPr>
              <w:t> </w:t>
            </w:r>
            <w:r w:rsidRPr="00670435">
              <w:rPr>
                <w:rFonts w:asciiTheme="minorHAnsi" w:hAnsiTheme="minorHAnsi"/>
                <w:sz w:val="20"/>
                <w:szCs w:val="20"/>
              </w:rPr>
              <w:t>0010331</w:t>
            </w:r>
            <w:r w:rsidR="0038533F" w:rsidRPr="00670435">
              <w:rPr>
                <w:rFonts w:asciiTheme="minorHAnsi" w:hAnsiTheme="minorHAnsi"/>
                <w:sz w:val="20"/>
                <w:szCs w:val="20"/>
              </w:rPr>
              <w:t>1</w:t>
            </w:r>
            <w:r w:rsidRPr="00670435">
              <w:rPr>
                <w:rFonts w:asciiTheme="minorHAnsi" w:hAnsiTheme="minorHAnsi"/>
                <w:sz w:val="20"/>
                <w:szCs w:val="20"/>
              </w:rPr>
              <w:t>.</w:t>
            </w:r>
          </w:p>
        </w:tc>
      </w:tr>
      <w:tr w:rsidR="00DB63FC" w:rsidRPr="00B96EBD" w14:paraId="4B5CD18A" w14:textId="77777777" w:rsidTr="00A97AE3">
        <w:trPr>
          <w:trHeight w:val="447"/>
        </w:trPr>
        <w:tc>
          <w:tcPr>
            <w:tcW w:w="8525" w:type="dxa"/>
            <w:gridSpan w:val="6"/>
          </w:tcPr>
          <w:p w14:paraId="6DA0C2C4" w14:textId="77777777" w:rsidR="00DB63FC" w:rsidRPr="00670435" w:rsidRDefault="00DB63FC" w:rsidP="00670435">
            <w:pPr>
              <w:pStyle w:val="TableParagraph"/>
              <w:spacing w:before="15" w:line="240" w:lineRule="auto"/>
              <w:ind w:left="0" w:right="0"/>
              <w:jc w:val="left"/>
              <w:rPr>
                <w:rFonts w:asciiTheme="minorHAnsi" w:hAnsiTheme="minorHAnsi"/>
                <w:b/>
                <w:sz w:val="20"/>
                <w:szCs w:val="20"/>
              </w:rPr>
            </w:pPr>
            <w:r w:rsidRPr="00670435">
              <w:rPr>
                <w:rFonts w:asciiTheme="minorHAnsi" w:hAnsiTheme="minorHAnsi"/>
                <w:b/>
                <w:sz w:val="20"/>
                <w:szCs w:val="20"/>
              </w:rPr>
              <w:t>Extension of indications to include minimal residual disease positive (MRD+) ALL</w:t>
            </w:r>
          </w:p>
        </w:tc>
      </w:tr>
      <w:tr w:rsidR="00482F6D" w:rsidRPr="00B96EBD" w14:paraId="5E52C1CB" w14:textId="77777777" w:rsidTr="00195218">
        <w:trPr>
          <w:trHeight w:val="1677"/>
        </w:trPr>
        <w:tc>
          <w:tcPr>
            <w:tcW w:w="1396" w:type="dxa"/>
          </w:tcPr>
          <w:p w14:paraId="0FF958C1" w14:textId="3736DD6A" w:rsidR="00DB63FC" w:rsidRPr="00670435" w:rsidRDefault="005B6383" w:rsidP="00A97AE3">
            <w:pPr>
              <w:pStyle w:val="TableParagraph"/>
              <w:spacing w:before="0" w:line="241" w:lineRule="exact"/>
              <w:ind w:left="0" w:right="0"/>
              <w:jc w:val="left"/>
              <w:rPr>
                <w:rFonts w:asciiTheme="minorHAnsi" w:hAnsiTheme="minorHAnsi"/>
                <w:sz w:val="20"/>
                <w:szCs w:val="20"/>
              </w:rPr>
            </w:pPr>
            <w:r w:rsidRPr="00670435">
              <w:rPr>
                <w:rFonts w:asciiTheme="minorHAnsi" w:hAnsiTheme="minorHAnsi"/>
                <w:sz w:val="20"/>
                <w:szCs w:val="20"/>
              </w:rPr>
              <w:t>European Union</w:t>
            </w:r>
            <w:r w:rsidRPr="005B6383">
              <w:rPr>
                <w:rFonts w:asciiTheme="minorHAnsi" w:hAnsiTheme="minorHAnsi"/>
                <w:sz w:val="20"/>
                <w:szCs w:val="20"/>
              </w:rPr>
              <w:t xml:space="preserve"> </w:t>
            </w:r>
            <w:r>
              <w:rPr>
                <w:rFonts w:asciiTheme="minorHAnsi" w:hAnsiTheme="minorHAnsi"/>
                <w:sz w:val="20"/>
                <w:szCs w:val="20"/>
              </w:rPr>
              <w:t>(</w:t>
            </w:r>
            <w:r w:rsidR="00DB63FC" w:rsidRPr="00670435">
              <w:rPr>
                <w:rFonts w:asciiTheme="minorHAnsi" w:hAnsiTheme="minorHAnsi"/>
                <w:sz w:val="20"/>
                <w:szCs w:val="20"/>
              </w:rPr>
              <w:t>EU</w:t>
            </w:r>
            <w:r>
              <w:rPr>
                <w:rFonts w:asciiTheme="minorHAnsi" w:hAnsiTheme="minorHAnsi"/>
                <w:sz w:val="20"/>
                <w:szCs w:val="20"/>
              </w:rPr>
              <w:t>)</w:t>
            </w:r>
            <w:r w:rsidR="00A97AE3">
              <w:rPr>
                <w:rFonts w:asciiTheme="minorHAnsi" w:hAnsiTheme="minorHAnsi"/>
                <w:sz w:val="20"/>
                <w:szCs w:val="20"/>
              </w:rPr>
              <w:t xml:space="preserve"> </w:t>
            </w:r>
            <w:r w:rsidR="00DB63FC" w:rsidRPr="00670435">
              <w:rPr>
                <w:rFonts w:asciiTheme="minorHAnsi" w:hAnsiTheme="minorHAnsi"/>
                <w:sz w:val="20"/>
                <w:szCs w:val="20"/>
              </w:rPr>
              <w:t>(Centralised procedure)</w:t>
            </w:r>
          </w:p>
        </w:tc>
        <w:tc>
          <w:tcPr>
            <w:tcW w:w="1296" w:type="dxa"/>
            <w:gridSpan w:val="2"/>
          </w:tcPr>
          <w:p w14:paraId="6BCEA91F" w14:textId="77777777" w:rsidR="00DB63FC" w:rsidRPr="00670435" w:rsidRDefault="00DB63FC" w:rsidP="00670435">
            <w:pPr>
              <w:pStyle w:val="TableParagraph"/>
              <w:spacing w:before="0" w:line="241" w:lineRule="exact"/>
              <w:ind w:left="0" w:right="0"/>
              <w:jc w:val="left"/>
              <w:rPr>
                <w:rFonts w:asciiTheme="minorHAnsi" w:hAnsiTheme="minorHAnsi"/>
                <w:sz w:val="20"/>
                <w:szCs w:val="20"/>
              </w:rPr>
            </w:pPr>
            <w:r w:rsidRPr="00670435">
              <w:rPr>
                <w:rFonts w:asciiTheme="minorHAnsi" w:hAnsiTheme="minorHAnsi"/>
                <w:sz w:val="20"/>
                <w:szCs w:val="20"/>
              </w:rPr>
              <w:t>8 Mar</w:t>
            </w:r>
            <w:r w:rsidR="005B6383">
              <w:rPr>
                <w:rFonts w:asciiTheme="minorHAnsi" w:hAnsiTheme="minorHAnsi"/>
                <w:sz w:val="20"/>
                <w:szCs w:val="20"/>
              </w:rPr>
              <w:t>ch</w:t>
            </w:r>
            <w:r w:rsidRPr="00670435">
              <w:rPr>
                <w:rFonts w:asciiTheme="minorHAnsi" w:hAnsiTheme="minorHAnsi"/>
                <w:sz w:val="20"/>
                <w:szCs w:val="20"/>
              </w:rPr>
              <w:t xml:space="preserve"> 2017</w:t>
            </w:r>
          </w:p>
        </w:tc>
        <w:tc>
          <w:tcPr>
            <w:tcW w:w="1297" w:type="dxa"/>
          </w:tcPr>
          <w:p w14:paraId="723AEF43" w14:textId="77777777" w:rsidR="00DB63FC" w:rsidRPr="00670435" w:rsidRDefault="00DB63FC" w:rsidP="00670435">
            <w:pPr>
              <w:pStyle w:val="TableParagraph"/>
              <w:spacing w:before="0" w:line="240" w:lineRule="auto"/>
              <w:ind w:left="0" w:right="0"/>
              <w:jc w:val="left"/>
              <w:rPr>
                <w:rFonts w:asciiTheme="minorHAnsi" w:hAnsiTheme="minorHAnsi"/>
                <w:sz w:val="20"/>
                <w:szCs w:val="20"/>
              </w:rPr>
            </w:pPr>
            <w:r w:rsidRPr="00670435">
              <w:rPr>
                <w:rFonts w:asciiTheme="minorHAnsi" w:hAnsiTheme="minorHAnsi"/>
                <w:sz w:val="20"/>
                <w:szCs w:val="20"/>
              </w:rPr>
              <w:t>Under evaluation</w:t>
            </w:r>
          </w:p>
        </w:tc>
        <w:tc>
          <w:tcPr>
            <w:tcW w:w="1944" w:type="dxa"/>
          </w:tcPr>
          <w:p w14:paraId="60DA7912" w14:textId="72A2DFE4" w:rsidR="00DB63FC" w:rsidRPr="00670435" w:rsidRDefault="00093C1B" w:rsidP="00670435">
            <w:pPr>
              <w:pStyle w:val="TableParagraph"/>
              <w:spacing w:before="0" w:line="240" w:lineRule="auto"/>
              <w:ind w:left="0" w:right="0"/>
              <w:jc w:val="left"/>
              <w:rPr>
                <w:rFonts w:asciiTheme="minorHAnsi" w:hAnsiTheme="minorHAnsi"/>
                <w:sz w:val="20"/>
                <w:szCs w:val="20"/>
              </w:rPr>
            </w:pPr>
            <w:proofErr w:type="spellStart"/>
            <w:r>
              <w:rPr>
                <w:rFonts w:asciiTheme="minorHAnsi" w:hAnsiTheme="minorHAnsi"/>
                <w:sz w:val="20"/>
                <w:szCs w:val="20"/>
              </w:rPr>
              <w:t>Blincyto</w:t>
            </w:r>
            <w:proofErr w:type="spellEnd"/>
            <w:r w:rsidR="00DB63FC" w:rsidRPr="00670435">
              <w:rPr>
                <w:rFonts w:asciiTheme="minorHAnsi" w:hAnsiTheme="minorHAnsi"/>
                <w:sz w:val="20"/>
                <w:szCs w:val="20"/>
              </w:rPr>
              <w:t xml:space="preserve"> is indicated for the treatment of adults with minimal residual disease (MRD) positive B- precursor acute lymphoblastic</w:t>
            </w:r>
            <w:r w:rsidR="00670435">
              <w:rPr>
                <w:rFonts w:asciiTheme="minorHAnsi" w:hAnsiTheme="minorHAnsi"/>
                <w:sz w:val="20"/>
                <w:szCs w:val="20"/>
              </w:rPr>
              <w:t xml:space="preserve"> </w:t>
            </w:r>
            <w:r w:rsidR="00DB63FC" w:rsidRPr="00670435">
              <w:rPr>
                <w:rFonts w:asciiTheme="minorHAnsi" w:hAnsiTheme="minorHAnsi"/>
                <w:sz w:val="20"/>
                <w:szCs w:val="20"/>
              </w:rPr>
              <w:t>leukaemia (ALL)</w:t>
            </w:r>
          </w:p>
        </w:tc>
        <w:tc>
          <w:tcPr>
            <w:tcW w:w="2593" w:type="dxa"/>
          </w:tcPr>
          <w:p w14:paraId="38638E31" w14:textId="7AAEECA1" w:rsidR="00DB63FC" w:rsidRPr="00670435" w:rsidRDefault="00DB63FC" w:rsidP="00670435">
            <w:pPr>
              <w:pStyle w:val="TableParagraph"/>
              <w:spacing w:before="0" w:line="240" w:lineRule="auto"/>
              <w:ind w:left="0" w:right="0"/>
              <w:jc w:val="left"/>
              <w:rPr>
                <w:rFonts w:asciiTheme="minorHAnsi" w:hAnsiTheme="minorHAnsi"/>
                <w:sz w:val="20"/>
                <w:szCs w:val="20"/>
              </w:rPr>
            </w:pPr>
            <w:r w:rsidRPr="00670435">
              <w:rPr>
                <w:rFonts w:asciiTheme="minorHAnsi" w:hAnsiTheme="minorHAnsi"/>
                <w:sz w:val="20"/>
                <w:szCs w:val="20"/>
              </w:rPr>
              <w:t>Study 0010331</w:t>
            </w:r>
            <w:r w:rsidR="0038533F" w:rsidRPr="00670435">
              <w:rPr>
                <w:rFonts w:asciiTheme="minorHAnsi" w:hAnsiTheme="minorHAnsi"/>
                <w:sz w:val="20"/>
                <w:szCs w:val="20"/>
              </w:rPr>
              <w:t>1</w:t>
            </w:r>
            <w:r w:rsidRPr="00670435">
              <w:rPr>
                <w:rFonts w:asciiTheme="minorHAnsi" w:hAnsiTheme="minorHAnsi"/>
                <w:b/>
                <w:sz w:val="20"/>
                <w:szCs w:val="20"/>
              </w:rPr>
              <w:t xml:space="preserve"> </w:t>
            </w:r>
            <w:r w:rsidRPr="00670435">
              <w:rPr>
                <w:rFonts w:asciiTheme="minorHAnsi" w:hAnsiTheme="minorHAnsi"/>
                <w:sz w:val="20"/>
                <w:szCs w:val="20"/>
              </w:rPr>
              <w:t>CSR was submitted on 11</w:t>
            </w:r>
            <w:r w:rsidR="00090CBC">
              <w:rPr>
                <w:rFonts w:asciiTheme="minorHAnsi" w:hAnsiTheme="minorHAnsi"/>
                <w:sz w:val="20"/>
                <w:szCs w:val="20"/>
              </w:rPr>
              <w:t> </w:t>
            </w:r>
            <w:r w:rsidRPr="00670435">
              <w:rPr>
                <w:rFonts w:asciiTheme="minorHAnsi" w:hAnsiTheme="minorHAnsi"/>
                <w:sz w:val="20"/>
                <w:szCs w:val="20"/>
              </w:rPr>
              <w:t>Nov</w:t>
            </w:r>
            <w:r w:rsidR="00090CBC">
              <w:rPr>
                <w:rFonts w:asciiTheme="minorHAnsi" w:hAnsiTheme="minorHAnsi"/>
                <w:sz w:val="20"/>
                <w:szCs w:val="20"/>
              </w:rPr>
              <w:t>ember</w:t>
            </w:r>
            <w:r w:rsidRPr="00670435">
              <w:rPr>
                <w:rFonts w:asciiTheme="minorHAnsi" w:hAnsiTheme="minorHAnsi"/>
                <w:sz w:val="20"/>
                <w:szCs w:val="20"/>
              </w:rPr>
              <w:t xml:space="preserve"> 2016 to fulfil a marketing</w:t>
            </w:r>
            <w:r w:rsidR="000B7627" w:rsidRPr="00670435">
              <w:rPr>
                <w:rFonts w:asciiTheme="minorHAnsi" w:hAnsiTheme="minorHAnsi"/>
                <w:sz w:val="20"/>
                <w:szCs w:val="20"/>
              </w:rPr>
              <w:t xml:space="preserve"> </w:t>
            </w:r>
            <w:r w:rsidRPr="00670435">
              <w:rPr>
                <w:rFonts w:asciiTheme="minorHAnsi" w:hAnsiTheme="minorHAnsi"/>
                <w:sz w:val="20"/>
                <w:szCs w:val="20"/>
              </w:rPr>
              <w:t>authorisation commitment and seek granting of a Marketing Authorisation no</w:t>
            </w:r>
            <w:r w:rsidR="000B7627" w:rsidRPr="00670435">
              <w:rPr>
                <w:rFonts w:asciiTheme="minorHAnsi" w:hAnsiTheme="minorHAnsi"/>
                <w:sz w:val="20"/>
                <w:szCs w:val="20"/>
              </w:rPr>
              <w:t xml:space="preserve"> </w:t>
            </w:r>
            <w:r w:rsidRPr="00670435">
              <w:rPr>
                <w:rFonts w:asciiTheme="minorHAnsi" w:hAnsiTheme="minorHAnsi"/>
                <w:sz w:val="20"/>
                <w:szCs w:val="20"/>
              </w:rPr>
              <w:t>longer subject to Specific</w:t>
            </w:r>
            <w:r w:rsidR="000B7627" w:rsidRPr="00670435">
              <w:rPr>
                <w:rFonts w:asciiTheme="minorHAnsi" w:hAnsiTheme="minorHAnsi"/>
                <w:sz w:val="20"/>
                <w:szCs w:val="20"/>
              </w:rPr>
              <w:t xml:space="preserve"> </w:t>
            </w:r>
            <w:r w:rsidRPr="00670435">
              <w:rPr>
                <w:rFonts w:asciiTheme="minorHAnsi" w:hAnsiTheme="minorHAnsi"/>
                <w:sz w:val="20"/>
                <w:szCs w:val="20"/>
              </w:rPr>
              <w:t>Obligations</w:t>
            </w:r>
          </w:p>
        </w:tc>
      </w:tr>
    </w:tbl>
    <w:p w14:paraId="27E17A57" w14:textId="77777777" w:rsidR="008E7846" w:rsidRPr="00811F68" w:rsidRDefault="008E7846" w:rsidP="00811F68">
      <w:pPr>
        <w:pStyle w:val="Heading3"/>
      </w:pPr>
      <w:bookmarkStart w:id="17" w:name="_Toc22198171"/>
      <w:r w:rsidRPr="00811F68">
        <w:lastRenderedPageBreak/>
        <w:t>Product Information</w:t>
      </w:r>
      <w:bookmarkEnd w:id="15"/>
      <w:bookmarkEnd w:id="16"/>
      <w:bookmarkEnd w:id="17"/>
    </w:p>
    <w:p w14:paraId="101F1D2C" w14:textId="0C09CF2C" w:rsidR="00940A89" w:rsidRDefault="006136D7" w:rsidP="00940A89">
      <w:bookmarkStart w:id="18" w:name="_Toc247691506"/>
      <w:bookmarkStart w:id="19"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7" w:history="1">
        <w:r w:rsidR="00441C3F" w:rsidRPr="00441C3F">
          <w:rPr>
            <w:rStyle w:val="Hyperlink"/>
          </w:rPr>
          <w:t>https://www.tga.gov.au/product-information-pi</w:t>
        </w:r>
      </w:hyperlink>
      <w:r w:rsidR="00441C3F">
        <w:t>&gt;</w:t>
      </w:r>
      <w:r w:rsidR="00940A89" w:rsidRPr="00940A89">
        <w:t>.</w:t>
      </w:r>
    </w:p>
    <w:p w14:paraId="14AED1FE" w14:textId="77777777" w:rsidR="009E0C19" w:rsidRPr="00811F68" w:rsidRDefault="001428E2" w:rsidP="00D05669">
      <w:pPr>
        <w:pStyle w:val="Heading2"/>
      </w:pPr>
      <w:bookmarkStart w:id="20" w:name="_Toc22198172"/>
      <w:r>
        <w:t xml:space="preserve">II. </w:t>
      </w:r>
      <w:r w:rsidR="009E0C19" w:rsidRPr="00811F68">
        <w:t>Registration time line</w:t>
      </w:r>
      <w:bookmarkEnd w:id="20"/>
    </w:p>
    <w:p w14:paraId="11BAA8CF" w14:textId="77777777" w:rsidR="00377BD4" w:rsidRPr="00811F68" w:rsidRDefault="00377BD4" w:rsidP="00811F68">
      <w:r w:rsidRPr="00811F68">
        <w:t xml:space="preserve">The following table </w:t>
      </w:r>
      <w:r w:rsidR="00BE253F" w:rsidRPr="00811F68">
        <w:t xml:space="preserve">captures the key steps and dates </w:t>
      </w:r>
      <w:r w:rsidRPr="00811F68">
        <w:t>for this application</w:t>
      </w:r>
      <w:r w:rsidR="00BE253F" w:rsidRPr="00811F68">
        <w:t xml:space="preserve"> </w:t>
      </w:r>
      <w:r w:rsidR="0078029E" w:rsidRPr="00811F68">
        <w:t xml:space="preserve">and </w:t>
      </w:r>
      <w:r w:rsidR="00BE253F" w:rsidRPr="00811F68">
        <w:t>which are detailed and discussed in this AusPAR and Attachment 2.</w:t>
      </w:r>
    </w:p>
    <w:p w14:paraId="40EAD521" w14:textId="415AF719" w:rsidR="001E523D" w:rsidRPr="0041756E" w:rsidRDefault="0041756E" w:rsidP="00DB582D">
      <w:pPr>
        <w:pStyle w:val="TableTitle"/>
      </w:pPr>
      <w:r>
        <w:t xml:space="preserve">Table 2: </w:t>
      </w:r>
      <w:r w:rsidR="00437CF2" w:rsidRPr="0041756E">
        <w:t xml:space="preserve">Registration </w:t>
      </w:r>
      <w:r>
        <w:t>t</w:t>
      </w:r>
      <w:r w:rsidR="00437CF2" w:rsidRPr="0041756E">
        <w:t>imeline</w:t>
      </w:r>
      <w:r>
        <w:t xml:space="preserve"> for Submission PM-2017-01431-1-4(CEU6)</w:t>
      </w:r>
    </w:p>
    <w:tbl>
      <w:tblPr>
        <w:tblStyle w:val="TableTGAblue"/>
        <w:tblW w:w="0" w:type="auto"/>
        <w:tblLook w:val="04A0" w:firstRow="1" w:lastRow="0" w:firstColumn="1" w:lastColumn="0" w:noHBand="0" w:noVBand="1"/>
        <w:tblDescription w:val="Registration Timeline"/>
      </w:tblPr>
      <w:tblGrid>
        <w:gridCol w:w="5920"/>
        <w:gridCol w:w="2800"/>
      </w:tblGrid>
      <w:tr w:rsidR="009E0C19" w:rsidRPr="0041756E" w14:paraId="7042AE55" w14:textId="77777777" w:rsidTr="00DB582D">
        <w:trPr>
          <w:cnfStyle w:val="100000000000" w:firstRow="1" w:lastRow="0" w:firstColumn="0" w:lastColumn="0" w:oddVBand="0" w:evenVBand="0" w:oddHBand="0" w:evenHBand="0" w:firstRowFirstColumn="0" w:firstRowLastColumn="0" w:lastRowFirstColumn="0" w:lastRowLastColumn="0"/>
        </w:trPr>
        <w:tc>
          <w:tcPr>
            <w:tcW w:w="5920" w:type="dxa"/>
          </w:tcPr>
          <w:p w14:paraId="0BFF3B38" w14:textId="77777777" w:rsidR="009E0C19" w:rsidRPr="0041756E" w:rsidRDefault="009E0C19" w:rsidP="00DB582D">
            <w:pPr>
              <w:rPr>
                <w:b w:val="0"/>
                <w:color w:val="auto"/>
                <w:szCs w:val="22"/>
                <w:lang w:eastAsia="en-US"/>
              </w:rPr>
            </w:pPr>
            <w:r w:rsidRPr="0041756E">
              <w:t>Description</w:t>
            </w:r>
          </w:p>
        </w:tc>
        <w:tc>
          <w:tcPr>
            <w:tcW w:w="2800" w:type="dxa"/>
          </w:tcPr>
          <w:p w14:paraId="598F79DB" w14:textId="77777777" w:rsidR="009E0C19" w:rsidRPr="0041756E" w:rsidRDefault="009E0C19" w:rsidP="00DB582D">
            <w:pPr>
              <w:rPr>
                <w:b w:val="0"/>
                <w:color w:val="auto"/>
                <w:szCs w:val="22"/>
                <w:lang w:eastAsia="en-US"/>
              </w:rPr>
            </w:pPr>
            <w:r w:rsidRPr="0041756E">
              <w:t>Date</w:t>
            </w:r>
          </w:p>
        </w:tc>
      </w:tr>
      <w:tr w:rsidR="009E0C19" w:rsidRPr="0041756E" w14:paraId="764E534E" w14:textId="77777777" w:rsidTr="00DB582D">
        <w:tc>
          <w:tcPr>
            <w:tcW w:w="5920" w:type="dxa"/>
          </w:tcPr>
          <w:p w14:paraId="4926E2AC" w14:textId="77777777" w:rsidR="009E0C19" w:rsidRPr="0041756E" w:rsidRDefault="009E0C19" w:rsidP="00DB582D">
            <w:pPr>
              <w:rPr>
                <w:color w:val="auto"/>
                <w:szCs w:val="22"/>
                <w:lang w:eastAsia="en-US"/>
              </w:rPr>
            </w:pPr>
            <w:r w:rsidRPr="0041756E">
              <w:t>Submission dossier accepted and first round evaluation commenced</w:t>
            </w:r>
          </w:p>
        </w:tc>
        <w:tc>
          <w:tcPr>
            <w:tcW w:w="2800" w:type="dxa"/>
          </w:tcPr>
          <w:p w14:paraId="73D2BA9F" w14:textId="77777777" w:rsidR="009E0C19" w:rsidRPr="0041756E" w:rsidRDefault="00B766C5" w:rsidP="00DB582D">
            <w:pPr>
              <w:rPr>
                <w:color w:val="auto"/>
                <w:szCs w:val="22"/>
                <w:lang w:eastAsia="en-US"/>
              </w:rPr>
            </w:pPr>
            <w:r w:rsidRPr="0041756E">
              <w:t xml:space="preserve">31 </w:t>
            </w:r>
            <w:r w:rsidR="00044A34" w:rsidRPr="0041756E">
              <w:t>M</w:t>
            </w:r>
            <w:r w:rsidRPr="0041756E">
              <w:t xml:space="preserve">ay </w:t>
            </w:r>
            <w:r w:rsidR="00044A34" w:rsidRPr="0041756E">
              <w:t>2017</w:t>
            </w:r>
          </w:p>
        </w:tc>
      </w:tr>
      <w:tr w:rsidR="009E0C19" w:rsidRPr="0041756E" w14:paraId="2B48E297" w14:textId="77777777" w:rsidTr="00DB582D">
        <w:tc>
          <w:tcPr>
            <w:tcW w:w="5920" w:type="dxa"/>
          </w:tcPr>
          <w:p w14:paraId="35DEC6C1" w14:textId="77777777" w:rsidR="009E0C19" w:rsidRPr="0041756E" w:rsidRDefault="009E0C19" w:rsidP="00DB582D">
            <w:pPr>
              <w:rPr>
                <w:color w:val="auto"/>
                <w:szCs w:val="22"/>
                <w:lang w:eastAsia="en-US"/>
              </w:rPr>
            </w:pPr>
            <w:r w:rsidRPr="0041756E">
              <w:t>First round evaluation completed</w:t>
            </w:r>
          </w:p>
        </w:tc>
        <w:tc>
          <w:tcPr>
            <w:tcW w:w="2800" w:type="dxa"/>
          </w:tcPr>
          <w:p w14:paraId="3E7BB7D9" w14:textId="2B51EBE6" w:rsidR="009E0C19" w:rsidRPr="0041756E" w:rsidRDefault="00044A34" w:rsidP="00DB582D">
            <w:pPr>
              <w:rPr>
                <w:color w:val="auto"/>
                <w:szCs w:val="22"/>
                <w:lang w:eastAsia="en-US"/>
              </w:rPr>
            </w:pPr>
            <w:r w:rsidRPr="0041756E">
              <w:t>2 November 2017</w:t>
            </w:r>
          </w:p>
        </w:tc>
      </w:tr>
      <w:tr w:rsidR="009E0C19" w:rsidRPr="0041756E" w14:paraId="19E52417" w14:textId="77777777" w:rsidTr="00DB582D">
        <w:tc>
          <w:tcPr>
            <w:tcW w:w="5920" w:type="dxa"/>
          </w:tcPr>
          <w:p w14:paraId="26297DC5" w14:textId="77777777" w:rsidR="009E0C19" w:rsidRPr="0041756E" w:rsidRDefault="009E0C19" w:rsidP="00DB582D">
            <w:pPr>
              <w:rPr>
                <w:color w:val="auto"/>
                <w:szCs w:val="22"/>
                <w:lang w:eastAsia="en-US"/>
              </w:rPr>
            </w:pPr>
            <w:r w:rsidRPr="0041756E">
              <w:t>Sponsor provides responses on questions raised in first round evaluation</w:t>
            </w:r>
          </w:p>
        </w:tc>
        <w:tc>
          <w:tcPr>
            <w:tcW w:w="2800" w:type="dxa"/>
          </w:tcPr>
          <w:p w14:paraId="20CAA9E9" w14:textId="5CE598E6" w:rsidR="009E0C19" w:rsidRPr="0041756E" w:rsidRDefault="00044A34" w:rsidP="00DB582D">
            <w:pPr>
              <w:rPr>
                <w:color w:val="auto"/>
                <w:szCs w:val="22"/>
                <w:lang w:eastAsia="en-US"/>
              </w:rPr>
            </w:pPr>
            <w:r w:rsidRPr="0041756E">
              <w:t>19 December 2017</w:t>
            </w:r>
          </w:p>
        </w:tc>
      </w:tr>
      <w:tr w:rsidR="009E0C19" w:rsidRPr="0041756E" w14:paraId="73CD5C6C" w14:textId="77777777" w:rsidTr="00DB582D">
        <w:tc>
          <w:tcPr>
            <w:tcW w:w="5920" w:type="dxa"/>
          </w:tcPr>
          <w:p w14:paraId="06A65509" w14:textId="77777777" w:rsidR="009E0C19" w:rsidRPr="0041756E" w:rsidRDefault="009E0C19" w:rsidP="00DB582D">
            <w:pPr>
              <w:rPr>
                <w:color w:val="auto"/>
                <w:szCs w:val="22"/>
                <w:lang w:eastAsia="en-US"/>
              </w:rPr>
            </w:pPr>
            <w:r w:rsidRPr="0041756E">
              <w:t>Second round evaluation completed</w:t>
            </w:r>
          </w:p>
        </w:tc>
        <w:tc>
          <w:tcPr>
            <w:tcW w:w="2800" w:type="dxa"/>
          </w:tcPr>
          <w:p w14:paraId="3618E31B" w14:textId="77777777" w:rsidR="009E0C19" w:rsidRPr="0041756E" w:rsidRDefault="00044A34" w:rsidP="00DB582D">
            <w:pPr>
              <w:rPr>
                <w:color w:val="auto"/>
                <w:szCs w:val="22"/>
                <w:lang w:eastAsia="en-US"/>
              </w:rPr>
            </w:pPr>
            <w:r w:rsidRPr="0041756E">
              <w:t>22 February 2018</w:t>
            </w:r>
          </w:p>
        </w:tc>
      </w:tr>
      <w:tr w:rsidR="009E0C19" w:rsidRPr="0041756E" w14:paraId="2481AA1B" w14:textId="77777777" w:rsidTr="00DB582D">
        <w:tc>
          <w:tcPr>
            <w:tcW w:w="5920" w:type="dxa"/>
          </w:tcPr>
          <w:p w14:paraId="285F7E5E" w14:textId="77777777" w:rsidR="009E0C19" w:rsidRPr="0041756E" w:rsidRDefault="009E0C19" w:rsidP="00DB582D">
            <w:pPr>
              <w:rPr>
                <w:color w:val="auto"/>
                <w:szCs w:val="22"/>
                <w:lang w:eastAsia="en-US"/>
              </w:rPr>
            </w:pPr>
            <w:r w:rsidRPr="0041756E">
              <w:t>Delegate’s Overall benefit-risk assessment and request for Advisory Committee advice</w:t>
            </w:r>
          </w:p>
        </w:tc>
        <w:tc>
          <w:tcPr>
            <w:tcW w:w="2800" w:type="dxa"/>
          </w:tcPr>
          <w:p w14:paraId="727F9B9C" w14:textId="77777777" w:rsidR="009E0C19" w:rsidRPr="0041756E" w:rsidRDefault="0017630C" w:rsidP="00DB582D">
            <w:pPr>
              <w:rPr>
                <w:color w:val="auto"/>
                <w:szCs w:val="22"/>
                <w:lang w:eastAsia="en-US"/>
              </w:rPr>
            </w:pPr>
            <w:r w:rsidRPr="0041756E">
              <w:t>26 February 2018</w:t>
            </w:r>
          </w:p>
        </w:tc>
      </w:tr>
      <w:tr w:rsidR="009E0C19" w:rsidRPr="0041756E" w14:paraId="32555F25" w14:textId="77777777" w:rsidTr="00DB582D">
        <w:tc>
          <w:tcPr>
            <w:tcW w:w="5920" w:type="dxa"/>
          </w:tcPr>
          <w:p w14:paraId="1D67A028" w14:textId="77777777" w:rsidR="009E0C19" w:rsidRPr="0041756E" w:rsidRDefault="009E0C19" w:rsidP="00DB582D">
            <w:pPr>
              <w:rPr>
                <w:color w:val="auto"/>
                <w:szCs w:val="22"/>
                <w:lang w:eastAsia="en-US"/>
              </w:rPr>
            </w:pPr>
            <w:r w:rsidRPr="0041756E">
              <w:t>Sponsor’s pre-Advisory Committee response</w:t>
            </w:r>
          </w:p>
        </w:tc>
        <w:tc>
          <w:tcPr>
            <w:tcW w:w="2800" w:type="dxa"/>
          </w:tcPr>
          <w:p w14:paraId="2B77E9E9" w14:textId="76C35696" w:rsidR="009E0C19" w:rsidRPr="0041756E" w:rsidRDefault="00F85FB2" w:rsidP="00DB582D">
            <w:pPr>
              <w:rPr>
                <w:color w:val="auto"/>
                <w:szCs w:val="22"/>
                <w:lang w:eastAsia="en-US"/>
              </w:rPr>
            </w:pPr>
            <w:r w:rsidRPr="0041756E">
              <w:t>13 March 2018</w:t>
            </w:r>
          </w:p>
        </w:tc>
      </w:tr>
      <w:tr w:rsidR="009E0C19" w:rsidRPr="0041756E" w14:paraId="0651EF0B" w14:textId="77777777" w:rsidTr="00DB582D">
        <w:tc>
          <w:tcPr>
            <w:tcW w:w="5920" w:type="dxa"/>
          </w:tcPr>
          <w:p w14:paraId="102FDD92" w14:textId="77777777" w:rsidR="009E0C19" w:rsidRPr="0041756E" w:rsidRDefault="009E0C19" w:rsidP="00DB582D">
            <w:pPr>
              <w:rPr>
                <w:color w:val="auto"/>
                <w:szCs w:val="22"/>
                <w:lang w:eastAsia="en-US"/>
              </w:rPr>
            </w:pPr>
            <w:r w:rsidRPr="0041756E">
              <w:t>Advisory Committee meeting</w:t>
            </w:r>
          </w:p>
        </w:tc>
        <w:tc>
          <w:tcPr>
            <w:tcW w:w="2800" w:type="dxa"/>
          </w:tcPr>
          <w:p w14:paraId="1753D653" w14:textId="77777777" w:rsidR="009E0C19" w:rsidRPr="0041756E" w:rsidRDefault="00F85FB2" w:rsidP="00DB582D">
            <w:pPr>
              <w:rPr>
                <w:color w:val="auto"/>
                <w:szCs w:val="22"/>
                <w:lang w:eastAsia="en-US"/>
              </w:rPr>
            </w:pPr>
            <w:r w:rsidRPr="0041756E">
              <w:t>5 - 6 April 2018</w:t>
            </w:r>
          </w:p>
        </w:tc>
      </w:tr>
      <w:tr w:rsidR="009E0C19" w:rsidRPr="0041756E" w14:paraId="401B800A" w14:textId="77777777" w:rsidTr="00DB582D">
        <w:tc>
          <w:tcPr>
            <w:tcW w:w="5920" w:type="dxa"/>
          </w:tcPr>
          <w:p w14:paraId="104C3804" w14:textId="77777777" w:rsidR="009E0C19" w:rsidRPr="0041756E" w:rsidRDefault="00377BD4" w:rsidP="00DB582D">
            <w:pPr>
              <w:rPr>
                <w:color w:val="auto"/>
                <w:szCs w:val="22"/>
                <w:lang w:eastAsia="en-US"/>
              </w:rPr>
            </w:pPr>
            <w:r w:rsidRPr="0041756E">
              <w:t>Registration decision (Outcome)</w:t>
            </w:r>
          </w:p>
        </w:tc>
        <w:tc>
          <w:tcPr>
            <w:tcW w:w="2800" w:type="dxa"/>
          </w:tcPr>
          <w:p w14:paraId="570D9BB6" w14:textId="7C05ECA7" w:rsidR="009E0C19" w:rsidRPr="0041756E" w:rsidRDefault="00B072DA" w:rsidP="00DB582D">
            <w:pPr>
              <w:rPr>
                <w:color w:val="auto"/>
                <w:szCs w:val="22"/>
                <w:lang w:eastAsia="en-US"/>
              </w:rPr>
            </w:pPr>
            <w:r w:rsidRPr="0041756E">
              <w:t>3 May 2018</w:t>
            </w:r>
          </w:p>
        </w:tc>
      </w:tr>
      <w:tr w:rsidR="009E0C19" w:rsidRPr="0041756E" w14:paraId="654C3CB0" w14:textId="77777777" w:rsidTr="00DB582D">
        <w:tc>
          <w:tcPr>
            <w:tcW w:w="5920" w:type="dxa"/>
          </w:tcPr>
          <w:p w14:paraId="7A0BE130" w14:textId="77777777" w:rsidR="009E0C19" w:rsidRPr="0041756E" w:rsidRDefault="00377BD4" w:rsidP="00DB582D">
            <w:pPr>
              <w:rPr>
                <w:color w:val="auto"/>
                <w:szCs w:val="22"/>
                <w:lang w:eastAsia="en-US"/>
              </w:rPr>
            </w:pPr>
            <w:r w:rsidRPr="0041756E">
              <w:t>Completion of administrative activities and registration on ARTG</w:t>
            </w:r>
          </w:p>
        </w:tc>
        <w:tc>
          <w:tcPr>
            <w:tcW w:w="2800" w:type="dxa"/>
          </w:tcPr>
          <w:p w14:paraId="34CADB4F" w14:textId="77777777" w:rsidR="009E0C19" w:rsidRPr="0041756E" w:rsidRDefault="00B072DA" w:rsidP="00DB582D">
            <w:pPr>
              <w:rPr>
                <w:color w:val="auto"/>
                <w:szCs w:val="22"/>
                <w:lang w:eastAsia="en-US"/>
              </w:rPr>
            </w:pPr>
            <w:r w:rsidRPr="0041756E">
              <w:t>7 May 2018</w:t>
            </w:r>
          </w:p>
        </w:tc>
      </w:tr>
      <w:tr w:rsidR="009E0C19" w:rsidRPr="0041756E" w14:paraId="3BB86197" w14:textId="77777777" w:rsidTr="00DB582D">
        <w:tc>
          <w:tcPr>
            <w:tcW w:w="5920" w:type="dxa"/>
          </w:tcPr>
          <w:p w14:paraId="38C127B8" w14:textId="77777777" w:rsidR="009E0C19" w:rsidRPr="0041756E" w:rsidRDefault="00377BD4" w:rsidP="00DB582D">
            <w:pPr>
              <w:rPr>
                <w:color w:val="auto"/>
                <w:szCs w:val="22"/>
                <w:lang w:eastAsia="en-US"/>
              </w:rPr>
            </w:pPr>
            <w:r w:rsidRPr="0041756E">
              <w:t>Number of working days from submission dossier acceptance to registration decision*</w:t>
            </w:r>
          </w:p>
        </w:tc>
        <w:tc>
          <w:tcPr>
            <w:tcW w:w="2800" w:type="dxa"/>
          </w:tcPr>
          <w:p w14:paraId="651D9A61" w14:textId="77777777" w:rsidR="009E0C19" w:rsidRPr="0041756E" w:rsidRDefault="00044A34" w:rsidP="00DB582D">
            <w:pPr>
              <w:rPr>
                <w:color w:val="auto"/>
                <w:szCs w:val="22"/>
                <w:lang w:eastAsia="en-US"/>
              </w:rPr>
            </w:pPr>
            <w:r w:rsidRPr="0041756E">
              <w:t>197</w:t>
            </w:r>
          </w:p>
        </w:tc>
      </w:tr>
    </w:tbl>
    <w:p w14:paraId="2B84BC57" w14:textId="77777777" w:rsidR="009E0C19" w:rsidRPr="00811F68" w:rsidRDefault="00377BD4" w:rsidP="00BE253F">
      <w:pPr>
        <w:pStyle w:val="TableDescription"/>
      </w:pPr>
      <w:r>
        <w:t>*</w:t>
      </w:r>
      <w:r w:rsidRPr="00811F68">
        <w:t>Target timeframe for standard applications is 220 working days</w:t>
      </w:r>
    </w:p>
    <w:p w14:paraId="1E3A3152" w14:textId="77777777" w:rsidR="008E7846" w:rsidRPr="00811F68" w:rsidRDefault="008E7846" w:rsidP="008E7846">
      <w:pPr>
        <w:pStyle w:val="Heading2"/>
        <w:ind w:left="-11"/>
      </w:pPr>
      <w:bookmarkStart w:id="21" w:name="_Toc22198173"/>
      <w:r>
        <w:t>II</w:t>
      </w:r>
      <w:r w:rsidR="00D05669">
        <w:t>I</w:t>
      </w:r>
      <w:r>
        <w:t xml:space="preserve">. </w:t>
      </w:r>
      <w:r w:rsidRPr="00811F68">
        <w:t>Quality</w:t>
      </w:r>
      <w:bookmarkEnd w:id="1"/>
      <w:r w:rsidRPr="00811F68">
        <w:t xml:space="preserve"> findings</w:t>
      </w:r>
      <w:bookmarkEnd w:id="18"/>
      <w:bookmarkEnd w:id="19"/>
      <w:bookmarkEnd w:id="21"/>
    </w:p>
    <w:p w14:paraId="3982D6DA" w14:textId="77777777" w:rsidR="00940A89" w:rsidRPr="00940A89" w:rsidRDefault="00940A89" w:rsidP="00940A89">
      <w:bookmarkStart w:id="22" w:name="_Toc247691507"/>
      <w:bookmarkStart w:id="23" w:name="_Toc314842488"/>
      <w:r w:rsidRPr="00940A89">
        <w:t>There was no requirement for a quality evaluation in a submission of this type.</w:t>
      </w:r>
    </w:p>
    <w:p w14:paraId="6B794EA5" w14:textId="77777777" w:rsidR="008E7846" w:rsidRDefault="00D05669" w:rsidP="008E7846">
      <w:pPr>
        <w:pStyle w:val="Heading2"/>
      </w:pPr>
      <w:bookmarkStart w:id="24" w:name="_Toc196046439"/>
      <w:bookmarkStart w:id="25" w:name="_Toc247691510"/>
      <w:bookmarkStart w:id="26" w:name="_Toc314842494"/>
      <w:bookmarkStart w:id="27" w:name="_Toc22198174"/>
      <w:bookmarkEnd w:id="22"/>
      <w:bookmarkEnd w:id="23"/>
      <w:r>
        <w:t>IV</w:t>
      </w:r>
      <w:r w:rsidR="008E7846">
        <w:t>. Nonclinical</w:t>
      </w:r>
      <w:bookmarkEnd w:id="24"/>
      <w:r w:rsidR="008E7846">
        <w:t xml:space="preserve"> findings</w:t>
      </w:r>
      <w:bookmarkEnd w:id="25"/>
      <w:bookmarkEnd w:id="26"/>
      <w:bookmarkEnd w:id="27"/>
    </w:p>
    <w:p w14:paraId="27CB0DE6" w14:textId="77777777" w:rsidR="00940A89" w:rsidRDefault="00940A89" w:rsidP="000E6196">
      <w:bookmarkStart w:id="28" w:name="_Toc247691511"/>
      <w:bookmarkStart w:id="29" w:name="_Toc314842495"/>
      <w:r>
        <w:t>There was no requirement for a nonclinical evaluation in a submission of this type.</w:t>
      </w:r>
    </w:p>
    <w:p w14:paraId="33E0F112" w14:textId="77777777" w:rsidR="008E7846" w:rsidRPr="00811F68" w:rsidRDefault="008E7846" w:rsidP="008E7846">
      <w:pPr>
        <w:pStyle w:val="Heading2"/>
      </w:pPr>
      <w:bookmarkStart w:id="30" w:name="_Toc196046462"/>
      <w:bookmarkStart w:id="31" w:name="_Toc247691516"/>
      <w:bookmarkStart w:id="32" w:name="_Toc314842500"/>
      <w:bookmarkStart w:id="33" w:name="_Toc163441353"/>
      <w:bookmarkStart w:id="34" w:name="_Toc163441348"/>
      <w:bookmarkStart w:id="35" w:name="_Toc22198175"/>
      <w:bookmarkEnd w:id="28"/>
      <w:bookmarkEnd w:id="29"/>
      <w:r>
        <w:lastRenderedPageBreak/>
        <w:t xml:space="preserve">V. </w:t>
      </w:r>
      <w:r w:rsidRPr="00811F68">
        <w:t>Clinical</w:t>
      </w:r>
      <w:bookmarkEnd w:id="30"/>
      <w:r w:rsidRPr="00811F68">
        <w:t xml:space="preserve"> </w:t>
      </w:r>
      <w:r w:rsidR="003A7F6C" w:rsidRPr="00811F68">
        <w:t>f</w:t>
      </w:r>
      <w:r w:rsidRPr="00811F68">
        <w:t>indings</w:t>
      </w:r>
      <w:bookmarkEnd w:id="31"/>
      <w:bookmarkEnd w:id="32"/>
      <w:bookmarkEnd w:id="35"/>
    </w:p>
    <w:p w14:paraId="578D0213" w14:textId="77777777" w:rsidR="00C80137" w:rsidRDefault="00C80137" w:rsidP="00D425BB">
      <w:bookmarkStart w:id="36"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14:paraId="57957821" w14:textId="77777777" w:rsidR="008E7846" w:rsidRPr="00811F68" w:rsidRDefault="008E7846" w:rsidP="00811F68">
      <w:pPr>
        <w:pStyle w:val="Heading3"/>
      </w:pPr>
      <w:bookmarkStart w:id="37" w:name="_Toc247691517"/>
      <w:bookmarkStart w:id="38" w:name="_Toc314842501"/>
      <w:bookmarkStart w:id="39" w:name="_Toc22198176"/>
      <w:r w:rsidRPr="00811F68">
        <w:t>Introduction</w:t>
      </w:r>
      <w:bookmarkEnd w:id="36"/>
      <w:bookmarkEnd w:id="37"/>
      <w:bookmarkEnd w:id="38"/>
      <w:bookmarkEnd w:id="39"/>
    </w:p>
    <w:p w14:paraId="1C2E730A" w14:textId="77777777" w:rsidR="00605AD4" w:rsidRPr="00811F68" w:rsidRDefault="00605AD4" w:rsidP="00811F68">
      <w:pPr>
        <w:pStyle w:val="Heading4"/>
      </w:pPr>
      <w:bookmarkStart w:id="40" w:name="_Toc196046464"/>
      <w:bookmarkStart w:id="41" w:name="_Toc247691518"/>
      <w:bookmarkStart w:id="42" w:name="_Toc314842502"/>
      <w:r w:rsidRPr="00811F68">
        <w:t xml:space="preserve">Clinical </w:t>
      </w:r>
      <w:r w:rsidR="00EF59DC" w:rsidRPr="00811F68">
        <w:t>r</w:t>
      </w:r>
      <w:r w:rsidRPr="00811F68">
        <w:t>ationale</w:t>
      </w:r>
    </w:p>
    <w:p w14:paraId="3D00136F" w14:textId="531BB5EA" w:rsidR="00CA38EC" w:rsidRPr="00CA38EC" w:rsidRDefault="00CA38EC" w:rsidP="00811F68">
      <w:r w:rsidRPr="00CA38EC">
        <w:t xml:space="preserve">For Philadelphia chromosome positive ALL agents with different mechanisms of action are needed to circumvent </w:t>
      </w:r>
      <w:r w:rsidR="00090CBC">
        <w:t>tyrosine kinase inhibitor (</w:t>
      </w:r>
      <w:r w:rsidRPr="00CA38EC">
        <w:t>TKI</w:t>
      </w:r>
      <w:r w:rsidR="00090CBC">
        <w:t>)</w:t>
      </w:r>
      <w:r w:rsidRPr="00CA38EC">
        <w:t xml:space="preserve"> resistance and improve duration of remission. </w:t>
      </w:r>
      <w:proofErr w:type="spellStart"/>
      <w:r w:rsidRPr="00CA38EC">
        <w:t>Blinatumomab</w:t>
      </w:r>
      <w:proofErr w:type="spellEnd"/>
      <w:r w:rsidRPr="00CA38EC">
        <w:t xml:space="preserve"> is such an agent since it targets malignant B cells, rather than tyrosine kinases or other subcellular components that may be responsible for proliferation of these malignant cells.</w:t>
      </w:r>
    </w:p>
    <w:p w14:paraId="46F66A22" w14:textId="602F394E" w:rsidR="00CA38EC" w:rsidRPr="00CA38EC" w:rsidRDefault="00CA38EC" w:rsidP="00811F68">
      <w:r w:rsidRPr="00CA38EC">
        <w:t xml:space="preserve">The </w:t>
      </w:r>
      <w:r w:rsidR="0041756E">
        <w:t>sponsor</w:t>
      </w:r>
      <w:r w:rsidRPr="00CA38EC">
        <w:t xml:space="preserve"> considers that there is an unmet need for treatments that can induce molecular </w:t>
      </w:r>
      <w:r w:rsidR="005B6383">
        <w:t>complete remission</w:t>
      </w:r>
      <w:r w:rsidR="005B6383" w:rsidRPr="00CA38EC">
        <w:t xml:space="preserve"> </w:t>
      </w:r>
      <w:r w:rsidR="005B6383">
        <w:t>(</w:t>
      </w:r>
      <w:r w:rsidRPr="00CA38EC">
        <w:t>CR</w:t>
      </w:r>
      <w:r w:rsidR="005B6383">
        <w:t>)</w:t>
      </w:r>
      <w:r w:rsidRPr="00CA38EC">
        <w:t xml:space="preserve"> in patients who are in </w:t>
      </w:r>
      <w:proofErr w:type="spellStart"/>
      <w:r w:rsidRPr="00CA38EC">
        <w:t>haematologic</w:t>
      </w:r>
      <w:proofErr w:type="spellEnd"/>
      <w:r w:rsidRPr="00CA38EC">
        <w:t xml:space="preserve"> CR, but still have MRD. The </w:t>
      </w:r>
      <w:r w:rsidR="0041756E">
        <w:t>sponsor</w:t>
      </w:r>
      <w:r w:rsidRPr="00CA38EC">
        <w:t xml:space="preserve"> considers that </w:t>
      </w:r>
      <w:proofErr w:type="spellStart"/>
      <w:r w:rsidRPr="00CA38EC">
        <w:t>haematologic</w:t>
      </w:r>
      <w:proofErr w:type="spellEnd"/>
      <w:r w:rsidRPr="00CA38EC">
        <w:t xml:space="preserve"> remission with MRD negativity to be the most meaningful endpoint for predicting longer life in ALL patients, irrespective of Philadelphia chromosome status.</w:t>
      </w:r>
    </w:p>
    <w:p w14:paraId="765267E6" w14:textId="255898EF" w:rsidR="00CA38EC" w:rsidRPr="00CA38EC" w:rsidRDefault="00CA38EC" w:rsidP="00811F68">
      <w:r w:rsidRPr="00CA38EC">
        <w:t>While MRD is not yet a validated surrogate endpoint, ongoing interactions between regulatory, academic, and industry stakeholders are moving towards validating MRD as a surrogate endpoint (FDA BEST, 2016).</w:t>
      </w:r>
      <w:r w:rsidR="00090CBC">
        <w:rPr>
          <w:rStyle w:val="FootnoteReference"/>
        </w:rPr>
        <w:footnoteReference w:id="2"/>
      </w:r>
    </w:p>
    <w:p w14:paraId="5268E2AE" w14:textId="2928949D" w:rsidR="00CA38EC" w:rsidRPr="00CA38EC" w:rsidRDefault="00CA38EC" w:rsidP="00811F68">
      <w:r w:rsidRPr="00CA38EC">
        <w:t xml:space="preserve">In December 2015, the </w:t>
      </w:r>
      <w:r w:rsidR="001F5C1B">
        <w:t xml:space="preserve">European Medicines Agency (EMA) </w:t>
      </w:r>
      <w:r w:rsidRPr="00CA38EC">
        <w:t xml:space="preserve">Committee for Medicinal Products for Human Use (CHMP) published Appendix 4 to the guideline on the evaluation of anticancer medicinal products in man (EMA/CHMP/703715/2012, Rev 2), which stated that MRD may be used as an intermediate endpoint in patients with complete clinical remission of chronic lymphocytic leukaemia. While the </w:t>
      </w:r>
      <w:r w:rsidR="0041756E">
        <w:t>sponsor</w:t>
      </w:r>
      <w:r w:rsidRPr="00CA38EC">
        <w:t xml:space="preserve"> acknowledges that this guidance is currently specific to the treatment of chronic lymphocytic leukaemia, the need for such guidance reflects a growing awareness and acceptance of the use of MRD within the clinical setting of </w:t>
      </w:r>
      <w:proofErr w:type="spellStart"/>
      <w:r w:rsidRPr="00CA38EC">
        <w:t>haematologic</w:t>
      </w:r>
      <w:proofErr w:type="spellEnd"/>
      <w:r w:rsidRPr="00CA38EC">
        <w:t xml:space="preserve"> malignancies.</w:t>
      </w:r>
    </w:p>
    <w:p w14:paraId="1CCD1E6E" w14:textId="77777777" w:rsidR="00605AD4" w:rsidRDefault="00605AD4" w:rsidP="00605AD4">
      <w:pPr>
        <w:pStyle w:val="Heading4"/>
      </w:pPr>
      <w:r w:rsidRPr="00605AD4">
        <w:t>Guidance</w:t>
      </w:r>
    </w:p>
    <w:p w14:paraId="0415270C" w14:textId="77777777" w:rsidR="00CA38EC" w:rsidRPr="00CA38EC" w:rsidRDefault="00CA38EC" w:rsidP="00CA38EC">
      <w:r w:rsidRPr="00CA38EC">
        <w:t>The TGA has adopted the following guidelines relevant to this application:</w:t>
      </w:r>
    </w:p>
    <w:p w14:paraId="3A87BCF8" w14:textId="572716D9" w:rsidR="00CA38EC" w:rsidRPr="00CA38EC" w:rsidRDefault="00CA38EC" w:rsidP="00CA38EC">
      <w:pPr>
        <w:pStyle w:val="ListBullet"/>
      </w:pPr>
      <w:r w:rsidRPr="00CA38EC">
        <w:t>Guideline</w:t>
      </w:r>
      <w:r>
        <w:t xml:space="preserve"> </w:t>
      </w:r>
      <w:r w:rsidRPr="00CA38EC">
        <w:t>on Reporting</w:t>
      </w:r>
      <w:r>
        <w:t xml:space="preserve"> </w:t>
      </w:r>
      <w:r w:rsidRPr="00CA38EC">
        <w:t>the Results</w:t>
      </w:r>
      <w:r>
        <w:t xml:space="preserve"> o</w:t>
      </w:r>
      <w:r w:rsidRPr="00CA38EC">
        <w:t>f</w:t>
      </w:r>
      <w:r>
        <w:t xml:space="preserve"> </w:t>
      </w:r>
      <w:r w:rsidRPr="00CA38EC">
        <w:t>Population</w:t>
      </w:r>
      <w:r>
        <w:t xml:space="preserve"> </w:t>
      </w:r>
      <w:r w:rsidRPr="00CA38EC">
        <w:t>Pharmacokinetic</w:t>
      </w:r>
      <w:r>
        <w:t xml:space="preserve"> </w:t>
      </w:r>
      <w:r w:rsidR="00A97AE3">
        <w:t xml:space="preserve">Analysis. </w:t>
      </w:r>
      <w:r w:rsidRPr="00CA38EC">
        <w:t>CHMP/EWP/185990/06. Effective</w:t>
      </w:r>
      <w:r>
        <w:t xml:space="preserve"> </w:t>
      </w:r>
      <w:r w:rsidRPr="00CA38EC">
        <w:t>from 27 January 2009</w:t>
      </w:r>
      <w:r w:rsidR="001F5C1B">
        <w:t>.</w:t>
      </w:r>
    </w:p>
    <w:p w14:paraId="0469461F" w14:textId="72192A04" w:rsidR="00CA38EC" w:rsidRPr="00CA38EC" w:rsidRDefault="00CA38EC" w:rsidP="00CA38EC">
      <w:pPr>
        <w:pStyle w:val="ListBullet"/>
      </w:pPr>
      <w:r w:rsidRPr="00CA38EC">
        <w:t>Guideline</w:t>
      </w:r>
      <w:r>
        <w:t xml:space="preserve"> </w:t>
      </w:r>
      <w:r w:rsidRPr="00CA38EC">
        <w:t>on</w:t>
      </w:r>
      <w:r>
        <w:t xml:space="preserve"> </w:t>
      </w:r>
      <w:r w:rsidRPr="00CA38EC">
        <w:t>the</w:t>
      </w:r>
      <w:r>
        <w:t xml:space="preserve"> </w:t>
      </w:r>
      <w:r w:rsidRPr="00CA38EC">
        <w:t>Evaluation</w:t>
      </w:r>
      <w:r>
        <w:t xml:space="preserve"> </w:t>
      </w:r>
      <w:r w:rsidRPr="00CA38EC">
        <w:t>of</w:t>
      </w:r>
      <w:r>
        <w:t xml:space="preserve"> </w:t>
      </w:r>
      <w:r w:rsidRPr="00CA38EC">
        <w:t>Anticancer</w:t>
      </w:r>
      <w:r>
        <w:t xml:space="preserve"> </w:t>
      </w:r>
      <w:r w:rsidRPr="00CA38EC">
        <w:t>Medicinal</w:t>
      </w:r>
      <w:r>
        <w:t xml:space="preserve"> </w:t>
      </w:r>
      <w:r w:rsidRPr="00CA38EC">
        <w:t>Products</w:t>
      </w:r>
      <w:r>
        <w:t xml:space="preserve"> </w:t>
      </w:r>
      <w:r w:rsidRPr="00CA38EC">
        <w:t>in</w:t>
      </w:r>
      <w:r>
        <w:t xml:space="preserve"> </w:t>
      </w:r>
      <w:r w:rsidRPr="00CA38EC">
        <w:t xml:space="preserve">Man. </w:t>
      </w:r>
      <w:r w:rsidR="0041756E" w:rsidRPr="00DB582D">
        <w:t xml:space="preserve">EMA/CHMP/205/95/Rev.4, </w:t>
      </w:r>
      <w:r w:rsidRPr="00CA38EC">
        <w:t>Effective from 1 April 2014</w:t>
      </w:r>
      <w:r w:rsidR="001F5C1B">
        <w:t>.</w:t>
      </w:r>
    </w:p>
    <w:p w14:paraId="55B3C670" w14:textId="68DB6263" w:rsidR="00CA38EC" w:rsidRPr="00CA38EC" w:rsidRDefault="00CA38EC" w:rsidP="00CA38EC">
      <w:pPr>
        <w:pStyle w:val="ListBullet"/>
      </w:pPr>
      <w:r w:rsidRPr="00CA38EC">
        <w:t>Appendix 2 to the Guideline on the Evaluation of Anticancer Medicinal Products in Man (CPMP/EWP/205/95 Rev. 3) on Confirmatory Studies in Haematological Malignancies. EMA/CHMP/EWP/520088/2008. Effective from 17 December 2010</w:t>
      </w:r>
      <w:r w:rsidR="001F5C1B">
        <w:t>.</w:t>
      </w:r>
    </w:p>
    <w:p w14:paraId="6CD092D9" w14:textId="77777777" w:rsidR="00605AD4" w:rsidRDefault="00605AD4" w:rsidP="00605AD4">
      <w:pPr>
        <w:pStyle w:val="Heading4"/>
      </w:pPr>
      <w:r w:rsidRPr="00605AD4">
        <w:t>Contents of the clinical dossier</w:t>
      </w:r>
    </w:p>
    <w:p w14:paraId="189E78B5" w14:textId="77777777" w:rsidR="00123143" w:rsidRPr="00123143" w:rsidRDefault="00123143" w:rsidP="00123143">
      <w:r w:rsidRPr="00123143">
        <w:t>The dossier documented a development program of pivotal and other clinical trials relating to the proposed extension of indications and amendments to the PI.</w:t>
      </w:r>
    </w:p>
    <w:p w14:paraId="1289848F" w14:textId="5CC4676E" w:rsidR="00123143" w:rsidRPr="00EC59D9" w:rsidRDefault="0041756E" w:rsidP="00EC59D9">
      <w:pPr>
        <w:pStyle w:val="ListBullet"/>
      </w:pPr>
      <w:r>
        <w:lastRenderedPageBreak/>
        <w:t>Two</w:t>
      </w:r>
      <w:r w:rsidR="00123143" w:rsidRPr="00EC59D9">
        <w:t xml:space="preserve"> Population </w:t>
      </w:r>
      <w:r w:rsidR="00F52D89">
        <w:t>pharmacokinetics</w:t>
      </w:r>
      <w:r w:rsidR="00123143" w:rsidRPr="00EC59D9">
        <w:t xml:space="preserve"> (</w:t>
      </w:r>
      <w:proofErr w:type="spellStart"/>
      <w:r w:rsidR="00123143" w:rsidRPr="00EC59D9">
        <w:t>PopPK</w:t>
      </w:r>
      <w:proofErr w:type="spellEnd"/>
      <w:r w:rsidR="00123143" w:rsidRPr="00EC59D9">
        <w:t>) analyses (</w:t>
      </w:r>
      <w:r>
        <w:t>R</w:t>
      </w:r>
      <w:r w:rsidR="00123143" w:rsidRPr="00EC59D9">
        <w:t xml:space="preserve">eports 122196 </w:t>
      </w:r>
      <w:r>
        <w:t xml:space="preserve">and </w:t>
      </w:r>
      <w:r w:rsidR="00123143" w:rsidRPr="00EC59D9">
        <w:t>122625)</w:t>
      </w:r>
    </w:p>
    <w:p w14:paraId="40AF1C65" w14:textId="2E80621A" w:rsidR="00123143" w:rsidRPr="00EC59D9" w:rsidRDefault="00123143" w:rsidP="00EC59D9">
      <w:pPr>
        <w:pStyle w:val="ListBullet"/>
      </w:pPr>
      <w:r w:rsidRPr="00EC59D9">
        <w:t xml:space="preserve">1 </w:t>
      </w:r>
      <w:r w:rsidR="00EB0B1E">
        <w:t>Pharmacodynamics</w:t>
      </w:r>
      <w:r w:rsidR="00EB0B1E" w:rsidRPr="00EC59D9">
        <w:t xml:space="preserve"> </w:t>
      </w:r>
      <w:r w:rsidR="00EB0B1E">
        <w:t>(</w:t>
      </w:r>
      <w:r w:rsidRPr="00EC59D9">
        <w:t>PD</w:t>
      </w:r>
      <w:r w:rsidR="00EB0B1E">
        <w:t>)</w:t>
      </w:r>
      <w:r w:rsidRPr="00EC59D9">
        <w:t xml:space="preserve"> study</w:t>
      </w:r>
      <w:r w:rsidR="00287149">
        <w:t>;</w:t>
      </w:r>
      <w:r w:rsidRPr="00EC59D9">
        <w:t xml:space="preserve"> </w:t>
      </w:r>
      <w:r w:rsidR="0041756E">
        <w:t>R</w:t>
      </w:r>
      <w:r w:rsidRPr="00EC59D9">
        <w:t>eport 120391</w:t>
      </w:r>
    </w:p>
    <w:p w14:paraId="18E11C3F" w14:textId="4862699F" w:rsidR="00123143" w:rsidRPr="00EC59D9" w:rsidRDefault="00123143" w:rsidP="00EC59D9">
      <w:pPr>
        <w:pStyle w:val="ListBullet"/>
      </w:pPr>
      <w:r w:rsidRPr="00EC59D9">
        <w:t>1 Pivotal efficacy/safety study for indication 1 (</w:t>
      </w:r>
      <w:proofErr w:type="spellStart"/>
      <w:r w:rsidRPr="00EC59D9">
        <w:t>Ph</w:t>
      </w:r>
      <w:proofErr w:type="spellEnd"/>
      <w:r w:rsidRPr="00EC59D9">
        <w:t xml:space="preserve"> positive ALL)</w:t>
      </w:r>
      <w:r w:rsidR="00287149">
        <w:t>;</w:t>
      </w:r>
      <w:r w:rsidRPr="00EC59D9">
        <w:t xml:space="preserve"> </w:t>
      </w:r>
      <w:r w:rsidR="0041756E">
        <w:t>Study</w:t>
      </w:r>
      <w:r w:rsidRPr="00EC59D9">
        <w:t xml:space="preserve"> 20120216</w:t>
      </w:r>
    </w:p>
    <w:p w14:paraId="0F05504A" w14:textId="5F929BEC" w:rsidR="00123143" w:rsidRPr="00EC59D9" w:rsidRDefault="00123143" w:rsidP="00EC59D9">
      <w:pPr>
        <w:pStyle w:val="ListBullet"/>
      </w:pPr>
      <w:r w:rsidRPr="00EC59D9">
        <w:t>2 Pivotal efficacy/safety studies for indication 2 (MRD)</w:t>
      </w:r>
      <w:r w:rsidR="00287149">
        <w:t>;</w:t>
      </w:r>
      <w:r w:rsidRPr="00EC59D9">
        <w:t xml:space="preserve"> Studies MT103-202 and MT103-203</w:t>
      </w:r>
      <w:r w:rsidR="00287149">
        <w:t>:</w:t>
      </w:r>
      <w:r w:rsidRPr="00EC59D9">
        <w:t xml:space="preserve"> for </w:t>
      </w:r>
      <w:r w:rsidR="0041756E">
        <w:t>Study</w:t>
      </w:r>
      <w:r w:rsidRPr="00EC59D9">
        <w:t xml:space="preserve"> MT103- 203 both the primary and secondary analysis reported were included in the submission. The primary analysis had been</w:t>
      </w:r>
      <w:r w:rsidR="00EC59D9">
        <w:t xml:space="preserve"> </w:t>
      </w:r>
      <w:r w:rsidRPr="00EC59D9">
        <w:t>previously evaluated and therefore was not evaluated again.</w:t>
      </w:r>
    </w:p>
    <w:p w14:paraId="59E5F196" w14:textId="3A8DC2ED" w:rsidR="00123143" w:rsidRPr="00EC59D9" w:rsidRDefault="00123143" w:rsidP="00EC59D9">
      <w:pPr>
        <w:pStyle w:val="ListBullet"/>
      </w:pPr>
      <w:r w:rsidRPr="00EC59D9">
        <w:t xml:space="preserve">1 Other efficacy/safety </w:t>
      </w:r>
      <w:r w:rsidR="00287149">
        <w:t>S</w:t>
      </w:r>
      <w:r w:rsidRPr="00EC59D9">
        <w:t>tud</w:t>
      </w:r>
      <w:r w:rsidR="00287149">
        <w:t>y</w:t>
      </w:r>
      <w:r w:rsidRPr="00EC59D9">
        <w:t xml:space="preserve"> 20120148</w:t>
      </w:r>
      <w:r w:rsidR="00287149">
        <w:t>;</w:t>
      </w:r>
      <w:r w:rsidRPr="00EC59D9">
        <w:t xml:space="preserve"> retrospective analysis of </w:t>
      </w:r>
      <w:proofErr w:type="spellStart"/>
      <w:r w:rsidRPr="00EC59D9">
        <w:t>Ph</w:t>
      </w:r>
      <w:proofErr w:type="spellEnd"/>
      <w:r w:rsidR="00EC59D9">
        <w:t xml:space="preserve"> </w:t>
      </w:r>
      <w:r w:rsidRPr="00EC59D9">
        <w:t>negative ALL and Propensity score analysis report</w:t>
      </w:r>
    </w:p>
    <w:p w14:paraId="6571E500" w14:textId="537D7495" w:rsidR="00123143" w:rsidRPr="00EC59D9" w:rsidRDefault="00123143" w:rsidP="00EC59D9">
      <w:pPr>
        <w:pStyle w:val="ListBullet"/>
      </w:pPr>
      <w:r w:rsidRPr="00EC59D9">
        <w:t>1 Pivotal study for indication 3 (update to PI)</w:t>
      </w:r>
      <w:r w:rsidR="00287149">
        <w:t>;</w:t>
      </w:r>
      <w:r w:rsidRPr="00EC59D9">
        <w:t xml:space="preserve"> Study 00103311</w:t>
      </w:r>
    </w:p>
    <w:p w14:paraId="5D6B2536" w14:textId="6AD665B7" w:rsidR="00123143" w:rsidRPr="00EC59D9" w:rsidRDefault="00123143" w:rsidP="00EC59D9">
      <w:pPr>
        <w:pStyle w:val="ListBullet"/>
      </w:pPr>
      <w:r w:rsidRPr="00EC59D9">
        <w:t>1 other study for indication 3</w:t>
      </w:r>
      <w:r w:rsidR="00287149">
        <w:t>;</w:t>
      </w:r>
      <w:r w:rsidRPr="00EC59D9">
        <w:t xml:space="preserve"> Study MT103-211 which also provided PD data</w:t>
      </w:r>
    </w:p>
    <w:p w14:paraId="727F7E40" w14:textId="3E0918F6" w:rsidR="00123143" w:rsidRPr="00EC59D9" w:rsidRDefault="00123143" w:rsidP="00EC59D9">
      <w:pPr>
        <w:pStyle w:val="ListBullet"/>
      </w:pPr>
      <w:r w:rsidRPr="00EC59D9">
        <w:t xml:space="preserve">1 integrated analyses across more than one study: </w:t>
      </w:r>
      <w:r w:rsidR="005B6383">
        <w:t>Integrated summary of efficacy</w:t>
      </w:r>
      <w:r w:rsidR="005B6383" w:rsidRPr="00EC59D9">
        <w:t xml:space="preserve"> </w:t>
      </w:r>
      <w:r w:rsidR="005B6383">
        <w:t>(</w:t>
      </w:r>
      <w:r w:rsidRPr="00EC59D9">
        <w:t>ISE</w:t>
      </w:r>
      <w:r w:rsidR="005B6383">
        <w:t>)</w:t>
      </w:r>
      <w:r w:rsidRPr="00EC59D9">
        <w:t xml:space="preserve"> (summary of studies MT103- 202 and MT103-203) for MRD indication</w:t>
      </w:r>
    </w:p>
    <w:p w14:paraId="201B6433" w14:textId="7E0F7C64" w:rsidR="00123143" w:rsidRPr="00EC59D9" w:rsidRDefault="00123143" w:rsidP="00EC59D9">
      <w:pPr>
        <w:pStyle w:val="ListBullet"/>
      </w:pPr>
      <w:r w:rsidRPr="00EC59D9">
        <w:t>2 integrated analyses across more than one study</w:t>
      </w:r>
    </w:p>
    <w:p w14:paraId="55DFB13F" w14:textId="4F0E7144" w:rsidR="00123143" w:rsidRPr="00EC59D9" w:rsidRDefault="00123143" w:rsidP="00EC59D9">
      <w:pPr>
        <w:pStyle w:val="ListBullet2"/>
      </w:pPr>
      <w:r w:rsidRPr="00EC59D9">
        <w:t>1 ISE</w:t>
      </w:r>
      <w:r w:rsidR="00287149">
        <w:t>;</w:t>
      </w:r>
      <w:r w:rsidRPr="00EC59D9">
        <w:t xml:space="preserve"> which is labelled </w:t>
      </w:r>
      <w:r w:rsidR="00652924">
        <w:t>‘</w:t>
      </w:r>
      <w:r w:rsidRPr="00EC59D9">
        <w:t>ISE appendix – OS</w:t>
      </w:r>
      <w:r w:rsidR="00EB0B1E">
        <w:rPr>
          <w:rStyle w:val="FootnoteReference"/>
        </w:rPr>
        <w:footnoteReference w:id="3"/>
      </w:r>
      <w:r w:rsidR="00652924">
        <w:t>'</w:t>
      </w:r>
      <w:r w:rsidRPr="00EC59D9">
        <w:t xml:space="preserve"> and consists of one page but no explanation for its inclusion is provided. It appears to relate to </w:t>
      </w:r>
      <w:r w:rsidR="0041756E">
        <w:t>Study</w:t>
      </w:r>
      <w:r w:rsidRPr="00EC59D9">
        <w:t xml:space="preserve"> 00103311 but as this cannot be confirmed it has not been included in this report.</w:t>
      </w:r>
    </w:p>
    <w:p w14:paraId="019FAAFD" w14:textId="3F3D7503" w:rsidR="00123143" w:rsidRPr="00EC59D9" w:rsidRDefault="00123143" w:rsidP="00EC59D9">
      <w:pPr>
        <w:pStyle w:val="ListBullet2"/>
      </w:pPr>
      <w:r w:rsidRPr="00EC59D9">
        <w:t xml:space="preserve">1 </w:t>
      </w:r>
      <w:r w:rsidR="005B6383">
        <w:t>integrated summary of safety</w:t>
      </w:r>
      <w:r w:rsidR="005B6383" w:rsidRPr="00EC59D9">
        <w:t xml:space="preserve"> </w:t>
      </w:r>
      <w:r w:rsidR="005B6383">
        <w:t>(</w:t>
      </w:r>
      <w:r w:rsidRPr="00EC59D9">
        <w:t>ISS</w:t>
      </w:r>
      <w:r w:rsidR="005B6383">
        <w:t>)</w:t>
      </w:r>
      <w:r w:rsidRPr="00EC59D9">
        <w:t xml:space="preserve"> (for R/R ALL indication)</w:t>
      </w:r>
      <w:r w:rsidR="005B6383">
        <w:t>;</w:t>
      </w:r>
      <w:r w:rsidRPr="00EC59D9">
        <w:t xml:space="preserve"> includes Studies 00103311, 20120216, MT103- 211, MT103-206, MT103-205 and 20130320 and also studies MT103-202 and MT103-203. This also includes the </w:t>
      </w:r>
      <w:r w:rsidR="005B6383">
        <w:t>integrated statistical analysis plan</w:t>
      </w:r>
      <w:r w:rsidR="005B6383" w:rsidRPr="00EC59D9">
        <w:t xml:space="preserve"> </w:t>
      </w:r>
      <w:r w:rsidR="005B6383">
        <w:t>(</w:t>
      </w:r>
      <w:r w:rsidRPr="00EC59D9">
        <w:t>ISAP</w:t>
      </w:r>
      <w:r w:rsidR="005B6383">
        <w:t>)</w:t>
      </w:r>
      <w:r w:rsidRPr="00EC59D9">
        <w:t xml:space="preserve"> for the Summary of Clinical Safety (R/R ALL)</w:t>
      </w:r>
    </w:p>
    <w:p w14:paraId="656F4B01" w14:textId="37991009" w:rsidR="00EC59D9" w:rsidRDefault="00123143" w:rsidP="00EC59D9">
      <w:pPr>
        <w:pStyle w:val="ListBullet2"/>
      </w:pPr>
      <w:r w:rsidRPr="00EC59D9">
        <w:t>1 ISE which is actually the ISAP - Statistical Analysis Plan (SAP) for the S</w:t>
      </w:r>
      <w:r w:rsidR="00EC59D9">
        <w:t>ummary of Clinical Safety (</w:t>
      </w:r>
      <w:r w:rsidR="0041756E">
        <w:t>MRD</w:t>
      </w:r>
      <w:r w:rsidR="00EC59D9">
        <w:t>)</w:t>
      </w:r>
    </w:p>
    <w:p w14:paraId="3A4FF6C4" w14:textId="22686732" w:rsidR="00123143" w:rsidRPr="00EC59D9" w:rsidRDefault="0041756E">
      <w:pPr>
        <w:pStyle w:val="ListBullet"/>
      </w:pPr>
      <w:r>
        <w:t xml:space="preserve">The submission also included </w:t>
      </w:r>
      <w:r w:rsidR="001F5C1B">
        <w:t>l</w:t>
      </w:r>
      <w:r w:rsidR="001F5C1B" w:rsidRPr="00EC59D9">
        <w:t xml:space="preserve">iterature </w:t>
      </w:r>
      <w:r w:rsidR="00123143" w:rsidRPr="00EC59D9">
        <w:t>references</w:t>
      </w:r>
      <w:r>
        <w:t xml:space="preserve">; </w:t>
      </w:r>
      <w:r w:rsidR="00123143" w:rsidRPr="00EC59D9">
        <w:t>2 Clinical Overview</w:t>
      </w:r>
      <w:r>
        <w:t>s;</w:t>
      </w:r>
      <w:r w:rsidR="00123143" w:rsidRPr="00EC59D9">
        <w:t xml:space="preserve"> one for MRD and one for R/R ALL</w:t>
      </w:r>
      <w:r>
        <w:t xml:space="preserve">; </w:t>
      </w:r>
      <w:r w:rsidR="00123143" w:rsidRPr="00EC59D9">
        <w:t>2 Summar</w:t>
      </w:r>
      <w:r>
        <w:t>ies</w:t>
      </w:r>
      <w:r w:rsidR="00123143" w:rsidRPr="00EC59D9">
        <w:t xml:space="preserve"> of Clinical Pharmacology</w:t>
      </w:r>
      <w:r>
        <w:t xml:space="preserve">; </w:t>
      </w:r>
      <w:r w:rsidR="00123143" w:rsidRPr="00EC59D9">
        <w:t>2 Summar</w:t>
      </w:r>
      <w:r>
        <w:t>ies</w:t>
      </w:r>
      <w:r w:rsidR="00123143" w:rsidRPr="00EC59D9">
        <w:t xml:space="preserve"> of Clinical Efficacy</w:t>
      </w:r>
      <w:r>
        <w:t xml:space="preserve">; and </w:t>
      </w:r>
      <w:r w:rsidR="00123143" w:rsidRPr="00EC59D9">
        <w:t>2 Summar</w:t>
      </w:r>
      <w:r>
        <w:t>ies</w:t>
      </w:r>
      <w:r w:rsidR="00123143" w:rsidRPr="00EC59D9">
        <w:t xml:space="preserve"> of Clinical Safety</w:t>
      </w:r>
    </w:p>
    <w:p w14:paraId="6A59AE92" w14:textId="77777777" w:rsidR="00605AD4" w:rsidRDefault="00605AD4" w:rsidP="00605AD4">
      <w:pPr>
        <w:pStyle w:val="Heading4"/>
      </w:pPr>
      <w:r w:rsidRPr="00605AD4">
        <w:t>Paediatric data</w:t>
      </w:r>
    </w:p>
    <w:p w14:paraId="0D8B0124" w14:textId="77777777" w:rsidR="007B5E53" w:rsidRDefault="00EC59D9" w:rsidP="00EC59D9">
      <w:r w:rsidRPr="00EC59D9">
        <w:t>The submission did not include paediatric data. A submission to extend the indication to include paediatric patients was approved during the course of this evaluation (</w:t>
      </w:r>
      <w:r w:rsidR="00287149">
        <w:t xml:space="preserve">Submission </w:t>
      </w:r>
      <w:r w:rsidRPr="00EC59D9">
        <w:t>PM-2016-01898-1-4).</w:t>
      </w:r>
    </w:p>
    <w:p w14:paraId="28B77D59" w14:textId="77777777" w:rsidR="00605AD4" w:rsidRDefault="00605AD4" w:rsidP="007B5E53">
      <w:pPr>
        <w:pStyle w:val="Heading4"/>
      </w:pPr>
      <w:r w:rsidRPr="00EC59D9">
        <w:t>Good clinical practice</w:t>
      </w:r>
    </w:p>
    <w:p w14:paraId="22508CCF" w14:textId="725EE3F3" w:rsidR="007B5E53" w:rsidRDefault="007B5E53" w:rsidP="007B5E53">
      <w:r w:rsidRPr="007B5E53">
        <w:t xml:space="preserve">The </w:t>
      </w:r>
      <w:r w:rsidR="0041756E">
        <w:t>sponsor</w:t>
      </w:r>
      <w:r w:rsidRPr="007B5E53">
        <w:t xml:space="preserve"> states that all clinical studies were conducted under Good Clinical Practice</w:t>
      </w:r>
      <w:r w:rsidR="001F5C1B">
        <w:t xml:space="preserve"> (GCP)</w:t>
      </w:r>
      <w:r w:rsidRPr="007B5E53">
        <w:t xml:space="preserve"> as described in International Conference on Harmonisation (ICH) E6, </w:t>
      </w:r>
      <w:r w:rsidR="001F5C1B">
        <w:t xml:space="preserve">Guideline for GCP, </w:t>
      </w:r>
      <w:r w:rsidRPr="007B5E53">
        <w:t>under the principles of the Declaration of Helsinki, and in accordance with global, local, and regional regulations and guidance, including ICH E11 Guidance for Clinical Investigation of Medicinal Products in the Paediatric Population, FDA Guidance for Industry Clinical Trial Endpoints for the Approval of Cancer Drugs, and the European Medicines Agency (EMA) Guideline on the Evaluation of Anticancer Medicinal Products in Man.</w:t>
      </w:r>
    </w:p>
    <w:p w14:paraId="0736B400" w14:textId="77777777" w:rsidR="007B5E53" w:rsidRPr="007B5E53" w:rsidRDefault="007B5E53" w:rsidP="007B5E53">
      <w:pPr>
        <w:pStyle w:val="Heading4"/>
      </w:pPr>
      <w:r w:rsidRPr="007B5E53">
        <w:lastRenderedPageBreak/>
        <w:t>Evaluator’s commentary on the clinical dossier</w:t>
      </w:r>
    </w:p>
    <w:p w14:paraId="58A40C76" w14:textId="49AFED84" w:rsidR="007B5E53" w:rsidRPr="007B5E53" w:rsidRDefault="007B5E53" w:rsidP="007B5E53">
      <w:r w:rsidRPr="007B5E53">
        <w:t xml:space="preserve">The clinical dossier is a composite of the submissions made in Europe and the USA. The </w:t>
      </w:r>
      <w:r w:rsidR="0041756E">
        <w:t>sponsor</w:t>
      </w:r>
      <w:r w:rsidRPr="007B5E53">
        <w:t xml:space="preserve"> has submitted multiple summaries to cover the indications requested. The data and presentation are adequate but the summaries do not include all the data included in the submission and this is not explained by the </w:t>
      </w:r>
      <w:r w:rsidR="0041756E">
        <w:t>sponsor</w:t>
      </w:r>
      <w:r w:rsidRPr="007B5E53">
        <w:t>. The Summaries included data from multiple studies which had been submitted over three submissions in Australia. A list of the studies submitted in the different submissions would have been helpful. For example</w:t>
      </w:r>
      <w:r w:rsidR="00652924">
        <w:t>,</w:t>
      </w:r>
      <w:r w:rsidRPr="007B5E53">
        <w:t xml:space="preserve"> no explanation is provided for the inclusion of the exposure response in the paediatric population, </w:t>
      </w:r>
      <w:r w:rsidR="0041756E">
        <w:t>Study</w:t>
      </w:r>
      <w:r w:rsidRPr="007B5E53">
        <w:t xml:space="preserve"> 120391 which is not discussed in the summaries. Study MT103-208 is discussed in the Summary of Clinical Pharmacology but not in the clinical or safety summaries. Study MT103-208 which relates to a different indication has been evaluated for safety only.</w:t>
      </w:r>
    </w:p>
    <w:p w14:paraId="287EE801" w14:textId="77777777" w:rsidR="007B5E53" w:rsidRPr="007B5E53" w:rsidRDefault="007B5E53" w:rsidP="007B5E53">
      <w:r w:rsidRPr="007B5E53">
        <w:t>The Summaries of Clinical Safety and the ISS for the R/R ALL indication include different data sets making analysis and interpretation difficult.</w:t>
      </w:r>
    </w:p>
    <w:p w14:paraId="27973FBD" w14:textId="21B74EA7" w:rsidR="007B5E53" w:rsidRPr="007B5E53" w:rsidRDefault="007B5E53" w:rsidP="007B5E53">
      <w:r w:rsidRPr="007B5E53">
        <w:t>The Clinical Overview (</w:t>
      </w:r>
      <w:r w:rsidR="0041756E">
        <w:t>MRD</w:t>
      </w:r>
      <w:r w:rsidRPr="007B5E53">
        <w:t xml:space="preserve">) is not dated and it has included the results from the primary analysis of </w:t>
      </w:r>
      <w:r w:rsidR="0041756E">
        <w:t>Study</w:t>
      </w:r>
      <w:r w:rsidRPr="007B5E53">
        <w:t xml:space="preserve"> MT103-203, rather than the secondary analysis included in this submission. Again no explanation is provided by the </w:t>
      </w:r>
      <w:r w:rsidR="0041756E">
        <w:t>sponsor</w:t>
      </w:r>
      <w:r w:rsidRPr="007B5E53">
        <w:t>.</w:t>
      </w:r>
    </w:p>
    <w:p w14:paraId="7074F32C" w14:textId="77777777" w:rsidR="008E7846" w:rsidRDefault="008E7846" w:rsidP="00605AD4">
      <w:pPr>
        <w:pStyle w:val="Heading3"/>
      </w:pPr>
      <w:bookmarkStart w:id="43" w:name="_Toc22198177"/>
      <w:r w:rsidRPr="00254787">
        <w:t>Pharmacokinetics</w:t>
      </w:r>
      <w:bookmarkEnd w:id="33"/>
      <w:bookmarkEnd w:id="40"/>
      <w:bookmarkEnd w:id="41"/>
      <w:bookmarkEnd w:id="42"/>
      <w:bookmarkEnd w:id="43"/>
    </w:p>
    <w:p w14:paraId="51A1E40E" w14:textId="77777777" w:rsidR="00130ECA" w:rsidRDefault="00130ECA" w:rsidP="00130ECA">
      <w:pPr>
        <w:pStyle w:val="Heading4"/>
      </w:pPr>
      <w:r>
        <w:t xml:space="preserve">Studies providing pharmacokinetic </w:t>
      </w:r>
      <w:r w:rsidRPr="00C73A3C">
        <w:t>d</w:t>
      </w:r>
      <w:r>
        <w:t xml:space="preserve">ata </w:t>
      </w:r>
    </w:p>
    <w:p w14:paraId="4AB6DDB4" w14:textId="1BA466E0" w:rsidR="00130ECA" w:rsidRDefault="00130ECA" w:rsidP="00130ECA">
      <w:r w:rsidRPr="00130ECA">
        <w:t xml:space="preserve">In the </w:t>
      </w:r>
      <w:proofErr w:type="spellStart"/>
      <w:r w:rsidRPr="00130ECA">
        <w:t>blinatumomab</w:t>
      </w:r>
      <w:proofErr w:type="spellEnd"/>
      <w:r w:rsidRPr="00130ECA">
        <w:t xml:space="preserve"> clinical program, there were no dedicated </w:t>
      </w:r>
      <w:r w:rsidR="00F52D89">
        <w:t>pharmacokinetic</w:t>
      </w:r>
      <w:r w:rsidR="00F52D89" w:rsidRPr="00130ECA">
        <w:t xml:space="preserve"> </w:t>
      </w:r>
      <w:r w:rsidR="00F52D89">
        <w:t>(</w:t>
      </w:r>
      <w:r w:rsidRPr="00130ECA">
        <w:t>PK</w:t>
      </w:r>
      <w:r w:rsidR="00F52D89">
        <w:t>)</w:t>
      </w:r>
      <w:r w:rsidRPr="00130ECA">
        <w:t xml:space="preserve"> or </w:t>
      </w:r>
      <w:proofErr w:type="spellStart"/>
      <w:r w:rsidR="001F5C1B">
        <w:t>pharmacodynamic</w:t>
      </w:r>
      <w:proofErr w:type="spellEnd"/>
      <w:r w:rsidR="001F5C1B">
        <w:t xml:space="preserve"> (</w:t>
      </w:r>
      <w:r w:rsidRPr="00130ECA">
        <w:t>PD</w:t>
      </w:r>
      <w:r w:rsidR="001F5C1B">
        <w:t>)</w:t>
      </w:r>
      <w:r w:rsidRPr="00130ECA">
        <w:t xml:space="preserve"> clinical trials. The PK and PD properties of </w:t>
      </w:r>
      <w:proofErr w:type="spellStart"/>
      <w:r w:rsidRPr="00130ECA">
        <w:t>blinatumomab</w:t>
      </w:r>
      <w:proofErr w:type="spellEnd"/>
      <w:r w:rsidRPr="00130ECA">
        <w:t xml:space="preserve"> were assessed in conjunction with safety, tolerability, and efficacy studies.</w:t>
      </w:r>
    </w:p>
    <w:p w14:paraId="64641C74" w14:textId="77777777" w:rsidR="007B5E53" w:rsidRPr="007B5E53" w:rsidRDefault="007B5E53" w:rsidP="007B5E53">
      <w:pPr>
        <w:pStyle w:val="Heading4"/>
      </w:pPr>
      <w:r w:rsidRPr="007B5E53">
        <w:t>Studies providing pharmacokinetic information</w:t>
      </w:r>
    </w:p>
    <w:p w14:paraId="6FA474B7" w14:textId="68403851" w:rsidR="007B5E53" w:rsidRDefault="007B5E53" w:rsidP="007B5E53">
      <w:r w:rsidRPr="007B5E53">
        <w:t xml:space="preserve">In this submission the </w:t>
      </w:r>
      <w:r w:rsidR="0041756E">
        <w:t>sponsor</w:t>
      </w:r>
      <w:r w:rsidRPr="007B5E53">
        <w:t xml:space="preserve"> provided PK data from one additional </w:t>
      </w:r>
      <w:r w:rsidR="001F5C1B">
        <w:t>study, (</w:t>
      </w:r>
      <w:r w:rsidR="0041756E">
        <w:t>Study</w:t>
      </w:r>
      <w:r w:rsidRPr="007B5E53">
        <w:t xml:space="preserve"> MT103-203</w:t>
      </w:r>
      <w:r w:rsidR="001F5C1B">
        <w:t>)</w:t>
      </w:r>
      <w:r w:rsidRPr="007B5E53">
        <w:t xml:space="preserve"> and two </w:t>
      </w:r>
      <w:proofErr w:type="spellStart"/>
      <w:r w:rsidRPr="007B5E53">
        <w:t>PopPK</w:t>
      </w:r>
      <w:proofErr w:type="spellEnd"/>
      <w:r w:rsidR="001F5C1B">
        <w:t xml:space="preserve"> studies, (Studies</w:t>
      </w:r>
      <w:r w:rsidRPr="007B5E53">
        <w:t xml:space="preserve"> 122196 and 122625</w:t>
      </w:r>
      <w:r w:rsidR="001F5C1B">
        <w:t>)</w:t>
      </w:r>
      <w:r w:rsidRPr="007B5E53">
        <w:t xml:space="preserve">. The Summary of Clinical Pharmacology provides a general summary of </w:t>
      </w:r>
      <w:proofErr w:type="spellStart"/>
      <w:r w:rsidRPr="007B5E53">
        <w:t>blinatumomab</w:t>
      </w:r>
      <w:proofErr w:type="spellEnd"/>
      <w:r w:rsidRPr="007B5E53">
        <w:t xml:space="preserve"> based on available data from eight clinical</w:t>
      </w:r>
      <w:r w:rsidR="001F5C1B">
        <w:t xml:space="preserve"> studies (Studies </w:t>
      </w:r>
      <w:r w:rsidRPr="007B5E53">
        <w:t>MT103- 203, MT103-208, MT103-211, 20120216 and 00103311</w:t>
      </w:r>
      <w:r w:rsidR="001F5C1B">
        <w:t>)</w:t>
      </w:r>
      <w:r w:rsidRPr="007B5E53">
        <w:t xml:space="preserve"> which were </w:t>
      </w:r>
      <w:r w:rsidRPr="00C20BA7">
        <w:t xml:space="preserve">included in this submission and </w:t>
      </w:r>
      <w:r w:rsidR="0041756E">
        <w:t>S</w:t>
      </w:r>
      <w:r w:rsidRPr="00C20BA7">
        <w:t>tudies MT103-104, MT103-202 (primary analysis), and MT103-206 which were included in the initial submission.</w:t>
      </w:r>
    </w:p>
    <w:p w14:paraId="14B5D15D" w14:textId="1A9E0E38" w:rsidR="00C73A3C" w:rsidRDefault="00811513" w:rsidP="00DB582D">
      <w:pPr>
        <w:pStyle w:val="TableTitle"/>
      </w:pPr>
      <w:r>
        <w:t>Table 3</w:t>
      </w:r>
      <w:r w:rsidR="00287149">
        <w:t xml:space="preserve">: </w:t>
      </w:r>
      <w:r w:rsidR="00C73A3C">
        <w:t>Submitted pharmacokinetic studies</w:t>
      </w:r>
    </w:p>
    <w:tbl>
      <w:tblPr>
        <w:tblStyle w:val="TableTGAblue"/>
        <w:tblW w:w="8188" w:type="dxa"/>
        <w:tblLayout w:type="fixed"/>
        <w:tblLook w:val="01E0" w:firstRow="1" w:lastRow="1" w:firstColumn="1" w:lastColumn="1" w:noHBand="0" w:noVBand="0"/>
        <w:tblDescription w:val="Submitted pharmacokinetic studies"/>
      </w:tblPr>
      <w:tblGrid>
        <w:gridCol w:w="1670"/>
        <w:gridCol w:w="3259"/>
        <w:gridCol w:w="1558"/>
        <w:gridCol w:w="1701"/>
      </w:tblGrid>
      <w:tr w:rsidR="00DB582D" w:rsidRPr="00DB582D" w14:paraId="597906EC" w14:textId="77777777" w:rsidTr="00DB582D">
        <w:trPr>
          <w:cnfStyle w:val="100000000000" w:firstRow="1" w:lastRow="0" w:firstColumn="0" w:lastColumn="0" w:oddVBand="0" w:evenVBand="0" w:oddHBand="0" w:evenHBand="0" w:firstRowFirstColumn="0" w:firstRowLastColumn="0" w:lastRowFirstColumn="0" w:lastRowLastColumn="0"/>
          <w:trHeight w:val="729"/>
        </w:trPr>
        <w:tc>
          <w:tcPr>
            <w:tcW w:w="1670" w:type="dxa"/>
          </w:tcPr>
          <w:p w14:paraId="57123458" w14:textId="77777777" w:rsidR="0041756E" w:rsidRPr="00DB582D" w:rsidRDefault="0041756E" w:rsidP="00DB582D">
            <w:r w:rsidRPr="00DB582D">
              <w:t>PK topic</w:t>
            </w:r>
          </w:p>
        </w:tc>
        <w:tc>
          <w:tcPr>
            <w:tcW w:w="3259" w:type="dxa"/>
          </w:tcPr>
          <w:p w14:paraId="6C8BBA03" w14:textId="77777777" w:rsidR="0041756E" w:rsidRPr="00DB582D" w:rsidRDefault="0041756E" w:rsidP="00DB582D">
            <w:r w:rsidRPr="00DB582D">
              <w:t>Subtopic</w:t>
            </w:r>
          </w:p>
        </w:tc>
        <w:tc>
          <w:tcPr>
            <w:tcW w:w="1558" w:type="dxa"/>
          </w:tcPr>
          <w:p w14:paraId="15226ADC" w14:textId="77777777" w:rsidR="0041756E" w:rsidRPr="00DB582D" w:rsidRDefault="0041756E" w:rsidP="00DB582D">
            <w:r w:rsidRPr="00DB582D">
              <w:t>Study ID</w:t>
            </w:r>
          </w:p>
        </w:tc>
        <w:tc>
          <w:tcPr>
            <w:tcW w:w="1701" w:type="dxa"/>
          </w:tcPr>
          <w:p w14:paraId="646A34D0" w14:textId="77777777" w:rsidR="0041756E" w:rsidRPr="00DB582D" w:rsidRDefault="0041756E" w:rsidP="00DB582D">
            <w:r w:rsidRPr="00DB582D">
              <w:t>Primary aim</w:t>
            </w:r>
          </w:p>
        </w:tc>
      </w:tr>
      <w:tr w:rsidR="0041756E" w:rsidRPr="00287149" w14:paraId="3618A680" w14:textId="77777777" w:rsidTr="00DB582D">
        <w:trPr>
          <w:trHeight w:val="839"/>
        </w:trPr>
        <w:tc>
          <w:tcPr>
            <w:tcW w:w="1670" w:type="dxa"/>
            <w:vMerge w:val="restart"/>
          </w:tcPr>
          <w:p w14:paraId="130B7323" w14:textId="77777777" w:rsidR="0041756E" w:rsidRPr="00287149" w:rsidRDefault="0041756E" w:rsidP="00DB582D">
            <w:pPr>
              <w:ind w:left="0"/>
              <w:rPr>
                <w:color w:val="auto"/>
                <w:szCs w:val="22"/>
                <w:lang w:eastAsia="en-US"/>
              </w:rPr>
            </w:pPr>
            <w:r w:rsidRPr="00287149">
              <w:t>PK in special populations</w:t>
            </w:r>
          </w:p>
        </w:tc>
        <w:tc>
          <w:tcPr>
            <w:tcW w:w="3259" w:type="dxa"/>
          </w:tcPr>
          <w:p w14:paraId="70806D27" w14:textId="35BB831E" w:rsidR="001F5C1B" w:rsidRDefault="0041756E" w:rsidP="00DB582D">
            <w:pPr>
              <w:ind w:left="0"/>
              <w:rPr>
                <w:color w:val="auto"/>
                <w:szCs w:val="22"/>
                <w:lang w:eastAsia="en-US"/>
              </w:rPr>
            </w:pPr>
            <w:r w:rsidRPr="00287149">
              <w:t>Target population§</w:t>
            </w:r>
            <w:r w:rsidR="00654968">
              <w:t xml:space="preserve"> </w:t>
            </w:r>
          </w:p>
          <w:p w14:paraId="394CD2AB" w14:textId="5C9718FC" w:rsidR="0041756E" w:rsidRPr="00DB582D" w:rsidRDefault="0041756E" w:rsidP="00DB582D">
            <w:pPr>
              <w:ind w:left="0"/>
            </w:pPr>
            <w:r w:rsidRPr="00287149">
              <w:t>multiple dose R/R ALL</w:t>
            </w:r>
          </w:p>
        </w:tc>
        <w:tc>
          <w:tcPr>
            <w:tcW w:w="1558" w:type="dxa"/>
          </w:tcPr>
          <w:p w14:paraId="533AB280" w14:textId="77777777" w:rsidR="0041756E" w:rsidRPr="00287149" w:rsidRDefault="0041756E" w:rsidP="00DB582D">
            <w:pPr>
              <w:ind w:left="0"/>
              <w:rPr>
                <w:color w:val="auto"/>
                <w:szCs w:val="22"/>
                <w:lang w:eastAsia="en-US"/>
              </w:rPr>
            </w:pPr>
            <w:r w:rsidRPr="00287149">
              <w:t>MT103-211</w:t>
            </w:r>
          </w:p>
        </w:tc>
        <w:tc>
          <w:tcPr>
            <w:tcW w:w="1701" w:type="dxa"/>
          </w:tcPr>
          <w:p w14:paraId="0DDEC42D" w14:textId="3CF60CC6" w:rsidR="0041756E" w:rsidRPr="00287149" w:rsidRDefault="0041756E" w:rsidP="00DB582D">
            <w:pPr>
              <w:ind w:left="0"/>
              <w:rPr>
                <w:color w:val="auto"/>
                <w:szCs w:val="22"/>
                <w:lang w:eastAsia="en-US"/>
              </w:rPr>
            </w:pPr>
            <w:r w:rsidRPr="00287149">
              <w:t>Efficacy and safety</w:t>
            </w:r>
          </w:p>
        </w:tc>
      </w:tr>
      <w:tr w:rsidR="0041756E" w:rsidRPr="00287149" w14:paraId="5FF6C780" w14:textId="77777777" w:rsidTr="00DB582D">
        <w:trPr>
          <w:trHeight w:val="484"/>
        </w:trPr>
        <w:tc>
          <w:tcPr>
            <w:tcW w:w="1670" w:type="dxa"/>
            <w:vMerge/>
          </w:tcPr>
          <w:p w14:paraId="6AB84028" w14:textId="77777777" w:rsidR="0041756E" w:rsidRPr="00DB582D" w:rsidRDefault="0041756E" w:rsidP="00DB582D">
            <w:pPr>
              <w:ind w:left="0"/>
            </w:pPr>
          </w:p>
        </w:tc>
        <w:tc>
          <w:tcPr>
            <w:tcW w:w="3259" w:type="dxa"/>
          </w:tcPr>
          <w:p w14:paraId="39823F8F" w14:textId="77777777" w:rsidR="0041756E" w:rsidRPr="00DB582D" w:rsidRDefault="0041756E" w:rsidP="00DB582D">
            <w:pPr>
              <w:ind w:left="0"/>
            </w:pPr>
          </w:p>
        </w:tc>
        <w:tc>
          <w:tcPr>
            <w:tcW w:w="1558" w:type="dxa"/>
          </w:tcPr>
          <w:p w14:paraId="54CD228C" w14:textId="77777777" w:rsidR="0041756E" w:rsidRPr="00287149" w:rsidRDefault="0041756E" w:rsidP="00DB582D">
            <w:pPr>
              <w:ind w:left="0"/>
              <w:rPr>
                <w:color w:val="auto"/>
                <w:szCs w:val="22"/>
                <w:lang w:eastAsia="en-US"/>
              </w:rPr>
            </w:pPr>
            <w:r w:rsidRPr="00287149">
              <w:t>00103311</w:t>
            </w:r>
          </w:p>
        </w:tc>
        <w:tc>
          <w:tcPr>
            <w:tcW w:w="1701" w:type="dxa"/>
          </w:tcPr>
          <w:p w14:paraId="5CB32747" w14:textId="068345A3" w:rsidR="0041756E" w:rsidRPr="00287149" w:rsidRDefault="0041756E" w:rsidP="00DB582D">
            <w:pPr>
              <w:ind w:left="0"/>
              <w:rPr>
                <w:color w:val="auto"/>
                <w:szCs w:val="22"/>
                <w:lang w:eastAsia="en-US"/>
              </w:rPr>
            </w:pPr>
            <w:r w:rsidRPr="00287149">
              <w:t>Efficacy and safety</w:t>
            </w:r>
          </w:p>
        </w:tc>
      </w:tr>
      <w:tr w:rsidR="0041756E" w:rsidRPr="00287149" w14:paraId="1D3CB870" w14:textId="77777777" w:rsidTr="00DB582D">
        <w:trPr>
          <w:trHeight w:val="483"/>
        </w:trPr>
        <w:tc>
          <w:tcPr>
            <w:tcW w:w="1670" w:type="dxa"/>
            <w:vMerge/>
          </w:tcPr>
          <w:p w14:paraId="19506B3E" w14:textId="77777777" w:rsidR="0041756E" w:rsidRPr="00DB582D" w:rsidRDefault="0041756E" w:rsidP="00DB582D">
            <w:pPr>
              <w:ind w:left="0"/>
            </w:pPr>
          </w:p>
        </w:tc>
        <w:tc>
          <w:tcPr>
            <w:tcW w:w="3259" w:type="dxa"/>
          </w:tcPr>
          <w:p w14:paraId="3D2EF906" w14:textId="77777777" w:rsidR="0041756E" w:rsidRPr="00DB582D" w:rsidRDefault="0041756E" w:rsidP="00DB582D">
            <w:pPr>
              <w:ind w:left="0"/>
            </w:pPr>
          </w:p>
        </w:tc>
        <w:tc>
          <w:tcPr>
            <w:tcW w:w="1558" w:type="dxa"/>
          </w:tcPr>
          <w:p w14:paraId="4E142A4E" w14:textId="77777777" w:rsidR="0041756E" w:rsidRPr="00287149" w:rsidRDefault="0041756E" w:rsidP="00DB582D">
            <w:pPr>
              <w:ind w:left="0"/>
              <w:rPr>
                <w:color w:val="auto"/>
                <w:szCs w:val="22"/>
                <w:lang w:eastAsia="en-US"/>
              </w:rPr>
            </w:pPr>
            <w:r w:rsidRPr="00287149">
              <w:t>20120216</w:t>
            </w:r>
          </w:p>
        </w:tc>
        <w:tc>
          <w:tcPr>
            <w:tcW w:w="1701" w:type="dxa"/>
          </w:tcPr>
          <w:p w14:paraId="76A7C4FB" w14:textId="25CF528B" w:rsidR="0041756E" w:rsidRPr="00287149" w:rsidRDefault="0041756E" w:rsidP="00DB582D">
            <w:pPr>
              <w:ind w:left="0"/>
              <w:rPr>
                <w:color w:val="auto"/>
                <w:szCs w:val="22"/>
                <w:lang w:eastAsia="en-US"/>
              </w:rPr>
            </w:pPr>
            <w:r w:rsidRPr="00287149">
              <w:t>Efficacy and safety</w:t>
            </w:r>
          </w:p>
        </w:tc>
      </w:tr>
      <w:tr w:rsidR="0041756E" w:rsidRPr="00287149" w14:paraId="6CF5288C" w14:textId="77777777" w:rsidTr="00DB582D">
        <w:trPr>
          <w:trHeight w:val="848"/>
        </w:trPr>
        <w:tc>
          <w:tcPr>
            <w:tcW w:w="1670" w:type="dxa"/>
            <w:vMerge/>
          </w:tcPr>
          <w:p w14:paraId="3D7C5FDA" w14:textId="77777777" w:rsidR="0041756E" w:rsidRPr="00DB582D" w:rsidRDefault="0041756E" w:rsidP="00DB582D">
            <w:pPr>
              <w:ind w:left="0"/>
            </w:pPr>
          </w:p>
        </w:tc>
        <w:tc>
          <w:tcPr>
            <w:tcW w:w="3259" w:type="dxa"/>
          </w:tcPr>
          <w:p w14:paraId="33808723" w14:textId="77777777" w:rsidR="001F5C1B" w:rsidRDefault="0041756E" w:rsidP="00DB582D">
            <w:pPr>
              <w:ind w:left="0"/>
              <w:rPr>
                <w:color w:val="auto"/>
                <w:szCs w:val="22"/>
                <w:lang w:eastAsia="en-US"/>
              </w:rPr>
            </w:pPr>
            <w:r w:rsidRPr="00287149">
              <w:t>Target population§</w:t>
            </w:r>
          </w:p>
          <w:p w14:paraId="67760CC1" w14:textId="2371196B" w:rsidR="0041756E" w:rsidRPr="00DB582D" w:rsidRDefault="0041756E" w:rsidP="00DB582D">
            <w:pPr>
              <w:ind w:left="0"/>
            </w:pPr>
            <w:r w:rsidRPr="00287149">
              <w:t>multiple dose MRD</w:t>
            </w:r>
          </w:p>
        </w:tc>
        <w:tc>
          <w:tcPr>
            <w:tcW w:w="1558" w:type="dxa"/>
          </w:tcPr>
          <w:p w14:paraId="36D42ACB" w14:textId="77777777" w:rsidR="0041756E" w:rsidRPr="00287149" w:rsidRDefault="0041756E" w:rsidP="00DB582D">
            <w:pPr>
              <w:ind w:left="0"/>
              <w:rPr>
                <w:color w:val="auto"/>
                <w:szCs w:val="22"/>
                <w:lang w:eastAsia="en-US"/>
              </w:rPr>
            </w:pPr>
            <w:r w:rsidRPr="00287149">
              <w:t>MT103-203</w:t>
            </w:r>
          </w:p>
        </w:tc>
        <w:tc>
          <w:tcPr>
            <w:tcW w:w="1701" w:type="dxa"/>
          </w:tcPr>
          <w:p w14:paraId="047A900E" w14:textId="4FD55147" w:rsidR="0041756E" w:rsidRPr="00287149" w:rsidRDefault="0041756E" w:rsidP="00DB582D">
            <w:pPr>
              <w:ind w:left="0"/>
              <w:rPr>
                <w:color w:val="auto"/>
                <w:szCs w:val="22"/>
                <w:lang w:eastAsia="en-US"/>
              </w:rPr>
            </w:pPr>
            <w:r w:rsidRPr="00287149">
              <w:t>Efficacy and safety</w:t>
            </w:r>
          </w:p>
        </w:tc>
      </w:tr>
      <w:tr w:rsidR="0041756E" w:rsidRPr="00287149" w14:paraId="7DA397C0" w14:textId="77777777" w:rsidTr="00DB582D">
        <w:trPr>
          <w:trHeight w:val="728"/>
        </w:trPr>
        <w:tc>
          <w:tcPr>
            <w:tcW w:w="1670" w:type="dxa"/>
          </w:tcPr>
          <w:p w14:paraId="14217D4C" w14:textId="77777777" w:rsidR="0041756E" w:rsidRPr="00287149" w:rsidRDefault="0041756E" w:rsidP="00DB582D">
            <w:pPr>
              <w:ind w:left="0"/>
              <w:rPr>
                <w:color w:val="auto"/>
                <w:szCs w:val="22"/>
                <w:lang w:eastAsia="en-US"/>
              </w:rPr>
            </w:pPr>
            <w:r w:rsidRPr="00287149">
              <w:t>Population PK analyses</w:t>
            </w:r>
          </w:p>
        </w:tc>
        <w:tc>
          <w:tcPr>
            <w:tcW w:w="3259" w:type="dxa"/>
          </w:tcPr>
          <w:p w14:paraId="2DBCE60B" w14:textId="77777777" w:rsidR="001F5C1B" w:rsidRDefault="0041756E" w:rsidP="00DB582D">
            <w:pPr>
              <w:ind w:left="0"/>
              <w:rPr>
                <w:color w:val="auto"/>
                <w:szCs w:val="22"/>
                <w:lang w:eastAsia="en-US"/>
              </w:rPr>
            </w:pPr>
            <w:r w:rsidRPr="00287149">
              <w:t>Target population</w:t>
            </w:r>
          </w:p>
          <w:p w14:paraId="63D07897" w14:textId="1541A608" w:rsidR="0041756E" w:rsidRPr="00287149" w:rsidRDefault="0041756E" w:rsidP="00DB582D">
            <w:pPr>
              <w:ind w:left="0"/>
              <w:rPr>
                <w:color w:val="auto"/>
                <w:szCs w:val="22"/>
                <w:lang w:eastAsia="en-US"/>
              </w:rPr>
            </w:pPr>
            <w:r w:rsidRPr="00287149">
              <w:t>R/R ALL and MRD</w:t>
            </w:r>
          </w:p>
        </w:tc>
        <w:tc>
          <w:tcPr>
            <w:tcW w:w="1558" w:type="dxa"/>
          </w:tcPr>
          <w:p w14:paraId="4FAF2A99" w14:textId="77777777" w:rsidR="0041756E" w:rsidRPr="00287149" w:rsidRDefault="0041756E" w:rsidP="00DB582D">
            <w:pPr>
              <w:ind w:left="0"/>
              <w:rPr>
                <w:color w:val="auto"/>
                <w:szCs w:val="22"/>
                <w:lang w:eastAsia="en-US"/>
              </w:rPr>
            </w:pPr>
            <w:r w:rsidRPr="00287149">
              <w:t>122196</w:t>
            </w:r>
          </w:p>
        </w:tc>
        <w:tc>
          <w:tcPr>
            <w:tcW w:w="1701" w:type="dxa"/>
          </w:tcPr>
          <w:p w14:paraId="0E01FF16" w14:textId="77777777" w:rsidR="0041756E" w:rsidRPr="00287149" w:rsidRDefault="0041756E" w:rsidP="00DB582D">
            <w:pPr>
              <w:ind w:left="0"/>
              <w:rPr>
                <w:color w:val="auto"/>
                <w:szCs w:val="22"/>
                <w:lang w:eastAsia="en-US"/>
              </w:rPr>
            </w:pPr>
            <w:proofErr w:type="spellStart"/>
            <w:r w:rsidRPr="00287149">
              <w:t>PopPK</w:t>
            </w:r>
            <w:proofErr w:type="spellEnd"/>
          </w:p>
        </w:tc>
      </w:tr>
    </w:tbl>
    <w:p w14:paraId="080199C3" w14:textId="13F69189" w:rsidR="00C73A3C" w:rsidRPr="00C8687A" w:rsidRDefault="00C73A3C" w:rsidP="00C73A3C">
      <w:pPr>
        <w:pStyle w:val="TableDescription"/>
      </w:pPr>
      <w:r>
        <w:t xml:space="preserve">§ </w:t>
      </w:r>
      <w:r w:rsidRPr="00C8687A">
        <w:t>Subjects who would be eligible to receive the drug if approved for the proposed indication</w:t>
      </w:r>
      <w:r w:rsidR="0041756E">
        <w:t>;</w:t>
      </w:r>
      <w:r w:rsidRPr="00C8687A">
        <w:t xml:space="preserve"> </w:t>
      </w:r>
      <w:proofErr w:type="spellStart"/>
      <w:r w:rsidRPr="00C8687A">
        <w:t>PopPK</w:t>
      </w:r>
      <w:proofErr w:type="spellEnd"/>
      <w:r w:rsidRPr="00C8687A">
        <w:t xml:space="preserve"> = population PK</w:t>
      </w:r>
    </w:p>
    <w:p w14:paraId="40748ECE" w14:textId="77777777" w:rsidR="00C73A3C" w:rsidRPr="00C8687A" w:rsidRDefault="00C73A3C" w:rsidP="00C8687A">
      <w:r w:rsidRPr="00C8687A">
        <w:t>None of the pharmacokinetic studies had deficiencies that excluded their results from consideration.</w:t>
      </w:r>
    </w:p>
    <w:p w14:paraId="52973AD1" w14:textId="77777777" w:rsidR="00605AD4" w:rsidRDefault="00605AD4" w:rsidP="00605AD4">
      <w:pPr>
        <w:pStyle w:val="Heading4"/>
      </w:pPr>
      <w:r>
        <w:t>Evaluator’s conclusions on pharmacokinetics</w:t>
      </w:r>
    </w:p>
    <w:p w14:paraId="0EB856CB" w14:textId="77777777" w:rsidR="00130ECA" w:rsidRPr="00130ECA" w:rsidRDefault="00130ECA" w:rsidP="00130ECA">
      <w:r w:rsidRPr="00130ECA">
        <w:t xml:space="preserve">The PK data submitted in this application appears to be consistent with the data previously submitted. Relevant to this submission there does not appear to be any effect of Philadelphia chromosome status on the PK of </w:t>
      </w:r>
      <w:proofErr w:type="spellStart"/>
      <w:r w:rsidRPr="00130ECA">
        <w:t>blinatumomab</w:t>
      </w:r>
      <w:proofErr w:type="spellEnd"/>
      <w:r w:rsidRPr="00130ECA">
        <w:t>.</w:t>
      </w:r>
    </w:p>
    <w:p w14:paraId="50E66EAE" w14:textId="77777777" w:rsidR="008E7846" w:rsidRDefault="008E7846" w:rsidP="008E7846">
      <w:pPr>
        <w:pStyle w:val="Heading3"/>
      </w:pPr>
      <w:bookmarkStart w:id="44" w:name="_Toc196046481"/>
      <w:bookmarkStart w:id="45" w:name="_Toc247691520"/>
      <w:bookmarkStart w:id="46" w:name="_Toc314842503"/>
      <w:bookmarkStart w:id="47" w:name="_Toc22198178"/>
      <w:r w:rsidRPr="00254787">
        <w:t>Pharmacodynamics</w:t>
      </w:r>
      <w:bookmarkEnd w:id="34"/>
      <w:bookmarkEnd w:id="44"/>
      <w:bookmarkEnd w:id="45"/>
      <w:bookmarkEnd w:id="46"/>
      <w:bookmarkEnd w:id="47"/>
    </w:p>
    <w:p w14:paraId="3330E73F" w14:textId="77777777" w:rsidR="00130ECA" w:rsidRPr="00130ECA" w:rsidRDefault="00130ECA" w:rsidP="00130ECA">
      <w:r w:rsidRPr="00130ECA">
        <w:t xml:space="preserve">In the </w:t>
      </w:r>
      <w:proofErr w:type="spellStart"/>
      <w:r w:rsidRPr="00130ECA">
        <w:t>blinatumomab</w:t>
      </w:r>
      <w:proofErr w:type="spellEnd"/>
      <w:r w:rsidRPr="00130ECA">
        <w:t xml:space="preserve"> clinical program, there were no dedicated PK or PD clinical trials. The PK and PD properties of </w:t>
      </w:r>
      <w:proofErr w:type="spellStart"/>
      <w:r w:rsidRPr="00130ECA">
        <w:t>blinatumomab</w:t>
      </w:r>
      <w:proofErr w:type="spellEnd"/>
      <w:r w:rsidRPr="00130ECA">
        <w:t xml:space="preserve"> were assessed in conjunction with safety, tolerability, and efficacy in the clinical studies. The Summaries include data from the studies included in this submission combined with studies included in previously evaluated submissions.</w:t>
      </w:r>
    </w:p>
    <w:p w14:paraId="76243426" w14:textId="77777777" w:rsidR="00605AD4" w:rsidRDefault="00605AD4" w:rsidP="00605AD4">
      <w:pPr>
        <w:pStyle w:val="Heading4"/>
      </w:pPr>
      <w:r>
        <w:t xml:space="preserve">Studies providing </w:t>
      </w:r>
      <w:proofErr w:type="spellStart"/>
      <w:r>
        <w:t>pharmacodynamic</w:t>
      </w:r>
      <w:proofErr w:type="spellEnd"/>
      <w:r>
        <w:t xml:space="preserve"> data</w:t>
      </w:r>
    </w:p>
    <w:p w14:paraId="65F194F5" w14:textId="4AC77D32" w:rsidR="00886606" w:rsidRPr="00886606" w:rsidRDefault="00886606" w:rsidP="00886606">
      <w:r w:rsidRPr="00886606">
        <w:t xml:space="preserve">Study 120391 was included in the submission but is not discussed in either of the Summaries of Clinical Pharmacology or Clinical Overviews. This study was included in </w:t>
      </w:r>
      <w:r w:rsidR="003E0E12">
        <w:t>the m</w:t>
      </w:r>
      <w:r w:rsidRPr="00886606">
        <w:t>odule</w:t>
      </w:r>
      <w:r w:rsidR="003E0E12">
        <w:t xml:space="preserve"> </w:t>
      </w:r>
      <w:r w:rsidR="001F5C1B">
        <w:t>‘</w:t>
      </w:r>
      <w:proofErr w:type="spellStart"/>
      <w:r w:rsidRPr="00886606">
        <w:t>Pharmacodynamic</w:t>
      </w:r>
      <w:proofErr w:type="spellEnd"/>
      <w:r w:rsidRPr="00886606">
        <w:t xml:space="preserve"> studies</w:t>
      </w:r>
      <w:r w:rsidR="001F5C1B">
        <w:t>’</w:t>
      </w:r>
      <w:r w:rsidRPr="00886606">
        <w:t xml:space="preserve"> but is an exposure/response analysis of Study</w:t>
      </w:r>
      <w:r w:rsidR="001F5C1B">
        <w:t> </w:t>
      </w:r>
      <w:r w:rsidRPr="00886606">
        <w:t>MT103-205 which is a paediatric study not relevant to this submission.</w:t>
      </w:r>
    </w:p>
    <w:p w14:paraId="7FEC5E48" w14:textId="77777777" w:rsidR="00886606" w:rsidRPr="00C8687A" w:rsidRDefault="00811513" w:rsidP="009302FA">
      <w:pPr>
        <w:pStyle w:val="TableTitle"/>
      </w:pPr>
      <w:r>
        <w:t>Table 4</w:t>
      </w:r>
      <w:r w:rsidR="00287149">
        <w:t xml:space="preserve">: </w:t>
      </w:r>
      <w:r w:rsidR="00886606" w:rsidRPr="00C8687A">
        <w:t xml:space="preserve">Submitted </w:t>
      </w:r>
      <w:proofErr w:type="spellStart"/>
      <w:r w:rsidR="00886606" w:rsidRPr="00C8687A">
        <w:t>pharmacodynamic</w:t>
      </w:r>
      <w:proofErr w:type="spellEnd"/>
      <w:r w:rsidR="00886606" w:rsidRPr="00C8687A">
        <w:t xml:space="preserve"> studies</w:t>
      </w:r>
    </w:p>
    <w:tbl>
      <w:tblPr>
        <w:tblStyle w:val="TableTGAblue"/>
        <w:tblW w:w="8188" w:type="dxa"/>
        <w:tblLayout w:type="fixed"/>
        <w:tblLook w:val="01E0" w:firstRow="1" w:lastRow="1" w:firstColumn="1" w:lastColumn="1" w:noHBand="0" w:noVBand="0"/>
        <w:tblDescription w:val="Submitted pharmacodynamic studies"/>
      </w:tblPr>
      <w:tblGrid>
        <w:gridCol w:w="1879"/>
        <w:gridCol w:w="2624"/>
        <w:gridCol w:w="1842"/>
        <w:gridCol w:w="1843"/>
      </w:tblGrid>
      <w:tr w:rsidR="009302FA" w:rsidRPr="009302FA" w14:paraId="7E9A0F2E" w14:textId="77777777" w:rsidTr="009302FA">
        <w:trPr>
          <w:cnfStyle w:val="100000000000" w:firstRow="1" w:lastRow="0" w:firstColumn="0" w:lastColumn="0" w:oddVBand="0" w:evenVBand="0" w:oddHBand="0" w:evenHBand="0" w:firstRowFirstColumn="0" w:firstRowLastColumn="0" w:lastRowFirstColumn="0" w:lastRowLastColumn="0"/>
          <w:trHeight w:val="728"/>
        </w:trPr>
        <w:tc>
          <w:tcPr>
            <w:tcW w:w="1879" w:type="dxa"/>
          </w:tcPr>
          <w:p w14:paraId="29E9E3D9" w14:textId="77777777" w:rsidR="0041756E" w:rsidRPr="009302FA" w:rsidRDefault="0041756E" w:rsidP="009302FA">
            <w:pPr>
              <w:rPr>
                <w:color w:val="F2F2F2" w:themeColor="background1" w:themeShade="F2"/>
              </w:rPr>
            </w:pPr>
            <w:r w:rsidRPr="009302FA">
              <w:rPr>
                <w:color w:val="F2F2F2" w:themeColor="background1" w:themeShade="F2"/>
                <w:szCs w:val="22"/>
                <w:lang w:eastAsia="en-US"/>
              </w:rPr>
              <w:t>PD Topic</w:t>
            </w:r>
          </w:p>
        </w:tc>
        <w:tc>
          <w:tcPr>
            <w:tcW w:w="2624" w:type="dxa"/>
          </w:tcPr>
          <w:p w14:paraId="0CD6C0B2" w14:textId="77777777" w:rsidR="0041756E" w:rsidRPr="009302FA" w:rsidRDefault="0041756E" w:rsidP="009302FA">
            <w:pPr>
              <w:rPr>
                <w:color w:val="F2F2F2" w:themeColor="background1" w:themeShade="F2"/>
              </w:rPr>
            </w:pPr>
            <w:r w:rsidRPr="009302FA">
              <w:rPr>
                <w:color w:val="F2F2F2" w:themeColor="background1" w:themeShade="F2"/>
                <w:szCs w:val="22"/>
                <w:lang w:eastAsia="en-US"/>
              </w:rPr>
              <w:t>Subtopic</w:t>
            </w:r>
          </w:p>
        </w:tc>
        <w:tc>
          <w:tcPr>
            <w:tcW w:w="1842" w:type="dxa"/>
          </w:tcPr>
          <w:p w14:paraId="25AB1D5F" w14:textId="77777777" w:rsidR="0041756E" w:rsidRPr="009302FA" w:rsidRDefault="0041756E" w:rsidP="009302FA">
            <w:pPr>
              <w:rPr>
                <w:color w:val="F2F2F2" w:themeColor="background1" w:themeShade="F2"/>
              </w:rPr>
            </w:pPr>
            <w:r w:rsidRPr="009302FA">
              <w:rPr>
                <w:color w:val="F2F2F2" w:themeColor="background1" w:themeShade="F2"/>
                <w:szCs w:val="22"/>
                <w:lang w:eastAsia="en-US"/>
              </w:rPr>
              <w:t>Study ID</w:t>
            </w:r>
          </w:p>
        </w:tc>
        <w:tc>
          <w:tcPr>
            <w:tcW w:w="1843" w:type="dxa"/>
          </w:tcPr>
          <w:p w14:paraId="30927B89" w14:textId="77777777" w:rsidR="0041756E" w:rsidRPr="009302FA" w:rsidRDefault="0041756E" w:rsidP="009302FA">
            <w:pPr>
              <w:rPr>
                <w:color w:val="F2F2F2" w:themeColor="background1" w:themeShade="F2"/>
              </w:rPr>
            </w:pPr>
            <w:r w:rsidRPr="009302FA">
              <w:rPr>
                <w:color w:val="F2F2F2" w:themeColor="background1" w:themeShade="F2"/>
                <w:szCs w:val="22"/>
                <w:lang w:eastAsia="en-US"/>
              </w:rPr>
              <w:t>Primary aim</w:t>
            </w:r>
          </w:p>
        </w:tc>
      </w:tr>
      <w:tr w:rsidR="0041756E" w14:paraId="2E33A873" w14:textId="77777777" w:rsidTr="009302FA">
        <w:trPr>
          <w:trHeight w:val="848"/>
        </w:trPr>
        <w:tc>
          <w:tcPr>
            <w:tcW w:w="1879" w:type="dxa"/>
          </w:tcPr>
          <w:p w14:paraId="774564CC" w14:textId="77777777" w:rsidR="0041756E" w:rsidRPr="009302FA" w:rsidRDefault="0041756E" w:rsidP="009302FA">
            <w:pPr>
              <w:rPr>
                <w:sz w:val="20"/>
              </w:rPr>
            </w:pPr>
            <w:r w:rsidRPr="009302FA">
              <w:rPr>
                <w:sz w:val="20"/>
                <w:lang w:eastAsia="en-US"/>
              </w:rPr>
              <w:t>Primary Pharmacology</w:t>
            </w:r>
          </w:p>
        </w:tc>
        <w:tc>
          <w:tcPr>
            <w:tcW w:w="2624" w:type="dxa"/>
          </w:tcPr>
          <w:p w14:paraId="3C38E783" w14:textId="444E6BC1" w:rsidR="0041756E" w:rsidRPr="009302FA" w:rsidRDefault="0041756E" w:rsidP="009302FA">
            <w:pPr>
              <w:rPr>
                <w:sz w:val="20"/>
              </w:rPr>
            </w:pPr>
            <w:r w:rsidRPr="009302FA">
              <w:rPr>
                <w:sz w:val="20"/>
                <w:lang w:eastAsia="en-US"/>
              </w:rPr>
              <w:t>Effect on PD</w:t>
            </w:r>
            <w:r w:rsidR="009302FA">
              <w:rPr>
                <w:sz w:val="20"/>
                <w:lang w:eastAsia="en-US"/>
              </w:rPr>
              <w:t xml:space="preserve"> </w:t>
            </w:r>
            <w:r w:rsidRPr="009302FA">
              <w:rPr>
                <w:sz w:val="20"/>
                <w:lang w:eastAsia="en-US"/>
              </w:rPr>
              <w:t>parameter</w:t>
            </w:r>
            <w:r w:rsidR="009302FA">
              <w:rPr>
                <w:sz w:val="20"/>
                <w:lang w:eastAsia="en-US"/>
              </w:rPr>
              <w:t xml:space="preserve"> </w:t>
            </w:r>
            <w:r w:rsidRPr="009302FA">
              <w:rPr>
                <w:sz w:val="20"/>
                <w:lang w:eastAsia="en-US"/>
              </w:rPr>
              <w:t>Effect on B and T cells</w:t>
            </w:r>
          </w:p>
        </w:tc>
        <w:tc>
          <w:tcPr>
            <w:tcW w:w="1842" w:type="dxa"/>
          </w:tcPr>
          <w:p w14:paraId="6E165ABD" w14:textId="77777777" w:rsidR="0041756E" w:rsidRPr="009302FA" w:rsidRDefault="0041756E" w:rsidP="009302FA">
            <w:pPr>
              <w:rPr>
                <w:sz w:val="20"/>
              </w:rPr>
            </w:pPr>
            <w:r w:rsidRPr="009302FA">
              <w:rPr>
                <w:sz w:val="20"/>
                <w:lang w:eastAsia="en-US"/>
              </w:rPr>
              <w:t>MT103-211</w:t>
            </w:r>
          </w:p>
        </w:tc>
        <w:tc>
          <w:tcPr>
            <w:tcW w:w="1843" w:type="dxa"/>
          </w:tcPr>
          <w:p w14:paraId="6AA3EFCE" w14:textId="40AE69A4" w:rsidR="0041756E" w:rsidRPr="009302FA" w:rsidRDefault="001F5C1B" w:rsidP="009302FA">
            <w:pPr>
              <w:rPr>
                <w:sz w:val="20"/>
              </w:rPr>
            </w:pPr>
            <w:r>
              <w:rPr>
                <w:sz w:val="20"/>
              </w:rPr>
              <w:t>Efficacy and safety</w:t>
            </w:r>
          </w:p>
        </w:tc>
      </w:tr>
      <w:tr w:rsidR="0041756E" w14:paraId="1C597774" w14:textId="77777777" w:rsidTr="009302FA">
        <w:trPr>
          <w:trHeight w:val="728"/>
        </w:trPr>
        <w:tc>
          <w:tcPr>
            <w:tcW w:w="1879" w:type="dxa"/>
            <w:vMerge w:val="restart"/>
          </w:tcPr>
          <w:p w14:paraId="0ED20BDD" w14:textId="77777777" w:rsidR="0041756E" w:rsidRPr="009302FA" w:rsidRDefault="0041756E" w:rsidP="009302FA">
            <w:pPr>
              <w:rPr>
                <w:sz w:val="20"/>
              </w:rPr>
            </w:pPr>
            <w:r w:rsidRPr="009302FA">
              <w:rPr>
                <w:sz w:val="20"/>
                <w:lang w:eastAsia="en-US"/>
              </w:rPr>
              <w:t>Population PD and PK-PD analyses</w:t>
            </w:r>
          </w:p>
        </w:tc>
        <w:tc>
          <w:tcPr>
            <w:tcW w:w="2624" w:type="dxa"/>
          </w:tcPr>
          <w:p w14:paraId="2B1DC6B9" w14:textId="77777777" w:rsidR="0041756E" w:rsidRPr="009302FA" w:rsidRDefault="0041756E" w:rsidP="009302FA">
            <w:pPr>
              <w:rPr>
                <w:sz w:val="20"/>
              </w:rPr>
            </w:pPr>
            <w:r w:rsidRPr="009302FA">
              <w:rPr>
                <w:sz w:val="20"/>
                <w:lang w:eastAsia="en-US"/>
              </w:rPr>
              <w:t>Target population§</w:t>
            </w:r>
          </w:p>
        </w:tc>
        <w:tc>
          <w:tcPr>
            <w:tcW w:w="1842" w:type="dxa"/>
          </w:tcPr>
          <w:p w14:paraId="305D6BD8" w14:textId="77777777" w:rsidR="0041756E" w:rsidRPr="009302FA" w:rsidRDefault="0041756E" w:rsidP="009302FA">
            <w:pPr>
              <w:rPr>
                <w:sz w:val="20"/>
              </w:rPr>
            </w:pPr>
            <w:r w:rsidRPr="009302FA">
              <w:rPr>
                <w:sz w:val="20"/>
                <w:lang w:eastAsia="en-US"/>
              </w:rPr>
              <w:t>120391</w:t>
            </w:r>
          </w:p>
        </w:tc>
        <w:tc>
          <w:tcPr>
            <w:tcW w:w="1843" w:type="dxa"/>
          </w:tcPr>
          <w:p w14:paraId="73A1AC3C" w14:textId="7AAD2D53" w:rsidR="0041756E" w:rsidRPr="009302FA" w:rsidRDefault="0041756E" w:rsidP="009302FA">
            <w:pPr>
              <w:rPr>
                <w:sz w:val="20"/>
              </w:rPr>
            </w:pPr>
            <w:r w:rsidRPr="009302FA">
              <w:rPr>
                <w:sz w:val="20"/>
                <w:lang w:eastAsia="en-US"/>
              </w:rPr>
              <w:t>PK/PD</w:t>
            </w:r>
            <w:r w:rsidR="001F5C1B">
              <w:rPr>
                <w:sz w:val="20"/>
              </w:rPr>
              <w:t xml:space="preserve"> </w:t>
            </w:r>
            <w:r w:rsidRPr="009302FA">
              <w:rPr>
                <w:sz w:val="20"/>
                <w:lang w:eastAsia="en-US"/>
              </w:rPr>
              <w:t>paediatric</w:t>
            </w:r>
          </w:p>
        </w:tc>
      </w:tr>
      <w:tr w:rsidR="0041756E" w14:paraId="26D5DB8E" w14:textId="77777777" w:rsidTr="009302FA">
        <w:trPr>
          <w:trHeight w:val="484"/>
        </w:trPr>
        <w:tc>
          <w:tcPr>
            <w:tcW w:w="1879" w:type="dxa"/>
            <w:vMerge/>
          </w:tcPr>
          <w:p w14:paraId="2F486825" w14:textId="77777777" w:rsidR="0041756E" w:rsidRPr="009302FA" w:rsidRDefault="0041756E" w:rsidP="009302FA">
            <w:pPr>
              <w:rPr>
                <w:sz w:val="20"/>
              </w:rPr>
            </w:pPr>
          </w:p>
        </w:tc>
        <w:tc>
          <w:tcPr>
            <w:tcW w:w="2624" w:type="dxa"/>
          </w:tcPr>
          <w:p w14:paraId="07D02677" w14:textId="77777777" w:rsidR="0041756E" w:rsidRPr="009302FA" w:rsidRDefault="0041756E" w:rsidP="009302FA">
            <w:pPr>
              <w:rPr>
                <w:sz w:val="20"/>
              </w:rPr>
            </w:pPr>
          </w:p>
        </w:tc>
        <w:tc>
          <w:tcPr>
            <w:tcW w:w="1842" w:type="dxa"/>
          </w:tcPr>
          <w:p w14:paraId="57606098" w14:textId="77777777" w:rsidR="0041756E" w:rsidRPr="009302FA" w:rsidRDefault="0041756E" w:rsidP="009302FA">
            <w:pPr>
              <w:rPr>
                <w:sz w:val="20"/>
              </w:rPr>
            </w:pPr>
            <w:r w:rsidRPr="009302FA">
              <w:rPr>
                <w:sz w:val="20"/>
                <w:lang w:eastAsia="en-US"/>
              </w:rPr>
              <w:t>122625</w:t>
            </w:r>
          </w:p>
        </w:tc>
        <w:tc>
          <w:tcPr>
            <w:tcW w:w="1843" w:type="dxa"/>
          </w:tcPr>
          <w:p w14:paraId="27669E5B" w14:textId="77777777" w:rsidR="0041756E" w:rsidRPr="009302FA" w:rsidRDefault="0041756E" w:rsidP="009302FA">
            <w:pPr>
              <w:rPr>
                <w:sz w:val="20"/>
              </w:rPr>
            </w:pPr>
            <w:r w:rsidRPr="009302FA">
              <w:rPr>
                <w:sz w:val="20"/>
                <w:lang w:eastAsia="en-US"/>
              </w:rPr>
              <w:t>PK/PD</w:t>
            </w:r>
          </w:p>
        </w:tc>
      </w:tr>
    </w:tbl>
    <w:p w14:paraId="7554AFE6" w14:textId="77777777" w:rsidR="00886606" w:rsidRDefault="00886606" w:rsidP="00886606">
      <w:pPr>
        <w:pStyle w:val="TableDescription"/>
      </w:pPr>
      <w:r>
        <w:t>§ Subjects who would be eligible to receive the drug if approved for the proposed indication.</w:t>
      </w:r>
    </w:p>
    <w:p w14:paraId="4CECF82D" w14:textId="77777777" w:rsidR="00886606" w:rsidRPr="003E0E12" w:rsidRDefault="00886606" w:rsidP="003E0E12">
      <w:r w:rsidRPr="003E0E12">
        <w:t xml:space="preserve">None of the </w:t>
      </w:r>
      <w:proofErr w:type="spellStart"/>
      <w:r w:rsidRPr="003E0E12">
        <w:t>pharmacodynamic</w:t>
      </w:r>
      <w:proofErr w:type="spellEnd"/>
      <w:r w:rsidRPr="003E0E12">
        <w:t xml:space="preserve"> studies had deficiencies that excluded their results from consideration.</w:t>
      </w:r>
    </w:p>
    <w:p w14:paraId="39F9A64C" w14:textId="77777777" w:rsidR="00605AD4" w:rsidRDefault="00605AD4" w:rsidP="003E0E12">
      <w:pPr>
        <w:pStyle w:val="Heading4"/>
      </w:pPr>
      <w:r>
        <w:lastRenderedPageBreak/>
        <w:t>Evaluator’s conclusions on pharmacodynamics</w:t>
      </w:r>
    </w:p>
    <w:p w14:paraId="396D842E" w14:textId="018792CA" w:rsidR="003E0E12" w:rsidRPr="003E0E12" w:rsidRDefault="003E0E12" w:rsidP="003E0E12">
      <w:r w:rsidRPr="003E0E12">
        <w:t xml:space="preserve">The </w:t>
      </w:r>
      <w:r w:rsidR="0041756E">
        <w:t>sponsor</w:t>
      </w:r>
      <w:r w:rsidRPr="003E0E12">
        <w:t xml:space="preserve"> provided one additional </w:t>
      </w:r>
      <w:proofErr w:type="spellStart"/>
      <w:r w:rsidRPr="003E0E12">
        <w:t>PopPK</w:t>
      </w:r>
      <w:proofErr w:type="spellEnd"/>
      <w:r w:rsidRPr="003E0E12">
        <w:t xml:space="preserve"> analysis and two studies analysing exposure safety responses from pooled groups of patients. The results support the recommended dosing regimens for the treatment of R/R ALL and MRD positive ALL. No dose adjustment appears necessary based on the covariates evaluated.</w:t>
      </w:r>
    </w:p>
    <w:p w14:paraId="3974B8FF" w14:textId="77777777" w:rsidR="003E0E12" w:rsidRPr="003E0E12" w:rsidRDefault="003E0E12" w:rsidP="003E0E12">
      <w:r w:rsidRPr="003E0E12">
        <w:t xml:space="preserve">The exposure response analyses indicated </w:t>
      </w:r>
      <w:proofErr w:type="spellStart"/>
      <w:r w:rsidRPr="003E0E12">
        <w:t>blinatumomab</w:t>
      </w:r>
      <w:proofErr w:type="spellEnd"/>
      <w:r w:rsidRPr="003E0E12">
        <w:t xml:space="preserve"> exposure was not associated with probability of </w:t>
      </w:r>
      <w:r w:rsidR="005B6383">
        <w:t>cytokine release syndrome</w:t>
      </w:r>
      <w:r w:rsidR="005B6383" w:rsidRPr="003E0E12">
        <w:t xml:space="preserve"> </w:t>
      </w:r>
      <w:r w:rsidR="005B6383">
        <w:t>(</w:t>
      </w:r>
      <w:r w:rsidRPr="003E0E12">
        <w:t>CRS</w:t>
      </w:r>
      <w:r w:rsidR="005B6383">
        <w:t>)</w:t>
      </w:r>
      <w:r w:rsidRPr="003E0E12">
        <w:t xml:space="preserve">, or neurologic events, and higher exposures were associated with higher probability of CR and longer duration of </w:t>
      </w:r>
      <w:r w:rsidR="00EB0B1E">
        <w:t>overall survival</w:t>
      </w:r>
      <w:r w:rsidR="00EB0B1E" w:rsidRPr="003E0E12">
        <w:t xml:space="preserve"> </w:t>
      </w:r>
      <w:r w:rsidR="00EB0B1E">
        <w:t>(</w:t>
      </w:r>
      <w:r w:rsidRPr="003E0E12">
        <w:t>OS</w:t>
      </w:r>
      <w:r w:rsidR="00EB0B1E">
        <w:t>)</w:t>
      </w:r>
      <w:r w:rsidRPr="003E0E12">
        <w:t xml:space="preserve">, after accounting for </w:t>
      </w:r>
      <w:proofErr w:type="spellStart"/>
      <w:r w:rsidRPr="003E0E12">
        <w:t>blinatumomab</w:t>
      </w:r>
      <w:proofErr w:type="spellEnd"/>
      <w:r w:rsidRPr="003E0E12">
        <w:t xml:space="preserve"> treatment. Thus, the </w:t>
      </w:r>
      <w:proofErr w:type="spellStart"/>
      <w:r w:rsidRPr="003E0E12">
        <w:t>blinatumomab</w:t>
      </w:r>
      <w:proofErr w:type="spellEnd"/>
      <w:r w:rsidRPr="003E0E12">
        <w:t xml:space="preserve"> step-dosing regimen was appropriate in the management of CRS and neurologic events.</w:t>
      </w:r>
    </w:p>
    <w:p w14:paraId="4DE9D1C6" w14:textId="77777777" w:rsidR="008E7846" w:rsidRPr="00811F68" w:rsidRDefault="00605AD4" w:rsidP="00811F68">
      <w:pPr>
        <w:pStyle w:val="Heading3"/>
      </w:pPr>
      <w:bookmarkStart w:id="48" w:name="_Toc22198179"/>
      <w:r w:rsidRPr="00811F68">
        <w:t>Dosage selection for the pivotal studies</w:t>
      </w:r>
      <w:bookmarkEnd w:id="48"/>
    </w:p>
    <w:p w14:paraId="0CF754F6" w14:textId="77777777" w:rsidR="00487460" w:rsidRPr="00487460" w:rsidRDefault="00487460" w:rsidP="00487460">
      <w:pPr>
        <w:pStyle w:val="Heading4"/>
      </w:pPr>
      <w:bookmarkStart w:id="49" w:name="6.2._Phase_II_dose_finding_studies"/>
      <w:bookmarkStart w:id="50" w:name="_bookmark50"/>
      <w:bookmarkStart w:id="51" w:name="6.3._Phase_III_pivotal_studies_investiga"/>
      <w:bookmarkStart w:id="52" w:name="_bookmark51"/>
      <w:bookmarkStart w:id="53" w:name="6.4._Evaluator’s_conclusions_on_dose_fin"/>
      <w:bookmarkStart w:id="54" w:name="_bookmark52"/>
      <w:bookmarkStart w:id="55" w:name="_Toc163441372"/>
      <w:bookmarkStart w:id="56" w:name="_Toc196046485"/>
      <w:bookmarkStart w:id="57" w:name="_Toc247691521"/>
      <w:bookmarkStart w:id="58" w:name="_Toc314842504"/>
      <w:bookmarkEnd w:id="49"/>
      <w:bookmarkEnd w:id="50"/>
      <w:bookmarkEnd w:id="51"/>
      <w:bookmarkEnd w:id="52"/>
      <w:bookmarkEnd w:id="53"/>
      <w:bookmarkEnd w:id="54"/>
      <w:r w:rsidRPr="00487460">
        <w:t>Evaluator’s conclusions on dose finding for the pivotal studies</w:t>
      </w:r>
    </w:p>
    <w:p w14:paraId="078328ED" w14:textId="77777777" w:rsidR="00487460" w:rsidRPr="00487460" w:rsidRDefault="00487460" w:rsidP="00487460">
      <w:r w:rsidRPr="00487460">
        <w:t>The dose regimen used in the new indication of Philadelphia chromosome positive R/R ALL is the same as approved for the existing indications.</w:t>
      </w:r>
    </w:p>
    <w:p w14:paraId="4DC5D17B" w14:textId="77777777" w:rsidR="00487460" w:rsidRPr="00487460" w:rsidRDefault="00487460" w:rsidP="00487460">
      <w:r w:rsidRPr="00487460">
        <w:t>The dose for MRD R/R ALL is consistent with the approved dose.</w:t>
      </w:r>
    </w:p>
    <w:p w14:paraId="39023D2B" w14:textId="77777777" w:rsidR="008E7846" w:rsidRPr="00254787" w:rsidRDefault="008E7846" w:rsidP="008E7846">
      <w:pPr>
        <w:pStyle w:val="Heading3"/>
      </w:pPr>
      <w:bookmarkStart w:id="59" w:name="_Toc22198180"/>
      <w:r w:rsidRPr="00254787">
        <w:t>Efficacy</w:t>
      </w:r>
      <w:bookmarkEnd w:id="55"/>
      <w:bookmarkEnd w:id="56"/>
      <w:bookmarkEnd w:id="57"/>
      <w:bookmarkEnd w:id="58"/>
      <w:bookmarkEnd w:id="59"/>
    </w:p>
    <w:p w14:paraId="371CB1EF" w14:textId="06F37B8E" w:rsidR="00557222" w:rsidRDefault="00557222" w:rsidP="00557222">
      <w:pPr>
        <w:pStyle w:val="Heading4"/>
      </w:pPr>
      <w:bookmarkStart w:id="60" w:name="_Toc184439992"/>
      <w:bookmarkStart w:id="61" w:name="_Toc184440279"/>
      <w:bookmarkStart w:id="62" w:name="_Toc184444657"/>
      <w:bookmarkStart w:id="63" w:name="_Toc196046487"/>
      <w:r>
        <w:t>Indication 1</w:t>
      </w:r>
      <w:r w:rsidR="00263595">
        <w:t xml:space="preserve">: </w:t>
      </w:r>
      <w:r>
        <w:t>Philadelphia positive ALL</w:t>
      </w:r>
    </w:p>
    <w:p w14:paraId="62E2EBE6" w14:textId="77777777" w:rsidR="00557222" w:rsidRDefault="00557222" w:rsidP="008F7B7E">
      <w:pPr>
        <w:pStyle w:val="Heading5"/>
      </w:pPr>
      <w:r>
        <w:t>Studies providing evaluable efficacy data</w:t>
      </w:r>
    </w:p>
    <w:p w14:paraId="3680BABC" w14:textId="77777777" w:rsidR="00557222" w:rsidRDefault="00557222" w:rsidP="00557222">
      <w:r>
        <w:t>The following clinical efficacy studies were submitted:</w:t>
      </w:r>
    </w:p>
    <w:p w14:paraId="03889285" w14:textId="2F505F41" w:rsidR="00557222" w:rsidRDefault="00557222" w:rsidP="008F7B7E">
      <w:pPr>
        <w:pStyle w:val="Heading6"/>
      </w:pPr>
      <w:r>
        <w:t>Indication 1</w:t>
      </w:r>
      <w:r w:rsidR="00263595">
        <w:t xml:space="preserve"> </w:t>
      </w:r>
      <w:r>
        <w:t>R/R Chromosome positive B-precursor ALL</w:t>
      </w:r>
    </w:p>
    <w:p w14:paraId="2969B216" w14:textId="77777777" w:rsidR="00557222" w:rsidRDefault="00557222" w:rsidP="008F7B7E">
      <w:pPr>
        <w:pStyle w:val="ListBullet"/>
      </w:pPr>
      <w:r>
        <w:t>Pivotal studies</w:t>
      </w:r>
    </w:p>
    <w:p w14:paraId="56E1D18E" w14:textId="1C8D5588" w:rsidR="00557222" w:rsidRDefault="00557222" w:rsidP="008F7B7E">
      <w:pPr>
        <w:pStyle w:val="ListBullet2"/>
      </w:pPr>
      <w:r>
        <w:t xml:space="preserve">Study 20120216 - A </w:t>
      </w:r>
      <w:r w:rsidR="00713407">
        <w:t>Phase II</w:t>
      </w:r>
      <w:r>
        <w:t xml:space="preserve"> </w:t>
      </w:r>
      <w:r w:rsidR="001F5C1B">
        <w:t>single arm</w:t>
      </w:r>
      <w:r>
        <w:t xml:space="preserve">, </w:t>
      </w:r>
      <w:r w:rsidR="001F5C1B">
        <w:t xml:space="preserve">multicentre trial to evaluate the efficacy of </w:t>
      </w:r>
      <w:r>
        <w:t xml:space="preserve">the </w:t>
      </w:r>
      <w:proofErr w:type="spellStart"/>
      <w:r>
        <w:t>BiTE</w:t>
      </w:r>
      <w:proofErr w:type="spellEnd"/>
      <w:r w:rsidR="00031B12">
        <w:rPr>
          <w:rStyle w:val="FootnoteReference"/>
        </w:rPr>
        <w:footnoteReference w:id="4"/>
      </w:r>
      <w:r>
        <w:t xml:space="preserve"> </w:t>
      </w:r>
      <w:r w:rsidR="001F5C1B">
        <w:t xml:space="preserve">antibody </w:t>
      </w:r>
      <w:proofErr w:type="spellStart"/>
      <w:r w:rsidR="001F5C1B">
        <w:t>blinatumomab</w:t>
      </w:r>
      <w:proofErr w:type="spellEnd"/>
      <w:r w:rsidR="001F5C1B">
        <w:t xml:space="preserve"> in adult subjects with relapsed/refractory </w:t>
      </w:r>
      <w:proofErr w:type="spellStart"/>
      <w:r w:rsidR="001F5C1B">
        <w:t>philadelphia</w:t>
      </w:r>
      <w:proofErr w:type="spellEnd"/>
      <w:r w:rsidR="001F5C1B">
        <w:t xml:space="preserve"> positive B-precursor acute lymphoblastic leukaemia (also known as the </w:t>
      </w:r>
      <w:proofErr w:type="spellStart"/>
      <w:r w:rsidR="001F5C1B">
        <w:t>Alcantara</w:t>
      </w:r>
      <w:proofErr w:type="spellEnd"/>
      <w:r w:rsidR="001F5C1B">
        <w:t xml:space="preserve"> study)</w:t>
      </w:r>
    </w:p>
    <w:p w14:paraId="30310D14" w14:textId="77777777" w:rsidR="008F7B7E" w:rsidRDefault="00557222" w:rsidP="008F7B7E">
      <w:pPr>
        <w:pStyle w:val="ListBullet"/>
      </w:pPr>
      <w:r>
        <w:t>Other studies</w:t>
      </w:r>
    </w:p>
    <w:p w14:paraId="64CF7F98" w14:textId="77777777" w:rsidR="00557222" w:rsidRDefault="008F7B7E" w:rsidP="008F7B7E">
      <w:pPr>
        <w:pStyle w:val="ListBullet2"/>
      </w:pPr>
      <w:r>
        <w:t>n</w:t>
      </w:r>
      <w:r w:rsidR="00557222">
        <w:t>ot applicable.</w:t>
      </w:r>
    </w:p>
    <w:p w14:paraId="075EE76D" w14:textId="77777777" w:rsidR="00FC4DED" w:rsidRDefault="00557222" w:rsidP="00FC4DED">
      <w:pPr>
        <w:pStyle w:val="ListBullet"/>
      </w:pPr>
      <w:r>
        <w:t xml:space="preserve">Analyses performed across trials </w:t>
      </w:r>
    </w:p>
    <w:p w14:paraId="5EE10814" w14:textId="77777777" w:rsidR="00557222" w:rsidRDefault="00557222" w:rsidP="00FC4DED">
      <w:pPr>
        <w:pStyle w:val="ListBullet2"/>
      </w:pPr>
      <w:r>
        <w:t>not applicable</w:t>
      </w:r>
    </w:p>
    <w:p w14:paraId="79FFCC0A" w14:textId="77777777" w:rsidR="00FC4DED" w:rsidRDefault="00FC4DED" w:rsidP="00FC4DED">
      <w:pPr>
        <w:pStyle w:val="Heading4"/>
      </w:pPr>
      <w:r>
        <w:t>Evaluator’s conclusions on efficacy – Indication 1</w:t>
      </w:r>
    </w:p>
    <w:p w14:paraId="6543A799" w14:textId="52578B01" w:rsidR="00FC4DED" w:rsidRPr="00557222" w:rsidRDefault="00FC4DED" w:rsidP="00811F68">
      <w:r w:rsidRPr="00557222">
        <w:t xml:space="preserve">The data to support the requested indication of Philadelphia chromosome positive R/R ALL rests with one study of 45 patients in a Phase </w:t>
      </w:r>
      <w:r w:rsidR="00263595">
        <w:t>II</w:t>
      </w:r>
      <w:r w:rsidRPr="00557222">
        <w:t>, single arm, open label study (Study</w:t>
      </w:r>
      <w:r w:rsidR="00263595">
        <w:t> </w:t>
      </w:r>
      <w:r w:rsidRPr="00557222">
        <w:t>20120216).</w:t>
      </w:r>
    </w:p>
    <w:p w14:paraId="6F817E1B" w14:textId="037C886C" w:rsidR="00FC4DED" w:rsidRPr="00557222" w:rsidRDefault="00FC4DED" w:rsidP="00811F68">
      <w:r w:rsidRPr="00557222">
        <w:t xml:space="preserve">The study is ongoing. At the time of the data cut-off date on May 2015, 2 subjects continued to receive </w:t>
      </w:r>
      <w:proofErr w:type="spellStart"/>
      <w:r w:rsidRPr="00557222">
        <w:t>blinatumomab</w:t>
      </w:r>
      <w:proofErr w:type="spellEnd"/>
      <w:r w:rsidRPr="00557222">
        <w:t>. The remaining 43 subjects have discontinued treatment</w:t>
      </w:r>
      <w:r w:rsidR="00263595">
        <w:t>;</w:t>
      </w:r>
      <w:r w:rsidRPr="00557222">
        <w:t xml:space="preserve"> 23 (51.1%) subjects continue to be followed and 22 (48.9%) have died.</w:t>
      </w:r>
    </w:p>
    <w:p w14:paraId="55CFD6BB" w14:textId="641EB140" w:rsidR="00FC4DED" w:rsidRPr="00557222" w:rsidRDefault="00FC4DED" w:rsidP="00811F68">
      <w:r w:rsidRPr="00557222">
        <w:lastRenderedPageBreak/>
        <w:t>The result for the primary efficacy endpoint of the best CR/</w:t>
      </w:r>
      <w:proofErr w:type="spellStart"/>
      <w:r w:rsidRPr="00557222">
        <w:t>CRh</w:t>
      </w:r>
      <w:proofErr w:type="spellEnd"/>
      <w:r w:rsidRPr="00557222">
        <w:t>*</w:t>
      </w:r>
      <w:r w:rsidR="005B6383">
        <w:rPr>
          <w:rStyle w:val="FootnoteReference"/>
        </w:rPr>
        <w:footnoteReference w:id="5"/>
      </w:r>
      <w:r w:rsidRPr="00557222">
        <w:t xml:space="preserve"> rate within the first 2</w:t>
      </w:r>
      <w:r w:rsidR="001F5C1B">
        <w:t> </w:t>
      </w:r>
      <w:r w:rsidRPr="00557222">
        <w:t xml:space="preserve">cycles of </w:t>
      </w:r>
      <w:proofErr w:type="spellStart"/>
      <w:r w:rsidRPr="00557222">
        <w:t>blinatumomab</w:t>
      </w:r>
      <w:proofErr w:type="spellEnd"/>
      <w:r w:rsidRPr="00557222">
        <w:t xml:space="preserve"> treatment was 35.6% (16/45; 95%</w:t>
      </w:r>
      <w:r w:rsidR="00031B12" w:rsidRPr="00031B12">
        <w:t xml:space="preserve"> </w:t>
      </w:r>
      <w:r w:rsidR="00031B12">
        <w:t>confidence interval</w:t>
      </w:r>
      <w:r w:rsidR="00031B12" w:rsidRPr="00557222">
        <w:t xml:space="preserve"> </w:t>
      </w:r>
      <w:r w:rsidR="00031B12">
        <w:t>(</w:t>
      </w:r>
      <w:r w:rsidRPr="00557222">
        <w:t>CI</w:t>
      </w:r>
      <w:r w:rsidR="00031B12">
        <w:t>)</w:t>
      </w:r>
      <w:r w:rsidRPr="00557222">
        <w:t>: 21.9% to 51.2%)</w:t>
      </w:r>
      <w:r w:rsidR="00263595">
        <w:t>;</w:t>
      </w:r>
      <w:r w:rsidRPr="00557222">
        <w:t xml:space="preserve"> 14 subjects achieved a CR</w:t>
      </w:r>
      <w:r w:rsidR="00031B12">
        <w:t xml:space="preserve"> </w:t>
      </w:r>
      <w:r w:rsidRPr="00557222">
        <w:t xml:space="preserve">(31.1%), 2 subjects achieved a </w:t>
      </w:r>
      <w:proofErr w:type="spellStart"/>
      <w:r w:rsidRPr="00557222">
        <w:t>CRh</w:t>
      </w:r>
      <w:proofErr w:type="spellEnd"/>
      <w:r w:rsidRPr="00557222">
        <w:t>* (4.4%). The results of the sensitivity analyses of the primary endpoint were consistent with the primary analysis. Subgroup analysis suggested differences amongst most subgroups, however the number of subjects in the individual subgroups were really too small to be reliable. Median OS was 7.1 months.</w:t>
      </w:r>
    </w:p>
    <w:p w14:paraId="216DA6C4" w14:textId="0882E08F" w:rsidR="00FC4DED" w:rsidRPr="00557222" w:rsidRDefault="00FC4DED" w:rsidP="00811F68">
      <w:r w:rsidRPr="00557222">
        <w:t>The efficacy results for the best CR/</w:t>
      </w:r>
      <w:proofErr w:type="spellStart"/>
      <w:r w:rsidRPr="00557222">
        <w:t>CRh</w:t>
      </w:r>
      <w:proofErr w:type="spellEnd"/>
      <w:r w:rsidRPr="00557222">
        <w:t>* rate during the treatment period were consistent with the best CR/</w:t>
      </w:r>
      <w:proofErr w:type="spellStart"/>
      <w:r w:rsidRPr="00557222">
        <w:t>CRh</w:t>
      </w:r>
      <w:proofErr w:type="spellEnd"/>
      <w:r w:rsidRPr="00557222">
        <w:t xml:space="preserve">* rate within the first 2 cycles of treatment. In the </w:t>
      </w:r>
      <w:r w:rsidR="005B6383">
        <w:t>Full analysis set</w:t>
      </w:r>
      <w:r w:rsidR="005B6383" w:rsidRPr="00557222">
        <w:t xml:space="preserve"> </w:t>
      </w:r>
      <w:r w:rsidR="005B6383">
        <w:t>(</w:t>
      </w:r>
      <w:r w:rsidRPr="00557222">
        <w:t>FAS</w:t>
      </w:r>
      <w:r w:rsidR="005B6383">
        <w:t>)</w:t>
      </w:r>
      <w:r w:rsidRPr="00557222">
        <w:t>, 17 subjects (37.8%) achieved a CR/</w:t>
      </w:r>
      <w:proofErr w:type="spellStart"/>
      <w:r w:rsidRPr="00557222">
        <w:t>CRh</w:t>
      </w:r>
      <w:proofErr w:type="spellEnd"/>
      <w:r w:rsidRPr="00557222">
        <w:t>* during the treatment period; 1 additional subject achieved a CR/</w:t>
      </w:r>
      <w:proofErr w:type="spellStart"/>
      <w:r w:rsidRPr="00557222">
        <w:t>CRh</w:t>
      </w:r>
      <w:proofErr w:type="spellEnd"/>
      <w:r w:rsidRPr="00557222">
        <w:t xml:space="preserve">* during the treatment period. Two additional subjects converted to CR during subsequent cycles of </w:t>
      </w:r>
      <w:proofErr w:type="spellStart"/>
      <w:r w:rsidRPr="00557222">
        <w:t>blinatumomab</w:t>
      </w:r>
      <w:proofErr w:type="spellEnd"/>
      <w:r w:rsidRPr="00557222">
        <w:t xml:space="preserve">: 1 subject with a </w:t>
      </w:r>
      <w:proofErr w:type="spellStart"/>
      <w:r w:rsidRPr="00557222">
        <w:t>CRh</w:t>
      </w:r>
      <w:proofErr w:type="spellEnd"/>
      <w:r w:rsidRPr="00557222">
        <w:t>*; 1</w:t>
      </w:r>
      <w:r w:rsidR="001F5C1B">
        <w:t> </w:t>
      </w:r>
      <w:r w:rsidRPr="00557222">
        <w:t xml:space="preserve">subject with a </w:t>
      </w:r>
      <w:r w:rsidR="005B6383">
        <w:t>complete remission with incomplete haematological recovery</w:t>
      </w:r>
      <w:r w:rsidR="005B6383" w:rsidRPr="00557222">
        <w:t xml:space="preserve"> </w:t>
      </w:r>
      <w:r w:rsidR="005B6383">
        <w:t>(</w:t>
      </w:r>
      <w:r w:rsidRPr="00557222">
        <w:t>C</w:t>
      </w:r>
      <w:r w:rsidR="005B6383" w:rsidRPr="00557222">
        <w:t>r</w:t>
      </w:r>
      <w:r w:rsidRPr="00557222">
        <w:t>i</w:t>
      </w:r>
      <w:r w:rsidR="005B6383">
        <w:t>)</w:t>
      </w:r>
      <w:r w:rsidRPr="00557222">
        <w:t>.</w:t>
      </w:r>
    </w:p>
    <w:p w14:paraId="06A37716" w14:textId="7FFD96EB" w:rsidR="00FC4DED" w:rsidRPr="00557222" w:rsidRDefault="00FC4DED" w:rsidP="00811F68">
      <w:r w:rsidRPr="00557222">
        <w:t xml:space="preserve">It is noted that the initial approval for </w:t>
      </w:r>
      <w:proofErr w:type="spellStart"/>
      <w:r w:rsidRPr="00557222">
        <w:t>Ph</w:t>
      </w:r>
      <w:proofErr w:type="spellEnd"/>
      <w:r w:rsidRPr="00557222">
        <w:t xml:space="preserve"> negative patients was based on two Phase </w:t>
      </w:r>
      <w:r w:rsidR="00263595">
        <w:t>II</w:t>
      </w:r>
      <w:r w:rsidRPr="00557222">
        <w:t>, open label studies</w:t>
      </w:r>
      <w:r w:rsidR="00263595">
        <w:t>;</w:t>
      </w:r>
      <w:r w:rsidRPr="00557222">
        <w:t xml:space="preserve"> one pivotal</w:t>
      </w:r>
      <w:r w:rsidR="00263595">
        <w:t>,</w:t>
      </w:r>
      <w:r w:rsidRPr="00557222">
        <w:t xml:space="preserve"> study (</w:t>
      </w:r>
      <w:r w:rsidR="001F5C1B">
        <w:t xml:space="preserve">Study </w:t>
      </w:r>
      <w:r w:rsidRPr="00557222">
        <w:t>MT103-211</w:t>
      </w:r>
      <w:r w:rsidR="001F5C1B">
        <w:t>)</w:t>
      </w:r>
      <w:r w:rsidRPr="00557222">
        <w:t xml:space="preserve"> and a supportive </w:t>
      </w:r>
      <w:r w:rsidR="001F5C1B">
        <w:t>s</w:t>
      </w:r>
      <w:r w:rsidRPr="00557222">
        <w:t>tudy (</w:t>
      </w:r>
      <w:r w:rsidR="001F5C1B">
        <w:t>Study </w:t>
      </w:r>
      <w:r w:rsidRPr="00557222">
        <w:t>MT103</w:t>
      </w:r>
      <w:r w:rsidR="001F5C1B">
        <w:noBreakHyphen/>
      </w:r>
      <w:r w:rsidR="001F5C1B" w:rsidRPr="00557222">
        <w:t>206</w:t>
      </w:r>
      <w:r w:rsidR="001F5C1B">
        <w:t xml:space="preserve">) </w:t>
      </w:r>
      <w:r w:rsidRPr="00557222">
        <w:t>with a</w:t>
      </w:r>
      <w:r w:rsidR="00093C1B">
        <w:t xml:space="preserve"> </w:t>
      </w:r>
      <w:r w:rsidRPr="00557222">
        <w:t xml:space="preserve">total of 225 patients. In </w:t>
      </w:r>
      <w:r w:rsidR="001F5C1B">
        <w:t xml:space="preserve">Study </w:t>
      </w:r>
      <w:r w:rsidRPr="00557222">
        <w:t>MT103-211, CR/CR* with durable remission after 2</w:t>
      </w:r>
      <w:r w:rsidR="001F5C1B">
        <w:t> </w:t>
      </w:r>
      <w:r w:rsidRPr="00557222">
        <w:t xml:space="preserve">cycles of treatment was 42.9% and median OS was 6.1 months, and in </w:t>
      </w:r>
      <w:r w:rsidR="00B32355">
        <w:t xml:space="preserve">Study </w:t>
      </w:r>
      <w:r w:rsidRPr="00557222">
        <w:t>MT103-206, CR/</w:t>
      </w:r>
      <w:proofErr w:type="spellStart"/>
      <w:r w:rsidRPr="00557222">
        <w:t>CRh</w:t>
      </w:r>
      <w:proofErr w:type="spellEnd"/>
      <w:r w:rsidRPr="00557222">
        <w:t>* with durable remission after 2 cycles of treatment was 69% and median OS was 9.8 months.</w:t>
      </w:r>
    </w:p>
    <w:p w14:paraId="481C3E37" w14:textId="54C7CF04" w:rsidR="00557222" w:rsidRDefault="00557222" w:rsidP="00FC4DED">
      <w:pPr>
        <w:pStyle w:val="Heading4"/>
      </w:pPr>
      <w:r>
        <w:t>Indication 2</w:t>
      </w:r>
      <w:r w:rsidR="00713407">
        <w:t xml:space="preserve">; </w:t>
      </w:r>
      <w:r>
        <w:t>Minimal residual disease (MRD)</w:t>
      </w:r>
    </w:p>
    <w:p w14:paraId="7E8B98CC" w14:textId="77777777" w:rsidR="00263595" w:rsidRPr="00811513" w:rsidRDefault="00263595" w:rsidP="009302FA">
      <w:pPr>
        <w:pStyle w:val="Heading5"/>
      </w:pPr>
      <w:r>
        <w:t>Studies providing evaluable efficacy data</w:t>
      </w:r>
    </w:p>
    <w:p w14:paraId="4C71BBA0" w14:textId="77777777" w:rsidR="00557222" w:rsidRPr="00811513" w:rsidRDefault="00557222" w:rsidP="009302FA">
      <w:pPr>
        <w:pStyle w:val="Heading6"/>
        <w:rPr>
          <w:rStyle w:val="Heading5Char"/>
          <w:rFonts w:eastAsia="Cambria"/>
          <w:b w:val="0"/>
          <w:bCs/>
          <w:color w:val="auto"/>
        </w:rPr>
      </w:pPr>
      <w:r w:rsidRPr="00080712">
        <w:rPr>
          <w:rStyle w:val="Heading5Char"/>
          <w:rFonts w:eastAsia="Cambria"/>
          <w:b w:val="0"/>
          <w:bCs/>
          <w:i/>
          <w:color w:val="auto"/>
        </w:rPr>
        <w:t>Pivotal studies</w:t>
      </w:r>
    </w:p>
    <w:p w14:paraId="4237CA28" w14:textId="0E2C965D" w:rsidR="00557222" w:rsidRDefault="00557222" w:rsidP="009302FA">
      <w:pPr>
        <w:pStyle w:val="ListBullet"/>
      </w:pPr>
      <w:r>
        <w:t>Study MT103-202</w:t>
      </w:r>
      <w:r w:rsidR="00B32355">
        <w:t>: A</w:t>
      </w:r>
      <w:r w:rsidR="00652924">
        <w:t xml:space="preserve"> </w:t>
      </w:r>
      <w:r w:rsidR="00B32355">
        <w:t xml:space="preserve">confirmatory, multicentre, single-arm study to assess the efficacy, safety, and tolerability of the </w:t>
      </w:r>
      <w:proofErr w:type="spellStart"/>
      <w:r>
        <w:t>BiTE</w:t>
      </w:r>
      <w:proofErr w:type="spellEnd"/>
      <w:r>
        <w:t xml:space="preserve"> </w:t>
      </w:r>
      <w:r w:rsidR="00B32355">
        <w:t xml:space="preserve">antibody </w:t>
      </w:r>
      <w:proofErr w:type="spellStart"/>
      <w:r w:rsidR="00B32355">
        <w:t>blinatumomab</w:t>
      </w:r>
      <w:proofErr w:type="spellEnd"/>
      <w:r w:rsidR="00B32355">
        <w:t xml:space="preserve"> in adult subjects with minimal residual disease (MRD) of </w:t>
      </w:r>
      <w:r>
        <w:t xml:space="preserve">B-precursor </w:t>
      </w:r>
      <w:r w:rsidR="00B32355">
        <w:t>acute lymphoblastic leukaemia.</w:t>
      </w:r>
    </w:p>
    <w:p w14:paraId="715342FC" w14:textId="5819B108" w:rsidR="00557222" w:rsidRDefault="00557222" w:rsidP="009302FA">
      <w:pPr>
        <w:pStyle w:val="ListBullet"/>
      </w:pPr>
      <w:r>
        <w:t>Study MT103-203</w:t>
      </w:r>
      <w:r w:rsidR="00263595">
        <w:t>;</w:t>
      </w:r>
      <w:r>
        <w:t xml:space="preserve"> An </w:t>
      </w:r>
      <w:r w:rsidR="00B32355">
        <w:t>open-label, multicentre</w:t>
      </w:r>
      <w:r>
        <w:t xml:space="preserve">, </w:t>
      </w:r>
      <w:r w:rsidR="00713407">
        <w:t>Phase II</w:t>
      </w:r>
      <w:r>
        <w:t xml:space="preserve"> </w:t>
      </w:r>
      <w:r w:rsidR="00B32355">
        <w:t xml:space="preserve">study to investigate the efficacy, safety, and tolerability of the bi-specific </w:t>
      </w:r>
      <w:r>
        <w:t xml:space="preserve">T-cell </w:t>
      </w:r>
      <w:r w:rsidR="00B32355">
        <w:t xml:space="preserve">engager </w:t>
      </w:r>
      <w:r>
        <w:t>(</w:t>
      </w:r>
      <w:proofErr w:type="spellStart"/>
      <w:r>
        <w:t>BiTE</w:t>
      </w:r>
      <w:proofErr w:type="spellEnd"/>
      <w:r>
        <w:t xml:space="preserve">) MT103 </w:t>
      </w:r>
      <w:r w:rsidR="00B32355">
        <w:t xml:space="preserve">in patients with minimal residual lymphoblastic leukaemia </w:t>
      </w:r>
      <w:r>
        <w:t>(ALL)</w:t>
      </w:r>
      <w:r w:rsidR="00B32355">
        <w:t>.</w:t>
      </w:r>
    </w:p>
    <w:p w14:paraId="223DB150" w14:textId="77777777" w:rsidR="00557222" w:rsidRDefault="00557222" w:rsidP="009302FA">
      <w:pPr>
        <w:pStyle w:val="Heading6"/>
      </w:pPr>
      <w:r>
        <w:t>Other studies</w:t>
      </w:r>
    </w:p>
    <w:p w14:paraId="33C815F7" w14:textId="5A08978F" w:rsidR="00557222" w:rsidRDefault="00557222" w:rsidP="009302FA">
      <w:pPr>
        <w:pStyle w:val="ListBullet"/>
      </w:pPr>
      <w:r>
        <w:t>Study 20120148</w:t>
      </w:r>
      <w:r w:rsidR="00263595">
        <w:t>;</w:t>
      </w:r>
      <w:r>
        <w:t xml:space="preserve"> A </w:t>
      </w:r>
      <w:r w:rsidR="00B32355">
        <w:t xml:space="preserve">retrospective analysis of haematological relapse free survival and overall survival in adult patients with </w:t>
      </w:r>
      <w:r>
        <w:t>Philadelphia-</w:t>
      </w:r>
      <w:r w:rsidR="00B32355">
        <w:t xml:space="preserve">negative </w:t>
      </w:r>
      <w:r>
        <w:t>B-</w:t>
      </w:r>
      <w:r w:rsidR="00B32355">
        <w:t>precursor acute lymphoblastic leukaemia in complete haematological remission with minimal residual disease</w:t>
      </w:r>
    </w:p>
    <w:p w14:paraId="1DFF7EA6" w14:textId="77777777" w:rsidR="00035C8C" w:rsidRDefault="00557222" w:rsidP="00035C8C">
      <w:pPr>
        <w:pStyle w:val="ListBullet"/>
      </w:pPr>
      <w:r>
        <w:t>Analyses performed across trials</w:t>
      </w:r>
    </w:p>
    <w:p w14:paraId="6DAA5894" w14:textId="16AB2B1C" w:rsidR="00AD7F6F" w:rsidRDefault="00AD7F6F" w:rsidP="009302FA">
      <w:pPr>
        <w:pStyle w:val="Heading5"/>
      </w:pPr>
      <w:r w:rsidRPr="00AD7F6F">
        <w:t>Evaluators conclusion of clinical efficacy</w:t>
      </w:r>
      <w:r w:rsidR="00713407">
        <w:t>;</w:t>
      </w:r>
      <w:r w:rsidRPr="00AD7F6F">
        <w:t xml:space="preserve"> Indication 2</w:t>
      </w:r>
    </w:p>
    <w:p w14:paraId="3B152166" w14:textId="652E72BE" w:rsidR="00AD7F6F" w:rsidRPr="00AD7F6F" w:rsidRDefault="00AD7F6F" w:rsidP="00AD7F6F">
      <w:r w:rsidRPr="00AD7F6F">
        <w:t>The sponsor has provided two pivotal studies (</w:t>
      </w:r>
      <w:r w:rsidR="00B32355">
        <w:t xml:space="preserve">Studies </w:t>
      </w:r>
      <w:r w:rsidRPr="00AD7F6F">
        <w:t>MT103-202 and MT103-203) and results for the pooled population and one historical comparator study (</w:t>
      </w:r>
      <w:r w:rsidR="00713407">
        <w:t xml:space="preserve">Study </w:t>
      </w:r>
      <w:r w:rsidRPr="00AD7F6F">
        <w:t xml:space="preserve">20120148) to support the efficacy of </w:t>
      </w:r>
      <w:proofErr w:type="spellStart"/>
      <w:r w:rsidRPr="00AD7F6F">
        <w:t>blinatumomab</w:t>
      </w:r>
      <w:proofErr w:type="spellEnd"/>
      <w:r w:rsidRPr="00AD7F6F">
        <w:t xml:space="preserve"> in patients with MRD positive ALL who are in haematological remission.</w:t>
      </w:r>
    </w:p>
    <w:p w14:paraId="34AF14CE" w14:textId="77777777" w:rsidR="00AD7F6F" w:rsidRPr="00AD7F6F" w:rsidRDefault="00AD7F6F" w:rsidP="00AD7F6F">
      <w:r w:rsidRPr="00AD7F6F">
        <w:t>The primary analysis for both the pivotal studies were submitted and evaluated in the original submission. These studies appeared to be included in the original submission primarily to provide PK and PD data. The indication of MRD positive disease does not appear to have been requested at that time.</w:t>
      </w:r>
    </w:p>
    <w:p w14:paraId="3BBDF901" w14:textId="77777777" w:rsidR="00AD7F6F" w:rsidRPr="00AD7F6F" w:rsidRDefault="00AD7F6F" w:rsidP="003A03A0">
      <w:pPr>
        <w:spacing w:before="0" w:after="0" w:line="240" w:lineRule="auto"/>
      </w:pPr>
      <w:r w:rsidRPr="00AD7F6F">
        <w:lastRenderedPageBreak/>
        <w:t>In this submission the secondary analysis for each study was submitted to support the request for the MRD positive R/R ALL as a separate indication.</w:t>
      </w:r>
    </w:p>
    <w:p w14:paraId="020670DC" w14:textId="77777777" w:rsidR="00AD7F6F" w:rsidRPr="00AD7F6F" w:rsidRDefault="00AD7F6F" w:rsidP="003A03A0">
      <w:pPr>
        <w:spacing w:before="0" w:after="0" w:line="240" w:lineRule="auto"/>
      </w:pPr>
      <w:r w:rsidRPr="00AD7F6F">
        <w:t>The aim of the secondary analysis for Study MT103-202 was to provide longer term follow up to define the long term relapse free survival (RFS) and MRD results for eligible subjects.</w:t>
      </w:r>
    </w:p>
    <w:p w14:paraId="2B45F90C" w14:textId="41F4CD59" w:rsidR="00D35973" w:rsidRPr="00B32355" w:rsidRDefault="00AD7F6F" w:rsidP="009302FA">
      <w:r w:rsidRPr="00AD7F6F">
        <w:t xml:space="preserve">The aim of the secondary analysis for Study MT103-203 was to evaluate the effect of </w:t>
      </w:r>
      <w:proofErr w:type="spellStart"/>
      <w:r w:rsidRPr="00AD7F6F">
        <w:t>blinatumomab</w:t>
      </w:r>
      <w:proofErr w:type="spellEnd"/>
      <w:r w:rsidRPr="00AD7F6F">
        <w:t xml:space="preserve"> on haematological relapse and on OS and 100 day mortality rate associated with allogeneic </w:t>
      </w:r>
      <w:r w:rsidR="005B6383">
        <w:t>haematopoietic stem cell transplantation</w:t>
      </w:r>
      <w:r w:rsidR="005B6383" w:rsidRPr="00AD7F6F">
        <w:t xml:space="preserve"> </w:t>
      </w:r>
      <w:r w:rsidR="005B6383">
        <w:t>(</w:t>
      </w:r>
      <w:r w:rsidRPr="00AD7F6F">
        <w:t>HSCT</w:t>
      </w:r>
      <w:r w:rsidR="005B6383">
        <w:t>)</w:t>
      </w:r>
      <w:r w:rsidRPr="00AD7F6F">
        <w:t>.</w:t>
      </w:r>
    </w:p>
    <w:p w14:paraId="367010DC" w14:textId="3937405C" w:rsidR="00AD7F6F" w:rsidRPr="00B32355" w:rsidRDefault="00AD7F6F" w:rsidP="009302FA">
      <w:r w:rsidRPr="00B32355">
        <w:t xml:space="preserve">The results for the primary and secondary analyses </w:t>
      </w:r>
      <w:r w:rsidR="00B32355">
        <w:t>are presented below.</w:t>
      </w:r>
    </w:p>
    <w:p w14:paraId="0443970D" w14:textId="77777777" w:rsidR="00AD7F6F" w:rsidRPr="00AD7F6F" w:rsidRDefault="00AD7F6F" w:rsidP="009302FA">
      <w:pPr>
        <w:pStyle w:val="Heading6"/>
      </w:pPr>
      <w:r w:rsidRPr="00AD7F6F">
        <w:t>Primary analysis (from previous CER)</w:t>
      </w:r>
    </w:p>
    <w:p w14:paraId="30067A02" w14:textId="690A1260" w:rsidR="00AD7F6F" w:rsidRPr="00AD7F6F" w:rsidRDefault="00AD7F6F" w:rsidP="00AD7F6F">
      <w:r w:rsidRPr="00AD7F6F">
        <w:t>Study MT103-202</w:t>
      </w:r>
      <w:r w:rsidR="00B32355">
        <w:t xml:space="preserve">: </w:t>
      </w:r>
      <w:r w:rsidRPr="00AD7F6F">
        <w:t>MRD response (incidence of MRD negativity within 4 cycles of treatment)</w:t>
      </w:r>
      <w:r w:rsidR="00D35973">
        <w:t xml:space="preserve"> </w:t>
      </w:r>
      <w:r w:rsidRPr="00AD7F6F">
        <w:t>was 80% (16/20 subjects, 95% CI: 56.3, 94.3) - all observed in Cycle 1.</w:t>
      </w:r>
    </w:p>
    <w:p w14:paraId="03835F9E" w14:textId="161BC84B" w:rsidR="00AD7F6F" w:rsidRPr="00AD7F6F" w:rsidRDefault="00AD7F6F" w:rsidP="00AD7F6F">
      <w:r w:rsidRPr="00AD7F6F">
        <w:t>Study MT103-203</w:t>
      </w:r>
      <w:r w:rsidR="00B32355">
        <w:t>:</w:t>
      </w:r>
      <w:r w:rsidRPr="00AD7F6F">
        <w:t xml:space="preserve"> MRD response (within the first cycle) was 77.9% (88/113, 95%</w:t>
      </w:r>
      <w:r w:rsidR="00B32355">
        <w:t> </w:t>
      </w:r>
      <w:r w:rsidRPr="00AD7F6F">
        <w:t>CI:</w:t>
      </w:r>
      <w:r w:rsidR="00B32355">
        <w:t> </w:t>
      </w:r>
      <w:r w:rsidRPr="00AD7F6F">
        <w:t>69.1,</w:t>
      </w:r>
      <w:r w:rsidR="00D35973">
        <w:t xml:space="preserve"> </w:t>
      </w:r>
      <w:r w:rsidRPr="00AD7F6F">
        <w:t xml:space="preserve">85.1). Two additional subjects responded during </w:t>
      </w:r>
      <w:r w:rsidR="00713407">
        <w:t>C</w:t>
      </w:r>
      <w:r w:rsidRPr="00AD7F6F">
        <w:t>ycle 2.</w:t>
      </w:r>
    </w:p>
    <w:p w14:paraId="61F7EF69" w14:textId="77777777" w:rsidR="00AD7F6F" w:rsidRPr="00AD7F6F" w:rsidRDefault="00AD7F6F" w:rsidP="009302FA">
      <w:pPr>
        <w:pStyle w:val="Heading6"/>
      </w:pPr>
      <w:r w:rsidRPr="00AD7F6F">
        <w:t>Secondary analysis (this application)</w:t>
      </w:r>
    </w:p>
    <w:p w14:paraId="7FA88621" w14:textId="7CF37A46" w:rsidR="00AD7F6F" w:rsidRPr="00AD7F6F" w:rsidRDefault="00AD7F6F" w:rsidP="00654968">
      <w:pPr>
        <w:ind w:right="-143"/>
      </w:pPr>
      <w:r w:rsidRPr="00AD7F6F">
        <w:t>Study MT103-202</w:t>
      </w:r>
      <w:r w:rsidR="00B32355">
        <w:t xml:space="preserve">: </w:t>
      </w:r>
      <w:r w:rsidRPr="00AD7F6F">
        <w:t xml:space="preserve">MRD relapse 5/16 responders; median duration of complete MRD response was 13.0 months (95%CI: 2.8, </w:t>
      </w:r>
      <w:r w:rsidR="00B32355">
        <w:t>upper bound not estimable (NE)</w:t>
      </w:r>
      <w:r w:rsidRPr="00AD7F6F">
        <w:t>); median haematological RFS has not been reached after median of 1550 days (</w:t>
      </w:r>
      <w:r w:rsidR="00093C1B">
        <w:t xml:space="preserve">&gt; </w:t>
      </w:r>
      <w:r w:rsidRPr="00AD7F6F">
        <w:t>4 years). 10 subjects were relapse free after 5</w:t>
      </w:r>
      <w:r w:rsidR="00B32355">
        <w:t> </w:t>
      </w:r>
      <w:r w:rsidRPr="00AD7F6F">
        <w:t xml:space="preserve">years (range 1816 to 2138 days); final RFS estimate was 52.6% at </w:t>
      </w:r>
      <w:r w:rsidR="00713407">
        <w:t>D</w:t>
      </w:r>
      <w:r w:rsidRPr="00AD7F6F">
        <w:t>ay 2138.</w:t>
      </w:r>
    </w:p>
    <w:p w14:paraId="7F2E8AE8" w14:textId="64126D7D" w:rsidR="00AD7F6F" w:rsidRPr="00AD7F6F" w:rsidRDefault="00AD7F6F" w:rsidP="00654968">
      <w:pPr>
        <w:ind w:right="-143"/>
      </w:pPr>
      <w:r w:rsidRPr="00AD7F6F">
        <w:t>Study MT103-203</w:t>
      </w:r>
      <w:r w:rsidR="00B32355">
        <w:t xml:space="preserve">: </w:t>
      </w:r>
      <w:r w:rsidRPr="00AD7F6F">
        <w:t>The 18</w:t>
      </w:r>
      <w:r w:rsidR="005B6383">
        <w:t xml:space="preserve"> </w:t>
      </w:r>
      <w:r w:rsidRPr="00AD7F6F">
        <w:t xml:space="preserve">month </w:t>
      </w:r>
      <w:r w:rsidR="005B6383">
        <w:t>Kaplan Meier</w:t>
      </w:r>
      <w:r w:rsidR="005B6383" w:rsidRPr="00AD7F6F">
        <w:t xml:space="preserve"> </w:t>
      </w:r>
      <w:r w:rsidR="005B6383">
        <w:t>(</w:t>
      </w:r>
      <w:r w:rsidRPr="00AD7F6F">
        <w:t>KM</w:t>
      </w:r>
      <w:r w:rsidR="005B6383">
        <w:t>)</w:t>
      </w:r>
      <w:r w:rsidRPr="00AD7F6F">
        <w:t xml:space="preserve"> estimate for RFS, censored at HSCT or post- </w:t>
      </w:r>
      <w:proofErr w:type="spellStart"/>
      <w:r w:rsidRPr="00AD7F6F">
        <w:t>blinatumomab</w:t>
      </w:r>
      <w:proofErr w:type="spellEnd"/>
      <w:r w:rsidRPr="00AD7F6F">
        <w:t xml:space="preserve"> chemotherapy, was 54% (95% CI, 33% to 70%); median RFS was not estimable. Without censoring for HSCT or post-</w:t>
      </w:r>
      <w:proofErr w:type="spellStart"/>
      <w:r w:rsidRPr="00AD7F6F">
        <w:t>blinatumomab</w:t>
      </w:r>
      <w:proofErr w:type="spellEnd"/>
      <w:r w:rsidRPr="00AD7F6F">
        <w:t xml:space="preserve"> chemotherapy, the KM estimated OS rate at 18 months was 65% (95% CI: 55, 73), with a median OS of 36.5</w:t>
      </w:r>
      <w:r w:rsidR="00B32355">
        <w:t> </w:t>
      </w:r>
      <w:r w:rsidRPr="00AD7F6F">
        <w:t xml:space="preserve">months (95% CI: 19.2, </w:t>
      </w:r>
      <w:r w:rsidR="00B32355">
        <w:t>NE</w:t>
      </w:r>
      <w:r w:rsidRPr="00AD7F6F">
        <w:t>). Overall survival at 18 months with censoring for HSCT or post-</w:t>
      </w:r>
      <w:proofErr w:type="spellStart"/>
      <w:r w:rsidRPr="00AD7F6F">
        <w:t>blinatumomab</w:t>
      </w:r>
      <w:proofErr w:type="spellEnd"/>
      <w:r w:rsidRPr="00AD7F6F">
        <w:t xml:space="preserve"> chemotherapy was 83% (95% CI: 55, 94); the median OS was not estimable.</w:t>
      </w:r>
    </w:p>
    <w:p w14:paraId="3793EE47" w14:textId="77777777" w:rsidR="00AD7F6F" w:rsidRPr="00AD7F6F" w:rsidRDefault="00AD7F6F" w:rsidP="00D35973">
      <w:r w:rsidRPr="00AD7F6F">
        <w:t xml:space="preserve">The results demonstrate that </w:t>
      </w:r>
      <w:proofErr w:type="spellStart"/>
      <w:r w:rsidRPr="00AD7F6F">
        <w:t>blinatumomab</w:t>
      </w:r>
      <w:proofErr w:type="spellEnd"/>
      <w:r w:rsidRPr="00AD7F6F">
        <w:t xml:space="preserve"> is effective in treating MRD positive disease in patients with MRD positive B-cell ALL and who were in complete haematological remission.</w:t>
      </w:r>
    </w:p>
    <w:p w14:paraId="4128E758" w14:textId="606EE47A" w:rsidR="00AD7F6F" w:rsidRDefault="00AD7F6F" w:rsidP="00AD7F6F">
      <w:r w:rsidRPr="00AD7F6F">
        <w:t xml:space="preserve">It is noted that in the </w:t>
      </w:r>
      <w:r w:rsidRPr="009302FA">
        <w:t>Clinical Overview (</w:t>
      </w:r>
      <w:r w:rsidR="00B32355" w:rsidRPr="009302FA">
        <w:t>MRD</w:t>
      </w:r>
      <w:r w:rsidRPr="009302FA">
        <w:t>)</w:t>
      </w:r>
      <w:r w:rsidRPr="00AD7F6F">
        <w:t xml:space="preserve"> which provides results for pooled data the complete MRD response is given as 78.2% (104 subjects). Subjects who had a complete MRD response after </w:t>
      </w:r>
      <w:proofErr w:type="spellStart"/>
      <w:r w:rsidRPr="00AD7F6F">
        <w:t>blinatumomab</w:t>
      </w:r>
      <w:proofErr w:type="spellEnd"/>
      <w:r w:rsidRPr="00AD7F6F">
        <w:t xml:space="preserve"> treatment were able to maintain a longer duration of RFS (29.6 months </w:t>
      </w:r>
      <w:r w:rsidR="00B32355">
        <w:t>(</w:t>
      </w:r>
      <w:r w:rsidRPr="00AD7F6F">
        <w:t xml:space="preserve">17.7, </w:t>
      </w:r>
      <w:r w:rsidR="00B32355">
        <w:t>NE)</w:t>
      </w:r>
      <w:r w:rsidRPr="00AD7F6F">
        <w:t xml:space="preserve"> for subjects who had an MRD response versus 8.1 months </w:t>
      </w:r>
      <w:r w:rsidR="00B32355">
        <w:t>(</w:t>
      </w:r>
      <w:r w:rsidRPr="00AD7F6F">
        <w:t xml:space="preserve">1.9, </w:t>
      </w:r>
      <w:r w:rsidR="00B32355">
        <w:t>NE)</w:t>
      </w:r>
      <w:r w:rsidRPr="00AD7F6F">
        <w:t xml:space="preserve"> for subjects without a response). Overall survival was only measured in Study</w:t>
      </w:r>
      <w:r w:rsidR="00713407">
        <w:t> </w:t>
      </w:r>
      <w:r w:rsidRPr="00AD7F6F">
        <w:t>MT103-203.</w:t>
      </w:r>
    </w:p>
    <w:p w14:paraId="593FF4BB" w14:textId="6CC02803" w:rsidR="00557222" w:rsidRDefault="00D639C8" w:rsidP="00D639C8">
      <w:pPr>
        <w:pStyle w:val="Heading4"/>
      </w:pPr>
      <w:r>
        <w:t>Indication 3</w:t>
      </w:r>
      <w:r w:rsidR="00713407">
        <w:t>;</w:t>
      </w:r>
      <w:r>
        <w:t xml:space="preserve"> </w:t>
      </w:r>
      <w:r w:rsidR="00557222">
        <w:t xml:space="preserve">Amendment to </w:t>
      </w:r>
      <w:r w:rsidR="00B32355">
        <w:t xml:space="preserve">the </w:t>
      </w:r>
      <w:r w:rsidR="00557222">
        <w:t>PI</w:t>
      </w:r>
      <w:r w:rsidR="00B32355">
        <w:t>,</w:t>
      </w:r>
      <w:r w:rsidR="00557222">
        <w:t xml:space="preserve"> </w:t>
      </w:r>
      <w:r w:rsidR="00654968">
        <w:t xml:space="preserve">clinical trial </w:t>
      </w:r>
      <w:r w:rsidR="00557222">
        <w:t>section</w:t>
      </w:r>
    </w:p>
    <w:p w14:paraId="059C9B01" w14:textId="77777777" w:rsidR="00557222" w:rsidRDefault="00557222" w:rsidP="009302FA">
      <w:pPr>
        <w:pStyle w:val="Heading5"/>
      </w:pPr>
      <w:r>
        <w:t>Pivotal studies</w:t>
      </w:r>
    </w:p>
    <w:p w14:paraId="63F32C82" w14:textId="1E3638A3" w:rsidR="00557222" w:rsidRDefault="00557222" w:rsidP="009302FA">
      <w:pPr>
        <w:pStyle w:val="ListBullet"/>
      </w:pPr>
      <w:r>
        <w:t xml:space="preserve">Study 00103311 A </w:t>
      </w:r>
      <w:r w:rsidR="00713407">
        <w:t>Phase III</w:t>
      </w:r>
      <w:r>
        <w:t xml:space="preserve">, </w:t>
      </w:r>
      <w:r w:rsidR="00B32355">
        <w:t>randomised, open label study investigating the efficacy of th</w:t>
      </w:r>
      <w:r>
        <w:t xml:space="preserve">e </w:t>
      </w:r>
      <w:proofErr w:type="spellStart"/>
      <w:r>
        <w:t>BiTE</w:t>
      </w:r>
      <w:proofErr w:type="spellEnd"/>
      <w:r>
        <w:t xml:space="preserve"> </w:t>
      </w:r>
      <w:r w:rsidR="00B32355">
        <w:t xml:space="preserve">antibody </w:t>
      </w:r>
      <w:proofErr w:type="spellStart"/>
      <w:r w:rsidR="00B32355">
        <w:t>blinatumomab</w:t>
      </w:r>
      <w:proofErr w:type="spellEnd"/>
      <w:r w:rsidR="00B32355">
        <w:t xml:space="preserve"> versus standard of care chemotherapy in adult subjects with relapsed/refractory </w:t>
      </w:r>
      <w:r>
        <w:t>B-precursor</w:t>
      </w:r>
      <w:r w:rsidR="00B32355">
        <w:t xml:space="preserve"> acute lymphoblastic leukaemia </w:t>
      </w:r>
      <w:r>
        <w:t>(ALL) (</w:t>
      </w:r>
      <w:r w:rsidR="00B32355">
        <w:t>also known as the Tower s</w:t>
      </w:r>
      <w:r>
        <w:t>tudy)</w:t>
      </w:r>
      <w:r w:rsidR="00713407">
        <w:t>.</w:t>
      </w:r>
    </w:p>
    <w:p w14:paraId="02FF6B72" w14:textId="77777777" w:rsidR="00D639C8" w:rsidRDefault="00D639C8" w:rsidP="00D639C8">
      <w:pPr>
        <w:pStyle w:val="ListBullet"/>
      </w:pPr>
      <w:r>
        <w:t>O</w:t>
      </w:r>
      <w:r w:rsidR="00557222">
        <w:t>ther studies</w:t>
      </w:r>
    </w:p>
    <w:p w14:paraId="1BC99D54" w14:textId="2A298E70" w:rsidR="00557222" w:rsidRDefault="00557222" w:rsidP="00D639C8">
      <w:pPr>
        <w:pStyle w:val="ListBullet2"/>
      </w:pPr>
      <w:r>
        <w:t>not applicable</w:t>
      </w:r>
      <w:r w:rsidR="00B32355">
        <w:t>.</w:t>
      </w:r>
    </w:p>
    <w:p w14:paraId="20A559BD" w14:textId="77777777" w:rsidR="00D639C8" w:rsidRDefault="00557222" w:rsidP="00D639C8">
      <w:pPr>
        <w:pStyle w:val="ListBullet"/>
      </w:pPr>
      <w:r>
        <w:t>Analyses performed across trials</w:t>
      </w:r>
    </w:p>
    <w:p w14:paraId="02707750" w14:textId="0FB1918D" w:rsidR="00557222" w:rsidRDefault="00557222" w:rsidP="00D639C8">
      <w:pPr>
        <w:pStyle w:val="ListBullet2"/>
      </w:pPr>
      <w:r>
        <w:t>not applicable</w:t>
      </w:r>
      <w:r w:rsidR="00B32355">
        <w:t>.</w:t>
      </w:r>
    </w:p>
    <w:p w14:paraId="2F9DEEC3" w14:textId="0A9F4F20" w:rsidR="00035C8C" w:rsidRDefault="00035C8C" w:rsidP="00035C8C">
      <w:pPr>
        <w:pStyle w:val="Heading4"/>
      </w:pPr>
      <w:bookmarkStart w:id="64" w:name="_Toc163441378"/>
      <w:bookmarkStart w:id="65" w:name="_Toc196046495"/>
      <w:bookmarkStart w:id="66" w:name="_Toc247691522"/>
      <w:bookmarkStart w:id="67" w:name="_Toc314842505"/>
      <w:bookmarkEnd w:id="60"/>
      <w:bookmarkEnd w:id="61"/>
      <w:bookmarkEnd w:id="62"/>
      <w:bookmarkEnd w:id="63"/>
      <w:r>
        <w:lastRenderedPageBreak/>
        <w:t>Evaluators conclusions on efficacy</w:t>
      </w:r>
      <w:r w:rsidR="00713407">
        <w:t>;</w:t>
      </w:r>
      <w:r>
        <w:t xml:space="preserve"> Indication</w:t>
      </w:r>
      <w:r>
        <w:rPr>
          <w:spacing w:val="-12"/>
        </w:rPr>
        <w:t xml:space="preserve"> </w:t>
      </w:r>
      <w:r>
        <w:t>3</w:t>
      </w:r>
    </w:p>
    <w:p w14:paraId="58DD793F" w14:textId="563E304F" w:rsidR="00035C8C" w:rsidRPr="00035C8C" w:rsidRDefault="00035C8C" w:rsidP="00035C8C">
      <w:r w:rsidRPr="00035C8C">
        <w:t xml:space="preserve">Study 00103311, was stopped early at the recommendation of the Data Monitoring </w:t>
      </w:r>
      <w:r>
        <w:t>C</w:t>
      </w:r>
      <w:r w:rsidRPr="00035C8C">
        <w:t xml:space="preserve">ommittee (DMC) for demonstrating superior efficacy for the primary endpoint of overall survival (OS) of </w:t>
      </w:r>
      <w:proofErr w:type="spellStart"/>
      <w:r w:rsidRPr="00035C8C">
        <w:t>blinatumomab</w:t>
      </w:r>
      <w:proofErr w:type="spellEnd"/>
      <w:r w:rsidRPr="00035C8C">
        <w:t xml:space="preserve"> compared with </w:t>
      </w:r>
      <w:r w:rsidR="00F52D89">
        <w:t>standard of care</w:t>
      </w:r>
      <w:r w:rsidR="00F52D89" w:rsidRPr="00035C8C">
        <w:t xml:space="preserve"> </w:t>
      </w:r>
      <w:r w:rsidR="00F52D89">
        <w:t>(</w:t>
      </w:r>
      <w:r w:rsidRPr="00035C8C">
        <w:t>SOC</w:t>
      </w:r>
      <w:r w:rsidR="00F52D89">
        <w:t>)</w:t>
      </w:r>
      <w:r w:rsidRPr="00035C8C">
        <w:t xml:space="preserve"> chemotherapy. The external independent DMC conducted two formal int</w:t>
      </w:r>
      <w:r>
        <w:t xml:space="preserve">erim analyses to assess OS when </w:t>
      </w:r>
      <w:r w:rsidRPr="00035C8C">
        <w:t>approximately 50% and 75% of the total</w:t>
      </w:r>
      <w:r w:rsidR="00093C1B">
        <w:t xml:space="preserve"> </w:t>
      </w:r>
      <w:r w:rsidRPr="00035C8C">
        <w:t>number of deaths were observed. The critical p</w:t>
      </w:r>
      <w:r w:rsidR="00713407">
        <w:t> </w:t>
      </w:r>
      <w:r w:rsidRPr="00035C8C">
        <w:t>values corresponding were</w:t>
      </w:r>
      <w:r w:rsidR="00652924">
        <w:t>;</w:t>
      </w:r>
      <w:r w:rsidRPr="00035C8C">
        <w:t xml:space="preserve"> 0.0031 for the first interim analysis, 0.0183 for the second interim analysis, and 0.044 for the final analysis if the interim analyses occurred precisely at 165 (50%) and 248 (75%) deaths.</w:t>
      </w:r>
    </w:p>
    <w:p w14:paraId="43813E87" w14:textId="77777777" w:rsidR="00035C8C" w:rsidRPr="00035C8C" w:rsidRDefault="00035C8C" w:rsidP="00035C8C">
      <w:r w:rsidRPr="00035C8C">
        <w:t>At the discontinuation of the study 251 (76.1%) deaths had occurred.</w:t>
      </w:r>
    </w:p>
    <w:p w14:paraId="50489650" w14:textId="77777777" w:rsidR="00035C8C" w:rsidRPr="00035C8C" w:rsidRDefault="00035C8C" w:rsidP="00035C8C">
      <w:r w:rsidRPr="00035C8C">
        <w:t xml:space="preserve">The median overall survival rate for </w:t>
      </w:r>
      <w:proofErr w:type="spellStart"/>
      <w:r w:rsidRPr="00035C8C">
        <w:t>blinatumomab</w:t>
      </w:r>
      <w:proofErr w:type="spellEnd"/>
      <w:r w:rsidRPr="00035C8C">
        <w:t xml:space="preserve"> was 7.7 months compared to 4.0 months for SOC chemotherapy (p</w:t>
      </w:r>
      <w:r w:rsidR="00713407">
        <w:t xml:space="preserve"> </w:t>
      </w:r>
      <w:r w:rsidRPr="00035C8C">
        <w:t>=</w:t>
      </w:r>
      <w:r w:rsidR="00713407">
        <w:t xml:space="preserve"> </w:t>
      </w:r>
      <w:r w:rsidRPr="00035C8C">
        <w:t xml:space="preserve">0.012). The hazard ratio was 0.71 (95% CI: 0.55, 0.93) between treatment arms indicating a 29% improvement in survival in the </w:t>
      </w:r>
      <w:proofErr w:type="spellStart"/>
      <w:r w:rsidRPr="00035C8C">
        <w:t>blinatumomab</w:t>
      </w:r>
      <w:proofErr w:type="spellEnd"/>
      <w:r w:rsidRPr="00035C8C">
        <w:t xml:space="preserve"> arm.</w:t>
      </w:r>
    </w:p>
    <w:p w14:paraId="0BBB49AA" w14:textId="77777777" w:rsidR="00035C8C" w:rsidRPr="00035C8C" w:rsidRDefault="00035C8C" w:rsidP="00035C8C">
      <w:r w:rsidRPr="00035C8C">
        <w:t>This study provides confirmation of the interim analysis of Study MT103-211 which was the basis of the initial approval.</w:t>
      </w:r>
    </w:p>
    <w:p w14:paraId="2B05C6FE" w14:textId="7029FF26" w:rsidR="00035C8C" w:rsidRPr="00035C8C" w:rsidRDefault="00035C8C" w:rsidP="00035C8C">
      <w:r w:rsidRPr="00035C8C">
        <w:t>The key secondary outcomes for Study MT103-211 were: relapse free survival =</w:t>
      </w:r>
      <w:r w:rsidR="00713407">
        <w:t> </w:t>
      </w:r>
      <w:r w:rsidRPr="00035C8C">
        <w:t>6.8</w:t>
      </w:r>
      <w:r w:rsidR="00713407">
        <w:t> </w:t>
      </w:r>
      <w:r w:rsidRPr="00035C8C">
        <w:t>months</w:t>
      </w:r>
      <w:r>
        <w:t xml:space="preserve"> </w:t>
      </w:r>
      <w:r w:rsidRPr="00035C8C">
        <w:t>with nearly 40% who achieved CR/</w:t>
      </w:r>
      <w:proofErr w:type="spellStart"/>
      <w:r w:rsidRPr="00035C8C">
        <w:t>CRh</w:t>
      </w:r>
      <w:proofErr w:type="spellEnd"/>
      <w:r w:rsidRPr="00035C8C">
        <w:t>* proceeding to transplant; MRD response = 82%.</w:t>
      </w:r>
    </w:p>
    <w:p w14:paraId="17AFB5A6" w14:textId="77777777" w:rsidR="008E7846" w:rsidRPr="002E238E" w:rsidRDefault="008E7846" w:rsidP="008E7846">
      <w:pPr>
        <w:pStyle w:val="Heading3"/>
      </w:pPr>
      <w:bookmarkStart w:id="68" w:name="_Toc22198181"/>
      <w:r w:rsidRPr="002E238E">
        <w:t>Safety</w:t>
      </w:r>
      <w:bookmarkEnd w:id="64"/>
      <w:bookmarkEnd w:id="65"/>
      <w:bookmarkEnd w:id="66"/>
      <w:bookmarkEnd w:id="67"/>
      <w:bookmarkEnd w:id="68"/>
    </w:p>
    <w:p w14:paraId="4AD85DB2" w14:textId="77777777" w:rsidR="00605AD4" w:rsidRDefault="00605AD4" w:rsidP="00605AD4">
      <w:pPr>
        <w:pStyle w:val="Heading4"/>
      </w:pPr>
      <w:bookmarkStart w:id="69" w:name="_Toc247691524"/>
      <w:bookmarkStart w:id="70" w:name="_Toc314842508"/>
      <w:bookmarkStart w:id="71" w:name="_Toc196046504"/>
      <w:bookmarkStart w:id="72" w:name="_Toc163441390"/>
      <w:r w:rsidRPr="00605AD4">
        <w:t>Studies providing safety data</w:t>
      </w:r>
    </w:p>
    <w:p w14:paraId="698F5EF0" w14:textId="77777777" w:rsidR="00601129" w:rsidRPr="00601129" w:rsidRDefault="00601129" w:rsidP="00601129">
      <w:r w:rsidRPr="00601129">
        <w:t>The summary safety data in this submission is contained in three documents:</w:t>
      </w:r>
    </w:p>
    <w:p w14:paraId="3C39FEE5" w14:textId="73F574D8" w:rsidR="005A6B26" w:rsidRDefault="005A6B26" w:rsidP="005A6B26">
      <w:pPr>
        <w:pStyle w:val="Heading5"/>
      </w:pPr>
      <w:r>
        <w:t>Module (R/R ALL)</w:t>
      </w:r>
    </w:p>
    <w:p w14:paraId="17F46BA3" w14:textId="39DBDA27" w:rsidR="005A6B26" w:rsidRPr="005A6B26" w:rsidRDefault="005A6B26" w:rsidP="005A6B26">
      <w:pPr>
        <w:pStyle w:val="ListBullet"/>
      </w:pPr>
      <w:r w:rsidRPr="005A6B26">
        <w:t xml:space="preserve">Adult Philadelphia </w:t>
      </w:r>
      <w:r w:rsidR="005A2C96">
        <w:t>c</w:t>
      </w:r>
      <w:r w:rsidR="005A2C96" w:rsidRPr="005A6B26">
        <w:t>hromosome</w:t>
      </w:r>
      <w:r w:rsidR="005A2C96">
        <w:t xml:space="preserve"> </w:t>
      </w:r>
      <w:r w:rsidRPr="005A6B26">
        <w:t xml:space="preserve">negative </w:t>
      </w:r>
      <w:r w:rsidR="005A2C96" w:rsidRPr="005A6B26">
        <w:t xml:space="preserve">relapsed/refractory </w:t>
      </w:r>
      <w:r w:rsidRPr="005A6B26">
        <w:t>B-cell precursor ALL</w:t>
      </w:r>
      <w:r w:rsidR="00713407">
        <w:t>;</w:t>
      </w:r>
      <w:r w:rsidRPr="005A6B26">
        <w:t xml:space="preserve"> pooled data from:</w:t>
      </w:r>
    </w:p>
    <w:p w14:paraId="16D21AE4" w14:textId="17057E3E" w:rsidR="005A6B26" w:rsidRDefault="005A6B26" w:rsidP="005A6B26">
      <w:pPr>
        <w:pStyle w:val="ListBullet2"/>
      </w:pPr>
      <w:r>
        <w:t>Study 00103311</w:t>
      </w:r>
      <w:r w:rsidR="00713407">
        <w:t>;</w:t>
      </w:r>
      <w:r>
        <w:t xml:space="preserve"> </w:t>
      </w:r>
      <w:proofErr w:type="spellStart"/>
      <w:r>
        <w:t>blinatumomab</w:t>
      </w:r>
      <w:proofErr w:type="spellEnd"/>
      <w:r>
        <w:t xml:space="preserve"> arm only</w:t>
      </w:r>
      <w:r w:rsidR="00713407">
        <w:t>,</w:t>
      </w:r>
      <w:r>
        <w:t xml:space="preserve"> n = 271</w:t>
      </w:r>
    </w:p>
    <w:p w14:paraId="155E6C08" w14:textId="5B670AE6" w:rsidR="005A6B26" w:rsidRDefault="005A6B26" w:rsidP="005A6B26">
      <w:pPr>
        <w:pStyle w:val="ListBullet2"/>
      </w:pPr>
      <w:r>
        <w:t>Study MT103-211</w:t>
      </w:r>
      <w:r w:rsidR="00713407">
        <w:t>;</w:t>
      </w:r>
      <w:r>
        <w:t xml:space="preserve"> secondary analysis</w:t>
      </w:r>
      <w:r w:rsidR="00713407">
        <w:t>,</w:t>
      </w:r>
      <w:r>
        <w:t xml:space="preserve"> n = 225</w:t>
      </w:r>
    </w:p>
    <w:p w14:paraId="62632228" w14:textId="1B1A103E" w:rsidR="005A6B26" w:rsidRDefault="005A6B26" w:rsidP="005A6B26">
      <w:pPr>
        <w:pStyle w:val="ListBullet2"/>
      </w:pPr>
      <w:r>
        <w:t>Study MT103-206</w:t>
      </w:r>
      <w:r w:rsidR="00713407">
        <w:t>;</w:t>
      </w:r>
      <w:r>
        <w:t xml:space="preserve"> n = 36</w:t>
      </w:r>
      <w:r w:rsidR="00713407">
        <w:t>.</w:t>
      </w:r>
    </w:p>
    <w:p w14:paraId="10223BAA" w14:textId="51EDE992" w:rsidR="005A6B26" w:rsidRDefault="005A6B26" w:rsidP="005A6B26">
      <w:pPr>
        <w:pStyle w:val="ListBullet"/>
      </w:pPr>
      <w:r>
        <w:t xml:space="preserve">Paediatric and adolescent </w:t>
      </w:r>
      <w:r w:rsidR="005A2C96">
        <w:t xml:space="preserve">relapsed/refractory </w:t>
      </w:r>
      <w:r>
        <w:t>B-cell precursor ALL</w:t>
      </w:r>
      <w:r w:rsidR="00713407">
        <w:t>;</w:t>
      </w:r>
      <w:r>
        <w:t xml:space="preserve"> pooled data from:</w:t>
      </w:r>
    </w:p>
    <w:p w14:paraId="0C57A827" w14:textId="2F267815" w:rsidR="005A6B26" w:rsidRDefault="005A6B26" w:rsidP="005A6B26">
      <w:pPr>
        <w:pStyle w:val="ListBullet2"/>
      </w:pPr>
      <w:r>
        <w:t>Study MT103-205</w:t>
      </w:r>
      <w:r w:rsidR="00713407">
        <w:t>;</w:t>
      </w:r>
      <w:r>
        <w:t xml:space="preserve"> n = 93</w:t>
      </w:r>
    </w:p>
    <w:p w14:paraId="19DA86E9" w14:textId="71D982A3" w:rsidR="005A6B26" w:rsidRDefault="005A6B26" w:rsidP="005A6B26">
      <w:pPr>
        <w:pStyle w:val="ListBullet2"/>
      </w:pPr>
      <w:r>
        <w:t>Study 2012216</w:t>
      </w:r>
      <w:r w:rsidR="00713407">
        <w:t>;</w:t>
      </w:r>
      <w:r>
        <w:t xml:space="preserve"> n = 40</w:t>
      </w:r>
    </w:p>
    <w:p w14:paraId="6F764899" w14:textId="531EF4A0" w:rsidR="005A6B26" w:rsidRDefault="005A6B26" w:rsidP="005A6B26">
      <w:pPr>
        <w:pStyle w:val="ListBullet"/>
      </w:pPr>
      <w:r>
        <w:t xml:space="preserve">Adult Philadelphia </w:t>
      </w:r>
      <w:r w:rsidR="005A2C96">
        <w:t xml:space="preserve">chromosome-positive relapsed/refractory </w:t>
      </w:r>
      <w:r>
        <w:t>B-cell precursor ALL</w:t>
      </w:r>
    </w:p>
    <w:p w14:paraId="27CBF904" w14:textId="40758C38" w:rsidR="005A6B26" w:rsidRDefault="005A6B26" w:rsidP="005A6B26">
      <w:pPr>
        <w:pStyle w:val="ListBullet2"/>
      </w:pPr>
      <w:r>
        <w:t>Study 20120216</w:t>
      </w:r>
      <w:r w:rsidR="00713407">
        <w:t>;</w:t>
      </w:r>
      <w:r>
        <w:t xml:space="preserve"> n = 45</w:t>
      </w:r>
    </w:p>
    <w:p w14:paraId="571CC36D" w14:textId="57405F3C" w:rsidR="005A6B26" w:rsidRDefault="005A6B26" w:rsidP="005A6B26">
      <w:pPr>
        <w:pStyle w:val="ListBullet"/>
      </w:pPr>
      <w:r>
        <w:t>Relapsed/</w:t>
      </w:r>
      <w:r w:rsidR="005A2C96">
        <w:t xml:space="preserve">refractory </w:t>
      </w:r>
      <w:r>
        <w:t xml:space="preserve">ALL </w:t>
      </w:r>
      <w:r w:rsidR="005A2C96">
        <w:t xml:space="preserve">pooled </w:t>
      </w:r>
      <w:r>
        <w:t>- Pooled data from above 6 studies</w:t>
      </w:r>
      <w:r w:rsidR="00713407">
        <w:t>;</w:t>
      </w:r>
      <w:r>
        <w:t xml:space="preserve"> n = 710</w:t>
      </w:r>
    </w:p>
    <w:p w14:paraId="0582168D" w14:textId="5B9266EC" w:rsidR="005A6B26" w:rsidRDefault="005A6B26" w:rsidP="005A6B26">
      <w:pPr>
        <w:pStyle w:val="ListBullet"/>
      </w:pPr>
      <w:r>
        <w:t>Adult MRD-positive ALL</w:t>
      </w:r>
      <w:r w:rsidR="00713407">
        <w:t>;</w:t>
      </w:r>
      <w:r>
        <w:t xml:space="preserve"> pooled data from:</w:t>
      </w:r>
    </w:p>
    <w:p w14:paraId="6AA7CC8D" w14:textId="70399FBA" w:rsidR="005A6B26" w:rsidRDefault="005A6B26" w:rsidP="005A6B26">
      <w:pPr>
        <w:pStyle w:val="ListBullet2"/>
      </w:pPr>
      <w:r>
        <w:t>Study MT103-20</w:t>
      </w:r>
      <w:r w:rsidR="00713407">
        <w:t>;</w:t>
      </w:r>
      <w:r>
        <w:t xml:space="preserve"> n = 21</w:t>
      </w:r>
    </w:p>
    <w:p w14:paraId="425F394E" w14:textId="6DB19BCD" w:rsidR="005A6B26" w:rsidRDefault="005A6B26" w:rsidP="005A6B26">
      <w:pPr>
        <w:pStyle w:val="ListBullet2"/>
      </w:pPr>
      <w:r>
        <w:t>Study MT103-203</w:t>
      </w:r>
      <w:r w:rsidR="00713407">
        <w:t>;</w:t>
      </w:r>
      <w:r>
        <w:t xml:space="preserve"> n = 116</w:t>
      </w:r>
    </w:p>
    <w:p w14:paraId="5A263762" w14:textId="51B303C7" w:rsidR="005A6B26" w:rsidRDefault="005A6B26" w:rsidP="005A6B26">
      <w:pPr>
        <w:pStyle w:val="ListBullet"/>
      </w:pPr>
      <w:r>
        <w:t>Pooled data from all 8 studies</w:t>
      </w:r>
      <w:r w:rsidR="00713407">
        <w:t>;</w:t>
      </w:r>
      <w:r>
        <w:t xml:space="preserve"> n = 847</w:t>
      </w:r>
    </w:p>
    <w:p w14:paraId="07278079" w14:textId="702E5C65" w:rsidR="005A6B26" w:rsidRDefault="005A6B26" w:rsidP="005A6B26">
      <w:pPr>
        <w:pStyle w:val="ListBullet"/>
      </w:pPr>
      <w:r>
        <w:lastRenderedPageBreak/>
        <w:t>Module (MRD) contains the same studies as the module containing (</w:t>
      </w:r>
      <w:r w:rsidR="005A2C96">
        <w:t>Tower study</w:t>
      </w:r>
      <w:r>
        <w:t>) with the exception that for the paediatric and adolescent group it include Study</w:t>
      </w:r>
      <w:r w:rsidR="005A2C96">
        <w:t> </w:t>
      </w:r>
      <w:r>
        <w:t>MT103-205 (n</w:t>
      </w:r>
      <w:r w:rsidR="00713407">
        <w:t> </w:t>
      </w:r>
      <w:r>
        <w:t>=</w:t>
      </w:r>
      <w:r w:rsidR="00713407">
        <w:t xml:space="preserve"> </w:t>
      </w:r>
      <w:r>
        <w:t xml:space="preserve">93) and </w:t>
      </w:r>
      <w:r w:rsidR="0041756E">
        <w:t>Study</w:t>
      </w:r>
      <w:r>
        <w:t xml:space="preserve"> 20130320 (n</w:t>
      </w:r>
      <w:r w:rsidR="00713407">
        <w:t xml:space="preserve"> </w:t>
      </w:r>
      <w:r>
        <w:t>=</w:t>
      </w:r>
      <w:r w:rsidR="00713407">
        <w:t xml:space="preserve"> </w:t>
      </w:r>
      <w:r>
        <w:t xml:space="preserve">20), in place of </w:t>
      </w:r>
      <w:r w:rsidR="0041756E">
        <w:t>Study</w:t>
      </w:r>
      <w:r w:rsidR="005A2C96">
        <w:t> </w:t>
      </w:r>
      <w:r>
        <w:t>2012216.</w:t>
      </w:r>
    </w:p>
    <w:p w14:paraId="11785B94" w14:textId="1463D1E7" w:rsidR="005A6B26" w:rsidRDefault="005A6B26" w:rsidP="005A6B26">
      <w:pPr>
        <w:pStyle w:val="ListBullet"/>
      </w:pPr>
      <w:r>
        <w:t>Module Integrated Summary of Safety (R/R ALL)</w:t>
      </w:r>
      <w:r w:rsidR="00713407">
        <w:t>;</w:t>
      </w:r>
      <w:r>
        <w:t xml:space="preserve"> contains the same studies as (R/R</w:t>
      </w:r>
      <w:r w:rsidR="00713407">
        <w:t> </w:t>
      </w:r>
      <w:r>
        <w:t>ALL).</w:t>
      </w:r>
    </w:p>
    <w:p w14:paraId="515E0A64" w14:textId="4F58DAEB" w:rsidR="005A6B26" w:rsidRPr="005A6B26" w:rsidRDefault="005A2C96" w:rsidP="009302FA">
      <w:r>
        <w:t>The evaluator commented that s</w:t>
      </w:r>
      <w:r w:rsidR="005A6B26" w:rsidRPr="005A6B26">
        <w:t>ince the paediatric data is not directly relevant to this submission (no paediatric studies were included in this submission) the safety summary below is taken from the CSRs for the individual studies and the Summary of Clinical Safety (</w:t>
      </w:r>
      <w:r>
        <w:t>T</w:t>
      </w:r>
      <w:r w:rsidRPr="005A6B26">
        <w:t>ower</w:t>
      </w:r>
      <w:r>
        <w:t xml:space="preserve"> study</w:t>
      </w:r>
      <w:r w:rsidR="005A6B26" w:rsidRPr="005A6B26">
        <w:t>) for R/R ALL and for the pooled data for adults. Study MT103-208 is not discussed in any of the summaries and so is included here as study evaluated for safety only.</w:t>
      </w:r>
    </w:p>
    <w:p w14:paraId="1FC17F10" w14:textId="77777777" w:rsidR="005A6B26" w:rsidRPr="00C42160" w:rsidRDefault="005A6B26" w:rsidP="00C42160">
      <w:pPr>
        <w:pStyle w:val="Heading5"/>
        <w:rPr>
          <w:rStyle w:val="Heading4Char"/>
          <w:b/>
          <w:bCs/>
        </w:rPr>
      </w:pPr>
      <w:r w:rsidRPr="00C42160">
        <w:rPr>
          <w:rStyle w:val="Heading4Char"/>
          <w:b/>
          <w:bCs/>
        </w:rPr>
        <w:t>Pivotal studies that assessed safety as the sole primary outcome</w:t>
      </w:r>
    </w:p>
    <w:p w14:paraId="5D344F65" w14:textId="77777777" w:rsidR="005A6B26" w:rsidRPr="00C42160" w:rsidRDefault="005A6B26" w:rsidP="00C42160">
      <w:r w:rsidRPr="00C42160">
        <w:t>Not applicable.</w:t>
      </w:r>
    </w:p>
    <w:p w14:paraId="3AD6B394" w14:textId="77777777" w:rsidR="005A6B26" w:rsidRDefault="005A6B26" w:rsidP="00C42160">
      <w:pPr>
        <w:pStyle w:val="Heading5"/>
      </w:pPr>
      <w:r>
        <w:t>Pivotal and/or main efficacy studies</w:t>
      </w:r>
    </w:p>
    <w:p w14:paraId="59B3FF18" w14:textId="77777777" w:rsidR="005A6B26" w:rsidRPr="00C42160" w:rsidRDefault="005A6B26" w:rsidP="00C42160">
      <w:r w:rsidRPr="00C42160">
        <w:t>The safety data collected consisted of:</w:t>
      </w:r>
    </w:p>
    <w:p w14:paraId="694E1CC0" w14:textId="77777777" w:rsidR="005A6B26" w:rsidRDefault="005A6B26" w:rsidP="00C42160">
      <w:pPr>
        <w:pStyle w:val="ListBullet"/>
      </w:pPr>
      <w:r>
        <w:t>General adverse events (AEs): were elicited by observation by the investigator or reported by the subject during study visits</w:t>
      </w:r>
    </w:p>
    <w:p w14:paraId="74B1D434" w14:textId="69D6DC9C" w:rsidR="005A6B26" w:rsidRDefault="005A6B26" w:rsidP="005A6B26">
      <w:pPr>
        <w:pStyle w:val="ListBullet"/>
      </w:pPr>
      <w:r>
        <w:t xml:space="preserve">AEs of particular interest: were identified from preclinical and nonclinical investigations, similar drugs in class, and /or data from clinical trials and/or post- marketing experience. The pre-specified AEs of particular interest were: neurologic events, cytokine release syndrome (CRS), infections, elevated liver enzymes, infusion reactions, tumour lysis syndrome (TLS), capillary leak syndrome (CLS), medication errors, decreased immunoglobulins, embolic and thrombotic events (including disseminated intravascular coagulation </w:t>
      </w:r>
      <w:r w:rsidR="005A2C96">
        <w:t>(</w:t>
      </w:r>
      <w:r>
        <w:t>DIC</w:t>
      </w:r>
      <w:r w:rsidR="005A2C96">
        <w:t>)</w:t>
      </w:r>
      <w:r>
        <w:t>), leukoencephalopathy including</w:t>
      </w:r>
      <w:r w:rsidR="00C42160">
        <w:t xml:space="preserve"> </w:t>
      </w:r>
      <w:r>
        <w:t>progressive</w:t>
      </w:r>
      <w:r w:rsidR="00C42160">
        <w:t xml:space="preserve"> </w:t>
      </w:r>
      <w:r>
        <w:t>multifocal</w:t>
      </w:r>
      <w:r w:rsidR="00C42160">
        <w:t xml:space="preserve"> </w:t>
      </w:r>
      <w:r>
        <w:t>leukoencephalopathy</w:t>
      </w:r>
      <w:r w:rsidR="00C42160">
        <w:t xml:space="preserve"> </w:t>
      </w:r>
      <w:r>
        <w:t>(PML),</w:t>
      </w:r>
      <w:r w:rsidR="00C42160">
        <w:t xml:space="preserve"> </w:t>
      </w:r>
      <w:proofErr w:type="spellStart"/>
      <w:r>
        <w:t>neutrop</w:t>
      </w:r>
      <w:r w:rsidR="005A2C96">
        <w:t>a</w:t>
      </w:r>
      <w:r>
        <w:t>enia</w:t>
      </w:r>
      <w:proofErr w:type="spellEnd"/>
      <w:r w:rsidR="00307CB3">
        <w:t xml:space="preserve"> </w:t>
      </w:r>
      <w:r>
        <w:t>and</w:t>
      </w:r>
      <w:r w:rsidR="00C42160">
        <w:t xml:space="preserve"> </w:t>
      </w:r>
      <w:r>
        <w:t xml:space="preserve">febrile </w:t>
      </w:r>
      <w:proofErr w:type="spellStart"/>
      <w:r>
        <w:t>neutrop</w:t>
      </w:r>
      <w:r w:rsidR="005A2C96">
        <w:t>a</w:t>
      </w:r>
      <w:r>
        <w:t>enia</w:t>
      </w:r>
      <w:proofErr w:type="spellEnd"/>
      <w:r>
        <w:t xml:space="preserve">, </w:t>
      </w:r>
      <w:proofErr w:type="spellStart"/>
      <w:r>
        <w:t>lymphop</w:t>
      </w:r>
      <w:r w:rsidR="005A2C96">
        <w:t>a</w:t>
      </w:r>
      <w:r>
        <w:t>enia</w:t>
      </w:r>
      <w:proofErr w:type="spellEnd"/>
      <w:r>
        <w:t>, immunogenicity, and pancreatitis.</w:t>
      </w:r>
    </w:p>
    <w:p w14:paraId="6526C2A7" w14:textId="778A7D03" w:rsidR="005A6B26" w:rsidRDefault="005A6B26" w:rsidP="00C42160">
      <w:pPr>
        <w:pStyle w:val="ListBullet"/>
      </w:pPr>
      <w:r>
        <w:t>Laboratory tests: standard haematology, clinical chemistry, and urinalysis testing was conducted a specified time points</w:t>
      </w:r>
      <w:r w:rsidR="00713407">
        <w:t>;</w:t>
      </w:r>
      <w:r>
        <w:t xml:space="preserve"> usually each study visit). In </w:t>
      </w:r>
      <w:r w:rsidR="00652924">
        <w:t>addition,</w:t>
      </w:r>
      <w:r>
        <w:t xml:space="preserve"> in coagulation tests (</w:t>
      </w:r>
      <w:r w:rsidR="00307CB3">
        <w:t>prothrombin time (PT)</w:t>
      </w:r>
      <w:r>
        <w:t xml:space="preserve"> and </w:t>
      </w:r>
      <w:r w:rsidR="00307CB3">
        <w:t>international normalised ratio (</w:t>
      </w:r>
      <w:r>
        <w:t>INR)</w:t>
      </w:r>
      <w:r w:rsidR="00307CB3">
        <w:t>)</w:t>
      </w:r>
      <w:r>
        <w:t xml:space="preserve"> and lymphocyte subsets and biomarkers were collected at protocol specified times (usually each study visit)</w:t>
      </w:r>
    </w:p>
    <w:p w14:paraId="1B0672F0" w14:textId="77777777" w:rsidR="005A6B26" w:rsidRDefault="005A6B26" w:rsidP="00C42160">
      <w:pPr>
        <w:pStyle w:val="ListBullet"/>
      </w:pPr>
      <w:r>
        <w:t xml:space="preserve">Vital signs (heart rate, blood pressure, weight, body temperature and </w:t>
      </w:r>
      <w:r w:rsidR="005B6383">
        <w:t>electrocardiogram (</w:t>
      </w:r>
      <w:r>
        <w:t>ECG</w:t>
      </w:r>
      <w:r w:rsidR="005B6383">
        <w:t>)</w:t>
      </w:r>
      <w:r>
        <w:t xml:space="preserve"> were recorded at protocol specified times</w:t>
      </w:r>
      <w:r w:rsidR="00713407">
        <w:t>.</w:t>
      </w:r>
    </w:p>
    <w:p w14:paraId="617414BD" w14:textId="77777777" w:rsidR="005A6B26" w:rsidRPr="00C42160" w:rsidRDefault="005A6B26" w:rsidP="005A6B26">
      <w:pPr>
        <w:rPr>
          <w:rStyle w:val="Heading5Char"/>
          <w:rFonts w:eastAsia="Cambria"/>
        </w:rPr>
      </w:pPr>
      <w:r w:rsidRPr="00C42160">
        <w:rPr>
          <w:rStyle w:val="Heading5Char"/>
          <w:rFonts w:eastAsia="Cambria"/>
        </w:rPr>
        <w:t>Other studies</w:t>
      </w:r>
    </w:p>
    <w:p w14:paraId="3D4C6F4D" w14:textId="77777777" w:rsidR="005A6B26" w:rsidRPr="00C42160" w:rsidRDefault="005A6B26" w:rsidP="005A6B26">
      <w:pPr>
        <w:rPr>
          <w:rStyle w:val="Heading6Char"/>
          <w:rFonts w:eastAsia="Cambria"/>
        </w:rPr>
      </w:pPr>
      <w:r w:rsidRPr="00C42160">
        <w:rPr>
          <w:rStyle w:val="Heading6Char"/>
          <w:rFonts w:eastAsia="Cambria"/>
        </w:rPr>
        <w:t>Other efficacy studies</w:t>
      </w:r>
    </w:p>
    <w:p w14:paraId="3856B23E" w14:textId="77777777" w:rsidR="005A6B26" w:rsidRPr="00C42160" w:rsidRDefault="005A6B26" w:rsidP="00C42160">
      <w:r w:rsidRPr="00C42160">
        <w:t>Same as for pivotal studies.</w:t>
      </w:r>
    </w:p>
    <w:p w14:paraId="7100C31F" w14:textId="77777777" w:rsidR="005A6B26" w:rsidRDefault="005A6B26" w:rsidP="00C42160">
      <w:pPr>
        <w:pStyle w:val="Heading6"/>
      </w:pPr>
      <w:r>
        <w:t>Studies with evaluable safety data: dose finding and pharmacology</w:t>
      </w:r>
    </w:p>
    <w:p w14:paraId="454A6ADB" w14:textId="3E8C3D0F" w:rsidR="005A6B26" w:rsidRPr="00C42160" w:rsidRDefault="005A6B26" w:rsidP="00296192">
      <w:r w:rsidRPr="00C42160">
        <w:t>Not applicable</w:t>
      </w:r>
      <w:r w:rsidR="00307CB3">
        <w:t xml:space="preserve">; </w:t>
      </w:r>
      <w:r w:rsidRPr="00C42160">
        <w:t>no independent pharmacology studies were conducted.</w:t>
      </w:r>
    </w:p>
    <w:p w14:paraId="52F2314B" w14:textId="77777777" w:rsidR="005A6B26" w:rsidRDefault="005A6B26" w:rsidP="00296192">
      <w:pPr>
        <w:pStyle w:val="Heading6"/>
      </w:pPr>
      <w:r>
        <w:t>Studies evaluable for safety</w:t>
      </w:r>
      <w:r w:rsidR="00C42160">
        <w:t xml:space="preserve"> </w:t>
      </w:r>
      <w:r>
        <w:t>only</w:t>
      </w:r>
    </w:p>
    <w:p w14:paraId="3059ED01" w14:textId="52C5A134" w:rsidR="005A6B26" w:rsidRPr="00C42160" w:rsidRDefault="005A6B26" w:rsidP="00296192">
      <w:r w:rsidRPr="00C42160">
        <w:t>Study MT103-208</w:t>
      </w:r>
      <w:r w:rsidR="00713407">
        <w:t xml:space="preserve">. </w:t>
      </w:r>
      <w:r w:rsidRPr="00C42160">
        <w:t xml:space="preserve"> Safety data includes all 25 subjects in the FAS (up to cut-off date of 10</w:t>
      </w:r>
      <w:r w:rsidR="00713407">
        <w:t> </w:t>
      </w:r>
      <w:r w:rsidRPr="00C42160">
        <w:t>July 2014).</w:t>
      </w:r>
    </w:p>
    <w:p w14:paraId="04E60247" w14:textId="77777777" w:rsidR="005A6B26" w:rsidRDefault="005A6B26" w:rsidP="00296192">
      <w:pPr>
        <w:pStyle w:val="Heading6"/>
      </w:pPr>
      <w:r>
        <w:t>Studies that assessed safety as the sole primary outcome</w:t>
      </w:r>
    </w:p>
    <w:p w14:paraId="06F21924" w14:textId="77777777" w:rsidR="00601129" w:rsidRPr="00C42160" w:rsidRDefault="005A6B26" w:rsidP="00296192">
      <w:r w:rsidRPr="00C42160">
        <w:t>Not applicable.</w:t>
      </w:r>
    </w:p>
    <w:p w14:paraId="10BB282A" w14:textId="77777777" w:rsidR="00605AD4" w:rsidRDefault="00605AD4" w:rsidP="00296192">
      <w:pPr>
        <w:pStyle w:val="Heading4"/>
      </w:pPr>
      <w:r w:rsidRPr="00605AD4">
        <w:lastRenderedPageBreak/>
        <w:t>Patient exposure</w:t>
      </w:r>
    </w:p>
    <w:p w14:paraId="77007B91" w14:textId="089B16FE" w:rsidR="009F04F8" w:rsidRDefault="007F2EB3" w:rsidP="009F04F8">
      <w:pPr>
        <w:tabs>
          <w:tab w:val="left" w:pos="567"/>
        </w:tabs>
      </w:pPr>
      <w:r w:rsidRPr="007F2EB3">
        <w:t xml:space="preserve">Across all studies in these analyses (ALL pooled population), the incidence of treatment interruption due to a treatment emergent adverse event (TEAE) was approximately 30%, ranging from 18% for the paediatric relapsed/refractory ALL studies to approximately 36% for the adult Philadelphia chromosome-positive relapsed/refractory ALL studies, and the incidence of </w:t>
      </w:r>
      <w:proofErr w:type="spellStart"/>
      <w:r w:rsidRPr="007F2EB3">
        <w:t>blinatumomab</w:t>
      </w:r>
      <w:proofErr w:type="spellEnd"/>
      <w:r w:rsidRPr="007F2EB3">
        <w:t xml:space="preserve"> discontinuation due to a TEAE was 14.5%, ranging from 6.7% for the adult Philadelphia chromosome-positive relapsed/refractory ALL studies to 16.8% for the a</w:t>
      </w:r>
      <w:r w:rsidR="009F04F8">
        <w:t>dult MRD- positive ALL studies.</w:t>
      </w:r>
    </w:p>
    <w:p w14:paraId="68915F3C" w14:textId="77777777" w:rsidR="009F04F8" w:rsidRDefault="007F2EB3" w:rsidP="009F04F8">
      <w:pPr>
        <w:tabs>
          <w:tab w:val="left" w:pos="567"/>
        </w:tabs>
      </w:pPr>
      <w:r w:rsidRPr="007F2EB3">
        <w:t>In Study MT103-208 the treatment duration was up to 8 weeks in length for Cycle 1, up to 4 weeks for Cycle 2,</w:t>
      </w:r>
      <w:r w:rsidR="009F04F8">
        <w:t xml:space="preserve"> and up to 8 weeks retreatment.</w:t>
      </w:r>
    </w:p>
    <w:p w14:paraId="2BFF80DA" w14:textId="6A27F506" w:rsidR="007F2EB3" w:rsidRPr="007F2EB3" w:rsidRDefault="007F2EB3" w:rsidP="009F04F8">
      <w:pPr>
        <w:tabs>
          <w:tab w:val="left" w:pos="567"/>
        </w:tabs>
      </w:pPr>
      <w:r w:rsidRPr="007F2EB3">
        <w:t xml:space="preserve">For Cycle 1, a total of 25 subjects (100%; 25/25) received at least 1 infusion of </w:t>
      </w:r>
      <w:proofErr w:type="spellStart"/>
      <w:r w:rsidRPr="007F2EB3">
        <w:t>blinatumomab</w:t>
      </w:r>
      <w:proofErr w:type="spellEnd"/>
      <w:r w:rsidRPr="007F2EB3">
        <w:t>. Twenty-three subjects initiated the dose-escalation regimen of 9/28/112</w:t>
      </w:r>
      <w:r w:rsidR="00713407">
        <w:t> </w:t>
      </w:r>
      <w:r w:rsidRPr="007F2EB3">
        <w:t xml:space="preserve">µg/day </w:t>
      </w:r>
      <w:proofErr w:type="spellStart"/>
      <w:r w:rsidRPr="007F2EB3">
        <w:t>blinatumomab</w:t>
      </w:r>
      <w:proofErr w:type="spellEnd"/>
      <w:r w:rsidRPr="007F2EB3">
        <w:t xml:space="preserve"> (Cohorts 1 and 3) and 2 subjects initiated a constant dose regimen of 112 µg/day </w:t>
      </w:r>
      <w:proofErr w:type="spellStart"/>
      <w:r w:rsidRPr="007F2EB3">
        <w:t>blinatumomab</w:t>
      </w:r>
      <w:proofErr w:type="spellEnd"/>
      <w:r w:rsidRPr="007F2EB3">
        <w:t xml:space="preserve"> (Cohort 2). A total of 12 subjects (48%; 12/25) completed </w:t>
      </w:r>
      <w:r w:rsidR="00713407">
        <w:t>Cycle</w:t>
      </w:r>
      <w:r w:rsidRPr="007F2EB3">
        <w:t xml:space="preserve"> 1 (11 subjects in Cohorts 1 and</w:t>
      </w:r>
      <w:r w:rsidR="009F04F8">
        <w:t xml:space="preserve"> </w:t>
      </w:r>
      <w:r w:rsidRPr="007F2EB3">
        <w:t>3; 1 subject in Cohort 2). For Cycle</w:t>
      </w:r>
      <w:r w:rsidR="00713407">
        <w:t> </w:t>
      </w:r>
      <w:r w:rsidRPr="007F2EB3">
        <w:t xml:space="preserve">2, 8 subjects (32%; 8/25) were treated with the dose escalation regimen of </w:t>
      </w:r>
      <w:proofErr w:type="spellStart"/>
      <w:r w:rsidRPr="007F2EB3">
        <w:t>blinatumomab</w:t>
      </w:r>
      <w:proofErr w:type="spellEnd"/>
      <w:r w:rsidRPr="007F2EB3">
        <w:t>, and 5 subjects (20%; 5/25) completed this cycle.</w:t>
      </w:r>
    </w:p>
    <w:p w14:paraId="03FEEEEF" w14:textId="77777777" w:rsidR="00605AD4" w:rsidRDefault="00605AD4" w:rsidP="009F04F8">
      <w:pPr>
        <w:pStyle w:val="Heading4"/>
      </w:pPr>
      <w:r w:rsidRPr="00605AD4">
        <w:t>Safety issues with the potential for major regulatory impact</w:t>
      </w:r>
    </w:p>
    <w:p w14:paraId="2E2108B5" w14:textId="775739D7" w:rsidR="00307CB3" w:rsidRPr="00307CB3" w:rsidRDefault="00307CB3" w:rsidP="009302FA">
      <w:r>
        <w:t>Table 5, shown below, provides a summary of the AEs of special interest across studies included in this submission.</w:t>
      </w:r>
    </w:p>
    <w:p w14:paraId="66210217" w14:textId="77777777" w:rsidR="0040595E" w:rsidRDefault="008C3197" w:rsidP="00307CB3">
      <w:pPr>
        <w:pStyle w:val="TableTitle"/>
      </w:pPr>
      <w:r>
        <w:lastRenderedPageBreak/>
        <w:t>Table 5</w:t>
      </w:r>
      <w:r w:rsidR="0040595E">
        <w:t xml:space="preserve">: </w:t>
      </w:r>
      <w:r w:rsidR="00912C22" w:rsidRPr="00457EB3">
        <w:t xml:space="preserve">Summary of AEs of special interest by study/indication for </w:t>
      </w:r>
      <w:proofErr w:type="spellStart"/>
      <w:r w:rsidR="00912C22" w:rsidRPr="00457EB3">
        <w:t>blinatumomab</w:t>
      </w:r>
      <w:proofErr w:type="spellEnd"/>
      <w:r w:rsidR="00912C22" w:rsidRPr="00457EB3">
        <w:t xml:space="preserve"> ALL studies (Safety analysis sets</w:t>
      </w:r>
      <w:r w:rsidR="00912C22">
        <w:t>)</w:t>
      </w:r>
    </w:p>
    <w:p w14:paraId="1B5A2032" w14:textId="77777777" w:rsidR="0040595E" w:rsidRDefault="0040595E" w:rsidP="00307CB3">
      <w:r w:rsidRPr="00EE50C4">
        <w:rPr>
          <w:noProof/>
          <w:lang w:eastAsia="en-AU"/>
        </w:rPr>
        <w:drawing>
          <wp:inline distT="0" distB="0" distL="0" distR="0" wp14:anchorId="13B29620" wp14:editId="4535F3A9">
            <wp:extent cx="5400040" cy="5644657"/>
            <wp:effectExtent l="0" t="0" r="0" b="0"/>
            <wp:docPr id="11" name="Picture 11" descr="Summary of AEs of special interest by study/indication for blinatumomab ALL studies (Safety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5644657"/>
                    </a:xfrm>
                    <a:prstGeom prst="rect">
                      <a:avLst/>
                    </a:prstGeom>
                  </pic:spPr>
                </pic:pic>
              </a:graphicData>
            </a:graphic>
          </wp:inline>
        </w:drawing>
      </w:r>
    </w:p>
    <w:p w14:paraId="6B91F0F5" w14:textId="1707DC95" w:rsidR="0040595E" w:rsidRDefault="008C3197" w:rsidP="009302FA">
      <w:pPr>
        <w:pStyle w:val="TableTitle"/>
      </w:pPr>
      <w:r>
        <w:lastRenderedPageBreak/>
        <w:t>Table 5</w:t>
      </w:r>
      <w:r w:rsidR="000B38D2">
        <w:t xml:space="preserve"> </w:t>
      </w:r>
      <w:r w:rsidR="0040595E">
        <w:t xml:space="preserve">(continued): </w:t>
      </w:r>
      <w:r w:rsidR="0040595E" w:rsidRPr="00457EB3">
        <w:t xml:space="preserve">Summary of AEs of special interest by study/indication for </w:t>
      </w:r>
      <w:proofErr w:type="spellStart"/>
      <w:r w:rsidR="0040595E" w:rsidRPr="00457EB3">
        <w:t>blinatumomab</w:t>
      </w:r>
      <w:proofErr w:type="spellEnd"/>
      <w:r w:rsidR="0040595E" w:rsidRPr="00457EB3">
        <w:t xml:space="preserve"> ALL studies (Safety analysis sets</w:t>
      </w:r>
      <w:r w:rsidR="0040595E">
        <w:t>)</w:t>
      </w:r>
    </w:p>
    <w:p w14:paraId="1F6D20F0" w14:textId="63707B20" w:rsidR="00DC28EA" w:rsidRPr="002B425D" w:rsidRDefault="00DC28EA" w:rsidP="009302FA">
      <w:r w:rsidRPr="00090CBC">
        <w:rPr>
          <w:noProof/>
          <w:lang w:eastAsia="en-AU"/>
        </w:rPr>
        <w:drawing>
          <wp:inline distT="0" distB="0" distL="0" distR="0" wp14:anchorId="41D1706A" wp14:editId="1AD25A11">
            <wp:extent cx="5020508" cy="7724775"/>
            <wp:effectExtent l="0" t="0" r="8890" b="0"/>
            <wp:docPr id="22" name="Picture 22" descr="Summary of AEs of special interest by study/indication for blinatumomab ALL studies (Safety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20508" cy="7724775"/>
                    </a:xfrm>
                    <a:prstGeom prst="rect">
                      <a:avLst/>
                    </a:prstGeom>
                  </pic:spPr>
                </pic:pic>
              </a:graphicData>
            </a:graphic>
          </wp:inline>
        </w:drawing>
      </w:r>
    </w:p>
    <w:p w14:paraId="3895688F" w14:textId="35229142" w:rsidR="0040595E" w:rsidRPr="00DC28EA" w:rsidRDefault="008C3197" w:rsidP="009302FA">
      <w:pPr>
        <w:pStyle w:val="TableTitle"/>
      </w:pPr>
      <w:r>
        <w:lastRenderedPageBreak/>
        <w:t>Table 5</w:t>
      </w:r>
      <w:r w:rsidR="000B38D2">
        <w:t xml:space="preserve"> </w:t>
      </w:r>
      <w:r w:rsidR="0040595E" w:rsidRPr="00DC28EA">
        <w:t xml:space="preserve">(continued): Summary of AEs of special interest by study/indication for </w:t>
      </w:r>
      <w:proofErr w:type="spellStart"/>
      <w:r w:rsidR="0040595E" w:rsidRPr="00DC28EA">
        <w:t>blinatumomab</w:t>
      </w:r>
      <w:proofErr w:type="spellEnd"/>
      <w:r w:rsidR="0040595E" w:rsidRPr="00DC28EA">
        <w:t xml:space="preserve"> ALL studies (Safety analysis sets)</w:t>
      </w:r>
    </w:p>
    <w:p w14:paraId="56D919D4" w14:textId="77777777" w:rsidR="0040595E" w:rsidRDefault="00DC28EA" w:rsidP="009302FA">
      <w:r w:rsidRPr="00EE50C4">
        <w:rPr>
          <w:noProof/>
          <w:lang w:eastAsia="en-AU"/>
        </w:rPr>
        <w:drawing>
          <wp:inline distT="0" distB="0" distL="0" distR="0" wp14:anchorId="12D60390" wp14:editId="3753666F">
            <wp:extent cx="4961819" cy="7620000"/>
            <wp:effectExtent l="0" t="0" r="0" b="0"/>
            <wp:docPr id="21" name="Picture 21" descr=" Summary of AEs of special interest by study/indication for blinatumomab ALL studies (Safety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961819" cy="7620000"/>
                    </a:xfrm>
                    <a:prstGeom prst="rect">
                      <a:avLst/>
                    </a:prstGeom>
                  </pic:spPr>
                </pic:pic>
              </a:graphicData>
            </a:graphic>
          </wp:inline>
        </w:drawing>
      </w:r>
    </w:p>
    <w:p w14:paraId="61C0B8B9" w14:textId="77777777" w:rsidR="0040595E" w:rsidRDefault="008C3197" w:rsidP="009302FA">
      <w:pPr>
        <w:pStyle w:val="TableTitle"/>
      </w:pPr>
      <w:r>
        <w:lastRenderedPageBreak/>
        <w:t xml:space="preserve">Table 5 </w:t>
      </w:r>
      <w:r w:rsidR="0040595E">
        <w:t xml:space="preserve">(continued): </w:t>
      </w:r>
      <w:r w:rsidR="0040595E" w:rsidRPr="00457EB3">
        <w:t xml:space="preserve">Summary of AEs of special interest by study/indication for </w:t>
      </w:r>
      <w:proofErr w:type="spellStart"/>
      <w:r w:rsidR="0040595E" w:rsidRPr="00457EB3">
        <w:t>blinatumomab</w:t>
      </w:r>
      <w:proofErr w:type="spellEnd"/>
      <w:r w:rsidR="0040595E" w:rsidRPr="00457EB3">
        <w:t xml:space="preserve"> ALL studies (Safety analysis sets</w:t>
      </w:r>
      <w:r w:rsidR="0040595E">
        <w:t>)</w:t>
      </w:r>
    </w:p>
    <w:p w14:paraId="397B81D3" w14:textId="77777777" w:rsidR="0040595E" w:rsidRPr="002B425D" w:rsidRDefault="00DC28EA" w:rsidP="009302FA">
      <w:r w:rsidRPr="00EE50C4">
        <w:rPr>
          <w:noProof/>
          <w:lang w:eastAsia="en-AU"/>
        </w:rPr>
        <w:drawing>
          <wp:inline distT="0" distB="0" distL="0" distR="0" wp14:anchorId="158D6FDE" wp14:editId="6E094C52">
            <wp:extent cx="5400040" cy="7503213"/>
            <wp:effectExtent l="0" t="0" r="0" b="2540"/>
            <wp:docPr id="20" name="Picture 20" descr="Summary of AEs of special interest by study/indication for blinatumomab ALL studies (Safety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7503213"/>
                    </a:xfrm>
                    <a:prstGeom prst="rect">
                      <a:avLst/>
                    </a:prstGeom>
                  </pic:spPr>
                </pic:pic>
              </a:graphicData>
            </a:graphic>
          </wp:inline>
        </w:drawing>
      </w:r>
    </w:p>
    <w:p w14:paraId="4C59CD8F" w14:textId="77777777" w:rsidR="00912C22" w:rsidRDefault="00912C22" w:rsidP="00C61A78">
      <w:pPr>
        <w:pStyle w:val="Heading4"/>
      </w:pPr>
      <w:bookmarkStart w:id="73" w:name="8.5._Evaluation_of_issues_with_possible_"/>
      <w:bookmarkStart w:id="74" w:name="_bookmark151"/>
      <w:bookmarkEnd w:id="73"/>
      <w:bookmarkEnd w:id="74"/>
      <w:r>
        <w:t>Evaluation of issues with possible regulatory</w:t>
      </w:r>
      <w:r>
        <w:rPr>
          <w:spacing w:val="-9"/>
        </w:rPr>
        <w:t xml:space="preserve"> </w:t>
      </w:r>
      <w:r>
        <w:t>impact</w:t>
      </w:r>
    </w:p>
    <w:p w14:paraId="2C2FB8D9" w14:textId="77777777" w:rsidR="00912C22" w:rsidRDefault="00912C22" w:rsidP="00C61A78">
      <w:pPr>
        <w:pStyle w:val="Heading5"/>
      </w:pPr>
      <w:bookmarkStart w:id="75" w:name="8.5.1._Liver_function_and_liver_toxicity"/>
      <w:bookmarkEnd w:id="75"/>
      <w:r>
        <w:t>Liver function and liver</w:t>
      </w:r>
      <w:r>
        <w:rPr>
          <w:spacing w:val="-2"/>
        </w:rPr>
        <w:t xml:space="preserve"> </w:t>
      </w:r>
      <w:r>
        <w:t>toxicity</w:t>
      </w:r>
    </w:p>
    <w:p w14:paraId="3DD324C3" w14:textId="40C28E8F" w:rsidR="00912C22" w:rsidRPr="00912C22" w:rsidRDefault="00912C22" w:rsidP="00C61A78">
      <w:r w:rsidRPr="00912C22">
        <w:t xml:space="preserve">See </w:t>
      </w:r>
      <w:r w:rsidR="008C3197">
        <w:t>T</w:t>
      </w:r>
      <w:r w:rsidRPr="00912C22">
        <w:t xml:space="preserve">able </w:t>
      </w:r>
      <w:r w:rsidR="008C3197">
        <w:t xml:space="preserve">5 </w:t>
      </w:r>
      <w:r w:rsidRPr="00912C22">
        <w:t>above.</w:t>
      </w:r>
    </w:p>
    <w:p w14:paraId="68363510" w14:textId="295A90E6" w:rsidR="00912C22" w:rsidRPr="00912C22" w:rsidRDefault="00912C22" w:rsidP="00C61A78">
      <w:r w:rsidRPr="00912C22">
        <w:lastRenderedPageBreak/>
        <w:t xml:space="preserve">In Study 00103311 the rates of elevated liver enzymes were similar between treatment arms (24.8% for subjects who received SOC chemotherapy and 21.7 for subjects who received </w:t>
      </w:r>
      <w:proofErr w:type="spellStart"/>
      <w:r w:rsidRPr="00912C22">
        <w:t>blinatumomab</w:t>
      </w:r>
      <w:proofErr w:type="spellEnd"/>
      <w:r w:rsidRPr="00912C22">
        <w:t xml:space="preserve">); </w:t>
      </w:r>
      <w:r w:rsidR="002F7609" w:rsidRPr="00912C22">
        <w:t>however,</w:t>
      </w:r>
      <w:r w:rsidRPr="00912C22">
        <w:t xml:space="preserve"> the exposure adjusted event rates per 100 subject years were approximately 3 times higher for subjects who received SOC chemotherapy compared with subjects who received </w:t>
      </w:r>
      <w:proofErr w:type="spellStart"/>
      <w:r w:rsidRPr="00912C22">
        <w:t>blinatumomab</w:t>
      </w:r>
      <w:proofErr w:type="spellEnd"/>
      <w:r w:rsidRPr="00912C22">
        <w:t xml:space="preserve"> (689.2 versus 197.8).</w:t>
      </w:r>
    </w:p>
    <w:p w14:paraId="029E9A0E" w14:textId="77777777" w:rsidR="00912C22" w:rsidRPr="00912C22" w:rsidRDefault="00912C22" w:rsidP="00C61A78">
      <w:r w:rsidRPr="00912C22">
        <w:t xml:space="preserve">The types and frequencies of elevated liver enzyme events observed for adult subjects who received </w:t>
      </w:r>
      <w:proofErr w:type="spellStart"/>
      <w:r w:rsidRPr="00912C22">
        <w:t>blinatumomab</w:t>
      </w:r>
      <w:proofErr w:type="spellEnd"/>
      <w:r w:rsidRPr="00912C22">
        <w:t xml:space="preserve"> in Study 00103311 were consistent with those observed for adult subjects with </w:t>
      </w:r>
      <w:proofErr w:type="spellStart"/>
      <w:r w:rsidRPr="00912C22">
        <w:t>Ph</w:t>
      </w:r>
      <w:proofErr w:type="spellEnd"/>
      <w:r w:rsidRPr="00912C22">
        <w:t>- R/R ALL, and those events reported in the original marketing application.</w:t>
      </w:r>
    </w:p>
    <w:p w14:paraId="1988CC80" w14:textId="77777777" w:rsidR="00912C22" w:rsidRPr="00912C22" w:rsidRDefault="00912C22" w:rsidP="00C61A78">
      <w:r w:rsidRPr="00912C22">
        <w:t xml:space="preserve">Subjects with </w:t>
      </w:r>
      <w:proofErr w:type="spellStart"/>
      <w:r w:rsidRPr="00912C22">
        <w:t>Ph</w:t>
      </w:r>
      <w:proofErr w:type="spellEnd"/>
      <w:r w:rsidRPr="00912C22">
        <w:t xml:space="preserve">+ R/R ALL had a more than 5% lower rate of elevated liver enzyme events (17.8%) compared to subjects with </w:t>
      </w:r>
      <w:proofErr w:type="spellStart"/>
      <w:r w:rsidRPr="00912C22">
        <w:t>Ph</w:t>
      </w:r>
      <w:proofErr w:type="spellEnd"/>
      <w:r w:rsidRPr="00912C22">
        <w:t xml:space="preserve">- R/R ALL (22.9%). There was no evidence to suggest that subjects with </w:t>
      </w:r>
      <w:proofErr w:type="spellStart"/>
      <w:r w:rsidRPr="00912C22">
        <w:t>Ph</w:t>
      </w:r>
      <w:proofErr w:type="spellEnd"/>
      <w:r w:rsidRPr="00912C22">
        <w:t xml:space="preserve">+ ALL had a higher risk of experiencing events suggestive of elevated liver enzymes compared with subjects with </w:t>
      </w:r>
      <w:proofErr w:type="spellStart"/>
      <w:r w:rsidRPr="00912C22">
        <w:t>Ph</w:t>
      </w:r>
      <w:proofErr w:type="spellEnd"/>
      <w:r w:rsidRPr="00912C22">
        <w:t>- R/R ALL.</w:t>
      </w:r>
    </w:p>
    <w:p w14:paraId="301A13EF" w14:textId="50E544A0" w:rsidR="00912C22" w:rsidRPr="00912C22" w:rsidRDefault="00912C22" w:rsidP="00C61A78">
      <w:r w:rsidRPr="00912C22">
        <w:t xml:space="preserve">For the adult MRD positive ALL population, hepatotoxicity events (drug-related hepatic disorders) were reported for 16.8% of subjects, which was lower than the subject incidence in the adult R/R </w:t>
      </w:r>
      <w:proofErr w:type="spellStart"/>
      <w:r w:rsidRPr="00912C22">
        <w:t>Ph</w:t>
      </w:r>
      <w:proofErr w:type="spellEnd"/>
      <w:r w:rsidRPr="00912C22">
        <w:t xml:space="preserve">- ALL population (29.0%) and the total R/R ALL population (29.5%). Serious hepatotoxicity events (5.1% </w:t>
      </w:r>
      <w:r w:rsidR="00713407">
        <w:t>versus</w:t>
      </w:r>
      <w:r w:rsidRPr="00912C22">
        <w:t xml:space="preserve"> 2.1% and 2.1% of subjects) and grade ≥ 4 hepatotoxicity events (5.1% </w:t>
      </w:r>
      <w:r w:rsidR="00713407">
        <w:t>versus</w:t>
      </w:r>
      <w:r w:rsidRPr="00912C22">
        <w:t xml:space="preserve"> 3.0% and 3.8% of subjects) were similar between the MRD-positive ALL population and the adult R/R </w:t>
      </w:r>
      <w:proofErr w:type="spellStart"/>
      <w:r w:rsidRPr="00912C22">
        <w:t>Ph</w:t>
      </w:r>
      <w:proofErr w:type="spellEnd"/>
      <w:r w:rsidRPr="00912C22">
        <w:t>- and total R/R ALL populations. No fatal hepatotoxicity events were reported in any ALL population.</w:t>
      </w:r>
    </w:p>
    <w:p w14:paraId="737B829A" w14:textId="77777777" w:rsidR="00912C22" w:rsidRDefault="00912C22" w:rsidP="00C61A78">
      <w:pPr>
        <w:pStyle w:val="Heading5"/>
      </w:pPr>
      <w:bookmarkStart w:id="76" w:name="8.5.2._Renal_function_and_renal_toxicity"/>
      <w:bookmarkEnd w:id="76"/>
      <w:r>
        <w:t>Renal function and renal</w:t>
      </w:r>
      <w:r>
        <w:rPr>
          <w:spacing w:val="-8"/>
        </w:rPr>
        <w:t xml:space="preserve"> </w:t>
      </w:r>
      <w:r>
        <w:t>toxicity</w:t>
      </w:r>
    </w:p>
    <w:p w14:paraId="644E326C" w14:textId="3B3014C9" w:rsidR="00912C22" w:rsidRPr="00912C22" w:rsidRDefault="00912C22" w:rsidP="00C61A78">
      <w:r w:rsidRPr="00912C22">
        <w:t xml:space="preserve">No new safety signal was observed with respect to renal function. An analysis of nephrotoxicity revealed the types of events suggestive of potential nephrotoxicity observed across the </w:t>
      </w:r>
      <w:proofErr w:type="spellStart"/>
      <w:r w:rsidRPr="00912C22">
        <w:t>blinatumomab</w:t>
      </w:r>
      <w:proofErr w:type="spellEnd"/>
      <w:r w:rsidRPr="00912C22">
        <w:t xml:space="preserve"> ALL studies were consistent with those events reported in the original</w:t>
      </w:r>
      <w:r w:rsidR="00093C1B">
        <w:t xml:space="preserve"> </w:t>
      </w:r>
      <w:r w:rsidRPr="00912C22">
        <w:t>marketing application.</w:t>
      </w:r>
    </w:p>
    <w:p w14:paraId="26F14967" w14:textId="77777777" w:rsidR="00912C22" w:rsidRPr="00912C22" w:rsidRDefault="00912C22" w:rsidP="00C61A78">
      <w:r w:rsidRPr="00912C22">
        <w:t xml:space="preserve">There was no evidence to suggest that adult subjects with </w:t>
      </w:r>
      <w:proofErr w:type="spellStart"/>
      <w:r w:rsidRPr="00912C22">
        <w:t>Ph</w:t>
      </w:r>
      <w:proofErr w:type="spellEnd"/>
      <w:r w:rsidRPr="00912C22">
        <w:t xml:space="preserve">+ R/R ALL were at an increased risk of experiencing events suggestive of nephrotoxicity than adult subjects with </w:t>
      </w:r>
      <w:proofErr w:type="spellStart"/>
      <w:r w:rsidRPr="00912C22">
        <w:t>Ph</w:t>
      </w:r>
      <w:proofErr w:type="spellEnd"/>
      <w:r w:rsidRPr="00912C22">
        <w:t xml:space="preserve">- R/R ALL, even though baseline renal function was worse for subjects with </w:t>
      </w:r>
      <w:proofErr w:type="spellStart"/>
      <w:r w:rsidRPr="00912C22">
        <w:t>Ph</w:t>
      </w:r>
      <w:proofErr w:type="spellEnd"/>
      <w:r w:rsidRPr="00912C22">
        <w:t>+ R/R ALL.</w:t>
      </w:r>
    </w:p>
    <w:p w14:paraId="1199CB0A" w14:textId="77777777" w:rsidR="00912C22" w:rsidRPr="00912C22" w:rsidRDefault="00912C22" w:rsidP="00C61A78">
      <w:r w:rsidRPr="00912C22">
        <w:t xml:space="preserve">There was no evidence of an increased risk of events suggestive of nephrotoxicity (acute renal failure) for the adult MRD positive ALL population compared with the adult R/R </w:t>
      </w:r>
      <w:proofErr w:type="spellStart"/>
      <w:r w:rsidRPr="00912C22">
        <w:t>Ph</w:t>
      </w:r>
      <w:proofErr w:type="spellEnd"/>
      <w:r w:rsidRPr="00912C22">
        <w:t>- and total R/R ALL populations.</w:t>
      </w:r>
    </w:p>
    <w:p w14:paraId="540EF135" w14:textId="77777777" w:rsidR="00912C22" w:rsidRDefault="00912C22" w:rsidP="00C61A78">
      <w:pPr>
        <w:pStyle w:val="Heading5"/>
      </w:pPr>
      <w:bookmarkStart w:id="77" w:name="8.5.3._Immunogenicity_and_immunological_"/>
      <w:bookmarkEnd w:id="77"/>
      <w:r>
        <w:t>Immunogenicity and immunological</w:t>
      </w:r>
      <w:r>
        <w:rPr>
          <w:spacing w:val="-9"/>
        </w:rPr>
        <w:t xml:space="preserve"> </w:t>
      </w:r>
      <w:r>
        <w:t>events</w:t>
      </w:r>
    </w:p>
    <w:p w14:paraId="5C486F65" w14:textId="77777777" w:rsidR="00912C22" w:rsidRPr="00912C22" w:rsidRDefault="00912C22" w:rsidP="00C61A78">
      <w:r w:rsidRPr="00912C22">
        <w:t xml:space="preserve">To date, development of </w:t>
      </w:r>
      <w:r w:rsidR="00031B12">
        <w:t>antidrug antibodies</w:t>
      </w:r>
      <w:r w:rsidR="00031B12" w:rsidRPr="00912C22">
        <w:t xml:space="preserve"> </w:t>
      </w:r>
      <w:r w:rsidR="00031B12">
        <w:t>(</w:t>
      </w:r>
      <w:r w:rsidRPr="00912C22">
        <w:t>ADAs</w:t>
      </w:r>
      <w:r w:rsidR="00031B12">
        <w:t>)</w:t>
      </w:r>
      <w:r w:rsidRPr="00912C22">
        <w:t xml:space="preserve"> has been detected in 9 subjects across the </w:t>
      </w:r>
      <w:proofErr w:type="spellStart"/>
      <w:r w:rsidRPr="00912C22">
        <w:t>blinatumomab</w:t>
      </w:r>
      <w:proofErr w:type="spellEnd"/>
      <w:r w:rsidRPr="00912C22">
        <w:t xml:space="preserve"> ALL studies. Of these 9 subjects, 7 subjects were identified with ADAs that had in-vitro neutralising activity. </w:t>
      </w:r>
      <w:proofErr w:type="spellStart"/>
      <w:r w:rsidRPr="00912C22">
        <w:t>Blinatumomab</w:t>
      </w:r>
      <w:proofErr w:type="spellEnd"/>
      <w:r w:rsidRPr="00912C22">
        <w:t xml:space="preserve"> serum concentration levels in 2 out of 9 subjects were reduced. Among the 9 cases, 7 subjects achieved clinical response (CR/</w:t>
      </w:r>
      <w:proofErr w:type="spellStart"/>
      <w:r w:rsidRPr="00912C22">
        <w:t>CRh</w:t>
      </w:r>
      <w:proofErr w:type="spellEnd"/>
      <w:r w:rsidRPr="00912C22">
        <w:t>*) as defined in the respective protocols.</w:t>
      </w:r>
    </w:p>
    <w:p w14:paraId="61E65A2B" w14:textId="77777777" w:rsidR="00912C22" w:rsidRPr="00912C22" w:rsidRDefault="00912C22" w:rsidP="00C61A78">
      <w:r w:rsidRPr="00912C22">
        <w:t xml:space="preserve">The impact of immunogenicity on safety was evaluated through medical review and assessment of the type and severity of AEs, potential infusion reactions, and number of doses received while on study for </w:t>
      </w:r>
      <w:proofErr w:type="spellStart"/>
      <w:r w:rsidRPr="00912C22">
        <w:t>blinatumomab</w:t>
      </w:r>
      <w:proofErr w:type="spellEnd"/>
      <w:r w:rsidRPr="00912C22">
        <w:t xml:space="preserve"> treated antibody positive subjects. In those assessments, no evidence of an altered safety profile was observed for subjects who tested positive for anti- </w:t>
      </w:r>
      <w:proofErr w:type="spellStart"/>
      <w:r w:rsidRPr="00912C22">
        <w:t>blinatumomab</w:t>
      </w:r>
      <w:proofErr w:type="spellEnd"/>
      <w:r w:rsidRPr="00912C22">
        <w:t xml:space="preserve"> antibodies, which was consistent with the original marketing application.</w:t>
      </w:r>
    </w:p>
    <w:p w14:paraId="5D1E13B6" w14:textId="77777777" w:rsidR="00912C22" w:rsidRDefault="00912C22" w:rsidP="00296192">
      <w:pPr>
        <w:pStyle w:val="Heading5"/>
      </w:pPr>
      <w:bookmarkStart w:id="78" w:name="8.5.4._Medication_error"/>
      <w:bookmarkEnd w:id="78"/>
      <w:r>
        <w:t>Medication</w:t>
      </w:r>
      <w:r>
        <w:rPr>
          <w:spacing w:val="-1"/>
        </w:rPr>
        <w:t xml:space="preserve"> </w:t>
      </w:r>
      <w:r>
        <w:t>error</w:t>
      </w:r>
    </w:p>
    <w:p w14:paraId="65E72321" w14:textId="39352608" w:rsidR="00912C22" w:rsidRPr="00912C22" w:rsidRDefault="00912C22" w:rsidP="00296192">
      <w:r w:rsidRPr="00912C22">
        <w:t xml:space="preserve">Given the </w:t>
      </w:r>
      <w:proofErr w:type="spellStart"/>
      <w:r w:rsidRPr="00912C22">
        <w:t>blinatumomab</w:t>
      </w:r>
      <w:proofErr w:type="spellEnd"/>
      <w:r w:rsidRPr="00912C22">
        <w:t xml:space="preserve"> preparation and administration as a </w:t>
      </w:r>
      <w:r w:rsidR="005B6383">
        <w:t>continuous intravenous infusion</w:t>
      </w:r>
      <w:r w:rsidR="005B6383" w:rsidRPr="00912C22">
        <w:t xml:space="preserve"> </w:t>
      </w:r>
      <w:r w:rsidR="005B6383">
        <w:t>(</w:t>
      </w:r>
      <w:proofErr w:type="spellStart"/>
      <w:r w:rsidRPr="00912C22">
        <w:t>cIV</w:t>
      </w:r>
      <w:proofErr w:type="spellEnd"/>
      <w:r w:rsidR="005B6383">
        <w:t>)</w:t>
      </w:r>
      <w:r w:rsidRPr="00912C22">
        <w:t xml:space="preserve"> over four weeks and the possibility that errors may occur during these steps, medication errors that may lead to an overdose or </w:t>
      </w:r>
      <w:proofErr w:type="spellStart"/>
      <w:r w:rsidRPr="00912C22">
        <w:t>underdose</w:t>
      </w:r>
      <w:proofErr w:type="spellEnd"/>
      <w:r w:rsidRPr="00912C22">
        <w:t xml:space="preserve"> of </w:t>
      </w:r>
      <w:proofErr w:type="spellStart"/>
      <w:r w:rsidRPr="00912C22">
        <w:t>blinatumomab</w:t>
      </w:r>
      <w:proofErr w:type="spellEnd"/>
      <w:r w:rsidRPr="00912C22">
        <w:t xml:space="preserve"> are </w:t>
      </w:r>
      <w:r w:rsidRPr="00912C22">
        <w:lastRenderedPageBreak/>
        <w:t xml:space="preserve">a possibility. Across the </w:t>
      </w:r>
      <w:proofErr w:type="spellStart"/>
      <w:r w:rsidRPr="00912C22">
        <w:t>blinatumomab</w:t>
      </w:r>
      <w:proofErr w:type="spellEnd"/>
      <w:r w:rsidRPr="00912C22">
        <w:t xml:space="preserve"> ALL studies, medication errors were reported for 3.9% of subjects, which was consistent with that reported in the original marketing application. The majority of medication errors involving </w:t>
      </w:r>
      <w:proofErr w:type="spellStart"/>
      <w:r w:rsidRPr="00912C22">
        <w:t>blinatumomab</w:t>
      </w:r>
      <w:proofErr w:type="spellEnd"/>
      <w:r w:rsidRPr="00912C22">
        <w:t xml:space="preserve"> did not result in other AEs.</w:t>
      </w:r>
    </w:p>
    <w:p w14:paraId="6F3B860C" w14:textId="77777777" w:rsidR="00912C22" w:rsidRDefault="00912C22" w:rsidP="00296192">
      <w:pPr>
        <w:pStyle w:val="Heading5"/>
      </w:pPr>
      <w:bookmarkStart w:id="79" w:name="8.5.5._Other_safety_parameters"/>
      <w:bookmarkEnd w:id="79"/>
      <w:r>
        <w:t>Other safety</w:t>
      </w:r>
      <w:r>
        <w:rPr>
          <w:spacing w:val="-6"/>
        </w:rPr>
        <w:t xml:space="preserve"> </w:t>
      </w:r>
      <w:r>
        <w:t>parameters</w:t>
      </w:r>
    </w:p>
    <w:p w14:paraId="59926B20" w14:textId="77777777" w:rsidR="00912C22" w:rsidRPr="00912C22" w:rsidRDefault="00912C22" w:rsidP="00296192">
      <w:r w:rsidRPr="00912C22">
        <w:t>No other new safety issues were identified.</w:t>
      </w:r>
    </w:p>
    <w:p w14:paraId="612492B3" w14:textId="77777777" w:rsidR="00013E99" w:rsidRDefault="00013E99" w:rsidP="00296192">
      <w:pPr>
        <w:pStyle w:val="Heading4"/>
      </w:pPr>
      <w:r>
        <w:t>Other safety</w:t>
      </w:r>
      <w:r>
        <w:rPr>
          <w:spacing w:val="-8"/>
        </w:rPr>
        <w:t xml:space="preserve"> </w:t>
      </w:r>
      <w:r>
        <w:t>issues</w:t>
      </w:r>
    </w:p>
    <w:p w14:paraId="531CC254" w14:textId="77777777" w:rsidR="00013E99" w:rsidRDefault="00013E99" w:rsidP="00296192">
      <w:pPr>
        <w:pStyle w:val="Heading5"/>
      </w:pPr>
      <w:bookmarkStart w:id="80" w:name="8.6.1._Safety_in_special_populations"/>
      <w:bookmarkEnd w:id="80"/>
      <w:r>
        <w:t>Safety in special</w:t>
      </w:r>
      <w:r>
        <w:rPr>
          <w:spacing w:val="-6"/>
        </w:rPr>
        <w:t xml:space="preserve"> </w:t>
      </w:r>
      <w:r>
        <w:t>populations</w:t>
      </w:r>
    </w:p>
    <w:p w14:paraId="11580089" w14:textId="0977FC17" w:rsidR="00013E99" w:rsidRPr="00013E99" w:rsidRDefault="00013E99" w:rsidP="00296192">
      <w:r w:rsidRPr="00013E99">
        <w:t>Summaries of adverse events were examined by pre</w:t>
      </w:r>
      <w:r w:rsidR="002F7609">
        <w:t>-</w:t>
      </w:r>
      <w:r w:rsidRPr="00013E99">
        <w:t>specified baseline factors, including demographic and disease related characteristics.</w:t>
      </w:r>
    </w:p>
    <w:p w14:paraId="78195072" w14:textId="27371618" w:rsidR="00013E99" w:rsidRDefault="00013E99" w:rsidP="00296192">
      <w:r w:rsidRPr="00013E99">
        <w:t xml:space="preserve">For all R/R ALL pooled population, subgroup analyses of AEs (including grade ≥ 3, serious, fatal, and those events leading to treatment discontinuation and interruption) were performed by age (≥ 18 to </w:t>
      </w:r>
      <w:r w:rsidR="00093C1B">
        <w:t xml:space="preserve">&lt; </w:t>
      </w:r>
      <w:r w:rsidRPr="00013E99">
        <w:t xml:space="preserve">35 years, ≥ 35 to </w:t>
      </w:r>
      <w:r w:rsidR="00093C1B">
        <w:t xml:space="preserve">&lt; </w:t>
      </w:r>
      <w:r w:rsidRPr="00013E99">
        <w:t xml:space="preserve">55 years, ≥ 55 to </w:t>
      </w:r>
      <w:r w:rsidR="00093C1B">
        <w:t xml:space="preserve">&lt; </w:t>
      </w:r>
      <w:r w:rsidRPr="00013E99">
        <w:t>65 years, ≥</w:t>
      </w:r>
      <w:r w:rsidR="00307CB3">
        <w:t> </w:t>
      </w:r>
      <w:r w:rsidRPr="00013E99">
        <w:t>65</w:t>
      </w:r>
      <w:r w:rsidR="00307CB3">
        <w:t> </w:t>
      </w:r>
      <w:r w:rsidRPr="00013E99">
        <w:t xml:space="preserve">years), gender, race, region, </w:t>
      </w:r>
      <w:r w:rsidR="005B6383">
        <w:t>Eastern Cooperative Oncology Group</w:t>
      </w:r>
      <w:r w:rsidR="005B6383" w:rsidRPr="00013E99">
        <w:t xml:space="preserve"> </w:t>
      </w:r>
      <w:r w:rsidR="005B6383">
        <w:t>(</w:t>
      </w:r>
      <w:r w:rsidRPr="00013E99">
        <w:t>ECOG</w:t>
      </w:r>
      <w:r w:rsidR="005B6383">
        <w:t>)</w:t>
      </w:r>
      <w:r w:rsidRPr="00013E99">
        <w:t xml:space="preserve"> performance status, baseline platelets, and baseline renal function (assessed by creatinine clearance </w:t>
      </w:r>
      <w:r w:rsidR="00307CB3">
        <w:t>(</w:t>
      </w:r>
      <w:proofErr w:type="spellStart"/>
      <w:r w:rsidRPr="00013E99">
        <w:t>CrCL</w:t>
      </w:r>
      <w:proofErr w:type="spellEnd"/>
      <w:r w:rsidR="00307CB3">
        <w:t>)</w:t>
      </w:r>
      <w:r w:rsidRPr="00013E99">
        <w:t>). For these analyses, trends, when applicable, and differences were noted</w:t>
      </w:r>
      <w:r>
        <w:t>.</w:t>
      </w:r>
    </w:p>
    <w:p w14:paraId="7E302CF5" w14:textId="77777777" w:rsidR="00013E99" w:rsidRDefault="00013E99" w:rsidP="00296192">
      <w:pPr>
        <w:pStyle w:val="Heading5"/>
      </w:pPr>
      <w:r>
        <w:t>Age</w:t>
      </w:r>
    </w:p>
    <w:p w14:paraId="1939A379" w14:textId="77777777" w:rsidR="00013E99" w:rsidRPr="00013E99" w:rsidRDefault="00013E99" w:rsidP="00296192">
      <w:r w:rsidRPr="00013E99">
        <w:t xml:space="preserve">By age, the types of AEs were consistent across the </w:t>
      </w:r>
      <w:proofErr w:type="spellStart"/>
      <w:r w:rsidRPr="00013E99">
        <w:t>blinatumomab</w:t>
      </w:r>
      <w:proofErr w:type="spellEnd"/>
      <w:r w:rsidRPr="00013E99">
        <w:t xml:space="preserve"> ALL studies. With the exception of subjects with Philadelphia chromosome-positive relapsed/refractory ALL, increasing rates of events leading to treatment interruption were observed by increasing age group across the </w:t>
      </w:r>
      <w:proofErr w:type="spellStart"/>
      <w:r w:rsidRPr="00013E99">
        <w:t>blinatumomab</w:t>
      </w:r>
      <w:proofErr w:type="spellEnd"/>
      <w:r w:rsidRPr="00013E99">
        <w:t xml:space="preserve"> ALL studies. Across the </w:t>
      </w:r>
      <w:proofErr w:type="spellStart"/>
      <w:r w:rsidRPr="00013E99">
        <w:t>blinatumomab</w:t>
      </w:r>
      <w:proofErr w:type="spellEnd"/>
      <w:r w:rsidRPr="00013E99">
        <w:t xml:space="preserve"> ALL studies, encephalopathy was reported at a higher rate for subjects who were ≥ 65 years of age compared with the other age groups analysed (10.8% versus 1.7% to 3.5%).</w:t>
      </w:r>
    </w:p>
    <w:p w14:paraId="52AAC2F2" w14:textId="5A1AB5E1" w:rsidR="00013E99" w:rsidRPr="00013E99" w:rsidRDefault="00013E99" w:rsidP="00296192">
      <w:r w:rsidRPr="00013E99">
        <w:t xml:space="preserve">The rate of encephalopathy reported for subjects who were ≥ 65 years of age was consistent with the rate of 13.3% for this age group reported in the original marketing application. Higher incidence rates for subjects ≥ 65 years of age were also noted for other neurologic adverse events, including cognitive disorder (2.9% versus 0.3% to 2.0%), </w:t>
      </w:r>
      <w:proofErr w:type="spellStart"/>
      <w:r w:rsidRPr="00013E99">
        <w:t>confusional</w:t>
      </w:r>
      <w:proofErr w:type="spellEnd"/>
      <w:r w:rsidRPr="00013E99">
        <w:t xml:space="preserve"> state (8.8% versus</w:t>
      </w:r>
      <w:r w:rsidR="00713407">
        <w:t xml:space="preserve"> </w:t>
      </w:r>
      <w:r w:rsidRPr="00013E99">
        <w:t>3.7%</w:t>
      </w:r>
      <w:r w:rsidR="00093C1B">
        <w:t xml:space="preserve"> </w:t>
      </w:r>
      <w:r w:rsidRPr="00013E99">
        <w:t>to</w:t>
      </w:r>
      <w:r w:rsidR="00093C1B">
        <w:t xml:space="preserve"> </w:t>
      </w:r>
      <w:r w:rsidRPr="00013E99">
        <w:t>6.1%),</w:t>
      </w:r>
      <w:r w:rsidR="00093C1B">
        <w:t xml:space="preserve"> </w:t>
      </w:r>
      <w:r w:rsidRPr="00013E99">
        <w:t>and</w:t>
      </w:r>
      <w:r w:rsidR="00093C1B">
        <w:t xml:space="preserve"> </w:t>
      </w:r>
      <w:r w:rsidRPr="00013E99">
        <w:t>disorientation</w:t>
      </w:r>
      <w:r w:rsidR="00093C1B">
        <w:t xml:space="preserve"> </w:t>
      </w:r>
      <w:r w:rsidRPr="00013E99">
        <w:t>(6.9%</w:t>
      </w:r>
      <w:r w:rsidR="00093C1B">
        <w:t xml:space="preserve"> </w:t>
      </w:r>
      <w:r w:rsidRPr="00013E99">
        <w:t>versus</w:t>
      </w:r>
      <w:r w:rsidR="00093C1B">
        <w:t xml:space="preserve"> </w:t>
      </w:r>
      <w:r w:rsidRPr="00013E99">
        <w:t>1.4%</w:t>
      </w:r>
      <w:r w:rsidR="00093C1B">
        <w:t xml:space="preserve"> </w:t>
      </w:r>
      <w:r w:rsidRPr="00013E99">
        <w:t>to</w:t>
      </w:r>
      <w:r w:rsidR="00093C1B">
        <w:t xml:space="preserve"> </w:t>
      </w:r>
      <w:r w:rsidRPr="00013E99">
        <w:t>3.5%)</w:t>
      </w:r>
      <w:r w:rsidR="00093C1B">
        <w:t xml:space="preserve"> </w:t>
      </w:r>
      <w:r w:rsidRPr="00013E99">
        <w:t>and</w:t>
      </w:r>
      <w:r w:rsidR="00093C1B">
        <w:t xml:space="preserve"> </w:t>
      </w:r>
      <w:r w:rsidRPr="00013E99">
        <w:t>for</w:t>
      </w:r>
      <w:r w:rsidR="00093C1B">
        <w:t xml:space="preserve"> </w:t>
      </w:r>
      <w:r w:rsidRPr="00013E99">
        <w:t>some</w:t>
      </w:r>
      <w:r w:rsidR="00093C1B">
        <w:t xml:space="preserve"> </w:t>
      </w:r>
      <w:r w:rsidRPr="00013E99">
        <w:t>infections,</w:t>
      </w:r>
      <w:r w:rsidR="00713407">
        <w:t xml:space="preserve"> </w:t>
      </w:r>
      <w:r w:rsidRPr="00013E99">
        <w:t xml:space="preserve">including urinary tract infection (7.8% versus 2.7% to 4.5%) and device-related infection (8.8% versus 4.5% to 7.0%); however, none of these differences were more than 5% across the </w:t>
      </w:r>
      <w:proofErr w:type="spellStart"/>
      <w:r w:rsidRPr="00013E99">
        <w:t>blinatumomab</w:t>
      </w:r>
      <w:proofErr w:type="spellEnd"/>
      <w:r w:rsidRPr="00013E99">
        <w:t xml:space="preserve"> ALL studies.</w:t>
      </w:r>
    </w:p>
    <w:p w14:paraId="7C0594AD" w14:textId="77777777" w:rsidR="00013E99" w:rsidRPr="00013E99" w:rsidRDefault="00013E99" w:rsidP="00296192">
      <w:r w:rsidRPr="00013E99">
        <w:t xml:space="preserve">By gender, race, and region, the types of AEs were consistent across the </w:t>
      </w:r>
      <w:proofErr w:type="spellStart"/>
      <w:r w:rsidRPr="00013E99">
        <w:t>blinatumomab</w:t>
      </w:r>
      <w:proofErr w:type="spellEnd"/>
      <w:r w:rsidRPr="00013E99">
        <w:t xml:space="preserve"> ALL studies.</w:t>
      </w:r>
    </w:p>
    <w:p w14:paraId="7D25BE16" w14:textId="77777777" w:rsidR="00013E99" w:rsidRDefault="00013E99" w:rsidP="00296192">
      <w:pPr>
        <w:pStyle w:val="Heading5"/>
      </w:pPr>
      <w:bookmarkStart w:id="81" w:name="8.6.2._Safety_related_to_drug-drug_inter"/>
      <w:bookmarkEnd w:id="81"/>
      <w:r>
        <w:t>Safety related to drug-drug interactions and other</w:t>
      </w:r>
      <w:r>
        <w:rPr>
          <w:spacing w:val="-19"/>
        </w:rPr>
        <w:t xml:space="preserve"> </w:t>
      </w:r>
      <w:r>
        <w:t>interactions</w:t>
      </w:r>
    </w:p>
    <w:p w14:paraId="2BFA3AF8" w14:textId="450EE01E" w:rsidR="00013E99" w:rsidRPr="00013E99" w:rsidRDefault="00013E99" w:rsidP="00296192">
      <w:r w:rsidRPr="00013E99">
        <w:t xml:space="preserve">No new data </w:t>
      </w:r>
      <w:r w:rsidR="00307CB3">
        <w:t xml:space="preserve">were </w:t>
      </w:r>
      <w:r w:rsidRPr="00013E99">
        <w:t>submitted.</w:t>
      </w:r>
    </w:p>
    <w:p w14:paraId="39B50201" w14:textId="77777777" w:rsidR="00605AD4" w:rsidRDefault="00605AD4" w:rsidP="00296192">
      <w:pPr>
        <w:pStyle w:val="Heading4"/>
      </w:pPr>
      <w:r w:rsidRPr="00605AD4">
        <w:t>Post</w:t>
      </w:r>
      <w:r w:rsidR="00DC3A28">
        <w:t xml:space="preserve"> </w:t>
      </w:r>
      <w:r w:rsidRPr="00605AD4">
        <w:t>marketing data</w:t>
      </w:r>
    </w:p>
    <w:p w14:paraId="701AA5E5" w14:textId="77777777" w:rsidR="00013E99" w:rsidRDefault="00013E99" w:rsidP="00296192">
      <w:r>
        <w:t xml:space="preserve">From the International Birth Date of 3 December 2014 to 2 December 2016 (data lock point for Periodic Benefit-risk Evaluation Report/Periodic Safety Update Report an estimated 2,236 patients had been exposed to </w:t>
      </w:r>
      <w:proofErr w:type="spellStart"/>
      <w:r>
        <w:t>blinatumomab</w:t>
      </w:r>
      <w:proofErr w:type="spellEnd"/>
      <w:r>
        <w:t xml:space="preserve"> in the marketed setting.</w:t>
      </w:r>
    </w:p>
    <w:p w14:paraId="495B319C" w14:textId="6F3030AB" w:rsidR="00013E99" w:rsidRDefault="00013E99" w:rsidP="00296192">
      <w:r>
        <w:t xml:space="preserve">As of 2 December 2016, </w:t>
      </w:r>
      <w:r w:rsidR="0041756E">
        <w:t>sponsor</w:t>
      </w:r>
      <w:r>
        <w:t xml:space="preserve"> received, cumulatively, a total of 1,786 serious adverse drug reactions (ADRs) in the post marketing setting, from spontaneous and solicited sources. In addition, 808 non-serious ADRs were reported spontaneously.</w:t>
      </w:r>
    </w:p>
    <w:p w14:paraId="4A8B0B68" w14:textId="232983C3" w:rsidR="00013E99" w:rsidRDefault="00013E99" w:rsidP="005979D8">
      <w:r>
        <w:t xml:space="preserve">Overall, among the 1,786 total serious ADRs reported from spontaneous and solicited sources, the most frequently reported adverse reactions (≥ 10%) were from the </w:t>
      </w:r>
      <w:r w:rsidR="00307CB3">
        <w:t xml:space="preserve">System </w:t>
      </w:r>
      <w:r w:rsidR="00307CB3">
        <w:lastRenderedPageBreak/>
        <w:t>Organ Classes</w:t>
      </w:r>
      <w:r>
        <w:t xml:space="preserve"> of Nervous System Disorders (17.1%), General Disorders and Administrative Site Conditions (17.0%), and Investigations (11.0%). Serious adverse reactions with an event incidence ≥ 1% were pyrexia (5.5%); cytokine release syndrome (5.0%); neurotoxicity (4.5%); death (3.9%); ALL recurrent and neutropenia (2.4% each); blast cell count increased (1.9%); hospitalisation (1.7%); seizure and febrile neutropenia (1.5% each); ALL (1.4%); </w:t>
      </w:r>
      <w:proofErr w:type="spellStart"/>
      <w:r>
        <w:t>confusional</w:t>
      </w:r>
      <w:proofErr w:type="spellEnd"/>
      <w:r>
        <w:t xml:space="preserve"> state (1.3%); sepsis, disease progression, hypotension, and platelet count decreased (1.2% each); and headache (1.0%).</w:t>
      </w:r>
    </w:p>
    <w:p w14:paraId="53417789" w14:textId="77777777" w:rsidR="00013E99" w:rsidRPr="00013E99" w:rsidRDefault="00013E99" w:rsidP="00013E99">
      <w:r>
        <w:t xml:space="preserve">These events are consistent with the known safety profile of </w:t>
      </w:r>
      <w:proofErr w:type="spellStart"/>
      <w:r>
        <w:t>blinatumomab</w:t>
      </w:r>
      <w:proofErr w:type="spellEnd"/>
      <w:r>
        <w:t xml:space="preserve"> or representative of the underlying malignancy.</w:t>
      </w:r>
    </w:p>
    <w:p w14:paraId="1193AC0C" w14:textId="77777777" w:rsidR="00605AD4" w:rsidRPr="00605AD4" w:rsidRDefault="00605AD4" w:rsidP="005979D8">
      <w:pPr>
        <w:pStyle w:val="Heading4"/>
      </w:pPr>
      <w:r w:rsidRPr="00605AD4">
        <w:t>Evaluator’s conclusions on safety</w:t>
      </w:r>
    </w:p>
    <w:p w14:paraId="693C03B3" w14:textId="77777777" w:rsidR="00013E99" w:rsidRDefault="00013E99" w:rsidP="005979D8">
      <w:r>
        <w:t xml:space="preserve">No new safety issues were identified based on the safety analysis for the new studies or across all </w:t>
      </w:r>
      <w:proofErr w:type="spellStart"/>
      <w:r>
        <w:t>blinatumomab</w:t>
      </w:r>
      <w:proofErr w:type="spellEnd"/>
      <w:r>
        <w:t xml:space="preserve"> ALL studies. With the exception of pancreatitis that was identified after the original marketing application, the safety risks outlined in this submission are consistent with those identified in the original application.</w:t>
      </w:r>
    </w:p>
    <w:p w14:paraId="3E66E4D6" w14:textId="77777777" w:rsidR="00605AD4" w:rsidRPr="00605AD4" w:rsidRDefault="00013E99" w:rsidP="007103A9">
      <w:pPr>
        <w:ind w:right="-1"/>
      </w:pPr>
      <w:r>
        <w:t xml:space="preserve">The notably higher incidence of TEAEs and SAEs in the </w:t>
      </w:r>
      <w:proofErr w:type="spellStart"/>
      <w:r>
        <w:t>blinatumomab</w:t>
      </w:r>
      <w:proofErr w:type="spellEnd"/>
      <w:r>
        <w:t xml:space="preserve"> treatment arm as compared with the SOC chemotherapy treatment arm in Study 00103311 is consistent with the study design, which led to a longer duration of dosing for </w:t>
      </w:r>
      <w:proofErr w:type="spellStart"/>
      <w:r>
        <w:t>blinatumomab</w:t>
      </w:r>
      <w:proofErr w:type="spellEnd"/>
      <w:r>
        <w:t xml:space="preserve"> compared with SOC chemotherapy and therefore, the likelihood of observing AEs leading to treatment interruption was not balanced between the two treatment arms by the nature of study design.</w:t>
      </w:r>
    </w:p>
    <w:p w14:paraId="0C65B46C" w14:textId="0D439756" w:rsidR="00605AD4" w:rsidRPr="007103A9" w:rsidRDefault="00605AD4" w:rsidP="007103A9">
      <w:pPr>
        <w:pStyle w:val="Heading3"/>
        <w:rPr>
          <w:rFonts w:eastAsia="Cambria"/>
        </w:rPr>
      </w:pPr>
      <w:bookmarkStart w:id="82" w:name="_Toc22198182"/>
      <w:r w:rsidRPr="007103A9">
        <w:rPr>
          <w:rFonts w:eastAsia="Cambria"/>
        </w:rPr>
        <w:t xml:space="preserve">First </w:t>
      </w:r>
      <w:r w:rsidR="00654968" w:rsidRPr="007103A9">
        <w:rPr>
          <w:rFonts w:eastAsia="Cambria"/>
        </w:rPr>
        <w:t>round benefit-risk assessment</w:t>
      </w:r>
      <w:bookmarkEnd w:id="82"/>
    </w:p>
    <w:p w14:paraId="34C73C12" w14:textId="77777777" w:rsidR="00605AD4" w:rsidRDefault="00605AD4" w:rsidP="005979D8">
      <w:pPr>
        <w:pStyle w:val="Heading4"/>
        <w:tabs>
          <w:tab w:val="left" w:pos="0"/>
        </w:tabs>
      </w:pPr>
      <w:r w:rsidRPr="00605AD4">
        <w:t>First round assessment of benefits</w:t>
      </w:r>
    </w:p>
    <w:p w14:paraId="6454F988" w14:textId="1B5FF3A6" w:rsidR="00CC23E8" w:rsidRPr="00CC23E8" w:rsidRDefault="00CC23E8" w:rsidP="002F7609">
      <w:r>
        <w:t xml:space="preserve">Table 6, shown below, provides a summary of the assessment of benefits at the first round of </w:t>
      </w:r>
      <w:proofErr w:type="spellStart"/>
      <w:r>
        <w:t>Blincyto</w:t>
      </w:r>
      <w:proofErr w:type="spellEnd"/>
      <w:r>
        <w:t xml:space="preserve"> </w:t>
      </w:r>
      <w:proofErr w:type="spellStart"/>
      <w:r>
        <w:t>blinatumomab</w:t>
      </w:r>
      <w:proofErr w:type="spellEnd"/>
      <w:r>
        <w:t xml:space="preserve"> for the indications proposed in this submission.</w:t>
      </w:r>
    </w:p>
    <w:p w14:paraId="0A3AB34D" w14:textId="3A60D3C6" w:rsidR="00F86163" w:rsidRPr="00DC3A28" w:rsidRDefault="00811513" w:rsidP="00CC23E8">
      <w:pPr>
        <w:pStyle w:val="TableTitle"/>
      </w:pPr>
      <w:r>
        <w:lastRenderedPageBreak/>
        <w:t xml:space="preserve">Table </w:t>
      </w:r>
      <w:r w:rsidR="008C3197">
        <w:t>6</w:t>
      </w:r>
      <w:r w:rsidR="00713407">
        <w:t xml:space="preserve">: </w:t>
      </w:r>
      <w:r w:rsidR="00A407C5" w:rsidRPr="00605AD4">
        <w:t>First round assessment of benefits</w:t>
      </w:r>
    </w:p>
    <w:tbl>
      <w:tblPr>
        <w:tblStyle w:val="TableTGAblue"/>
        <w:tblW w:w="8784" w:type="dxa"/>
        <w:tblLayout w:type="fixed"/>
        <w:tblLook w:val="01E0" w:firstRow="1" w:lastRow="1" w:firstColumn="1" w:lastColumn="1" w:noHBand="0" w:noVBand="0"/>
        <w:tblDescription w:val="Indication, Strengths and Uncertainties"/>
      </w:tblPr>
      <w:tblGrid>
        <w:gridCol w:w="4253"/>
        <w:gridCol w:w="4531"/>
      </w:tblGrid>
      <w:tr w:rsidR="00D72803" w:rsidRPr="00DC3A28" w14:paraId="0B693942" w14:textId="77777777" w:rsidTr="00654968">
        <w:trPr>
          <w:cnfStyle w:val="100000000000" w:firstRow="1" w:lastRow="0" w:firstColumn="0" w:lastColumn="0" w:oddVBand="0" w:evenVBand="0" w:oddHBand="0" w:evenHBand="0" w:firstRowFirstColumn="0" w:firstRowLastColumn="0" w:lastRowFirstColumn="0" w:lastRowLastColumn="0"/>
          <w:trHeight w:val="493"/>
        </w:trPr>
        <w:tc>
          <w:tcPr>
            <w:tcW w:w="4253" w:type="dxa"/>
          </w:tcPr>
          <w:p w14:paraId="2EC0F6C9" w14:textId="77777777" w:rsidR="00D72803" w:rsidRPr="002F7609" w:rsidRDefault="00D72803" w:rsidP="002F7609">
            <w:pPr>
              <w:pStyle w:val="TableParagraph"/>
              <w:tabs>
                <w:tab w:val="left" w:pos="0"/>
              </w:tabs>
              <w:spacing w:before="117"/>
              <w:ind w:left="105"/>
              <w:jc w:val="left"/>
              <w:rPr>
                <w:rFonts w:asciiTheme="minorHAnsi" w:hAnsiTheme="minorHAnsi"/>
                <w:b w:val="0"/>
                <w:sz w:val="18"/>
                <w:szCs w:val="18"/>
              </w:rPr>
            </w:pPr>
            <w:r w:rsidRPr="002F7609">
              <w:rPr>
                <w:rFonts w:asciiTheme="minorHAnsi" w:hAnsiTheme="minorHAnsi"/>
                <w:b w:val="0"/>
                <w:sz w:val="18"/>
                <w:szCs w:val="18"/>
              </w:rPr>
              <w:t>Benefits</w:t>
            </w:r>
          </w:p>
        </w:tc>
        <w:tc>
          <w:tcPr>
            <w:tcW w:w="4531" w:type="dxa"/>
          </w:tcPr>
          <w:p w14:paraId="3BC83A16" w14:textId="77777777" w:rsidR="00D72803" w:rsidRPr="002F7609" w:rsidRDefault="00D72803" w:rsidP="002F7609">
            <w:pPr>
              <w:pStyle w:val="TableParagraph"/>
              <w:tabs>
                <w:tab w:val="left" w:pos="0"/>
              </w:tabs>
              <w:spacing w:before="117"/>
              <w:ind w:left="105"/>
              <w:rPr>
                <w:rFonts w:asciiTheme="minorHAnsi" w:hAnsiTheme="minorHAnsi"/>
                <w:b w:val="0"/>
                <w:sz w:val="18"/>
                <w:szCs w:val="18"/>
              </w:rPr>
            </w:pPr>
            <w:r w:rsidRPr="002F7609">
              <w:rPr>
                <w:rFonts w:asciiTheme="minorHAnsi" w:hAnsiTheme="minorHAnsi"/>
                <w:b w:val="0"/>
                <w:sz w:val="18"/>
                <w:szCs w:val="18"/>
              </w:rPr>
              <w:t>Strengths and Uncertainties</w:t>
            </w:r>
          </w:p>
        </w:tc>
      </w:tr>
      <w:tr w:rsidR="00D72803" w:rsidRPr="00D72803" w14:paraId="726EEB46" w14:textId="77777777" w:rsidTr="00654968">
        <w:trPr>
          <w:trHeight w:val="2067"/>
        </w:trPr>
        <w:tc>
          <w:tcPr>
            <w:tcW w:w="4253" w:type="dxa"/>
          </w:tcPr>
          <w:p w14:paraId="5EC65598" w14:textId="77777777" w:rsidR="00D72803" w:rsidRPr="007A16D3" w:rsidRDefault="00D72803" w:rsidP="002F7609">
            <w:pPr>
              <w:pStyle w:val="TableParagraph"/>
              <w:keepNext/>
              <w:tabs>
                <w:tab w:val="left" w:pos="0"/>
              </w:tabs>
              <w:spacing w:before="122"/>
              <w:ind w:left="105"/>
              <w:jc w:val="left"/>
              <w:rPr>
                <w:rFonts w:asciiTheme="minorHAnsi" w:hAnsiTheme="minorHAnsi"/>
                <w:b/>
                <w:sz w:val="18"/>
                <w:szCs w:val="18"/>
              </w:rPr>
            </w:pPr>
            <w:proofErr w:type="spellStart"/>
            <w:r w:rsidRPr="007A16D3">
              <w:rPr>
                <w:rFonts w:asciiTheme="minorHAnsi" w:hAnsiTheme="minorHAnsi"/>
                <w:b/>
                <w:sz w:val="18"/>
                <w:szCs w:val="18"/>
              </w:rPr>
              <w:t>Ph</w:t>
            </w:r>
            <w:proofErr w:type="spellEnd"/>
            <w:r w:rsidRPr="007A16D3">
              <w:rPr>
                <w:rFonts w:asciiTheme="minorHAnsi" w:hAnsiTheme="minorHAnsi"/>
                <w:b/>
                <w:sz w:val="18"/>
                <w:szCs w:val="18"/>
              </w:rPr>
              <w:t xml:space="preserve"> + R/R ALL (Study 20120216)</w:t>
            </w:r>
          </w:p>
          <w:p w14:paraId="79CE8008" w14:textId="77777777" w:rsidR="00D72803" w:rsidRPr="007A16D3" w:rsidRDefault="00D72803" w:rsidP="002F7609">
            <w:pPr>
              <w:pStyle w:val="TableParagraph"/>
              <w:keepNext/>
              <w:tabs>
                <w:tab w:val="left" w:pos="0"/>
              </w:tabs>
              <w:spacing w:before="116"/>
              <w:ind w:left="105" w:right="305"/>
              <w:jc w:val="left"/>
              <w:rPr>
                <w:rFonts w:asciiTheme="minorHAnsi" w:hAnsiTheme="minorHAnsi"/>
                <w:sz w:val="18"/>
                <w:szCs w:val="18"/>
              </w:rPr>
            </w:pPr>
            <w:r w:rsidRPr="007A16D3">
              <w:rPr>
                <w:rFonts w:asciiTheme="minorHAnsi" w:hAnsiTheme="minorHAnsi"/>
                <w:sz w:val="18"/>
                <w:szCs w:val="18"/>
              </w:rPr>
              <w:t>Primary outcome of best response during the first 2 cycles:</w:t>
            </w:r>
          </w:p>
          <w:p w14:paraId="0212AE9E" w14:textId="77777777" w:rsidR="00D72803" w:rsidRPr="007A16D3" w:rsidRDefault="00D72803" w:rsidP="002F7609">
            <w:pPr>
              <w:pStyle w:val="TableParagraph"/>
              <w:keepNext/>
              <w:tabs>
                <w:tab w:val="left" w:pos="0"/>
              </w:tabs>
              <w:spacing w:before="123"/>
              <w:ind w:left="105"/>
              <w:jc w:val="left"/>
              <w:rPr>
                <w:rFonts w:asciiTheme="minorHAnsi" w:hAnsiTheme="minorHAnsi"/>
                <w:sz w:val="18"/>
                <w:szCs w:val="18"/>
              </w:rPr>
            </w:pPr>
            <w:r w:rsidRPr="007A16D3">
              <w:rPr>
                <w:rFonts w:asciiTheme="minorHAnsi" w:hAnsiTheme="minorHAnsi"/>
                <w:sz w:val="18"/>
                <w:szCs w:val="18"/>
              </w:rPr>
              <w:t>CR/</w:t>
            </w:r>
            <w:proofErr w:type="spellStart"/>
            <w:r w:rsidRPr="007A16D3">
              <w:rPr>
                <w:rFonts w:asciiTheme="minorHAnsi" w:hAnsiTheme="minorHAnsi"/>
                <w:sz w:val="18"/>
                <w:szCs w:val="18"/>
              </w:rPr>
              <w:t>CRh</w:t>
            </w:r>
            <w:proofErr w:type="spellEnd"/>
            <w:r w:rsidRPr="007A16D3">
              <w:rPr>
                <w:rFonts w:asciiTheme="minorHAnsi" w:hAnsiTheme="minorHAnsi"/>
                <w:sz w:val="18"/>
                <w:szCs w:val="18"/>
              </w:rPr>
              <w:t>* = 35.6% (16/45) 95%CI: 21.9, 51.2</w:t>
            </w:r>
          </w:p>
          <w:p w14:paraId="21C192AE" w14:textId="77777777" w:rsidR="00D72803" w:rsidRPr="007A16D3" w:rsidRDefault="00D72803" w:rsidP="002F7609">
            <w:pPr>
              <w:pStyle w:val="TableParagraph"/>
              <w:keepNext/>
              <w:tabs>
                <w:tab w:val="left" w:pos="0"/>
              </w:tabs>
              <w:spacing w:before="116"/>
              <w:ind w:left="105"/>
              <w:jc w:val="left"/>
              <w:rPr>
                <w:rFonts w:asciiTheme="minorHAnsi" w:hAnsiTheme="minorHAnsi"/>
                <w:sz w:val="18"/>
                <w:szCs w:val="18"/>
              </w:rPr>
            </w:pPr>
            <w:r w:rsidRPr="007A16D3">
              <w:rPr>
                <w:rFonts w:asciiTheme="minorHAnsi" w:hAnsiTheme="minorHAnsi"/>
                <w:sz w:val="18"/>
                <w:szCs w:val="18"/>
              </w:rPr>
              <w:t>CR = 31.1% (14/45) 95%CI: 18.2, 46.6</w:t>
            </w:r>
          </w:p>
          <w:p w14:paraId="1A24E84B" w14:textId="77777777" w:rsidR="00D72803" w:rsidRPr="007A16D3" w:rsidRDefault="00D72803" w:rsidP="002F7609">
            <w:pPr>
              <w:pStyle w:val="TableParagraph"/>
              <w:keepNext/>
              <w:tabs>
                <w:tab w:val="left" w:pos="0"/>
              </w:tabs>
              <w:spacing w:before="121"/>
              <w:ind w:left="105"/>
              <w:jc w:val="left"/>
              <w:rPr>
                <w:rFonts w:asciiTheme="minorHAnsi" w:hAnsiTheme="minorHAnsi"/>
                <w:sz w:val="18"/>
                <w:szCs w:val="18"/>
              </w:rPr>
            </w:pPr>
            <w:proofErr w:type="spellStart"/>
            <w:r w:rsidRPr="007A16D3">
              <w:rPr>
                <w:rFonts w:asciiTheme="minorHAnsi" w:hAnsiTheme="minorHAnsi"/>
                <w:sz w:val="18"/>
                <w:szCs w:val="18"/>
              </w:rPr>
              <w:t>CRh</w:t>
            </w:r>
            <w:proofErr w:type="spellEnd"/>
            <w:r w:rsidRPr="007A16D3">
              <w:rPr>
                <w:rFonts w:asciiTheme="minorHAnsi" w:hAnsiTheme="minorHAnsi"/>
                <w:sz w:val="18"/>
                <w:szCs w:val="18"/>
              </w:rPr>
              <w:t>* = 4.4% (2/45) 95%CI: 0.5, 15.1</w:t>
            </w:r>
          </w:p>
          <w:p w14:paraId="14F04FE1" w14:textId="4D8A4611" w:rsidR="00D72803" w:rsidRPr="007A16D3" w:rsidRDefault="00D72803" w:rsidP="002F7609">
            <w:pPr>
              <w:pStyle w:val="TableParagraph"/>
              <w:keepNext/>
              <w:tabs>
                <w:tab w:val="left" w:pos="0"/>
              </w:tabs>
              <w:spacing w:before="122"/>
              <w:ind w:left="105" w:right="305"/>
              <w:jc w:val="left"/>
              <w:rPr>
                <w:rFonts w:asciiTheme="minorHAnsi" w:hAnsiTheme="minorHAnsi"/>
                <w:sz w:val="18"/>
                <w:szCs w:val="18"/>
              </w:rPr>
            </w:pPr>
            <w:r w:rsidRPr="007A16D3">
              <w:rPr>
                <w:rFonts w:asciiTheme="minorHAnsi" w:hAnsiTheme="minorHAnsi"/>
                <w:sz w:val="18"/>
                <w:szCs w:val="18"/>
              </w:rPr>
              <w:t xml:space="preserve">Cri (without </w:t>
            </w:r>
            <w:proofErr w:type="spellStart"/>
            <w:r w:rsidRPr="007A16D3">
              <w:rPr>
                <w:rFonts w:asciiTheme="minorHAnsi" w:hAnsiTheme="minorHAnsi"/>
                <w:sz w:val="18"/>
                <w:szCs w:val="18"/>
              </w:rPr>
              <w:t>CRh</w:t>
            </w:r>
            <w:proofErr w:type="spellEnd"/>
            <w:r w:rsidRPr="007A16D3">
              <w:rPr>
                <w:rFonts w:asciiTheme="minorHAnsi" w:hAnsiTheme="minorHAnsi"/>
                <w:sz w:val="18"/>
                <w:szCs w:val="18"/>
              </w:rPr>
              <w:t>*) = 4.4% (2/45 95%CI: 0.5, 15.1</w:t>
            </w:r>
            <w:r w:rsidR="000B38D2">
              <w:rPr>
                <w:rFonts w:asciiTheme="minorHAnsi" w:hAnsiTheme="minorHAnsi"/>
                <w:sz w:val="18"/>
                <w:szCs w:val="18"/>
              </w:rPr>
              <w:t>)</w:t>
            </w:r>
          </w:p>
          <w:p w14:paraId="62351AEA" w14:textId="77777777" w:rsidR="00D72803" w:rsidRPr="007A16D3" w:rsidRDefault="00D72803" w:rsidP="002F7609">
            <w:pPr>
              <w:pStyle w:val="TableParagraph"/>
              <w:keepNext/>
              <w:tabs>
                <w:tab w:val="left" w:pos="0"/>
              </w:tabs>
              <w:spacing w:before="118"/>
              <w:ind w:left="105"/>
              <w:jc w:val="left"/>
              <w:rPr>
                <w:rFonts w:asciiTheme="minorHAnsi" w:hAnsiTheme="minorHAnsi"/>
                <w:b/>
                <w:sz w:val="18"/>
                <w:szCs w:val="18"/>
              </w:rPr>
            </w:pPr>
            <w:proofErr w:type="spellStart"/>
            <w:r w:rsidRPr="007A16D3">
              <w:rPr>
                <w:rFonts w:asciiTheme="minorHAnsi" w:hAnsiTheme="minorHAnsi"/>
                <w:b/>
                <w:sz w:val="18"/>
                <w:szCs w:val="18"/>
              </w:rPr>
              <w:t>Ph</w:t>
            </w:r>
            <w:proofErr w:type="spellEnd"/>
            <w:r w:rsidRPr="007A16D3">
              <w:rPr>
                <w:rFonts w:asciiTheme="minorHAnsi" w:hAnsiTheme="minorHAnsi"/>
                <w:b/>
                <w:sz w:val="18"/>
                <w:szCs w:val="18"/>
              </w:rPr>
              <w:t>- R/R ALL (Study 00103311)</w:t>
            </w:r>
          </w:p>
          <w:p w14:paraId="2A567B58" w14:textId="77777777" w:rsidR="00D72803" w:rsidRPr="007A16D3" w:rsidRDefault="00D72803" w:rsidP="002F7609">
            <w:pPr>
              <w:pStyle w:val="TableParagraph"/>
              <w:keepNext/>
              <w:tabs>
                <w:tab w:val="left" w:pos="0"/>
              </w:tabs>
              <w:spacing w:line="255" w:lineRule="exact"/>
              <w:ind w:left="105"/>
              <w:jc w:val="left"/>
              <w:rPr>
                <w:rFonts w:ascii="Cambria"/>
                <w:sz w:val="18"/>
                <w:szCs w:val="18"/>
              </w:rPr>
            </w:pPr>
            <w:r w:rsidRPr="007A16D3">
              <w:rPr>
                <w:rFonts w:asciiTheme="minorHAnsi" w:hAnsiTheme="minorHAnsi"/>
                <w:sz w:val="18"/>
                <w:szCs w:val="18"/>
              </w:rPr>
              <w:t xml:space="preserve">Median Overall Survival = 7.7 months (95%CI 5.6, 9.6) in the </w:t>
            </w:r>
            <w:proofErr w:type="spellStart"/>
            <w:r w:rsidRPr="007A16D3">
              <w:rPr>
                <w:rFonts w:asciiTheme="minorHAnsi" w:hAnsiTheme="minorHAnsi"/>
                <w:sz w:val="18"/>
                <w:szCs w:val="18"/>
              </w:rPr>
              <w:t>blinatumomab</w:t>
            </w:r>
            <w:proofErr w:type="spellEnd"/>
            <w:r w:rsidRPr="007A16D3">
              <w:rPr>
                <w:rFonts w:asciiTheme="minorHAnsi" w:hAnsiTheme="minorHAnsi"/>
                <w:sz w:val="18"/>
                <w:szCs w:val="18"/>
              </w:rPr>
              <w:t xml:space="preserve"> arm compared</w:t>
            </w:r>
            <w:r w:rsidRPr="007A16D3">
              <w:rPr>
                <w:sz w:val="18"/>
                <w:szCs w:val="18"/>
              </w:rPr>
              <w:t xml:space="preserve"> </w:t>
            </w:r>
            <w:r w:rsidRPr="007A16D3">
              <w:rPr>
                <w:rFonts w:ascii="Cambria"/>
                <w:sz w:val="18"/>
                <w:szCs w:val="18"/>
              </w:rPr>
              <w:t>to 4.0 months (95%CI: 2.9, 5.3) in the SOC arm.</w:t>
            </w:r>
          </w:p>
          <w:p w14:paraId="52C6ADDE" w14:textId="77777777" w:rsidR="00D72803" w:rsidRPr="007A16D3" w:rsidRDefault="00D72803" w:rsidP="002F7609">
            <w:pPr>
              <w:pStyle w:val="TableParagraph"/>
              <w:keepNext/>
              <w:tabs>
                <w:tab w:val="left" w:pos="0"/>
              </w:tabs>
              <w:spacing w:before="121" w:line="256" w:lineRule="exact"/>
              <w:ind w:left="105"/>
              <w:jc w:val="left"/>
              <w:rPr>
                <w:rFonts w:ascii="Cambria"/>
                <w:sz w:val="18"/>
                <w:szCs w:val="18"/>
              </w:rPr>
            </w:pPr>
            <w:r w:rsidRPr="007A16D3">
              <w:rPr>
                <w:rFonts w:ascii="Cambria"/>
                <w:sz w:val="18"/>
                <w:szCs w:val="18"/>
              </w:rPr>
              <w:t>Hazard ratio = 0.71 (95%CI: 0.55, 0.93) = 29%</w:t>
            </w:r>
          </w:p>
          <w:p w14:paraId="2B0901C1" w14:textId="77777777" w:rsidR="00D72803" w:rsidRPr="007A16D3" w:rsidRDefault="00D72803" w:rsidP="002F7609">
            <w:pPr>
              <w:pStyle w:val="TableParagraph"/>
              <w:keepNext/>
              <w:tabs>
                <w:tab w:val="left" w:pos="0"/>
              </w:tabs>
              <w:spacing w:line="256" w:lineRule="exact"/>
              <w:ind w:left="105"/>
              <w:jc w:val="left"/>
              <w:rPr>
                <w:rFonts w:ascii="Cambria"/>
                <w:sz w:val="18"/>
                <w:szCs w:val="18"/>
              </w:rPr>
            </w:pPr>
            <w:r w:rsidRPr="007A16D3">
              <w:rPr>
                <w:rFonts w:ascii="Cambria"/>
                <w:sz w:val="18"/>
                <w:szCs w:val="18"/>
              </w:rPr>
              <w:t>reduction in hazard rate (improved survival)</w:t>
            </w:r>
          </w:p>
          <w:p w14:paraId="1395165E" w14:textId="77777777" w:rsidR="00D72803" w:rsidRPr="007A16D3" w:rsidRDefault="00D72803" w:rsidP="002F7609">
            <w:pPr>
              <w:pStyle w:val="TableParagraph"/>
              <w:keepNext/>
              <w:tabs>
                <w:tab w:val="left" w:pos="0"/>
              </w:tabs>
              <w:spacing w:before="121"/>
              <w:ind w:left="105" w:right="431"/>
              <w:jc w:val="left"/>
              <w:rPr>
                <w:rFonts w:ascii="Cambria"/>
                <w:b/>
                <w:sz w:val="18"/>
                <w:szCs w:val="18"/>
              </w:rPr>
            </w:pPr>
            <w:r w:rsidRPr="007A16D3">
              <w:rPr>
                <w:rFonts w:ascii="Cambria"/>
                <w:b/>
                <w:sz w:val="18"/>
                <w:szCs w:val="18"/>
              </w:rPr>
              <w:t>MRD + R/R ALL (studies MT103-203 and MT103-202)</w:t>
            </w:r>
          </w:p>
          <w:p w14:paraId="5987D20A" w14:textId="77777777" w:rsidR="00D72803" w:rsidRPr="007A16D3" w:rsidRDefault="00D72803" w:rsidP="002F7609">
            <w:pPr>
              <w:pStyle w:val="TableParagraph"/>
              <w:keepNext/>
              <w:tabs>
                <w:tab w:val="left" w:pos="0"/>
              </w:tabs>
              <w:spacing w:before="118"/>
              <w:ind w:left="105"/>
              <w:jc w:val="left"/>
              <w:rPr>
                <w:rFonts w:ascii="Cambria"/>
                <w:sz w:val="18"/>
                <w:szCs w:val="18"/>
              </w:rPr>
            </w:pPr>
            <w:r w:rsidRPr="007A16D3">
              <w:rPr>
                <w:rFonts w:ascii="Cambria"/>
                <w:sz w:val="18"/>
                <w:szCs w:val="18"/>
              </w:rPr>
              <w:t>Pooled data response:</w:t>
            </w:r>
          </w:p>
          <w:p w14:paraId="4A91A4D2" w14:textId="4A57FACF" w:rsidR="00D72803" w:rsidRPr="007A16D3" w:rsidRDefault="00D72803" w:rsidP="002F7609">
            <w:pPr>
              <w:pStyle w:val="TableParagraph"/>
              <w:keepNext/>
              <w:tabs>
                <w:tab w:val="left" w:pos="0"/>
              </w:tabs>
              <w:spacing w:before="121"/>
              <w:ind w:left="105"/>
              <w:jc w:val="left"/>
              <w:rPr>
                <w:rFonts w:ascii="Cambria"/>
                <w:sz w:val="20"/>
                <w:szCs w:val="20"/>
              </w:rPr>
            </w:pPr>
            <w:r w:rsidRPr="007A16D3">
              <w:rPr>
                <w:rFonts w:ascii="Cambria"/>
                <w:sz w:val="20"/>
                <w:szCs w:val="20"/>
              </w:rPr>
              <w:t xml:space="preserve">Complete MRD response in </w:t>
            </w:r>
            <w:r w:rsidR="00713407">
              <w:rPr>
                <w:rFonts w:ascii="Cambria"/>
                <w:sz w:val="20"/>
                <w:szCs w:val="20"/>
              </w:rPr>
              <w:t>Cycle</w:t>
            </w:r>
            <w:r w:rsidRPr="007A16D3">
              <w:rPr>
                <w:rFonts w:ascii="Cambria"/>
                <w:sz w:val="20"/>
                <w:szCs w:val="20"/>
              </w:rPr>
              <w:t xml:space="preserve"> 1 = 78.2% (104/133)</w:t>
            </w:r>
          </w:p>
          <w:p w14:paraId="506CE84D" w14:textId="77777777" w:rsidR="00D72803" w:rsidRPr="002F7609" w:rsidRDefault="00D72803" w:rsidP="002F7609">
            <w:pPr>
              <w:pStyle w:val="TableParagraph"/>
              <w:keepNext/>
              <w:tabs>
                <w:tab w:val="left" w:pos="0"/>
              </w:tabs>
              <w:spacing w:before="123"/>
              <w:ind w:left="105"/>
              <w:jc w:val="left"/>
              <w:rPr>
                <w:rFonts w:ascii="Cambria"/>
                <w:b/>
                <w:sz w:val="20"/>
                <w:szCs w:val="20"/>
              </w:rPr>
            </w:pPr>
            <w:r w:rsidRPr="002F7609">
              <w:rPr>
                <w:rFonts w:ascii="Cambria"/>
                <w:b/>
                <w:sz w:val="20"/>
                <w:szCs w:val="20"/>
              </w:rPr>
              <w:t>Study MT103-203:</w:t>
            </w:r>
          </w:p>
          <w:p w14:paraId="7D18ADE8" w14:textId="77777777" w:rsidR="00D72803" w:rsidRPr="007A16D3" w:rsidRDefault="00D72803" w:rsidP="002F7609">
            <w:pPr>
              <w:pStyle w:val="TableParagraph"/>
              <w:keepNext/>
              <w:tabs>
                <w:tab w:val="left" w:pos="0"/>
              </w:tabs>
              <w:spacing w:before="116"/>
              <w:ind w:left="105"/>
              <w:jc w:val="left"/>
              <w:rPr>
                <w:rFonts w:ascii="Cambria"/>
                <w:sz w:val="20"/>
                <w:szCs w:val="20"/>
              </w:rPr>
            </w:pPr>
            <w:r w:rsidRPr="007A16D3">
              <w:rPr>
                <w:rFonts w:ascii="Cambria"/>
                <w:sz w:val="20"/>
                <w:szCs w:val="20"/>
              </w:rPr>
              <w:t>RFS at 18 months KM estimate = 54% (95%CI: 33, 70)</w:t>
            </w:r>
          </w:p>
          <w:p w14:paraId="36D4989D" w14:textId="77777777" w:rsidR="00D72803" w:rsidRPr="007A16D3" w:rsidRDefault="00D72803" w:rsidP="002F7609">
            <w:pPr>
              <w:pStyle w:val="TableParagraph"/>
              <w:keepNext/>
              <w:tabs>
                <w:tab w:val="left" w:pos="0"/>
              </w:tabs>
              <w:spacing w:before="119" w:line="260" w:lineRule="atLeast"/>
              <w:ind w:left="105"/>
              <w:jc w:val="left"/>
              <w:rPr>
                <w:rFonts w:asciiTheme="minorHAnsi" w:hAnsiTheme="minorHAnsi"/>
                <w:sz w:val="18"/>
                <w:szCs w:val="18"/>
              </w:rPr>
            </w:pPr>
            <w:r w:rsidRPr="007A16D3">
              <w:rPr>
                <w:rFonts w:ascii="Cambria"/>
                <w:sz w:val="20"/>
                <w:szCs w:val="20"/>
              </w:rPr>
              <w:t>OS at 18 month (with censoring HSCT and chemotherapy) = 83% (95%CI: 55, 94)</w:t>
            </w:r>
          </w:p>
        </w:tc>
        <w:tc>
          <w:tcPr>
            <w:tcW w:w="4531" w:type="dxa"/>
          </w:tcPr>
          <w:p w14:paraId="600B95C2" w14:textId="377D0BAB" w:rsidR="007A16D3" w:rsidRDefault="007A16D3" w:rsidP="007A16D3">
            <w:pPr>
              <w:pStyle w:val="TableParagraph"/>
              <w:keepNext/>
              <w:tabs>
                <w:tab w:val="left" w:pos="0"/>
                <w:tab w:val="left" w:pos="447"/>
              </w:tabs>
              <w:spacing w:before="122" w:line="254" w:lineRule="exact"/>
              <w:jc w:val="left"/>
              <w:rPr>
                <w:rFonts w:asciiTheme="minorHAnsi" w:hAnsiTheme="minorHAnsi"/>
                <w:sz w:val="20"/>
                <w:szCs w:val="20"/>
              </w:rPr>
            </w:pPr>
            <w:r>
              <w:rPr>
                <w:rFonts w:asciiTheme="minorHAnsi" w:hAnsiTheme="minorHAnsi"/>
                <w:sz w:val="20"/>
                <w:szCs w:val="20"/>
              </w:rPr>
              <w:t>Single open label study</w:t>
            </w:r>
          </w:p>
          <w:p w14:paraId="46B19C15" w14:textId="77777777" w:rsidR="00D72803" w:rsidRDefault="00D72803" w:rsidP="007A16D3">
            <w:pPr>
              <w:pStyle w:val="TableParagraph"/>
              <w:keepNext/>
              <w:tabs>
                <w:tab w:val="left" w:pos="0"/>
                <w:tab w:val="left" w:pos="447"/>
              </w:tabs>
              <w:spacing w:before="122" w:line="254" w:lineRule="exact"/>
              <w:jc w:val="left"/>
              <w:rPr>
                <w:rFonts w:asciiTheme="minorHAnsi" w:hAnsiTheme="minorHAnsi"/>
                <w:sz w:val="20"/>
                <w:szCs w:val="20"/>
              </w:rPr>
            </w:pPr>
            <w:r w:rsidRPr="007A16D3">
              <w:rPr>
                <w:rFonts w:asciiTheme="minorHAnsi" w:hAnsiTheme="minorHAnsi"/>
                <w:sz w:val="20"/>
                <w:szCs w:val="20"/>
              </w:rPr>
              <w:t>Not controlled or</w:t>
            </w:r>
            <w:r w:rsidRPr="007A16D3">
              <w:rPr>
                <w:rFonts w:asciiTheme="minorHAnsi" w:hAnsiTheme="minorHAnsi"/>
                <w:spacing w:val="-3"/>
                <w:sz w:val="20"/>
                <w:szCs w:val="20"/>
              </w:rPr>
              <w:t xml:space="preserve"> </w:t>
            </w:r>
            <w:r w:rsidRPr="007A16D3">
              <w:rPr>
                <w:rFonts w:asciiTheme="minorHAnsi" w:hAnsiTheme="minorHAnsi"/>
                <w:sz w:val="20"/>
                <w:szCs w:val="20"/>
              </w:rPr>
              <w:t>randomised</w:t>
            </w:r>
          </w:p>
          <w:p w14:paraId="26BDA5A0" w14:textId="77777777" w:rsidR="00D72803" w:rsidRPr="007A16D3" w:rsidRDefault="00D72803" w:rsidP="007A16D3">
            <w:pPr>
              <w:pStyle w:val="TableParagraph"/>
              <w:keepNext/>
              <w:tabs>
                <w:tab w:val="left" w:pos="0"/>
                <w:tab w:val="left" w:pos="447"/>
              </w:tabs>
              <w:spacing w:before="0" w:line="254" w:lineRule="exact"/>
              <w:jc w:val="left"/>
              <w:rPr>
                <w:rFonts w:asciiTheme="minorHAnsi" w:hAnsiTheme="minorHAnsi"/>
                <w:sz w:val="20"/>
                <w:szCs w:val="20"/>
              </w:rPr>
            </w:pPr>
            <w:r w:rsidRPr="007A16D3">
              <w:rPr>
                <w:rFonts w:asciiTheme="minorHAnsi" w:hAnsiTheme="minorHAnsi"/>
                <w:sz w:val="20"/>
                <w:szCs w:val="20"/>
              </w:rPr>
              <w:t>Small trial n = 45 patients</w:t>
            </w:r>
          </w:p>
          <w:p w14:paraId="5487B65A" w14:textId="77777777" w:rsidR="00D72803" w:rsidRPr="00DC3A28" w:rsidRDefault="00D72803" w:rsidP="002F7609">
            <w:pPr>
              <w:pStyle w:val="TableParagraph"/>
              <w:keepNext/>
              <w:tabs>
                <w:tab w:val="left" w:pos="0"/>
              </w:tabs>
              <w:jc w:val="left"/>
              <w:rPr>
                <w:rFonts w:asciiTheme="minorHAnsi" w:hAnsiTheme="minorHAnsi"/>
                <w:b/>
                <w:sz w:val="20"/>
                <w:szCs w:val="20"/>
              </w:rPr>
            </w:pPr>
          </w:p>
          <w:p w14:paraId="756B829E" w14:textId="77777777" w:rsidR="00D72803" w:rsidRPr="00DC3A28" w:rsidRDefault="00D72803" w:rsidP="002F7609">
            <w:pPr>
              <w:pStyle w:val="TableParagraph"/>
              <w:keepNext/>
              <w:tabs>
                <w:tab w:val="left" w:pos="0"/>
              </w:tabs>
              <w:jc w:val="left"/>
              <w:rPr>
                <w:rFonts w:asciiTheme="minorHAnsi" w:hAnsiTheme="minorHAnsi"/>
                <w:b/>
                <w:sz w:val="20"/>
                <w:szCs w:val="20"/>
              </w:rPr>
            </w:pPr>
          </w:p>
          <w:p w14:paraId="387EE521" w14:textId="77777777" w:rsidR="00D72803" w:rsidRPr="00DC3A28" w:rsidRDefault="00D72803" w:rsidP="002F7609">
            <w:pPr>
              <w:pStyle w:val="TableParagraph"/>
              <w:keepNext/>
              <w:tabs>
                <w:tab w:val="left" w:pos="0"/>
              </w:tabs>
              <w:jc w:val="left"/>
              <w:rPr>
                <w:rFonts w:asciiTheme="minorHAnsi" w:hAnsiTheme="minorHAnsi"/>
                <w:b/>
                <w:sz w:val="20"/>
                <w:szCs w:val="20"/>
              </w:rPr>
            </w:pPr>
          </w:p>
          <w:p w14:paraId="7728F508" w14:textId="77777777" w:rsidR="00D72803" w:rsidRPr="00DC3A28" w:rsidRDefault="00D72803" w:rsidP="002F7609">
            <w:pPr>
              <w:pStyle w:val="TableParagraph"/>
              <w:keepNext/>
              <w:tabs>
                <w:tab w:val="left" w:pos="0"/>
              </w:tabs>
              <w:jc w:val="left"/>
              <w:rPr>
                <w:rFonts w:asciiTheme="minorHAnsi" w:hAnsiTheme="minorHAnsi"/>
                <w:b/>
                <w:sz w:val="20"/>
                <w:szCs w:val="20"/>
              </w:rPr>
            </w:pPr>
          </w:p>
          <w:p w14:paraId="794D3022" w14:textId="77777777" w:rsidR="00D72803" w:rsidRPr="00DC3A28" w:rsidRDefault="00D72803" w:rsidP="002F7609">
            <w:pPr>
              <w:pStyle w:val="TableParagraph"/>
              <w:keepNext/>
              <w:tabs>
                <w:tab w:val="left" w:pos="0"/>
              </w:tabs>
              <w:jc w:val="left"/>
              <w:rPr>
                <w:rFonts w:asciiTheme="minorHAnsi" w:hAnsiTheme="minorHAnsi"/>
                <w:b/>
                <w:sz w:val="20"/>
                <w:szCs w:val="20"/>
              </w:rPr>
            </w:pPr>
          </w:p>
          <w:p w14:paraId="213C8EDA" w14:textId="77777777" w:rsidR="00D72803" w:rsidRPr="00DC3A28" w:rsidRDefault="00D72803" w:rsidP="002F7609">
            <w:pPr>
              <w:pStyle w:val="TableParagraph"/>
              <w:keepNext/>
              <w:tabs>
                <w:tab w:val="left" w:pos="0"/>
              </w:tabs>
              <w:jc w:val="left"/>
              <w:rPr>
                <w:rFonts w:asciiTheme="minorHAnsi" w:hAnsiTheme="minorHAnsi"/>
                <w:b/>
                <w:sz w:val="20"/>
                <w:szCs w:val="20"/>
              </w:rPr>
            </w:pPr>
          </w:p>
          <w:p w14:paraId="2B40F679" w14:textId="65E025CC" w:rsidR="00D72803" w:rsidRPr="007A16D3" w:rsidRDefault="006B206D" w:rsidP="002F7609">
            <w:pPr>
              <w:pStyle w:val="TableParagraph"/>
              <w:keepNext/>
              <w:tabs>
                <w:tab w:val="left" w:pos="0"/>
              </w:tabs>
              <w:spacing w:before="207"/>
              <w:ind w:left="105" w:right="101"/>
              <w:jc w:val="left"/>
              <w:rPr>
                <w:rFonts w:asciiTheme="minorHAnsi" w:hAnsiTheme="minorHAnsi"/>
                <w:sz w:val="20"/>
                <w:szCs w:val="20"/>
              </w:rPr>
            </w:pPr>
            <w:r>
              <w:rPr>
                <w:rFonts w:asciiTheme="minorHAnsi" w:hAnsiTheme="minorHAnsi"/>
                <w:sz w:val="20"/>
                <w:szCs w:val="20"/>
              </w:rPr>
              <w:t xml:space="preserve">Study size = 405 total (271 </w:t>
            </w:r>
            <w:proofErr w:type="spellStart"/>
            <w:r>
              <w:rPr>
                <w:rFonts w:asciiTheme="minorHAnsi" w:hAnsiTheme="minorHAnsi"/>
                <w:sz w:val="20"/>
                <w:szCs w:val="20"/>
              </w:rPr>
              <w:t>bl</w:t>
            </w:r>
            <w:r w:rsidR="00D72803" w:rsidRPr="007A16D3">
              <w:rPr>
                <w:rFonts w:asciiTheme="minorHAnsi" w:hAnsiTheme="minorHAnsi"/>
                <w:sz w:val="20"/>
                <w:szCs w:val="20"/>
              </w:rPr>
              <w:t>inatumomab</w:t>
            </w:r>
            <w:proofErr w:type="spellEnd"/>
            <w:r w:rsidR="00D72803" w:rsidRPr="007A16D3">
              <w:rPr>
                <w:rFonts w:asciiTheme="minorHAnsi" w:hAnsiTheme="minorHAnsi"/>
                <w:sz w:val="20"/>
                <w:szCs w:val="20"/>
              </w:rPr>
              <w:t>, 135</w:t>
            </w:r>
            <w:r w:rsidR="00D72803" w:rsidRPr="007A16D3">
              <w:rPr>
                <w:rFonts w:asciiTheme="minorHAnsi" w:hAnsiTheme="minorHAnsi"/>
                <w:spacing w:val="-1"/>
                <w:sz w:val="20"/>
                <w:szCs w:val="20"/>
              </w:rPr>
              <w:t xml:space="preserve"> </w:t>
            </w:r>
            <w:r w:rsidR="00D72803" w:rsidRPr="007A16D3">
              <w:rPr>
                <w:rFonts w:asciiTheme="minorHAnsi" w:hAnsiTheme="minorHAnsi"/>
                <w:sz w:val="20"/>
                <w:szCs w:val="20"/>
              </w:rPr>
              <w:t>SOC)</w:t>
            </w:r>
          </w:p>
          <w:p w14:paraId="763C390D" w14:textId="77777777" w:rsidR="00D72803" w:rsidRPr="007A16D3" w:rsidRDefault="00D72803" w:rsidP="002F7609">
            <w:pPr>
              <w:pStyle w:val="TableParagraph"/>
              <w:keepNext/>
              <w:tabs>
                <w:tab w:val="left" w:pos="0"/>
              </w:tabs>
              <w:spacing w:line="243" w:lineRule="exact"/>
              <w:ind w:left="105"/>
              <w:jc w:val="left"/>
              <w:rPr>
                <w:rFonts w:ascii="Cambria"/>
                <w:sz w:val="20"/>
                <w:szCs w:val="20"/>
              </w:rPr>
            </w:pPr>
          </w:p>
          <w:p w14:paraId="7F65914B" w14:textId="77777777" w:rsidR="00D72803" w:rsidRPr="007A16D3" w:rsidRDefault="00D72803" w:rsidP="002F7609">
            <w:pPr>
              <w:pStyle w:val="TableParagraph"/>
              <w:keepNext/>
              <w:tabs>
                <w:tab w:val="left" w:pos="0"/>
              </w:tabs>
              <w:spacing w:line="243" w:lineRule="exact"/>
              <w:ind w:left="105"/>
              <w:jc w:val="left"/>
              <w:rPr>
                <w:rFonts w:ascii="Cambria"/>
                <w:sz w:val="20"/>
                <w:szCs w:val="20"/>
              </w:rPr>
            </w:pPr>
            <w:r w:rsidRPr="007A16D3">
              <w:rPr>
                <w:rFonts w:ascii="Cambria"/>
                <w:sz w:val="20"/>
                <w:szCs w:val="20"/>
              </w:rPr>
              <w:t>Primary outcome = overall survival</w:t>
            </w:r>
          </w:p>
          <w:p w14:paraId="7683E7E6" w14:textId="77777777" w:rsidR="00D72803" w:rsidRPr="007A16D3" w:rsidRDefault="00D72803" w:rsidP="002F7609">
            <w:pPr>
              <w:pStyle w:val="TableParagraph"/>
              <w:keepNext/>
              <w:tabs>
                <w:tab w:val="left" w:pos="0"/>
              </w:tabs>
              <w:spacing w:before="118"/>
              <w:ind w:left="105" w:right="978"/>
              <w:jc w:val="left"/>
              <w:rPr>
                <w:rFonts w:ascii="Cambria"/>
                <w:sz w:val="20"/>
                <w:szCs w:val="20"/>
              </w:rPr>
            </w:pPr>
            <w:r w:rsidRPr="007A16D3">
              <w:rPr>
                <w:rFonts w:ascii="Cambria"/>
                <w:sz w:val="20"/>
                <w:szCs w:val="20"/>
              </w:rPr>
              <w:t>Study stopped when superiority was established</w:t>
            </w:r>
          </w:p>
          <w:p w14:paraId="3D6453EC" w14:textId="77777777" w:rsidR="00D72803" w:rsidRPr="002F7609" w:rsidRDefault="00D72803" w:rsidP="002F7609">
            <w:pPr>
              <w:pStyle w:val="TableParagraph"/>
              <w:keepNext/>
              <w:tabs>
                <w:tab w:val="left" w:pos="0"/>
              </w:tabs>
              <w:jc w:val="left"/>
              <w:rPr>
                <w:rFonts w:asciiTheme="minorHAnsi" w:hAnsiTheme="minorHAnsi"/>
                <w:sz w:val="20"/>
                <w:szCs w:val="20"/>
              </w:rPr>
            </w:pPr>
          </w:p>
          <w:p w14:paraId="4CF457D4" w14:textId="77777777" w:rsidR="00D72803" w:rsidRPr="002F7609" w:rsidRDefault="00D72803" w:rsidP="002F7609">
            <w:pPr>
              <w:pStyle w:val="TableParagraph"/>
              <w:keepNext/>
              <w:tabs>
                <w:tab w:val="left" w:pos="0"/>
              </w:tabs>
              <w:jc w:val="left"/>
              <w:rPr>
                <w:rFonts w:asciiTheme="minorHAnsi" w:hAnsiTheme="minorHAnsi"/>
                <w:sz w:val="20"/>
                <w:szCs w:val="20"/>
              </w:rPr>
            </w:pPr>
          </w:p>
          <w:p w14:paraId="54DA4AB6" w14:textId="77777777" w:rsidR="00D72803" w:rsidRPr="002F7609" w:rsidRDefault="00D72803" w:rsidP="002F7609">
            <w:pPr>
              <w:pStyle w:val="TableParagraph"/>
              <w:keepNext/>
              <w:tabs>
                <w:tab w:val="left" w:pos="0"/>
              </w:tabs>
              <w:spacing w:before="1"/>
              <w:jc w:val="left"/>
              <w:rPr>
                <w:rFonts w:asciiTheme="minorHAnsi" w:hAnsiTheme="minorHAnsi"/>
                <w:sz w:val="20"/>
                <w:szCs w:val="20"/>
              </w:rPr>
            </w:pPr>
          </w:p>
          <w:p w14:paraId="55711B22" w14:textId="77777777" w:rsidR="00D72803" w:rsidRPr="007A16D3" w:rsidRDefault="00D72803" w:rsidP="002F7609">
            <w:pPr>
              <w:pStyle w:val="TableParagraph"/>
              <w:keepNext/>
              <w:numPr>
                <w:ilvl w:val="0"/>
                <w:numId w:val="6"/>
              </w:numPr>
              <w:tabs>
                <w:tab w:val="left" w:pos="0"/>
                <w:tab w:val="left" w:pos="447"/>
              </w:tabs>
              <w:spacing w:before="0" w:line="256" w:lineRule="exact"/>
              <w:jc w:val="left"/>
              <w:rPr>
                <w:rFonts w:ascii="Cambria"/>
                <w:sz w:val="20"/>
                <w:szCs w:val="20"/>
              </w:rPr>
            </w:pPr>
            <w:r w:rsidRPr="007A16D3">
              <w:rPr>
                <w:rFonts w:ascii="Cambria"/>
                <w:sz w:val="20"/>
                <w:szCs w:val="20"/>
              </w:rPr>
              <w:t>Two studies with similar</w:t>
            </w:r>
            <w:r w:rsidRPr="007A16D3">
              <w:rPr>
                <w:rFonts w:ascii="Cambria"/>
                <w:spacing w:val="-3"/>
                <w:sz w:val="20"/>
                <w:szCs w:val="20"/>
              </w:rPr>
              <w:t xml:space="preserve"> </w:t>
            </w:r>
            <w:r w:rsidRPr="007A16D3">
              <w:rPr>
                <w:rFonts w:ascii="Cambria"/>
                <w:sz w:val="20"/>
                <w:szCs w:val="20"/>
              </w:rPr>
              <w:t>results</w:t>
            </w:r>
          </w:p>
          <w:p w14:paraId="6F2ABA38" w14:textId="77777777" w:rsidR="00D72803" w:rsidRPr="007A16D3" w:rsidRDefault="00D72803" w:rsidP="002F7609">
            <w:pPr>
              <w:pStyle w:val="TableParagraph"/>
              <w:keepNext/>
              <w:numPr>
                <w:ilvl w:val="0"/>
                <w:numId w:val="6"/>
              </w:numPr>
              <w:tabs>
                <w:tab w:val="left" w:pos="0"/>
                <w:tab w:val="left" w:pos="447"/>
              </w:tabs>
              <w:spacing w:before="0" w:line="247" w:lineRule="exact"/>
              <w:jc w:val="left"/>
              <w:rPr>
                <w:rFonts w:ascii="Cambria"/>
                <w:sz w:val="20"/>
                <w:szCs w:val="20"/>
              </w:rPr>
            </w:pPr>
            <w:r w:rsidRPr="007A16D3">
              <w:rPr>
                <w:rFonts w:ascii="Cambria"/>
                <w:sz w:val="20"/>
                <w:szCs w:val="20"/>
              </w:rPr>
              <w:t>Pooled data from both</w:t>
            </w:r>
            <w:r w:rsidRPr="007A16D3">
              <w:rPr>
                <w:rFonts w:ascii="Cambria"/>
                <w:spacing w:val="-4"/>
                <w:sz w:val="20"/>
                <w:szCs w:val="20"/>
              </w:rPr>
              <w:t xml:space="preserve"> </w:t>
            </w:r>
            <w:r w:rsidRPr="007A16D3">
              <w:rPr>
                <w:rFonts w:ascii="Cambria"/>
                <w:sz w:val="20"/>
                <w:szCs w:val="20"/>
              </w:rPr>
              <w:t>studies</w:t>
            </w:r>
          </w:p>
          <w:p w14:paraId="5536F280" w14:textId="77777777" w:rsidR="00D72803" w:rsidRPr="007A16D3" w:rsidRDefault="00D72803" w:rsidP="002F7609">
            <w:pPr>
              <w:pStyle w:val="TableParagraph"/>
              <w:keepNext/>
              <w:numPr>
                <w:ilvl w:val="0"/>
                <w:numId w:val="6"/>
              </w:numPr>
              <w:tabs>
                <w:tab w:val="left" w:pos="0"/>
                <w:tab w:val="left" w:pos="447"/>
              </w:tabs>
              <w:spacing w:before="0" w:line="254" w:lineRule="exact"/>
              <w:ind w:hanging="307"/>
              <w:jc w:val="left"/>
              <w:rPr>
                <w:rFonts w:ascii="Cambria"/>
                <w:sz w:val="20"/>
                <w:szCs w:val="20"/>
              </w:rPr>
            </w:pPr>
            <w:r w:rsidRPr="007A16D3">
              <w:rPr>
                <w:rFonts w:ascii="Cambria"/>
                <w:sz w:val="20"/>
                <w:szCs w:val="20"/>
              </w:rPr>
              <w:t>Total subjects =</w:t>
            </w:r>
            <w:r w:rsidRPr="007A16D3">
              <w:rPr>
                <w:rFonts w:ascii="Cambria"/>
                <w:spacing w:val="-2"/>
                <w:sz w:val="20"/>
                <w:szCs w:val="20"/>
              </w:rPr>
              <w:t xml:space="preserve"> </w:t>
            </w:r>
            <w:r w:rsidRPr="007A16D3">
              <w:rPr>
                <w:rFonts w:ascii="Cambria"/>
                <w:sz w:val="20"/>
                <w:szCs w:val="20"/>
              </w:rPr>
              <w:t>133</w:t>
            </w:r>
          </w:p>
          <w:p w14:paraId="3801F197" w14:textId="77777777" w:rsidR="00D72803" w:rsidRPr="002F7609" w:rsidRDefault="00D72803" w:rsidP="002F7609">
            <w:pPr>
              <w:pStyle w:val="TableParagraph"/>
              <w:keepNext/>
              <w:tabs>
                <w:tab w:val="left" w:pos="0"/>
              </w:tabs>
              <w:jc w:val="left"/>
              <w:rPr>
                <w:rFonts w:ascii="Arial"/>
                <w:sz w:val="18"/>
                <w:szCs w:val="18"/>
              </w:rPr>
            </w:pPr>
          </w:p>
          <w:p w14:paraId="3D9E0692" w14:textId="77777777" w:rsidR="00D72803" w:rsidRPr="007A16D3" w:rsidRDefault="00D72803" w:rsidP="002F7609">
            <w:pPr>
              <w:pStyle w:val="TableParagraph"/>
              <w:keepNext/>
              <w:tabs>
                <w:tab w:val="left" w:pos="0"/>
              </w:tabs>
              <w:spacing w:before="207"/>
              <w:ind w:left="105" w:right="101"/>
              <w:jc w:val="left"/>
              <w:rPr>
                <w:rFonts w:asciiTheme="minorHAnsi" w:hAnsiTheme="minorHAnsi"/>
                <w:sz w:val="20"/>
                <w:szCs w:val="20"/>
              </w:rPr>
            </w:pPr>
            <w:r w:rsidRPr="007A16D3">
              <w:rPr>
                <w:rFonts w:ascii="Cambria"/>
                <w:sz w:val="20"/>
                <w:szCs w:val="20"/>
              </w:rPr>
              <w:t>Study is still ongoing and median OS not estimable</w:t>
            </w:r>
          </w:p>
        </w:tc>
      </w:tr>
    </w:tbl>
    <w:p w14:paraId="2444CD46" w14:textId="77777777" w:rsidR="00605AD4" w:rsidRDefault="00605AD4" w:rsidP="007103A9">
      <w:pPr>
        <w:pStyle w:val="Heading4"/>
      </w:pPr>
      <w:r w:rsidRPr="00605AD4">
        <w:t>First round assessment of risks</w:t>
      </w:r>
    </w:p>
    <w:p w14:paraId="05B5BCC6" w14:textId="18EC60E7" w:rsidR="007A16D3" w:rsidRPr="00CC23E8" w:rsidRDefault="007A16D3" w:rsidP="007A16D3">
      <w:r>
        <w:t xml:space="preserve">Table 7, shown below, provides a summary of the assessment of risks at the first round of </w:t>
      </w:r>
      <w:proofErr w:type="spellStart"/>
      <w:r>
        <w:t>Blincyto</w:t>
      </w:r>
      <w:proofErr w:type="spellEnd"/>
      <w:r>
        <w:t xml:space="preserve"> </w:t>
      </w:r>
      <w:proofErr w:type="spellStart"/>
      <w:r>
        <w:t>blinatumomab</w:t>
      </w:r>
      <w:proofErr w:type="spellEnd"/>
      <w:r>
        <w:t xml:space="preserve"> for the indications proposed in this submission.</w:t>
      </w:r>
    </w:p>
    <w:p w14:paraId="1F4A563A" w14:textId="5589E2B5" w:rsidR="00B329A8" w:rsidRPr="00B329A8" w:rsidRDefault="00811513" w:rsidP="002F7609">
      <w:pPr>
        <w:pStyle w:val="TableTitle"/>
      </w:pPr>
      <w:r>
        <w:t xml:space="preserve">Table </w:t>
      </w:r>
      <w:r w:rsidR="008C3197">
        <w:t>7</w:t>
      </w:r>
      <w:r w:rsidR="00A407C5">
        <w:t>: First round assessment of risks</w:t>
      </w:r>
    </w:p>
    <w:tbl>
      <w:tblPr>
        <w:tblStyle w:val="TableTGAblue"/>
        <w:tblW w:w="9144" w:type="dxa"/>
        <w:tblLayout w:type="fixed"/>
        <w:tblLook w:val="01E0" w:firstRow="1" w:lastRow="1" w:firstColumn="1" w:lastColumn="1" w:noHBand="0" w:noVBand="0"/>
        <w:tblDescription w:val="Indication, Strengths and Uncertainties"/>
      </w:tblPr>
      <w:tblGrid>
        <w:gridCol w:w="4752"/>
        <w:gridCol w:w="4392"/>
      </w:tblGrid>
      <w:tr w:rsidR="00D72803" w:rsidRPr="00DC3A28" w14:paraId="0B2A1DB0" w14:textId="77777777" w:rsidTr="00654968">
        <w:trPr>
          <w:cnfStyle w:val="100000000000" w:firstRow="1" w:lastRow="0" w:firstColumn="0" w:lastColumn="0" w:oddVBand="0" w:evenVBand="0" w:oddHBand="0" w:evenHBand="0" w:firstRowFirstColumn="0" w:firstRowLastColumn="0" w:lastRowFirstColumn="0" w:lastRowLastColumn="0"/>
          <w:trHeight w:val="498"/>
        </w:trPr>
        <w:tc>
          <w:tcPr>
            <w:tcW w:w="4752" w:type="dxa"/>
          </w:tcPr>
          <w:p w14:paraId="01DAB522" w14:textId="1EB2734D" w:rsidR="00D72803" w:rsidRPr="00654968" w:rsidRDefault="00D72803" w:rsidP="00654968">
            <w:pPr>
              <w:rPr>
                <w:b w:val="0"/>
              </w:rPr>
            </w:pPr>
            <w:r w:rsidRPr="00654968">
              <w:rPr>
                <w:b w:val="0"/>
              </w:rPr>
              <w:t>Risks</w:t>
            </w:r>
          </w:p>
        </w:tc>
        <w:tc>
          <w:tcPr>
            <w:tcW w:w="4392" w:type="dxa"/>
          </w:tcPr>
          <w:p w14:paraId="3E638675" w14:textId="52A3207B" w:rsidR="00D72803" w:rsidRPr="00654968" w:rsidRDefault="00D72803" w:rsidP="00654968">
            <w:pPr>
              <w:rPr>
                <w:b w:val="0"/>
              </w:rPr>
            </w:pPr>
            <w:r w:rsidRPr="00654968">
              <w:rPr>
                <w:b w:val="0"/>
              </w:rPr>
              <w:t>Strengths and Uncertainties</w:t>
            </w:r>
          </w:p>
        </w:tc>
      </w:tr>
      <w:tr w:rsidR="00D72803" w14:paraId="3198FC79" w14:textId="77777777" w:rsidTr="00654968">
        <w:trPr>
          <w:trHeight w:val="1511"/>
        </w:trPr>
        <w:tc>
          <w:tcPr>
            <w:tcW w:w="4752" w:type="dxa"/>
          </w:tcPr>
          <w:p w14:paraId="69C1919F" w14:textId="77777777" w:rsidR="00D72803" w:rsidRPr="007B6D6C" w:rsidRDefault="00D72803" w:rsidP="00654968">
            <w:r w:rsidRPr="007B6D6C">
              <w:t>Key</w:t>
            </w:r>
            <w:r w:rsidR="007103A9" w:rsidRPr="007B6D6C">
              <w:t xml:space="preserve"> </w:t>
            </w:r>
            <w:r w:rsidRPr="007B6D6C">
              <w:t>risks same as in original submission: neurological events, CRS and medication errors</w:t>
            </w:r>
          </w:p>
        </w:tc>
        <w:tc>
          <w:tcPr>
            <w:tcW w:w="4392" w:type="dxa"/>
          </w:tcPr>
          <w:p w14:paraId="41FC72CE" w14:textId="77777777" w:rsidR="00D72803" w:rsidRPr="007B6D6C" w:rsidRDefault="00D72803" w:rsidP="00654968">
            <w:r w:rsidRPr="007B6D6C">
              <w:t>Safety database increased with additional studies and longer term follow up.</w:t>
            </w:r>
          </w:p>
          <w:p w14:paraId="0CCD0DD9" w14:textId="77777777" w:rsidR="00D72803" w:rsidRPr="007B6D6C" w:rsidRDefault="00D72803" w:rsidP="00654968">
            <w:r w:rsidRPr="007B6D6C">
              <w:t>Total safety database = 843 subjects No new safety issues identified</w:t>
            </w:r>
          </w:p>
        </w:tc>
      </w:tr>
    </w:tbl>
    <w:p w14:paraId="551A821A" w14:textId="77777777" w:rsidR="00605AD4" w:rsidRDefault="00605AD4" w:rsidP="007103A9">
      <w:pPr>
        <w:pStyle w:val="Heading4"/>
      </w:pPr>
      <w:r w:rsidRPr="00605AD4">
        <w:t>First round assessment of benefit-risk balance</w:t>
      </w:r>
    </w:p>
    <w:p w14:paraId="74FDF89B" w14:textId="77777777" w:rsidR="00B329A8" w:rsidRDefault="00B329A8" w:rsidP="007103A9">
      <w:r>
        <w:t xml:space="preserve">The benefit-risk balance of </w:t>
      </w:r>
      <w:proofErr w:type="spellStart"/>
      <w:r>
        <w:t>Blincyto</w:t>
      </w:r>
      <w:proofErr w:type="spellEnd"/>
      <w:r>
        <w:t>, given the proposed usage is favourable.</w:t>
      </w:r>
    </w:p>
    <w:p w14:paraId="4E37585B" w14:textId="58CCFDF2" w:rsidR="00605AD4" w:rsidRPr="00605AD4" w:rsidRDefault="00605AD4" w:rsidP="009030A1">
      <w:pPr>
        <w:pStyle w:val="Heading3"/>
        <w:rPr>
          <w:rFonts w:eastAsia="Cambria"/>
        </w:rPr>
      </w:pPr>
      <w:bookmarkStart w:id="83" w:name="_Toc22198183"/>
      <w:r w:rsidRPr="00605AD4">
        <w:rPr>
          <w:rFonts w:eastAsia="Cambria"/>
        </w:rPr>
        <w:lastRenderedPageBreak/>
        <w:t xml:space="preserve">First </w:t>
      </w:r>
      <w:r w:rsidR="00654968" w:rsidRPr="00605AD4">
        <w:rPr>
          <w:rFonts w:eastAsia="Cambria"/>
        </w:rPr>
        <w:t>round recommendation regarding authorisation</w:t>
      </w:r>
      <w:bookmarkEnd w:id="83"/>
    </w:p>
    <w:p w14:paraId="3C457340" w14:textId="77777777" w:rsidR="00B329A8" w:rsidRDefault="00B329A8" w:rsidP="007103A9">
      <w:pPr>
        <w:pStyle w:val="Heading5"/>
      </w:pPr>
      <w:proofErr w:type="spellStart"/>
      <w:r>
        <w:t>Ph</w:t>
      </w:r>
      <w:proofErr w:type="spellEnd"/>
      <w:r>
        <w:t xml:space="preserve"> + R/R ALL</w:t>
      </w:r>
    </w:p>
    <w:p w14:paraId="4F633012" w14:textId="327353EB" w:rsidR="00B329A8" w:rsidRPr="00B329A8" w:rsidRDefault="00B329A8" w:rsidP="007103A9">
      <w:r w:rsidRPr="00B329A8">
        <w:t>The results for the primary efficacy outcome for Study 20120216 were best CR/</w:t>
      </w:r>
      <w:proofErr w:type="spellStart"/>
      <w:r w:rsidRPr="00B329A8">
        <w:t>CRh</w:t>
      </w:r>
      <w:proofErr w:type="spellEnd"/>
      <w:r w:rsidRPr="00B329A8">
        <w:t>*</w:t>
      </w:r>
      <w:r w:rsidR="00A407C5">
        <w:t> </w:t>
      </w:r>
      <w:r w:rsidRPr="00B329A8">
        <w:t>=</w:t>
      </w:r>
      <w:r w:rsidR="00A407C5">
        <w:t> </w:t>
      </w:r>
      <w:r w:rsidRPr="00B329A8">
        <w:t xml:space="preserve">35.6% (16/45 subjects). This was a single, small, open label study. It is known that the response rate for </w:t>
      </w:r>
      <w:proofErr w:type="spellStart"/>
      <w:r w:rsidRPr="00B329A8">
        <w:t>Ph</w:t>
      </w:r>
      <w:proofErr w:type="spellEnd"/>
      <w:r w:rsidRPr="00B329A8">
        <w:t xml:space="preserve">+ ALL is generally </w:t>
      </w:r>
      <w:r w:rsidR="00A407C5">
        <w:t xml:space="preserve">around </w:t>
      </w:r>
      <w:r w:rsidRPr="00B329A8">
        <w:t xml:space="preserve">10% lower than for </w:t>
      </w:r>
      <w:proofErr w:type="spellStart"/>
      <w:r w:rsidRPr="00B329A8">
        <w:t>Ph</w:t>
      </w:r>
      <w:proofErr w:type="spellEnd"/>
      <w:r w:rsidRPr="00B329A8">
        <w:t xml:space="preserve"> ALL. The result of Study 20120216 is consistent with that. Therefore</w:t>
      </w:r>
      <w:r w:rsidR="007B6D6C">
        <w:t>,</w:t>
      </w:r>
      <w:r w:rsidRPr="00B329A8">
        <w:t xml:space="preserve"> despite the single study and small numbers the results suggest sufficient evidence of efficacy to warrant approval. As the study is ongoing and one of the secondary endpoints is overall survival a condition of approval should be that the final report of the study must be submitted for evaluation.</w:t>
      </w:r>
    </w:p>
    <w:p w14:paraId="2B3809DE" w14:textId="77777777" w:rsidR="00B329A8" w:rsidRPr="005979D8" w:rsidRDefault="00B329A8" w:rsidP="007103A9">
      <w:pPr>
        <w:pStyle w:val="Heading5"/>
      </w:pPr>
      <w:proofErr w:type="spellStart"/>
      <w:r w:rsidRPr="005979D8">
        <w:t>Ph</w:t>
      </w:r>
      <w:proofErr w:type="spellEnd"/>
      <w:r w:rsidRPr="005979D8">
        <w:t>- R/R ALL</w:t>
      </w:r>
    </w:p>
    <w:p w14:paraId="1FDF4FA2" w14:textId="419BD6E6" w:rsidR="00B329A8" w:rsidRPr="00B329A8" w:rsidRDefault="00B329A8" w:rsidP="007103A9">
      <w:r w:rsidRPr="00B329A8">
        <w:t xml:space="preserve">Study 0010311, which had overall survival as its primary outcome found that treatment with </w:t>
      </w:r>
      <w:proofErr w:type="spellStart"/>
      <w:r w:rsidR="00121899" w:rsidRPr="00B329A8">
        <w:t>blinatumomab</w:t>
      </w:r>
      <w:proofErr w:type="spellEnd"/>
      <w:r w:rsidR="00121899" w:rsidRPr="00B329A8">
        <w:t>,</w:t>
      </w:r>
      <w:r w:rsidRPr="00B329A8">
        <w:t xml:space="preserve"> provided a survival advantage over SOC chemotherapy. The median survival with </w:t>
      </w:r>
      <w:proofErr w:type="spellStart"/>
      <w:r w:rsidRPr="00B329A8">
        <w:t>blinatumomab</w:t>
      </w:r>
      <w:proofErr w:type="spellEnd"/>
      <w:r w:rsidRPr="00B329A8">
        <w:t xml:space="preserve"> was 7.7 months compared to 4.0</w:t>
      </w:r>
      <w:r w:rsidR="007A16D3">
        <w:t> </w:t>
      </w:r>
      <w:r w:rsidRPr="00B329A8">
        <w:t>months for SOC.</w:t>
      </w:r>
    </w:p>
    <w:p w14:paraId="54FEC65A" w14:textId="77777777" w:rsidR="00B329A8" w:rsidRDefault="00B329A8" w:rsidP="005979D8">
      <w:pPr>
        <w:pStyle w:val="Heading5"/>
      </w:pPr>
      <w:r>
        <w:t>MRD positive R/R ALL</w:t>
      </w:r>
    </w:p>
    <w:p w14:paraId="4D0C55FE" w14:textId="5AA9032B" w:rsidR="00B329A8" w:rsidRPr="00B329A8" w:rsidRDefault="00B329A8" w:rsidP="00B329A8">
      <w:r>
        <w:t xml:space="preserve">There were two studies submitted to support the indication of treatment of MRD positive R/R ALL. These studies were submitted over two applications. In this </w:t>
      </w:r>
      <w:r w:rsidRPr="00B329A8">
        <w:t xml:space="preserve">submission the secondary analysis provided further information on MRD relapse and relapse free survival. The primary analysis (included in the original submission) demonstrated similar results for MRD complete response of </w:t>
      </w:r>
      <w:r w:rsidR="00A407C5">
        <w:t xml:space="preserve">around </w:t>
      </w:r>
      <w:r w:rsidRPr="00B329A8">
        <w:t xml:space="preserve">80% during the first or second cycle. The median RFS has not been reached after median of over 4 years in Study MT103-202 and in the pooled data the median duration </w:t>
      </w:r>
      <w:r w:rsidR="00121899" w:rsidRPr="00B329A8">
        <w:t>of MRD</w:t>
      </w:r>
      <w:r w:rsidRPr="00B329A8">
        <w:t xml:space="preserve"> response was 22.3 months (15.0 to 44.3) as estimated with KM curves. While MRD is considered a surrogate (intermediate) endpoint in patients with complete clinical remission of chronic ALL, overall survival was measured in Study MT103-203 and was improved in subjects with a complete MRD response versus subjects without a response.</w:t>
      </w:r>
    </w:p>
    <w:p w14:paraId="6D4BCF4E" w14:textId="0042F669" w:rsidR="00B329A8" w:rsidRPr="00B329A8" w:rsidRDefault="00B329A8" w:rsidP="00B329A8">
      <w:r w:rsidRPr="00B329A8">
        <w:t xml:space="preserve">In both studies the entry criteria was patients with MRD positive B precursor ALL and were in complete haematological remission (defined as </w:t>
      </w:r>
      <w:r w:rsidR="00093C1B">
        <w:t xml:space="preserve">&lt; </w:t>
      </w:r>
      <w:r w:rsidRPr="00B329A8">
        <w:t>5% blasts in bone marrow after at least 3 intense chemotherapy blocks). This should be reflected in the indication.</w:t>
      </w:r>
    </w:p>
    <w:p w14:paraId="105CE1F8" w14:textId="23F3C90D" w:rsidR="00B329A8" w:rsidRPr="00F86163" w:rsidRDefault="00B329A8" w:rsidP="00F86163">
      <w:r w:rsidRPr="00F86163">
        <w:t>Based on the clinical data submitted</w:t>
      </w:r>
      <w:r w:rsidR="007A16D3">
        <w:t>,</w:t>
      </w:r>
      <w:r w:rsidRPr="00F86163">
        <w:t xml:space="preserve"> approval of </w:t>
      </w:r>
      <w:proofErr w:type="spellStart"/>
      <w:r w:rsidRPr="00F86163">
        <w:t>Blincyto</w:t>
      </w:r>
      <w:proofErr w:type="spellEnd"/>
      <w:r w:rsidRPr="00F86163">
        <w:t xml:space="preserve"> is recommended for the following indication:</w:t>
      </w:r>
    </w:p>
    <w:p w14:paraId="565599AB" w14:textId="725C077C" w:rsidR="00B329A8" w:rsidRPr="007B6D6C" w:rsidRDefault="00B329A8" w:rsidP="00F86163">
      <w:pPr>
        <w:pStyle w:val="ListBullet"/>
        <w:rPr>
          <w:i/>
        </w:rPr>
      </w:pPr>
      <w:proofErr w:type="spellStart"/>
      <w:r w:rsidRPr="007B6D6C">
        <w:rPr>
          <w:i/>
        </w:rPr>
        <w:t>Blincyto</w:t>
      </w:r>
      <w:proofErr w:type="spellEnd"/>
      <w:r w:rsidRPr="007B6D6C">
        <w:rPr>
          <w:i/>
        </w:rPr>
        <w:t xml:space="preserve"> is indicated for the treatment of relapsed or refractory B</w:t>
      </w:r>
      <w:r w:rsidR="00121899" w:rsidRPr="007B6D6C">
        <w:rPr>
          <w:i/>
        </w:rPr>
        <w:t xml:space="preserve"> </w:t>
      </w:r>
      <w:r w:rsidRPr="007B6D6C">
        <w:rPr>
          <w:i/>
        </w:rPr>
        <w:t>cell precursor acute lymphoblastic leukaemia (ALL).</w:t>
      </w:r>
    </w:p>
    <w:p w14:paraId="2CF52644" w14:textId="53C654BC" w:rsidR="00B329A8" w:rsidRPr="007B6D6C" w:rsidRDefault="00B329A8" w:rsidP="00F86163">
      <w:pPr>
        <w:pStyle w:val="ListBullet"/>
        <w:rPr>
          <w:i/>
        </w:rPr>
      </w:pPr>
      <w:proofErr w:type="spellStart"/>
      <w:r w:rsidRPr="007B6D6C">
        <w:rPr>
          <w:i/>
        </w:rPr>
        <w:t>Blincyto</w:t>
      </w:r>
      <w:proofErr w:type="spellEnd"/>
      <w:r w:rsidRPr="007B6D6C">
        <w:rPr>
          <w:i/>
        </w:rPr>
        <w:t xml:space="preserve"> is indicated for the treatment of minimal residual disease (MRD) positive B</w:t>
      </w:r>
      <w:r w:rsidR="00121899" w:rsidRPr="007B6D6C">
        <w:rPr>
          <w:i/>
        </w:rPr>
        <w:t> </w:t>
      </w:r>
      <w:r w:rsidRPr="007B6D6C">
        <w:rPr>
          <w:i/>
        </w:rPr>
        <w:t>cell precursor acute lymphoblastic leukaemia (ALL) in patients in complete haematological remission.</w:t>
      </w:r>
    </w:p>
    <w:p w14:paraId="53C9BCD1" w14:textId="77777777" w:rsidR="00A407C5" w:rsidRPr="007B6D6C" w:rsidRDefault="00A407C5" w:rsidP="007B6D6C">
      <w:pPr>
        <w:ind w:left="360"/>
        <w:rPr>
          <w:i/>
        </w:rPr>
      </w:pPr>
      <w:r w:rsidRPr="007B6D6C">
        <w:rPr>
          <w:i/>
        </w:rPr>
        <w:t>Note to indication: the indications in Philadelphia positive, MRD positive and paediatric patients were approved based on Phase II, non-randomised evidence. An improvement in clinical outcomes by direct prospective comparison in a randomised setting relative to other standard-of-care salvage therapies has not been established.</w:t>
      </w:r>
    </w:p>
    <w:p w14:paraId="091E2578" w14:textId="0BE3D314" w:rsidR="00B329A8" w:rsidRPr="007103A9" w:rsidRDefault="00B329A8" w:rsidP="007103A9">
      <w:r w:rsidRPr="007103A9">
        <w:t xml:space="preserve">It should be a condition of approval that the </w:t>
      </w:r>
      <w:r w:rsidR="0041756E">
        <w:t>sponsor</w:t>
      </w:r>
      <w:r w:rsidRPr="007103A9">
        <w:t xml:space="preserve"> submit the final CSRs for the studies which are still ongoing, </w:t>
      </w:r>
      <w:r w:rsidR="00A407C5">
        <w:t>that is</w:t>
      </w:r>
      <w:r w:rsidR="00A407C5" w:rsidRPr="007103A9">
        <w:t xml:space="preserve"> </w:t>
      </w:r>
      <w:r w:rsidRPr="007103A9">
        <w:t>Studies 20120216, 00103311, and MT103-203.</w:t>
      </w:r>
    </w:p>
    <w:p w14:paraId="6490235D" w14:textId="417949ED" w:rsidR="00605AD4" w:rsidRDefault="00605AD4" w:rsidP="00605AD4">
      <w:pPr>
        <w:pStyle w:val="Heading3"/>
        <w:rPr>
          <w:rFonts w:eastAsia="Cambria"/>
        </w:rPr>
      </w:pPr>
      <w:bookmarkStart w:id="84" w:name="_Toc22198184"/>
      <w:r w:rsidRPr="00605AD4">
        <w:rPr>
          <w:rFonts w:eastAsia="Cambria"/>
        </w:rPr>
        <w:t xml:space="preserve">Second </w:t>
      </w:r>
      <w:r w:rsidR="00654968" w:rsidRPr="00605AD4">
        <w:rPr>
          <w:rFonts w:eastAsia="Cambria"/>
        </w:rPr>
        <w:t>round evaluation</w:t>
      </w:r>
      <w:bookmarkEnd w:id="84"/>
    </w:p>
    <w:p w14:paraId="08A99E86" w14:textId="3158FA87" w:rsidR="0036573A" w:rsidRPr="0036573A" w:rsidRDefault="0036573A" w:rsidP="0036573A">
      <w:r w:rsidRPr="0036573A">
        <w:t xml:space="preserve">No clinical questions were asked and the </w:t>
      </w:r>
      <w:r w:rsidR="0041756E">
        <w:t>sponsor</w:t>
      </w:r>
      <w:r w:rsidRPr="0036573A">
        <w:t xml:space="preserve"> has not submitted any new clinical information. The </w:t>
      </w:r>
      <w:r w:rsidR="0041756E">
        <w:t>sponsor</w:t>
      </w:r>
      <w:r w:rsidRPr="0036573A">
        <w:t xml:space="preserve"> provided comments on the PI</w:t>
      </w:r>
      <w:r w:rsidR="009F04F8">
        <w:t>.</w:t>
      </w:r>
    </w:p>
    <w:p w14:paraId="6E333831" w14:textId="7EACFA8D" w:rsidR="00605AD4" w:rsidRDefault="00605AD4" w:rsidP="00296192">
      <w:pPr>
        <w:pStyle w:val="Heading3"/>
        <w:rPr>
          <w:rFonts w:eastAsia="Cambria"/>
        </w:rPr>
      </w:pPr>
      <w:bookmarkStart w:id="85" w:name="_Toc22198185"/>
      <w:r w:rsidRPr="00605AD4">
        <w:rPr>
          <w:rFonts w:eastAsia="Cambria"/>
        </w:rPr>
        <w:lastRenderedPageBreak/>
        <w:t xml:space="preserve">Second </w:t>
      </w:r>
      <w:r w:rsidR="00654968" w:rsidRPr="00605AD4">
        <w:rPr>
          <w:rFonts w:eastAsia="Cambria"/>
        </w:rPr>
        <w:t>round benefit-risk assessment</w:t>
      </w:r>
      <w:bookmarkEnd w:id="85"/>
    </w:p>
    <w:p w14:paraId="3DFFB4E0" w14:textId="77777777" w:rsidR="00296192" w:rsidRDefault="00296192" w:rsidP="00296192">
      <w:pPr>
        <w:pStyle w:val="Heading4"/>
      </w:pPr>
      <w:r>
        <w:t>Second round assessment of benefits</w:t>
      </w:r>
    </w:p>
    <w:p w14:paraId="15CABFA2" w14:textId="553476CA" w:rsidR="00296192" w:rsidRDefault="00296192" w:rsidP="00296192">
      <w:r>
        <w:t xml:space="preserve">No new clinical information was submitted in response to the first round. Accordingly, the benefits of </w:t>
      </w:r>
      <w:proofErr w:type="spellStart"/>
      <w:r>
        <w:t>Blincyto</w:t>
      </w:r>
      <w:proofErr w:type="spellEnd"/>
      <w:r>
        <w:t xml:space="preserve"> are unchanged from those identified in </w:t>
      </w:r>
      <w:r w:rsidR="00121899">
        <w:t>the first round assessment of benefits</w:t>
      </w:r>
      <w:r w:rsidR="007A16D3">
        <w:t>, shown above.</w:t>
      </w:r>
    </w:p>
    <w:p w14:paraId="1E265D8E" w14:textId="77777777" w:rsidR="00296192" w:rsidRDefault="00296192" w:rsidP="00296192">
      <w:pPr>
        <w:pStyle w:val="Heading4"/>
      </w:pPr>
      <w:r>
        <w:t>Second round assessment of risks</w:t>
      </w:r>
    </w:p>
    <w:p w14:paraId="40DFD0CD" w14:textId="58BE046A" w:rsidR="00296192" w:rsidRDefault="00296192" w:rsidP="00296192">
      <w:r>
        <w:t xml:space="preserve">No new clinical information was submitted in response to the first round. Accordingly, the risks of </w:t>
      </w:r>
      <w:proofErr w:type="spellStart"/>
      <w:r>
        <w:t>Blincyto</w:t>
      </w:r>
      <w:proofErr w:type="spellEnd"/>
      <w:r>
        <w:t xml:space="preserve"> are unchanged from those identified in </w:t>
      </w:r>
      <w:r w:rsidR="00121899">
        <w:t>the first round assessment of risks</w:t>
      </w:r>
      <w:r w:rsidR="007A16D3">
        <w:t>, shown above</w:t>
      </w:r>
      <w:r>
        <w:t>.</w:t>
      </w:r>
    </w:p>
    <w:p w14:paraId="655A157F" w14:textId="77777777" w:rsidR="00296192" w:rsidRDefault="00296192" w:rsidP="00296192">
      <w:pPr>
        <w:pStyle w:val="Heading4"/>
      </w:pPr>
      <w:r>
        <w:t>Second round assessment of benefit-risk balance</w:t>
      </w:r>
    </w:p>
    <w:p w14:paraId="4BF79ED9" w14:textId="77777777" w:rsidR="00296192" w:rsidRPr="00296192" w:rsidRDefault="00296192" w:rsidP="00296192">
      <w:r>
        <w:t>The second round assessment of the benefit-risk balance is favourable.</w:t>
      </w:r>
    </w:p>
    <w:p w14:paraId="7595D261" w14:textId="77777777" w:rsidR="00296192" w:rsidRDefault="00296192" w:rsidP="00296192">
      <w:pPr>
        <w:pStyle w:val="Heading3"/>
      </w:pPr>
      <w:bookmarkStart w:id="86" w:name="_Toc22198186"/>
      <w:r>
        <w:t>Second round recommendation regarding authorisation</w:t>
      </w:r>
      <w:bookmarkEnd w:id="86"/>
    </w:p>
    <w:p w14:paraId="0FB4D47E" w14:textId="77777777" w:rsidR="00296192" w:rsidRDefault="00296192" w:rsidP="00296192">
      <w:r>
        <w:t>The recommendation for approval is unchanged from the first round. Approval is recommended for the following indication:</w:t>
      </w:r>
    </w:p>
    <w:p w14:paraId="2748A5FD" w14:textId="77777777" w:rsidR="00296192" w:rsidRPr="007B6D6C" w:rsidRDefault="00296192" w:rsidP="007B6D6C">
      <w:pPr>
        <w:pStyle w:val="ListBullet"/>
        <w:ind w:left="720"/>
        <w:rPr>
          <w:i/>
        </w:rPr>
      </w:pPr>
      <w:proofErr w:type="spellStart"/>
      <w:r w:rsidRPr="007B6D6C">
        <w:rPr>
          <w:i/>
        </w:rPr>
        <w:t>Blincyto</w:t>
      </w:r>
      <w:proofErr w:type="spellEnd"/>
      <w:r w:rsidRPr="007B6D6C">
        <w:rPr>
          <w:i/>
        </w:rPr>
        <w:t xml:space="preserve"> is indicated for the treatment of relapsed or refractory B-cell precursor acute lymphoblastic leukaemia (ALL).</w:t>
      </w:r>
    </w:p>
    <w:p w14:paraId="2914A7F0" w14:textId="77777777" w:rsidR="00296192" w:rsidRPr="007B6D6C" w:rsidRDefault="00296192" w:rsidP="007B6D6C">
      <w:pPr>
        <w:pStyle w:val="ListBullet"/>
        <w:ind w:left="720"/>
        <w:rPr>
          <w:i/>
        </w:rPr>
      </w:pPr>
      <w:proofErr w:type="spellStart"/>
      <w:r w:rsidRPr="007B6D6C">
        <w:rPr>
          <w:i/>
        </w:rPr>
        <w:t>Blincyto</w:t>
      </w:r>
      <w:proofErr w:type="spellEnd"/>
      <w:r w:rsidRPr="007B6D6C">
        <w:rPr>
          <w:i/>
        </w:rPr>
        <w:t xml:space="preserve"> is indicated for the treatment of minimal residual disease (MRD) positive B-cell precursor acute lymphoblastic leukaemia (ALL) in patients in complete haematological remission.</w:t>
      </w:r>
    </w:p>
    <w:p w14:paraId="187B718A" w14:textId="77777777" w:rsidR="0036573A" w:rsidRPr="007B6D6C" w:rsidRDefault="00296192" w:rsidP="007B6D6C">
      <w:pPr>
        <w:ind w:left="720"/>
        <w:rPr>
          <w:i/>
        </w:rPr>
      </w:pPr>
      <w:r w:rsidRPr="007B6D6C">
        <w:rPr>
          <w:i/>
        </w:rPr>
        <w:t>Note to indication: the indications in Philadelphia positive, MRD positive and paediatric patients were approved based on phase II, non-randomised evidence. An improvement in clinical outcomes by direct prospective comparison in a randomised setting relative to other standard-of-care salvage therapies has not been established.</w:t>
      </w:r>
    </w:p>
    <w:p w14:paraId="52BF7C52" w14:textId="77777777" w:rsidR="008E7846" w:rsidRPr="00E41208" w:rsidRDefault="008E7846" w:rsidP="00546154">
      <w:pPr>
        <w:pStyle w:val="Heading2"/>
      </w:pPr>
      <w:bookmarkStart w:id="87" w:name="_Toc22198187"/>
      <w:r w:rsidRPr="00E41208">
        <w:t>V</w:t>
      </w:r>
      <w:r w:rsidR="00D05669">
        <w:t>I</w:t>
      </w:r>
      <w:r w:rsidRPr="00E41208">
        <w:t xml:space="preserve">. Pharmacovigilance </w:t>
      </w:r>
      <w:r>
        <w:t>f</w:t>
      </w:r>
      <w:r w:rsidRPr="00E41208">
        <w:t>indings</w:t>
      </w:r>
      <w:bookmarkEnd w:id="69"/>
      <w:bookmarkEnd w:id="70"/>
      <w:bookmarkEnd w:id="87"/>
    </w:p>
    <w:p w14:paraId="171130AE" w14:textId="77777777" w:rsidR="008E7846" w:rsidRDefault="00386150" w:rsidP="008E7846">
      <w:pPr>
        <w:pStyle w:val="Heading3"/>
        <w:rPr>
          <w:lang w:eastAsia="en-AU"/>
        </w:rPr>
      </w:pPr>
      <w:bookmarkStart w:id="88" w:name="_Toc247691526"/>
      <w:bookmarkStart w:id="89" w:name="_Toc314842509"/>
      <w:bookmarkStart w:id="90" w:name="_Toc22198188"/>
      <w:r>
        <w:rPr>
          <w:lang w:eastAsia="en-AU"/>
        </w:rPr>
        <w:t>Risk m</w:t>
      </w:r>
      <w:r w:rsidR="008E7846">
        <w:rPr>
          <w:lang w:eastAsia="en-AU"/>
        </w:rPr>
        <w:t xml:space="preserve">anagement </w:t>
      </w:r>
      <w:r>
        <w:rPr>
          <w:lang w:eastAsia="en-AU"/>
        </w:rPr>
        <w:t>p</w:t>
      </w:r>
      <w:r w:rsidR="008E7846">
        <w:rPr>
          <w:lang w:eastAsia="en-AU"/>
        </w:rPr>
        <w:t>lan</w:t>
      </w:r>
      <w:bookmarkEnd w:id="88"/>
      <w:bookmarkEnd w:id="89"/>
      <w:bookmarkEnd w:id="90"/>
    </w:p>
    <w:p w14:paraId="587599C1" w14:textId="20F9A635" w:rsidR="00A722CC" w:rsidRPr="00A722CC" w:rsidRDefault="003A7F6C" w:rsidP="007B6D6C">
      <w:pPr>
        <w:pStyle w:val="Heading4"/>
      </w:pPr>
      <w:r>
        <w:rPr>
          <w:lang w:eastAsia="en-AU"/>
        </w:rPr>
        <w:t>S</w:t>
      </w:r>
      <w:r w:rsidR="00B226CC">
        <w:rPr>
          <w:lang w:eastAsia="en-AU"/>
        </w:rPr>
        <w:t xml:space="preserve">ummary of </w:t>
      </w:r>
      <w:r w:rsidR="005E3131">
        <w:t>risk management plan</w:t>
      </w:r>
      <w:r w:rsidR="00F52D89">
        <w:rPr>
          <w:lang w:eastAsia="en-AU"/>
        </w:rPr>
        <w:t xml:space="preserve"> </w:t>
      </w:r>
      <w:r w:rsidR="00B226CC">
        <w:rPr>
          <w:lang w:eastAsia="en-AU"/>
        </w:rPr>
        <w:t>evaluation</w:t>
      </w:r>
      <w:r w:rsidR="00F12492">
        <w:rPr>
          <w:rStyle w:val="FootnoteReference"/>
          <w:lang w:eastAsia="en-AU"/>
        </w:rPr>
        <w:footnoteReference w:id="6"/>
      </w:r>
      <w:bookmarkStart w:id="91" w:name="_Toc477354123"/>
      <w:bookmarkStart w:id="92" w:name="_Toc247691527"/>
      <w:bookmarkStart w:id="93" w:name="_Toc314842510"/>
    </w:p>
    <w:p w14:paraId="32985496" w14:textId="283C40DC" w:rsidR="00A722CC" w:rsidRPr="003D19CC" w:rsidRDefault="00A722CC" w:rsidP="00A722CC">
      <w:pPr>
        <w:pStyle w:val="ListBullet"/>
      </w:pPr>
      <w:r w:rsidRPr="003D19CC">
        <w:t xml:space="preserve">In July </w:t>
      </w:r>
      <w:r w:rsidRPr="00093C1B">
        <w:t xml:space="preserve">2017, </w:t>
      </w:r>
      <w:proofErr w:type="spellStart"/>
      <w:r w:rsidRPr="00093C1B">
        <w:t>Blincyto</w:t>
      </w:r>
      <w:proofErr w:type="spellEnd"/>
      <w:r w:rsidRPr="00093C1B">
        <w:t xml:space="preserve"> wa</w:t>
      </w:r>
      <w:r w:rsidRPr="003D19CC">
        <w:t xml:space="preserve">s approved by the TGA for use in paediatric patients with Philadelphia chromosome-negative relapsed or refractory B-cell precursor acute </w:t>
      </w:r>
      <w:r w:rsidRPr="003D19CC">
        <w:lastRenderedPageBreak/>
        <w:t>lymphoblastic leukaemia (ALL). The current indication, which includes the treatment of paediatric patients, is as follows:</w:t>
      </w:r>
    </w:p>
    <w:p w14:paraId="18F1BF4F" w14:textId="77777777" w:rsidR="00A722CC" w:rsidRPr="007B6D6C" w:rsidRDefault="00A722CC" w:rsidP="007B6D6C">
      <w:pPr>
        <w:ind w:left="360"/>
        <w:rPr>
          <w:i/>
        </w:rPr>
      </w:pPr>
      <w:r w:rsidRPr="007B6D6C">
        <w:rPr>
          <w:i/>
        </w:rPr>
        <w:t>Treatment of Philadelphia chromosome-negative relapsed or refractory B-cell precursor acute lymphoblastic leukaemia (ALL).</w:t>
      </w:r>
    </w:p>
    <w:p w14:paraId="0D44F1C0" w14:textId="77777777" w:rsidR="00A722CC" w:rsidRPr="00A407C5" w:rsidRDefault="00A722CC" w:rsidP="007B6D6C">
      <w:r w:rsidRPr="00A407C5">
        <w:t xml:space="preserve">For the treatment of relapsed or refractory B-cell precursor ALL, </w:t>
      </w:r>
      <w:proofErr w:type="spellStart"/>
      <w:r w:rsidRPr="00A407C5">
        <w:t>Blincyto</w:t>
      </w:r>
      <w:proofErr w:type="spellEnd"/>
      <w:r w:rsidRPr="00A407C5">
        <w:t xml:space="preserve"> is administered by continuous intravenous infusion on days 1 to 28 with a 14 day treatment–free interval. Patients may receive 2 cycles of induction treatment followed by 3 additional cycles of </w:t>
      </w:r>
      <w:proofErr w:type="spellStart"/>
      <w:r w:rsidRPr="00A407C5">
        <w:t>Blincyto</w:t>
      </w:r>
      <w:proofErr w:type="spellEnd"/>
      <w:r w:rsidRPr="00A407C5">
        <w:t xml:space="preserve"> consolidation treatment. For adults the dosage is fixed dose and for patients less than 45 kg the dose is based on body surface area.</w:t>
      </w:r>
    </w:p>
    <w:p w14:paraId="28FB0122" w14:textId="77777777" w:rsidR="00A722CC" w:rsidRPr="00A407C5" w:rsidRDefault="00A722CC" w:rsidP="007B6D6C">
      <w:r w:rsidRPr="00A407C5">
        <w:t xml:space="preserve">For the treatment of MRD positive B-cell precursor ALL, </w:t>
      </w:r>
      <w:proofErr w:type="spellStart"/>
      <w:r w:rsidRPr="00A407C5">
        <w:t>Blincyto</w:t>
      </w:r>
      <w:proofErr w:type="spellEnd"/>
      <w:r w:rsidRPr="00A407C5">
        <w:t xml:space="preserve"> is administered by continuous intravenous infusion for 28 days followed by a 14 days treatment-free interval. Patients may receive 1 cycle of induction treatment followed by 3 additional cycles of </w:t>
      </w:r>
      <w:proofErr w:type="spellStart"/>
      <w:r w:rsidRPr="00A407C5">
        <w:t>Blincyto</w:t>
      </w:r>
      <w:proofErr w:type="spellEnd"/>
      <w:r w:rsidRPr="00A407C5">
        <w:t xml:space="preserve"> consolidation treatment. The recommended dosage is 28 micrograms per day for patients greater or equal to 45 kg.</w:t>
      </w:r>
    </w:p>
    <w:p w14:paraId="40673989" w14:textId="641C7574" w:rsidR="00A722CC" w:rsidRPr="00DC42C4" w:rsidRDefault="00A722CC" w:rsidP="00A722CC">
      <w:pPr>
        <w:pStyle w:val="ListBullet"/>
      </w:pPr>
      <w:r w:rsidRPr="00E93FDA">
        <w:t>The most recently evaluated EU-</w:t>
      </w:r>
      <w:r w:rsidR="00F52D89" w:rsidRPr="00F52D89">
        <w:t xml:space="preserve"> </w:t>
      </w:r>
      <w:r w:rsidR="00F52D89">
        <w:t>Risk Management Plan</w:t>
      </w:r>
      <w:r w:rsidR="00F52D89" w:rsidRPr="00E93FDA">
        <w:t xml:space="preserve"> </w:t>
      </w:r>
      <w:r w:rsidR="00F52D89">
        <w:t>(</w:t>
      </w:r>
      <w:r w:rsidRPr="00E93FDA">
        <w:t>RMP</w:t>
      </w:r>
      <w:r w:rsidR="00F52D89">
        <w:t>)</w:t>
      </w:r>
      <w:r w:rsidRPr="00E93FDA">
        <w:t xml:space="preserve"> was version 3.2 (dated 28 November 2016 DLP 22 February 2016) and ASA version 5.0 (dated 21</w:t>
      </w:r>
      <w:r w:rsidR="00A407C5">
        <w:t> </w:t>
      </w:r>
      <w:r w:rsidRPr="00E93FDA">
        <w:t>February</w:t>
      </w:r>
      <w:r w:rsidR="00A407C5">
        <w:t> </w:t>
      </w:r>
      <w:r w:rsidRPr="00E93FDA">
        <w:t xml:space="preserve">2017) for the application to extend the indication to include paediatric patients (PM-2016-2016-01898-1-4). In support of </w:t>
      </w:r>
      <w:r w:rsidRPr="00DC42C4">
        <w:t xml:space="preserve">the current extension to indications (PM-2017-01431-1-4), the </w:t>
      </w:r>
      <w:r w:rsidR="0041756E">
        <w:t>sponsor</w:t>
      </w:r>
      <w:r w:rsidRPr="00DC42C4">
        <w:t xml:space="preserve"> has submitted EU-RMP version 4.0 (dated 21 February 2017; DLP 2 December 2016) and ASA version 6.0 (dated 14</w:t>
      </w:r>
      <w:r w:rsidR="00A407C5">
        <w:t> </w:t>
      </w:r>
      <w:r w:rsidRPr="00DC42C4">
        <w:t>April</w:t>
      </w:r>
      <w:r w:rsidR="00A407C5">
        <w:t> </w:t>
      </w:r>
      <w:r w:rsidRPr="00DC42C4">
        <w:t>2017).</w:t>
      </w:r>
    </w:p>
    <w:p w14:paraId="531721D9" w14:textId="09BE4D10" w:rsidR="00A722CC" w:rsidRPr="00DC42C4" w:rsidRDefault="00A722CC" w:rsidP="00A722CC">
      <w:pPr>
        <w:pStyle w:val="ListBullet"/>
      </w:pPr>
      <w:r w:rsidRPr="00DC42C4">
        <w:t>In its response</w:t>
      </w:r>
      <w:r w:rsidR="00093C1B">
        <w:t xml:space="preserve"> to questions</w:t>
      </w:r>
      <w:r w:rsidRPr="00DC42C4">
        <w:t xml:space="preserve">, the </w:t>
      </w:r>
      <w:r w:rsidR="0041756E">
        <w:t>sponsor</w:t>
      </w:r>
      <w:r w:rsidRPr="00DC42C4">
        <w:t xml:space="preserve"> has submitted ASA version 7.0 (dated 4</w:t>
      </w:r>
      <w:r w:rsidR="00093C1B">
        <w:t> </w:t>
      </w:r>
      <w:r w:rsidRPr="00DC42C4">
        <w:t>December 2017). The EU-RMP remains the same at version 4.0 (dated 21</w:t>
      </w:r>
      <w:r w:rsidR="00A407C5">
        <w:t> </w:t>
      </w:r>
      <w:r w:rsidRPr="00DC42C4">
        <w:t>February</w:t>
      </w:r>
      <w:r w:rsidR="00A407C5">
        <w:t> </w:t>
      </w:r>
      <w:r w:rsidRPr="00DC42C4">
        <w:t>2017; DLP 2 December 2016).</w:t>
      </w:r>
    </w:p>
    <w:p w14:paraId="397A5CF2" w14:textId="77777777" w:rsidR="00A722CC" w:rsidRDefault="00A722CC" w:rsidP="00A722CC">
      <w:pPr>
        <w:pStyle w:val="ListBullet"/>
      </w:pPr>
      <w:r w:rsidRPr="00E93FDA">
        <w:t>The proposed Summary of Safety Concerns and their associated risk monitoring and mitigation strategies</w:t>
      </w:r>
      <w:r w:rsidRPr="003D19CC">
        <w:t xml:space="preserve"> are summarised below:</w:t>
      </w:r>
    </w:p>
    <w:p w14:paraId="60958B0F" w14:textId="4499DAC9" w:rsidR="00F86163" w:rsidRPr="005B6383" w:rsidRDefault="00811513" w:rsidP="007B6D6C">
      <w:pPr>
        <w:pStyle w:val="TableTitle"/>
        <w:rPr>
          <w:snapToGrid w:val="0"/>
        </w:rPr>
      </w:pPr>
      <w:r>
        <w:rPr>
          <w:snapToGrid w:val="0"/>
        </w:rPr>
        <w:t xml:space="preserve">Table </w:t>
      </w:r>
      <w:r w:rsidR="008C3197">
        <w:rPr>
          <w:snapToGrid w:val="0"/>
        </w:rPr>
        <w:t>8</w:t>
      </w:r>
      <w:r w:rsidR="00A407C5">
        <w:rPr>
          <w:snapToGrid w:val="0"/>
        </w:rPr>
        <w:t xml:space="preserve">: </w:t>
      </w:r>
      <w:r w:rsidR="00A722CC">
        <w:rPr>
          <w:snapToGrid w:val="0"/>
        </w:rPr>
        <w:t>Summary of safety concerns</w:t>
      </w:r>
    </w:p>
    <w:tbl>
      <w:tblPr>
        <w:tblStyle w:val="TableTGAblue"/>
        <w:tblW w:w="8640" w:type="dxa"/>
        <w:tblLayout w:type="fixed"/>
        <w:tblLook w:val="04A0" w:firstRow="1" w:lastRow="0" w:firstColumn="1" w:lastColumn="0" w:noHBand="0" w:noVBand="1"/>
      </w:tblPr>
      <w:tblGrid>
        <w:gridCol w:w="1100"/>
        <w:gridCol w:w="2977"/>
        <w:gridCol w:w="992"/>
        <w:gridCol w:w="1276"/>
        <w:gridCol w:w="992"/>
        <w:gridCol w:w="1303"/>
      </w:tblGrid>
      <w:tr w:rsidR="007A16D3" w:rsidRPr="00093C1B" w14:paraId="0FFE7EAC" w14:textId="77777777" w:rsidTr="007A16D3">
        <w:trPr>
          <w:cnfStyle w:val="100000000000" w:firstRow="1" w:lastRow="0" w:firstColumn="0" w:lastColumn="0" w:oddVBand="0" w:evenVBand="0" w:oddHBand="0" w:evenHBand="0" w:firstRowFirstColumn="0" w:firstRowLastColumn="0" w:lastRowFirstColumn="0" w:lastRowLastColumn="0"/>
          <w:trHeight w:val="132"/>
        </w:trPr>
        <w:tc>
          <w:tcPr>
            <w:tcW w:w="4077" w:type="dxa"/>
            <w:gridSpan w:val="2"/>
            <w:vMerge w:val="restart"/>
          </w:tcPr>
          <w:p w14:paraId="6404B968" w14:textId="77777777" w:rsidR="00A722CC" w:rsidRPr="007A16D3" w:rsidRDefault="00A722CC" w:rsidP="007B6D6C">
            <w:pPr>
              <w:rPr>
                <w:b w:val="0"/>
                <w:color w:val="auto"/>
                <w:sz w:val="20"/>
                <w:szCs w:val="20"/>
                <w:lang w:eastAsia="en-US"/>
              </w:rPr>
            </w:pPr>
            <w:r w:rsidRPr="007A16D3">
              <w:rPr>
                <w:sz w:val="20"/>
                <w:szCs w:val="20"/>
              </w:rPr>
              <w:t>Summary of safety concerns</w:t>
            </w:r>
          </w:p>
        </w:tc>
        <w:tc>
          <w:tcPr>
            <w:tcW w:w="2268" w:type="dxa"/>
            <w:gridSpan w:val="2"/>
          </w:tcPr>
          <w:p w14:paraId="2449A765" w14:textId="77777777" w:rsidR="00A722CC" w:rsidRPr="007B6D6C" w:rsidRDefault="00A722CC" w:rsidP="007B6D6C">
            <w:pPr>
              <w:rPr>
                <w:sz w:val="18"/>
                <w:szCs w:val="20"/>
              </w:rPr>
            </w:pPr>
            <w:r w:rsidRPr="007B6D6C">
              <w:rPr>
                <w:sz w:val="18"/>
                <w:szCs w:val="20"/>
              </w:rPr>
              <w:t>Pharmacovigilance</w:t>
            </w:r>
          </w:p>
        </w:tc>
        <w:tc>
          <w:tcPr>
            <w:tcW w:w="2295" w:type="dxa"/>
            <w:gridSpan w:val="2"/>
          </w:tcPr>
          <w:p w14:paraId="38A794A6" w14:textId="77777777" w:rsidR="00A722CC" w:rsidRPr="007B6D6C" w:rsidRDefault="00A722CC" w:rsidP="007B6D6C">
            <w:pPr>
              <w:rPr>
                <w:sz w:val="18"/>
                <w:szCs w:val="20"/>
              </w:rPr>
            </w:pPr>
            <w:r w:rsidRPr="007B6D6C">
              <w:rPr>
                <w:sz w:val="18"/>
                <w:szCs w:val="20"/>
              </w:rPr>
              <w:t>Risk Minimisation</w:t>
            </w:r>
          </w:p>
        </w:tc>
      </w:tr>
      <w:tr w:rsidR="007A16D3" w:rsidRPr="00093C1B" w14:paraId="64F5AAF0" w14:textId="77777777" w:rsidTr="007B6D6C">
        <w:trPr>
          <w:trHeight w:val="151"/>
        </w:trPr>
        <w:tc>
          <w:tcPr>
            <w:tcW w:w="4077" w:type="dxa"/>
            <w:gridSpan w:val="2"/>
            <w:vMerge/>
          </w:tcPr>
          <w:p w14:paraId="314E4236" w14:textId="77777777" w:rsidR="00A722CC" w:rsidRPr="007A16D3" w:rsidRDefault="00A722CC" w:rsidP="007A16D3">
            <w:pPr>
              <w:rPr>
                <w:sz w:val="20"/>
                <w:szCs w:val="20"/>
              </w:rPr>
            </w:pPr>
          </w:p>
        </w:tc>
        <w:tc>
          <w:tcPr>
            <w:tcW w:w="992" w:type="dxa"/>
          </w:tcPr>
          <w:p w14:paraId="224ECE29" w14:textId="77777777" w:rsidR="00A722CC" w:rsidRPr="007B6D6C" w:rsidRDefault="00A722CC" w:rsidP="007B6D6C">
            <w:pPr>
              <w:ind w:left="0"/>
              <w:rPr>
                <w:sz w:val="18"/>
                <w:szCs w:val="20"/>
              </w:rPr>
            </w:pPr>
            <w:r w:rsidRPr="007B6D6C">
              <w:rPr>
                <w:sz w:val="18"/>
                <w:szCs w:val="20"/>
              </w:rPr>
              <w:t>Routine</w:t>
            </w:r>
          </w:p>
        </w:tc>
        <w:tc>
          <w:tcPr>
            <w:tcW w:w="1276" w:type="dxa"/>
          </w:tcPr>
          <w:p w14:paraId="4447CBBE" w14:textId="77777777" w:rsidR="00A722CC" w:rsidRPr="007B6D6C" w:rsidRDefault="00A722CC" w:rsidP="007B6D6C">
            <w:pPr>
              <w:ind w:left="0"/>
              <w:rPr>
                <w:sz w:val="18"/>
                <w:szCs w:val="20"/>
              </w:rPr>
            </w:pPr>
            <w:r w:rsidRPr="007B6D6C">
              <w:rPr>
                <w:sz w:val="18"/>
                <w:szCs w:val="20"/>
              </w:rPr>
              <w:t>Additional</w:t>
            </w:r>
          </w:p>
        </w:tc>
        <w:tc>
          <w:tcPr>
            <w:tcW w:w="992" w:type="dxa"/>
          </w:tcPr>
          <w:p w14:paraId="1160117E" w14:textId="77777777" w:rsidR="00A722CC" w:rsidRPr="007B6D6C" w:rsidRDefault="00A722CC" w:rsidP="007B6D6C">
            <w:pPr>
              <w:ind w:left="0"/>
              <w:rPr>
                <w:sz w:val="18"/>
                <w:szCs w:val="20"/>
              </w:rPr>
            </w:pPr>
            <w:r w:rsidRPr="007B6D6C">
              <w:rPr>
                <w:sz w:val="18"/>
                <w:szCs w:val="20"/>
              </w:rPr>
              <w:t>Routine</w:t>
            </w:r>
          </w:p>
        </w:tc>
        <w:tc>
          <w:tcPr>
            <w:tcW w:w="1303" w:type="dxa"/>
          </w:tcPr>
          <w:p w14:paraId="2D8BBD9B" w14:textId="77777777" w:rsidR="00A722CC" w:rsidRPr="007B6D6C" w:rsidRDefault="00A722CC" w:rsidP="007B6D6C">
            <w:pPr>
              <w:ind w:left="0"/>
              <w:rPr>
                <w:sz w:val="18"/>
                <w:szCs w:val="20"/>
              </w:rPr>
            </w:pPr>
            <w:r w:rsidRPr="007B6D6C">
              <w:rPr>
                <w:sz w:val="18"/>
                <w:szCs w:val="20"/>
              </w:rPr>
              <w:t>Additional</w:t>
            </w:r>
          </w:p>
        </w:tc>
      </w:tr>
      <w:tr w:rsidR="007A16D3" w:rsidRPr="00093C1B" w14:paraId="60964735" w14:textId="77777777" w:rsidTr="007A16D3">
        <w:trPr>
          <w:trHeight w:val="138"/>
        </w:trPr>
        <w:tc>
          <w:tcPr>
            <w:tcW w:w="1100" w:type="dxa"/>
            <w:vMerge w:val="restart"/>
          </w:tcPr>
          <w:p w14:paraId="3FABABE7" w14:textId="77777777" w:rsidR="00A722CC" w:rsidRPr="007A16D3" w:rsidRDefault="00A722CC">
            <w:pPr>
              <w:ind w:left="0" w:right="0"/>
              <w:rPr>
                <w:color w:val="auto"/>
                <w:sz w:val="20"/>
                <w:szCs w:val="20"/>
                <w:lang w:eastAsia="en-US"/>
              </w:rPr>
            </w:pPr>
            <w:r w:rsidRPr="007A16D3">
              <w:rPr>
                <w:sz w:val="20"/>
                <w:szCs w:val="20"/>
              </w:rPr>
              <w:t>Important identified risks</w:t>
            </w:r>
          </w:p>
        </w:tc>
        <w:tc>
          <w:tcPr>
            <w:tcW w:w="2977" w:type="dxa"/>
          </w:tcPr>
          <w:p w14:paraId="37EE9A48" w14:textId="77777777" w:rsidR="00A722CC" w:rsidRPr="007A16D3" w:rsidRDefault="00A722CC" w:rsidP="007B6D6C">
            <w:pPr>
              <w:ind w:left="57" w:right="57"/>
              <w:rPr>
                <w:color w:val="auto"/>
                <w:sz w:val="20"/>
                <w:szCs w:val="20"/>
                <w:lang w:eastAsia="en-US"/>
              </w:rPr>
            </w:pPr>
            <w:r w:rsidRPr="007A16D3">
              <w:rPr>
                <w:sz w:val="20"/>
                <w:szCs w:val="20"/>
              </w:rPr>
              <w:t>Neurologic events</w:t>
            </w:r>
          </w:p>
        </w:tc>
        <w:tc>
          <w:tcPr>
            <w:tcW w:w="992" w:type="dxa"/>
          </w:tcPr>
          <w:p w14:paraId="57A17C12" w14:textId="77777777" w:rsidR="00A722CC" w:rsidRPr="007A16D3" w:rsidRDefault="00A722CC" w:rsidP="007A16D3">
            <w:pPr>
              <w:rPr>
                <w:sz w:val="20"/>
                <w:szCs w:val="20"/>
              </w:rPr>
            </w:pPr>
            <w:r w:rsidRPr="007A16D3">
              <w:rPr>
                <w:sz w:val="20"/>
                <w:szCs w:val="20"/>
              </w:rPr>
              <w:sym w:font="Wingdings" w:char="F0FC"/>
            </w:r>
          </w:p>
        </w:tc>
        <w:tc>
          <w:tcPr>
            <w:tcW w:w="1276" w:type="dxa"/>
          </w:tcPr>
          <w:p w14:paraId="6921960E" w14:textId="77777777" w:rsidR="00A722CC" w:rsidRPr="007A16D3" w:rsidRDefault="00A722CC" w:rsidP="007A16D3">
            <w:pPr>
              <w:rPr>
                <w:sz w:val="20"/>
                <w:szCs w:val="20"/>
              </w:rPr>
            </w:pPr>
            <w:r w:rsidRPr="007A16D3">
              <w:rPr>
                <w:sz w:val="20"/>
                <w:szCs w:val="20"/>
              </w:rPr>
              <w:sym w:font="Wingdings" w:char="F0FC"/>
            </w:r>
          </w:p>
        </w:tc>
        <w:tc>
          <w:tcPr>
            <w:tcW w:w="992" w:type="dxa"/>
          </w:tcPr>
          <w:p w14:paraId="488676EB" w14:textId="77777777" w:rsidR="00A722CC" w:rsidRPr="007A16D3" w:rsidRDefault="00A722CC" w:rsidP="007A16D3">
            <w:pPr>
              <w:rPr>
                <w:sz w:val="20"/>
                <w:szCs w:val="20"/>
              </w:rPr>
            </w:pPr>
            <w:r w:rsidRPr="007A16D3">
              <w:rPr>
                <w:sz w:val="20"/>
                <w:szCs w:val="20"/>
              </w:rPr>
              <w:sym w:font="Wingdings" w:char="F0FC"/>
            </w:r>
          </w:p>
        </w:tc>
        <w:tc>
          <w:tcPr>
            <w:tcW w:w="1303" w:type="dxa"/>
          </w:tcPr>
          <w:p w14:paraId="698CFB6C" w14:textId="77777777" w:rsidR="00A722CC" w:rsidRPr="007A16D3" w:rsidRDefault="00A722CC" w:rsidP="007A16D3">
            <w:pPr>
              <w:rPr>
                <w:sz w:val="20"/>
                <w:szCs w:val="20"/>
              </w:rPr>
            </w:pPr>
            <w:r w:rsidRPr="007A16D3">
              <w:rPr>
                <w:sz w:val="20"/>
                <w:szCs w:val="20"/>
              </w:rPr>
              <w:sym w:font="Wingdings" w:char="F0FC"/>
            </w:r>
          </w:p>
        </w:tc>
      </w:tr>
      <w:tr w:rsidR="007A16D3" w:rsidRPr="00093C1B" w14:paraId="69AB3D5C" w14:textId="77777777" w:rsidTr="007A16D3">
        <w:trPr>
          <w:trHeight w:val="70"/>
        </w:trPr>
        <w:tc>
          <w:tcPr>
            <w:tcW w:w="1100" w:type="dxa"/>
            <w:vMerge/>
          </w:tcPr>
          <w:p w14:paraId="0036A874" w14:textId="77777777" w:rsidR="00A722CC" w:rsidRPr="007A16D3" w:rsidRDefault="00A722CC">
            <w:pPr>
              <w:ind w:left="0" w:right="0"/>
              <w:rPr>
                <w:color w:val="auto"/>
                <w:sz w:val="20"/>
                <w:szCs w:val="20"/>
                <w:lang w:eastAsia="en-US"/>
              </w:rPr>
            </w:pPr>
          </w:p>
        </w:tc>
        <w:tc>
          <w:tcPr>
            <w:tcW w:w="2977" w:type="dxa"/>
          </w:tcPr>
          <w:p w14:paraId="4BE928B5" w14:textId="77777777" w:rsidR="00A722CC" w:rsidRPr="007A16D3" w:rsidRDefault="00A722CC" w:rsidP="007B6D6C">
            <w:pPr>
              <w:ind w:left="57" w:right="57"/>
              <w:rPr>
                <w:color w:val="auto"/>
                <w:sz w:val="20"/>
                <w:szCs w:val="20"/>
                <w:lang w:eastAsia="en-US"/>
              </w:rPr>
            </w:pPr>
            <w:r w:rsidRPr="007A16D3">
              <w:rPr>
                <w:sz w:val="20"/>
                <w:szCs w:val="20"/>
              </w:rPr>
              <w:t>Infections</w:t>
            </w:r>
          </w:p>
        </w:tc>
        <w:tc>
          <w:tcPr>
            <w:tcW w:w="992" w:type="dxa"/>
          </w:tcPr>
          <w:p w14:paraId="4ACB74EE" w14:textId="77777777" w:rsidR="00A722CC" w:rsidRPr="007A16D3" w:rsidRDefault="00A722CC" w:rsidP="007A16D3">
            <w:pPr>
              <w:rPr>
                <w:sz w:val="20"/>
                <w:szCs w:val="20"/>
              </w:rPr>
            </w:pPr>
            <w:r w:rsidRPr="007A16D3">
              <w:rPr>
                <w:sz w:val="20"/>
                <w:szCs w:val="20"/>
              </w:rPr>
              <w:sym w:font="Wingdings" w:char="F0FC"/>
            </w:r>
          </w:p>
        </w:tc>
        <w:tc>
          <w:tcPr>
            <w:tcW w:w="1276" w:type="dxa"/>
          </w:tcPr>
          <w:p w14:paraId="7A51BA21" w14:textId="77777777" w:rsidR="00A722CC" w:rsidRPr="007A16D3" w:rsidRDefault="00A722CC" w:rsidP="007A16D3">
            <w:pPr>
              <w:rPr>
                <w:sz w:val="20"/>
                <w:szCs w:val="20"/>
              </w:rPr>
            </w:pPr>
            <w:r w:rsidRPr="007A16D3">
              <w:rPr>
                <w:sz w:val="20"/>
                <w:szCs w:val="20"/>
              </w:rPr>
              <w:sym w:font="Wingdings" w:char="F0FC"/>
            </w:r>
          </w:p>
        </w:tc>
        <w:tc>
          <w:tcPr>
            <w:tcW w:w="992" w:type="dxa"/>
          </w:tcPr>
          <w:p w14:paraId="2C5E84DE" w14:textId="77777777" w:rsidR="00A722CC" w:rsidRPr="007A16D3" w:rsidRDefault="00A722CC" w:rsidP="007A16D3">
            <w:pPr>
              <w:rPr>
                <w:sz w:val="20"/>
                <w:szCs w:val="20"/>
              </w:rPr>
            </w:pPr>
            <w:r w:rsidRPr="007A16D3">
              <w:rPr>
                <w:sz w:val="20"/>
                <w:szCs w:val="20"/>
              </w:rPr>
              <w:sym w:font="Wingdings" w:char="F0FC"/>
            </w:r>
          </w:p>
        </w:tc>
        <w:tc>
          <w:tcPr>
            <w:tcW w:w="1303" w:type="dxa"/>
          </w:tcPr>
          <w:p w14:paraId="411BFC4F" w14:textId="77777777" w:rsidR="00A722CC" w:rsidRPr="007A16D3" w:rsidRDefault="00A722CC" w:rsidP="007A16D3">
            <w:pPr>
              <w:rPr>
                <w:sz w:val="20"/>
                <w:szCs w:val="20"/>
              </w:rPr>
            </w:pPr>
            <w:r w:rsidRPr="007A16D3">
              <w:rPr>
                <w:sz w:val="20"/>
                <w:szCs w:val="20"/>
              </w:rPr>
              <w:t>–</w:t>
            </w:r>
          </w:p>
        </w:tc>
      </w:tr>
      <w:tr w:rsidR="007A16D3" w:rsidRPr="00093C1B" w14:paraId="755728E1" w14:textId="77777777" w:rsidTr="007A16D3">
        <w:trPr>
          <w:trHeight w:val="131"/>
        </w:trPr>
        <w:tc>
          <w:tcPr>
            <w:tcW w:w="1100" w:type="dxa"/>
            <w:vMerge/>
          </w:tcPr>
          <w:p w14:paraId="695DEA61" w14:textId="77777777" w:rsidR="00A722CC" w:rsidRPr="007A16D3" w:rsidRDefault="00A722CC">
            <w:pPr>
              <w:ind w:left="0" w:right="0"/>
              <w:rPr>
                <w:color w:val="auto"/>
                <w:sz w:val="20"/>
                <w:szCs w:val="20"/>
                <w:lang w:eastAsia="en-US"/>
              </w:rPr>
            </w:pPr>
          </w:p>
        </w:tc>
        <w:tc>
          <w:tcPr>
            <w:tcW w:w="2977" w:type="dxa"/>
          </w:tcPr>
          <w:p w14:paraId="52F58406" w14:textId="77777777" w:rsidR="00A722CC" w:rsidRPr="007A16D3" w:rsidRDefault="00A722CC" w:rsidP="007B6D6C">
            <w:pPr>
              <w:ind w:left="57" w:right="57"/>
              <w:rPr>
                <w:color w:val="auto"/>
                <w:sz w:val="20"/>
                <w:szCs w:val="20"/>
                <w:lang w:eastAsia="en-US"/>
              </w:rPr>
            </w:pPr>
            <w:r w:rsidRPr="007A16D3">
              <w:rPr>
                <w:sz w:val="20"/>
                <w:szCs w:val="20"/>
              </w:rPr>
              <w:t>Cytokine release syndrome</w:t>
            </w:r>
          </w:p>
        </w:tc>
        <w:tc>
          <w:tcPr>
            <w:tcW w:w="992" w:type="dxa"/>
          </w:tcPr>
          <w:p w14:paraId="2FD6AC87" w14:textId="77777777" w:rsidR="00A722CC" w:rsidRPr="007A16D3" w:rsidRDefault="00A722CC" w:rsidP="007A16D3">
            <w:pPr>
              <w:rPr>
                <w:sz w:val="20"/>
                <w:szCs w:val="20"/>
              </w:rPr>
            </w:pPr>
            <w:r w:rsidRPr="007A16D3">
              <w:rPr>
                <w:sz w:val="20"/>
                <w:szCs w:val="20"/>
              </w:rPr>
              <w:sym w:font="Wingdings" w:char="F0FC"/>
            </w:r>
          </w:p>
        </w:tc>
        <w:tc>
          <w:tcPr>
            <w:tcW w:w="1276" w:type="dxa"/>
          </w:tcPr>
          <w:p w14:paraId="59A5826B" w14:textId="77777777" w:rsidR="00A722CC" w:rsidRPr="007A16D3" w:rsidRDefault="00A722CC" w:rsidP="007A16D3">
            <w:pPr>
              <w:rPr>
                <w:sz w:val="20"/>
                <w:szCs w:val="20"/>
              </w:rPr>
            </w:pPr>
            <w:r w:rsidRPr="007A16D3">
              <w:rPr>
                <w:sz w:val="20"/>
                <w:szCs w:val="20"/>
              </w:rPr>
              <w:sym w:font="Wingdings" w:char="F0FC"/>
            </w:r>
          </w:p>
        </w:tc>
        <w:tc>
          <w:tcPr>
            <w:tcW w:w="992" w:type="dxa"/>
          </w:tcPr>
          <w:p w14:paraId="3D8938BC" w14:textId="77777777" w:rsidR="00A722CC" w:rsidRPr="007A16D3" w:rsidRDefault="00A722CC" w:rsidP="007A16D3">
            <w:pPr>
              <w:rPr>
                <w:sz w:val="20"/>
                <w:szCs w:val="20"/>
              </w:rPr>
            </w:pPr>
            <w:r w:rsidRPr="007A16D3">
              <w:rPr>
                <w:sz w:val="20"/>
                <w:szCs w:val="20"/>
              </w:rPr>
              <w:sym w:font="Wingdings" w:char="F0FC"/>
            </w:r>
          </w:p>
        </w:tc>
        <w:tc>
          <w:tcPr>
            <w:tcW w:w="1303" w:type="dxa"/>
          </w:tcPr>
          <w:p w14:paraId="5452536C" w14:textId="77777777" w:rsidR="00A722CC" w:rsidRPr="007A16D3" w:rsidRDefault="00A722CC" w:rsidP="007A16D3">
            <w:pPr>
              <w:rPr>
                <w:sz w:val="20"/>
                <w:szCs w:val="20"/>
              </w:rPr>
            </w:pPr>
            <w:r w:rsidRPr="007A16D3">
              <w:rPr>
                <w:sz w:val="20"/>
                <w:szCs w:val="20"/>
              </w:rPr>
              <w:sym w:font="Wingdings" w:char="F0FC"/>
            </w:r>
          </w:p>
        </w:tc>
      </w:tr>
      <w:tr w:rsidR="007A16D3" w:rsidRPr="00093C1B" w14:paraId="6158A928" w14:textId="77777777" w:rsidTr="007A16D3">
        <w:trPr>
          <w:trHeight w:val="151"/>
        </w:trPr>
        <w:tc>
          <w:tcPr>
            <w:tcW w:w="1100" w:type="dxa"/>
            <w:vMerge/>
          </w:tcPr>
          <w:p w14:paraId="2BC826FE" w14:textId="77777777" w:rsidR="00A722CC" w:rsidRPr="007A16D3" w:rsidRDefault="00A722CC">
            <w:pPr>
              <w:ind w:left="0" w:right="0"/>
              <w:rPr>
                <w:color w:val="auto"/>
                <w:sz w:val="20"/>
                <w:szCs w:val="20"/>
                <w:lang w:eastAsia="en-US"/>
              </w:rPr>
            </w:pPr>
          </w:p>
        </w:tc>
        <w:tc>
          <w:tcPr>
            <w:tcW w:w="2977" w:type="dxa"/>
          </w:tcPr>
          <w:p w14:paraId="388C9D70" w14:textId="77777777" w:rsidR="00A722CC" w:rsidRPr="007A16D3" w:rsidRDefault="00A722CC" w:rsidP="007B6D6C">
            <w:pPr>
              <w:ind w:left="57" w:right="57"/>
              <w:rPr>
                <w:color w:val="auto"/>
                <w:sz w:val="20"/>
                <w:szCs w:val="20"/>
                <w:lang w:eastAsia="en-US"/>
              </w:rPr>
            </w:pPr>
            <w:r w:rsidRPr="007A16D3">
              <w:rPr>
                <w:sz w:val="20"/>
                <w:szCs w:val="20"/>
              </w:rPr>
              <w:t>Infusion reactions</w:t>
            </w:r>
          </w:p>
        </w:tc>
        <w:tc>
          <w:tcPr>
            <w:tcW w:w="992" w:type="dxa"/>
          </w:tcPr>
          <w:p w14:paraId="0580B040" w14:textId="77777777" w:rsidR="00A722CC" w:rsidRPr="007A16D3" w:rsidRDefault="00A722CC" w:rsidP="007A16D3">
            <w:pPr>
              <w:rPr>
                <w:sz w:val="20"/>
                <w:szCs w:val="20"/>
              </w:rPr>
            </w:pPr>
            <w:r w:rsidRPr="007A16D3">
              <w:rPr>
                <w:sz w:val="20"/>
                <w:szCs w:val="20"/>
              </w:rPr>
              <w:sym w:font="Wingdings" w:char="F0FC"/>
            </w:r>
          </w:p>
        </w:tc>
        <w:tc>
          <w:tcPr>
            <w:tcW w:w="1276" w:type="dxa"/>
          </w:tcPr>
          <w:p w14:paraId="34F64391" w14:textId="77777777" w:rsidR="00A722CC" w:rsidRPr="007A16D3" w:rsidRDefault="00A722CC" w:rsidP="007A16D3">
            <w:pPr>
              <w:rPr>
                <w:sz w:val="20"/>
                <w:szCs w:val="20"/>
              </w:rPr>
            </w:pPr>
            <w:r w:rsidRPr="007A16D3">
              <w:rPr>
                <w:sz w:val="20"/>
                <w:szCs w:val="20"/>
              </w:rPr>
              <w:sym w:font="Wingdings" w:char="F0FC"/>
            </w:r>
          </w:p>
        </w:tc>
        <w:tc>
          <w:tcPr>
            <w:tcW w:w="992" w:type="dxa"/>
          </w:tcPr>
          <w:p w14:paraId="668AF3FB" w14:textId="77777777" w:rsidR="00A722CC" w:rsidRPr="007A16D3" w:rsidRDefault="00A722CC" w:rsidP="007A16D3">
            <w:pPr>
              <w:rPr>
                <w:sz w:val="20"/>
                <w:szCs w:val="20"/>
              </w:rPr>
            </w:pPr>
            <w:r w:rsidRPr="007A16D3">
              <w:rPr>
                <w:sz w:val="20"/>
                <w:szCs w:val="20"/>
              </w:rPr>
              <w:sym w:font="Wingdings" w:char="F0FC"/>
            </w:r>
          </w:p>
        </w:tc>
        <w:tc>
          <w:tcPr>
            <w:tcW w:w="1303" w:type="dxa"/>
          </w:tcPr>
          <w:p w14:paraId="7BBECA02" w14:textId="77777777" w:rsidR="00A722CC" w:rsidRPr="007A16D3" w:rsidRDefault="00A722CC" w:rsidP="007A16D3">
            <w:pPr>
              <w:rPr>
                <w:sz w:val="20"/>
                <w:szCs w:val="20"/>
              </w:rPr>
            </w:pPr>
            <w:r w:rsidRPr="007A16D3">
              <w:rPr>
                <w:sz w:val="20"/>
                <w:szCs w:val="20"/>
              </w:rPr>
              <w:t>–</w:t>
            </w:r>
          </w:p>
        </w:tc>
      </w:tr>
      <w:tr w:rsidR="007A16D3" w:rsidRPr="00093C1B" w14:paraId="2BA75608" w14:textId="77777777" w:rsidTr="007A16D3">
        <w:trPr>
          <w:trHeight w:val="131"/>
        </w:trPr>
        <w:tc>
          <w:tcPr>
            <w:tcW w:w="1100" w:type="dxa"/>
            <w:vMerge/>
          </w:tcPr>
          <w:p w14:paraId="215E5C3E" w14:textId="77777777" w:rsidR="00A722CC" w:rsidRPr="007A16D3" w:rsidRDefault="00A722CC">
            <w:pPr>
              <w:ind w:left="0" w:right="0"/>
              <w:rPr>
                <w:color w:val="auto"/>
                <w:sz w:val="20"/>
                <w:szCs w:val="20"/>
                <w:lang w:eastAsia="en-US"/>
              </w:rPr>
            </w:pPr>
          </w:p>
        </w:tc>
        <w:tc>
          <w:tcPr>
            <w:tcW w:w="2977" w:type="dxa"/>
          </w:tcPr>
          <w:p w14:paraId="3C0581E7" w14:textId="77777777" w:rsidR="00A722CC" w:rsidRPr="007A16D3" w:rsidRDefault="00A722CC" w:rsidP="007B6D6C">
            <w:pPr>
              <w:ind w:left="57" w:right="57"/>
              <w:rPr>
                <w:color w:val="auto"/>
                <w:sz w:val="20"/>
                <w:szCs w:val="20"/>
                <w:lang w:eastAsia="en-US"/>
              </w:rPr>
            </w:pPr>
            <w:proofErr w:type="spellStart"/>
            <w:r w:rsidRPr="007A16D3">
              <w:rPr>
                <w:sz w:val="20"/>
                <w:szCs w:val="20"/>
              </w:rPr>
              <w:t>Tumor</w:t>
            </w:r>
            <w:proofErr w:type="spellEnd"/>
            <w:r w:rsidRPr="007A16D3">
              <w:rPr>
                <w:sz w:val="20"/>
                <w:szCs w:val="20"/>
              </w:rPr>
              <w:t xml:space="preserve"> lysis syndrome</w:t>
            </w:r>
          </w:p>
        </w:tc>
        <w:tc>
          <w:tcPr>
            <w:tcW w:w="992" w:type="dxa"/>
          </w:tcPr>
          <w:p w14:paraId="3A554A6B" w14:textId="77777777" w:rsidR="00A722CC" w:rsidRPr="007A16D3" w:rsidRDefault="00A722CC" w:rsidP="007A16D3">
            <w:pPr>
              <w:rPr>
                <w:sz w:val="20"/>
                <w:szCs w:val="20"/>
              </w:rPr>
            </w:pPr>
            <w:r w:rsidRPr="007A16D3">
              <w:rPr>
                <w:sz w:val="20"/>
                <w:szCs w:val="20"/>
              </w:rPr>
              <w:sym w:font="Wingdings" w:char="F0FC"/>
            </w:r>
          </w:p>
        </w:tc>
        <w:tc>
          <w:tcPr>
            <w:tcW w:w="1276" w:type="dxa"/>
          </w:tcPr>
          <w:p w14:paraId="7514B9FE" w14:textId="77777777" w:rsidR="00A722CC" w:rsidRPr="007A16D3" w:rsidRDefault="00A722CC" w:rsidP="007A16D3">
            <w:pPr>
              <w:rPr>
                <w:sz w:val="20"/>
                <w:szCs w:val="20"/>
              </w:rPr>
            </w:pPr>
            <w:r w:rsidRPr="007A16D3">
              <w:rPr>
                <w:sz w:val="20"/>
                <w:szCs w:val="20"/>
              </w:rPr>
              <w:sym w:font="Wingdings" w:char="F0FC"/>
            </w:r>
          </w:p>
        </w:tc>
        <w:tc>
          <w:tcPr>
            <w:tcW w:w="992" w:type="dxa"/>
          </w:tcPr>
          <w:p w14:paraId="37303E49" w14:textId="77777777" w:rsidR="00A722CC" w:rsidRPr="007A16D3" w:rsidRDefault="00A722CC" w:rsidP="007A16D3">
            <w:pPr>
              <w:rPr>
                <w:sz w:val="20"/>
                <w:szCs w:val="20"/>
              </w:rPr>
            </w:pPr>
            <w:r w:rsidRPr="007A16D3">
              <w:rPr>
                <w:sz w:val="20"/>
                <w:szCs w:val="20"/>
              </w:rPr>
              <w:sym w:font="Wingdings" w:char="F0FC"/>
            </w:r>
          </w:p>
        </w:tc>
        <w:tc>
          <w:tcPr>
            <w:tcW w:w="1303" w:type="dxa"/>
          </w:tcPr>
          <w:p w14:paraId="50D2377B" w14:textId="77777777" w:rsidR="00A722CC" w:rsidRPr="007A16D3" w:rsidRDefault="00A722CC" w:rsidP="007A16D3">
            <w:pPr>
              <w:rPr>
                <w:sz w:val="20"/>
                <w:szCs w:val="20"/>
              </w:rPr>
            </w:pPr>
            <w:r w:rsidRPr="007A16D3">
              <w:rPr>
                <w:sz w:val="20"/>
                <w:szCs w:val="20"/>
              </w:rPr>
              <w:t>–</w:t>
            </w:r>
          </w:p>
        </w:tc>
      </w:tr>
      <w:tr w:rsidR="007A16D3" w:rsidRPr="00093C1B" w14:paraId="2331A380" w14:textId="77777777" w:rsidTr="007A16D3">
        <w:trPr>
          <w:trHeight w:val="121"/>
        </w:trPr>
        <w:tc>
          <w:tcPr>
            <w:tcW w:w="1100" w:type="dxa"/>
            <w:vMerge/>
          </w:tcPr>
          <w:p w14:paraId="4D9C3D68" w14:textId="77777777" w:rsidR="00A722CC" w:rsidRPr="007A16D3" w:rsidRDefault="00A722CC">
            <w:pPr>
              <w:ind w:left="0" w:right="0"/>
              <w:rPr>
                <w:color w:val="auto"/>
                <w:sz w:val="20"/>
                <w:szCs w:val="20"/>
                <w:lang w:eastAsia="en-US"/>
              </w:rPr>
            </w:pPr>
          </w:p>
        </w:tc>
        <w:tc>
          <w:tcPr>
            <w:tcW w:w="2977" w:type="dxa"/>
          </w:tcPr>
          <w:p w14:paraId="7DECAA13" w14:textId="77777777" w:rsidR="00A722CC" w:rsidRPr="007A16D3" w:rsidRDefault="00A722CC" w:rsidP="007B6D6C">
            <w:pPr>
              <w:ind w:left="57" w:right="57"/>
              <w:rPr>
                <w:color w:val="auto"/>
                <w:sz w:val="20"/>
                <w:szCs w:val="20"/>
                <w:lang w:eastAsia="en-US"/>
              </w:rPr>
            </w:pPr>
            <w:r w:rsidRPr="007A16D3">
              <w:rPr>
                <w:sz w:val="20"/>
                <w:szCs w:val="20"/>
              </w:rPr>
              <w:t>Capillary leak syndrome</w:t>
            </w:r>
          </w:p>
        </w:tc>
        <w:tc>
          <w:tcPr>
            <w:tcW w:w="992" w:type="dxa"/>
          </w:tcPr>
          <w:p w14:paraId="7B459F4C" w14:textId="77777777" w:rsidR="00A722CC" w:rsidRPr="007A16D3" w:rsidRDefault="00A722CC" w:rsidP="007A16D3">
            <w:pPr>
              <w:rPr>
                <w:sz w:val="20"/>
                <w:szCs w:val="20"/>
              </w:rPr>
            </w:pPr>
            <w:r w:rsidRPr="007A16D3">
              <w:rPr>
                <w:sz w:val="20"/>
                <w:szCs w:val="20"/>
              </w:rPr>
              <w:sym w:font="Wingdings" w:char="F0FC"/>
            </w:r>
          </w:p>
        </w:tc>
        <w:tc>
          <w:tcPr>
            <w:tcW w:w="1276" w:type="dxa"/>
          </w:tcPr>
          <w:p w14:paraId="38FD2550" w14:textId="77777777" w:rsidR="00A722CC" w:rsidRPr="007A16D3" w:rsidRDefault="00A722CC" w:rsidP="007A16D3">
            <w:pPr>
              <w:rPr>
                <w:sz w:val="20"/>
                <w:szCs w:val="20"/>
              </w:rPr>
            </w:pPr>
            <w:r w:rsidRPr="007A16D3">
              <w:rPr>
                <w:sz w:val="20"/>
                <w:szCs w:val="20"/>
              </w:rPr>
              <w:sym w:font="Wingdings" w:char="F0FC"/>
            </w:r>
          </w:p>
        </w:tc>
        <w:tc>
          <w:tcPr>
            <w:tcW w:w="992" w:type="dxa"/>
          </w:tcPr>
          <w:p w14:paraId="628D4DE5" w14:textId="77777777" w:rsidR="00A722CC" w:rsidRPr="007A16D3" w:rsidRDefault="00A722CC" w:rsidP="007A16D3">
            <w:pPr>
              <w:rPr>
                <w:sz w:val="20"/>
                <w:szCs w:val="20"/>
              </w:rPr>
            </w:pPr>
            <w:r w:rsidRPr="007A16D3">
              <w:rPr>
                <w:sz w:val="20"/>
                <w:szCs w:val="20"/>
              </w:rPr>
              <w:sym w:font="Wingdings" w:char="F0FC"/>
            </w:r>
          </w:p>
        </w:tc>
        <w:tc>
          <w:tcPr>
            <w:tcW w:w="1303" w:type="dxa"/>
          </w:tcPr>
          <w:p w14:paraId="61F2303E" w14:textId="77777777" w:rsidR="00A722CC" w:rsidRPr="007A16D3" w:rsidRDefault="00A722CC" w:rsidP="007A16D3">
            <w:pPr>
              <w:rPr>
                <w:sz w:val="20"/>
                <w:szCs w:val="20"/>
              </w:rPr>
            </w:pPr>
            <w:r w:rsidRPr="007A16D3">
              <w:rPr>
                <w:sz w:val="20"/>
                <w:szCs w:val="20"/>
              </w:rPr>
              <w:t>–</w:t>
            </w:r>
          </w:p>
        </w:tc>
      </w:tr>
      <w:tr w:rsidR="007A16D3" w:rsidRPr="00093C1B" w14:paraId="59632AA9" w14:textId="77777777" w:rsidTr="007A16D3">
        <w:trPr>
          <w:trHeight w:val="141"/>
        </w:trPr>
        <w:tc>
          <w:tcPr>
            <w:tcW w:w="1100" w:type="dxa"/>
            <w:vMerge/>
          </w:tcPr>
          <w:p w14:paraId="425A2B55" w14:textId="77777777" w:rsidR="00A722CC" w:rsidRPr="007A16D3" w:rsidRDefault="00A722CC">
            <w:pPr>
              <w:ind w:left="0" w:right="0"/>
              <w:rPr>
                <w:color w:val="auto"/>
                <w:sz w:val="20"/>
                <w:szCs w:val="20"/>
                <w:lang w:eastAsia="en-US"/>
              </w:rPr>
            </w:pPr>
          </w:p>
        </w:tc>
        <w:tc>
          <w:tcPr>
            <w:tcW w:w="2977" w:type="dxa"/>
          </w:tcPr>
          <w:p w14:paraId="183D40CF" w14:textId="77777777" w:rsidR="00A722CC" w:rsidRPr="007A16D3" w:rsidRDefault="00A722CC" w:rsidP="007B6D6C">
            <w:pPr>
              <w:ind w:left="57" w:right="57"/>
              <w:rPr>
                <w:color w:val="auto"/>
                <w:sz w:val="20"/>
                <w:szCs w:val="20"/>
                <w:lang w:eastAsia="en-US"/>
              </w:rPr>
            </w:pPr>
            <w:r w:rsidRPr="007A16D3">
              <w:rPr>
                <w:sz w:val="20"/>
                <w:szCs w:val="20"/>
              </w:rPr>
              <w:t>Elevated liver enzymes</w:t>
            </w:r>
          </w:p>
        </w:tc>
        <w:tc>
          <w:tcPr>
            <w:tcW w:w="992" w:type="dxa"/>
          </w:tcPr>
          <w:p w14:paraId="00EC1261" w14:textId="77777777" w:rsidR="00A722CC" w:rsidRPr="007A16D3" w:rsidRDefault="00A722CC" w:rsidP="007A16D3">
            <w:pPr>
              <w:rPr>
                <w:sz w:val="20"/>
                <w:szCs w:val="20"/>
              </w:rPr>
            </w:pPr>
            <w:r w:rsidRPr="007A16D3">
              <w:rPr>
                <w:sz w:val="20"/>
                <w:szCs w:val="20"/>
              </w:rPr>
              <w:sym w:font="Wingdings" w:char="F0FC"/>
            </w:r>
          </w:p>
        </w:tc>
        <w:tc>
          <w:tcPr>
            <w:tcW w:w="1276" w:type="dxa"/>
          </w:tcPr>
          <w:p w14:paraId="7B89CA28" w14:textId="77777777" w:rsidR="00A722CC" w:rsidRPr="007A16D3" w:rsidRDefault="00A722CC" w:rsidP="007A16D3">
            <w:pPr>
              <w:rPr>
                <w:sz w:val="20"/>
                <w:szCs w:val="20"/>
              </w:rPr>
            </w:pPr>
            <w:r w:rsidRPr="007A16D3">
              <w:rPr>
                <w:sz w:val="20"/>
                <w:szCs w:val="20"/>
              </w:rPr>
              <w:sym w:font="Wingdings" w:char="F0FC"/>
            </w:r>
          </w:p>
        </w:tc>
        <w:tc>
          <w:tcPr>
            <w:tcW w:w="992" w:type="dxa"/>
          </w:tcPr>
          <w:p w14:paraId="701D6634" w14:textId="77777777" w:rsidR="00A722CC" w:rsidRPr="007A16D3" w:rsidRDefault="00A722CC" w:rsidP="007A16D3">
            <w:pPr>
              <w:rPr>
                <w:sz w:val="20"/>
                <w:szCs w:val="20"/>
              </w:rPr>
            </w:pPr>
            <w:r w:rsidRPr="007A16D3">
              <w:rPr>
                <w:sz w:val="20"/>
                <w:szCs w:val="20"/>
              </w:rPr>
              <w:sym w:font="Wingdings" w:char="F0FC"/>
            </w:r>
          </w:p>
        </w:tc>
        <w:tc>
          <w:tcPr>
            <w:tcW w:w="1303" w:type="dxa"/>
          </w:tcPr>
          <w:p w14:paraId="32E6C011" w14:textId="77777777" w:rsidR="00A722CC" w:rsidRPr="007A16D3" w:rsidRDefault="00A722CC" w:rsidP="007A16D3">
            <w:pPr>
              <w:rPr>
                <w:sz w:val="20"/>
                <w:szCs w:val="20"/>
              </w:rPr>
            </w:pPr>
            <w:r w:rsidRPr="007A16D3">
              <w:rPr>
                <w:sz w:val="20"/>
                <w:szCs w:val="20"/>
              </w:rPr>
              <w:t>–</w:t>
            </w:r>
          </w:p>
        </w:tc>
      </w:tr>
      <w:tr w:rsidR="007A16D3" w:rsidRPr="00093C1B" w14:paraId="1B9968F8" w14:textId="77777777" w:rsidTr="007A16D3">
        <w:trPr>
          <w:trHeight w:val="161"/>
        </w:trPr>
        <w:tc>
          <w:tcPr>
            <w:tcW w:w="1100" w:type="dxa"/>
            <w:vMerge/>
          </w:tcPr>
          <w:p w14:paraId="4C68711B" w14:textId="77777777" w:rsidR="00A722CC" w:rsidRPr="007A16D3" w:rsidRDefault="00A722CC">
            <w:pPr>
              <w:ind w:left="0" w:right="0"/>
              <w:rPr>
                <w:color w:val="auto"/>
                <w:sz w:val="20"/>
                <w:szCs w:val="20"/>
                <w:lang w:eastAsia="en-US"/>
              </w:rPr>
            </w:pPr>
          </w:p>
        </w:tc>
        <w:tc>
          <w:tcPr>
            <w:tcW w:w="2977" w:type="dxa"/>
          </w:tcPr>
          <w:p w14:paraId="5DC7FF3C" w14:textId="77777777" w:rsidR="00A722CC" w:rsidRPr="007A16D3" w:rsidRDefault="00A722CC" w:rsidP="007B6D6C">
            <w:pPr>
              <w:ind w:left="57" w:right="57"/>
              <w:rPr>
                <w:color w:val="auto"/>
                <w:sz w:val="20"/>
                <w:szCs w:val="20"/>
                <w:lang w:eastAsia="en-US"/>
              </w:rPr>
            </w:pPr>
            <w:r w:rsidRPr="007A16D3">
              <w:rPr>
                <w:sz w:val="20"/>
                <w:szCs w:val="20"/>
              </w:rPr>
              <w:t>Medication errors</w:t>
            </w:r>
          </w:p>
        </w:tc>
        <w:tc>
          <w:tcPr>
            <w:tcW w:w="992" w:type="dxa"/>
          </w:tcPr>
          <w:p w14:paraId="5C978640" w14:textId="77777777" w:rsidR="00A722CC" w:rsidRPr="007A16D3" w:rsidRDefault="00A722CC" w:rsidP="007A16D3">
            <w:pPr>
              <w:rPr>
                <w:sz w:val="20"/>
                <w:szCs w:val="20"/>
              </w:rPr>
            </w:pPr>
            <w:r w:rsidRPr="007A16D3">
              <w:rPr>
                <w:sz w:val="20"/>
                <w:szCs w:val="20"/>
              </w:rPr>
              <w:sym w:font="Wingdings" w:char="F0FC"/>
            </w:r>
          </w:p>
        </w:tc>
        <w:tc>
          <w:tcPr>
            <w:tcW w:w="1276" w:type="dxa"/>
          </w:tcPr>
          <w:p w14:paraId="3C061CD7" w14:textId="77777777" w:rsidR="00A722CC" w:rsidRPr="007A16D3" w:rsidRDefault="00A722CC" w:rsidP="007A16D3">
            <w:pPr>
              <w:rPr>
                <w:sz w:val="20"/>
                <w:szCs w:val="20"/>
              </w:rPr>
            </w:pPr>
            <w:r w:rsidRPr="007A16D3">
              <w:rPr>
                <w:sz w:val="20"/>
                <w:szCs w:val="20"/>
              </w:rPr>
              <w:sym w:font="Wingdings" w:char="F0FC"/>
            </w:r>
          </w:p>
        </w:tc>
        <w:tc>
          <w:tcPr>
            <w:tcW w:w="992" w:type="dxa"/>
          </w:tcPr>
          <w:p w14:paraId="518D4AE8" w14:textId="77777777" w:rsidR="00A722CC" w:rsidRPr="007A16D3" w:rsidRDefault="00A722CC" w:rsidP="007A16D3">
            <w:pPr>
              <w:rPr>
                <w:sz w:val="20"/>
                <w:szCs w:val="20"/>
              </w:rPr>
            </w:pPr>
            <w:r w:rsidRPr="007A16D3">
              <w:rPr>
                <w:sz w:val="20"/>
                <w:szCs w:val="20"/>
              </w:rPr>
              <w:sym w:font="Wingdings" w:char="F0FC"/>
            </w:r>
          </w:p>
        </w:tc>
        <w:tc>
          <w:tcPr>
            <w:tcW w:w="1303" w:type="dxa"/>
          </w:tcPr>
          <w:p w14:paraId="347F8837" w14:textId="77777777" w:rsidR="00A722CC" w:rsidRPr="007A16D3" w:rsidRDefault="00A722CC" w:rsidP="007A16D3">
            <w:pPr>
              <w:rPr>
                <w:sz w:val="20"/>
                <w:szCs w:val="20"/>
              </w:rPr>
            </w:pPr>
            <w:r w:rsidRPr="007A16D3">
              <w:rPr>
                <w:sz w:val="20"/>
                <w:szCs w:val="20"/>
              </w:rPr>
              <w:sym w:font="Wingdings" w:char="F0FC"/>
            </w:r>
          </w:p>
        </w:tc>
      </w:tr>
      <w:tr w:rsidR="007A16D3" w:rsidRPr="00093C1B" w14:paraId="194C7217" w14:textId="77777777" w:rsidTr="007A16D3">
        <w:trPr>
          <w:trHeight w:val="181"/>
        </w:trPr>
        <w:tc>
          <w:tcPr>
            <w:tcW w:w="1100" w:type="dxa"/>
            <w:vMerge/>
          </w:tcPr>
          <w:p w14:paraId="675CB467" w14:textId="77777777" w:rsidR="00A722CC" w:rsidRPr="007A16D3" w:rsidRDefault="00A722CC">
            <w:pPr>
              <w:ind w:left="0" w:right="0"/>
              <w:rPr>
                <w:color w:val="auto"/>
                <w:sz w:val="20"/>
                <w:szCs w:val="20"/>
                <w:lang w:eastAsia="en-US"/>
              </w:rPr>
            </w:pPr>
          </w:p>
        </w:tc>
        <w:tc>
          <w:tcPr>
            <w:tcW w:w="2977" w:type="dxa"/>
          </w:tcPr>
          <w:p w14:paraId="6A81CA1A" w14:textId="77777777" w:rsidR="00A722CC" w:rsidRPr="007A16D3" w:rsidRDefault="00A722CC" w:rsidP="007B6D6C">
            <w:pPr>
              <w:ind w:left="57" w:right="57"/>
              <w:rPr>
                <w:color w:val="auto"/>
                <w:sz w:val="20"/>
                <w:szCs w:val="20"/>
                <w:lang w:eastAsia="en-US"/>
              </w:rPr>
            </w:pPr>
            <w:r w:rsidRPr="007A16D3">
              <w:rPr>
                <w:sz w:val="20"/>
                <w:szCs w:val="20"/>
              </w:rPr>
              <w:t>Febrile neutropenia and neutropenia</w:t>
            </w:r>
          </w:p>
        </w:tc>
        <w:tc>
          <w:tcPr>
            <w:tcW w:w="992" w:type="dxa"/>
          </w:tcPr>
          <w:p w14:paraId="10333CDC" w14:textId="77777777" w:rsidR="00A722CC" w:rsidRPr="007A16D3" w:rsidRDefault="00A722CC" w:rsidP="007A16D3">
            <w:pPr>
              <w:rPr>
                <w:sz w:val="20"/>
                <w:szCs w:val="20"/>
              </w:rPr>
            </w:pPr>
            <w:r w:rsidRPr="007A16D3">
              <w:rPr>
                <w:sz w:val="20"/>
                <w:szCs w:val="20"/>
              </w:rPr>
              <w:sym w:font="Wingdings" w:char="F0FC"/>
            </w:r>
          </w:p>
        </w:tc>
        <w:tc>
          <w:tcPr>
            <w:tcW w:w="1276" w:type="dxa"/>
          </w:tcPr>
          <w:p w14:paraId="18B28F9A" w14:textId="77777777" w:rsidR="00A722CC" w:rsidRPr="007A16D3" w:rsidRDefault="00A722CC" w:rsidP="007A16D3">
            <w:pPr>
              <w:rPr>
                <w:sz w:val="20"/>
                <w:szCs w:val="20"/>
              </w:rPr>
            </w:pPr>
            <w:r w:rsidRPr="007A16D3">
              <w:rPr>
                <w:sz w:val="20"/>
                <w:szCs w:val="20"/>
              </w:rPr>
              <w:sym w:font="Wingdings" w:char="F0FC"/>
            </w:r>
          </w:p>
        </w:tc>
        <w:tc>
          <w:tcPr>
            <w:tcW w:w="992" w:type="dxa"/>
          </w:tcPr>
          <w:p w14:paraId="153BCBF5" w14:textId="77777777" w:rsidR="00A722CC" w:rsidRPr="007A16D3" w:rsidRDefault="00A722CC" w:rsidP="007A16D3">
            <w:pPr>
              <w:rPr>
                <w:sz w:val="20"/>
                <w:szCs w:val="20"/>
              </w:rPr>
            </w:pPr>
            <w:r w:rsidRPr="007A16D3">
              <w:rPr>
                <w:sz w:val="20"/>
                <w:szCs w:val="20"/>
              </w:rPr>
              <w:sym w:font="Wingdings" w:char="F0FC"/>
            </w:r>
          </w:p>
        </w:tc>
        <w:tc>
          <w:tcPr>
            <w:tcW w:w="1303" w:type="dxa"/>
          </w:tcPr>
          <w:p w14:paraId="320C34A5" w14:textId="77777777" w:rsidR="00A722CC" w:rsidRPr="007A16D3" w:rsidRDefault="00A722CC" w:rsidP="007A16D3">
            <w:pPr>
              <w:rPr>
                <w:sz w:val="20"/>
                <w:szCs w:val="20"/>
              </w:rPr>
            </w:pPr>
            <w:r w:rsidRPr="007A16D3">
              <w:rPr>
                <w:sz w:val="20"/>
                <w:szCs w:val="20"/>
              </w:rPr>
              <w:t>–</w:t>
            </w:r>
          </w:p>
        </w:tc>
      </w:tr>
      <w:tr w:rsidR="007A16D3" w:rsidRPr="00093C1B" w14:paraId="298562A8" w14:textId="77777777" w:rsidTr="007A16D3">
        <w:trPr>
          <w:trHeight w:val="191"/>
        </w:trPr>
        <w:tc>
          <w:tcPr>
            <w:tcW w:w="1100" w:type="dxa"/>
            <w:vMerge/>
          </w:tcPr>
          <w:p w14:paraId="24C18F29" w14:textId="77777777" w:rsidR="00A722CC" w:rsidRPr="007A16D3" w:rsidRDefault="00A722CC">
            <w:pPr>
              <w:ind w:left="0" w:right="0"/>
              <w:rPr>
                <w:color w:val="auto"/>
                <w:sz w:val="20"/>
                <w:szCs w:val="20"/>
                <w:lang w:eastAsia="en-US"/>
              </w:rPr>
            </w:pPr>
          </w:p>
        </w:tc>
        <w:tc>
          <w:tcPr>
            <w:tcW w:w="2977" w:type="dxa"/>
          </w:tcPr>
          <w:p w14:paraId="309DD137" w14:textId="77777777" w:rsidR="00A722CC" w:rsidRPr="007A16D3" w:rsidRDefault="00A722CC" w:rsidP="007B6D6C">
            <w:pPr>
              <w:ind w:left="57" w:right="57"/>
              <w:rPr>
                <w:color w:val="auto"/>
                <w:sz w:val="20"/>
                <w:szCs w:val="20"/>
                <w:lang w:eastAsia="en-US"/>
              </w:rPr>
            </w:pPr>
            <w:r w:rsidRPr="007A16D3">
              <w:rPr>
                <w:sz w:val="20"/>
                <w:szCs w:val="20"/>
              </w:rPr>
              <w:t>Decreased immunoglobulin</w:t>
            </w:r>
          </w:p>
        </w:tc>
        <w:tc>
          <w:tcPr>
            <w:tcW w:w="992" w:type="dxa"/>
          </w:tcPr>
          <w:p w14:paraId="31700319" w14:textId="77777777" w:rsidR="00A722CC" w:rsidRPr="007A16D3" w:rsidRDefault="00A722CC" w:rsidP="007A16D3">
            <w:pPr>
              <w:rPr>
                <w:sz w:val="20"/>
                <w:szCs w:val="20"/>
              </w:rPr>
            </w:pPr>
            <w:r w:rsidRPr="007A16D3">
              <w:rPr>
                <w:sz w:val="20"/>
                <w:szCs w:val="20"/>
              </w:rPr>
              <w:sym w:font="Wingdings" w:char="F0FC"/>
            </w:r>
          </w:p>
        </w:tc>
        <w:tc>
          <w:tcPr>
            <w:tcW w:w="1276" w:type="dxa"/>
          </w:tcPr>
          <w:p w14:paraId="3133A0F0" w14:textId="77777777" w:rsidR="00A722CC" w:rsidRPr="007A16D3" w:rsidRDefault="00A722CC" w:rsidP="007A16D3">
            <w:pPr>
              <w:rPr>
                <w:sz w:val="20"/>
                <w:szCs w:val="20"/>
              </w:rPr>
            </w:pPr>
            <w:r w:rsidRPr="007A16D3">
              <w:rPr>
                <w:sz w:val="20"/>
                <w:szCs w:val="20"/>
              </w:rPr>
              <w:sym w:font="Wingdings" w:char="F0FC"/>
            </w:r>
          </w:p>
        </w:tc>
        <w:tc>
          <w:tcPr>
            <w:tcW w:w="992" w:type="dxa"/>
          </w:tcPr>
          <w:p w14:paraId="24B1DC46" w14:textId="77777777" w:rsidR="00A722CC" w:rsidRPr="007A16D3" w:rsidRDefault="00A722CC" w:rsidP="007A16D3">
            <w:pPr>
              <w:rPr>
                <w:sz w:val="20"/>
                <w:szCs w:val="20"/>
              </w:rPr>
            </w:pPr>
            <w:r w:rsidRPr="007A16D3">
              <w:rPr>
                <w:sz w:val="20"/>
                <w:szCs w:val="20"/>
              </w:rPr>
              <w:sym w:font="Wingdings" w:char="F0FC"/>
            </w:r>
          </w:p>
        </w:tc>
        <w:tc>
          <w:tcPr>
            <w:tcW w:w="1303" w:type="dxa"/>
          </w:tcPr>
          <w:p w14:paraId="565C2F09" w14:textId="77777777" w:rsidR="00A722CC" w:rsidRPr="007A16D3" w:rsidRDefault="00A722CC" w:rsidP="007A16D3">
            <w:pPr>
              <w:rPr>
                <w:sz w:val="20"/>
                <w:szCs w:val="20"/>
              </w:rPr>
            </w:pPr>
            <w:r w:rsidRPr="007A16D3">
              <w:rPr>
                <w:sz w:val="20"/>
                <w:szCs w:val="20"/>
              </w:rPr>
              <w:t>–</w:t>
            </w:r>
          </w:p>
        </w:tc>
      </w:tr>
      <w:tr w:rsidR="007A16D3" w:rsidRPr="00093C1B" w14:paraId="301A7C04" w14:textId="77777777" w:rsidTr="007A16D3">
        <w:trPr>
          <w:trHeight w:val="188"/>
        </w:trPr>
        <w:tc>
          <w:tcPr>
            <w:tcW w:w="1100" w:type="dxa"/>
            <w:vMerge/>
          </w:tcPr>
          <w:p w14:paraId="7D26A091" w14:textId="77777777" w:rsidR="00A722CC" w:rsidRPr="007A16D3" w:rsidRDefault="00A722CC">
            <w:pPr>
              <w:ind w:left="0" w:right="0"/>
              <w:rPr>
                <w:color w:val="auto"/>
                <w:sz w:val="20"/>
                <w:szCs w:val="20"/>
                <w:lang w:eastAsia="en-US"/>
              </w:rPr>
            </w:pPr>
          </w:p>
        </w:tc>
        <w:tc>
          <w:tcPr>
            <w:tcW w:w="2977" w:type="dxa"/>
          </w:tcPr>
          <w:p w14:paraId="4DEADD33" w14:textId="77777777" w:rsidR="00A722CC" w:rsidRPr="007A16D3" w:rsidRDefault="00A722CC" w:rsidP="000E60F9">
            <w:pPr>
              <w:ind w:left="57" w:right="57"/>
              <w:rPr>
                <w:color w:val="auto"/>
                <w:sz w:val="20"/>
                <w:szCs w:val="20"/>
                <w:lang w:eastAsia="en-US"/>
              </w:rPr>
            </w:pPr>
            <w:r w:rsidRPr="007A16D3">
              <w:rPr>
                <w:sz w:val="20"/>
                <w:szCs w:val="20"/>
              </w:rPr>
              <w:t>Pancreatitis</w:t>
            </w:r>
          </w:p>
        </w:tc>
        <w:tc>
          <w:tcPr>
            <w:tcW w:w="992" w:type="dxa"/>
          </w:tcPr>
          <w:p w14:paraId="4634D78D" w14:textId="77777777" w:rsidR="00A722CC" w:rsidRPr="007A16D3" w:rsidRDefault="00A722CC" w:rsidP="007A16D3">
            <w:pPr>
              <w:rPr>
                <w:sz w:val="20"/>
                <w:szCs w:val="20"/>
              </w:rPr>
            </w:pPr>
            <w:r w:rsidRPr="007A16D3">
              <w:rPr>
                <w:sz w:val="20"/>
                <w:szCs w:val="20"/>
              </w:rPr>
              <w:sym w:font="Wingdings" w:char="F0FC"/>
            </w:r>
          </w:p>
        </w:tc>
        <w:tc>
          <w:tcPr>
            <w:tcW w:w="1276" w:type="dxa"/>
          </w:tcPr>
          <w:p w14:paraId="743E16E2" w14:textId="77777777" w:rsidR="00A722CC" w:rsidRPr="007A16D3" w:rsidRDefault="00A722CC" w:rsidP="007A16D3">
            <w:pPr>
              <w:rPr>
                <w:sz w:val="20"/>
                <w:szCs w:val="20"/>
              </w:rPr>
            </w:pPr>
            <w:r w:rsidRPr="007A16D3">
              <w:rPr>
                <w:sz w:val="20"/>
                <w:szCs w:val="20"/>
              </w:rPr>
              <w:sym w:font="Wingdings" w:char="F0FC"/>
            </w:r>
          </w:p>
        </w:tc>
        <w:tc>
          <w:tcPr>
            <w:tcW w:w="992" w:type="dxa"/>
          </w:tcPr>
          <w:p w14:paraId="0D00D411" w14:textId="77777777" w:rsidR="00A722CC" w:rsidRPr="007A16D3" w:rsidRDefault="00A722CC" w:rsidP="007A16D3">
            <w:pPr>
              <w:rPr>
                <w:sz w:val="20"/>
                <w:szCs w:val="20"/>
              </w:rPr>
            </w:pPr>
            <w:r w:rsidRPr="007A16D3">
              <w:rPr>
                <w:sz w:val="20"/>
                <w:szCs w:val="20"/>
              </w:rPr>
              <w:sym w:font="Wingdings" w:char="F0FC"/>
            </w:r>
          </w:p>
        </w:tc>
        <w:tc>
          <w:tcPr>
            <w:tcW w:w="1303" w:type="dxa"/>
          </w:tcPr>
          <w:p w14:paraId="73D43C4E" w14:textId="77777777" w:rsidR="00A722CC" w:rsidRPr="007A16D3" w:rsidRDefault="00A722CC" w:rsidP="007A16D3">
            <w:pPr>
              <w:rPr>
                <w:sz w:val="20"/>
                <w:szCs w:val="20"/>
              </w:rPr>
            </w:pPr>
            <w:r w:rsidRPr="007A16D3">
              <w:rPr>
                <w:sz w:val="20"/>
                <w:szCs w:val="20"/>
              </w:rPr>
              <w:sym w:font="Wingdings" w:char="F0FC"/>
            </w:r>
          </w:p>
        </w:tc>
      </w:tr>
      <w:tr w:rsidR="007A16D3" w:rsidRPr="00093C1B" w14:paraId="2CE7D868" w14:textId="77777777" w:rsidTr="007A16D3">
        <w:trPr>
          <w:trHeight w:val="160"/>
        </w:trPr>
        <w:tc>
          <w:tcPr>
            <w:tcW w:w="1100" w:type="dxa"/>
            <w:vMerge w:val="restart"/>
          </w:tcPr>
          <w:p w14:paraId="03146CB7" w14:textId="77777777" w:rsidR="00A722CC" w:rsidRPr="007A16D3" w:rsidRDefault="00A722CC">
            <w:pPr>
              <w:ind w:left="0" w:right="0"/>
              <w:rPr>
                <w:color w:val="auto"/>
                <w:sz w:val="20"/>
                <w:szCs w:val="20"/>
                <w:lang w:eastAsia="en-US"/>
              </w:rPr>
            </w:pPr>
            <w:r w:rsidRPr="007A16D3">
              <w:rPr>
                <w:sz w:val="20"/>
                <w:szCs w:val="20"/>
              </w:rPr>
              <w:t>Important potential risks</w:t>
            </w:r>
          </w:p>
        </w:tc>
        <w:tc>
          <w:tcPr>
            <w:tcW w:w="2977" w:type="dxa"/>
          </w:tcPr>
          <w:p w14:paraId="419B51FE" w14:textId="77777777" w:rsidR="00A722CC" w:rsidRPr="007A16D3" w:rsidRDefault="00A722CC" w:rsidP="000E60F9">
            <w:pPr>
              <w:ind w:left="57" w:right="57"/>
              <w:rPr>
                <w:color w:val="auto"/>
                <w:sz w:val="20"/>
                <w:szCs w:val="20"/>
                <w:lang w:eastAsia="en-US"/>
              </w:rPr>
            </w:pPr>
            <w:r w:rsidRPr="007A16D3">
              <w:rPr>
                <w:sz w:val="20"/>
                <w:szCs w:val="20"/>
              </w:rPr>
              <w:t>Off-label use</w:t>
            </w:r>
          </w:p>
        </w:tc>
        <w:tc>
          <w:tcPr>
            <w:tcW w:w="992" w:type="dxa"/>
          </w:tcPr>
          <w:p w14:paraId="7EA548E0" w14:textId="77777777" w:rsidR="00A722CC" w:rsidRPr="007A16D3" w:rsidRDefault="00A722CC" w:rsidP="007A16D3">
            <w:pPr>
              <w:rPr>
                <w:sz w:val="20"/>
                <w:szCs w:val="20"/>
              </w:rPr>
            </w:pPr>
            <w:r w:rsidRPr="007A16D3">
              <w:rPr>
                <w:sz w:val="20"/>
                <w:szCs w:val="20"/>
              </w:rPr>
              <w:sym w:font="Wingdings" w:char="F0FC"/>
            </w:r>
          </w:p>
        </w:tc>
        <w:tc>
          <w:tcPr>
            <w:tcW w:w="1276" w:type="dxa"/>
          </w:tcPr>
          <w:p w14:paraId="25E9B4C9" w14:textId="77777777" w:rsidR="00A722CC" w:rsidRPr="007A16D3" w:rsidRDefault="00A722CC" w:rsidP="007A16D3">
            <w:pPr>
              <w:rPr>
                <w:sz w:val="20"/>
                <w:szCs w:val="20"/>
              </w:rPr>
            </w:pPr>
            <w:r w:rsidRPr="007A16D3">
              <w:rPr>
                <w:sz w:val="20"/>
                <w:szCs w:val="20"/>
              </w:rPr>
              <w:sym w:font="Wingdings" w:char="F0FC"/>
            </w:r>
          </w:p>
        </w:tc>
        <w:tc>
          <w:tcPr>
            <w:tcW w:w="992" w:type="dxa"/>
          </w:tcPr>
          <w:p w14:paraId="11C93CCB" w14:textId="77777777" w:rsidR="00A722CC" w:rsidRPr="007A16D3" w:rsidRDefault="00A722CC" w:rsidP="007A16D3">
            <w:pPr>
              <w:rPr>
                <w:sz w:val="20"/>
                <w:szCs w:val="20"/>
              </w:rPr>
            </w:pPr>
            <w:r w:rsidRPr="007A16D3">
              <w:rPr>
                <w:sz w:val="20"/>
                <w:szCs w:val="20"/>
              </w:rPr>
              <w:sym w:font="Wingdings" w:char="F0FC"/>
            </w:r>
          </w:p>
        </w:tc>
        <w:tc>
          <w:tcPr>
            <w:tcW w:w="1303" w:type="dxa"/>
          </w:tcPr>
          <w:p w14:paraId="702DECF1" w14:textId="77777777" w:rsidR="00A722CC" w:rsidRPr="007A16D3" w:rsidRDefault="00A722CC" w:rsidP="007A16D3">
            <w:pPr>
              <w:rPr>
                <w:sz w:val="20"/>
                <w:szCs w:val="20"/>
              </w:rPr>
            </w:pPr>
            <w:r w:rsidRPr="007A16D3">
              <w:rPr>
                <w:sz w:val="20"/>
                <w:szCs w:val="20"/>
              </w:rPr>
              <w:t>–</w:t>
            </w:r>
          </w:p>
        </w:tc>
      </w:tr>
      <w:tr w:rsidR="007A16D3" w:rsidRPr="00093C1B" w14:paraId="12A230C8" w14:textId="77777777" w:rsidTr="007A16D3">
        <w:trPr>
          <w:trHeight w:val="137"/>
        </w:trPr>
        <w:tc>
          <w:tcPr>
            <w:tcW w:w="1100" w:type="dxa"/>
            <w:vMerge/>
          </w:tcPr>
          <w:p w14:paraId="5565D530" w14:textId="77777777" w:rsidR="00A722CC" w:rsidRPr="007A16D3" w:rsidRDefault="00A722CC">
            <w:pPr>
              <w:ind w:left="0" w:right="0"/>
              <w:rPr>
                <w:color w:val="auto"/>
                <w:sz w:val="20"/>
                <w:szCs w:val="20"/>
                <w:lang w:eastAsia="en-US"/>
              </w:rPr>
            </w:pPr>
          </w:p>
        </w:tc>
        <w:tc>
          <w:tcPr>
            <w:tcW w:w="2977" w:type="dxa"/>
          </w:tcPr>
          <w:p w14:paraId="3EB07040" w14:textId="77777777" w:rsidR="00A722CC" w:rsidRPr="007A16D3" w:rsidRDefault="00A722CC" w:rsidP="000E60F9">
            <w:pPr>
              <w:ind w:left="57" w:right="57"/>
              <w:rPr>
                <w:color w:val="auto"/>
                <w:sz w:val="20"/>
                <w:szCs w:val="20"/>
                <w:lang w:eastAsia="en-US"/>
              </w:rPr>
            </w:pPr>
            <w:r w:rsidRPr="007A16D3">
              <w:rPr>
                <w:sz w:val="20"/>
                <w:szCs w:val="20"/>
              </w:rPr>
              <w:t>Leukoencephalopathy (including PML)</w:t>
            </w:r>
          </w:p>
        </w:tc>
        <w:tc>
          <w:tcPr>
            <w:tcW w:w="992" w:type="dxa"/>
          </w:tcPr>
          <w:p w14:paraId="11CF0A9D" w14:textId="77777777" w:rsidR="00A722CC" w:rsidRPr="007A16D3" w:rsidRDefault="00A722CC" w:rsidP="007A16D3">
            <w:pPr>
              <w:rPr>
                <w:sz w:val="20"/>
                <w:szCs w:val="20"/>
              </w:rPr>
            </w:pPr>
            <w:r w:rsidRPr="007A16D3">
              <w:rPr>
                <w:sz w:val="20"/>
                <w:szCs w:val="20"/>
              </w:rPr>
              <w:sym w:font="Wingdings" w:char="F0FC"/>
            </w:r>
          </w:p>
        </w:tc>
        <w:tc>
          <w:tcPr>
            <w:tcW w:w="1276" w:type="dxa"/>
          </w:tcPr>
          <w:p w14:paraId="4ED6E7D3" w14:textId="77777777" w:rsidR="00A722CC" w:rsidRPr="007A16D3" w:rsidRDefault="00A722CC" w:rsidP="007A16D3">
            <w:pPr>
              <w:rPr>
                <w:sz w:val="20"/>
                <w:szCs w:val="20"/>
              </w:rPr>
            </w:pPr>
            <w:r w:rsidRPr="007A16D3">
              <w:rPr>
                <w:sz w:val="20"/>
                <w:szCs w:val="20"/>
              </w:rPr>
              <w:sym w:font="Wingdings" w:char="F0FC"/>
            </w:r>
          </w:p>
        </w:tc>
        <w:tc>
          <w:tcPr>
            <w:tcW w:w="992" w:type="dxa"/>
          </w:tcPr>
          <w:p w14:paraId="25886BBC" w14:textId="77777777" w:rsidR="00A722CC" w:rsidRPr="007A16D3" w:rsidRDefault="00A722CC" w:rsidP="007A16D3">
            <w:pPr>
              <w:rPr>
                <w:sz w:val="20"/>
                <w:szCs w:val="20"/>
              </w:rPr>
            </w:pPr>
            <w:r w:rsidRPr="007A16D3">
              <w:rPr>
                <w:sz w:val="20"/>
                <w:szCs w:val="20"/>
              </w:rPr>
              <w:sym w:font="Wingdings" w:char="F0FC"/>
            </w:r>
          </w:p>
        </w:tc>
        <w:tc>
          <w:tcPr>
            <w:tcW w:w="1303" w:type="dxa"/>
          </w:tcPr>
          <w:p w14:paraId="7D99DC37" w14:textId="77777777" w:rsidR="00A722CC" w:rsidRPr="007A16D3" w:rsidRDefault="00A722CC" w:rsidP="007A16D3">
            <w:pPr>
              <w:rPr>
                <w:sz w:val="20"/>
                <w:szCs w:val="20"/>
              </w:rPr>
            </w:pPr>
            <w:r w:rsidRPr="007A16D3">
              <w:rPr>
                <w:sz w:val="20"/>
                <w:szCs w:val="20"/>
              </w:rPr>
              <w:t>–</w:t>
            </w:r>
          </w:p>
        </w:tc>
      </w:tr>
      <w:tr w:rsidR="007A16D3" w:rsidRPr="00093C1B" w14:paraId="520EBE7B" w14:textId="77777777" w:rsidTr="007A16D3">
        <w:trPr>
          <w:trHeight w:val="141"/>
        </w:trPr>
        <w:tc>
          <w:tcPr>
            <w:tcW w:w="1100" w:type="dxa"/>
            <w:vMerge/>
          </w:tcPr>
          <w:p w14:paraId="73361370" w14:textId="77777777" w:rsidR="00A722CC" w:rsidRPr="007A16D3" w:rsidRDefault="00A722CC">
            <w:pPr>
              <w:ind w:left="0" w:right="0"/>
              <w:rPr>
                <w:color w:val="auto"/>
                <w:sz w:val="20"/>
                <w:szCs w:val="20"/>
                <w:lang w:eastAsia="en-US"/>
              </w:rPr>
            </w:pPr>
          </w:p>
        </w:tc>
        <w:tc>
          <w:tcPr>
            <w:tcW w:w="2977" w:type="dxa"/>
          </w:tcPr>
          <w:p w14:paraId="7C94A506" w14:textId="77777777" w:rsidR="00A722CC" w:rsidRPr="007A16D3" w:rsidRDefault="00A722CC" w:rsidP="000E60F9">
            <w:pPr>
              <w:ind w:left="57" w:right="57"/>
              <w:rPr>
                <w:color w:val="auto"/>
                <w:sz w:val="20"/>
                <w:szCs w:val="20"/>
                <w:lang w:eastAsia="en-US"/>
              </w:rPr>
            </w:pPr>
            <w:r w:rsidRPr="007A16D3">
              <w:rPr>
                <w:sz w:val="20"/>
                <w:szCs w:val="20"/>
              </w:rPr>
              <w:t>Thromboembolic events (including disseminated intravascular coagulation)</w:t>
            </w:r>
          </w:p>
        </w:tc>
        <w:tc>
          <w:tcPr>
            <w:tcW w:w="992" w:type="dxa"/>
          </w:tcPr>
          <w:p w14:paraId="6D8BC266" w14:textId="77777777" w:rsidR="00A722CC" w:rsidRPr="007A16D3" w:rsidRDefault="00A722CC" w:rsidP="007A16D3">
            <w:pPr>
              <w:rPr>
                <w:sz w:val="20"/>
                <w:szCs w:val="20"/>
              </w:rPr>
            </w:pPr>
            <w:r w:rsidRPr="007A16D3">
              <w:rPr>
                <w:sz w:val="20"/>
                <w:szCs w:val="20"/>
              </w:rPr>
              <w:sym w:font="Wingdings" w:char="F0FC"/>
            </w:r>
          </w:p>
        </w:tc>
        <w:tc>
          <w:tcPr>
            <w:tcW w:w="1276" w:type="dxa"/>
          </w:tcPr>
          <w:p w14:paraId="25ADC090" w14:textId="77777777" w:rsidR="00A722CC" w:rsidRPr="007A16D3" w:rsidRDefault="00A722CC" w:rsidP="007A16D3">
            <w:pPr>
              <w:rPr>
                <w:sz w:val="20"/>
                <w:szCs w:val="20"/>
              </w:rPr>
            </w:pPr>
            <w:r w:rsidRPr="007A16D3">
              <w:rPr>
                <w:sz w:val="20"/>
                <w:szCs w:val="20"/>
              </w:rPr>
              <w:sym w:font="Wingdings" w:char="F0FC"/>
            </w:r>
          </w:p>
        </w:tc>
        <w:tc>
          <w:tcPr>
            <w:tcW w:w="992" w:type="dxa"/>
          </w:tcPr>
          <w:p w14:paraId="15C11162" w14:textId="77777777" w:rsidR="00A722CC" w:rsidRPr="007A16D3" w:rsidRDefault="00A722CC" w:rsidP="007A16D3">
            <w:pPr>
              <w:rPr>
                <w:sz w:val="20"/>
                <w:szCs w:val="20"/>
              </w:rPr>
            </w:pPr>
            <w:r w:rsidRPr="007A16D3">
              <w:rPr>
                <w:sz w:val="20"/>
                <w:szCs w:val="20"/>
              </w:rPr>
              <w:sym w:font="Wingdings" w:char="F0FC"/>
            </w:r>
          </w:p>
        </w:tc>
        <w:tc>
          <w:tcPr>
            <w:tcW w:w="1303" w:type="dxa"/>
          </w:tcPr>
          <w:p w14:paraId="2AC49181" w14:textId="77777777" w:rsidR="00A722CC" w:rsidRPr="007A16D3" w:rsidRDefault="00A722CC" w:rsidP="007A16D3">
            <w:pPr>
              <w:rPr>
                <w:sz w:val="20"/>
                <w:szCs w:val="20"/>
              </w:rPr>
            </w:pPr>
            <w:r w:rsidRPr="007A16D3">
              <w:rPr>
                <w:sz w:val="20"/>
                <w:szCs w:val="20"/>
              </w:rPr>
              <w:t>–</w:t>
            </w:r>
          </w:p>
        </w:tc>
      </w:tr>
      <w:tr w:rsidR="007A16D3" w:rsidRPr="00093C1B" w14:paraId="7F134F3C" w14:textId="77777777" w:rsidTr="007A16D3">
        <w:trPr>
          <w:trHeight w:val="141"/>
        </w:trPr>
        <w:tc>
          <w:tcPr>
            <w:tcW w:w="1100" w:type="dxa"/>
            <w:vMerge/>
          </w:tcPr>
          <w:p w14:paraId="1AAE4C81" w14:textId="77777777" w:rsidR="00A722CC" w:rsidRPr="007A16D3" w:rsidRDefault="00A722CC">
            <w:pPr>
              <w:ind w:left="0" w:right="0"/>
              <w:rPr>
                <w:color w:val="auto"/>
                <w:sz w:val="20"/>
                <w:szCs w:val="20"/>
                <w:lang w:eastAsia="en-US"/>
              </w:rPr>
            </w:pPr>
          </w:p>
        </w:tc>
        <w:tc>
          <w:tcPr>
            <w:tcW w:w="2977" w:type="dxa"/>
          </w:tcPr>
          <w:p w14:paraId="2BB99FD8" w14:textId="77777777" w:rsidR="00A722CC" w:rsidRPr="007A16D3" w:rsidRDefault="00A722CC" w:rsidP="000E60F9">
            <w:pPr>
              <w:ind w:left="57" w:right="57"/>
              <w:rPr>
                <w:color w:val="auto"/>
                <w:sz w:val="20"/>
                <w:szCs w:val="20"/>
                <w:lang w:eastAsia="en-US"/>
              </w:rPr>
            </w:pPr>
            <w:r w:rsidRPr="007A16D3">
              <w:rPr>
                <w:sz w:val="20"/>
                <w:szCs w:val="20"/>
              </w:rPr>
              <w:t>Immunogenicity</w:t>
            </w:r>
          </w:p>
        </w:tc>
        <w:tc>
          <w:tcPr>
            <w:tcW w:w="992" w:type="dxa"/>
          </w:tcPr>
          <w:p w14:paraId="0B35F70A" w14:textId="77777777" w:rsidR="00A722CC" w:rsidRPr="007A16D3" w:rsidRDefault="00A722CC" w:rsidP="007A16D3">
            <w:pPr>
              <w:rPr>
                <w:sz w:val="20"/>
                <w:szCs w:val="20"/>
              </w:rPr>
            </w:pPr>
            <w:r w:rsidRPr="007A16D3">
              <w:rPr>
                <w:sz w:val="20"/>
                <w:szCs w:val="20"/>
              </w:rPr>
              <w:sym w:font="Wingdings" w:char="F0FC"/>
            </w:r>
          </w:p>
        </w:tc>
        <w:tc>
          <w:tcPr>
            <w:tcW w:w="1276" w:type="dxa"/>
          </w:tcPr>
          <w:p w14:paraId="3052FEBE" w14:textId="77777777" w:rsidR="00A722CC" w:rsidRPr="007A16D3" w:rsidRDefault="00A722CC" w:rsidP="007A16D3">
            <w:pPr>
              <w:rPr>
                <w:sz w:val="20"/>
                <w:szCs w:val="20"/>
              </w:rPr>
            </w:pPr>
            <w:r w:rsidRPr="007A16D3">
              <w:rPr>
                <w:sz w:val="20"/>
                <w:szCs w:val="20"/>
              </w:rPr>
              <w:sym w:font="Wingdings" w:char="F0FC"/>
            </w:r>
          </w:p>
        </w:tc>
        <w:tc>
          <w:tcPr>
            <w:tcW w:w="992" w:type="dxa"/>
          </w:tcPr>
          <w:p w14:paraId="7B039D21" w14:textId="77777777" w:rsidR="00A722CC" w:rsidRPr="007A16D3" w:rsidRDefault="00A722CC" w:rsidP="007A16D3">
            <w:pPr>
              <w:rPr>
                <w:sz w:val="20"/>
                <w:szCs w:val="20"/>
              </w:rPr>
            </w:pPr>
            <w:r w:rsidRPr="007A16D3">
              <w:rPr>
                <w:sz w:val="20"/>
                <w:szCs w:val="20"/>
              </w:rPr>
              <w:sym w:font="Wingdings" w:char="F0FC"/>
            </w:r>
          </w:p>
        </w:tc>
        <w:tc>
          <w:tcPr>
            <w:tcW w:w="1303" w:type="dxa"/>
          </w:tcPr>
          <w:p w14:paraId="54B00096" w14:textId="77777777" w:rsidR="00A722CC" w:rsidRPr="007A16D3" w:rsidRDefault="00A722CC" w:rsidP="007A16D3">
            <w:pPr>
              <w:rPr>
                <w:sz w:val="20"/>
                <w:szCs w:val="20"/>
              </w:rPr>
            </w:pPr>
            <w:r w:rsidRPr="007A16D3">
              <w:rPr>
                <w:sz w:val="20"/>
                <w:szCs w:val="20"/>
              </w:rPr>
              <w:t>–</w:t>
            </w:r>
          </w:p>
        </w:tc>
      </w:tr>
      <w:tr w:rsidR="007A16D3" w:rsidRPr="00093C1B" w14:paraId="25AEEA6C" w14:textId="77777777" w:rsidTr="007A16D3">
        <w:trPr>
          <w:trHeight w:val="96"/>
        </w:trPr>
        <w:tc>
          <w:tcPr>
            <w:tcW w:w="1100" w:type="dxa"/>
            <w:vMerge/>
          </w:tcPr>
          <w:p w14:paraId="22D39B59" w14:textId="77777777" w:rsidR="00A722CC" w:rsidRPr="007A16D3" w:rsidRDefault="00A722CC">
            <w:pPr>
              <w:ind w:left="0" w:right="0"/>
              <w:rPr>
                <w:color w:val="auto"/>
                <w:sz w:val="20"/>
                <w:szCs w:val="20"/>
                <w:lang w:eastAsia="en-US"/>
              </w:rPr>
            </w:pPr>
          </w:p>
        </w:tc>
        <w:tc>
          <w:tcPr>
            <w:tcW w:w="2977" w:type="dxa"/>
          </w:tcPr>
          <w:p w14:paraId="2AFB6433" w14:textId="77777777" w:rsidR="00A722CC" w:rsidRPr="007A16D3" w:rsidRDefault="00A722CC" w:rsidP="000E60F9">
            <w:pPr>
              <w:ind w:left="57" w:right="57"/>
              <w:rPr>
                <w:color w:val="auto"/>
                <w:sz w:val="20"/>
                <w:szCs w:val="20"/>
                <w:lang w:eastAsia="en-US"/>
              </w:rPr>
            </w:pPr>
            <w:r w:rsidRPr="007A16D3">
              <w:rPr>
                <w:sz w:val="20"/>
                <w:szCs w:val="20"/>
              </w:rPr>
              <w:t>Worsening of hepatic impairment in patients with hepatic impairment</w:t>
            </w:r>
          </w:p>
        </w:tc>
        <w:tc>
          <w:tcPr>
            <w:tcW w:w="992" w:type="dxa"/>
          </w:tcPr>
          <w:p w14:paraId="093FBB38" w14:textId="77777777" w:rsidR="00A722CC" w:rsidRPr="007A16D3" w:rsidRDefault="00A722CC" w:rsidP="007A16D3">
            <w:pPr>
              <w:rPr>
                <w:sz w:val="20"/>
                <w:szCs w:val="20"/>
              </w:rPr>
            </w:pPr>
            <w:r w:rsidRPr="007A16D3">
              <w:rPr>
                <w:sz w:val="20"/>
                <w:szCs w:val="20"/>
              </w:rPr>
              <w:sym w:font="Wingdings" w:char="F0FC"/>
            </w:r>
          </w:p>
        </w:tc>
        <w:tc>
          <w:tcPr>
            <w:tcW w:w="1276" w:type="dxa"/>
          </w:tcPr>
          <w:p w14:paraId="6CFDF9C8" w14:textId="77777777" w:rsidR="00A722CC" w:rsidRPr="007A16D3" w:rsidRDefault="00A722CC" w:rsidP="007A16D3">
            <w:pPr>
              <w:rPr>
                <w:sz w:val="20"/>
                <w:szCs w:val="20"/>
              </w:rPr>
            </w:pPr>
            <w:r w:rsidRPr="007A16D3">
              <w:rPr>
                <w:sz w:val="20"/>
                <w:szCs w:val="20"/>
              </w:rPr>
              <w:sym w:font="Wingdings" w:char="F0FC"/>
            </w:r>
          </w:p>
        </w:tc>
        <w:tc>
          <w:tcPr>
            <w:tcW w:w="992" w:type="dxa"/>
          </w:tcPr>
          <w:p w14:paraId="66644E76" w14:textId="77777777" w:rsidR="00A722CC" w:rsidRPr="007A16D3" w:rsidRDefault="00A722CC" w:rsidP="007A16D3">
            <w:pPr>
              <w:rPr>
                <w:sz w:val="20"/>
                <w:szCs w:val="20"/>
              </w:rPr>
            </w:pPr>
            <w:r w:rsidRPr="007A16D3">
              <w:rPr>
                <w:sz w:val="20"/>
                <w:szCs w:val="20"/>
              </w:rPr>
              <w:sym w:font="Wingdings" w:char="F0FC"/>
            </w:r>
          </w:p>
        </w:tc>
        <w:tc>
          <w:tcPr>
            <w:tcW w:w="1303" w:type="dxa"/>
          </w:tcPr>
          <w:p w14:paraId="3122F8C8" w14:textId="77777777" w:rsidR="00A722CC" w:rsidRPr="007A16D3" w:rsidRDefault="00A722CC" w:rsidP="007A16D3">
            <w:pPr>
              <w:rPr>
                <w:sz w:val="20"/>
                <w:szCs w:val="20"/>
              </w:rPr>
            </w:pPr>
            <w:r w:rsidRPr="007A16D3">
              <w:rPr>
                <w:sz w:val="20"/>
                <w:szCs w:val="20"/>
              </w:rPr>
              <w:t>–</w:t>
            </w:r>
          </w:p>
        </w:tc>
      </w:tr>
      <w:tr w:rsidR="007A16D3" w:rsidRPr="00093C1B" w14:paraId="13A3C1AF" w14:textId="77777777" w:rsidTr="007A16D3">
        <w:trPr>
          <w:trHeight w:val="117"/>
        </w:trPr>
        <w:tc>
          <w:tcPr>
            <w:tcW w:w="1100" w:type="dxa"/>
            <w:vMerge/>
          </w:tcPr>
          <w:p w14:paraId="4263FBF0" w14:textId="77777777" w:rsidR="00A722CC" w:rsidRPr="007A16D3" w:rsidRDefault="00A722CC">
            <w:pPr>
              <w:ind w:left="0" w:right="0"/>
              <w:rPr>
                <w:color w:val="auto"/>
                <w:sz w:val="20"/>
                <w:szCs w:val="20"/>
                <w:lang w:eastAsia="en-US"/>
              </w:rPr>
            </w:pPr>
          </w:p>
        </w:tc>
        <w:tc>
          <w:tcPr>
            <w:tcW w:w="2977" w:type="dxa"/>
          </w:tcPr>
          <w:p w14:paraId="10C503B4" w14:textId="05EAE4AE" w:rsidR="00A722CC" w:rsidRPr="005B6383" w:rsidRDefault="00A722CC" w:rsidP="000E60F9">
            <w:pPr>
              <w:ind w:left="57" w:right="57"/>
              <w:rPr>
                <w:color w:val="auto"/>
                <w:sz w:val="20"/>
                <w:szCs w:val="20"/>
                <w:lang w:eastAsia="en-US"/>
              </w:rPr>
            </w:pPr>
            <w:r w:rsidRPr="007A16D3">
              <w:rPr>
                <w:color w:val="auto"/>
                <w:sz w:val="20"/>
                <w:szCs w:val="20"/>
                <w:lang w:eastAsia="en-US"/>
              </w:rPr>
              <w:t xml:space="preserve">Use in patients with active or a history of high risk </w:t>
            </w:r>
            <w:r w:rsidR="005B6383" w:rsidRPr="007A16D3">
              <w:rPr>
                <w:color w:val="auto"/>
                <w:sz w:val="20"/>
                <w:szCs w:val="20"/>
                <w:lang w:eastAsia="en-US"/>
              </w:rPr>
              <w:t>central nervous system</w:t>
            </w:r>
            <w:r w:rsidRPr="007A16D3">
              <w:rPr>
                <w:color w:val="auto"/>
                <w:sz w:val="20"/>
                <w:szCs w:val="20"/>
                <w:lang w:eastAsia="en-US"/>
              </w:rPr>
              <w:t xml:space="preserve"> pathology including patients with untreated ALL in CNS </w:t>
            </w:r>
          </w:p>
        </w:tc>
        <w:tc>
          <w:tcPr>
            <w:tcW w:w="992" w:type="dxa"/>
          </w:tcPr>
          <w:p w14:paraId="712BB7E0" w14:textId="77777777" w:rsidR="00A722CC" w:rsidRPr="007A16D3" w:rsidRDefault="00A722CC" w:rsidP="007A16D3">
            <w:pPr>
              <w:rPr>
                <w:sz w:val="20"/>
                <w:szCs w:val="20"/>
              </w:rPr>
            </w:pPr>
            <w:r w:rsidRPr="007A16D3">
              <w:rPr>
                <w:sz w:val="20"/>
                <w:szCs w:val="20"/>
              </w:rPr>
              <w:sym w:font="Wingdings" w:char="F0FC"/>
            </w:r>
          </w:p>
        </w:tc>
        <w:tc>
          <w:tcPr>
            <w:tcW w:w="1276" w:type="dxa"/>
          </w:tcPr>
          <w:p w14:paraId="353A0203" w14:textId="77777777" w:rsidR="00A722CC" w:rsidRPr="007A16D3" w:rsidRDefault="00A722CC" w:rsidP="007A16D3">
            <w:pPr>
              <w:rPr>
                <w:sz w:val="20"/>
                <w:szCs w:val="20"/>
              </w:rPr>
            </w:pPr>
            <w:r w:rsidRPr="007A16D3">
              <w:rPr>
                <w:sz w:val="20"/>
                <w:szCs w:val="20"/>
              </w:rPr>
              <w:sym w:font="Wingdings" w:char="F0FC"/>
            </w:r>
          </w:p>
        </w:tc>
        <w:tc>
          <w:tcPr>
            <w:tcW w:w="992" w:type="dxa"/>
          </w:tcPr>
          <w:p w14:paraId="0D6C0DD3" w14:textId="77777777" w:rsidR="00A722CC" w:rsidRPr="007A16D3" w:rsidRDefault="00A722CC" w:rsidP="007A16D3">
            <w:pPr>
              <w:rPr>
                <w:sz w:val="20"/>
                <w:szCs w:val="20"/>
              </w:rPr>
            </w:pPr>
            <w:r w:rsidRPr="007A16D3">
              <w:rPr>
                <w:sz w:val="20"/>
                <w:szCs w:val="20"/>
              </w:rPr>
              <w:sym w:font="Wingdings" w:char="F0FC"/>
            </w:r>
          </w:p>
        </w:tc>
        <w:tc>
          <w:tcPr>
            <w:tcW w:w="1303" w:type="dxa"/>
          </w:tcPr>
          <w:p w14:paraId="055B1E3D" w14:textId="77777777" w:rsidR="00A722CC" w:rsidRPr="007A16D3" w:rsidRDefault="00A722CC" w:rsidP="007A16D3">
            <w:pPr>
              <w:rPr>
                <w:sz w:val="20"/>
                <w:szCs w:val="20"/>
              </w:rPr>
            </w:pPr>
            <w:r w:rsidRPr="007A16D3">
              <w:rPr>
                <w:sz w:val="20"/>
                <w:szCs w:val="20"/>
              </w:rPr>
              <w:t>–</w:t>
            </w:r>
          </w:p>
        </w:tc>
      </w:tr>
      <w:tr w:rsidR="007A16D3" w:rsidRPr="00093C1B" w14:paraId="3FB282A0" w14:textId="77777777" w:rsidTr="007A16D3">
        <w:trPr>
          <w:trHeight w:val="112"/>
        </w:trPr>
        <w:tc>
          <w:tcPr>
            <w:tcW w:w="1100" w:type="dxa"/>
            <w:vMerge/>
          </w:tcPr>
          <w:p w14:paraId="0C4A20E8" w14:textId="77777777" w:rsidR="00A722CC" w:rsidRPr="007A16D3" w:rsidRDefault="00A722CC">
            <w:pPr>
              <w:ind w:left="0" w:right="0"/>
              <w:rPr>
                <w:color w:val="auto"/>
                <w:sz w:val="20"/>
                <w:szCs w:val="20"/>
                <w:lang w:eastAsia="en-US"/>
              </w:rPr>
            </w:pPr>
          </w:p>
        </w:tc>
        <w:tc>
          <w:tcPr>
            <w:tcW w:w="2977" w:type="dxa"/>
          </w:tcPr>
          <w:p w14:paraId="12DD1EF4" w14:textId="77777777" w:rsidR="00A722CC" w:rsidRPr="007A16D3" w:rsidRDefault="00A722CC" w:rsidP="000E60F9">
            <w:pPr>
              <w:ind w:left="57" w:right="57"/>
              <w:rPr>
                <w:color w:val="auto"/>
                <w:sz w:val="20"/>
                <w:szCs w:val="20"/>
                <w:lang w:eastAsia="en-US"/>
              </w:rPr>
            </w:pPr>
            <w:r w:rsidRPr="007A16D3">
              <w:rPr>
                <w:sz w:val="20"/>
                <w:szCs w:val="20"/>
              </w:rPr>
              <w:t xml:space="preserve">Haematological disorders in newborn exposed in utero to </w:t>
            </w:r>
            <w:proofErr w:type="spellStart"/>
            <w:r w:rsidRPr="007A16D3">
              <w:rPr>
                <w:sz w:val="20"/>
                <w:szCs w:val="20"/>
              </w:rPr>
              <w:t>blinatumomab</w:t>
            </w:r>
            <w:proofErr w:type="spellEnd"/>
            <w:r w:rsidRPr="007A16D3">
              <w:rPr>
                <w:sz w:val="20"/>
                <w:szCs w:val="20"/>
              </w:rPr>
              <w:t xml:space="preserve"> (particularly B-cell depletion and risk of infections in case of vaccination with live virus vaccines)</w:t>
            </w:r>
          </w:p>
        </w:tc>
        <w:tc>
          <w:tcPr>
            <w:tcW w:w="992" w:type="dxa"/>
          </w:tcPr>
          <w:p w14:paraId="47F932BC" w14:textId="77777777" w:rsidR="00A722CC" w:rsidRPr="007A16D3" w:rsidRDefault="00A722CC" w:rsidP="007A16D3">
            <w:pPr>
              <w:rPr>
                <w:sz w:val="20"/>
                <w:szCs w:val="20"/>
              </w:rPr>
            </w:pPr>
            <w:r w:rsidRPr="007A16D3">
              <w:rPr>
                <w:sz w:val="20"/>
                <w:szCs w:val="20"/>
              </w:rPr>
              <w:sym w:font="Wingdings" w:char="F0FC"/>
            </w:r>
          </w:p>
        </w:tc>
        <w:tc>
          <w:tcPr>
            <w:tcW w:w="1276" w:type="dxa"/>
          </w:tcPr>
          <w:p w14:paraId="3E1C23B3" w14:textId="77777777" w:rsidR="00A722CC" w:rsidRPr="007A16D3" w:rsidRDefault="00A722CC" w:rsidP="007A16D3">
            <w:pPr>
              <w:rPr>
                <w:sz w:val="20"/>
                <w:szCs w:val="20"/>
              </w:rPr>
            </w:pPr>
            <w:r w:rsidRPr="007A16D3">
              <w:rPr>
                <w:sz w:val="20"/>
                <w:szCs w:val="20"/>
              </w:rPr>
              <w:t>–</w:t>
            </w:r>
          </w:p>
        </w:tc>
        <w:tc>
          <w:tcPr>
            <w:tcW w:w="992" w:type="dxa"/>
          </w:tcPr>
          <w:p w14:paraId="589255DB" w14:textId="77777777" w:rsidR="00A722CC" w:rsidRPr="007A16D3" w:rsidRDefault="00A722CC" w:rsidP="007A16D3">
            <w:pPr>
              <w:rPr>
                <w:sz w:val="20"/>
                <w:szCs w:val="20"/>
              </w:rPr>
            </w:pPr>
            <w:r w:rsidRPr="007A16D3">
              <w:rPr>
                <w:sz w:val="20"/>
                <w:szCs w:val="20"/>
              </w:rPr>
              <w:sym w:font="Wingdings" w:char="F0FC"/>
            </w:r>
          </w:p>
        </w:tc>
        <w:tc>
          <w:tcPr>
            <w:tcW w:w="1303" w:type="dxa"/>
          </w:tcPr>
          <w:p w14:paraId="00F48582" w14:textId="77777777" w:rsidR="00A722CC" w:rsidRPr="007A16D3" w:rsidRDefault="00A722CC" w:rsidP="007A16D3">
            <w:pPr>
              <w:rPr>
                <w:sz w:val="20"/>
                <w:szCs w:val="20"/>
              </w:rPr>
            </w:pPr>
            <w:r w:rsidRPr="007A16D3">
              <w:rPr>
                <w:sz w:val="20"/>
                <w:szCs w:val="20"/>
              </w:rPr>
              <w:t>–</w:t>
            </w:r>
          </w:p>
        </w:tc>
      </w:tr>
      <w:tr w:rsidR="007A16D3" w:rsidRPr="00093C1B" w14:paraId="0B7E87F0" w14:textId="77777777" w:rsidTr="007A16D3">
        <w:trPr>
          <w:trHeight w:val="179"/>
        </w:trPr>
        <w:tc>
          <w:tcPr>
            <w:tcW w:w="1100" w:type="dxa"/>
            <w:vMerge w:val="restart"/>
          </w:tcPr>
          <w:p w14:paraId="3E4A0905" w14:textId="77777777" w:rsidR="00A722CC" w:rsidRPr="007A16D3" w:rsidRDefault="00A722CC">
            <w:pPr>
              <w:ind w:left="0" w:right="0"/>
              <w:rPr>
                <w:color w:val="auto"/>
                <w:sz w:val="20"/>
                <w:szCs w:val="20"/>
                <w:lang w:eastAsia="en-US"/>
              </w:rPr>
            </w:pPr>
            <w:r w:rsidRPr="007A16D3">
              <w:rPr>
                <w:sz w:val="20"/>
                <w:szCs w:val="20"/>
              </w:rPr>
              <w:t>Missing information</w:t>
            </w:r>
          </w:p>
        </w:tc>
        <w:tc>
          <w:tcPr>
            <w:tcW w:w="2977" w:type="dxa"/>
          </w:tcPr>
          <w:p w14:paraId="3948E267" w14:textId="77777777" w:rsidR="00A722CC" w:rsidRPr="007A16D3" w:rsidRDefault="00A722CC" w:rsidP="000E60F9">
            <w:pPr>
              <w:ind w:left="57" w:right="57"/>
              <w:rPr>
                <w:color w:val="auto"/>
                <w:sz w:val="20"/>
                <w:szCs w:val="20"/>
                <w:lang w:eastAsia="en-US"/>
              </w:rPr>
            </w:pPr>
            <w:r w:rsidRPr="007A16D3">
              <w:rPr>
                <w:sz w:val="20"/>
                <w:szCs w:val="20"/>
              </w:rPr>
              <w:t>Use in pregnancy and breastfeeding</w:t>
            </w:r>
          </w:p>
        </w:tc>
        <w:tc>
          <w:tcPr>
            <w:tcW w:w="992" w:type="dxa"/>
          </w:tcPr>
          <w:p w14:paraId="3C225E3D" w14:textId="77777777" w:rsidR="00A722CC" w:rsidRPr="007A16D3" w:rsidRDefault="00A722CC" w:rsidP="007A16D3">
            <w:pPr>
              <w:rPr>
                <w:sz w:val="20"/>
                <w:szCs w:val="20"/>
              </w:rPr>
            </w:pPr>
            <w:r w:rsidRPr="007A16D3">
              <w:rPr>
                <w:sz w:val="20"/>
                <w:szCs w:val="20"/>
              </w:rPr>
              <w:sym w:font="Wingdings" w:char="F0FC"/>
            </w:r>
          </w:p>
        </w:tc>
        <w:tc>
          <w:tcPr>
            <w:tcW w:w="1276" w:type="dxa"/>
          </w:tcPr>
          <w:p w14:paraId="0D861551" w14:textId="77777777" w:rsidR="00A722CC" w:rsidRPr="007A16D3" w:rsidRDefault="00A722CC" w:rsidP="007A16D3">
            <w:pPr>
              <w:rPr>
                <w:sz w:val="20"/>
                <w:szCs w:val="20"/>
              </w:rPr>
            </w:pPr>
            <w:r w:rsidRPr="007A16D3">
              <w:rPr>
                <w:sz w:val="20"/>
                <w:szCs w:val="20"/>
              </w:rPr>
              <w:t>–</w:t>
            </w:r>
          </w:p>
        </w:tc>
        <w:tc>
          <w:tcPr>
            <w:tcW w:w="992" w:type="dxa"/>
          </w:tcPr>
          <w:p w14:paraId="6BEC7F04" w14:textId="77777777" w:rsidR="00A722CC" w:rsidRPr="007A16D3" w:rsidRDefault="00A722CC" w:rsidP="007A16D3">
            <w:pPr>
              <w:rPr>
                <w:sz w:val="20"/>
                <w:szCs w:val="20"/>
              </w:rPr>
            </w:pPr>
            <w:r w:rsidRPr="007A16D3">
              <w:rPr>
                <w:sz w:val="20"/>
                <w:szCs w:val="20"/>
              </w:rPr>
              <w:sym w:font="Wingdings" w:char="F0FC"/>
            </w:r>
          </w:p>
        </w:tc>
        <w:tc>
          <w:tcPr>
            <w:tcW w:w="1303" w:type="dxa"/>
          </w:tcPr>
          <w:p w14:paraId="6AD1BE4D" w14:textId="77777777" w:rsidR="00A722CC" w:rsidRPr="007A16D3" w:rsidRDefault="00A722CC" w:rsidP="007A16D3">
            <w:pPr>
              <w:rPr>
                <w:sz w:val="20"/>
                <w:szCs w:val="20"/>
              </w:rPr>
            </w:pPr>
            <w:r w:rsidRPr="007A16D3">
              <w:rPr>
                <w:sz w:val="20"/>
                <w:szCs w:val="20"/>
              </w:rPr>
              <w:t>–</w:t>
            </w:r>
          </w:p>
        </w:tc>
      </w:tr>
      <w:tr w:rsidR="007A16D3" w:rsidRPr="00093C1B" w14:paraId="5FAB3694" w14:textId="77777777" w:rsidTr="007A16D3">
        <w:trPr>
          <w:trHeight w:val="141"/>
        </w:trPr>
        <w:tc>
          <w:tcPr>
            <w:tcW w:w="1100" w:type="dxa"/>
            <w:vMerge/>
          </w:tcPr>
          <w:p w14:paraId="1031AE53" w14:textId="77777777" w:rsidR="00A722CC" w:rsidRPr="007A16D3" w:rsidRDefault="00A722CC" w:rsidP="007A16D3">
            <w:pPr>
              <w:rPr>
                <w:sz w:val="20"/>
                <w:szCs w:val="20"/>
              </w:rPr>
            </w:pPr>
          </w:p>
        </w:tc>
        <w:tc>
          <w:tcPr>
            <w:tcW w:w="2977" w:type="dxa"/>
          </w:tcPr>
          <w:p w14:paraId="5CF9591A" w14:textId="77777777" w:rsidR="00A722CC" w:rsidRPr="007A16D3" w:rsidRDefault="00A722CC" w:rsidP="000E60F9">
            <w:pPr>
              <w:ind w:left="57" w:right="57"/>
              <w:rPr>
                <w:color w:val="auto"/>
                <w:sz w:val="20"/>
                <w:szCs w:val="20"/>
                <w:lang w:eastAsia="en-US"/>
              </w:rPr>
            </w:pPr>
            <w:r w:rsidRPr="007A16D3">
              <w:rPr>
                <w:sz w:val="20"/>
                <w:szCs w:val="20"/>
              </w:rPr>
              <w:t>Use in paediatric and adolescent patients</w:t>
            </w:r>
          </w:p>
        </w:tc>
        <w:tc>
          <w:tcPr>
            <w:tcW w:w="992" w:type="dxa"/>
          </w:tcPr>
          <w:p w14:paraId="64DC2810" w14:textId="77777777" w:rsidR="00A722CC" w:rsidRPr="007A16D3" w:rsidRDefault="00A722CC" w:rsidP="007A16D3">
            <w:pPr>
              <w:rPr>
                <w:sz w:val="20"/>
                <w:szCs w:val="20"/>
              </w:rPr>
            </w:pPr>
            <w:r w:rsidRPr="007A16D3">
              <w:rPr>
                <w:sz w:val="20"/>
                <w:szCs w:val="20"/>
              </w:rPr>
              <w:sym w:font="Wingdings" w:char="F0FC"/>
            </w:r>
          </w:p>
        </w:tc>
        <w:tc>
          <w:tcPr>
            <w:tcW w:w="1276" w:type="dxa"/>
          </w:tcPr>
          <w:p w14:paraId="6CF9E40C" w14:textId="77777777" w:rsidR="00A722CC" w:rsidRPr="007A16D3" w:rsidRDefault="00A722CC" w:rsidP="007A16D3">
            <w:pPr>
              <w:rPr>
                <w:sz w:val="20"/>
                <w:szCs w:val="20"/>
              </w:rPr>
            </w:pPr>
            <w:r w:rsidRPr="007A16D3">
              <w:rPr>
                <w:sz w:val="20"/>
                <w:szCs w:val="20"/>
              </w:rPr>
              <w:sym w:font="Wingdings" w:char="F0FC"/>
            </w:r>
          </w:p>
        </w:tc>
        <w:tc>
          <w:tcPr>
            <w:tcW w:w="992" w:type="dxa"/>
          </w:tcPr>
          <w:p w14:paraId="49AE9253" w14:textId="77777777" w:rsidR="00A722CC" w:rsidRPr="007A16D3" w:rsidRDefault="00A722CC" w:rsidP="007A16D3">
            <w:pPr>
              <w:rPr>
                <w:sz w:val="20"/>
                <w:szCs w:val="20"/>
              </w:rPr>
            </w:pPr>
            <w:r w:rsidRPr="007A16D3">
              <w:rPr>
                <w:sz w:val="20"/>
                <w:szCs w:val="20"/>
              </w:rPr>
              <w:sym w:font="Wingdings" w:char="F0FC"/>
            </w:r>
          </w:p>
        </w:tc>
        <w:tc>
          <w:tcPr>
            <w:tcW w:w="1303" w:type="dxa"/>
          </w:tcPr>
          <w:p w14:paraId="49305EA2" w14:textId="77777777" w:rsidR="00A722CC" w:rsidRPr="007A16D3" w:rsidRDefault="00A722CC" w:rsidP="007A16D3">
            <w:pPr>
              <w:rPr>
                <w:sz w:val="20"/>
                <w:szCs w:val="20"/>
              </w:rPr>
            </w:pPr>
            <w:r w:rsidRPr="007A16D3">
              <w:rPr>
                <w:sz w:val="20"/>
                <w:szCs w:val="20"/>
              </w:rPr>
              <w:t>–</w:t>
            </w:r>
          </w:p>
        </w:tc>
      </w:tr>
      <w:tr w:rsidR="007A16D3" w:rsidRPr="00093C1B" w14:paraId="386FAEA9" w14:textId="77777777" w:rsidTr="007A16D3">
        <w:trPr>
          <w:trHeight w:val="141"/>
        </w:trPr>
        <w:tc>
          <w:tcPr>
            <w:tcW w:w="1100" w:type="dxa"/>
            <w:vMerge/>
          </w:tcPr>
          <w:p w14:paraId="4659C1C7" w14:textId="77777777" w:rsidR="00A722CC" w:rsidRPr="007A16D3" w:rsidRDefault="00A722CC" w:rsidP="007A16D3">
            <w:pPr>
              <w:rPr>
                <w:sz w:val="20"/>
                <w:szCs w:val="20"/>
              </w:rPr>
            </w:pPr>
          </w:p>
        </w:tc>
        <w:tc>
          <w:tcPr>
            <w:tcW w:w="2977" w:type="dxa"/>
          </w:tcPr>
          <w:p w14:paraId="7C6BCC5A" w14:textId="77777777" w:rsidR="00A722CC" w:rsidRPr="007A16D3" w:rsidRDefault="00A722CC" w:rsidP="000E60F9">
            <w:pPr>
              <w:ind w:left="57" w:right="57"/>
              <w:rPr>
                <w:color w:val="auto"/>
                <w:sz w:val="20"/>
                <w:szCs w:val="20"/>
                <w:lang w:eastAsia="en-US"/>
              </w:rPr>
            </w:pPr>
            <w:r w:rsidRPr="007A16D3">
              <w:rPr>
                <w:sz w:val="20"/>
                <w:szCs w:val="20"/>
              </w:rPr>
              <w:t>Use in elderly</w:t>
            </w:r>
          </w:p>
        </w:tc>
        <w:tc>
          <w:tcPr>
            <w:tcW w:w="992" w:type="dxa"/>
          </w:tcPr>
          <w:p w14:paraId="4E8B8976" w14:textId="77777777" w:rsidR="00A722CC" w:rsidRPr="007A16D3" w:rsidRDefault="00A722CC" w:rsidP="007A16D3">
            <w:pPr>
              <w:rPr>
                <w:sz w:val="20"/>
                <w:szCs w:val="20"/>
              </w:rPr>
            </w:pPr>
            <w:r w:rsidRPr="007A16D3">
              <w:rPr>
                <w:sz w:val="20"/>
                <w:szCs w:val="20"/>
              </w:rPr>
              <w:sym w:font="Wingdings" w:char="F0FC"/>
            </w:r>
          </w:p>
        </w:tc>
        <w:tc>
          <w:tcPr>
            <w:tcW w:w="1276" w:type="dxa"/>
          </w:tcPr>
          <w:p w14:paraId="5A255BF1" w14:textId="77777777" w:rsidR="00A722CC" w:rsidRPr="007A16D3" w:rsidRDefault="00A722CC" w:rsidP="007A16D3">
            <w:pPr>
              <w:rPr>
                <w:sz w:val="20"/>
                <w:szCs w:val="20"/>
              </w:rPr>
            </w:pPr>
            <w:r w:rsidRPr="007A16D3">
              <w:rPr>
                <w:sz w:val="20"/>
                <w:szCs w:val="20"/>
              </w:rPr>
              <w:sym w:font="Wingdings" w:char="F0FC"/>
            </w:r>
          </w:p>
        </w:tc>
        <w:tc>
          <w:tcPr>
            <w:tcW w:w="992" w:type="dxa"/>
          </w:tcPr>
          <w:p w14:paraId="664511DA" w14:textId="77777777" w:rsidR="00A722CC" w:rsidRPr="007A16D3" w:rsidRDefault="00A722CC" w:rsidP="007A16D3">
            <w:pPr>
              <w:rPr>
                <w:sz w:val="20"/>
                <w:szCs w:val="20"/>
              </w:rPr>
            </w:pPr>
            <w:r w:rsidRPr="007A16D3">
              <w:rPr>
                <w:sz w:val="20"/>
                <w:szCs w:val="20"/>
              </w:rPr>
              <w:sym w:font="Wingdings" w:char="F0FC"/>
            </w:r>
          </w:p>
        </w:tc>
        <w:tc>
          <w:tcPr>
            <w:tcW w:w="1303" w:type="dxa"/>
          </w:tcPr>
          <w:p w14:paraId="02CAC838" w14:textId="77777777" w:rsidR="00A722CC" w:rsidRPr="007A16D3" w:rsidRDefault="00A722CC" w:rsidP="007A16D3">
            <w:pPr>
              <w:rPr>
                <w:sz w:val="20"/>
                <w:szCs w:val="20"/>
              </w:rPr>
            </w:pPr>
            <w:r w:rsidRPr="007A16D3">
              <w:rPr>
                <w:sz w:val="20"/>
                <w:szCs w:val="20"/>
              </w:rPr>
              <w:t>–</w:t>
            </w:r>
          </w:p>
        </w:tc>
      </w:tr>
      <w:tr w:rsidR="007A16D3" w:rsidRPr="00093C1B" w14:paraId="2FE94485" w14:textId="77777777" w:rsidTr="007A16D3">
        <w:trPr>
          <w:trHeight w:val="231"/>
        </w:trPr>
        <w:tc>
          <w:tcPr>
            <w:tcW w:w="1100" w:type="dxa"/>
            <w:vMerge/>
          </w:tcPr>
          <w:p w14:paraId="2F8C6A95" w14:textId="77777777" w:rsidR="00A722CC" w:rsidRPr="007A16D3" w:rsidRDefault="00A722CC" w:rsidP="007A16D3">
            <w:pPr>
              <w:rPr>
                <w:sz w:val="20"/>
                <w:szCs w:val="20"/>
              </w:rPr>
            </w:pPr>
          </w:p>
        </w:tc>
        <w:tc>
          <w:tcPr>
            <w:tcW w:w="2977" w:type="dxa"/>
          </w:tcPr>
          <w:p w14:paraId="38E190CC" w14:textId="77777777" w:rsidR="00A722CC" w:rsidRPr="007A16D3" w:rsidRDefault="00A722CC" w:rsidP="000E60F9">
            <w:pPr>
              <w:ind w:left="57" w:right="57"/>
              <w:rPr>
                <w:color w:val="auto"/>
                <w:sz w:val="20"/>
                <w:szCs w:val="20"/>
                <w:lang w:eastAsia="en-US"/>
              </w:rPr>
            </w:pPr>
            <w:r w:rsidRPr="007A16D3">
              <w:rPr>
                <w:sz w:val="20"/>
                <w:szCs w:val="20"/>
              </w:rPr>
              <w:t>Use in patients with renal impairment</w:t>
            </w:r>
          </w:p>
        </w:tc>
        <w:tc>
          <w:tcPr>
            <w:tcW w:w="992" w:type="dxa"/>
          </w:tcPr>
          <w:p w14:paraId="407CC491" w14:textId="77777777" w:rsidR="00A722CC" w:rsidRPr="007A16D3" w:rsidRDefault="00A722CC" w:rsidP="007A16D3">
            <w:pPr>
              <w:rPr>
                <w:sz w:val="20"/>
                <w:szCs w:val="20"/>
              </w:rPr>
            </w:pPr>
            <w:r w:rsidRPr="007A16D3">
              <w:rPr>
                <w:sz w:val="20"/>
                <w:szCs w:val="20"/>
              </w:rPr>
              <w:sym w:font="Wingdings" w:char="F0FC"/>
            </w:r>
          </w:p>
        </w:tc>
        <w:tc>
          <w:tcPr>
            <w:tcW w:w="1276" w:type="dxa"/>
          </w:tcPr>
          <w:p w14:paraId="0D8DBC15" w14:textId="77777777" w:rsidR="00A722CC" w:rsidRPr="007A16D3" w:rsidRDefault="00A722CC" w:rsidP="007A16D3">
            <w:pPr>
              <w:rPr>
                <w:sz w:val="20"/>
                <w:szCs w:val="20"/>
              </w:rPr>
            </w:pPr>
            <w:r w:rsidRPr="007A16D3">
              <w:rPr>
                <w:sz w:val="20"/>
                <w:szCs w:val="20"/>
              </w:rPr>
              <w:sym w:font="Wingdings" w:char="F0FC"/>
            </w:r>
          </w:p>
        </w:tc>
        <w:tc>
          <w:tcPr>
            <w:tcW w:w="992" w:type="dxa"/>
          </w:tcPr>
          <w:p w14:paraId="11751719" w14:textId="77777777" w:rsidR="00A722CC" w:rsidRPr="007A16D3" w:rsidRDefault="00A722CC" w:rsidP="007A16D3">
            <w:pPr>
              <w:rPr>
                <w:sz w:val="20"/>
                <w:szCs w:val="20"/>
              </w:rPr>
            </w:pPr>
            <w:r w:rsidRPr="007A16D3">
              <w:rPr>
                <w:sz w:val="20"/>
                <w:szCs w:val="20"/>
              </w:rPr>
              <w:sym w:font="Wingdings" w:char="F0FC"/>
            </w:r>
          </w:p>
        </w:tc>
        <w:tc>
          <w:tcPr>
            <w:tcW w:w="1303" w:type="dxa"/>
          </w:tcPr>
          <w:p w14:paraId="5403C6AA" w14:textId="77777777" w:rsidR="00A722CC" w:rsidRPr="007A16D3" w:rsidRDefault="00A722CC" w:rsidP="007A16D3">
            <w:pPr>
              <w:rPr>
                <w:sz w:val="20"/>
                <w:szCs w:val="20"/>
              </w:rPr>
            </w:pPr>
            <w:r w:rsidRPr="007A16D3">
              <w:rPr>
                <w:sz w:val="20"/>
                <w:szCs w:val="20"/>
              </w:rPr>
              <w:t>–</w:t>
            </w:r>
          </w:p>
        </w:tc>
      </w:tr>
      <w:tr w:rsidR="007A16D3" w:rsidRPr="00093C1B" w14:paraId="0036FDE8" w14:textId="77777777" w:rsidTr="007A16D3">
        <w:trPr>
          <w:trHeight w:val="80"/>
        </w:trPr>
        <w:tc>
          <w:tcPr>
            <w:tcW w:w="1100" w:type="dxa"/>
            <w:vMerge/>
          </w:tcPr>
          <w:p w14:paraId="22F67736" w14:textId="77777777" w:rsidR="00A722CC" w:rsidRPr="007A16D3" w:rsidRDefault="00A722CC" w:rsidP="007A16D3">
            <w:pPr>
              <w:rPr>
                <w:sz w:val="20"/>
                <w:szCs w:val="20"/>
              </w:rPr>
            </w:pPr>
          </w:p>
        </w:tc>
        <w:tc>
          <w:tcPr>
            <w:tcW w:w="2977" w:type="dxa"/>
          </w:tcPr>
          <w:p w14:paraId="644824BD" w14:textId="77777777" w:rsidR="00A722CC" w:rsidRPr="007A16D3" w:rsidRDefault="00A722CC" w:rsidP="000E60F9">
            <w:pPr>
              <w:ind w:left="57" w:right="57"/>
              <w:rPr>
                <w:color w:val="auto"/>
                <w:sz w:val="20"/>
                <w:szCs w:val="20"/>
                <w:lang w:eastAsia="en-US"/>
              </w:rPr>
            </w:pPr>
            <w:r w:rsidRPr="007A16D3">
              <w:rPr>
                <w:sz w:val="20"/>
                <w:szCs w:val="20"/>
              </w:rPr>
              <w:t>Use in patients with ethnic differences</w:t>
            </w:r>
          </w:p>
        </w:tc>
        <w:tc>
          <w:tcPr>
            <w:tcW w:w="992" w:type="dxa"/>
          </w:tcPr>
          <w:p w14:paraId="3EB6437F" w14:textId="77777777" w:rsidR="00A722CC" w:rsidRPr="007A16D3" w:rsidRDefault="00A722CC" w:rsidP="007A16D3">
            <w:pPr>
              <w:rPr>
                <w:sz w:val="20"/>
                <w:szCs w:val="20"/>
              </w:rPr>
            </w:pPr>
            <w:r w:rsidRPr="007A16D3">
              <w:rPr>
                <w:sz w:val="20"/>
                <w:szCs w:val="20"/>
              </w:rPr>
              <w:sym w:font="Wingdings" w:char="F0FC"/>
            </w:r>
          </w:p>
        </w:tc>
        <w:tc>
          <w:tcPr>
            <w:tcW w:w="1276" w:type="dxa"/>
          </w:tcPr>
          <w:p w14:paraId="71483AFF" w14:textId="77777777" w:rsidR="00A722CC" w:rsidRPr="007A16D3" w:rsidRDefault="00A722CC" w:rsidP="007A16D3">
            <w:pPr>
              <w:rPr>
                <w:sz w:val="20"/>
                <w:szCs w:val="20"/>
              </w:rPr>
            </w:pPr>
            <w:r w:rsidRPr="007A16D3">
              <w:rPr>
                <w:sz w:val="20"/>
                <w:szCs w:val="20"/>
              </w:rPr>
              <w:t>–</w:t>
            </w:r>
          </w:p>
        </w:tc>
        <w:tc>
          <w:tcPr>
            <w:tcW w:w="992" w:type="dxa"/>
          </w:tcPr>
          <w:p w14:paraId="7B0C3CFF" w14:textId="77777777" w:rsidR="00A722CC" w:rsidRPr="007A16D3" w:rsidRDefault="00A722CC" w:rsidP="007A16D3">
            <w:pPr>
              <w:rPr>
                <w:sz w:val="20"/>
                <w:szCs w:val="20"/>
              </w:rPr>
            </w:pPr>
            <w:r w:rsidRPr="007A16D3">
              <w:rPr>
                <w:sz w:val="20"/>
                <w:szCs w:val="20"/>
              </w:rPr>
              <w:sym w:font="Wingdings" w:char="F0FC"/>
            </w:r>
          </w:p>
        </w:tc>
        <w:tc>
          <w:tcPr>
            <w:tcW w:w="1303" w:type="dxa"/>
          </w:tcPr>
          <w:p w14:paraId="1F8D064A" w14:textId="77777777" w:rsidR="00A722CC" w:rsidRPr="007A16D3" w:rsidRDefault="00A722CC" w:rsidP="007A16D3">
            <w:pPr>
              <w:rPr>
                <w:sz w:val="20"/>
                <w:szCs w:val="20"/>
              </w:rPr>
            </w:pPr>
            <w:r w:rsidRPr="007A16D3">
              <w:rPr>
                <w:sz w:val="20"/>
                <w:szCs w:val="20"/>
              </w:rPr>
              <w:t>–</w:t>
            </w:r>
          </w:p>
        </w:tc>
      </w:tr>
      <w:tr w:rsidR="007A16D3" w:rsidRPr="00093C1B" w14:paraId="6A40741B" w14:textId="77777777" w:rsidTr="007A16D3">
        <w:trPr>
          <w:trHeight w:val="131"/>
        </w:trPr>
        <w:tc>
          <w:tcPr>
            <w:tcW w:w="1100" w:type="dxa"/>
            <w:vMerge/>
          </w:tcPr>
          <w:p w14:paraId="58B76986" w14:textId="77777777" w:rsidR="00A722CC" w:rsidRPr="007A16D3" w:rsidRDefault="00A722CC" w:rsidP="007A16D3">
            <w:pPr>
              <w:rPr>
                <w:sz w:val="20"/>
                <w:szCs w:val="20"/>
              </w:rPr>
            </w:pPr>
          </w:p>
        </w:tc>
        <w:tc>
          <w:tcPr>
            <w:tcW w:w="2977" w:type="dxa"/>
          </w:tcPr>
          <w:p w14:paraId="0F581506" w14:textId="77777777" w:rsidR="00A722CC" w:rsidRPr="007A16D3" w:rsidRDefault="00A722CC" w:rsidP="000E60F9">
            <w:pPr>
              <w:ind w:left="57" w:right="57"/>
              <w:rPr>
                <w:color w:val="auto"/>
                <w:sz w:val="20"/>
                <w:szCs w:val="20"/>
                <w:lang w:eastAsia="en-US"/>
              </w:rPr>
            </w:pPr>
            <w:r w:rsidRPr="007A16D3">
              <w:rPr>
                <w:sz w:val="20"/>
                <w:szCs w:val="20"/>
              </w:rPr>
              <w:t>Use in patients with active uncontrolled infections</w:t>
            </w:r>
          </w:p>
        </w:tc>
        <w:tc>
          <w:tcPr>
            <w:tcW w:w="992" w:type="dxa"/>
          </w:tcPr>
          <w:p w14:paraId="412B32CA" w14:textId="77777777" w:rsidR="00A722CC" w:rsidRPr="007A16D3" w:rsidRDefault="00A722CC" w:rsidP="007A16D3">
            <w:pPr>
              <w:rPr>
                <w:sz w:val="20"/>
                <w:szCs w:val="20"/>
              </w:rPr>
            </w:pPr>
            <w:r w:rsidRPr="007A16D3">
              <w:rPr>
                <w:sz w:val="20"/>
                <w:szCs w:val="20"/>
              </w:rPr>
              <w:sym w:font="Wingdings" w:char="F0FC"/>
            </w:r>
          </w:p>
        </w:tc>
        <w:tc>
          <w:tcPr>
            <w:tcW w:w="1276" w:type="dxa"/>
          </w:tcPr>
          <w:p w14:paraId="31483E49" w14:textId="77777777" w:rsidR="00A722CC" w:rsidRPr="007A16D3" w:rsidRDefault="00A722CC" w:rsidP="007A16D3">
            <w:pPr>
              <w:rPr>
                <w:sz w:val="20"/>
                <w:szCs w:val="20"/>
              </w:rPr>
            </w:pPr>
            <w:r w:rsidRPr="007A16D3">
              <w:rPr>
                <w:sz w:val="20"/>
                <w:szCs w:val="20"/>
              </w:rPr>
              <w:sym w:font="Wingdings" w:char="F0FC"/>
            </w:r>
          </w:p>
        </w:tc>
        <w:tc>
          <w:tcPr>
            <w:tcW w:w="992" w:type="dxa"/>
          </w:tcPr>
          <w:p w14:paraId="3B8A3443" w14:textId="77777777" w:rsidR="00A722CC" w:rsidRPr="007A16D3" w:rsidRDefault="00A722CC" w:rsidP="007A16D3">
            <w:pPr>
              <w:rPr>
                <w:sz w:val="20"/>
                <w:szCs w:val="20"/>
              </w:rPr>
            </w:pPr>
            <w:r w:rsidRPr="007A16D3">
              <w:rPr>
                <w:sz w:val="20"/>
                <w:szCs w:val="20"/>
              </w:rPr>
              <w:sym w:font="Wingdings" w:char="F0FC"/>
            </w:r>
          </w:p>
        </w:tc>
        <w:tc>
          <w:tcPr>
            <w:tcW w:w="1303" w:type="dxa"/>
          </w:tcPr>
          <w:p w14:paraId="4003BB97" w14:textId="77777777" w:rsidR="00A722CC" w:rsidRPr="007A16D3" w:rsidRDefault="00A722CC" w:rsidP="007A16D3">
            <w:pPr>
              <w:rPr>
                <w:sz w:val="20"/>
                <w:szCs w:val="20"/>
              </w:rPr>
            </w:pPr>
            <w:r w:rsidRPr="007A16D3">
              <w:rPr>
                <w:sz w:val="20"/>
                <w:szCs w:val="20"/>
              </w:rPr>
              <w:t>–</w:t>
            </w:r>
          </w:p>
        </w:tc>
      </w:tr>
      <w:tr w:rsidR="007A16D3" w:rsidRPr="00093C1B" w14:paraId="6AE67F19" w14:textId="77777777" w:rsidTr="007A16D3">
        <w:trPr>
          <w:trHeight w:val="121"/>
        </w:trPr>
        <w:tc>
          <w:tcPr>
            <w:tcW w:w="1100" w:type="dxa"/>
            <w:vMerge/>
          </w:tcPr>
          <w:p w14:paraId="45B3315C" w14:textId="77777777" w:rsidR="00A722CC" w:rsidRPr="007A16D3" w:rsidRDefault="00A722CC" w:rsidP="007A16D3">
            <w:pPr>
              <w:rPr>
                <w:sz w:val="20"/>
                <w:szCs w:val="20"/>
              </w:rPr>
            </w:pPr>
          </w:p>
        </w:tc>
        <w:tc>
          <w:tcPr>
            <w:tcW w:w="2977" w:type="dxa"/>
          </w:tcPr>
          <w:p w14:paraId="06797270" w14:textId="77777777" w:rsidR="00A722CC" w:rsidRPr="007A16D3" w:rsidRDefault="00A722CC" w:rsidP="000E60F9">
            <w:pPr>
              <w:ind w:left="57" w:right="57"/>
              <w:rPr>
                <w:color w:val="auto"/>
                <w:sz w:val="20"/>
                <w:szCs w:val="20"/>
                <w:lang w:eastAsia="en-US"/>
              </w:rPr>
            </w:pPr>
            <w:r w:rsidRPr="007A16D3">
              <w:rPr>
                <w:sz w:val="20"/>
                <w:szCs w:val="20"/>
              </w:rPr>
              <w:t xml:space="preserve">Use in patients with HIV positivity or chronic infection with hepatitis B virus or </w:t>
            </w:r>
            <w:r w:rsidRPr="007A16D3">
              <w:rPr>
                <w:sz w:val="20"/>
                <w:szCs w:val="20"/>
              </w:rPr>
              <w:lastRenderedPageBreak/>
              <w:t>hepatitis C virus</w:t>
            </w:r>
          </w:p>
        </w:tc>
        <w:tc>
          <w:tcPr>
            <w:tcW w:w="992" w:type="dxa"/>
          </w:tcPr>
          <w:p w14:paraId="7C27E842" w14:textId="77777777" w:rsidR="00A722CC" w:rsidRPr="007A16D3" w:rsidRDefault="00A722CC" w:rsidP="007A16D3">
            <w:pPr>
              <w:rPr>
                <w:sz w:val="20"/>
                <w:szCs w:val="20"/>
              </w:rPr>
            </w:pPr>
            <w:r w:rsidRPr="007A16D3">
              <w:rPr>
                <w:sz w:val="20"/>
                <w:szCs w:val="20"/>
              </w:rPr>
              <w:lastRenderedPageBreak/>
              <w:sym w:font="Wingdings" w:char="F0FC"/>
            </w:r>
          </w:p>
        </w:tc>
        <w:tc>
          <w:tcPr>
            <w:tcW w:w="1276" w:type="dxa"/>
          </w:tcPr>
          <w:p w14:paraId="22062750" w14:textId="77777777" w:rsidR="00A722CC" w:rsidRPr="007A16D3" w:rsidRDefault="00A722CC" w:rsidP="007A16D3">
            <w:pPr>
              <w:rPr>
                <w:sz w:val="20"/>
                <w:szCs w:val="20"/>
              </w:rPr>
            </w:pPr>
            <w:r w:rsidRPr="007A16D3">
              <w:rPr>
                <w:sz w:val="20"/>
                <w:szCs w:val="20"/>
              </w:rPr>
              <w:sym w:font="Wingdings" w:char="F0FC"/>
            </w:r>
          </w:p>
        </w:tc>
        <w:tc>
          <w:tcPr>
            <w:tcW w:w="992" w:type="dxa"/>
          </w:tcPr>
          <w:p w14:paraId="611EDAF0" w14:textId="77777777" w:rsidR="00A722CC" w:rsidRPr="007A16D3" w:rsidRDefault="00A722CC" w:rsidP="007A16D3">
            <w:pPr>
              <w:rPr>
                <w:sz w:val="20"/>
                <w:szCs w:val="20"/>
              </w:rPr>
            </w:pPr>
            <w:r w:rsidRPr="007A16D3">
              <w:rPr>
                <w:sz w:val="20"/>
                <w:szCs w:val="20"/>
              </w:rPr>
              <w:sym w:font="Wingdings" w:char="F0FC"/>
            </w:r>
          </w:p>
        </w:tc>
        <w:tc>
          <w:tcPr>
            <w:tcW w:w="1303" w:type="dxa"/>
          </w:tcPr>
          <w:p w14:paraId="77C20FD6" w14:textId="77777777" w:rsidR="00A722CC" w:rsidRPr="007A16D3" w:rsidRDefault="00A722CC" w:rsidP="007A16D3">
            <w:pPr>
              <w:rPr>
                <w:sz w:val="20"/>
                <w:szCs w:val="20"/>
              </w:rPr>
            </w:pPr>
            <w:r w:rsidRPr="007A16D3">
              <w:rPr>
                <w:sz w:val="20"/>
                <w:szCs w:val="20"/>
              </w:rPr>
              <w:t>–</w:t>
            </w:r>
          </w:p>
        </w:tc>
      </w:tr>
      <w:tr w:rsidR="007A16D3" w:rsidRPr="00093C1B" w14:paraId="61941651" w14:textId="77777777" w:rsidTr="007A16D3">
        <w:trPr>
          <w:trHeight w:val="131"/>
        </w:trPr>
        <w:tc>
          <w:tcPr>
            <w:tcW w:w="1100" w:type="dxa"/>
            <w:vMerge/>
          </w:tcPr>
          <w:p w14:paraId="27A6D3C0" w14:textId="77777777" w:rsidR="00A722CC" w:rsidRPr="007A16D3" w:rsidRDefault="00A722CC" w:rsidP="007A16D3">
            <w:pPr>
              <w:rPr>
                <w:sz w:val="20"/>
                <w:szCs w:val="20"/>
              </w:rPr>
            </w:pPr>
          </w:p>
        </w:tc>
        <w:tc>
          <w:tcPr>
            <w:tcW w:w="2977" w:type="dxa"/>
          </w:tcPr>
          <w:p w14:paraId="4616355B" w14:textId="77777777" w:rsidR="00A722CC" w:rsidRPr="007A16D3" w:rsidRDefault="00A722CC" w:rsidP="000E60F9">
            <w:pPr>
              <w:ind w:left="57" w:right="57"/>
              <w:rPr>
                <w:color w:val="auto"/>
                <w:sz w:val="20"/>
                <w:szCs w:val="20"/>
                <w:lang w:eastAsia="en-US"/>
              </w:rPr>
            </w:pPr>
            <w:r w:rsidRPr="007A16D3">
              <w:rPr>
                <w:sz w:val="20"/>
                <w:szCs w:val="20"/>
              </w:rPr>
              <w:t>Use in patients after recent HSCT</w:t>
            </w:r>
          </w:p>
        </w:tc>
        <w:tc>
          <w:tcPr>
            <w:tcW w:w="992" w:type="dxa"/>
          </w:tcPr>
          <w:p w14:paraId="5D09BE45" w14:textId="77777777" w:rsidR="00A722CC" w:rsidRPr="007A16D3" w:rsidRDefault="00A722CC" w:rsidP="007A16D3">
            <w:pPr>
              <w:rPr>
                <w:sz w:val="20"/>
                <w:szCs w:val="20"/>
              </w:rPr>
            </w:pPr>
            <w:r w:rsidRPr="007A16D3">
              <w:rPr>
                <w:sz w:val="20"/>
                <w:szCs w:val="20"/>
              </w:rPr>
              <w:sym w:font="Wingdings" w:char="F0FC"/>
            </w:r>
          </w:p>
        </w:tc>
        <w:tc>
          <w:tcPr>
            <w:tcW w:w="1276" w:type="dxa"/>
          </w:tcPr>
          <w:p w14:paraId="59D55194" w14:textId="77777777" w:rsidR="00A722CC" w:rsidRPr="007A16D3" w:rsidRDefault="00A722CC" w:rsidP="007A16D3">
            <w:pPr>
              <w:rPr>
                <w:sz w:val="20"/>
                <w:szCs w:val="20"/>
              </w:rPr>
            </w:pPr>
            <w:r w:rsidRPr="007A16D3">
              <w:rPr>
                <w:sz w:val="20"/>
                <w:szCs w:val="20"/>
              </w:rPr>
              <w:sym w:font="Wingdings" w:char="F0FC"/>
            </w:r>
          </w:p>
        </w:tc>
        <w:tc>
          <w:tcPr>
            <w:tcW w:w="992" w:type="dxa"/>
          </w:tcPr>
          <w:p w14:paraId="67A785E9" w14:textId="77777777" w:rsidR="00A722CC" w:rsidRPr="007A16D3" w:rsidRDefault="00A722CC" w:rsidP="007A16D3">
            <w:pPr>
              <w:rPr>
                <w:sz w:val="20"/>
                <w:szCs w:val="20"/>
              </w:rPr>
            </w:pPr>
            <w:r w:rsidRPr="007A16D3">
              <w:rPr>
                <w:sz w:val="20"/>
                <w:szCs w:val="20"/>
              </w:rPr>
              <w:sym w:font="Wingdings" w:char="F0FC"/>
            </w:r>
          </w:p>
        </w:tc>
        <w:tc>
          <w:tcPr>
            <w:tcW w:w="1303" w:type="dxa"/>
          </w:tcPr>
          <w:p w14:paraId="20C9321C" w14:textId="77777777" w:rsidR="00A722CC" w:rsidRPr="007A16D3" w:rsidRDefault="00A722CC" w:rsidP="007A16D3">
            <w:pPr>
              <w:rPr>
                <w:sz w:val="20"/>
                <w:szCs w:val="20"/>
              </w:rPr>
            </w:pPr>
            <w:r w:rsidRPr="007A16D3">
              <w:rPr>
                <w:sz w:val="20"/>
                <w:szCs w:val="20"/>
              </w:rPr>
              <w:t>–</w:t>
            </w:r>
          </w:p>
        </w:tc>
      </w:tr>
      <w:tr w:rsidR="007A16D3" w:rsidRPr="00093C1B" w14:paraId="0D5CE530" w14:textId="77777777" w:rsidTr="007A16D3">
        <w:trPr>
          <w:trHeight w:val="121"/>
        </w:trPr>
        <w:tc>
          <w:tcPr>
            <w:tcW w:w="1100" w:type="dxa"/>
            <w:vMerge/>
          </w:tcPr>
          <w:p w14:paraId="0928F978" w14:textId="77777777" w:rsidR="00A722CC" w:rsidRPr="007A16D3" w:rsidRDefault="00A722CC" w:rsidP="007A16D3">
            <w:pPr>
              <w:rPr>
                <w:sz w:val="20"/>
                <w:szCs w:val="20"/>
              </w:rPr>
            </w:pPr>
          </w:p>
        </w:tc>
        <w:tc>
          <w:tcPr>
            <w:tcW w:w="2977" w:type="dxa"/>
          </w:tcPr>
          <w:p w14:paraId="03F7347C" w14:textId="77777777" w:rsidR="00A722CC" w:rsidRPr="007A16D3" w:rsidRDefault="00A722CC" w:rsidP="000E60F9">
            <w:pPr>
              <w:ind w:left="57" w:right="57"/>
              <w:rPr>
                <w:color w:val="auto"/>
                <w:sz w:val="20"/>
                <w:szCs w:val="20"/>
                <w:lang w:eastAsia="en-US"/>
              </w:rPr>
            </w:pPr>
            <w:r w:rsidRPr="007A16D3">
              <w:rPr>
                <w:sz w:val="20"/>
                <w:szCs w:val="20"/>
              </w:rPr>
              <w:t>Recent or concomitant treatment with other anti-cancer therapies (including radiotherapy)</w:t>
            </w:r>
          </w:p>
        </w:tc>
        <w:tc>
          <w:tcPr>
            <w:tcW w:w="992" w:type="dxa"/>
          </w:tcPr>
          <w:p w14:paraId="3DA51BE4" w14:textId="77777777" w:rsidR="00A722CC" w:rsidRPr="007A16D3" w:rsidRDefault="00A722CC" w:rsidP="007A16D3">
            <w:pPr>
              <w:rPr>
                <w:sz w:val="20"/>
                <w:szCs w:val="20"/>
              </w:rPr>
            </w:pPr>
            <w:r w:rsidRPr="007A16D3">
              <w:rPr>
                <w:sz w:val="20"/>
                <w:szCs w:val="20"/>
              </w:rPr>
              <w:sym w:font="Wingdings" w:char="F0FC"/>
            </w:r>
          </w:p>
        </w:tc>
        <w:tc>
          <w:tcPr>
            <w:tcW w:w="1276" w:type="dxa"/>
          </w:tcPr>
          <w:p w14:paraId="022BBF11" w14:textId="77777777" w:rsidR="00A722CC" w:rsidRPr="007A16D3" w:rsidRDefault="00A722CC" w:rsidP="007A16D3">
            <w:pPr>
              <w:rPr>
                <w:sz w:val="20"/>
                <w:szCs w:val="20"/>
              </w:rPr>
            </w:pPr>
            <w:r w:rsidRPr="007A16D3">
              <w:rPr>
                <w:sz w:val="20"/>
                <w:szCs w:val="20"/>
              </w:rPr>
              <w:sym w:font="Wingdings" w:char="F0FC"/>
            </w:r>
          </w:p>
        </w:tc>
        <w:tc>
          <w:tcPr>
            <w:tcW w:w="992" w:type="dxa"/>
          </w:tcPr>
          <w:p w14:paraId="634D9C5B" w14:textId="77777777" w:rsidR="00A722CC" w:rsidRPr="007A16D3" w:rsidRDefault="00A722CC" w:rsidP="007A16D3">
            <w:pPr>
              <w:rPr>
                <w:sz w:val="20"/>
                <w:szCs w:val="20"/>
              </w:rPr>
            </w:pPr>
            <w:r w:rsidRPr="007A16D3">
              <w:rPr>
                <w:sz w:val="20"/>
                <w:szCs w:val="20"/>
              </w:rPr>
              <w:sym w:font="Wingdings" w:char="F0FC"/>
            </w:r>
          </w:p>
        </w:tc>
        <w:tc>
          <w:tcPr>
            <w:tcW w:w="1303" w:type="dxa"/>
          </w:tcPr>
          <w:p w14:paraId="33743D35" w14:textId="77777777" w:rsidR="00A722CC" w:rsidRPr="007A16D3" w:rsidRDefault="00A722CC" w:rsidP="007A16D3">
            <w:pPr>
              <w:rPr>
                <w:sz w:val="20"/>
                <w:szCs w:val="20"/>
              </w:rPr>
            </w:pPr>
            <w:r w:rsidRPr="007A16D3">
              <w:rPr>
                <w:sz w:val="20"/>
                <w:szCs w:val="20"/>
              </w:rPr>
              <w:t>–</w:t>
            </w:r>
          </w:p>
        </w:tc>
      </w:tr>
      <w:tr w:rsidR="007A16D3" w:rsidRPr="00093C1B" w14:paraId="2CB42FAE" w14:textId="77777777" w:rsidTr="007A16D3">
        <w:trPr>
          <w:trHeight w:val="131"/>
        </w:trPr>
        <w:tc>
          <w:tcPr>
            <w:tcW w:w="1100" w:type="dxa"/>
            <w:vMerge/>
          </w:tcPr>
          <w:p w14:paraId="3FD10820" w14:textId="77777777" w:rsidR="00A722CC" w:rsidRPr="007A16D3" w:rsidRDefault="00A722CC" w:rsidP="007A16D3">
            <w:pPr>
              <w:rPr>
                <w:sz w:val="20"/>
                <w:szCs w:val="20"/>
              </w:rPr>
            </w:pPr>
          </w:p>
        </w:tc>
        <w:tc>
          <w:tcPr>
            <w:tcW w:w="2977" w:type="dxa"/>
          </w:tcPr>
          <w:p w14:paraId="51319B7A" w14:textId="77777777" w:rsidR="00A722CC" w:rsidRPr="007A16D3" w:rsidRDefault="00A722CC" w:rsidP="000E60F9">
            <w:pPr>
              <w:ind w:left="57" w:right="57"/>
              <w:rPr>
                <w:color w:val="auto"/>
                <w:sz w:val="20"/>
                <w:szCs w:val="20"/>
                <w:lang w:eastAsia="en-US"/>
              </w:rPr>
            </w:pPr>
            <w:r w:rsidRPr="007A16D3">
              <w:rPr>
                <w:sz w:val="20"/>
                <w:szCs w:val="20"/>
              </w:rPr>
              <w:t>Recent or concomitant treatment with other immunotherapy</w:t>
            </w:r>
          </w:p>
        </w:tc>
        <w:tc>
          <w:tcPr>
            <w:tcW w:w="992" w:type="dxa"/>
          </w:tcPr>
          <w:p w14:paraId="772667B7" w14:textId="77777777" w:rsidR="00A722CC" w:rsidRPr="007A16D3" w:rsidRDefault="00A722CC" w:rsidP="007A16D3">
            <w:pPr>
              <w:rPr>
                <w:sz w:val="20"/>
                <w:szCs w:val="20"/>
              </w:rPr>
            </w:pPr>
            <w:r w:rsidRPr="007A16D3">
              <w:rPr>
                <w:sz w:val="20"/>
                <w:szCs w:val="20"/>
              </w:rPr>
              <w:sym w:font="Wingdings" w:char="F0FC"/>
            </w:r>
          </w:p>
        </w:tc>
        <w:tc>
          <w:tcPr>
            <w:tcW w:w="1276" w:type="dxa"/>
          </w:tcPr>
          <w:p w14:paraId="1765D3DD" w14:textId="77777777" w:rsidR="00A722CC" w:rsidRPr="007A16D3" w:rsidRDefault="00A722CC" w:rsidP="007A16D3">
            <w:pPr>
              <w:rPr>
                <w:sz w:val="20"/>
                <w:szCs w:val="20"/>
              </w:rPr>
            </w:pPr>
            <w:r w:rsidRPr="007A16D3">
              <w:rPr>
                <w:sz w:val="20"/>
                <w:szCs w:val="20"/>
              </w:rPr>
              <w:sym w:font="Wingdings" w:char="F0FC"/>
            </w:r>
          </w:p>
        </w:tc>
        <w:tc>
          <w:tcPr>
            <w:tcW w:w="992" w:type="dxa"/>
          </w:tcPr>
          <w:p w14:paraId="387D8CD8" w14:textId="77777777" w:rsidR="00A722CC" w:rsidRPr="007A16D3" w:rsidRDefault="00A722CC" w:rsidP="007A16D3">
            <w:pPr>
              <w:rPr>
                <w:sz w:val="20"/>
                <w:szCs w:val="20"/>
              </w:rPr>
            </w:pPr>
            <w:r w:rsidRPr="007A16D3">
              <w:rPr>
                <w:sz w:val="20"/>
                <w:szCs w:val="20"/>
              </w:rPr>
              <w:sym w:font="Wingdings" w:char="F0FC"/>
            </w:r>
          </w:p>
        </w:tc>
        <w:tc>
          <w:tcPr>
            <w:tcW w:w="1303" w:type="dxa"/>
          </w:tcPr>
          <w:p w14:paraId="4390FFDA" w14:textId="77777777" w:rsidR="00A722CC" w:rsidRPr="007A16D3" w:rsidRDefault="00A722CC" w:rsidP="007A16D3">
            <w:pPr>
              <w:rPr>
                <w:sz w:val="20"/>
                <w:szCs w:val="20"/>
              </w:rPr>
            </w:pPr>
            <w:r w:rsidRPr="007A16D3">
              <w:rPr>
                <w:sz w:val="20"/>
                <w:szCs w:val="20"/>
              </w:rPr>
              <w:t>–</w:t>
            </w:r>
          </w:p>
        </w:tc>
      </w:tr>
      <w:tr w:rsidR="007A16D3" w:rsidRPr="00093C1B" w14:paraId="0169C3B6" w14:textId="77777777" w:rsidTr="007A16D3">
        <w:trPr>
          <w:trHeight w:val="161"/>
        </w:trPr>
        <w:tc>
          <w:tcPr>
            <w:tcW w:w="1100" w:type="dxa"/>
            <w:vMerge/>
          </w:tcPr>
          <w:p w14:paraId="1795E5C1" w14:textId="77777777" w:rsidR="00A722CC" w:rsidRPr="007A16D3" w:rsidRDefault="00A722CC" w:rsidP="007A16D3">
            <w:pPr>
              <w:rPr>
                <w:sz w:val="20"/>
                <w:szCs w:val="20"/>
              </w:rPr>
            </w:pPr>
          </w:p>
        </w:tc>
        <w:tc>
          <w:tcPr>
            <w:tcW w:w="2977" w:type="dxa"/>
          </w:tcPr>
          <w:p w14:paraId="6C9BD1C9" w14:textId="77777777" w:rsidR="00A722CC" w:rsidRPr="007A16D3" w:rsidRDefault="00A722CC" w:rsidP="000E60F9">
            <w:pPr>
              <w:ind w:left="57" w:right="57"/>
              <w:rPr>
                <w:color w:val="auto"/>
                <w:sz w:val="20"/>
                <w:szCs w:val="20"/>
                <w:lang w:eastAsia="en-US"/>
              </w:rPr>
            </w:pPr>
            <w:r w:rsidRPr="007A16D3">
              <w:rPr>
                <w:sz w:val="20"/>
                <w:szCs w:val="20"/>
              </w:rPr>
              <w:t>Effects on fertility</w:t>
            </w:r>
          </w:p>
        </w:tc>
        <w:tc>
          <w:tcPr>
            <w:tcW w:w="992" w:type="dxa"/>
          </w:tcPr>
          <w:p w14:paraId="30CC0076" w14:textId="77777777" w:rsidR="00A722CC" w:rsidRPr="007A16D3" w:rsidRDefault="00A722CC" w:rsidP="007A16D3">
            <w:pPr>
              <w:rPr>
                <w:sz w:val="20"/>
                <w:szCs w:val="20"/>
              </w:rPr>
            </w:pPr>
            <w:r w:rsidRPr="007A16D3">
              <w:rPr>
                <w:sz w:val="20"/>
                <w:szCs w:val="20"/>
              </w:rPr>
              <w:sym w:font="Wingdings" w:char="F0FC"/>
            </w:r>
          </w:p>
        </w:tc>
        <w:tc>
          <w:tcPr>
            <w:tcW w:w="1276" w:type="dxa"/>
          </w:tcPr>
          <w:p w14:paraId="1D3A6CD6" w14:textId="77777777" w:rsidR="00A722CC" w:rsidRPr="007A16D3" w:rsidRDefault="00A722CC" w:rsidP="007A16D3">
            <w:pPr>
              <w:rPr>
                <w:sz w:val="20"/>
                <w:szCs w:val="20"/>
              </w:rPr>
            </w:pPr>
            <w:r w:rsidRPr="007A16D3">
              <w:rPr>
                <w:sz w:val="20"/>
                <w:szCs w:val="20"/>
              </w:rPr>
              <w:t>–</w:t>
            </w:r>
          </w:p>
        </w:tc>
        <w:tc>
          <w:tcPr>
            <w:tcW w:w="992" w:type="dxa"/>
          </w:tcPr>
          <w:p w14:paraId="656E0988" w14:textId="77777777" w:rsidR="00A722CC" w:rsidRPr="007A16D3" w:rsidRDefault="00A722CC" w:rsidP="007A16D3">
            <w:pPr>
              <w:rPr>
                <w:sz w:val="20"/>
                <w:szCs w:val="20"/>
              </w:rPr>
            </w:pPr>
            <w:r w:rsidRPr="007A16D3">
              <w:rPr>
                <w:sz w:val="20"/>
                <w:szCs w:val="20"/>
              </w:rPr>
              <w:sym w:font="Wingdings" w:char="F0FC"/>
            </w:r>
          </w:p>
        </w:tc>
        <w:tc>
          <w:tcPr>
            <w:tcW w:w="1303" w:type="dxa"/>
          </w:tcPr>
          <w:p w14:paraId="4970A4A9" w14:textId="77777777" w:rsidR="00A722CC" w:rsidRPr="007A16D3" w:rsidRDefault="00A722CC" w:rsidP="007A16D3">
            <w:pPr>
              <w:rPr>
                <w:sz w:val="20"/>
                <w:szCs w:val="20"/>
              </w:rPr>
            </w:pPr>
            <w:r w:rsidRPr="007A16D3">
              <w:rPr>
                <w:sz w:val="20"/>
                <w:szCs w:val="20"/>
              </w:rPr>
              <w:t>–</w:t>
            </w:r>
          </w:p>
        </w:tc>
      </w:tr>
      <w:tr w:rsidR="007A16D3" w:rsidRPr="00093C1B" w14:paraId="65AAF723" w14:textId="77777777" w:rsidTr="007A16D3">
        <w:trPr>
          <w:trHeight w:val="141"/>
        </w:trPr>
        <w:tc>
          <w:tcPr>
            <w:tcW w:w="1100" w:type="dxa"/>
            <w:vMerge/>
          </w:tcPr>
          <w:p w14:paraId="5185C833" w14:textId="77777777" w:rsidR="00A722CC" w:rsidRPr="007A16D3" w:rsidRDefault="00A722CC" w:rsidP="007A16D3">
            <w:pPr>
              <w:rPr>
                <w:sz w:val="20"/>
                <w:szCs w:val="20"/>
              </w:rPr>
            </w:pPr>
          </w:p>
        </w:tc>
        <w:tc>
          <w:tcPr>
            <w:tcW w:w="2977" w:type="dxa"/>
          </w:tcPr>
          <w:p w14:paraId="145E3761" w14:textId="77777777" w:rsidR="00A722CC" w:rsidRPr="007A16D3" w:rsidRDefault="00A722CC" w:rsidP="000E60F9">
            <w:pPr>
              <w:ind w:left="57" w:right="57"/>
              <w:rPr>
                <w:color w:val="auto"/>
                <w:sz w:val="20"/>
                <w:szCs w:val="20"/>
                <w:lang w:eastAsia="en-US"/>
              </w:rPr>
            </w:pPr>
            <w:r w:rsidRPr="007A16D3">
              <w:rPr>
                <w:sz w:val="20"/>
                <w:szCs w:val="20"/>
              </w:rPr>
              <w:t>Long-term safety</w:t>
            </w:r>
          </w:p>
        </w:tc>
        <w:tc>
          <w:tcPr>
            <w:tcW w:w="992" w:type="dxa"/>
          </w:tcPr>
          <w:p w14:paraId="7D7F43ED" w14:textId="77777777" w:rsidR="00A722CC" w:rsidRPr="007A16D3" w:rsidRDefault="00A722CC" w:rsidP="007A16D3">
            <w:pPr>
              <w:rPr>
                <w:sz w:val="20"/>
                <w:szCs w:val="20"/>
              </w:rPr>
            </w:pPr>
            <w:r w:rsidRPr="007A16D3">
              <w:rPr>
                <w:sz w:val="20"/>
                <w:szCs w:val="20"/>
              </w:rPr>
              <w:sym w:font="Wingdings" w:char="F0FC"/>
            </w:r>
          </w:p>
        </w:tc>
        <w:tc>
          <w:tcPr>
            <w:tcW w:w="1276" w:type="dxa"/>
          </w:tcPr>
          <w:p w14:paraId="165DC413" w14:textId="77777777" w:rsidR="00A722CC" w:rsidRPr="007A16D3" w:rsidRDefault="00A722CC" w:rsidP="007A16D3">
            <w:pPr>
              <w:rPr>
                <w:sz w:val="20"/>
                <w:szCs w:val="20"/>
              </w:rPr>
            </w:pPr>
            <w:r w:rsidRPr="007A16D3">
              <w:rPr>
                <w:sz w:val="20"/>
                <w:szCs w:val="20"/>
              </w:rPr>
              <w:sym w:font="Wingdings" w:char="F0FC"/>
            </w:r>
          </w:p>
        </w:tc>
        <w:tc>
          <w:tcPr>
            <w:tcW w:w="992" w:type="dxa"/>
          </w:tcPr>
          <w:p w14:paraId="2637D2D0" w14:textId="77777777" w:rsidR="00A722CC" w:rsidRPr="007A16D3" w:rsidRDefault="00A722CC" w:rsidP="007A16D3">
            <w:pPr>
              <w:rPr>
                <w:sz w:val="20"/>
                <w:szCs w:val="20"/>
              </w:rPr>
            </w:pPr>
            <w:r w:rsidRPr="007A16D3">
              <w:rPr>
                <w:sz w:val="20"/>
                <w:szCs w:val="20"/>
              </w:rPr>
              <w:sym w:font="Wingdings" w:char="F0FC"/>
            </w:r>
          </w:p>
        </w:tc>
        <w:tc>
          <w:tcPr>
            <w:tcW w:w="1303" w:type="dxa"/>
          </w:tcPr>
          <w:p w14:paraId="469F3B19" w14:textId="77777777" w:rsidR="00A722CC" w:rsidRPr="007A16D3" w:rsidRDefault="00A722CC" w:rsidP="007A16D3">
            <w:pPr>
              <w:rPr>
                <w:sz w:val="20"/>
                <w:szCs w:val="20"/>
              </w:rPr>
            </w:pPr>
            <w:r w:rsidRPr="007A16D3">
              <w:rPr>
                <w:sz w:val="20"/>
                <w:szCs w:val="20"/>
              </w:rPr>
              <w:t>–</w:t>
            </w:r>
          </w:p>
        </w:tc>
      </w:tr>
    </w:tbl>
    <w:p w14:paraId="756E59A9" w14:textId="1F53A388" w:rsidR="00A722CC" w:rsidRPr="002F61BE" w:rsidRDefault="00A722CC" w:rsidP="00A722CC">
      <w:pPr>
        <w:pStyle w:val="ListBullet"/>
      </w:pPr>
      <w:r>
        <w:t xml:space="preserve">There are additional pharmacovigilance activities for most safety concerns except the following: </w:t>
      </w:r>
      <w:r w:rsidRPr="002F61BE">
        <w:t xml:space="preserve">Effects on </w:t>
      </w:r>
      <w:r w:rsidR="00A407C5" w:rsidRPr="002F61BE">
        <w:t>fertility</w:t>
      </w:r>
      <w:r w:rsidR="00A407C5">
        <w:t>,</w:t>
      </w:r>
      <w:r w:rsidRPr="002F61BE">
        <w:t xml:space="preserve"> use in patients with ethnic differences</w:t>
      </w:r>
      <w:r>
        <w:t>, pregnancy and breastfeeding</w:t>
      </w:r>
      <w:r w:rsidRPr="002F61BE">
        <w:t xml:space="preserve"> and haematological disorders in newborn exposed in utero to </w:t>
      </w:r>
      <w:proofErr w:type="spellStart"/>
      <w:r w:rsidRPr="002F61BE">
        <w:t>blinatumomab</w:t>
      </w:r>
      <w:proofErr w:type="spellEnd"/>
      <w:r w:rsidRPr="002F61BE">
        <w:t xml:space="preserve">. No human studies have been conducted to evaluate the effects of </w:t>
      </w:r>
      <w:proofErr w:type="spellStart"/>
      <w:r w:rsidRPr="007A16D3">
        <w:t>Blincyto</w:t>
      </w:r>
      <w:proofErr w:type="spellEnd"/>
      <w:r w:rsidRPr="007A16D3">
        <w:t xml:space="preserve"> o</w:t>
      </w:r>
      <w:r w:rsidRPr="002F61BE">
        <w:t>n fertility.</w:t>
      </w:r>
    </w:p>
    <w:p w14:paraId="257295DE" w14:textId="5CA8575E" w:rsidR="00A722CC" w:rsidRPr="002F61BE" w:rsidRDefault="00A722CC" w:rsidP="00A722CC">
      <w:pPr>
        <w:pStyle w:val="ListBullet"/>
      </w:pPr>
      <w:r w:rsidRPr="002F61BE">
        <w:t>There are additional risk minimisation activities for the Important Identified Risks</w:t>
      </w:r>
      <w:r>
        <w:t xml:space="preserve"> identified in the table above</w:t>
      </w:r>
      <w:r w:rsidRPr="002F61BE">
        <w:t>.</w:t>
      </w:r>
      <w:r>
        <w:t xml:space="preserve"> These </w:t>
      </w:r>
      <w:r w:rsidRPr="002F61BE">
        <w:t>activities include a Doctor Education Brochure, a Nurse Education Brochure, a Pharmacist Preparation Card, a Patient Safety Brochure and Patient Alert Card.</w:t>
      </w:r>
      <w:r>
        <w:t xml:space="preserve"> A </w:t>
      </w:r>
      <w:r w:rsidR="008141E2">
        <w:t>Dear Healthcare Professional (</w:t>
      </w:r>
      <w:r w:rsidRPr="00E676BA">
        <w:t>DHCP</w:t>
      </w:r>
      <w:r w:rsidR="008141E2">
        <w:t>)</w:t>
      </w:r>
      <w:r w:rsidRPr="00E676BA">
        <w:t xml:space="preserve"> letter </w:t>
      </w:r>
      <w:r>
        <w:t xml:space="preserve">has already been </w:t>
      </w:r>
      <w:r w:rsidRPr="00E676BA">
        <w:t>distributed</w:t>
      </w:r>
      <w:r>
        <w:t xml:space="preserve"> for the safety concern </w:t>
      </w:r>
      <w:r w:rsidR="000E60F9">
        <w:t>‘</w:t>
      </w:r>
      <w:r>
        <w:t>pancreatitis</w:t>
      </w:r>
      <w:r w:rsidR="000E60F9">
        <w:t>’</w:t>
      </w:r>
      <w:r>
        <w:t>.</w:t>
      </w:r>
    </w:p>
    <w:p w14:paraId="37EC27A9" w14:textId="68B01732" w:rsidR="00A722CC" w:rsidRPr="0039536A" w:rsidRDefault="00A722CC" w:rsidP="00A722CC">
      <w:pPr>
        <w:pStyle w:val="ListBullet"/>
      </w:pPr>
      <w:r w:rsidRPr="0039536A">
        <w:t xml:space="preserve">The additional pharmacovigilance and risk minimisation activities proposed are unchanged from those in </w:t>
      </w:r>
      <w:r>
        <w:t>previous submissions (</w:t>
      </w:r>
      <w:r w:rsidRPr="00A407C5">
        <w:t>PM-2014-03864-1-4</w:t>
      </w:r>
      <w:r>
        <w:t xml:space="preserve"> and PM</w:t>
      </w:r>
      <w:r w:rsidR="00A407C5">
        <w:noBreakHyphen/>
      </w:r>
      <w:r>
        <w:t>2016</w:t>
      </w:r>
      <w:r w:rsidR="00A407C5">
        <w:noBreakHyphen/>
      </w:r>
      <w:r>
        <w:t>01898</w:t>
      </w:r>
      <w:r w:rsidRPr="0039536A">
        <w:t xml:space="preserve">-1-4) which sought to </w:t>
      </w:r>
      <w:r>
        <w:t xml:space="preserve">initially register </w:t>
      </w:r>
      <w:proofErr w:type="spellStart"/>
      <w:r>
        <w:t>blinatumomab</w:t>
      </w:r>
      <w:proofErr w:type="spellEnd"/>
      <w:r>
        <w:t xml:space="preserve"> and also extend the registration for </w:t>
      </w:r>
      <w:proofErr w:type="spellStart"/>
      <w:r>
        <w:t>blinatumomab</w:t>
      </w:r>
      <w:proofErr w:type="spellEnd"/>
      <w:r>
        <w:t xml:space="preserve"> to include use in the paediatric population</w:t>
      </w:r>
      <w:r w:rsidRPr="0039536A">
        <w:t xml:space="preserve"> with B</w:t>
      </w:r>
      <w:r w:rsidR="00A407C5">
        <w:noBreakHyphen/>
      </w:r>
      <w:r w:rsidRPr="0039536A">
        <w:t xml:space="preserve">cell </w:t>
      </w:r>
      <w:r>
        <w:t xml:space="preserve">precursor </w:t>
      </w:r>
      <w:r w:rsidRPr="0039536A">
        <w:t>ALL. The additional risk minimisation activities were considered acceptable from an RMP perspective by the TGA in 2015.</w:t>
      </w:r>
    </w:p>
    <w:p w14:paraId="79BA5934" w14:textId="77777777" w:rsidR="00A722CC" w:rsidRPr="00DC42C4" w:rsidRDefault="00A722CC" w:rsidP="00A722CC">
      <w:pPr>
        <w:pStyle w:val="ListBullet"/>
      </w:pPr>
      <w:r w:rsidRPr="0039536A">
        <w:t xml:space="preserve">The Doctor Education Brochure </w:t>
      </w:r>
      <w:r>
        <w:t xml:space="preserve">has </w:t>
      </w:r>
      <w:r w:rsidRPr="0039536A">
        <w:t xml:space="preserve">been updated to </w:t>
      </w:r>
      <w:r w:rsidRPr="001317CE">
        <w:t>incorporate the</w:t>
      </w:r>
      <w:r>
        <w:t xml:space="preserve"> dosing for the extension to indication for </w:t>
      </w:r>
      <w:r w:rsidRPr="00DC42C4">
        <w:t>application PM-2017-01431-1-4 (treatment of minimal residual disease (MRD) positive B-cell precursor ALL), and there have been corrections to spelling.</w:t>
      </w:r>
    </w:p>
    <w:p w14:paraId="7CFD25C9" w14:textId="77777777" w:rsidR="00A722CC" w:rsidRPr="001317CE" w:rsidRDefault="00A722CC" w:rsidP="00A722CC">
      <w:pPr>
        <w:pStyle w:val="ListBullet"/>
      </w:pPr>
      <w:r w:rsidRPr="00DC42C4">
        <w:t>The Nurse Education Brochure, the Patient Safety Brochure and Patient Alert</w:t>
      </w:r>
      <w:r w:rsidRPr="001317CE">
        <w:t xml:space="preserve"> Card are unchanged</w:t>
      </w:r>
      <w:r>
        <w:t xml:space="preserve"> and include information regarding the paediatric indication where applicable</w:t>
      </w:r>
      <w:r w:rsidRPr="001317CE">
        <w:t>.</w:t>
      </w:r>
      <w:r>
        <w:t xml:space="preserve"> This is acceptable.</w:t>
      </w:r>
    </w:p>
    <w:p w14:paraId="169F80A4" w14:textId="77777777" w:rsidR="00D31393" w:rsidRPr="00A407C5" w:rsidRDefault="00D31393">
      <w:pPr>
        <w:pStyle w:val="Heading4"/>
      </w:pPr>
      <w:r w:rsidRPr="00A407C5">
        <w:t>New and outstanding recommendations from second round evaluation</w:t>
      </w:r>
      <w:bookmarkEnd w:id="91"/>
    </w:p>
    <w:p w14:paraId="0016C75C" w14:textId="0D3FFEC5" w:rsidR="00A722CC" w:rsidRDefault="00A722CC">
      <w:r>
        <w:t xml:space="preserve">The </w:t>
      </w:r>
      <w:r w:rsidR="00093C1B">
        <w:t>first round</w:t>
      </w:r>
      <w:r>
        <w:t xml:space="preserve"> recommendations have been satisfactorily addressed and the </w:t>
      </w:r>
      <w:r w:rsidR="0041756E">
        <w:t>sponsor</w:t>
      </w:r>
      <w:r>
        <w:t xml:space="preserve"> has committed to provide updated information as it becomes available.</w:t>
      </w:r>
    </w:p>
    <w:p w14:paraId="04EAB53F" w14:textId="42C1462A" w:rsidR="00A722CC" w:rsidRPr="00A722CC" w:rsidRDefault="00A722CC">
      <w:r>
        <w:t>There are no new recommendations.</w:t>
      </w:r>
    </w:p>
    <w:p w14:paraId="3B37D46E" w14:textId="77777777" w:rsidR="00D31393" w:rsidRDefault="00D31393" w:rsidP="00D31393">
      <w:pPr>
        <w:pStyle w:val="Heading4"/>
      </w:pPr>
      <w:bookmarkStart w:id="94" w:name="_Toc477354124"/>
      <w:r>
        <w:lastRenderedPageBreak/>
        <w:t>Proposed wording for conditions of registration</w:t>
      </w:r>
      <w:bookmarkEnd w:id="94"/>
    </w:p>
    <w:p w14:paraId="67DD5D57" w14:textId="35626419" w:rsidR="008A3A0C" w:rsidRDefault="008A3A0C" w:rsidP="008A3A0C">
      <w:r>
        <w:t>The suggested wording is:</w:t>
      </w:r>
    </w:p>
    <w:p w14:paraId="3252B104" w14:textId="6AE32A31" w:rsidR="008A3A0C" w:rsidRPr="008A3A0C" w:rsidRDefault="008A3A0C" w:rsidP="00BD3E7E">
      <w:pPr>
        <w:pStyle w:val="ListBullet"/>
      </w:pPr>
      <w:r w:rsidRPr="008A3A0C">
        <w:t xml:space="preserve">The </w:t>
      </w:r>
      <w:proofErr w:type="spellStart"/>
      <w:r w:rsidR="00093C1B">
        <w:t>B</w:t>
      </w:r>
      <w:r w:rsidR="00093C1B" w:rsidRPr="008A3A0C">
        <w:t>lincyto</w:t>
      </w:r>
      <w:proofErr w:type="spellEnd"/>
      <w:r w:rsidRPr="008A3A0C">
        <w:t xml:space="preserve"> EU-Risk Management Plan (RMP) (version 4.0, dated 21 February 2017, data lock point 2 December 2016), with Australian Specific Annex (version 7.0, dated 4 December 2017), included with submission PM-2017-01431-1-4, and any subsequent revisions, as agreed with the TGA will be implemented in Australia.</w:t>
      </w:r>
    </w:p>
    <w:p w14:paraId="295DBB33" w14:textId="77777777" w:rsidR="008A3A0C" w:rsidRDefault="008A3A0C" w:rsidP="008A3A0C">
      <w:r>
        <w:t xml:space="preserve">The following wording is recommended for the </w:t>
      </w:r>
      <w:r w:rsidR="00F52D89">
        <w:t>Periodic Safety Update Reports (</w:t>
      </w:r>
      <w:r>
        <w:t>PSUR</w:t>
      </w:r>
      <w:r w:rsidR="00F52D89">
        <w:t>)</w:t>
      </w:r>
      <w:r>
        <w:t xml:space="preserve"> requirement:</w:t>
      </w:r>
    </w:p>
    <w:p w14:paraId="2BA8C632" w14:textId="27D695CF" w:rsidR="00031B12" w:rsidRPr="00A407C5" w:rsidRDefault="008A3A0C" w:rsidP="000E60F9">
      <w:pPr>
        <w:ind w:left="720"/>
      </w:pPr>
      <w:r w:rsidRPr="00A407C5">
        <w:t>An obligatory component of risk management plans is routine pharmacovigilance. Routine pharmacovigilance includes the submission of Periodic Safety Update Reports (PSURs)</w:t>
      </w:r>
      <w:r w:rsidR="00031B12" w:rsidRPr="00A407C5">
        <w:t>.</w:t>
      </w:r>
    </w:p>
    <w:p w14:paraId="126343D7" w14:textId="6E3DF15A" w:rsidR="00031B12" w:rsidRPr="00A407C5" w:rsidRDefault="008A3A0C" w:rsidP="000E60F9">
      <w:pPr>
        <w:ind w:left="720"/>
      </w:pPr>
      <w:r w:rsidRPr="00A407C5">
        <w:t>Reports are to be provided in line with the current published list of EU reference dates and frequency of submission of PSURs until the period covered by such reports is not less than three years from the date of this approval letter</w:t>
      </w:r>
      <w:r w:rsidR="00031B12" w:rsidRPr="00A407C5">
        <w:t>.</w:t>
      </w:r>
    </w:p>
    <w:p w14:paraId="052E48CE" w14:textId="4DE65083" w:rsidR="008A3A0C" w:rsidRPr="00A407C5" w:rsidRDefault="008A3A0C" w:rsidP="000E60F9">
      <w:pPr>
        <w:ind w:left="720"/>
      </w:pPr>
      <w:r w:rsidRPr="00A407C5">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5BABB511" w14:textId="77777777" w:rsidR="008E7846" w:rsidRPr="00792A32" w:rsidRDefault="008E7846" w:rsidP="008E7846">
      <w:pPr>
        <w:pStyle w:val="Heading2"/>
      </w:pPr>
      <w:bookmarkStart w:id="95" w:name="_Toc22198189"/>
      <w:r>
        <w:t>VI</w:t>
      </w:r>
      <w:r w:rsidR="00D05669">
        <w:t>I</w:t>
      </w:r>
      <w:r>
        <w:t xml:space="preserve">.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71"/>
      <w:bookmarkEnd w:id="92"/>
      <w:bookmarkEnd w:id="93"/>
      <w:bookmarkEnd w:id="95"/>
    </w:p>
    <w:p w14:paraId="654E29C9" w14:textId="77777777" w:rsidR="00750522" w:rsidRPr="00750522" w:rsidRDefault="00750522" w:rsidP="00750522">
      <w:bookmarkStart w:id="96" w:name="_Toc247691528"/>
      <w:r w:rsidRPr="00750522">
        <w:t>For this submission where the sponsor is proposing to amend the indication to include treatment of MRD positive patients, the MRD level describing negativity/positivity is of critical importance, together with the requirement of later reporting of traditional efficacy end-points.</w:t>
      </w:r>
    </w:p>
    <w:p w14:paraId="02A5F158" w14:textId="77777777" w:rsidR="008E7846" w:rsidRDefault="008E7846" w:rsidP="008E7846">
      <w:pPr>
        <w:pStyle w:val="Heading3"/>
      </w:pPr>
      <w:bookmarkStart w:id="97" w:name="_Toc314842511"/>
      <w:bookmarkStart w:id="98" w:name="_Toc22198190"/>
      <w:r>
        <w:t>Quality</w:t>
      </w:r>
      <w:bookmarkEnd w:id="96"/>
      <w:bookmarkEnd w:id="97"/>
      <w:bookmarkEnd w:id="98"/>
    </w:p>
    <w:p w14:paraId="332870F8" w14:textId="77777777" w:rsidR="00E45619" w:rsidRDefault="008E7846" w:rsidP="003A7F6C">
      <w:r>
        <w:t>There was no requirement for a quality evaluation in a submission of this type.</w:t>
      </w:r>
    </w:p>
    <w:p w14:paraId="3182B62F" w14:textId="77777777" w:rsidR="008E7846" w:rsidRDefault="008E7846" w:rsidP="008E7846">
      <w:pPr>
        <w:pStyle w:val="Heading3"/>
      </w:pPr>
      <w:bookmarkStart w:id="99" w:name="_Toc314842512"/>
      <w:bookmarkStart w:id="100" w:name="_Toc22198191"/>
      <w:r>
        <w:t>Nonclinical</w:t>
      </w:r>
      <w:bookmarkEnd w:id="99"/>
      <w:bookmarkEnd w:id="100"/>
    </w:p>
    <w:p w14:paraId="7E93FC9E" w14:textId="77777777" w:rsidR="008E7846" w:rsidRDefault="008E7846" w:rsidP="008E7846">
      <w:r>
        <w:t>There was no requirement for a nonclinical evaluation in a submission of this type.</w:t>
      </w:r>
    </w:p>
    <w:p w14:paraId="0E4F278C" w14:textId="77777777" w:rsidR="008E7846" w:rsidRDefault="008E7846" w:rsidP="008E7846">
      <w:pPr>
        <w:pStyle w:val="Heading3"/>
      </w:pPr>
      <w:bookmarkStart w:id="101" w:name="_Toc247691530"/>
      <w:bookmarkStart w:id="102" w:name="_Toc314842513"/>
      <w:bookmarkStart w:id="103" w:name="_Toc22198192"/>
      <w:r>
        <w:t>Clinical</w:t>
      </w:r>
      <w:bookmarkEnd w:id="101"/>
      <w:bookmarkEnd w:id="102"/>
      <w:bookmarkEnd w:id="103"/>
    </w:p>
    <w:p w14:paraId="0DACD9F0" w14:textId="77777777" w:rsidR="005140B5" w:rsidRDefault="005140B5" w:rsidP="005140B5">
      <w:r w:rsidRPr="005140B5">
        <w:t>For this submission where the sponsor is proposing to amend the indication to include treatment of MRD positive patients, the MRD level describing negativity/positivity is of critical importance, together with the requirement of later reporting of traditional efficacy end-points.</w:t>
      </w:r>
    </w:p>
    <w:p w14:paraId="3B3188E1" w14:textId="77777777" w:rsidR="005140B5" w:rsidRDefault="005140B5" w:rsidP="005140B5">
      <w:pPr>
        <w:pStyle w:val="Heading4"/>
      </w:pPr>
      <w:r>
        <w:t>Pharmacology</w:t>
      </w:r>
    </w:p>
    <w:p w14:paraId="765CFE85" w14:textId="77777777" w:rsidR="005140B5" w:rsidRDefault="005140B5" w:rsidP="005140B5">
      <w:r>
        <w:t xml:space="preserve">The separate population pharmacokinetic evaluation documented there is large variability yin the clearance of </w:t>
      </w:r>
      <w:proofErr w:type="spellStart"/>
      <w:r>
        <w:t>blinatumomab</w:t>
      </w:r>
      <w:proofErr w:type="spellEnd"/>
      <w:r>
        <w:t xml:space="preserve"> among MRD-positive patients, and consequent variability in exposure. However, the clinical evaluation concluded that the dosage </w:t>
      </w:r>
      <w:r>
        <w:lastRenderedPageBreak/>
        <w:t xml:space="preserve">regimen currently approved remains suitable for MRD-positive patients, with no significant PK effects of body weight, </w:t>
      </w:r>
      <w:r w:rsidR="00031B12">
        <w:t>body surface area (</w:t>
      </w:r>
      <w:r>
        <w:t>BSA</w:t>
      </w:r>
      <w:r w:rsidR="00031B12">
        <w:t>)</w:t>
      </w:r>
      <w:r>
        <w:t>, age or sex.</w:t>
      </w:r>
    </w:p>
    <w:p w14:paraId="689D2BE6" w14:textId="77777777" w:rsidR="005140B5" w:rsidRDefault="005140B5" w:rsidP="005140B5">
      <w:r>
        <w:t xml:space="preserve">A response from the sponsor to the second round </w:t>
      </w:r>
      <w:proofErr w:type="spellStart"/>
      <w:r>
        <w:t>popPK</w:t>
      </w:r>
      <w:proofErr w:type="spellEnd"/>
      <w:r>
        <w:t xml:space="preserve"> evaluation is awaited at the time of writing this overview.</w:t>
      </w:r>
    </w:p>
    <w:p w14:paraId="70AA12DC" w14:textId="77777777" w:rsidR="005140B5" w:rsidRPr="00093C1B" w:rsidRDefault="005140B5">
      <w:pPr>
        <w:pStyle w:val="Heading4"/>
      </w:pPr>
      <w:r w:rsidRPr="00093C1B">
        <w:t>Efficacy</w:t>
      </w:r>
    </w:p>
    <w:p w14:paraId="47A268E0" w14:textId="77777777" w:rsidR="00A407C5" w:rsidRDefault="005140B5">
      <w:pPr>
        <w:pStyle w:val="Heading5"/>
      </w:pPr>
      <w:r w:rsidRPr="005140B5">
        <w:t xml:space="preserve">Philadelphia positive relapsed/refractory B-precursor ALL </w:t>
      </w:r>
    </w:p>
    <w:p w14:paraId="3C9E2308" w14:textId="77777777" w:rsidR="005140B5" w:rsidRPr="005140B5" w:rsidRDefault="005140B5" w:rsidP="000E60F9">
      <w:pPr>
        <w:pStyle w:val="Heading6"/>
      </w:pPr>
      <w:r w:rsidRPr="005140B5">
        <w:t>Study 20120216</w:t>
      </w:r>
    </w:p>
    <w:p w14:paraId="777A05AC" w14:textId="5A9698DD" w:rsidR="00257B20" w:rsidRPr="00257B20" w:rsidRDefault="00257B20" w:rsidP="00257B20">
      <w:r w:rsidRPr="00257B20">
        <w:t xml:space="preserve">This was a </w:t>
      </w:r>
      <w:r w:rsidR="00093C1B">
        <w:t>Phase II</w:t>
      </w:r>
      <w:r w:rsidRPr="00257B20">
        <w:t xml:space="preserve"> open-label un-randomised study assessing the efficacy and safety of </w:t>
      </w:r>
      <w:proofErr w:type="spellStart"/>
      <w:r w:rsidRPr="00257B20">
        <w:t>blinatumomab</w:t>
      </w:r>
      <w:proofErr w:type="spellEnd"/>
      <w:r w:rsidRPr="00257B20">
        <w:t xml:space="preserve"> in adult patients with relapsed refractory B-ALL (bone marrow blast count</w:t>
      </w:r>
      <w:r w:rsidR="00093C1B">
        <w:t xml:space="preserve"> &gt; </w:t>
      </w:r>
      <w:r w:rsidRPr="00257B20">
        <w:t xml:space="preserve">5%) who were relapsed or refractory to at least one of </w:t>
      </w:r>
      <w:proofErr w:type="spellStart"/>
      <w:r w:rsidRPr="00257B20">
        <w:t>dasatinib</w:t>
      </w:r>
      <w:proofErr w:type="spellEnd"/>
      <w:r w:rsidRPr="00257B20">
        <w:t xml:space="preserve">, </w:t>
      </w:r>
      <w:proofErr w:type="spellStart"/>
      <w:r w:rsidRPr="00257B20">
        <w:t>nilotinib</w:t>
      </w:r>
      <w:proofErr w:type="spellEnd"/>
      <w:r w:rsidRPr="00257B20">
        <w:t xml:space="preserve">, </w:t>
      </w:r>
      <w:proofErr w:type="spellStart"/>
      <w:r w:rsidRPr="00257B20">
        <w:t>bosutinib</w:t>
      </w:r>
      <w:proofErr w:type="spellEnd"/>
      <w:r w:rsidRPr="00257B20">
        <w:t xml:space="preserve">, </w:t>
      </w:r>
      <w:proofErr w:type="spellStart"/>
      <w:r w:rsidRPr="00257B20">
        <w:t>pontinib</w:t>
      </w:r>
      <w:proofErr w:type="spellEnd"/>
      <w:r w:rsidRPr="00257B20">
        <w:t xml:space="preserve"> and intolerant or refractory to </w:t>
      </w:r>
      <w:proofErr w:type="spellStart"/>
      <w:r w:rsidRPr="00257B20">
        <w:t>imatinib</w:t>
      </w:r>
      <w:proofErr w:type="spellEnd"/>
      <w:r w:rsidRPr="00257B20">
        <w:t>. Enrolled patients had to have ECOG status of ≤</w:t>
      </w:r>
      <w:r w:rsidR="00093C1B">
        <w:t xml:space="preserve"> </w:t>
      </w:r>
      <w:r w:rsidRPr="00257B20">
        <w:t>2.</w:t>
      </w:r>
    </w:p>
    <w:p w14:paraId="1F3887E1" w14:textId="5E733165" w:rsidR="005140B5" w:rsidRDefault="00257B20" w:rsidP="005140B5">
      <w:r>
        <w:t xml:space="preserve">The primary outcome was the proportion of subjects who achieved a CR or </w:t>
      </w:r>
      <w:proofErr w:type="spellStart"/>
      <w:r>
        <w:t>CRh</w:t>
      </w:r>
      <w:proofErr w:type="spellEnd"/>
      <w:r>
        <w:t>* within 2</w:t>
      </w:r>
      <w:r w:rsidR="003A323B">
        <w:t> </w:t>
      </w:r>
      <w:r>
        <w:t>cycles of treatment.</w:t>
      </w:r>
    </w:p>
    <w:p w14:paraId="56C187E5" w14:textId="043AEB1A" w:rsidR="00257B20" w:rsidRDefault="00257B20" w:rsidP="00257B20">
      <w:r w:rsidRPr="00257B20">
        <w:t xml:space="preserve">The full exclusion criteria are described in </w:t>
      </w:r>
      <w:r w:rsidR="003A323B">
        <w:t>Attachment 2</w:t>
      </w:r>
      <w:r w:rsidRPr="00257B20">
        <w:t xml:space="preserve">. Of note, patients were precluded from study entry if they had received HSCT within the preceding 12 weeks, presence or treatment of graft-versus host disease and B-ALL </w:t>
      </w:r>
      <w:r w:rsidR="005B6383">
        <w:t>central nervous system</w:t>
      </w:r>
      <w:r w:rsidR="005B6383" w:rsidRPr="00257B20">
        <w:t xml:space="preserve"> </w:t>
      </w:r>
      <w:r w:rsidR="005B6383">
        <w:t>(</w:t>
      </w:r>
      <w:r w:rsidRPr="00257B20">
        <w:t>CNS</w:t>
      </w:r>
      <w:r w:rsidR="005B6383">
        <w:t>)</w:t>
      </w:r>
      <w:r w:rsidRPr="00257B20">
        <w:t xml:space="preserve"> deposit. Patients eligible for a HSCT at study entry were precluded.</w:t>
      </w:r>
    </w:p>
    <w:p w14:paraId="59874F21" w14:textId="0E777FAD" w:rsidR="00257B20" w:rsidRPr="00742CF4" w:rsidRDefault="00257B20" w:rsidP="00742CF4">
      <w:r w:rsidRPr="00742CF4">
        <w:t>Study treatment comprised two induction cycles of 6</w:t>
      </w:r>
      <w:r w:rsidR="00A407C5">
        <w:t xml:space="preserve"> </w:t>
      </w:r>
      <w:r w:rsidRPr="00742CF4">
        <w:t xml:space="preserve">weeks duration of </w:t>
      </w:r>
      <w:proofErr w:type="spellStart"/>
      <w:r w:rsidRPr="00742CF4">
        <w:t>blinatumomab</w:t>
      </w:r>
      <w:proofErr w:type="spellEnd"/>
      <w:r w:rsidRPr="00742CF4">
        <w:t xml:space="preserve"> following which the primary outcome of complete remission or complete remission (CR) with partial haematological response (</w:t>
      </w:r>
      <w:proofErr w:type="spellStart"/>
      <w:r w:rsidRPr="00742CF4">
        <w:t>CRh</w:t>
      </w:r>
      <w:proofErr w:type="spellEnd"/>
      <w:r w:rsidRPr="00742CF4">
        <w:t>*) was assessed. Patients achieving a CR/</w:t>
      </w:r>
      <w:proofErr w:type="spellStart"/>
      <w:r w:rsidRPr="00742CF4">
        <w:t>CRh</w:t>
      </w:r>
      <w:proofErr w:type="spellEnd"/>
      <w:r w:rsidRPr="00742CF4">
        <w:t>* or complete remission with incomplete haematological recovery (</w:t>
      </w:r>
      <w:proofErr w:type="spellStart"/>
      <w:r w:rsidRPr="00742CF4">
        <w:t>CRi</w:t>
      </w:r>
      <w:proofErr w:type="spellEnd"/>
      <w:r w:rsidRPr="00742CF4">
        <w:t>) were then permitted to complete a further three 6</w:t>
      </w:r>
      <w:r w:rsidR="00A407C5">
        <w:t xml:space="preserve"> </w:t>
      </w:r>
      <w:r w:rsidRPr="00742CF4">
        <w:t xml:space="preserve">week cycles of </w:t>
      </w:r>
      <w:proofErr w:type="spellStart"/>
      <w:r w:rsidRPr="00742CF4">
        <w:t>blinatumomab</w:t>
      </w:r>
      <w:proofErr w:type="spellEnd"/>
      <w:r w:rsidRPr="00742CF4">
        <w:t>.</w:t>
      </w:r>
    </w:p>
    <w:p w14:paraId="36F39741" w14:textId="1969C619" w:rsidR="00257B20" w:rsidRPr="00742CF4" w:rsidRDefault="00257B20" w:rsidP="00742CF4">
      <w:r w:rsidRPr="00742CF4">
        <w:t>This study was designed to demonstrate an effective response rate (CR/</w:t>
      </w:r>
      <w:proofErr w:type="spellStart"/>
      <w:r w:rsidRPr="00742CF4">
        <w:t>CRh</w:t>
      </w:r>
      <w:proofErr w:type="spellEnd"/>
      <w:r w:rsidRPr="00742CF4">
        <w:t>*) of ≥</w:t>
      </w:r>
      <w:r w:rsidR="003A323B">
        <w:t> </w:t>
      </w:r>
      <w:r w:rsidRPr="00742CF4">
        <w:t>30%, requiring 41 patients. An analysis of the primary outcome was performed to determine</w:t>
      </w:r>
      <w:r w:rsidR="00093C1B">
        <w:t xml:space="preserve"> </w:t>
      </w:r>
      <w:r w:rsidRPr="00742CF4">
        <w:t>the progression of patients with CR/</w:t>
      </w:r>
      <w:proofErr w:type="spellStart"/>
      <w:r w:rsidRPr="00742CF4">
        <w:t>CRh</w:t>
      </w:r>
      <w:proofErr w:type="spellEnd"/>
      <w:r w:rsidRPr="00742CF4">
        <w:t>*/</w:t>
      </w:r>
      <w:proofErr w:type="spellStart"/>
      <w:r w:rsidRPr="00742CF4">
        <w:t>CRi</w:t>
      </w:r>
      <w:proofErr w:type="spellEnd"/>
      <w:r w:rsidRPr="00742CF4">
        <w:t xml:space="preserve"> to receive consolidation therapy.</w:t>
      </w:r>
    </w:p>
    <w:p w14:paraId="39FE7287" w14:textId="292D7E00" w:rsidR="00257B20" w:rsidRPr="00742CF4" w:rsidRDefault="00257B20" w:rsidP="00742CF4">
      <w:r w:rsidRPr="00742CF4">
        <w:t xml:space="preserve">The 45 patients enrolled to the study with confirmed </w:t>
      </w:r>
      <w:proofErr w:type="spellStart"/>
      <w:r w:rsidRPr="00742CF4">
        <w:t>Ph</w:t>
      </w:r>
      <w:proofErr w:type="spellEnd"/>
      <w:r w:rsidRPr="00742CF4">
        <w:t xml:space="preserve">+ B-ALL were all </w:t>
      </w:r>
      <w:proofErr w:type="spellStart"/>
      <w:r w:rsidRPr="00742CF4">
        <w:t>blinatumomab</w:t>
      </w:r>
      <w:proofErr w:type="spellEnd"/>
      <w:r w:rsidR="003A323B">
        <w:t xml:space="preserve"> </w:t>
      </w:r>
      <w:r w:rsidRPr="00742CF4">
        <w:t>naïve, with mean age of 52.8 years (</w:t>
      </w:r>
      <w:r w:rsidR="00F52D89">
        <w:t>standard deviation</w:t>
      </w:r>
      <w:r w:rsidR="00F52D89" w:rsidRPr="00742CF4">
        <w:t xml:space="preserve"> </w:t>
      </w:r>
      <w:r w:rsidR="00F52D89">
        <w:t>(</w:t>
      </w:r>
      <w:r w:rsidRPr="00742CF4">
        <w:t>SD</w:t>
      </w:r>
      <w:r w:rsidR="00F52D89">
        <w:t>)</w:t>
      </w:r>
      <w:r w:rsidRPr="00742CF4">
        <w:t xml:space="preserve"> 15). All patients had received between 1 and 4</w:t>
      </w:r>
      <w:r w:rsidR="00093C1B">
        <w:t xml:space="preserve"> </w:t>
      </w:r>
      <w:r w:rsidRPr="00742CF4">
        <w:t>prior lines of TKI therapy.</w:t>
      </w:r>
    </w:p>
    <w:p w14:paraId="717C7DAE" w14:textId="77777777" w:rsidR="00A407C5" w:rsidRDefault="00A407C5" w:rsidP="000E60F9">
      <w:pPr>
        <w:pStyle w:val="Heading7"/>
      </w:pPr>
      <w:r>
        <w:t>Primary endpoint</w:t>
      </w:r>
    </w:p>
    <w:p w14:paraId="4FEE77D8" w14:textId="1B3F4BF9" w:rsidR="00257B20" w:rsidRPr="00742CF4" w:rsidRDefault="00257B20" w:rsidP="00742CF4">
      <w:r w:rsidRPr="00742CF4">
        <w:t xml:space="preserve">The primary end-point was met with 16/45 (35.6%) </w:t>
      </w:r>
      <w:r w:rsidR="003A323B">
        <w:t>(</w:t>
      </w:r>
      <w:r w:rsidRPr="00742CF4">
        <w:t>95% CI 21.9, 51.2%</w:t>
      </w:r>
      <w:r w:rsidR="003A323B">
        <w:t>)</w:t>
      </w:r>
      <w:r w:rsidRPr="00742CF4">
        <w:t xml:space="preserve"> of the full analysis set (FAS) achieved a CR/</w:t>
      </w:r>
      <w:proofErr w:type="spellStart"/>
      <w:r w:rsidRPr="00742CF4">
        <w:t>CRh</w:t>
      </w:r>
      <w:proofErr w:type="spellEnd"/>
      <w:r w:rsidRPr="00742CF4">
        <w:t xml:space="preserve">* after two cycles of </w:t>
      </w:r>
      <w:proofErr w:type="spellStart"/>
      <w:r w:rsidRPr="00742CF4">
        <w:t>blinatumomab</w:t>
      </w:r>
      <w:proofErr w:type="spellEnd"/>
      <w:r w:rsidRPr="00742CF4">
        <w:t>. Among the responders, the majority achieved a CR n</w:t>
      </w:r>
      <w:r w:rsidR="00A407C5">
        <w:t xml:space="preserve"> </w:t>
      </w:r>
      <w:r w:rsidRPr="00742CF4">
        <w:t>=</w:t>
      </w:r>
      <w:r w:rsidR="00A407C5">
        <w:t xml:space="preserve"> </w:t>
      </w:r>
      <w:r w:rsidRPr="00742CF4">
        <w:t xml:space="preserve">14 as compared to </w:t>
      </w:r>
      <w:proofErr w:type="spellStart"/>
      <w:r w:rsidRPr="00742CF4">
        <w:t>CRh</w:t>
      </w:r>
      <w:proofErr w:type="spellEnd"/>
      <w:r w:rsidRPr="00742CF4">
        <w:t>*, n</w:t>
      </w:r>
      <w:r w:rsidR="00A407C5">
        <w:t xml:space="preserve"> </w:t>
      </w:r>
      <w:r w:rsidRPr="00742CF4">
        <w:t>=</w:t>
      </w:r>
      <w:r w:rsidR="00A407C5">
        <w:t xml:space="preserve"> </w:t>
      </w:r>
      <w:r w:rsidRPr="00742CF4">
        <w:t>2.</w:t>
      </w:r>
      <w:r w:rsidR="00A74E76">
        <w:t xml:space="preserve"> </w:t>
      </w:r>
      <w:r w:rsidRPr="00742CF4">
        <w:t>Among the 45</w:t>
      </w:r>
      <w:r w:rsidR="003A323B">
        <w:t> </w:t>
      </w:r>
      <w:r w:rsidRPr="00742CF4">
        <w:t>patients, 12 (26.7%) had no response after 2 cycles, and 4 (8.9%) had a partial response.</w:t>
      </w:r>
    </w:p>
    <w:p w14:paraId="0A786839" w14:textId="0D7A5B8C" w:rsidR="00257B20" w:rsidRPr="00742CF4" w:rsidRDefault="00257B20" w:rsidP="003060F6">
      <w:pPr>
        <w:pStyle w:val="Heading7"/>
      </w:pPr>
      <w:r w:rsidRPr="00742CF4">
        <w:t>Secondary endpoints</w:t>
      </w:r>
    </w:p>
    <w:p w14:paraId="48430283" w14:textId="77777777" w:rsidR="00257B20" w:rsidRPr="00742CF4" w:rsidRDefault="00257B20" w:rsidP="00742CF4">
      <w:r w:rsidRPr="00742CF4">
        <w:t>Among the 16 patients with a CR/</w:t>
      </w:r>
      <w:proofErr w:type="spellStart"/>
      <w:r w:rsidRPr="00742CF4">
        <w:t>CRh</w:t>
      </w:r>
      <w:proofErr w:type="spellEnd"/>
      <w:r w:rsidRPr="00742CF4">
        <w:t xml:space="preserve">*, 12/14 with CR and both patients with </w:t>
      </w:r>
      <w:proofErr w:type="spellStart"/>
      <w:r w:rsidRPr="00742CF4">
        <w:t>CRh</w:t>
      </w:r>
      <w:proofErr w:type="spellEnd"/>
      <w:r w:rsidRPr="00742CF4">
        <w:t>* achieved MRD negativity.</w:t>
      </w:r>
    </w:p>
    <w:p w14:paraId="4DC43115" w14:textId="77777777" w:rsidR="00257B20" w:rsidRPr="00742CF4" w:rsidRDefault="00257B20" w:rsidP="00742CF4">
      <w:r w:rsidRPr="00742CF4">
        <w:t xml:space="preserve">The median time to haematological relapse in 14 subjects who achieved a CR was 6.7 months (95% CI: 4.1 months to </w:t>
      </w:r>
      <w:r w:rsidR="00EB0B1E">
        <w:t>not estimable</w:t>
      </w:r>
      <w:r w:rsidR="00EB0B1E" w:rsidRPr="00742CF4">
        <w:t xml:space="preserve"> </w:t>
      </w:r>
      <w:r w:rsidR="00EB0B1E">
        <w:t>(</w:t>
      </w:r>
      <w:r w:rsidRPr="00742CF4">
        <w:t>NE</w:t>
      </w:r>
      <w:r w:rsidR="00EB0B1E">
        <w:t>)</w:t>
      </w:r>
      <w:r w:rsidRPr="00742CF4">
        <w:t xml:space="preserve">), with a median observation time of 7.0 months. The median time to haematological relapse in the 2 subjects who achieved </w:t>
      </w:r>
      <w:proofErr w:type="spellStart"/>
      <w:r w:rsidRPr="00742CF4">
        <w:t>CRh</w:t>
      </w:r>
      <w:proofErr w:type="spellEnd"/>
      <w:r w:rsidRPr="00742CF4">
        <w:t>* was not estimated with a median observation time of 9.0 months.</w:t>
      </w:r>
    </w:p>
    <w:p w14:paraId="7A9BD621" w14:textId="77777777" w:rsidR="005140B5" w:rsidRPr="00742CF4" w:rsidRDefault="00257B20" w:rsidP="00742CF4">
      <w:r w:rsidRPr="00742CF4">
        <w:t>The median duration of overall survival was 7.1 months (95% CI: 5.6 to NE) in the FAS.</w:t>
      </w:r>
    </w:p>
    <w:p w14:paraId="4772B895" w14:textId="77777777" w:rsidR="005140B5" w:rsidRPr="00742CF4" w:rsidRDefault="00257B20" w:rsidP="00742CF4">
      <w:r w:rsidRPr="00742CF4">
        <w:t>Cross-study comparisons are presented in the CER</w:t>
      </w:r>
      <w:r w:rsidR="00A407C5">
        <w:t xml:space="preserve"> (please see Attachment 2).</w:t>
      </w:r>
    </w:p>
    <w:p w14:paraId="17200B11" w14:textId="4036CC35" w:rsidR="00257B20" w:rsidRPr="00742CF4" w:rsidRDefault="00257B20" w:rsidP="00742CF4">
      <w:r w:rsidRPr="00742CF4">
        <w:lastRenderedPageBreak/>
        <w:t xml:space="preserve">The median duration of OS is consistent with the duration reported across </w:t>
      </w:r>
      <w:r w:rsidR="00A407C5">
        <w:t>S</w:t>
      </w:r>
      <w:r w:rsidRPr="00742CF4">
        <w:t>tudies</w:t>
      </w:r>
      <w:r w:rsidR="00A407C5">
        <w:t> </w:t>
      </w:r>
      <w:r w:rsidRPr="00742CF4">
        <w:t>00103311 and MT103-211. The proportion of patients achieving a CR/</w:t>
      </w:r>
      <w:proofErr w:type="spellStart"/>
      <w:r w:rsidRPr="00742CF4">
        <w:t>CRh</w:t>
      </w:r>
      <w:proofErr w:type="spellEnd"/>
      <w:r w:rsidRPr="00742CF4">
        <w:t xml:space="preserve">* in the first two cycles of treatment is consistent with that seen in </w:t>
      </w:r>
      <w:r w:rsidR="0041756E">
        <w:t>Study</w:t>
      </w:r>
      <w:r w:rsidRPr="00742CF4">
        <w:t xml:space="preserve"> MT103-211.</w:t>
      </w:r>
    </w:p>
    <w:p w14:paraId="435543F9" w14:textId="77777777" w:rsidR="005140B5" w:rsidRPr="00742CF4" w:rsidRDefault="00257B20" w:rsidP="003060F6">
      <w:pPr>
        <w:pStyle w:val="Heading5"/>
      </w:pPr>
      <w:r w:rsidRPr="00742CF4">
        <w:t>Studies pertaining to the proposed indication for the treatment of minimal residual disease</w:t>
      </w:r>
    </w:p>
    <w:p w14:paraId="391D7529" w14:textId="77777777" w:rsidR="00A2747C" w:rsidRPr="00742CF4" w:rsidRDefault="00A2747C" w:rsidP="003060F6">
      <w:pPr>
        <w:pStyle w:val="Heading6"/>
      </w:pPr>
      <w:r w:rsidRPr="00742CF4">
        <w:t>Study MT103-202</w:t>
      </w:r>
    </w:p>
    <w:p w14:paraId="3A24673C" w14:textId="77777777" w:rsidR="00A2747C" w:rsidRPr="00742CF4" w:rsidRDefault="00A2747C" w:rsidP="00742CF4">
      <w:r w:rsidRPr="00742CF4">
        <w:t>This is a second report evaluated by the TGA for this study, this initial report having been evaluated for the initial registration submission.</w:t>
      </w:r>
    </w:p>
    <w:p w14:paraId="21992B43" w14:textId="0738C892" w:rsidR="00A2747C" w:rsidRPr="00742CF4" w:rsidRDefault="00A2747C" w:rsidP="00742CF4">
      <w:r w:rsidRPr="00742CF4">
        <w:t xml:space="preserve">This is an open-label </w:t>
      </w:r>
      <w:r w:rsidR="00713407">
        <w:t>Phase II</w:t>
      </w:r>
      <w:r w:rsidRPr="00742CF4">
        <w:t xml:space="preserve"> multicentre study assessing the efficacy and safety </w:t>
      </w:r>
      <w:r w:rsidR="00A407C5">
        <w:t xml:space="preserve">and </w:t>
      </w:r>
      <w:r w:rsidRPr="00742CF4">
        <w:t xml:space="preserve">tolerability of </w:t>
      </w:r>
      <w:proofErr w:type="spellStart"/>
      <w:r w:rsidRPr="00742CF4">
        <w:t>blinatumomab</w:t>
      </w:r>
      <w:proofErr w:type="spellEnd"/>
      <w:r w:rsidRPr="00742CF4">
        <w:t xml:space="preserve"> in adults with complete haematological remission, but with ongoing minimal residual disease, positive B-precursor ALL following consolidation front line therapy.</w:t>
      </w:r>
    </w:p>
    <w:p w14:paraId="0C1D613D" w14:textId="77777777" w:rsidR="00A2747C" w:rsidRPr="00742CF4" w:rsidRDefault="00A2747C" w:rsidP="00742CF4">
      <w:r w:rsidRPr="00742CF4">
        <w:t>The marker for MRD status for this study was:</w:t>
      </w:r>
    </w:p>
    <w:p w14:paraId="5E2827F7" w14:textId="6678560C" w:rsidR="00A2747C" w:rsidRPr="00742CF4" w:rsidRDefault="004E2818" w:rsidP="003060F6">
      <w:pPr>
        <w:pStyle w:val="ListBullet"/>
      </w:pPr>
      <w:r>
        <w:t>BCR</w:t>
      </w:r>
      <w:r w:rsidR="00A2747C" w:rsidRPr="00742CF4">
        <w:t>/</w:t>
      </w:r>
      <w:r>
        <w:t>ABL</w:t>
      </w:r>
      <w:r w:rsidR="00A2747C" w:rsidRPr="00742CF4">
        <w:t xml:space="preserve"> and/or t(4;11) translocation at any detection level measured by RT-PCR.</w:t>
      </w:r>
    </w:p>
    <w:p w14:paraId="45922185" w14:textId="15A4C06E" w:rsidR="00A2747C" w:rsidRPr="00742CF4" w:rsidRDefault="00A2747C" w:rsidP="003060F6">
      <w:pPr>
        <w:pStyle w:val="ListBullet"/>
      </w:pPr>
      <w:r w:rsidRPr="00742CF4">
        <w:t>Individual rearrangements of immunoglobulin or T</w:t>
      </w:r>
      <w:r w:rsidR="004E2818">
        <w:t xml:space="preserve"> cell receptor </w:t>
      </w:r>
      <w:r w:rsidRPr="00742CF4">
        <w:t>genes measured by an assay with a sensitivity of minimum 10</w:t>
      </w:r>
      <w:r w:rsidRPr="003060F6">
        <w:rPr>
          <w:vertAlign w:val="superscript"/>
        </w:rPr>
        <w:t>-4</w:t>
      </w:r>
      <w:r w:rsidRPr="00742CF4">
        <w:t>: at least 1 individual marker at a quantitative level ≥ 10</w:t>
      </w:r>
      <w:r w:rsidRPr="003060F6">
        <w:rPr>
          <w:vertAlign w:val="superscript"/>
        </w:rPr>
        <w:t>-4</w:t>
      </w:r>
      <w:r w:rsidR="00811513">
        <w:t>.</w:t>
      </w:r>
    </w:p>
    <w:p w14:paraId="121CCFA6" w14:textId="77777777" w:rsidR="00A407C5" w:rsidRDefault="00A407C5" w:rsidP="003060F6">
      <w:pPr>
        <w:pStyle w:val="Heading7"/>
      </w:pPr>
      <w:r>
        <w:t>Treatment</w:t>
      </w:r>
    </w:p>
    <w:p w14:paraId="7B53C9F8" w14:textId="2B78BA17" w:rsidR="00A2747C" w:rsidRPr="00A2747C" w:rsidRDefault="00A2747C" w:rsidP="003060F6">
      <w:r w:rsidRPr="00742CF4">
        <w:t xml:space="preserve">Patients were treated with </w:t>
      </w:r>
      <w:proofErr w:type="spellStart"/>
      <w:r w:rsidRPr="00742CF4">
        <w:t>blinatumomab</w:t>
      </w:r>
      <w:proofErr w:type="spellEnd"/>
      <w:r w:rsidRPr="00742CF4">
        <w:t xml:space="preserve"> 15 </w:t>
      </w:r>
      <w:r w:rsidR="00A407C5">
        <w:t>µ</w:t>
      </w:r>
      <w:r w:rsidRPr="00742CF4">
        <w:t>g/m</w:t>
      </w:r>
      <w:r w:rsidRPr="003060F6">
        <w:rPr>
          <w:vertAlign w:val="superscript"/>
        </w:rPr>
        <w:t>2</w:t>
      </w:r>
      <w:r w:rsidRPr="00742CF4">
        <w:t>/day over 4 weeks followed by a treatment-free period of 2 weeks.</w:t>
      </w:r>
    </w:p>
    <w:p w14:paraId="161D03F6" w14:textId="5187DD98" w:rsidR="00A2747C" w:rsidRPr="00A2747C" w:rsidRDefault="00A2747C" w:rsidP="003060F6">
      <w:r w:rsidRPr="00A2747C">
        <w:t xml:space="preserve">Responders were permitted to receive 3 additional consolidation cycles of treatment with </w:t>
      </w:r>
      <w:proofErr w:type="spellStart"/>
      <w:r w:rsidRPr="00A2747C">
        <w:t>blinatumomab</w:t>
      </w:r>
      <w:proofErr w:type="spellEnd"/>
      <w:r w:rsidRPr="00A2747C">
        <w:t>. Subjects who showed neither MRD progression nor response could receive up to 7 cycles.</w:t>
      </w:r>
    </w:p>
    <w:p w14:paraId="5F8698DE" w14:textId="77A79D01" w:rsidR="00A2747C" w:rsidRDefault="00A2747C" w:rsidP="003060F6">
      <w:r w:rsidRPr="00A2747C">
        <w:t xml:space="preserve">Three patients had a dose escalation to 30 </w:t>
      </w:r>
      <w:r w:rsidR="00A407C5">
        <w:t>µ</w:t>
      </w:r>
      <w:r w:rsidR="00A407C5" w:rsidRPr="00742CF4">
        <w:t>g</w:t>
      </w:r>
      <w:r w:rsidR="00A407C5" w:rsidRPr="00A2747C" w:rsidDel="00A407C5">
        <w:t xml:space="preserve"> </w:t>
      </w:r>
      <w:r w:rsidRPr="00A2747C">
        <w:t>/m</w:t>
      </w:r>
      <w:r w:rsidRPr="003060F6">
        <w:rPr>
          <w:vertAlign w:val="superscript"/>
        </w:rPr>
        <w:t>2</w:t>
      </w:r>
      <w:r w:rsidRPr="00A2747C">
        <w:t>/day as they did not achieve reduction</w:t>
      </w:r>
      <w:r w:rsidR="00A407C5">
        <w:t xml:space="preserve"> </w:t>
      </w:r>
      <w:r w:rsidRPr="00A2747C">
        <w:t>in MRD level ≥ 1 log, (per data review committee decision).</w:t>
      </w:r>
    </w:p>
    <w:p w14:paraId="49A36A91" w14:textId="77777777" w:rsidR="00A407C5" w:rsidRDefault="00A407C5" w:rsidP="003060F6">
      <w:pPr>
        <w:pStyle w:val="Heading7"/>
      </w:pPr>
      <w:r>
        <w:t>Results</w:t>
      </w:r>
    </w:p>
    <w:p w14:paraId="7ADA8A61" w14:textId="5EA56CC7" w:rsidR="00A2747C" w:rsidRPr="00A2747C" w:rsidRDefault="00A2747C" w:rsidP="003060F6">
      <w:r w:rsidRPr="00A2747C">
        <w:t>The median duration of relapse-free survival had not been reached after a median follow- up time of 1550 days. Sixteen patients were observed to have a MRD response.</w:t>
      </w:r>
    </w:p>
    <w:p w14:paraId="2CFBACA4" w14:textId="58473D84" w:rsidR="00A2747C" w:rsidRPr="00A2747C" w:rsidRDefault="00A2747C" w:rsidP="003060F6">
      <w:r w:rsidRPr="00A2747C">
        <w:t xml:space="preserve">Eight of the 20 patients (40%) had had a haematological relapse occurring between </w:t>
      </w:r>
      <w:r w:rsidR="00A407C5">
        <w:t>D</w:t>
      </w:r>
      <w:r w:rsidRPr="00A2747C">
        <w:t xml:space="preserve">ay 99 and </w:t>
      </w:r>
      <w:r w:rsidR="00A407C5">
        <w:t>D</w:t>
      </w:r>
      <w:r w:rsidRPr="00A2747C">
        <w:t>ay 1550. The risk of relapse was similar for those with and without prior HSCT.</w:t>
      </w:r>
    </w:p>
    <w:p w14:paraId="4E1ADDBA" w14:textId="77777777" w:rsidR="00A2747C" w:rsidRPr="00A2747C" w:rsidRDefault="00A2747C" w:rsidP="003060F6">
      <w:pPr>
        <w:pStyle w:val="Heading6"/>
      </w:pPr>
      <w:r w:rsidRPr="00A2747C">
        <w:t>Study MT103-203</w:t>
      </w:r>
    </w:p>
    <w:p w14:paraId="77B913B7" w14:textId="400FD92E" w:rsidR="00A2747C" w:rsidRPr="00A2747C" w:rsidRDefault="00A2747C" w:rsidP="00A2747C">
      <w:r w:rsidRPr="00A2747C">
        <w:t xml:space="preserve">This is an ongoing long-term follow-up </w:t>
      </w:r>
      <w:r w:rsidR="00093C1B">
        <w:t>Phase II</w:t>
      </w:r>
      <w:r w:rsidRPr="00A2747C">
        <w:t xml:space="preserve"> single-arm study of the efficacy, safety and tolerability of </w:t>
      </w:r>
      <w:proofErr w:type="spellStart"/>
      <w:r w:rsidRPr="00A2747C">
        <w:t>blinatumomab</w:t>
      </w:r>
      <w:proofErr w:type="spellEnd"/>
      <w:r w:rsidRPr="00A2747C">
        <w:t xml:space="preserve"> in adults with </w:t>
      </w:r>
      <w:proofErr w:type="spellStart"/>
      <w:r w:rsidRPr="00A2747C">
        <w:t>Ph</w:t>
      </w:r>
      <w:proofErr w:type="spellEnd"/>
      <w:r w:rsidRPr="00A2747C">
        <w:t xml:space="preserve"> negative b-precursor ALL.</w:t>
      </w:r>
    </w:p>
    <w:p w14:paraId="123649F2" w14:textId="77777777" w:rsidR="000D5BCC" w:rsidRDefault="000D5BCC" w:rsidP="000D5BCC">
      <w:bookmarkStart w:id="104" w:name="_Toc314842514"/>
      <w:r w:rsidRPr="000D5BCC">
        <w:t xml:space="preserve">The primary objective of this study was to evaluate the efficacy of </w:t>
      </w:r>
      <w:proofErr w:type="spellStart"/>
      <w:r w:rsidRPr="000D5BCC">
        <w:t>blinatumomab</w:t>
      </w:r>
      <w:proofErr w:type="spellEnd"/>
      <w:r w:rsidRPr="000D5BCC">
        <w:t xml:space="preserve"> to induce a complete MRD response in adult patients with B-ALL.</w:t>
      </w:r>
    </w:p>
    <w:p w14:paraId="44C96CF5" w14:textId="7E65C56C" w:rsidR="004E2818" w:rsidRDefault="004E2818" w:rsidP="000D5BCC">
      <w:r>
        <w:t>Figure 1, shown below, summarises the study design of Study MT103-203.</w:t>
      </w:r>
    </w:p>
    <w:p w14:paraId="47BF8322" w14:textId="2153B8F2" w:rsidR="00811513" w:rsidRDefault="00811513" w:rsidP="003060F6">
      <w:pPr>
        <w:pStyle w:val="FigureTitle"/>
      </w:pPr>
      <w:r>
        <w:lastRenderedPageBreak/>
        <w:t>Figure 1</w:t>
      </w:r>
      <w:r w:rsidR="008C3197">
        <w:t>:</w:t>
      </w:r>
      <w:r>
        <w:t xml:space="preserve"> Study design for </w:t>
      </w:r>
      <w:r w:rsidR="004E2818">
        <w:t xml:space="preserve">Study </w:t>
      </w:r>
      <w:r>
        <w:t>MT103-203</w:t>
      </w:r>
    </w:p>
    <w:p w14:paraId="19168E5D" w14:textId="77777777" w:rsidR="00811513" w:rsidRPr="00811513" w:rsidRDefault="00811513">
      <w:r>
        <w:rPr>
          <w:noProof/>
          <w:lang w:eastAsia="en-AU"/>
        </w:rPr>
        <w:drawing>
          <wp:inline distT="0" distB="0" distL="0" distR="0" wp14:anchorId="5F377649" wp14:editId="12303F3E">
            <wp:extent cx="5400040" cy="4123877"/>
            <wp:effectExtent l="0" t="0" r="0" b="0"/>
            <wp:docPr id="2" name="Picture 2" descr="Study design for MT103-203&#10;Patients were treated with blinatumomab 15 µg/m2/day over 4 weeks followed by a treatment-free period of 2 weeks.&#10;Responders were permitted to receive 3 additional consolidation cycles of treatment with blinatumomab. Subjects who showed neither MRD progression nor response could receive up to 7 cycles.&#10;Three patients had a dose escalation to 30 µg /m2/day as they did not achieve reduction in MRD level ≥ 1 log, (per data review committee decis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4123877"/>
                    </a:xfrm>
                    <a:prstGeom prst="rect">
                      <a:avLst/>
                    </a:prstGeom>
                  </pic:spPr>
                </pic:pic>
              </a:graphicData>
            </a:graphic>
          </wp:inline>
        </w:drawing>
      </w:r>
    </w:p>
    <w:p w14:paraId="1160458D" w14:textId="059F0BB1" w:rsidR="00A74E76" w:rsidRDefault="00A74E76" w:rsidP="00A74E76">
      <w:bookmarkStart w:id="105" w:name="_Toc247691531"/>
      <w:bookmarkStart w:id="106" w:name="_Toc314842515"/>
      <w:bookmarkStart w:id="107" w:name="_Toc196046505"/>
      <w:bookmarkStart w:id="108" w:name="_Toc196046949"/>
      <w:bookmarkEnd w:id="104"/>
      <w:r w:rsidRPr="00A74E76">
        <w:t xml:space="preserve">In contrast to </w:t>
      </w:r>
      <w:r w:rsidR="0041756E">
        <w:t>Study</w:t>
      </w:r>
      <w:r w:rsidRPr="00A74E76">
        <w:t xml:space="preserve"> MT102-202 above, the criteria for this study were:</w:t>
      </w:r>
    </w:p>
    <w:p w14:paraId="3558FBCE" w14:textId="77777777" w:rsidR="00A74E76" w:rsidRDefault="00A74E76" w:rsidP="00A74E76">
      <w:r w:rsidRPr="00A74E76">
        <w:t>MRD ≥</w:t>
      </w:r>
      <w:r w:rsidR="00A407C5">
        <w:t xml:space="preserve"> </w:t>
      </w:r>
      <w:r w:rsidRPr="00A74E76">
        <w:t>10</w:t>
      </w:r>
      <w:r w:rsidRPr="003060F6">
        <w:rPr>
          <w:vertAlign w:val="superscript"/>
        </w:rPr>
        <w:t>-3</w:t>
      </w:r>
      <w:r w:rsidRPr="00A74E76">
        <w:t xml:space="preserve"> (molecular failure or molecular relapse) in an assay with minimum sensitivity of 10</w:t>
      </w:r>
      <w:r w:rsidRPr="003060F6">
        <w:rPr>
          <w:vertAlign w:val="superscript"/>
        </w:rPr>
        <w:t>-4</w:t>
      </w:r>
      <w:r w:rsidRPr="00A74E76">
        <w:t xml:space="preserve"> with at least 1 molecular marker based on individual rearrangement of immunoglobulin (Ig) or TCR-genes or a flow </w:t>
      </w:r>
      <w:proofErr w:type="spellStart"/>
      <w:r w:rsidRPr="00A74E76">
        <w:t>cytometric</w:t>
      </w:r>
      <w:proofErr w:type="spellEnd"/>
      <w:r w:rsidRPr="00A74E76">
        <w:t xml:space="preserve"> marker profile documented after an interval of at least 2 weeks from last systemic chemotherapy, and bone marrow function defined as absolute neutrophil count ≥ 1,000/µL, platelets ≥ 50,000/µL, and haemoglobin level ≥ 9 g/</w:t>
      </w:r>
      <w:proofErr w:type="spellStart"/>
      <w:r w:rsidRPr="00A74E76">
        <w:t>dL</w:t>
      </w:r>
      <w:proofErr w:type="spellEnd"/>
      <w:r w:rsidRPr="00A74E76">
        <w:t xml:space="preserve"> (transfusions permitted).</w:t>
      </w:r>
    </w:p>
    <w:p w14:paraId="31C0CF8D" w14:textId="77777777" w:rsidR="00A74E76" w:rsidRPr="00A74E76" w:rsidRDefault="00A74E76" w:rsidP="00A74E76">
      <w:pPr>
        <w:spacing w:before="0" w:after="0" w:line="240" w:lineRule="auto"/>
      </w:pPr>
      <w:r w:rsidRPr="00A74E76">
        <w:t>Secondary outcomes of the study were</w:t>
      </w:r>
      <w:r>
        <w:t>:</w:t>
      </w:r>
    </w:p>
    <w:p w14:paraId="4CE71329" w14:textId="77777777" w:rsidR="00A74E76" w:rsidRPr="00A74E76" w:rsidRDefault="00A74E76" w:rsidP="00A74E76">
      <w:pPr>
        <w:pStyle w:val="ListBullet"/>
      </w:pPr>
      <w:r w:rsidRPr="00A74E76">
        <w:t>Haematological relapse free survival</w:t>
      </w:r>
    </w:p>
    <w:p w14:paraId="57D6FBE9" w14:textId="77777777" w:rsidR="00A74E76" w:rsidRPr="00A74E76" w:rsidRDefault="00A74E76" w:rsidP="00A74E76">
      <w:pPr>
        <w:pStyle w:val="ListBullet"/>
      </w:pPr>
      <w:r w:rsidRPr="00A74E76">
        <w:t>Overall survival</w:t>
      </w:r>
    </w:p>
    <w:p w14:paraId="6D8B08B0" w14:textId="77777777" w:rsidR="00A74E76" w:rsidRPr="00A74E76" w:rsidRDefault="00A74E76" w:rsidP="00A74E76">
      <w:pPr>
        <w:pStyle w:val="ListBullet"/>
      </w:pPr>
      <w:r w:rsidRPr="00A74E76">
        <w:t>100 day mortality after allogenic HSCT</w:t>
      </w:r>
    </w:p>
    <w:p w14:paraId="09D92920" w14:textId="77777777" w:rsidR="00A74E76" w:rsidRPr="00A74E76" w:rsidRDefault="00A74E76" w:rsidP="00A74E76">
      <w:pPr>
        <w:pStyle w:val="ListBullet"/>
      </w:pPr>
      <w:r w:rsidRPr="00A74E76">
        <w:t>Time to haematological relapse</w:t>
      </w:r>
    </w:p>
    <w:p w14:paraId="6B0B545D" w14:textId="77777777" w:rsidR="00A74E76" w:rsidRPr="00A74E76" w:rsidRDefault="00A74E76" w:rsidP="00A74E76">
      <w:pPr>
        <w:pStyle w:val="ListBullet"/>
      </w:pPr>
      <w:r w:rsidRPr="00A74E76">
        <w:t>Duration of complete MRD response</w:t>
      </w:r>
    </w:p>
    <w:p w14:paraId="2CB06647" w14:textId="77777777" w:rsidR="00A74E76" w:rsidRPr="00A74E76" w:rsidRDefault="00A74E76" w:rsidP="00A74E76">
      <w:pPr>
        <w:pStyle w:val="ListBullet"/>
      </w:pPr>
      <w:r w:rsidRPr="00A74E76">
        <w:t>Effect on MRD level</w:t>
      </w:r>
    </w:p>
    <w:p w14:paraId="23C14E5A" w14:textId="1B1D31E2" w:rsidR="00A74E76" w:rsidRPr="004E2818" w:rsidRDefault="00A74E76" w:rsidP="003060F6">
      <w:r w:rsidRPr="00A74E76">
        <w:t>Of the 211 patients screened, 116 received ≥</w:t>
      </w:r>
      <w:r w:rsidR="00A407C5">
        <w:t xml:space="preserve"> </w:t>
      </w:r>
      <w:r w:rsidRPr="00A74E76">
        <w:t xml:space="preserve">1 infusion of </w:t>
      </w:r>
      <w:proofErr w:type="spellStart"/>
      <w:r w:rsidRPr="00A74E76">
        <w:t>blinatumomab</w:t>
      </w:r>
      <w:proofErr w:type="spellEnd"/>
      <w:r w:rsidRPr="00A74E76">
        <w:t xml:space="preserve"> and comprised</w:t>
      </w:r>
      <w:r w:rsidR="00A407C5">
        <w:t xml:space="preserve"> </w:t>
      </w:r>
      <w:r w:rsidRPr="00A74E76">
        <w:t>the full analysis set, 113/116 comprised the primary analysis set.</w:t>
      </w:r>
      <w:r w:rsidR="00A407C5">
        <w:t xml:space="preserve"> </w:t>
      </w:r>
      <w:r w:rsidRPr="00A74E76">
        <w:t>106 patients ended the core study, ten of whom were continuing the core study at data cut-off.</w:t>
      </w:r>
      <w:r w:rsidR="003060F6">
        <w:t xml:space="preserve"> </w:t>
      </w:r>
      <w:r w:rsidRPr="00A74E76">
        <w:t xml:space="preserve">The primary efficacy end-point was the evaluation of the ability of </w:t>
      </w:r>
      <w:proofErr w:type="spellStart"/>
      <w:r w:rsidRPr="00A74E76">
        <w:t>blinatumomab</w:t>
      </w:r>
      <w:proofErr w:type="spellEnd"/>
      <w:r w:rsidRPr="00A74E76">
        <w:t xml:space="preserve"> to induce complete MRD response.</w:t>
      </w:r>
    </w:p>
    <w:p w14:paraId="766DE988" w14:textId="238BCB58" w:rsidR="00A74E76" w:rsidRPr="004E2818" w:rsidRDefault="00A74E76" w:rsidP="003060F6">
      <w:r w:rsidRPr="00A74E76">
        <w:t xml:space="preserve">The key secondary end-point was to assess the effect of </w:t>
      </w:r>
      <w:proofErr w:type="spellStart"/>
      <w:r w:rsidRPr="00A74E76">
        <w:t>blinatumomab</w:t>
      </w:r>
      <w:proofErr w:type="spellEnd"/>
      <w:r w:rsidRPr="00A74E76">
        <w:t xml:space="preserve"> on haematological response for patients with Philadelphia-negative </w:t>
      </w:r>
      <w:proofErr w:type="spellStart"/>
      <w:r w:rsidRPr="00A74E76">
        <w:t>ALL.</w:t>
      </w:r>
      <w:r w:rsidR="00811513" w:rsidRPr="004E2818">
        <w:t>T</w:t>
      </w:r>
      <w:r w:rsidRPr="004E2818">
        <w:t>he</w:t>
      </w:r>
      <w:proofErr w:type="spellEnd"/>
      <w:r w:rsidRPr="004E2818">
        <w:t xml:space="preserve"> other secondary objectives did not include the assessment of overall survival, rather only the 100</w:t>
      </w:r>
      <w:r w:rsidR="00A407C5" w:rsidRPr="004E2818">
        <w:t xml:space="preserve"> </w:t>
      </w:r>
      <w:r w:rsidRPr="004E2818">
        <w:t>day mortality rate.</w:t>
      </w:r>
    </w:p>
    <w:p w14:paraId="71A50435" w14:textId="2EFD6523" w:rsidR="00811513" w:rsidRDefault="00811513" w:rsidP="00A74E76">
      <w:r>
        <w:lastRenderedPageBreak/>
        <w:t xml:space="preserve">The </w:t>
      </w:r>
      <w:r w:rsidR="004E2818">
        <w:t>p</w:t>
      </w:r>
      <w:r>
        <w:t xml:space="preserve">atient disposition at the second analysis point is shown in Figure </w:t>
      </w:r>
      <w:r w:rsidR="005C176E">
        <w:t>2</w:t>
      </w:r>
      <w:r>
        <w:t>.</w:t>
      </w:r>
    </w:p>
    <w:p w14:paraId="629F648E" w14:textId="77777777" w:rsidR="00811513" w:rsidRDefault="00811513" w:rsidP="003060F6">
      <w:pPr>
        <w:pStyle w:val="FigureTitle"/>
      </w:pPr>
      <w:r>
        <w:t xml:space="preserve">Figure </w:t>
      </w:r>
      <w:r w:rsidR="005C176E">
        <w:t>2</w:t>
      </w:r>
      <w:r>
        <w:t>: Patient disposition at the second analysis point</w:t>
      </w:r>
    </w:p>
    <w:p w14:paraId="17E18CCE" w14:textId="77777777" w:rsidR="00811513" w:rsidRDefault="00811513" w:rsidP="00A74E76">
      <w:r>
        <w:rPr>
          <w:noProof/>
          <w:lang w:eastAsia="en-AU"/>
        </w:rPr>
        <w:drawing>
          <wp:inline distT="0" distB="0" distL="0" distR="0" wp14:anchorId="3A253A6E" wp14:editId="413F5FDC">
            <wp:extent cx="5400040" cy="3775990"/>
            <wp:effectExtent l="0" t="0" r="0" b="0"/>
            <wp:docPr id="3" name="Picture 3" descr="Patient disposition at the second analysis point&#10;Among the 116 patients in the FAS, the majority were Ph-negative (n = 111 (95.7%)), the remainder were Ph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3775990"/>
                    </a:xfrm>
                    <a:prstGeom prst="rect">
                      <a:avLst/>
                    </a:prstGeom>
                  </pic:spPr>
                </pic:pic>
              </a:graphicData>
            </a:graphic>
          </wp:inline>
        </w:drawing>
      </w:r>
    </w:p>
    <w:p w14:paraId="42E37FEC" w14:textId="4D96D19F" w:rsidR="00A74E76" w:rsidRDefault="00A74E76" w:rsidP="00A74E76">
      <w:r w:rsidRPr="00A74E76">
        <w:t>Among the 116 patients in the FAS, the majority were Ph</w:t>
      </w:r>
      <w:r w:rsidR="004E2818">
        <w:t>iladelphia chromosome</w:t>
      </w:r>
      <w:r w:rsidRPr="00A74E76">
        <w:t>-negative (n</w:t>
      </w:r>
      <w:r w:rsidR="00A407C5">
        <w:t xml:space="preserve"> </w:t>
      </w:r>
      <w:r w:rsidRPr="00A74E76">
        <w:t>=</w:t>
      </w:r>
      <w:r w:rsidR="00A407C5">
        <w:t xml:space="preserve"> </w:t>
      </w:r>
      <w:r w:rsidRPr="00A74E76">
        <w:t xml:space="preserve">111 (95.7%)), the remainder </w:t>
      </w:r>
      <w:r w:rsidR="00811513">
        <w:t xml:space="preserve">were </w:t>
      </w:r>
      <w:r w:rsidRPr="00A74E76">
        <w:t>Ph</w:t>
      </w:r>
      <w:r w:rsidR="004E2818">
        <w:t>iladelphia chromosome</w:t>
      </w:r>
      <w:r w:rsidRPr="00A74E76">
        <w:t xml:space="preserve"> positive.</w:t>
      </w:r>
    </w:p>
    <w:p w14:paraId="2CAF4658" w14:textId="77777777" w:rsidR="00811513" w:rsidRDefault="00811513" w:rsidP="00A74E76">
      <w:r>
        <w:t>The distribution of baseli</w:t>
      </w:r>
      <w:r w:rsidR="008C3197">
        <w:t>ne level MRD is shown in Table 9</w:t>
      </w:r>
      <w:r>
        <w:t>.</w:t>
      </w:r>
    </w:p>
    <w:p w14:paraId="5B2A6DFE" w14:textId="25C6D5D3" w:rsidR="00A74E76" w:rsidRDefault="00811513" w:rsidP="003060F6">
      <w:pPr>
        <w:pStyle w:val="TableTitle"/>
      </w:pPr>
      <w:r>
        <w:t xml:space="preserve">Table </w:t>
      </w:r>
      <w:r w:rsidR="008C3197">
        <w:t>9</w:t>
      </w:r>
      <w:r w:rsidR="00A407C5">
        <w:t xml:space="preserve">: </w:t>
      </w:r>
      <w:r w:rsidR="009F04F8" w:rsidRPr="009F04F8">
        <w:t xml:space="preserve">MRD level at </w:t>
      </w:r>
      <w:r w:rsidR="004E2818">
        <w:t>B</w:t>
      </w:r>
      <w:r w:rsidR="009F04F8" w:rsidRPr="009F04F8">
        <w:t>aseline by central lab</w:t>
      </w:r>
      <w:r w:rsidR="004E2818">
        <w:t>oratory</w:t>
      </w:r>
    </w:p>
    <w:p w14:paraId="05CA82D1" w14:textId="77777777" w:rsidR="00811513" w:rsidRPr="00080712" w:rsidRDefault="00811513" w:rsidP="003060F6">
      <w:r w:rsidRPr="00EE50C4">
        <w:rPr>
          <w:noProof/>
          <w:lang w:eastAsia="en-AU"/>
        </w:rPr>
        <w:drawing>
          <wp:inline distT="0" distB="0" distL="0" distR="0" wp14:anchorId="374D42DB" wp14:editId="2A0A8D6C">
            <wp:extent cx="5400040" cy="1444049"/>
            <wp:effectExtent l="0" t="0" r="0" b="3810"/>
            <wp:docPr id="4" name="Picture 4" descr="MRD level at baseline by central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1444049"/>
                    </a:xfrm>
                    <a:prstGeom prst="rect">
                      <a:avLst/>
                    </a:prstGeom>
                  </pic:spPr>
                </pic:pic>
              </a:graphicData>
            </a:graphic>
          </wp:inline>
        </w:drawing>
      </w:r>
    </w:p>
    <w:p w14:paraId="4E035CEE" w14:textId="02921391" w:rsidR="00E54805" w:rsidRPr="00E54805" w:rsidRDefault="00E54805" w:rsidP="00BD3E7E">
      <w:r w:rsidRPr="00E54805">
        <w:t xml:space="preserve">The results of the primary end-point </w:t>
      </w:r>
      <w:r w:rsidR="001E481E" w:rsidRPr="00E54805">
        <w:t>show</w:t>
      </w:r>
      <w:r w:rsidRPr="00E54805">
        <w:t xml:space="preserve"> the proportion of patients who achieved a MRD response at the end of cycle was 88/113 (77.9%).</w:t>
      </w:r>
    </w:p>
    <w:p w14:paraId="7210E4D5" w14:textId="77777777" w:rsidR="00E54805" w:rsidRPr="00E54805" w:rsidRDefault="00E54805" w:rsidP="00BD3E7E">
      <w:r w:rsidRPr="00E54805">
        <w:t>Full primary end-point results are shown below.</w:t>
      </w:r>
    </w:p>
    <w:p w14:paraId="0D27BF6F" w14:textId="6796C5D5" w:rsidR="00E54805" w:rsidRPr="00BD3E7E" w:rsidRDefault="00811513" w:rsidP="003060F6">
      <w:pPr>
        <w:pStyle w:val="TableTitle"/>
      </w:pPr>
      <w:r>
        <w:lastRenderedPageBreak/>
        <w:t xml:space="preserve">Table </w:t>
      </w:r>
      <w:r w:rsidR="008C3197">
        <w:t>10</w:t>
      </w:r>
      <w:r w:rsidR="00A407C5">
        <w:t xml:space="preserve">: </w:t>
      </w:r>
      <w:r w:rsidR="00E54805" w:rsidRPr="00BD3E7E">
        <w:t xml:space="preserve">Primary </w:t>
      </w:r>
      <w:r w:rsidR="004E2818">
        <w:t>e</w:t>
      </w:r>
      <w:r w:rsidR="00E54805" w:rsidRPr="00BD3E7E">
        <w:t>ndpoint</w:t>
      </w:r>
      <w:r>
        <w:t>;</w:t>
      </w:r>
      <w:r w:rsidR="00E54805" w:rsidRPr="00BD3E7E">
        <w:t xml:space="preserve"> MRD response within the first treatment cycle</w:t>
      </w:r>
    </w:p>
    <w:p w14:paraId="7F1C05F3" w14:textId="34517B9B" w:rsidR="00E54805" w:rsidRDefault="00E54805" w:rsidP="003060F6">
      <w:r>
        <w:rPr>
          <w:noProof/>
          <w:lang w:eastAsia="en-AU"/>
        </w:rPr>
        <w:drawing>
          <wp:inline distT="0" distB="0" distL="0" distR="0" wp14:anchorId="71E0351C" wp14:editId="41625AF3">
            <wp:extent cx="5502910" cy="3478709"/>
            <wp:effectExtent l="0" t="0" r="2540" b="7620"/>
            <wp:docPr id="1" name="Picture 1" descr="Primary Endpoint; MRD response within the first treatment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502910" cy="3478709"/>
                    </a:xfrm>
                    <a:prstGeom prst="rect">
                      <a:avLst/>
                    </a:prstGeom>
                  </pic:spPr>
                </pic:pic>
              </a:graphicData>
            </a:graphic>
          </wp:inline>
        </w:drawing>
      </w:r>
    </w:p>
    <w:p w14:paraId="711D2AFE" w14:textId="7ECF29FF" w:rsidR="00E54805" w:rsidRDefault="00811513" w:rsidP="003060F6">
      <w:pPr>
        <w:pStyle w:val="TableTitle"/>
      </w:pPr>
      <w:r>
        <w:t xml:space="preserve">Table </w:t>
      </w:r>
      <w:r w:rsidR="008C3197">
        <w:t>11</w:t>
      </w:r>
      <w:r w:rsidR="00A407C5">
        <w:t xml:space="preserve">: </w:t>
      </w:r>
      <w:r w:rsidR="00E54805">
        <w:t xml:space="preserve">MRD response (assessed centrally) has been described according to MRD level at </w:t>
      </w:r>
      <w:r w:rsidR="004E2818">
        <w:t>Baseline</w:t>
      </w:r>
    </w:p>
    <w:p w14:paraId="07074BE3" w14:textId="77777777" w:rsidR="00E54805" w:rsidRDefault="00E54805" w:rsidP="003060F6">
      <w:r w:rsidRPr="005B6383">
        <w:rPr>
          <w:noProof/>
          <w:lang w:eastAsia="en-AU"/>
        </w:rPr>
        <w:drawing>
          <wp:inline distT="0" distB="0" distL="0" distR="0" wp14:anchorId="7547E5C7" wp14:editId="62470AC3">
            <wp:extent cx="5502910" cy="1632648"/>
            <wp:effectExtent l="0" t="0" r="2540" b="5715"/>
            <wp:docPr id="7" name="Picture 7" descr=" MRD response (assessed centrally) has been described according to MRD level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502910" cy="1632648"/>
                    </a:xfrm>
                    <a:prstGeom prst="rect">
                      <a:avLst/>
                    </a:prstGeom>
                  </pic:spPr>
                </pic:pic>
              </a:graphicData>
            </a:graphic>
          </wp:inline>
        </w:drawing>
      </w:r>
    </w:p>
    <w:p w14:paraId="3DF6EF73" w14:textId="2FBFA839" w:rsidR="00E54805" w:rsidRPr="00E54805" w:rsidRDefault="00E54805" w:rsidP="00E54805">
      <w:r w:rsidRPr="00E54805">
        <w:t xml:space="preserve">The data for the secondary outcome of haematological relapse-free survival rate is immature at this time-point. The study CSR states </w:t>
      </w:r>
      <w:r w:rsidR="004E2818">
        <w:t>‘</w:t>
      </w:r>
      <w:r w:rsidR="00A407C5" w:rsidRPr="00E54805">
        <w:t>Haematological</w:t>
      </w:r>
      <w:r w:rsidRPr="00E54805">
        <w:t xml:space="preserve"> relapse free survival will be reported in an updated analysis</w:t>
      </w:r>
      <w:r w:rsidR="004E2818">
        <w:t>’</w:t>
      </w:r>
      <w:r w:rsidRPr="00E54805">
        <w:t>.</w:t>
      </w:r>
    </w:p>
    <w:p w14:paraId="454CDA28" w14:textId="26866CA4" w:rsidR="00E54805" w:rsidRPr="00E54805" w:rsidRDefault="00E54805" w:rsidP="00E54805">
      <w:r w:rsidRPr="00E54805">
        <w:t>The 100</w:t>
      </w:r>
      <w:r w:rsidR="00A407C5">
        <w:t xml:space="preserve"> </w:t>
      </w:r>
      <w:r w:rsidRPr="00E54805">
        <w:t xml:space="preserve">day mortality data demonstrates that the majority of patients (90/116, 77.6%) underwent HSCT after </w:t>
      </w:r>
      <w:proofErr w:type="spellStart"/>
      <w:r w:rsidRPr="00E54805">
        <w:t>blinatumomab</w:t>
      </w:r>
      <w:proofErr w:type="spellEnd"/>
      <w:r w:rsidRPr="00E54805">
        <w:t>; 63% of those receiving HSCT were MRD negative at the time of transplant. The OS rate at 100 days after transplant was 93% (95% CI: 85% to 97%). The 100</w:t>
      </w:r>
      <w:r w:rsidR="00A407C5">
        <w:t xml:space="preserve"> </w:t>
      </w:r>
      <w:r w:rsidRPr="00E54805">
        <w:t>day mortality rate after allogeneic HSCT was 7% (95% CI: 3% to 15%).</w:t>
      </w:r>
    </w:p>
    <w:p w14:paraId="305A0008" w14:textId="77777777" w:rsidR="00E54805" w:rsidRDefault="00E54805" w:rsidP="00E54805">
      <w:r w:rsidRPr="00E54805">
        <w:t xml:space="preserve">Overall survival has been estimated according to MRD response with the median duration of OS in MRD responders being 38.9 months (95% CI 13.0, NE) as compared to that for MRD non-responders of 1.5 months (95% CI 3.8, NE). This data reflects not only the effect of </w:t>
      </w:r>
      <w:proofErr w:type="spellStart"/>
      <w:r w:rsidRPr="00E54805">
        <w:t>blinatumomab</w:t>
      </w:r>
      <w:proofErr w:type="spellEnd"/>
      <w:r w:rsidRPr="00E54805">
        <w:t>, but also that of post-</w:t>
      </w:r>
      <w:proofErr w:type="spellStart"/>
      <w:r w:rsidRPr="00E54805">
        <w:t>blinatumomab</w:t>
      </w:r>
      <w:proofErr w:type="spellEnd"/>
      <w:r w:rsidRPr="00E54805">
        <w:t xml:space="preserve"> HSCT.</w:t>
      </w:r>
    </w:p>
    <w:p w14:paraId="07C00209" w14:textId="6CF2F87A" w:rsidR="00551B39" w:rsidRDefault="00551B39" w:rsidP="003060F6">
      <w:pPr>
        <w:pStyle w:val="Heading4"/>
      </w:pPr>
      <w:r>
        <w:t>Data to support changes to the PI</w:t>
      </w:r>
      <w:r w:rsidR="004E2818">
        <w:t xml:space="preserve">; </w:t>
      </w:r>
      <w:r>
        <w:t xml:space="preserve">pivotal </w:t>
      </w:r>
      <w:r w:rsidR="004E2818">
        <w:t>S</w:t>
      </w:r>
      <w:r>
        <w:t>tudy 00103311 (T</w:t>
      </w:r>
      <w:r w:rsidR="004E2818">
        <w:t>ower study</w:t>
      </w:r>
      <w:r>
        <w:t>)</w:t>
      </w:r>
    </w:p>
    <w:p w14:paraId="6C1ABF8D" w14:textId="77777777" w:rsidR="00551B39" w:rsidRPr="00551B39" w:rsidRDefault="00551B39" w:rsidP="003060F6">
      <w:r w:rsidRPr="00551B39">
        <w:t>Presentation of this study was a condition of the initia</w:t>
      </w:r>
      <w:r>
        <w:t xml:space="preserve">l registration of </w:t>
      </w:r>
      <w:proofErr w:type="spellStart"/>
      <w:r>
        <w:t>blinatumomab</w:t>
      </w:r>
      <w:proofErr w:type="spellEnd"/>
      <w:r>
        <w:t>.</w:t>
      </w:r>
    </w:p>
    <w:p w14:paraId="59336B79" w14:textId="77777777" w:rsidR="00551B39" w:rsidRPr="00551B39" w:rsidRDefault="00551B39" w:rsidP="003060F6">
      <w:r w:rsidRPr="00551B39">
        <w:lastRenderedPageBreak/>
        <w:t>This study was stopped early at the recommendation of the Data Safety Committee as a significant increase in overall survival (prima</w:t>
      </w:r>
      <w:r>
        <w:t>ry end-point) was demonstrated.</w:t>
      </w:r>
    </w:p>
    <w:p w14:paraId="64CD019B" w14:textId="17EA7ABD" w:rsidR="00551B39" w:rsidRPr="00551B39" w:rsidRDefault="00551B39" w:rsidP="003060F6">
      <w:r w:rsidRPr="00551B39">
        <w:t>Th</w:t>
      </w:r>
      <w:r>
        <w:t>e inclusion criteria were</w:t>
      </w:r>
      <w:r w:rsidR="004D714C">
        <w:t xml:space="preserve"> m</w:t>
      </w:r>
      <w:r w:rsidRPr="00551B39">
        <w:t>ale and female (non-childbearing potential) aged ≥ 18 years and diagnosed with Philadelphia negative B-cell precursor ALL with any of the fol</w:t>
      </w:r>
      <w:r>
        <w:t>lowing disease characteristics:</w:t>
      </w:r>
    </w:p>
    <w:p w14:paraId="27C379FE" w14:textId="77777777" w:rsidR="00551B39" w:rsidRPr="00551B39" w:rsidRDefault="00551B39" w:rsidP="003060F6">
      <w:pPr>
        <w:pStyle w:val="ListBullet"/>
      </w:pPr>
      <w:r w:rsidRPr="00551B39">
        <w:t>Refractory to primary induction therapy or refracto</w:t>
      </w:r>
      <w:r>
        <w:t>ry to salvage therapy</w:t>
      </w:r>
    </w:p>
    <w:p w14:paraId="112BC138" w14:textId="77777777" w:rsidR="00551B39" w:rsidRPr="00551B39" w:rsidRDefault="00551B39" w:rsidP="003060F6">
      <w:pPr>
        <w:pStyle w:val="ListBullet"/>
      </w:pPr>
      <w:r w:rsidRPr="00551B39">
        <w:t>In untreated first relapse with first</w:t>
      </w:r>
      <w:r>
        <w:t xml:space="preserve"> remission duration &lt; 12 months</w:t>
      </w:r>
    </w:p>
    <w:p w14:paraId="56A040CF" w14:textId="77777777" w:rsidR="00551B39" w:rsidRPr="00551B39" w:rsidRDefault="00551B39" w:rsidP="003060F6">
      <w:pPr>
        <w:pStyle w:val="ListBullet"/>
      </w:pPr>
      <w:r w:rsidRPr="00551B39">
        <w:t>In untr</w:t>
      </w:r>
      <w:r>
        <w:t>eated second or greater relapse</w:t>
      </w:r>
    </w:p>
    <w:p w14:paraId="5CE31944" w14:textId="77777777" w:rsidR="00551B39" w:rsidRPr="00551B39" w:rsidRDefault="00551B39" w:rsidP="003060F6">
      <w:pPr>
        <w:pStyle w:val="ListBullet"/>
      </w:pPr>
      <w:r>
        <w:t xml:space="preserve">Relapse any time after </w:t>
      </w:r>
      <w:proofErr w:type="spellStart"/>
      <w:r>
        <w:t>alloHSCT</w:t>
      </w:r>
      <w:proofErr w:type="spellEnd"/>
    </w:p>
    <w:p w14:paraId="0F4D3E44" w14:textId="77777777" w:rsidR="00551B39" w:rsidRPr="00551B39" w:rsidRDefault="00551B39" w:rsidP="00551B39">
      <w:pPr>
        <w:autoSpaceDE w:val="0"/>
        <w:autoSpaceDN w:val="0"/>
        <w:adjustRightInd w:val="0"/>
        <w:spacing w:before="0" w:after="0" w:line="240" w:lineRule="auto"/>
        <w:rPr>
          <w:rFonts w:eastAsiaTheme="minorHAnsi" w:cs="Cambria"/>
          <w:color w:val="000000"/>
        </w:rPr>
      </w:pPr>
      <w:r w:rsidRPr="00551B39">
        <w:rPr>
          <w:rFonts w:eastAsiaTheme="minorHAnsi" w:cs="Cambria"/>
          <w:color w:val="000000"/>
        </w:rPr>
        <w:t>and had received intensive combination chemotherapy for treatment of ALL for initial treatment or subsequent salvage therapy; with greater than 5% blasts in bone marrow a</w:t>
      </w:r>
      <w:r>
        <w:rPr>
          <w:rFonts w:eastAsiaTheme="minorHAnsi" w:cs="Cambria"/>
          <w:color w:val="000000"/>
        </w:rPr>
        <w:t>nd ECOG performance status ≤ 2.</w:t>
      </w:r>
    </w:p>
    <w:p w14:paraId="215A7426" w14:textId="77777777" w:rsidR="00551B39" w:rsidRPr="00551B39" w:rsidRDefault="00551B39" w:rsidP="00551B39">
      <w:pPr>
        <w:autoSpaceDE w:val="0"/>
        <w:autoSpaceDN w:val="0"/>
        <w:adjustRightInd w:val="0"/>
        <w:spacing w:before="0" w:after="0" w:line="240" w:lineRule="auto"/>
        <w:rPr>
          <w:rFonts w:eastAsiaTheme="minorHAnsi" w:cs="Cambria"/>
          <w:color w:val="000000"/>
        </w:rPr>
      </w:pPr>
      <w:r w:rsidRPr="00551B39">
        <w:rPr>
          <w:rFonts w:eastAsiaTheme="minorHAnsi" w:cs="Cambria"/>
          <w:color w:val="000000"/>
        </w:rPr>
        <w:t xml:space="preserve">Patients were randomised to </w:t>
      </w:r>
      <w:proofErr w:type="spellStart"/>
      <w:r w:rsidRPr="00551B39">
        <w:rPr>
          <w:rFonts w:eastAsiaTheme="minorHAnsi" w:cs="Cambria"/>
          <w:color w:val="000000"/>
        </w:rPr>
        <w:t>blinatumomab</w:t>
      </w:r>
      <w:proofErr w:type="spellEnd"/>
      <w:r w:rsidRPr="00551B39">
        <w:rPr>
          <w:rFonts w:eastAsiaTheme="minorHAnsi" w:cs="Cambria"/>
          <w:color w:val="000000"/>
        </w:rPr>
        <w:t xml:space="preserve"> or 1 </w:t>
      </w:r>
      <w:r>
        <w:rPr>
          <w:rFonts w:eastAsiaTheme="minorHAnsi" w:cs="Cambria"/>
          <w:color w:val="000000"/>
        </w:rPr>
        <w:t>of 4 standard of care regimens.</w:t>
      </w:r>
    </w:p>
    <w:p w14:paraId="2626872F" w14:textId="77777777" w:rsidR="00551B39" w:rsidRDefault="00551B39">
      <w:pPr>
        <w:rPr>
          <w:rFonts w:eastAsiaTheme="minorHAnsi" w:cs="Cambria"/>
          <w:color w:val="000000"/>
        </w:rPr>
      </w:pPr>
      <w:proofErr w:type="spellStart"/>
      <w:r w:rsidRPr="00551B39">
        <w:rPr>
          <w:rFonts w:eastAsiaTheme="minorHAnsi" w:cs="Cambria"/>
          <w:color w:val="000000"/>
        </w:rPr>
        <w:t>Blinatumomab</w:t>
      </w:r>
      <w:proofErr w:type="spellEnd"/>
      <w:r w:rsidRPr="00551B39">
        <w:rPr>
          <w:rFonts w:eastAsiaTheme="minorHAnsi" w:cs="Cambria"/>
          <w:color w:val="000000"/>
        </w:rPr>
        <w:t xml:space="preserve"> was administered as induction, consolidation and maintenance phases</w:t>
      </w:r>
      <w:r>
        <w:rPr>
          <w:rFonts w:eastAsiaTheme="minorHAnsi" w:cs="Cambria"/>
          <w:color w:val="000000"/>
        </w:rPr>
        <w:t>.</w:t>
      </w:r>
    </w:p>
    <w:p w14:paraId="2F1CE473" w14:textId="7FAF224E" w:rsidR="00551B39" w:rsidRPr="00551B39" w:rsidRDefault="00551B39" w:rsidP="003060F6">
      <w:r w:rsidRPr="00551B39">
        <w:t xml:space="preserve">Efficacy of </w:t>
      </w:r>
      <w:proofErr w:type="spellStart"/>
      <w:r w:rsidRPr="00551B39">
        <w:t>blinatumomab</w:t>
      </w:r>
      <w:proofErr w:type="spellEnd"/>
      <w:r w:rsidRPr="00551B39">
        <w:t xml:space="preserve"> was assessed at a second interim analysis. Median OS was based on the trial </w:t>
      </w:r>
      <w:r w:rsidR="004D714C">
        <w:t>FAS</w:t>
      </w:r>
      <w:r w:rsidRPr="00551B39">
        <w:t xml:space="preserve"> demonstrating a median duration of OS of 7.7 months (95% CI 5.6, 9.6) in the </w:t>
      </w:r>
      <w:proofErr w:type="spellStart"/>
      <w:r w:rsidRPr="00551B39">
        <w:t>blinatumomab</w:t>
      </w:r>
      <w:proofErr w:type="spellEnd"/>
      <w:r w:rsidRPr="00551B39">
        <w:t xml:space="preserve"> arm and 4.0 months (95 % CI 2.9, 5.</w:t>
      </w:r>
      <w:r>
        <w:t>3) in the SOC chemotherapy arm.</w:t>
      </w:r>
    </w:p>
    <w:p w14:paraId="0274E978" w14:textId="77777777" w:rsidR="00551B39" w:rsidRPr="00551B39" w:rsidRDefault="00551B39">
      <w:r w:rsidRPr="00551B39">
        <w:t xml:space="preserve">The hazard ration of OS was 0.71 (95%CI 0.55, 0.93) favouring </w:t>
      </w:r>
      <w:proofErr w:type="spellStart"/>
      <w:r w:rsidRPr="00551B39">
        <w:t>blinatumomab</w:t>
      </w:r>
      <w:proofErr w:type="spellEnd"/>
      <w:r w:rsidRPr="00551B39">
        <w:t xml:space="preserve">. Point estimates of the hazard ration for pre-specified subgroups of age categorised at 35 years, receipt of prior salvage therapy and receipt of prior HSCT were consistent in favouring </w:t>
      </w:r>
      <w:proofErr w:type="spellStart"/>
      <w:r w:rsidRPr="00551B39">
        <w:t>blinatumomab</w:t>
      </w:r>
      <w:proofErr w:type="spellEnd"/>
      <w:r w:rsidRPr="00551B39">
        <w:t>.</w:t>
      </w:r>
    </w:p>
    <w:p w14:paraId="5A2D6454" w14:textId="77777777" w:rsidR="00A77E28" w:rsidRDefault="00A77E28" w:rsidP="00A77E28">
      <w:pPr>
        <w:pStyle w:val="Heading4"/>
      </w:pPr>
      <w:r>
        <w:t>Safety</w:t>
      </w:r>
    </w:p>
    <w:p w14:paraId="1A6ECC27" w14:textId="1A35688C" w:rsidR="00543F29" w:rsidRDefault="00543F29" w:rsidP="00543F29">
      <w:r w:rsidRPr="00543F29">
        <w:t xml:space="preserve">Pooled safety data for </w:t>
      </w:r>
      <w:proofErr w:type="spellStart"/>
      <w:r w:rsidRPr="00543F29">
        <w:t>blinatumomab</w:t>
      </w:r>
      <w:proofErr w:type="spellEnd"/>
      <w:r w:rsidRPr="00543F29">
        <w:t xml:space="preserve"> has been accumulated across studies for 843 adults </w:t>
      </w:r>
      <w:r w:rsidR="00A407C5">
        <w:t>and</w:t>
      </w:r>
      <w:r w:rsidRPr="00543F29">
        <w:t xml:space="preserve"> children with Philadelphia positive and negative ALL. TEAEs are reported for 837 of 843 patients (99.3%)</w:t>
      </w:r>
      <w:r w:rsidR="00551B39">
        <w:t>.</w:t>
      </w:r>
    </w:p>
    <w:p w14:paraId="279AB249" w14:textId="0F2C1D83" w:rsidR="00543F29" w:rsidRDefault="00811513" w:rsidP="003060F6">
      <w:pPr>
        <w:pStyle w:val="TableTitle"/>
      </w:pPr>
      <w:r>
        <w:lastRenderedPageBreak/>
        <w:t xml:space="preserve">Table </w:t>
      </w:r>
      <w:r w:rsidR="008C3197">
        <w:t>12</w:t>
      </w:r>
      <w:r w:rsidR="00A407C5">
        <w:t xml:space="preserve">: </w:t>
      </w:r>
      <w:r w:rsidR="00543F29" w:rsidRPr="00543F29">
        <w:t>Summary of TEAEs, drug interruptions and discontinuations</w:t>
      </w:r>
      <w:r w:rsidR="00A407C5">
        <w:t>;</w:t>
      </w:r>
      <w:r w:rsidR="00543F29" w:rsidRPr="00543F29">
        <w:t xml:space="preserve"> Pooled analyses (Safety analysis set)</w:t>
      </w:r>
    </w:p>
    <w:p w14:paraId="74B6643F" w14:textId="77777777" w:rsidR="00551B39" w:rsidRPr="00080712" w:rsidRDefault="00551B39" w:rsidP="003060F6">
      <w:r w:rsidRPr="00EE50C4">
        <w:rPr>
          <w:noProof/>
          <w:lang w:eastAsia="en-AU"/>
        </w:rPr>
        <w:drawing>
          <wp:inline distT="0" distB="0" distL="0" distR="0" wp14:anchorId="5A74C443" wp14:editId="4C9A2DFC">
            <wp:extent cx="5400040" cy="6633511"/>
            <wp:effectExtent l="0" t="0" r="0" b="0"/>
            <wp:docPr id="8" name="Picture 8" descr="Summary of TEAEs, drug interruptions and discontinuations; Pooled analyse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40" cy="6633511"/>
                    </a:xfrm>
                    <a:prstGeom prst="rect">
                      <a:avLst/>
                    </a:prstGeom>
                  </pic:spPr>
                </pic:pic>
              </a:graphicData>
            </a:graphic>
          </wp:inline>
        </w:drawing>
      </w:r>
    </w:p>
    <w:p w14:paraId="1430BAE7" w14:textId="77777777" w:rsidR="00A451AE" w:rsidRDefault="00A451AE" w:rsidP="00A451AE">
      <w:r w:rsidRPr="00B748AC">
        <w:t>The safety data arising from the studies presented in the current submission are consistent with the adverse event profile documented in the currently approved product</w:t>
      </w:r>
      <w:r w:rsidR="005573A3">
        <w:t xml:space="preserve"> </w:t>
      </w:r>
      <w:r w:rsidRPr="00B748AC">
        <w:t>information. No new safety signals have been identified since the last update to the product information.</w:t>
      </w:r>
    </w:p>
    <w:p w14:paraId="2C7EE6B1" w14:textId="77777777" w:rsidR="00551B39" w:rsidRDefault="003E14D8">
      <w:r>
        <w:t xml:space="preserve">Table </w:t>
      </w:r>
      <w:r w:rsidR="008C3197">
        <w:t>13</w:t>
      </w:r>
      <w:r w:rsidR="00551B39" w:rsidRPr="00551B39">
        <w:t xml:space="preserve"> presents the listing of TEAEs with an incidence of ≥10% across studies. While there are differences in incidence across categories of patient and disease type, there is a similarity between groups.</w:t>
      </w:r>
    </w:p>
    <w:p w14:paraId="1B64E5AD" w14:textId="77777777" w:rsidR="00551B39" w:rsidRDefault="003E14D8" w:rsidP="003060F6">
      <w:pPr>
        <w:pStyle w:val="TableTitle"/>
      </w:pPr>
      <w:r>
        <w:lastRenderedPageBreak/>
        <w:t>Table 1</w:t>
      </w:r>
      <w:r w:rsidR="008C3197">
        <w:t>3</w:t>
      </w:r>
      <w:r w:rsidR="00551B39">
        <w:t>: Incidence of TEAEs in ≥ 10% of subjects in any ALL population by Preferre</w:t>
      </w:r>
      <w:r>
        <w:t>d Term in descending frequency;</w:t>
      </w:r>
      <w:r w:rsidR="00551B39">
        <w:t xml:space="preserve"> Pooled analyses (Safety analysis set)</w:t>
      </w:r>
    </w:p>
    <w:p w14:paraId="08CBDB5E" w14:textId="77777777" w:rsidR="00551B39" w:rsidRDefault="00551B39">
      <w:r>
        <w:rPr>
          <w:noProof/>
          <w:lang w:eastAsia="en-AU"/>
        </w:rPr>
        <w:drawing>
          <wp:inline distT="0" distB="0" distL="0" distR="0" wp14:anchorId="51E2E8C0" wp14:editId="0907DD2D">
            <wp:extent cx="5086350" cy="7248525"/>
            <wp:effectExtent l="0" t="0" r="0" b="9525"/>
            <wp:docPr id="9" name="Picture 9" descr="Incidence of TEAEs in ≥ 10% of subjects in any ALL population by Preferred Term in descending frequency; Pooled analyse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086350" cy="7248525"/>
                    </a:xfrm>
                    <a:prstGeom prst="rect">
                      <a:avLst/>
                    </a:prstGeom>
                  </pic:spPr>
                </pic:pic>
              </a:graphicData>
            </a:graphic>
          </wp:inline>
        </w:drawing>
      </w:r>
    </w:p>
    <w:p w14:paraId="0FAB5D7F" w14:textId="77777777" w:rsidR="00551B39" w:rsidRDefault="003E14D8" w:rsidP="003060F6">
      <w:pPr>
        <w:pStyle w:val="TableTitle"/>
      </w:pPr>
      <w:r>
        <w:lastRenderedPageBreak/>
        <w:t>Table 1</w:t>
      </w:r>
      <w:r w:rsidR="008C3197">
        <w:t>3</w:t>
      </w:r>
      <w:r w:rsidR="00551B39">
        <w:t xml:space="preserve"> (continued): Incidence of TEAEs in ≥ 10% of subjects in any ALL population by Preferred Term in descending frequency – Pooled analyses (Safety analysis set)</w:t>
      </w:r>
    </w:p>
    <w:p w14:paraId="3C2E9B64" w14:textId="77777777" w:rsidR="00551B39" w:rsidRDefault="00551B39">
      <w:r>
        <w:rPr>
          <w:noProof/>
          <w:lang w:eastAsia="en-AU"/>
        </w:rPr>
        <w:drawing>
          <wp:inline distT="0" distB="0" distL="0" distR="0" wp14:anchorId="0DBCCF82" wp14:editId="1F715EA2">
            <wp:extent cx="5400040" cy="4255993"/>
            <wp:effectExtent l="0" t="0" r="0" b="0"/>
            <wp:docPr id="10" name="Picture 10" descr="Incidence of TEAEs in ≥ 10% of subjects in any ALL population by Preferred Term in descending frequency – Pooled analyse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00040" cy="4255993"/>
                    </a:xfrm>
                    <a:prstGeom prst="rect">
                      <a:avLst/>
                    </a:prstGeom>
                  </pic:spPr>
                </pic:pic>
              </a:graphicData>
            </a:graphic>
          </wp:inline>
        </w:drawing>
      </w:r>
    </w:p>
    <w:p w14:paraId="630C2564" w14:textId="77777777" w:rsidR="00551B39" w:rsidRPr="00551B39" w:rsidRDefault="00551B39" w:rsidP="003060F6">
      <w:pPr>
        <w:pStyle w:val="Heading3"/>
        <w:rPr>
          <w:rFonts w:eastAsiaTheme="minorHAnsi"/>
        </w:rPr>
      </w:pPr>
      <w:bookmarkStart w:id="109" w:name="_Toc22198193"/>
      <w:r>
        <w:rPr>
          <w:rFonts w:eastAsiaTheme="minorHAnsi"/>
        </w:rPr>
        <w:t>RMP evaluation</w:t>
      </w:r>
      <w:bookmarkEnd w:id="109"/>
    </w:p>
    <w:p w14:paraId="640353E7" w14:textId="72E32212" w:rsidR="00551B39" w:rsidRPr="00551B39" w:rsidRDefault="00551B39">
      <w:r w:rsidRPr="00551B39">
        <w:t xml:space="preserve">The RMP evaluation was supportive of registration, with no </w:t>
      </w:r>
      <w:r w:rsidR="001E481E" w:rsidRPr="00551B39">
        <w:t>additional</w:t>
      </w:r>
      <w:r w:rsidRPr="00551B39">
        <w:t xml:space="preserve"> pharmacovigilance or risk minimisation activities required or outstanding issues.</w:t>
      </w:r>
    </w:p>
    <w:p w14:paraId="6EB6B84E" w14:textId="77777777" w:rsidR="008E7846" w:rsidRDefault="00AA0ED0" w:rsidP="008E7846">
      <w:pPr>
        <w:pStyle w:val="Heading3"/>
      </w:pPr>
      <w:bookmarkStart w:id="110" w:name="_Toc22198194"/>
      <w:r>
        <w:t>Risk-benefit a</w:t>
      </w:r>
      <w:r w:rsidR="008E7846">
        <w:t>nalysis</w:t>
      </w:r>
      <w:bookmarkEnd w:id="105"/>
      <w:bookmarkEnd w:id="106"/>
      <w:bookmarkEnd w:id="110"/>
    </w:p>
    <w:p w14:paraId="72C97E0C" w14:textId="77777777" w:rsidR="00E60BB9" w:rsidRDefault="00E60BB9" w:rsidP="00E60BB9">
      <w:pPr>
        <w:pStyle w:val="Heading4"/>
      </w:pPr>
      <w:r>
        <w:t>Efficacy</w:t>
      </w:r>
    </w:p>
    <w:p w14:paraId="36F579FC" w14:textId="77777777" w:rsidR="00E60BB9" w:rsidRPr="00E60BB9" w:rsidRDefault="00E60BB9" w:rsidP="00E60BB9">
      <w:pPr>
        <w:pStyle w:val="Heading5"/>
      </w:pPr>
      <w:r w:rsidRPr="00E60BB9">
        <w:t>Philadelphia chromosome positive R/R ALL</w:t>
      </w:r>
    </w:p>
    <w:p w14:paraId="02559A7B" w14:textId="35A8F424" w:rsidR="00E60BB9" w:rsidRPr="00E60BB9" w:rsidRDefault="00E60BB9" w:rsidP="00E60BB9">
      <w:r w:rsidRPr="00E60BB9">
        <w:t xml:space="preserve">The Delegate considers the data arising from </w:t>
      </w:r>
      <w:r w:rsidR="0041756E">
        <w:t>Study</w:t>
      </w:r>
      <w:r w:rsidRPr="00E60BB9">
        <w:t xml:space="preserve"> 20120216 to be sufficient to remove the restriction of Philadelphia chromosome status from the currently approved indication. Given the data for this part of the indication arises from an open-label un</w:t>
      </w:r>
      <w:r w:rsidR="00EE50C4">
        <w:noBreakHyphen/>
      </w:r>
      <w:r w:rsidRPr="00E60BB9">
        <w:t xml:space="preserve">randomised </w:t>
      </w:r>
      <w:r w:rsidR="00713407">
        <w:t>Phase II</w:t>
      </w:r>
      <w:r w:rsidRPr="00E60BB9">
        <w:t xml:space="preserve"> study, the sponsor has proposed an additional statement in the indication reflecting this level of evidence. In the absence of a formal provisional approval mechanism, this is considered appropriate. Overall survival and 100</w:t>
      </w:r>
      <w:r w:rsidR="00A407C5">
        <w:t xml:space="preserve"> </w:t>
      </w:r>
      <w:r w:rsidRPr="00E60BB9">
        <w:t>day mortality are secondary end-points of this study and should be reported in a Category 1 submission to the TGA when available.</w:t>
      </w:r>
    </w:p>
    <w:p w14:paraId="291423AC" w14:textId="77777777" w:rsidR="00E60BB9" w:rsidRDefault="00E60BB9" w:rsidP="003060F6">
      <w:pPr>
        <w:pStyle w:val="Heading5"/>
      </w:pPr>
      <w:r>
        <w:t>MRD positive patients</w:t>
      </w:r>
    </w:p>
    <w:p w14:paraId="04A93FCD" w14:textId="06E1701B" w:rsidR="00E60BB9" w:rsidRDefault="00E60BB9" w:rsidP="00E60BB9">
      <w:r>
        <w:t>For patients with ALL, MRD is an intermediate, time-dependent parameter. The effect of MRD negativity depends on the phase of treatment</w:t>
      </w:r>
      <w:r w:rsidR="003060F6">
        <w:t>;</w:t>
      </w:r>
      <w:r>
        <w:t xml:space="preserve"> </w:t>
      </w:r>
      <w:r w:rsidR="00A407C5">
        <w:t>that is,</w:t>
      </w:r>
      <w:r>
        <w:t xml:space="preserve"> for a given patient population, </w:t>
      </w:r>
      <w:r>
        <w:lastRenderedPageBreak/>
        <w:t>the magnitude of survival benefit differs, for example, between the response to induction and consolidation treatment. Long-term survival also depends of the MRD cut-off designated at time of treatment; the degree of MRD considered in current clinical practice is 10</w:t>
      </w:r>
      <w:r w:rsidRPr="00045813">
        <w:rPr>
          <w:vertAlign w:val="superscript"/>
        </w:rPr>
        <w:t>-4</w:t>
      </w:r>
      <w:r>
        <w:t xml:space="preserve"> of 10</w:t>
      </w:r>
      <w:r w:rsidRPr="00045813">
        <w:rPr>
          <w:vertAlign w:val="superscript"/>
        </w:rPr>
        <w:t>-4.5.</w:t>
      </w:r>
      <w:r>
        <w:t xml:space="preserve"> The threshold of MRD of 10</w:t>
      </w:r>
      <w:r w:rsidRPr="00045813">
        <w:rPr>
          <w:vertAlign w:val="superscript"/>
        </w:rPr>
        <w:t>-3</w:t>
      </w:r>
      <w:r>
        <w:t xml:space="preserve"> utilised in </w:t>
      </w:r>
      <w:r w:rsidR="0041756E">
        <w:t>Study</w:t>
      </w:r>
      <w:r>
        <w:t xml:space="preserve"> MT103-203 is no longer considered the standard measure. In this study the majority of patients (83.6%) having values between ≥</w:t>
      </w:r>
      <w:r w:rsidR="00A407C5">
        <w:t xml:space="preserve"> </w:t>
      </w:r>
      <w:r>
        <w:t>10</w:t>
      </w:r>
      <w:r w:rsidRPr="00045813">
        <w:rPr>
          <w:vertAlign w:val="superscript"/>
        </w:rPr>
        <w:t>-3</w:t>
      </w:r>
      <w:r>
        <w:t xml:space="preserve"> and </w:t>
      </w:r>
      <w:r w:rsidR="00093C1B">
        <w:t xml:space="preserve">&lt; </w:t>
      </w:r>
      <w:r>
        <w:t>10</w:t>
      </w:r>
      <w:r w:rsidRPr="00045813">
        <w:rPr>
          <w:vertAlign w:val="superscript"/>
        </w:rPr>
        <w:t>-1</w:t>
      </w:r>
      <w:r>
        <w:t>. Of note, three patients had MRD of less than 10</w:t>
      </w:r>
      <w:r w:rsidRPr="00045813">
        <w:rPr>
          <w:vertAlign w:val="superscript"/>
        </w:rPr>
        <w:t>-3</w:t>
      </w:r>
      <w:r>
        <w:t xml:space="preserve"> at </w:t>
      </w:r>
      <w:r w:rsidR="00EE50C4">
        <w:t>B</w:t>
      </w:r>
      <w:r>
        <w:t>aseline.</w:t>
      </w:r>
    </w:p>
    <w:p w14:paraId="6C015C6F" w14:textId="77777777" w:rsidR="00E60BB9" w:rsidRDefault="00E60BB9" w:rsidP="00E60BB9">
      <w:r>
        <w:t>The achievement of ‘MRD negativity’ in this study was that below a value of 10</w:t>
      </w:r>
      <w:r w:rsidRPr="00045813">
        <w:rPr>
          <w:vertAlign w:val="superscript"/>
        </w:rPr>
        <w:t>-3</w:t>
      </w:r>
      <w:r>
        <w:t xml:space="preserve"> which is less stringent than achieving 10</w:t>
      </w:r>
      <w:r w:rsidRPr="00045813">
        <w:rPr>
          <w:vertAlign w:val="superscript"/>
        </w:rPr>
        <w:t>-4</w:t>
      </w:r>
      <w:r>
        <w:t xml:space="preserve">, which is the level defined in the currently approved </w:t>
      </w:r>
      <w:proofErr w:type="spellStart"/>
      <w:r>
        <w:t>blinatumomab</w:t>
      </w:r>
      <w:proofErr w:type="spellEnd"/>
      <w:r>
        <w:t xml:space="preserve"> PI for adult patients with ALL.</w:t>
      </w:r>
    </w:p>
    <w:p w14:paraId="0B43FAAD" w14:textId="77777777" w:rsidR="00E60BB9" w:rsidRDefault="00E60BB9" w:rsidP="00E60BB9">
      <w:r>
        <w:t xml:space="preserve">Despite this methodological limitation, the data demonstrates that treatment with </w:t>
      </w:r>
      <w:proofErr w:type="spellStart"/>
      <w:r>
        <w:t>blinatumomab</w:t>
      </w:r>
      <w:proofErr w:type="spellEnd"/>
      <w:r>
        <w:t xml:space="preserve"> enabled the majority of patients to proceed to HSCT. The OS data to date demonstrates the combined effect of </w:t>
      </w:r>
      <w:proofErr w:type="spellStart"/>
      <w:r>
        <w:t>blinatumomab</w:t>
      </w:r>
      <w:proofErr w:type="spellEnd"/>
      <w:r>
        <w:t xml:space="preserve"> and subsequent HSCT, yielding an approximately 18 month survival advantage for those who achieved MRD negativity.</w:t>
      </w:r>
    </w:p>
    <w:p w14:paraId="49F46523" w14:textId="3270CA40" w:rsidR="00E60BB9" w:rsidRDefault="00E60BB9" w:rsidP="00E60BB9">
      <w:r>
        <w:t xml:space="preserve">Study MT103-202 employed a more stringent definition of MRD positivity, but recruited a far smaller number of patients than </w:t>
      </w:r>
      <w:r w:rsidR="00EE50C4">
        <w:t xml:space="preserve">Study </w:t>
      </w:r>
      <w:r>
        <w:t>MT103-203.</w:t>
      </w:r>
    </w:p>
    <w:p w14:paraId="3FD8C296" w14:textId="77777777" w:rsidR="00E60BB9" w:rsidRDefault="00E60BB9" w:rsidP="006403AF">
      <w:pPr>
        <w:pStyle w:val="Heading5"/>
      </w:pPr>
      <w:r>
        <w:t>Philadelphia chromosome negative R/R ALL</w:t>
      </w:r>
    </w:p>
    <w:p w14:paraId="79ADCA48" w14:textId="73537992" w:rsidR="00E60BB9" w:rsidRDefault="00E60BB9" w:rsidP="00E60BB9">
      <w:r>
        <w:t xml:space="preserve">The overall survival data from </w:t>
      </w:r>
      <w:r w:rsidR="0041756E">
        <w:t>Study</w:t>
      </w:r>
      <w:r>
        <w:t xml:space="preserve"> 0010311 demonstrates a benefit of 3.7 months difference in favour of </w:t>
      </w:r>
      <w:proofErr w:type="spellStart"/>
      <w:r>
        <w:t>blinatumomab</w:t>
      </w:r>
      <w:proofErr w:type="spellEnd"/>
      <w:r>
        <w:t>. This degree of improvement is considered sufficient to remove the ‘note to indication’ for this use.</w:t>
      </w:r>
    </w:p>
    <w:p w14:paraId="1B362B89" w14:textId="77777777" w:rsidR="00E60BB9" w:rsidRDefault="00E60BB9" w:rsidP="00045813">
      <w:pPr>
        <w:pStyle w:val="Heading4"/>
      </w:pPr>
      <w:r>
        <w:t>Safety</w:t>
      </w:r>
    </w:p>
    <w:p w14:paraId="0830F885" w14:textId="77777777" w:rsidR="00E60BB9" w:rsidRDefault="00E60BB9" w:rsidP="00E60BB9">
      <w:r>
        <w:t xml:space="preserve">The cumulative data to date has satisfactorily demonstrated the adverse events profile of </w:t>
      </w:r>
      <w:proofErr w:type="spellStart"/>
      <w:r>
        <w:t>blinatumomab</w:t>
      </w:r>
      <w:proofErr w:type="spellEnd"/>
      <w:r>
        <w:t xml:space="preserve"> for 843 patients.</w:t>
      </w:r>
    </w:p>
    <w:p w14:paraId="59BAC04F" w14:textId="77777777" w:rsidR="00E60BB9" w:rsidRDefault="00E60BB9" w:rsidP="00E60BB9">
      <w:r>
        <w:t>The data presented in the current dossier has not yielded any additional adverse event signals.</w:t>
      </w:r>
    </w:p>
    <w:p w14:paraId="6C70872A" w14:textId="62C0B2AE" w:rsidR="00E60BB9" w:rsidRDefault="00E60BB9" w:rsidP="00E60BB9">
      <w:r>
        <w:t>The variation in incidence between treatment population sub-groups is likely due to the variation in exposure; the data has not been standardised for exposure.</w:t>
      </w:r>
    </w:p>
    <w:p w14:paraId="33FE48C0" w14:textId="77777777" w:rsidR="00E60BB9" w:rsidRDefault="00E60BB9" w:rsidP="00045813">
      <w:pPr>
        <w:pStyle w:val="Heading4"/>
      </w:pPr>
      <w:r>
        <w:t>RMP</w:t>
      </w:r>
    </w:p>
    <w:p w14:paraId="3D39B635" w14:textId="77777777" w:rsidR="00E60BB9" w:rsidRDefault="00E60BB9" w:rsidP="00BD3E7E">
      <w:r>
        <w:t>The RMP evaluation did not identify any issues that would preclude registration. The recommended wording of the RMP condition of registration is:</w:t>
      </w:r>
    </w:p>
    <w:p w14:paraId="6A0FDB87" w14:textId="3353DDAC" w:rsidR="00E60BB9" w:rsidRPr="00045813" w:rsidRDefault="00E60BB9" w:rsidP="00BD3E7E">
      <w:pPr>
        <w:pStyle w:val="ListBullet"/>
      </w:pPr>
      <w:r w:rsidRPr="00045813">
        <w:t xml:space="preserve">The </w:t>
      </w:r>
      <w:proofErr w:type="spellStart"/>
      <w:r w:rsidR="00093C1B">
        <w:t>B</w:t>
      </w:r>
      <w:r w:rsidR="00093C1B" w:rsidRPr="00045813">
        <w:t>lincyto</w:t>
      </w:r>
      <w:proofErr w:type="spellEnd"/>
      <w:r w:rsidRPr="00045813">
        <w:t xml:space="preserve"> EU-Risk Management Plan (RMP) (version 4.0, dated 21 February 2017, data lock point 2 December 2016), with Australian Specific Annex (version 7.0, dated 4</w:t>
      </w:r>
      <w:r w:rsidR="00EE50C4">
        <w:t> </w:t>
      </w:r>
      <w:r w:rsidRPr="00045813">
        <w:t>December 2017), included with submission PM-2017-01431-1-4, and any subsequent revisions, as agreed with the TGA wi</w:t>
      </w:r>
      <w:r w:rsidR="00BD3E7E">
        <w:t>ll be implemented in Australia.</w:t>
      </w:r>
    </w:p>
    <w:p w14:paraId="7D65C6CC" w14:textId="77777777" w:rsidR="00E60BB9" w:rsidRDefault="00E60BB9" w:rsidP="00E60BB9">
      <w:r>
        <w:t>The wording recommended for the PSUR requirement is:</w:t>
      </w:r>
    </w:p>
    <w:p w14:paraId="44886A82" w14:textId="336BE654" w:rsidR="00E60BB9" w:rsidRPr="00045813" w:rsidRDefault="00E60BB9" w:rsidP="006403AF">
      <w:pPr>
        <w:ind w:left="720"/>
      </w:pPr>
      <w:r w:rsidRPr="00045813">
        <w:t>An obligatory component of risk management plans is routine pharmacovigilance. Routine pharmacovigilance includes the submission of Periodic Safety Update Reports (PSURs).</w:t>
      </w:r>
    </w:p>
    <w:p w14:paraId="406AD45E" w14:textId="77777777" w:rsidR="00E60BB9" w:rsidRPr="00045813" w:rsidRDefault="00E60BB9" w:rsidP="006403AF">
      <w:pPr>
        <w:ind w:left="720"/>
      </w:pPr>
      <w:r w:rsidRPr="00045813">
        <w:t>Reports are to be provided in line with the current published list of EU reference dates and frequency of submission of PSURs until the period covered by such reports is not less than three years from the date of this approval letter.</w:t>
      </w:r>
    </w:p>
    <w:p w14:paraId="5D61FD80" w14:textId="77777777" w:rsidR="00E60BB9" w:rsidRPr="00045813" w:rsidRDefault="00E60BB9" w:rsidP="006403AF">
      <w:pPr>
        <w:ind w:left="720"/>
      </w:pPr>
      <w:r w:rsidRPr="00045813">
        <w:t xml:space="preserve">The reports are to at least meet the requirements for PSURs as described in the European Medicines Agency’s Guideline on good pharmacovigilance practices (GVP) Module VII- Periodic Safety Update Report (Rev 1), Part VII.B Structures and </w:t>
      </w:r>
      <w:r w:rsidRPr="00045813">
        <w:lastRenderedPageBreak/>
        <w:t>processes. Note that submission of a PSUR does not constitute an application to vary the registration. Each report must have been prepared within ninety calendar days of the data lock point for that report.</w:t>
      </w:r>
    </w:p>
    <w:p w14:paraId="13471229" w14:textId="77777777" w:rsidR="00E60BB9" w:rsidRPr="00BD3E7E" w:rsidRDefault="00E60BB9" w:rsidP="00E60BB9">
      <w:pPr>
        <w:rPr>
          <w:b/>
        </w:rPr>
      </w:pPr>
      <w:r w:rsidRPr="00BD3E7E">
        <w:rPr>
          <w:b/>
        </w:rPr>
        <w:t>Indication</w:t>
      </w:r>
    </w:p>
    <w:p w14:paraId="28906FA2" w14:textId="7B69F89C" w:rsidR="00E60BB9" w:rsidRDefault="00E60BB9" w:rsidP="00E60BB9">
      <w:r>
        <w:t xml:space="preserve">The </w:t>
      </w:r>
      <w:r w:rsidR="0041756E">
        <w:t>sponsor</w:t>
      </w:r>
      <w:r>
        <w:t xml:space="preserve"> proposed the wording of the indication in their response to be:</w:t>
      </w:r>
    </w:p>
    <w:p w14:paraId="4817714B" w14:textId="77777777" w:rsidR="00E60BB9" w:rsidRPr="006403AF" w:rsidRDefault="00E60BB9" w:rsidP="006403AF">
      <w:pPr>
        <w:ind w:left="720"/>
        <w:rPr>
          <w:i/>
        </w:rPr>
      </w:pPr>
      <w:proofErr w:type="spellStart"/>
      <w:r w:rsidRPr="006403AF">
        <w:rPr>
          <w:i/>
        </w:rPr>
        <w:t>Blincyto</w:t>
      </w:r>
      <w:proofErr w:type="spellEnd"/>
      <w:r w:rsidRPr="006403AF">
        <w:rPr>
          <w:i/>
        </w:rPr>
        <w:t xml:space="preserve"> is indicated for the treatment of relapsed or refractory B-cell precursor acute lymphoblastic leukaemia (ALL).</w:t>
      </w:r>
    </w:p>
    <w:p w14:paraId="4662231C" w14:textId="77777777" w:rsidR="00E60BB9" w:rsidRPr="006403AF" w:rsidRDefault="00E60BB9" w:rsidP="006403AF">
      <w:pPr>
        <w:ind w:left="720"/>
        <w:rPr>
          <w:i/>
        </w:rPr>
      </w:pPr>
      <w:proofErr w:type="spellStart"/>
      <w:r w:rsidRPr="006403AF">
        <w:rPr>
          <w:i/>
        </w:rPr>
        <w:t>Blincyto</w:t>
      </w:r>
      <w:proofErr w:type="spellEnd"/>
      <w:r w:rsidRPr="006403AF">
        <w:rPr>
          <w:i/>
        </w:rPr>
        <w:t xml:space="preserve"> is indicated for the treatment of minimal residual disease (MRD) positive B-cell precursor acute lymphoblastic leukaemia (ALL) in patients in complete haematological remission.</w:t>
      </w:r>
    </w:p>
    <w:p w14:paraId="3DE9D359" w14:textId="77777777" w:rsidR="00E60BB9" w:rsidRPr="006403AF" w:rsidRDefault="00E60BB9" w:rsidP="006403AF">
      <w:pPr>
        <w:ind w:left="720"/>
        <w:rPr>
          <w:i/>
        </w:rPr>
      </w:pPr>
      <w:r w:rsidRPr="006403AF">
        <w:rPr>
          <w:i/>
        </w:rPr>
        <w:t>Note to indication: the indications in Philadelphia positive, MRD positive and paediatric patients were approved based on phase II, non-randomised evidence. An improvement in clinical outcomes by direct prospective comparison in a randomised setting relative to other standard-of-care salvage therapies has not been established.</w:t>
      </w:r>
    </w:p>
    <w:p w14:paraId="4E5DBF91" w14:textId="77777777" w:rsidR="00E60BB9" w:rsidRDefault="00E60BB9" w:rsidP="00E60BB9">
      <w:r>
        <w:t>The Delegate awaits the advice of the Committee.</w:t>
      </w:r>
    </w:p>
    <w:p w14:paraId="7D8B0D64" w14:textId="77777777" w:rsidR="00E60BB9" w:rsidRDefault="00E60BB9" w:rsidP="00045813">
      <w:pPr>
        <w:pStyle w:val="Heading5"/>
      </w:pPr>
      <w:r>
        <w:t>Conditions of registration</w:t>
      </w:r>
    </w:p>
    <w:p w14:paraId="5A8DAEDC" w14:textId="77777777" w:rsidR="00E54805" w:rsidRPr="00E54805" w:rsidRDefault="00E60BB9" w:rsidP="00E60BB9">
      <w:r>
        <w:t>Should the Committee endorse the proposed changes to the indications, provision of confirmatory data to support the use in MRD positive patients and Philadelphia chromosome positive patients, the ‘note to the indication’ should remain until sufficient confirmatory data is presented to the TGA as Category 1 submissions.</w:t>
      </w:r>
    </w:p>
    <w:p w14:paraId="087A1FBE" w14:textId="00E7738B" w:rsidR="00D23139" w:rsidRDefault="005E3131" w:rsidP="00D23139">
      <w:pPr>
        <w:pStyle w:val="Heading4"/>
      </w:pPr>
      <w:r>
        <w:t>Delegate’s considerations</w:t>
      </w:r>
    </w:p>
    <w:p w14:paraId="50206C20" w14:textId="1706FFB3" w:rsidR="001E781C" w:rsidRPr="0045538E" w:rsidRDefault="0045538E" w:rsidP="0045538E">
      <w:r w:rsidRPr="0045538E">
        <w:t xml:space="preserve">The submission proposes to extend the indication to include the treatment of MRD positive pre-B ALL. The data to support this indication is immature. Of the two studies presented, that with the largest number of patients, </w:t>
      </w:r>
      <w:r w:rsidR="00EE50C4">
        <w:t xml:space="preserve">Study </w:t>
      </w:r>
      <w:r w:rsidRPr="0045538E">
        <w:t>MT103-203, is not primarily designed to demonstrate overall or progression-free survival.</w:t>
      </w:r>
    </w:p>
    <w:p w14:paraId="06E0F8FF" w14:textId="77777777" w:rsidR="00D23139" w:rsidRDefault="00D23139" w:rsidP="00D23139">
      <w:pPr>
        <w:pStyle w:val="Heading4"/>
      </w:pPr>
      <w:r w:rsidRPr="00D23139">
        <w:t>Proposed action</w:t>
      </w:r>
    </w:p>
    <w:p w14:paraId="7FBCFB4A" w14:textId="77777777" w:rsidR="00E60BB9" w:rsidRPr="00E60BB9" w:rsidRDefault="00E60BB9" w:rsidP="00E60BB9">
      <w:r w:rsidRPr="00E60BB9">
        <w:t>The Delegate considers the data presented to satisfactorily extend the indication to include Philadelphia chromosome positive patients.</w:t>
      </w:r>
    </w:p>
    <w:p w14:paraId="10014FFB" w14:textId="024D5715" w:rsidR="00D23139" w:rsidRDefault="00D23139" w:rsidP="00D23139">
      <w:pPr>
        <w:pStyle w:val="Heading4"/>
      </w:pPr>
      <w:r w:rsidRPr="00D23139">
        <w:t>Request for ACM advice</w:t>
      </w:r>
    </w:p>
    <w:p w14:paraId="1D65FAAC" w14:textId="77777777" w:rsidR="00914A21" w:rsidRPr="00914A21" w:rsidRDefault="00914A21" w:rsidP="006403AF">
      <w:pPr>
        <w:pStyle w:val="Numberbullet0"/>
      </w:pPr>
      <w:r w:rsidRPr="00914A21">
        <w:t>What is the opinion of the Committee in regards to the proposed extension of indication to include the treatment of minimal residual disease (MRD) positive B-cell precursor acute lymphoblastic leukaemia given the data presented in the two submitted studies, in regard to</w:t>
      </w:r>
      <w:r>
        <w:t>:</w:t>
      </w:r>
    </w:p>
    <w:p w14:paraId="6C4E4B95" w14:textId="77777777" w:rsidR="00914A21" w:rsidRPr="00914A21" w:rsidRDefault="00914A21" w:rsidP="006403AF">
      <w:pPr>
        <w:pStyle w:val="Numberbullet2"/>
      </w:pPr>
      <w:r w:rsidRPr="00914A21">
        <w:t>The criteria used to determine MRD status</w:t>
      </w:r>
    </w:p>
    <w:p w14:paraId="12B68EB0" w14:textId="77777777" w:rsidR="00914A21" w:rsidRPr="00914A21" w:rsidRDefault="00914A21" w:rsidP="006403AF">
      <w:pPr>
        <w:pStyle w:val="Numberbullet2"/>
      </w:pPr>
      <w:r w:rsidRPr="00914A21">
        <w:t xml:space="preserve">The ability of the two studies to satisfactorily determine a longer-term efficacy benefit of </w:t>
      </w:r>
      <w:proofErr w:type="spellStart"/>
      <w:r w:rsidRPr="00914A21">
        <w:t>blinatumomab</w:t>
      </w:r>
      <w:proofErr w:type="spellEnd"/>
    </w:p>
    <w:p w14:paraId="008CBDA6" w14:textId="6C126B09" w:rsidR="001E781C" w:rsidRPr="00914A21" w:rsidRDefault="00A407C5" w:rsidP="006403AF">
      <w:pPr>
        <w:pStyle w:val="ListBullet"/>
        <w:numPr>
          <w:ilvl w:val="0"/>
          <w:numId w:val="0"/>
        </w:numPr>
        <w:ind w:left="360"/>
      </w:pPr>
      <w:r>
        <w:t>The Committee is requested to provide advice on a</w:t>
      </w:r>
      <w:r w:rsidR="00914A21" w:rsidRPr="00914A21">
        <w:t>ny other issues the Committee consider appropriate</w:t>
      </w:r>
      <w:r>
        <w:t>.</w:t>
      </w:r>
    </w:p>
    <w:p w14:paraId="32543643" w14:textId="0D88E216" w:rsidR="00D23139" w:rsidRDefault="00D23139" w:rsidP="00D23139">
      <w:pPr>
        <w:pStyle w:val="Heading4"/>
      </w:pPr>
      <w:r w:rsidRPr="00D23139">
        <w:lastRenderedPageBreak/>
        <w:t xml:space="preserve">Response from </w:t>
      </w:r>
      <w:r w:rsidR="0041756E">
        <w:t>sponsor</w:t>
      </w:r>
    </w:p>
    <w:p w14:paraId="63B28194" w14:textId="57560D52" w:rsidR="00E96D57" w:rsidRDefault="00E96D57" w:rsidP="004B37F4">
      <w:pPr>
        <w:pStyle w:val="Heading5"/>
      </w:pPr>
      <w:r w:rsidRPr="00E96D57">
        <w:t xml:space="preserve">Section A: Questions </w:t>
      </w:r>
      <w:r w:rsidR="00EE50C4">
        <w:t>r</w:t>
      </w:r>
      <w:r w:rsidRPr="00E96D57">
        <w:t>aised for the ACM</w:t>
      </w:r>
    </w:p>
    <w:p w14:paraId="5221FCEB" w14:textId="77777777" w:rsidR="00E96D57" w:rsidRDefault="00E96D57" w:rsidP="00E96D57">
      <w:r>
        <w:t xml:space="preserve">The Delegate has requested the ACM’s opinion on the proposal to extend the indication to include the treatment of minimal residual disease (MRD) positive pre-B ALL given the data presented in the submission, particularly the criteria used to determine MRD status and the ability of the two submitted studies to determine a longer-term efficacy benefit of </w:t>
      </w:r>
      <w:proofErr w:type="spellStart"/>
      <w:r>
        <w:t>blinatumomab</w:t>
      </w:r>
      <w:proofErr w:type="spellEnd"/>
      <w:r>
        <w:t>.</w:t>
      </w:r>
    </w:p>
    <w:p w14:paraId="371C4329" w14:textId="0E2652E6" w:rsidR="00E96D57" w:rsidRDefault="00E96D57" w:rsidP="00E96D57">
      <w:r>
        <w:t xml:space="preserve">ALL is a rare aggressive cancer of the bone marrow. Nearly 50% of adult patients and 25% of paediatric patients with B-cell ALL eventually experience relapse or are refractory to initial treatment. The presence of MRD after induction or consolidation chemotherapy is the most important risk factor for </w:t>
      </w:r>
      <w:proofErr w:type="spellStart"/>
      <w:r>
        <w:t>haematologic</w:t>
      </w:r>
      <w:proofErr w:type="spellEnd"/>
      <w:r>
        <w:t xml:space="preserve"> relapse in adult and paediatric patients with ALL. Allogeneic haematopoietic stem cell transplant (HSCT) is the only available treatment option for patients with MRD-positive ALL, but the outcome is far from optimal. Patients with MRD- positive disease may relapse while waiting for HSCT, and those who are</w:t>
      </w:r>
      <w:r w:rsidR="00A407C5">
        <w:t xml:space="preserve"> </w:t>
      </w:r>
      <w:r>
        <w:t>MRD-positive prior to HSCT have worse outcomes compared to patients who are MRD-negative prior to HSCT.</w:t>
      </w:r>
    </w:p>
    <w:p w14:paraId="52493F8E" w14:textId="77777777" w:rsidR="00E96D57" w:rsidRDefault="00E96D57" w:rsidP="00E96D57">
      <w:r>
        <w:t xml:space="preserve">The current submission demonstrates a complete MRD response was achieved rapidly within 1 cycle of </w:t>
      </w:r>
      <w:proofErr w:type="spellStart"/>
      <w:r>
        <w:t>blinatumomab</w:t>
      </w:r>
      <w:proofErr w:type="spellEnd"/>
      <w:r>
        <w:t xml:space="preserve"> treatment and improved rates of RFS and OS were observed for subjects after achieving a complete MRD response.</w:t>
      </w:r>
    </w:p>
    <w:p w14:paraId="5F18053F" w14:textId="77777777" w:rsidR="00E96D57" w:rsidRDefault="00E96D57" w:rsidP="00E96D57">
      <w:proofErr w:type="spellStart"/>
      <w:r>
        <w:t>Blinatumomab</w:t>
      </w:r>
      <w:proofErr w:type="spellEnd"/>
      <w:r>
        <w:t xml:space="preserve"> treatment improved RFS and OS in subjects across all ages studied, regardless of remission status and Philadelphia chromosome status, and allowed eligible subjects time to receive an allogeneic HSCT while in remission from ALL. Thus, it is reasonably likely that patients with MRD, which is also a direct measure of disease burden, can achieve long-term benefits from a therapy such as </w:t>
      </w:r>
      <w:proofErr w:type="spellStart"/>
      <w:r>
        <w:t>blinatumomab</w:t>
      </w:r>
      <w:proofErr w:type="spellEnd"/>
      <w:r>
        <w:t xml:space="preserve"> that dramatically reduces their </w:t>
      </w:r>
      <w:proofErr w:type="spellStart"/>
      <w:r>
        <w:t>leukaemic</w:t>
      </w:r>
      <w:proofErr w:type="spellEnd"/>
      <w:r>
        <w:t xml:space="preserve"> tumour burden and converts them to a state of MRD negativity.</w:t>
      </w:r>
    </w:p>
    <w:p w14:paraId="378E39D9" w14:textId="593714CE" w:rsidR="00E96D57" w:rsidRPr="007B79C4" w:rsidRDefault="00E96D57" w:rsidP="007B79C4">
      <w:r>
        <w:t>At the time of the initial protocol development for Study MT103-203 in 2010, MRD detection methods included flow cytometry with sensitivity estimated to be in the range of 10-</w:t>
      </w:r>
      <w:r w:rsidRPr="00E96D57">
        <w:rPr>
          <w:vertAlign w:val="superscript"/>
        </w:rPr>
        <w:t>3</w:t>
      </w:r>
      <w:r>
        <w:t xml:space="preserve"> to 10</w:t>
      </w:r>
      <w:r w:rsidRPr="00E96D57">
        <w:rPr>
          <w:vertAlign w:val="superscript"/>
        </w:rPr>
        <w:t>-4</w:t>
      </w:r>
      <w:r>
        <w:t xml:space="preserve"> and real-time quantitative </w:t>
      </w:r>
      <w:r w:rsidR="00EB0B1E">
        <w:t>polymerase chain reaction (</w:t>
      </w:r>
      <w:r>
        <w:t>PCR</w:t>
      </w:r>
      <w:r w:rsidR="00EB0B1E">
        <w:t>)</w:t>
      </w:r>
      <w:r>
        <w:t xml:space="preserve"> with an assay detection limit of 10</w:t>
      </w:r>
      <w:r w:rsidRPr="00E96D57">
        <w:rPr>
          <w:vertAlign w:val="superscript"/>
        </w:rPr>
        <w:t>-4</w:t>
      </w:r>
      <w:r>
        <w:t>. In Study MT103-203, a conservative definition of MRD positivity, using a</w:t>
      </w:r>
      <w:r w:rsidRPr="00E96D57">
        <w:t xml:space="preserve"> level of ≥</w:t>
      </w:r>
      <w:r w:rsidR="00A407C5">
        <w:t xml:space="preserve"> </w:t>
      </w:r>
      <w:r w:rsidRPr="00E96D57">
        <w:t>1 x 10</w:t>
      </w:r>
      <w:r w:rsidRPr="00E96D57">
        <w:rPr>
          <w:vertAlign w:val="superscript"/>
        </w:rPr>
        <w:t>-3</w:t>
      </w:r>
      <w:r w:rsidRPr="00E96D57">
        <w:t>, was chosen as an enrolment criterion to account for the sensitivities of the available assays, and the cut-off of ≥</w:t>
      </w:r>
      <w:r w:rsidR="00093C1B">
        <w:t xml:space="preserve"> </w:t>
      </w:r>
      <w:r w:rsidRPr="00E96D57">
        <w:t>10</w:t>
      </w:r>
      <w:r w:rsidRPr="00E96D57">
        <w:rPr>
          <w:vertAlign w:val="superscript"/>
        </w:rPr>
        <w:t>-3</w:t>
      </w:r>
      <w:r w:rsidRPr="00E96D57">
        <w:t xml:space="preserve"> ensured an adequate degree of tumour load reduction to reliably measure response (</w:t>
      </w:r>
      <w:r w:rsidR="00A407C5">
        <w:t>that is,</w:t>
      </w:r>
      <w:r w:rsidRPr="00E96D57">
        <w:t xml:space="preserve"> at least 10 fold tumour load reduction from 10</w:t>
      </w:r>
      <w:r w:rsidRPr="00E96D57">
        <w:rPr>
          <w:vertAlign w:val="superscript"/>
        </w:rPr>
        <w:t>-3</w:t>
      </w:r>
      <w:r w:rsidRPr="00E96D57">
        <w:t xml:space="preserve"> to 10</w:t>
      </w:r>
      <w:r w:rsidRPr="00E96D57">
        <w:rPr>
          <w:vertAlign w:val="superscript"/>
        </w:rPr>
        <w:t>-4</w:t>
      </w:r>
      <w:r w:rsidRPr="00E96D57">
        <w:t xml:space="preserve">). </w:t>
      </w:r>
      <w:r w:rsidRPr="007B79C4">
        <w:t>Additionally, the literature supported that MRD at 10</w:t>
      </w:r>
      <w:r w:rsidRPr="007B79C4">
        <w:rPr>
          <w:vertAlign w:val="superscript"/>
        </w:rPr>
        <w:t>-3</w:t>
      </w:r>
      <w:r w:rsidRPr="007B79C4">
        <w:t xml:space="preserve"> identified patients with higher risk.</w:t>
      </w:r>
    </w:p>
    <w:p w14:paraId="664E0C40" w14:textId="31260AFD" w:rsidR="00E96D57" w:rsidRPr="007B79C4" w:rsidRDefault="00E96D57" w:rsidP="007B79C4">
      <w:r w:rsidRPr="007B79C4">
        <w:t xml:space="preserve">The current </w:t>
      </w:r>
      <w:r w:rsidR="00EB0B1E">
        <w:t>National Comprehensive Cancer Network</w:t>
      </w:r>
      <w:r w:rsidR="00EB0B1E" w:rsidRPr="007B79C4">
        <w:t xml:space="preserve"> </w:t>
      </w:r>
      <w:r w:rsidR="00EB0B1E">
        <w:t>(</w:t>
      </w:r>
      <w:r w:rsidRPr="007B79C4">
        <w:t>NCCN</w:t>
      </w:r>
      <w:r w:rsidR="00EB0B1E">
        <w:t>)</w:t>
      </w:r>
      <w:r w:rsidRPr="007B79C4">
        <w:t xml:space="preserve"> guidelines do not define a specific threshold for MRD positivity but note that MRD positivity can be detected with flow cytometry or PCR methods with a minimum sensitivity of </w:t>
      </w:r>
      <w:r w:rsidR="00093C1B">
        <w:t xml:space="preserve">&lt; </w:t>
      </w:r>
      <w:r w:rsidRPr="007B79C4">
        <w:t>1 x 10</w:t>
      </w:r>
      <w:r w:rsidRPr="007B79C4">
        <w:rPr>
          <w:vertAlign w:val="superscript"/>
        </w:rPr>
        <w:t>-4</w:t>
      </w:r>
      <w:r w:rsidRPr="007B79C4">
        <w:t>. The definition of MRD positivity is continually evolving as assessment techniques become more sensitive. As noted by the Delegate, current clinical practice considers MRD positivity as 1 x 10</w:t>
      </w:r>
      <w:r w:rsidRPr="007B79C4">
        <w:rPr>
          <w:vertAlign w:val="superscript"/>
        </w:rPr>
        <w:t>-4</w:t>
      </w:r>
      <w:r w:rsidRPr="007B79C4">
        <w:t>.</w:t>
      </w:r>
      <w:r w:rsidR="007B79C4" w:rsidRPr="007B79C4">
        <w:t xml:space="preserve"> </w:t>
      </w:r>
      <w:r w:rsidRPr="007B79C4">
        <w:t>MRD at levels of 10</w:t>
      </w:r>
      <w:r w:rsidRPr="007B79C4">
        <w:rPr>
          <w:vertAlign w:val="superscript"/>
        </w:rPr>
        <w:t>-4</w:t>
      </w:r>
      <w:r w:rsidRPr="007B79C4">
        <w:t xml:space="preserve"> or higher is an indicator of poor prognosis that is supported by a strong body of medical evidence. Data available suggests that any level of MRD is associated with a poorer long-term outcome for ALL patients.</w:t>
      </w:r>
    </w:p>
    <w:p w14:paraId="5B38EBF5" w14:textId="1557BB31" w:rsidR="00E96D57" w:rsidRPr="007B79C4" w:rsidRDefault="00E96D57" w:rsidP="007B79C4">
      <w:r w:rsidRPr="007B79C4">
        <w:t xml:space="preserve">MRD positivity at </w:t>
      </w:r>
      <w:r w:rsidR="00093C1B">
        <w:t xml:space="preserve">&gt; </w:t>
      </w:r>
      <w:r w:rsidRPr="007B79C4">
        <w:t>1 x 10</w:t>
      </w:r>
      <w:r w:rsidRPr="007B79C4">
        <w:rPr>
          <w:vertAlign w:val="superscript"/>
        </w:rPr>
        <w:t>-4</w:t>
      </w:r>
      <w:r w:rsidRPr="007B79C4">
        <w:t xml:space="preserve"> is an appropriate cut-off for identifying an MRD- positive population at high risk for relapse based on the totality of the available data, published literature, current treatment guidelines, and availability of assays with a minimum sensitivity of </w:t>
      </w:r>
      <w:r w:rsidR="00093C1B">
        <w:t xml:space="preserve">&lt; </w:t>
      </w:r>
      <w:r w:rsidRPr="007B79C4">
        <w:t>1 x 10</w:t>
      </w:r>
      <w:r w:rsidRPr="007B79C4">
        <w:rPr>
          <w:vertAlign w:val="superscript"/>
        </w:rPr>
        <w:t>-4</w:t>
      </w:r>
      <w:r w:rsidRPr="007B79C4">
        <w:t>. Data derived using the ≥</w:t>
      </w:r>
      <w:r w:rsidR="00A407C5">
        <w:t xml:space="preserve"> </w:t>
      </w:r>
      <w:r w:rsidRPr="007B79C4">
        <w:t>10</w:t>
      </w:r>
      <w:r w:rsidRPr="007B79C4">
        <w:rPr>
          <w:vertAlign w:val="superscript"/>
        </w:rPr>
        <w:t>-3</w:t>
      </w:r>
      <w:r w:rsidRPr="007B79C4">
        <w:t xml:space="preserve"> cut-off in Study MT103-203 are directly relevant for evaluation of patients today identified as MRD-positive using current MRD assays that have minimum sensitivity of</w:t>
      </w:r>
      <w:r w:rsidR="007B79C4" w:rsidRPr="007B79C4">
        <w:t xml:space="preserve"> </w:t>
      </w:r>
      <w:r w:rsidR="00093C1B">
        <w:t xml:space="preserve">&lt; </w:t>
      </w:r>
      <w:r w:rsidRPr="007B79C4">
        <w:t>1</w:t>
      </w:r>
      <w:r w:rsidR="00A407C5">
        <w:t xml:space="preserve"> </w:t>
      </w:r>
      <w:r w:rsidRPr="007B79C4">
        <w:t>x</w:t>
      </w:r>
      <w:r w:rsidR="00A407C5">
        <w:t xml:space="preserve"> </w:t>
      </w:r>
      <w:r w:rsidRPr="007B79C4">
        <w:t>10</w:t>
      </w:r>
      <w:r w:rsidRPr="007B79C4">
        <w:rPr>
          <w:vertAlign w:val="superscript"/>
        </w:rPr>
        <w:t>-4</w:t>
      </w:r>
      <w:r w:rsidRPr="007B79C4">
        <w:t xml:space="preserve">. The findings of Study MT103-203 can reasonably be extrapolated to patients who are classed as MRD positive but with MRD </w:t>
      </w:r>
      <w:r w:rsidRPr="007B79C4">
        <w:lastRenderedPageBreak/>
        <w:t>levels below 10</w:t>
      </w:r>
      <w:r w:rsidRPr="007B79C4">
        <w:rPr>
          <w:vertAlign w:val="superscript"/>
        </w:rPr>
        <w:t>-3</w:t>
      </w:r>
      <w:r w:rsidRPr="007B79C4">
        <w:t xml:space="preserve">. The results of Study MT103-202 and the historical comparator </w:t>
      </w:r>
      <w:r w:rsidR="0041756E">
        <w:t>Study</w:t>
      </w:r>
      <w:r w:rsidRPr="007B79C4">
        <w:t>,</w:t>
      </w:r>
      <w:r w:rsidR="00A407C5">
        <w:t> </w:t>
      </w:r>
      <w:r w:rsidRPr="007B79C4">
        <w:t>20120148, support this conclusion.</w:t>
      </w:r>
    </w:p>
    <w:p w14:paraId="31C107BF" w14:textId="23BCD8FA" w:rsidR="007B79C4" w:rsidRPr="007B79C4" w:rsidRDefault="00E96D57" w:rsidP="007B79C4">
      <w:r w:rsidRPr="007B79C4">
        <w:t>The primary endpoint in Study MT103-203 was a reduction in MRD level to undetectable using an assay with a minimum sensitivity of 10</w:t>
      </w:r>
      <w:r w:rsidRPr="007B79C4">
        <w:rPr>
          <w:vertAlign w:val="superscript"/>
        </w:rPr>
        <w:t>-4</w:t>
      </w:r>
      <w:r w:rsidRPr="007B79C4">
        <w:t xml:space="preserve"> after one cycle of treatment with </w:t>
      </w:r>
      <w:proofErr w:type="spellStart"/>
      <w:r w:rsidRPr="007B79C4">
        <w:t>blinatumomab</w:t>
      </w:r>
      <w:proofErr w:type="spellEnd"/>
      <w:r w:rsidRPr="007B79C4">
        <w:t xml:space="preserve"> (in the full analysis set, complete MRD response was achieved within the first cycle in 77.9% of subjects; response rate to </w:t>
      </w:r>
      <w:proofErr w:type="spellStart"/>
      <w:r w:rsidRPr="007B79C4">
        <w:t>blinatumomab</w:t>
      </w:r>
      <w:proofErr w:type="spellEnd"/>
      <w:r w:rsidRPr="007B79C4">
        <w:t xml:space="preserve"> did not vary significantly according to baseline MRD level). With the enrolment criterion of an MRD level of ≥</w:t>
      </w:r>
      <w:r w:rsidR="00A407C5">
        <w:t xml:space="preserve"> </w:t>
      </w:r>
      <w:r w:rsidRPr="007B79C4">
        <w:t>10</w:t>
      </w:r>
      <w:r w:rsidRPr="007B79C4">
        <w:rPr>
          <w:vertAlign w:val="superscript"/>
        </w:rPr>
        <w:t>-3</w:t>
      </w:r>
      <w:r w:rsidRPr="007B79C4">
        <w:t>, this endpoint required reductions in MRD level in all responders of at least 10</w:t>
      </w:r>
      <w:r w:rsidR="00A407C5">
        <w:t xml:space="preserve"> </w:t>
      </w:r>
      <w:r w:rsidRPr="007B79C4">
        <w:t xml:space="preserve">fold (1 log). For patients with an MRD level of </w:t>
      </w:r>
      <w:r w:rsidR="00093C1B">
        <w:t xml:space="preserve">&lt; </w:t>
      </w:r>
      <w:r w:rsidRPr="007B79C4">
        <w:t>10</w:t>
      </w:r>
      <w:r w:rsidRPr="007B79C4">
        <w:rPr>
          <w:vertAlign w:val="superscript"/>
        </w:rPr>
        <w:t>-3</w:t>
      </w:r>
      <w:r w:rsidRPr="007B79C4">
        <w:t xml:space="preserve">, achieving the primary endpoint would have required reductions in MRD level less than 1 log; it is axiomatic that reducing tumour load to undetectable levels is a greater 'efficacy challenge' for </w:t>
      </w:r>
      <w:proofErr w:type="spellStart"/>
      <w:r w:rsidRPr="007B79C4">
        <w:t>blinatumomab</w:t>
      </w:r>
      <w:proofErr w:type="spellEnd"/>
      <w:r w:rsidRPr="007B79C4">
        <w:t xml:space="preserve"> in</w:t>
      </w:r>
      <w:r w:rsidR="007B79C4" w:rsidRPr="007B79C4">
        <w:t xml:space="preserve"> patients with higher levels of MRD than in those with lower levels. Consequently, unless there is some qualitative difference in the biology of the disease in patients with MRD at low levels, it is reasonable to extrapolate the efficacy observed in patients with MRD levels of ≥</w:t>
      </w:r>
      <w:r w:rsidR="00A407C5">
        <w:t xml:space="preserve"> </w:t>
      </w:r>
      <w:r w:rsidR="007B79C4" w:rsidRPr="007B79C4">
        <w:t>10</w:t>
      </w:r>
      <w:r w:rsidR="007B79C4" w:rsidRPr="007B79C4">
        <w:rPr>
          <w:vertAlign w:val="superscript"/>
        </w:rPr>
        <w:t>-3</w:t>
      </w:r>
      <w:r w:rsidR="007B79C4" w:rsidRPr="007B79C4">
        <w:t xml:space="preserve"> to those patients with lower MRD levels. </w:t>
      </w:r>
      <w:r w:rsidR="00A407C5">
        <w:t>The sponsor</w:t>
      </w:r>
      <w:r w:rsidR="00A407C5" w:rsidRPr="007B79C4">
        <w:t xml:space="preserve"> </w:t>
      </w:r>
      <w:r w:rsidR="007B79C4" w:rsidRPr="007B79C4">
        <w:t>is not aware of any evidence for such a qualitative biological difference.</w:t>
      </w:r>
    </w:p>
    <w:p w14:paraId="5552F9E2" w14:textId="12C67E37" w:rsidR="007B79C4" w:rsidRPr="007B79C4" w:rsidRDefault="007B79C4" w:rsidP="007B79C4">
      <w:r w:rsidRPr="007B79C4">
        <w:t xml:space="preserve">As all MRD-positive subjects are expected to respond equivalently to </w:t>
      </w:r>
      <w:proofErr w:type="spellStart"/>
      <w:r w:rsidRPr="007B79C4">
        <w:t>blinatumomab</w:t>
      </w:r>
      <w:proofErr w:type="spellEnd"/>
      <w:r w:rsidRPr="007B79C4">
        <w:t xml:space="preserve"> treatment, irrespective of the initial MRD level, </w:t>
      </w:r>
      <w:r w:rsidR="00A407C5">
        <w:t>the sponsor</w:t>
      </w:r>
      <w:r w:rsidR="00A407C5" w:rsidRPr="007B79C4">
        <w:t xml:space="preserve"> </w:t>
      </w:r>
      <w:r w:rsidRPr="007B79C4">
        <w:t>believes that exclusion of MRD-positive patients with detectable MRD below 10</w:t>
      </w:r>
      <w:r w:rsidRPr="007B79C4">
        <w:rPr>
          <w:vertAlign w:val="superscript"/>
        </w:rPr>
        <w:t>-3</w:t>
      </w:r>
      <w:r w:rsidRPr="007B79C4">
        <w:t xml:space="preserve"> did not skew the findings of Study</w:t>
      </w:r>
      <w:r w:rsidR="00A407C5">
        <w:t> </w:t>
      </w:r>
      <w:r w:rsidRPr="007B79C4">
        <w:t>MT103-203 in any significant way.</w:t>
      </w:r>
    </w:p>
    <w:p w14:paraId="6B494896" w14:textId="4F891D08" w:rsidR="007B79C4" w:rsidRPr="007B79C4" w:rsidRDefault="007B79C4" w:rsidP="007B79C4">
      <w:r w:rsidRPr="007B79C4">
        <w:t xml:space="preserve">Although there were small numbers, in Study MT103-202, the response to </w:t>
      </w:r>
      <w:proofErr w:type="spellStart"/>
      <w:r w:rsidRPr="007B79C4">
        <w:t>blinatumomab</w:t>
      </w:r>
      <w:proofErr w:type="spellEnd"/>
      <w:r w:rsidRPr="007B79C4">
        <w:t xml:space="preserve"> treatment was similar in groups of patients with different initial MRD levels. Of the 20</w:t>
      </w:r>
      <w:r w:rsidR="00A407C5">
        <w:t> </w:t>
      </w:r>
      <w:r w:rsidRPr="007B79C4">
        <w:t xml:space="preserve">patients treated in the study, 4 patients had initial MRD levels of </w:t>
      </w:r>
      <w:r w:rsidR="00093C1B">
        <w:t xml:space="preserve">&lt; </w:t>
      </w:r>
      <w:r w:rsidRPr="007B79C4">
        <w:t>10</w:t>
      </w:r>
      <w:r w:rsidRPr="007B79C4">
        <w:rPr>
          <w:vertAlign w:val="superscript"/>
        </w:rPr>
        <w:t>-3</w:t>
      </w:r>
      <w:r w:rsidRPr="007B79C4">
        <w:t xml:space="preserve">; 2 of these patients responded to the first cycle of </w:t>
      </w:r>
      <w:proofErr w:type="spellStart"/>
      <w:r w:rsidRPr="007B79C4">
        <w:t>blinatumomab</w:t>
      </w:r>
      <w:proofErr w:type="spellEnd"/>
      <w:r w:rsidRPr="007B79C4">
        <w:t xml:space="preserve"> treatment. In Study MT103-203, of the 113 patients in the full analysis set, 8 patients had initial MRD levels of </w:t>
      </w:r>
      <w:r w:rsidR="00093C1B">
        <w:t xml:space="preserve">&lt; </w:t>
      </w:r>
      <w:r w:rsidRPr="007B79C4">
        <w:t>10</w:t>
      </w:r>
      <w:r w:rsidRPr="007B79C4">
        <w:rPr>
          <w:vertAlign w:val="superscript"/>
        </w:rPr>
        <w:t>-3</w:t>
      </w:r>
      <w:r w:rsidRPr="007B79C4">
        <w:t xml:space="preserve">; 6 of these patients responded to the first cycle of </w:t>
      </w:r>
      <w:proofErr w:type="spellStart"/>
      <w:r w:rsidRPr="007B79C4">
        <w:t>blinatumomab</w:t>
      </w:r>
      <w:proofErr w:type="spellEnd"/>
      <w:r w:rsidRPr="007B79C4">
        <w:t xml:space="preserve"> treatment. Furthermore, most patients who are MRD- positive by a 10</w:t>
      </w:r>
      <w:r w:rsidRPr="007B79C4">
        <w:rPr>
          <w:vertAlign w:val="superscript"/>
        </w:rPr>
        <w:t>-4</w:t>
      </w:r>
      <w:r w:rsidRPr="007B79C4">
        <w:t xml:space="preserve"> assay are also MRD-positive using the 10</w:t>
      </w:r>
      <w:r w:rsidRPr="007B79C4">
        <w:rPr>
          <w:vertAlign w:val="superscript"/>
        </w:rPr>
        <w:t>-3</w:t>
      </w:r>
      <w:r w:rsidRPr="007B79C4">
        <w:t xml:space="preserve"> cut-off. Data from the historical comparator study (Study 20120148) show that in patients with MRD-positive ALL identified using the current 10</w:t>
      </w:r>
      <w:r w:rsidRPr="007B79C4">
        <w:rPr>
          <w:vertAlign w:val="superscript"/>
        </w:rPr>
        <w:t>-4</w:t>
      </w:r>
      <w:r w:rsidRPr="007B79C4">
        <w:t xml:space="preserve"> cut-off, approximately 70% also had MRD levels of at least 10</w:t>
      </w:r>
      <w:r w:rsidRPr="007B79C4">
        <w:rPr>
          <w:vertAlign w:val="superscript"/>
        </w:rPr>
        <w:t>-3</w:t>
      </w:r>
      <w:r w:rsidRPr="007B79C4">
        <w:t>.</w:t>
      </w:r>
    </w:p>
    <w:p w14:paraId="75729B80" w14:textId="2819B9E5" w:rsidR="007B79C4" w:rsidRDefault="007B79C4" w:rsidP="007B79C4">
      <w:proofErr w:type="spellStart"/>
      <w:r w:rsidRPr="007B79C4">
        <w:t>Blinatumomab</w:t>
      </w:r>
      <w:proofErr w:type="spellEnd"/>
      <w:r w:rsidRPr="007B79C4">
        <w:t xml:space="preserve"> induced MRD negativity in a large proportion of subjects (up to 80%) with MRD-positive ALL in the pivotal Study MT102-203 and the supportive Study MT103-202. A median reduction of 750</w:t>
      </w:r>
      <w:r w:rsidR="00A407C5">
        <w:t xml:space="preserve"> </w:t>
      </w:r>
      <w:r w:rsidRPr="007B79C4">
        <w:t>fold among complete MRD responders from the baseline MRD level was observed in the pivotal study, with the greatest reduction of 30,000</w:t>
      </w:r>
      <w:r w:rsidR="00A407C5">
        <w:t xml:space="preserve"> </w:t>
      </w:r>
      <w:r w:rsidRPr="007B79C4">
        <w:t xml:space="preserve">fold (note, the calculation is conservative by inputting the lower limit of detection for complete MRD responders). As noted by the Delegate, ‘data from Study MT103-203 demonstrates that treatment with </w:t>
      </w:r>
      <w:proofErr w:type="spellStart"/>
      <w:r w:rsidRPr="007B79C4">
        <w:t>blinatumomab</w:t>
      </w:r>
      <w:proofErr w:type="spellEnd"/>
      <w:r w:rsidRPr="007B79C4">
        <w:t xml:space="preserve"> enabled the majority of patients to proceed to HSCT. The OS data to date demonstrates the combined effect of </w:t>
      </w:r>
      <w:proofErr w:type="spellStart"/>
      <w:r w:rsidRPr="007B79C4">
        <w:t>blinatumomab</w:t>
      </w:r>
      <w:proofErr w:type="spellEnd"/>
      <w:r w:rsidRPr="007B79C4">
        <w:t xml:space="preserve"> and subsequent HSCT, yielding an approximately 18 month survival advantage for those who achieved MRD negativity’. Furthermore, the </w:t>
      </w:r>
      <w:r w:rsidR="00EE50C4">
        <w:t>c</w:t>
      </w:r>
      <w:r w:rsidR="00EE50C4" w:rsidRPr="007B79C4">
        <w:t xml:space="preserve">linical </w:t>
      </w:r>
      <w:r w:rsidR="00EE50C4">
        <w:t>e</w:t>
      </w:r>
      <w:r w:rsidR="00EE50C4" w:rsidRPr="007B79C4">
        <w:t xml:space="preserve">valuator </w:t>
      </w:r>
      <w:r w:rsidRPr="007B79C4">
        <w:t xml:space="preserve">concluded that the ‘results demonstrate that </w:t>
      </w:r>
      <w:proofErr w:type="spellStart"/>
      <w:r w:rsidRPr="007B79C4">
        <w:t>blinatumomab</w:t>
      </w:r>
      <w:proofErr w:type="spellEnd"/>
      <w:r w:rsidRPr="007B79C4">
        <w:t xml:space="preserve"> is effective in treating MRD positive</w:t>
      </w:r>
      <w:r>
        <w:t xml:space="preserve"> </w:t>
      </w:r>
      <w:r w:rsidRPr="007B79C4">
        <w:t>disease in patients with MRD positive B-cell ALL and who were in complete haematological remission.’</w:t>
      </w:r>
    </w:p>
    <w:p w14:paraId="48C464D3" w14:textId="4B32DE28" w:rsidR="007B79C4" w:rsidRDefault="00A407C5" w:rsidP="007B79C4">
      <w:r>
        <w:t>The sponsor</w:t>
      </w:r>
      <w:r w:rsidRPr="007B79C4">
        <w:t xml:space="preserve"> </w:t>
      </w:r>
      <w:r w:rsidR="007B79C4" w:rsidRPr="007B79C4">
        <w:t xml:space="preserve">notes the Delegate’s comments regarding the design of the pivotal study as relates to demonstration of long-term survival benefit. </w:t>
      </w:r>
      <w:r w:rsidR="007B79C4">
        <w:t>A</w:t>
      </w:r>
      <w:r w:rsidR="007B79C4" w:rsidRPr="007B79C4">
        <w:t>mongst information on Study</w:t>
      </w:r>
      <w:r>
        <w:t> </w:t>
      </w:r>
      <w:r w:rsidR="007B79C4" w:rsidRPr="007B79C4">
        <w:t>MT103-203, the Delegate included the comment: ‘the other secondary objectives did not include the assessment of overall survival, rather only the 100</w:t>
      </w:r>
      <w:r>
        <w:t xml:space="preserve"> </w:t>
      </w:r>
      <w:r w:rsidR="007B79C4" w:rsidRPr="007B79C4">
        <w:t xml:space="preserve">day mortality rate’, although the Delegate noted earlier that overall survival was one of the secondary outcomes of the study. Amgen agrees with the Delegate that OS was one of the secondary efficacy endpoints, along with mortality rate within 100 days after allogeneic HSCT, time to </w:t>
      </w:r>
      <w:proofErr w:type="spellStart"/>
      <w:r w:rsidR="007B79C4" w:rsidRPr="007B79C4">
        <w:t>haematologic</w:t>
      </w:r>
      <w:proofErr w:type="spellEnd"/>
      <w:r w:rsidR="007B79C4" w:rsidRPr="007B79C4">
        <w:t xml:space="preserve"> relapse, and duration of complete MRD response. We also confirm that median OS (from day 45) was 28.4 months longer in subjects who achieved a complete </w:t>
      </w:r>
      <w:r w:rsidR="007B79C4" w:rsidRPr="007B79C4">
        <w:lastRenderedPageBreak/>
        <w:t>MRD response compared to subjects who did not have a complete MRD response (38.9</w:t>
      </w:r>
      <w:r>
        <w:t> </w:t>
      </w:r>
      <w:r w:rsidR="007B79C4" w:rsidRPr="007B79C4">
        <w:t xml:space="preserve">months </w:t>
      </w:r>
      <w:r w:rsidR="00EE50C4">
        <w:t>(</w:t>
      </w:r>
      <w:r w:rsidR="007B79C4" w:rsidRPr="007B79C4">
        <w:t>95% CI: 33.7, NE</w:t>
      </w:r>
      <w:r w:rsidR="00EE50C4">
        <w:t>)</w:t>
      </w:r>
      <w:r w:rsidR="007B79C4" w:rsidRPr="007B79C4">
        <w:t xml:space="preserve"> versus 10.5 months </w:t>
      </w:r>
      <w:r w:rsidR="00EE50C4">
        <w:t>(</w:t>
      </w:r>
      <w:r w:rsidR="007B79C4" w:rsidRPr="007B79C4">
        <w:t>95% CI: 3.8, NE</w:t>
      </w:r>
      <w:r w:rsidR="00EE50C4">
        <w:t>)</w:t>
      </w:r>
      <w:r w:rsidR="007B79C4" w:rsidRPr="007B79C4">
        <w:t>, respectively. Survival follow-up continues at 6-monthly intervals until 5 years after treatment start for each subject. The final analysis will be carried out 5 years after the last subject enrolled into the study (expected early 2019).</w:t>
      </w:r>
    </w:p>
    <w:p w14:paraId="315CDF13" w14:textId="79818CAE" w:rsidR="0052280B" w:rsidRDefault="0052280B" w:rsidP="0052280B">
      <w:pPr>
        <w:pStyle w:val="BodyText"/>
        <w:ind w:right="266"/>
      </w:pPr>
      <w:r>
        <w:t xml:space="preserve">Further evidence of the longer-term efficacy benefit of </w:t>
      </w:r>
      <w:proofErr w:type="spellStart"/>
      <w:r>
        <w:t>blinatumomab</w:t>
      </w:r>
      <w:proofErr w:type="spellEnd"/>
      <w:r>
        <w:t xml:space="preserve"> will be provided by three randomised, controlled, </w:t>
      </w:r>
      <w:r w:rsidR="00713407">
        <w:t>Phase III</w:t>
      </w:r>
      <w:r>
        <w:t xml:space="preserve"> clinical studies currently underway which seek to confirm the benefit of </w:t>
      </w:r>
      <w:proofErr w:type="spellStart"/>
      <w:r>
        <w:t>blinatumomab</w:t>
      </w:r>
      <w:proofErr w:type="spellEnd"/>
      <w:r>
        <w:t xml:space="preserve"> in the consolidation setting compared with conventional chemotherapy for adult and paediatric patients in first relapse or first diagnosis with B-cell ALL. These studies have validated, well-defined clinical endpoints as well as post-transplant follow-up, and are intended to address the uncertainties of the </w:t>
      </w:r>
      <w:proofErr w:type="spellStart"/>
      <w:r>
        <w:t>blinatumomab</w:t>
      </w:r>
      <w:proofErr w:type="spellEnd"/>
      <w:r>
        <w:t xml:space="preserve"> indication:</w:t>
      </w:r>
    </w:p>
    <w:p w14:paraId="52E6AF5F" w14:textId="77777777" w:rsidR="008A4F9C" w:rsidRPr="00BD3E7E" w:rsidRDefault="008A4F9C" w:rsidP="00BD3E7E">
      <w:pPr>
        <w:pStyle w:val="ListBullet"/>
      </w:pPr>
      <w:r w:rsidRPr="00BD3E7E">
        <w:t xml:space="preserve">Study E1910, conducted by the Eastern Cooperative Oncology Group (ECOG) and sponsored by the National Cancer Institute (NCI): to assess the effect of </w:t>
      </w:r>
      <w:proofErr w:type="spellStart"/>
      <w:r w:rsidRPr="00BD3E7E">
        <w:t>blinatumomab</w:t>
      </w:r>
      <w:proofErr w:type="spellEnd"/>
      <w:r w:rsidRPr="00BD3E7E">
        <w:t xml:space="preserve"> in combination with induction chemotherapy compared with induction chemotherapy alone for adult patients (30 through 70 years of age) with newly diagnosed Philadelphia chromosome-negative B-cell ALL. Results expected 2023.</w:t>
      </w:r>
    </w:p>
    <w:p w14:paraId="72875C58" w14:textId="2ACF31E2" w:rsidR="008A4F9C" w:rsidRPr="00BD3E7E" w:rsidRDefault="008A4F9C">
      <w:pPr>
        <w:pStyle w:val="ListBullet"/>
      </w:pPr>
      <w:bookmarkStart w:id="111" w:name="Section_B:_Sponsor_Comment_on_Other_Issu"/>
      <w:bookmarkEnd w:id="111"/>
      <w:r w:rsidRPr="00BD3E7E">
        <w:t xml:space="preserve">Study AALL1331, conducted by the Children’s Oncology Group (COG) and sponsored by the NCI: to assess efficacy and safety of </w:t>
      </w:r>
      <w:proofErr w:type="spellStart"/>
      <w:r w:rsidRPr="00BD3E7E">
        <w:t>blinatumomab</w:t>
      </w:r>
      <w:proofErr w:type="spellEnd"/>
      <w:r w:rsidRPr="00BD3E7E">
        <w:t xml:space="preserve"> compared with standard combination chemotherapy in treating patients (≥ 1 to</w:t>
      </w:r>
      <w:r w:rsidR="00A407C5">
        <w:t xml:space="preserve"> </w:t>
      </w:r>
      <w:r w:rsidR="00093C1B">
        <w:t xml:space="preserve">&lt; </w:t>
      </w:r>
      <w:r w:rsidRPr="00BD3E7E">
        <w:t>31 years) with B-cell ALL that has returned after a period of improvement (relapsed). Results expected 2022.</w:t>
      </w:r>
    </w:p>
    <w:p w14:paraId="4DEE9713" w14:textId="36B7C4CA" w:rsidR="008A4F9C" w:rsidRPr="00BD3E7E" w:rsidRDefault="008A4F9C" w:rsidP="00BD3E7E">
      <w:pPr>
        <w:pStyle w:val="ListBullet"/>
      </w:pPr>
      <w:r w:rsidRPr="00BD3E7E">
        <w:t xml:space="preserve">Study 20120215, conducted by Amgen in cooperation with the International Berlin-Frankfurt-Munich (I-BFM) Study Group: to investigate the efficacy and safety of </w:t>
      </w:r>
      <w:proofErr w:type="spellStart"/>
      <w:r w:rsidRPr="00BD3E7E">
        <w:t>blinatumomab</w:t>
      </w:r>
      <w:proofErr w:type="spellEnd"/>
      <w:r w:rsidRPr="00BD3E7E">
        <w:t xml:space="preserve"> as consolidation therapy versus conventional consolidation therapy in paediatric subjects (</w:t>
      </w:r>
      <w:r w:rsidR="00093C1B">
        <w:t xml:space="preserve">&gt; </w:t>
      </w:r>
      <w:r w:rsidRPr="00BD3E7E">
        <w:t xml:space="preserve">28 days to </w:t>
      </w:r>
      <w:r w:rsidR="00093C1B">
        <w:t xml:space="preserve">&lt; </w:t>
      </w:r>
      <w:r w:rsidRPr="00BD3E7E">
        <w:t>18 years of age) with high risk (HR) first relapse B-cell precursor ALL. Results expected 2023.</w:t>
      </w:r>
    </w:p>
    <w:p w14:paraId="55269E86" w14:textId="3A34B2F9" w:rsidR="008A4F9C" w:rsidRPr="00BD3E7E" w:rsidRDefault="008A4F9C" w:rsidP="00BD3E7E">
      <w:r w:rsidRPr="00BD3E7E">
        <w:t xml:space="preserve">Details regarding design and interim analyses </w:t>
      </w:r>
      <w:r w:rsidR="00A407C5">
        <w:t>were</w:t>
      </w:r>
      <w:r w:rsidR="00A407C5" w:rsidRPr="00BD3E7E">
        <w:t xml:space="preserve"> </w:t>
      </w:r>
      <w:r w:rsidRPr="00BD3E7E">
        <w:t xml:space="preserve">provided </w:t>
      </w:r>
      <w:r w:rsidR="00A407C5">
        <w:t>(but have not been included in the AusPAR)</w:t>
      </w:r>
      <w:r w:rsidRPr="00BD3E7E">
        <w:t>.</w:t>
      </w:r>
    </w:p>
    <w:p w14:paraId="459C66BA" w14:textId="269200FA" w:rsidR="00E96D57" w:rsidRPr="00BD3E7E" w:rsidRDefault="008A4F9C" w:rsidP="00BD3E7E">
      <w:r w:rsidRPr="00BD3E7E">
        <w:t xml:space="preserve">Each of these 3 studies has the potential to address the uncertainties of treating MRD-positive ALL patients with </w:t>
      </w:r>
      <w:proofErr w:type="spellStart"/>
      <w:r w:rsidRPr="00BD3E7E">
        <w:t>blinatumomab</w:t>
      </w:r>
      <w:proofErr w:type="spellEnd"/>
      <w:r w:rsidRPr="00BD3E7E">
        <w:t xml:space="preserve"> compared with standard chemotherapeutic regimens. Overall survival is the primary endpoint in Study E1910, while OS is a secondary endpoint of Studies AALL1331 and 20120215. Thus, it will be possible to assess survival by MRD status. Subjects who receive an HSCT will be followed for at least 2.5 years. While all 3 studies have robust designs with validated endpoints, some limitations for each of the studies exist. Transplantation is not mandatory for Study E1910, and Studies AALL1331 and 20120215 are limited to patients less than</w:t>
      </w:r>
      <w:r w:rsidR="004B37F4" w:rsidRPr="00BD3E7E">
        <w:t xml:space="preserve"> or equal to </w:t>
      </w:r>
      <w:r w:rsidRPr="00BD3E7E">
        <w:t xml:space="preserve">31 years of age and </w:t>
      </w:r>
      <w:r w:rsidR="00093C1B">
        <w:t xml:space="preserve">&lt; </w:t>
      </w:r>
      <w:r w:rsidRPr="00BD3E7E">
        <w:t>18 years of age, respectively. The patient populations for these studies differ compared with Study</w:t>
      </w:r>
      <w:r w:rsidR="00A407C5">
        <w:t> </w:t>
      </w:r>
      <w:r w:rsidRPr="00BD3E7E">
        <w:t xml:space="preserve">MT103-203. Although there are limitations, </w:t>
      </w:r>
      <w:r w:rsidR="00A407C5">
        <w:t>the sponsor</w:t>
      </w:r>
      <w:r w:rsidR="00A407C5" w:rsidRPr="00BD3E7E">
        <w:t xml:space="preserve"> </w:t>
      </w:r>
      <w:r w:rsidRPr="00BD3E7E">
        <w:t>believes any of these 3 clinical studies are sufficient to provide high quality and long-term efficacy and safety data to address the uncertainties in the MRD positive B-cell precursor ALL population</w:t>
      </w:r>
      <w:r w:rsidR="004B37F4" w:rsidRPr="00BD3E7E">
        <w:t>.</w:t>
      </w:r>
    </w:p>
    <w:p w14:paraId="1C1DC491" w14:textId="4A3C2F64" w:rsidR="004B37F4" w:rsidRDefault="004B37F4" w:rsidP="004B37F4">
      <w:pPr>
        <w:pStyle w:val="Heading5"/>
      </w:pPr>
      <w:r w:rsidRPr="004B37F4">
        <w:t xml:space="preserve">Section B: Sponsor </w:t>
      </w:r>
      <w:r w:rsidR="00A407C5" w:rsidRPr="004B37F4">
        <w:t>comment on other issues</w:t>
      </w:r>
    </w:p>
    <w:p w14:paraId="3D0A9DBB" w14:textId="10632B4D" w:rsidR="004B37F4" w:rsidRPr="004B37F4" w:rsidRDefault="004B37F4" w:rsidP="004B37F4">
      <w:r w:rsidRPr="004B37F4">
        <w:t xml:space="preserve">At the end of evaluation, the </w:t>
      </w:r>
      <w:proofErr w:type="spellStart"/>
      <w:r w:rsidRPr="004B37F4">
        <w:t>pharmacometric</w:t>
      </w:r>
      <w:proofErr w:type="spellEnd"/>
      <w:r w:rsidRPr="004B37F4">
        <w:t xml:space="preserve"> evaluator requested the Pharmacokinetics section of the proposed PI be revised in terms of </w:t>
      </w:r>
      <w:r w:rsidR="00EE50C4">
        <w:t>‘</w:t>
      </w:r>
      <w:r w:rsidRPr="004B37F4">
        <w:t>exposure</w:t>
      </w:r>
      <w:r w:rsidR="00EE50C4">
        <w:t>’</w:t>
      </w:r>
      <w:r w:rsidRPr="004B37F4">
        <w:t xml:space="preserve"> instead of </w:t>
      </w:r>
      <w:r w:rsidR="00EE50C4">
        <w:t>‘</w:t>
      </w:r>
      <w:r w:rsidRPr="004B37F4">
        <w:t>PK</w:t>
      </w:r>
      <w:r w:rsidR="00EE50C4">
        <w:t>’</w:t>
      </w:r>
      <w:r w:rsidRPr="004B37F4">
        <w:t xml:space="preserve">, which was endorsed by the Population Pharmacokinetics Working Group. </w:t>
      </w:r>
      <w:r w:rsidR="00EE50C4">
        <w:t>The sponsor</w:t>
      </w:r>
      <w:r w:rsidR="00EE50C4" w:rsidRPr="004B37F4">
        <w:t xml:space="preserve"> </w:t>
      </w:r>
      <w:r w:rsidRPr="004B37F4">
        <w:t>agrees to make the requested change.</w:t>
      </w:r>
    </w:p>
    <w:p w14:paraId="5B51EB78" w14:textId="5C034D7C" w:rsidR="004B37F4" w:rsidRPr="004B37F4" w:rsidRDefault="00A407C5" w:rsidP="004B37F4">
      <w:r>
        <w:t>The sponsor</w:t>
      </w:r>
      <w:r w:rsidRPr="004B37F4">
        <w:t xml:space="preserve"> </w:t>
      </w:r>
      <w:r w:rsidR="004B37F4" w:rsidRPr="004B37F4">
        <w:t xml:space="preserve">agrees with the Delegate’s comment on of the Delegate’s Request for ACM Advice: ‘data arising from </w:t>
      </w:r>
      <w:r w:rsidR="0041756E">
        <w:t>Study</w:t>
      </w:r>
      <w:r w:rsidR="004B37F4" w:rsidRPr="004B37F4">
        <w:t xml:space="preserve"> 20120216 to be sufficient to remove the restriction of Philadelphia chromosome (</w:t>
      </w:r>
      <w:proofErr w:type="spellStart"/>
      <w:r w:rsidR="004B37F4" w:rsidRPr="004B37F4">
        <w:t>Ph</w:t>
      </w:r>
      <w:proofErr w:type="spellEnd"/>
      <w:r w:rsidR="004B37F4" w:rsidRPr="004B37F4">
        <w:t xml:space="preserve">) status from the currently approved indication’. </w:t>
      </w:r>
      <w:r w:rsidR="004B37F4" w:rsidRPr="004B37F4">
        <w:lastRenderedPageBreak/>
        <w:t xml:space="preserve">Furthermore, </w:t>
      </w:r>
      <w:r>
        <w:t>the sponsor</w:t>
      </w:r>
      <w:r w:rsidRPr="004B37F4">
        <w:t xml:space="preserve"> </w:t>
      </w:r>
      <w:r w:rsidR="004B37F4" w:rsidRPr="004B37F4">
        <w:t xml:space="preserve">agrees with the Delegate’s assessment that the indication should be extended to include </w:t>
      </w:r>
      <w:proofErr w:type="spellStart"/>
      <w:r w:rsidR="004B37F4" w:rsidRPr="004B37F4">
        <w:t>Ph</w:t>
      </w:r>
      <w:proofErr w:type="spellEnd"/>
      <w:r w:rsidR="004B37F4" w:rsidRPr="004B37F4">
        <w:t xml:space="preserve"> positive patients.</w:t>
      </w:r>
    </w:p>
    <w:p w14:paraId="70C340F1" w14:textId="73FC6F0F" w:rsidR="004B37F4" w:rsidRPr="004B37F4" w:rsidRDefault="004B37F4" w:rsidP="004B37F4">
      <w:r w:rsidRPr="004B37F4">
        <w:t xml:space="preserve">The efficacy and safety of </w:t>
      </w:r>
      <w:proofErr w:type="spellStart"/>
      <w:r w:rsidRPr="004B37F4">
        <w:t>blinatumomab</w:t>
      </w:r>
      <w:proofErr w:type="spellEnd"/>
      <w:r w:rsidRPr="004B37F4">
        <w:t xml:space="preserve"> in adults with relapsed or refractory </w:t>
      </w:r>
      <w:proofErr w:type="spellStart"/>
      <w:r w:rsidRPr="004B37F4">
        <w:t>Ph</w:t>
      </w:r>
      <w:proofErr w:type="spellEnd"/>
      <w:r w:rsidRPr="004B37F4">
        <w:t xml:space="preserve"> negative B-ALL was confirmed in the pivotal </w:t>
      </w:r>
      <w:r w:rsidR="00713407">
        <w:t>Phase III</w:t>
      </w:r>
      <w:r w:rsidRPr="004B37F4">
        <w:t xml:space="preserve"> </w:t>
      </w:r>
      <w:r w:rsidR="0041756E">
        <w:t>Study</w:t>
      </w:r>
      <w:r w:rsidRPr="004B37F4">
        <w:t xml:space="preserve"> 001103311. This study was stopped early at the recommendation of the Data Safety Committee as a significant overall survival benefit of 3.7 months difference in favour of </w:t>
      </w:r>
      <w:proofErr w:type="spellStart"/>
      <w:r w:rsidRPr="004B37F4">
        <w:t>blinatumomab</w:t>
      </w:r>
      <w:proofErr w:type="spellEnd"/>
      <w:r w:rsidRPr="004B37F4">
        <w:t xml:space="preserve"> was demonstrated. No additional safety signals were identified.</w:t>
      </w:r>
    </w:p>
    <w:p w14:paraId="0D9F6267" w14:textId="363D871D" w:rsidR="004B37F4" w:rsidRPr="004B37F4" w:rsidRDefault="00A407C5" w:rsidP="004B37F4">
      <w:r>
        <w:t xml:space="preserve">The sponsor </w:t>
      </w:r>
      <w:r w:rsidR="004B37F4" w:rsidRPr="004B37F4">
        <w:t>agrees with the Delegate’s view that this improvement is sufficient to remove the ‘note to indication’ for this use.</w:t>
      </w:r>
    </w:p>
    <w:p w14:paraId="368EBED8" w14:textId="77777777" w:rsidR="008E7846" w:rsidRDefault="008E7846" w:rsidP="008E7846">
      <w:pPr>
        <w:pStyle w:val="Heading4"/>
      </w:pPr>
      <w:r>
        <w:t>Advisory Committee Considerations</w:t>
      </w:r>
      <w:r w:rsidR="009E0C19">
        <w:rPr>
          <w:rStyle w:val="FootnoteReference"/>
        </w:rPr>
        <w:footnoteReference w:id="7"/>
      </w:r>
    </w:p>
    <w:p w14:paraId="1D3C2B81" w14:textId="6A18F7DF" w:rsidR="00B67D02" w:rsidRPr="006403AF" w:rsidRDefault="00D23139" w:rsidP="00B67D02">
      <w:pPr>
        <w:rPr>
          <w:bCs/>
        </w:rPr>
      </w:pPr>
      <w:r w:rsidRPr="00D23139">
        <w:rPr>
          <w:bCs/>
        </w:rPr>
        <w:t xml:space="preserve">The Advisory Committee on Medicines (ACM), </w:t>
      </w:r>
      <w:r w:rsidR="00B67D02" w:rsidRPr="00B67D02">
        <w:rPr>
          <w:bCs/>
        </w:rPr>
        <w:t xml:space="preserve">taking into account the submitted evidence of efficacy, safety and quality, agreed with the </w:t>
      </w:r>
      <w:r w:rsidR="00093C1B">
        <w:rPr>
          <w:bCs/>
        </w:rPr>
        <w:t>Delegate</w:t>
      </w:r>
      <w:r w:rsidR="00B67D02" w:rsidRPr="00B67D02">
        <w:rPr>
          <w:bCs/>
        </w:rPr>
        <w:t xml:space="preserve"> and considered </w:t>
      </w:r>
      <w:proofErr w:type="spellStart"/>
      <w:r w:rsidR="00093C1B">
        <w:rPr>
          <w:bCs/>
        </w:rPr>
        <w:t>Blincyto</w:t>
      </w:r>
      <w:proofErr w:type="spellEnd"/>
      <w:r w:rsidR="00B67D02" w:rsidRPr="00B67D02">
        <w:rPr>
          <w:bCs/>
        </w:rPr>
        <w:t xml:space="preserve"> powder for injection with intravenous solution stabiliser containing 38.5 </w:t>
      </w:r>
      <w:r w:rsidR="00A407C5">
        <w:t>µg</w:t>
      </w:r>
      <w:r w:rsidR="00B67D02" w:rsidRPr="00B67D02">
        <w:rPr>
          <w:bCs/>
        </w:rPr>
        <w:t xml:space="preserve"> of </w:t>
      </w:r>
      <w:proofErr w:type="spellStart"/>
      <w:r w:rsidR="00A407C5">
        <w:rPr>
          <w:bCs/>
        </w:rPr>
        <w:t>b</w:t>
      </w:r>
      <w:r w:rsidR="00B67D02" w:rsidRPr="00B67D02">
        <w:rPr>
          <w:bCs/>
        </w:rPr>
        <w:t>linatumomab</w:t>
      </w:r>
      <w:proofErr w:type="spellEnd"/>
      <w:r w:rsidR="00B67D02" w:rsidRPr="00B67D02">
        <w:rPr>
          <w:bCs/>
        </w:rPr>
        <w:t xml:space="preserve"> to have an overall positive benefit-risk profile </w:t>
      </w:r>
      <w:r w:rsidR="00B67D02" w:rsidRPr="00093C1B">
        <w:rPr>
          <w:bCs/>
        </w:rPr>
        <w:t xml:space="preserve">for the </w:t>
      </w:r>
      <w:r w:rsidR="00093C1B" w:rsidRPr="006403AF">
        <w:rPr>
          <w:bCs/>
        </w:rPr>
        <w:t>D</w:t>
      </w:r>
      <w:r w:rsidR="00B67D02" w:rsidRPr="006403AF">
        <w:rPr>
          <w:bCs/>
        </w:rPr>
        <w:t>elegate’s amended indication:</w:t>
      </w:r>
    </w:p>
    <w:p w14:paraId="285DAED5" w14:textId="77777777" w:rsidR="00B67D02" w:rsidRPr="006403AF" w:rsidRDefault="00B67D02" w:rsidP="006403AF">
      <w:pPr>
        <w:ind w:left="720"/>
        <w:rPr>
          <w:i/>
        </w:rPr>
      </w:pPr>
      <w:proofErr w:type="spellStart"/>
      <w:r w:rsidRPr="006403AF">
        <w:rPr>
          <w:i/>
        </w:rPr>
        <w:t>Blincyto</w:t>
      </w:r>
      <w:proofErr w:type="spellEnd"/>
      <w:r w:rsidRPr="006403AF">
        <w:rPr>
          <w:i/>
        </w:rPr>
        <w:t xml:space="preserve"> is indicated for the treatment of relapsed or refractory B-cell precursor acute lymphoblastic leukaemia (ALL).</w:t>
      </w:r>
    </w:p>
    <w:p w14:paraId="4C528840" w14:textId="61255C0B" w:rsidR="00031B12" w:rsidRPr="006403AF" w:rsidRDefault="00B67D02" w:rsidP="006403AF">
      <w:pPr>
        <w:ind w:left="720"/>
        <w:rPr>
          <w:i/>
        </w:rPr>
      </w:pPr>
      <w:proofErr w:type="spellStart"/>
      <w:r w:rsidRPr="006403AF">
        <w:rPr>
          <w:i/>
        </w:rPr>
        <w:t>Blincyto</w:t>
      </w:r>
      <w:proofErr w:type="spellEnd"/>
      <w:r w:rsidRPr="006403AF">
        <w:rPr>
          <w:i/>
        </w:rPr>
        <w:t xml:space="preserve"> is indicated for the treatment of minimal residual disease (MRD) positive B</w:t>
      </w:r>
      <w:r w:rsidR="00A407C5" w:rsidRPr="006403AF">
        <w:rPr>
          <w:i/>
        </w:rPr>
        <w:t> </w:t>
      </w:r>
      <w:r w:rsidRPr="006403AF">
        <w:rPr>
          <w:i/>
        </w:rPr>
        <w:t>cell precursor acute lymphoblastic leukaemia (ALL) in patients in complete haematological remission</w:t>
      </w:r>
      <w:r w:rsidR="00031B12" w:rsidRPr="006403AF">
        <w:rPr>
          <w:i/>
        </w:rPr>
        <w:t>.</w:t>
      </w:r>
    </w:p>
    <w:p w14:paraId="1541CC94" w14:textId="77777777" w:rsidR="00B67D02" w:rsidRPr="006403AF" w:rsidRDefault="00B67D02" w:rsidP="006403AF">
      <w:pPr>
        <w:ind w:left="720"/>
        <w:rPr>
          <w:i/>
        </w:rPr>
      </w:pPr>
      <w:r w:rsidRPr="006403AF">
        <w:rPr>
          <w:i/>
        </w:rPr>
        <w:t>Note to indication: the indications in Philadelphia positive, MRD positive and paediatric patients were approved based on phase II, non-randomised evidence. An improvement in clinical outcomes by direct prospective comparison in a randomised setting relative to other standard-of-care salvage therapies has not been established.</w:t>
      </w:r>
    </w:p>
    <w:p w14:paraId="18520EA1" w14:textId="77777777" w:rsidR="00B67D02" w:rsidRPr="00B67D02" w:rsidRDefault="00B67D02" w:rsidP="00B67D02">
      <w:pPr>
        <w:pStyle w:val="Heading5"/>
      </w:pPr>
      <w:r w:rsidRPr="00B67D02">
        <w:t>Proposed conditions of registration</w:t>
      </w:r>
    </w:p>
    <w:p w14:paraId="1F07E732" w14:textId="7148F4C0" w:rsidR="00B67D02" w:rsidRPr="00B67D02" w:rsidRDefault="00B67D02" w:rsidP="00B67D02">
      <w:pPr>
        <w:rPr>
          <w:bCs/>
        </w:rPr>
      </w:pPr>
      <w:r w:rsidRPr="00B67D02">
        <w:rPr>
          <w:bCs/>
        </w:rPr>
        <w:t xml:space="preserve">The ACM agreed with the </w:t>
      </w:r>
      <w:r w:rsidR="00093C1B">
        <w:rPr>
          <w:bCs/>
        </w:rPr>
        <w:t>Delegate</w:t>
      </w:r>
      <w:r w:rsidRPr="00B67D02">
        <w:rPr>
          <w:bCs/>
        </w:rPr>
        <w:t xml:space="preserve"> on the proposed conditions of registration.</w:t>
      </w:r>
    </w:p>
    <w:p w14:paraId="0D3D1F31" w14:textId="16E25307" w:rsidR="00B67D02" w:rsidRPr="00B67D02" w:rsidRDefault="00B67D02" w:rsidP="00B67D02">
      <w:pPr>
        <w:pStyle w:val="ListBullet"/>
      </w:pPr>
      <w:r w:rsidRPr="00B67D02">
        <w:t xml:space="preserve">Implementation of the Risk Management Plan version most recently approved by the TGA’s Pharmacovigilance </w:t>
      </w:r>
      <w:r w:rsidR="00093C1B">
        <w:t>and</w:t>
      </w:r>
      <w:r w:rsidRPr="00B67D02">
        <w:t xml:space="preserve"> Special Access Branch.</w:t>
      </w:r>
    </w:p>
    <w:p w14:paraId="7CE24CD9" w14:textId="77777777" w:rsidR="00B67D02" w:rsidRPr="00B67D02" w:rsidRDefault="00B67D02" w:rsidP="00B67D02">
      <w:pPr>
        <w:pStyle w:val="ListBullet"/>
      </w:pPr>
      <w:r w:rsidRPr="00B67D02">
        <w:t>Submission of the final analysis of confirmatory data to support the use in MRD positive patients and Philadelphia chromosome positive patients, when available.</w:t>
      </w:r>
    </w:p>
    <w:p w14:paraId="10AB2DED" w14:textId="77777777" w:rsidR="00B67D02" w:rsidRPr="00B67D02" w:rsidRDefault="00B67D02" w:rsidP="00B67D02">
      <w:pPr>
        <w:pStyle w:val="ListBullet"/>
      </w:pPr>
      <w:r w:rsidRPr="00B67D02">
        <w:t>Finalisation of the Product Information to the satisfaction of the TGA.</w:t>
      </w:r>
    </w:p>
    <w:p w14:paraId="120D91C6" w14:textId="77777777" w:rsidR="00B67D02" w:rsidRPr="00B67D02" w:rsidRDefault="00B67D02" w:rsidP="00B67D02">
      <w:pPr>
        <w:pStyle w:val="Heading5"/>
      </w:pPr>
      <w:r w:rsidRPr="00B67D02">
        <w:t>Proposed Product Information (PI)/ Consumer Medicine Information (CMI) amendments</w:t>
      </w:r>
    </w:p>
    <w:p w14:paraId="2D9E2702" w14:textId="0397EEF7" w:rsidR="00B67D02" w:rsidRPr="00B67D02" w:rsidRDefault="00B67D02" w:rsidP="00B67D02">
      <w:pPr>
        <w:rPr>
          <w:bCs/>
        </w:rPr>
      </w:pPr>
      <w:r w:rsidRPr="00B67D02">
        <w:rPr>
          <w:bCs/>
        </w:rPr>
        <w:t xml:space="preserve">The ACM agreed with the </w:t>
      </w:r>
      <w:r w:rsidR="00093C1B">
        <w:rPr>
          <w:bCs/>
        </w:rPr>
        <w:t>Delegate</w:t>
      </w:r>
      <w:r w:rsidRPr="00B67D02">
        <w:rPr>
          <w:bCs/>
        </w:rPr>
        <w:t xml:space="preserve"> to the proposed amendments to the PI and CMI.</w:t>
      </w:r>
    </w:p>
    <w:p w14:paraId="274B358B" w14:textId="77777777" w:rsidR="00B67D02" w:rsidRPr="00B67D02" w:rsidRDefault="00B67D02" w:rsidP="00B67D02">
      <w:pPr>
        <w:pStyle w:val="ListBullet"/>
      </w:pPr>
      <w:r w:rsidRPr="00B67D02">
        <w:t>Amendments to the PI and CMI as proposed in details by the Delegate and evaluators to be finalised in negotiations with the Delegate.</w:t>
      </w:r>
    </w:p>
    <w:p w14:paraId="0B51E9B8" w14:textId="3C4B905E" w:rsidR="00B67D02" w:rsidRPr="00B67D02" w:rsidRDefault="00B67D02" w:rsidP="00B67D02">
      <w:pPr>
        <w:pStyle w:val="Heading5"/>
      </w:pPr>
      <w:r w:rsidRPr="00B67D02">
        <w:lastRenderedPageBreak/>
        <w:t xml:space="preserve">Specific </w:t>
      </w:r>
      <w:r w:rsidR="005E3131">
        <w:t>a</w:t>
      </w:r>
      <w:r w:rsidRPr="00B67D02">
        <w:t>dvice</w:t>
      </w:r>
    </w:p>
    <w:p w14:paraId="607FF19D" w14:textId="77777777" w:rsidR="00B67D02" w:rsidRPr="00B67D02" w:rsidRDefault="00B67D02" w:rsidP="00B67D02">
      <w:r w:rsidRPr="00B67D02">
        <w:t>The ACM advised the following in response to the Delegate’s specific questions on the submission:</w:t>
      </w:r>
    </w:p>
    <w:p w14:paraId="2764EF99" w14:textId="77777777" w:rsidR="00B67D02" w:rsidRPr="006403AF" w:rsidRDefault="00B67D02" w:rsidP="006403AF">
      <w:pPr>
        <w:pStyle w:val="Numberbullet0"/>
        <w:numPr>
          <w:ilvl w:val="0"/>
          <w:numId w:val="19"/>
        </w:numPr>
        <w:rPr>
          <w:b/>
          <w:i/>
        </w:rPr>
      </w:pPr>
      <w:r w:rsidRPr="006403AF">
        <w:rPr>
          <w:b/>
          <w:i/>
        </w:rPr>
        <w:t>What is the opinion of the Committee in regards to the proposed extension of indication to include the treatment of minimal residual disease (MRD) positive B-cell precursor acute lymphoblastic leukaemia given the data presented in the two submitted studies, in regard to:</w:t>
      </w:r>
    </w:p>
    <w:p w14:paraId="66489912" w14:textId="2291F9AB" w:rsidR="00B67D02" w:rsidRPr="006403AF" w:rsidRDefault="00B67D02" w:rsidP="006403AF">
      <w:pPr>
        <w:pStyle w:val="Numberbullet2"/>
        <w:rPr>
          <w:b/>
          <w:i/>
        </w:rPr>
      </w:pPr>
      <w:r w:rsidRPr="006403AF">
        <w:rPr>
          <w:b/>
          <w:i/>
        </w:rPr>
        <w:t>The criteria used to determine MRD status</w:t>
      </w:r>
    </w:p>
    <w:p w14:paraId="0A25353D" w14:textId="0ADFD4C5" w:rsidR="00B67D02" w:rsidRPr="00B67D02" w:rsidRDefault="00B67D02" w:rsidP="006403AF">
      <w:r w:rsidRPr="00B67D02">
        <w:t xml:space="preserve">The ACM noted the </w:t>
      </w:r>
      <w:r w:rsidR="00093C1B" w:rsidRPr="00B67D02">
        <w:t>variability</w:t>
      </w:r>
      <w:r w:rsidRPr="00B67D02">
        <w:t xml:space="preserve"> in the criteria used to define MRD status between </w:t>
      </w:r>
      <w:r w:rsidR="003C6CEB">
        <w:t xml:space="preserve">Studies </w:t>
      </w:r>
      <w:r w:rsidRPr="00B67D02">
        <w:t>MT103202 and MT103203 and that used in Australian clinical practice. The committee considered that MRD positivity is well established to be an adverse prognostic feature regardless of the cut-off (10</w:t>
      </w:r>
      <w:r w:rsidRPr="00C66445">
        <w:rPr>
          <w:vertAlign w:val="superscript"/>
        </w:rPr>
        <w:t>-3</w:t>
      </w:r>
      <w:r w:rsidRPr="00B67D02">
        <w:t xml:space="preserve"> or 10</w:t>
      </w:r>
      <w:r w:rsidRPr="00C66445">
        <w:rPr>
          <w:vertAlign w:val="superscript"/>
        </w:rPr>
        <w:t>-4</w:t>
      </w:r>
      <w:r w:rsidRPr="00B67D02">
        <w:t>), and that the c</w:t>
      </w:r>
      <w:r w:rsidR="006B206D">
        <w:t>ut</w:t>
      </w:r>
      <w:r w:rsidRPr="00B67D02">
        <w:t xml:space="preserve">-off can be </w:t>
      </w:r>
      <w:r w:rsidR="00093C1B" w:rsidRPr="00B67D02">
        <w:t>arbitrary</w:t>
      </w:r>
      <w:r w:rsidRPr="00B67D02">
        <w:t xml:space="preserve"> dependent on disease and assay type. Current clinical practice treats patients with MRD in the absence of 5% morphological changes as this provides enhanced clinical outcomes. The committee was of the </w:t>
      </w:r>
      <w:r w:rsidR="00093C1B" w:rsidRPr="00B67D02">
        <w:t>opinion</w:t>
      </w:r>
      <w:r w:rsidRPr="00B67D02">
        <w:t xml:space="preserve"> that the high MRD cut off limit used in </w:t>
      </w:r>
      <w:r w:rsidR="0041756E">
        <w:t>Study</w:t>
      </w:r>
      <w:r w:rsidRPr="00B67D02">
        <w:t xml:space="preserve"> MT103202 </w:t>
      </w:r>
      <w:r w:rsidR="00093C1B" w:rsidRPr="00B67D02">
        <w:t>strengthe</w:t>
      </w:r>
      <w:r w:rsidR="00093C1B">
        <w:t>n</w:t>
      </w:r>
      <w:r w:rsidR="00093C1B" w:rsidRPr="00B67D02">
        <w:t>ed</w:t>
      </w:r>
      <w:r w:rsidRPr="00B67D02">
        <w:t xml:space="preserve"> support for the extension of indication.</w:t>
      </w:r>
    </w:p>
    <w:p w14:paraId="507815A3" w14:textId="77777777" w:rsidR="00B67D02" w:rsidRPr="006403AF" w:rsidRDefault="00B67D02" w:rsidP="006403AF">
      <w:pPr>
        <w:pStyle w:val="Numberbullet2"/>
        <w:rPr>
          <w:b/>
          <w:i/>
        </w:rPr>
      </w:pPr>
      <w:r w:rsidRPr="006403AF">
        <w:rPr>
          <w:b/>
          <w:i/>
        </w:rPr>
        <w:t xml:space="preserve">The ability of the two studies to satisfactorily determine a longer-term efficacy benefit of </w:t>
      </w:r>
      <w:proofErr w:type="spellStart"/>
      <w:r w:rsidRPr="006403AF">
        <w:rPr>
          <w:b/>
          <w:i/>
        </w:rPr>
        <w:t>blinatumomab</w:t>
      </w:r>
      <w:proofErr w:type="spellEnd"/>
      <w:r w:rsidRPr="006403AF">
        <w:rPr>
          <w:b/>
          <w:i/>
        </w:rPr>
        <w:t>:</w:t>
      </w:r>
    </w:p>
    <w:p w14:paraId="29E2FC10" w14:textId="3F4E48D4" w:rsidR="00B67D02" w:rsidRPr="00B67D02" w:rsidRDefault="00B67D02" w:rsidP="006403AF">
      <w:r w:rsidRPr="00B67D02">
        <w:t xml:space="preserve">The ACM noted that the evidence provided by </w:t>
      </w:r>
      <w:r w:rsidR="003C6CEB">
        <w:t xml:space="preserve">Studies </w:t>
      </w:r>
      <w:r w:rsidRPr="00B67D02">
        <w:t xml:space="preserve">MT103202 and MT103203 is based on early clinical end-points. These studies are not designed to determine long-term overall survival as primary </w:t>
      </w:r>
      <w:r w:rsidR="00093C1B" w:rsidRPr="00B67D02">
        <w:t>outcomes;</w:t>
      </w:r>
      <w:r w:rsidRPr="00B67D02">
        <w:t xml:space="preserve"> </w:t>
      </w:r>
      <w:r w:rsidR="001E481E" w:rsidRPr="00B67D02">
        <w:t>however,</w:t>
      </w:r>
      <w:r w:rsidRPr="00B67D02">
        <w:t xml:space="preserve"> they did not identify any new safety concerns. The </w:t>
      </w:r>
      <w:r w:rsidR="00093C1B" w:rsidRPr="00B67D02">
        <w:t>committee</w:t>
      </w:r>
      <w:r w:rsidRPr="00B67D02">
        <w:t xml:space="preserve"> discussed that results from randomised studies should ideally be used to determine long-term efficacy and safety.</w:t>
      </w:r>
      <w:r w:rsidR="00093C1B">
        <w:t xml:space="preserve"> </w:t>
      </w:r>
      <w:r w:rsidRPr="00B67D02">
        <w:t xml:space="preserve">The ACM noted that 3 non-randomised </w:t>
      </w:r>
      <w:r w:rsidR="00093C1B">
        <w:t>Phase III</w:t>
      </w:r>
      <w:r w:rsidRPr="00B67D02">
        <w:t xml:space="preserve"> studies are being conducted to assess how </w:t>
      </w:r>
      <w:proofErr w:type="spellStart"/>
      <w:r w:rsidR="00093C1B" w:rsidRPr="00B67D02">
        <w:t>blinatumomab</w:t>
      </w:r>
      <w:proofErr w:type="spellEnd"/>
      <w:r w:rsidRPr="00B67D02">
        <w:t xml:space="preserve"> affects longer-term survival in patients with MRD, and advised that the submission of these study results be a condition of registration</w:t>
      </w:r>
    </w:p>
    <w:p w14:paraId="03ECB03B" w14:textId="77777777" w:rsidR="00B67D02" w:rsidRPr="00B67D02" w:rsidRDefault="00B67D02" w:rsidP="006403AF">
      <w:r w:rsidRPr="00B67D02">
        <w:t>The ACM was supportive of the extension of indication based on the evidence provided and agreed that the ‘note to indication’ was appropriate at this time given the early end-points of the studies presented. Confirmatory long-term efficacy data should be presented for evaluation in order for the ‘note to the indication’ to be removed.</w:t>
      </w:r>
    </w:p>
    <w:p w14:paraId="2A3186AD" w14:textId="4A824ABF" w:rsidR="00B67D02" w:rsidRPr="00B67D02" w:rsidRDefault="00B67D02" w:rsidP="006403AF">
      <w:r w:rsidRPr="00B67D02">
        <w:t>The committee considered there to be insufficient evidence to impose a</w:t>
      </w:r>
      <w:r w:rsidR="00093C1B">
        <w:t xml:space="preserve"> </w:t>
      </w:r>
      <w:r w:rsidRPr="00B67D02">
        <w:t>further restriction based on MRD cut-off on this indication, as done by the FDA.</w:t>
      </w:r>
    </w:p>
    <w:p w14:paraId="49085A03" w14:textId="3989809A" w:rsidR="00B67D02" w:rsidRPr="006403AF" w:rsidRDefault="00B67D02" w:rsidP="006403AF">
      <w:pPr>
        <w:pStyle w:val="ListBullet"/>
        <w:numPr>
          <w:ilvl w:val="0"/>
          <w:numId w:val="0"/>
        </w:numPr>
        <w:ind w:left="360" w:hanging="360"/>
        <w:rPr>
          <w:b/>
          <w:i/>
        </w:rPr>
      </w:pPr>
      <w:r w:rsidRPr="006403AF">
        <w:rPr>
          <w:b/>
          <w:i/>
        </w:rPr>
        <w:t xml:space="preserve">Any other issues the </w:t>
      </w:r>
      <w:r w:rsidR="005E3131">
        <w:rPr>
          <w:b/>
          <w:i/>
        </w:rPr>
        <w:t>c</w:t>
      </w:r>
      <w:r w:rsidRPr="006403AF">
        <w:rPr>
          <w:b/>
          <w:i/>
        </w:rPr>
        <w:t>ommittee consider appropriate</w:t>
      </w:r>
    </w:p>
    <w:p w14:paraId="1102D9FD" w14:textId="4C0AE35B" w:rsidR="00031B12" w:rsidRDefault="00B67D02" w:rsidP="006403AF">
      <w:pPr>
        <w:pStyle w:val="ListBullet"/>
      </w:pPr>
      <w:r w:rsidRPr="00B67D02">
        <w:t xml:space="preserve">It was noted by the ACM that there was minimal data concerning </w:t>
      </w:r>
      <w:proofErr w:type="spellStart"/>
      <w:r w:rsidRPr="00B67D02">
        <w:t>blinatumomab</w:t>
      </w:r>
      <w:proofErr w:type="spellEnd"/>
      <w:r w:rsidRPr="00B67D02">
        <w:t xml:space="preserve"> use in pregnancy. However other treatment considerations may limit the applicability of this risk to this specific population</w:t>
      </w:r>
      <w:r w:rsidR="00031B12">
        <w:t>.</w:t>
      </w:r>
    </w:p>
    <w:p w14:paraId="5D82E305" w14:textId="58C0F638" w:rsidR="00B67D02" w:rsidRPr="005B6383" w:rsidRDefault="00B67D02" w:rsidP="006403AF">
      <w:pPr>
        <w:pStyle w:val="ListBullet"/>
        <w:rPr>
          <w:bCs/>
        </w:rPr>
      </w:pPr>
      <w:r w:rsidRPr="00B67D02">
        <w:t xml:space="preserve">The committee recommended that the number of relapses should not be included in the indication for MRD positive B-precursor ALL as although there were few patients with more than two relapses included in the studies, a restriction would preclude patients who may benefit from </w:t>
      </w:r>
      <w:proofErr w:type="spellStart"/>
      <w:r w:rsidRPr="00B67D02">
        <w:t>blinatumomab</w:t>
      </w:r>
      <w:proofErr w:type="spellEnd"/>
      <w:r w:rsidRPr="00B67D02">
        <w:t>.</w:t>
      </w:r>
    </w:p>
    <w:p w14:paraId="014C3141" w14:textId="77777777" w:rsidR="00B67D02" w:rsidRPr="00B67D02" w:rsidRDefault="00B67D02" w:rsidP="00B67D02">
      <w:r w:rsidRPr="00B67D02">
        <w:t>The ACM advised that implementation by the sponsor of the recommendations outlined above to the satisfaction of the TGA, in addition to the evidence of efficacy and safety provided would support the safe and effective use of this product.</w:t>
      </w:r>
    </w:p>
    <w:p w14:paraId="630A3672" w14:textId="77777777" w:rsidR="008E7846" w:rsidRPr="002E238E" w:rsidRDefault="008E7846" w:rsidP="008E7846">
      <w:pPr>
        <w:pStyle w:val="Heading3"/>
      </w:pPr>
      <w:bookmarkStart w:id="112" w:name="_Toc247691532"/>
      <w:bookmarkStart w:id="113" w:name="_Toc314842516"/>
      <w:bookmarkStart w:id="114" w:name="_Toc22198195"/>
      <w:bookmarkEnd w:id="72"/>
      <w:bookmarkEnd w:id="107"/>
      <w:bookmarkEnd w:id="108"/>
      <w:r>
        <w:lastRenderedPageBreak/>
        <w:t>Outcome</w:t>
      </w:r>
      <w:bookmarkEnd w:id="112"/>
      <w:bookmarkEnd w:id="113"/>
      <w:bookmarkEnd w:id="114"/>
    </w:p>
    <w:p w14:paraId="7ED1228C" w14:textId="171B9CFF" w:rsidR="0029684F" w:rsidRPr="00093C1B" w:rsidRDefault="00D23139" w:rsidP="006403AF">
      <w:pPr>
        <w:rPr>
          <w:rFonts w:asciiTheme="minorHAnsi" w:hAnsiTheme="minorHAnsi"/>
        </w:rPr>
      </w:pPr>
      <w:bookmarkStart w:id="115" w:name="_Toc247691533"/>
      <w:bookmarkStart w:id="116" w:name="_Toc314842517"/>
      <w:r w:rsidRPr="00D23139">
        <w:t>Based on a review of quality, safety and efficacy, T</w:t>
      </w:r>
      <w:r w:rsidR="0029684F">
        <w:t xml:space="preserve">GA approved the registration of: </w:t>
      </w:r>
      <w:proofErr w:type="spellStart"/>
      <w:r w:rsidR="00093C1B">
        <w:t>Blincyto</w:t>
      </w:r>
      <w:proofErr w:type="spellEnd"/>
      <w:r w:rsidR="0029684F" w:rsidRPr="0029684F">
        <w:t xml:space="preserve"> </w:t>
      </w:r>
      <w:proofErr w:type="spellStart"/>
      <w:r w:rsidR="0029684F" w:rsidRPr="0029684F">
        <w:t>blinatumomab</w:t>
      </w:r>
      <w:proofErr w:type="spellEnd"/>
      <w:r w:rsidR="0029684F" w:rsidRPr="0029684F">
        <w:t xml:space="preserve"> 38.5 </w:t>
      </w:r>
      <w:r w:rsidR="00A407C5">
        <w:t>µg</w:t>
      </w:r>
      <w:r w:rsidR="0029684F" w:rsidRPr="0029684F">
        <w:t xml:space="preserve">/g powder for injection vial with Intravenous (IV) solution stabiliser </w:t>
      </w:r>
      <w:r w:rsidR="0029684F" w:rsidRPr="00E70984">
        <w:rPr>
          <w:rFonts w:asciiTheme="minorHAnsi" w:hAnsiTheme="minorHAnsi"/>
        </w:rPr>
        <w:t xml:space="preserve">for </w:t>
      </w:r>
      <w:r w:rsidR="0029684F" w:rsidRPr="00093C1B">
        <w:rPr>
          <w:rFonts w:asciiTheme="minorHAnsi" w:hAnsiTheme="minorHAnsi"/>
        </w:rPr>
        <w:t>the new indication</w:t>
      </w:r>
      <w:r w:rsidR="008C3197">
        <w:rPr>
          <w:rFonts w:asciiTheme="minorHAnsi" w:hAnsiTheme="minorHAnsi"/>
        </w:rPr>
        <w:t>s</w:t>
      </w:r>
      <w:r w:rsidR="0029684F" w:rsidRPr="00093C1B">
        <w:rPr>
          <w:rFonts w:asciiTheme="minorHAnsi" w:hAnsiTheme="minorHAnsi"/>
        </w:rPr>
        <w:t>:</w:t>
      </w:r>
    </w:p>
    <w:p w14:paraId="38274195" w14:textId="77777777" w:rsidR="0038533F" w:rsidRPr="006403AF" w:rsidRDefault="0038533F" w:rsidP="006403AF">
      <w:pPr>
        <w:ind w:left="720"/>
        <w:rPr>
          <w:rFonts w:asciiTheme="minorHAnsi" w:eastAsiaTheme="minorHAnsi" w:hAnsiTheme="minorHAnsi" w:cstheme="minorBidi"/>
          <w:i/>
        </w:rPr>
      </w:pPr>
      <w:proofErr w:type="spellStart"/>
      <w:r w:rsidRPr="006403AF">
        <w:rPr>
          <w:rFonts w:asciiTheme="minorHAnsi" w:hAnsiTheme="minorHAnsi" w:cstheme="minorBidi"/>
          <w:i/>
        </w:rPr>
        <w:t>Blincyto</w:t>
      </w:r>
      <w:proofErr w:type="spellEnd"/>
      <w:r w:rsidRPr="006403AF">
        <w:rPr>
          <w:rFonts w:asciiTheme="minorHAnsi" w:hAnsiTheme="minorHAnsi" w:cstheme="minorBidi"/>
          <w:i/>
        </w:rPr>
        <w:t xml:space="preserve"> is indicated for the treatment of relapsed or refractory B-cell precursor acute lymphoblastic leukaemia (ALL).</w:t>
      </w:r>
    </w:p>
    <w:p w14:paraId="550BBA2F" w14:textId="77777777" w:rsidR="0038533F" w:rsidRPr="006403AF" w:rsidRDefault="0038533F" w:rsidP="006403AF">
      <w:pPr>
        <w:ind w:left="720"/>
        <w:rPr>
          <w:rFonts w:asciiTheme="minorHAnsi" w:hAnsiTheme="minorHAnsi" w:cstheme="minorBidi"/>
          <w:i/>
        </w:rPr>
      </w:pPr>
      <w:proofErr w:type="spellStart"/>
      <w:r w:rsidRPr="006403AF">
        <w:rPr>
          <w:rFonts w:asciiTheme="minorHAnsi" w:hAnsiTheme="minorHAnsi" w:cstheme="minorBidi"/>
          <w:i/>
        </w:rPr>
        <w:t>Blincyto</w:t>
      </w:r>
      <w:proofErr w:type="spellEnd"/>
      <w:r w:rsidRPr="006403AF">
        <w:rPr>
          <w:rFonts w:asciiTheme="minorHAnsi" w:hAnsiTheme="minorHAnsi" w:cstheme="minorBidi"/>
          <w:i/>
        </w:rPr>
        <w:t xml:space="preserve"> is indicated for the treatment of minimal residual disease (MRD) positive B-cell precursor acute lymphoblastic leukaemia (ALL) in patients in complete haematological remission.</w:t>
      </w:r>
    </w:p>
    <w:p w14:paraId="556A718E" w14:textId="43DA81E5" w:rsidR="0029684F" w:rsidRPr="006403AF" w:rsidRDefault="0038533F" w:rsidP="006403AF">
      <w:pPr>
        <w:ind w:left="720"/>
        <w:rPr>
          <w:i/>
        </w:rPr>
      </w:pPr>
      <w:r w:rsidRPr="006403AF">
        <w:rPr>
          <w:i/>
        </w:rPr>
        <w:t>Note to indication: the indications in Philadelphia positive, MRD positive and paediatric patients were approved based on phase II, non-randomised evidence. An improvement in clinical outcomes by direct prospective comparison in a randomised setting relative to other standard-of-care salvage therapies has not been established.</w:t>
      </w:r>
    </w:p>
    <w:p w14:paraId="6F9337DD" w14:textId="77777777" w:rsidR="00D23139" w:rsidRPr="00D23139" w:rsidRDefault="00D23139" w:rsidP="00D23139">
      <w:pPr>
        <w:pStyle w:val="Heading4"/>
      </w:pPr>
      <w:r w:rsidRPr="00D23139">
        <w:t>Specific conditions of registration applying to these goods</w:t>
      </w:r>
    </w:p>
    <w:p w14:paraId="7DD30CF9" w14:textId="14A261F2" w:rsidR="001D0AAB" w:rsidRPr="00093C1B" w:rsidRDefault="001D0AAB" w:rsidP="006403AF">
      <w:pPr>
        <w:pStyle w:val="ListBullet"/>
      </w:pPr>
      <w:r w:rsidRPr="001D0AAB">
        <w:t xml:space="preserve">The </w:t>
      </w:r>
      <w:proofErr w:type="spellStart"/>
      <w:r w:rsidR="00093C1B">
        <w:t>Blincyto</w:t>
      </w:r>
      <w:proofErr w:type="spellEnd"/>
      <w:r w:rsidRPr="001D0AAB">
        <w:t xml:space="preserve"> </w:t>
      </w:r>
      <w:proofErr w:type="spellStart"/>
      <w:r w:rsidRPr="001D0AAB">
        <w:t>blinatumomab</w:t>
      </w:r>
      <w:proofErr w:type="spellEnd"/>
      <w:r w:rsidRPr="001D0AAB">
        <w:t xml:space="preserve"> EU Risk Management Plan (RMP), version </w:t>
      </w:r>
      <w:r w:rsidR="0038533F">
        <w:t>4.0</w:t>
      </w:r>
      <w:r w:rsidRPr="001D0AAB">
        <w:t>, dated</w:t>
      </w:r>
      <w:r w:rsidR="009C6C9A">
        <w:t xml:space="preserve"> </w:t>
      </w:r>
      <w:r w:rsidR="0038533F">
        <w:t>21 February 2017</w:t>
      </w:r>
      <w:r w:rsidRPr="001D0AAB">
        <w:t xml:space="preserve"> (data lock point </w:t>
      </w:r>
      <w:r w:rsidR="0038533F">
        <w:t>2 December</w:t>
      </w:r>
      <w:r w:rsidRPr="001D0AAB">
        <w:t xml:space="preserve"> 2016), with Australian Specific Annex, </w:t>
      </w:r>
      <w:r w:rsidRPr="00093C1B">
        <w:t xml:space="preserve">version </w:t>
      </w:r>
      <w:r w:rsidR="0038533F" w:rsidRPr="00093C1B">
        <w:t>7</w:t>
      </w:r>
      <w:r w:rsidRPr="00093C1B">
        <w:t xml:space="preserve">.0, dated </w:t>
      </w:r>
      <w:r w:rsidR="0038533F" w:rsidRPr="00093C1B">
        <w:t>4 December</w:t>
      </w:r>
      <w:r w:rsidRPr="00093C1B">
        <w:t xml:space="preserve"> 2017, and any future updates, as agreed with the TGA will be implemented in Australia.</w:t>
      </w:r>
    </w:p>
    <w:p w14:paraId="095668FD" w14:textId="4F448F09" w:rsidR="009752A5" w:rsidRPr="009752A5" w:rsidRDefault="001D0AAB" w:rsidP="006403AF">
      <w:pPr>
        <w:pStyle w:val="ListBullet"/>
      </w:pPr>
      <w:r w:rsidRPr="001D0AAB">
        <w:t xml:space="preserve">The results of </w:t>
      </w:r>
      <w:r w:rsidR="00093C1B">
        <w:t>T</w:t>
      </w:r>
      <w:r w:rsidRPr="001D0AAB">
        <w:t>rial AALL 1331 should be presented as a Category 1 submission to the TGA when available</w:t>
      </w:r>
      <w:r w:rsidR="00031B12">
        <w:t>.</w:t>
      </w:r>
    </w:p>
    <w:p w14:paraId="53066430" w14:textId="77777777" w:rsidR="008E7846" w:rsidRDefault="00A80B5B" w:rsidP="00D23139">
      <w:pPr>
        <w:pStyle w:val="Heading2"/>
      </w:pPr>
      <w:bookmarkStart w:id="117" w:name="_Toc22198196"/>
      <w:r>
        <w:t xml:space="preserve">Attachment 1. </w:t>
      </w:r>
      <w:r w:rsidR="008E7846">
        <w:t xml:space="preserve">Product </w:t>
      </w:r>
      <w:r w:rsidR="00AA0ED0">
        <w:t>I</w:t>
      </w:r>
      <w:r w:rsidR="008E7846">
        <w:t>nformation</w:t>
      </w:r>
      <w:bookmarkEnd w:id="115"/>
      <w:bookmarkEnd w:id="116"/>
      <w:bookmarkEnd w:id="117"/>
    </w:p>
    <w:p w14:paraId="373E5AB5" w14:textId="14A77406" w:rsidR="00C80137" w:rsidRDefault="006136D7" w:rsidP="00C80137">
      <w:pPr>
        <w:rPr>
          <w:color w:val="000000"/>
          <w:lang w:eastAsia="en-AU"/>
        </w:rPr>
      </w:pPr>
      <w:r w:rsidRPr="002B3624">
        <w:t xml:space="preserve">The </w:t>
      </w:r>
      <w:r>
        <w:t>PI</w:t>
      </w:r>
      <w:r w:rsidRPr="002B3624">
        <w:t xml:space="preserve"> for </w:t>
      </w:r>
      <w:proofErr w:type="spellStart"/>
      <w:r w:rsidR="000A510D">
        <w:t>Blincyto</w:t>
      </w:r>
      <w:proofErr w:type="spellEnd"/>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30" w:history="1">
        <w:r w:rsidR="007C6B9B" w:rsidRPr="007C6B9B">
          <w:rPr>
            <w:rStyle w:val="Hyperlink"/>
          </w:rPr>
          <w:t>https://www.tga.gov.au/product-information-pi</w:t>
        </w:r>
      </w:hyperlink>
      <w:r w:rsidR="007C6B9B" w:rsidRPr="007C6B9B">
        <w:t xml:space="preserve">&gt;. </w:t>
      </w:r>
    </w:p>
    <w:p w14:paraId="58F93C50" w14:textId="192A8BEF" w:rsidR="00EF4BBC" w:rsidRDefault="00C80137" w:rsidP="00652924">
      <w:pPr>
        <w:pStyle w:val="Heading2"/>
        <w:rPr>
          <w:lang w:eastAsia="ja-JP"/>
        </w:rPr>
      </w:pPr>
      <w:bookmarkStart w:id="118" w:name="_Toc22198197"/>
      <w:r>
        <w:rPr>
          <w:lang w:eastAsia="en-AU"/>
        </w:rPr>
        <w:t>Attachment 2.</w:t>
      </w:r>
      <w:r w:rsidR="00A80B5B">
        <w:rPr>
          <w:lang w:eastAsia="en-AU"/>
        </w:rPr>
        <w:t xml:space="preserve"> </w:t>
      </w:r>
      <w:r>
        <w:rPr>
          <w:lang w:eastAsia="en-AU"/>
        </w:rPr>
        <w:t>Extract from the Clinical Evaluation Report</w:t>
      </w:r>
      <w:bookmarkEnd w:id="118"/>
    </w:p>
    <w:p w14:paraId="448AC2DD" w14:textId="73DDD365" w:rsidR="00C80137" w:rsidRPr="001D043B" w:rsidRDefault="007F2E7D" w:rsidP="00652924">
      <w:pPr>
        <w:spacing w:before="0" w:after="200" w:line="0" w:lineRule="auto"/>
        <w:sectPr w:rsidR="00C80137" w:rsidRPr="001D043B" w:rsidSect="00654968">
          <w:headerReference w:type="even" r:id="rId31"/>
          <w:headerReference w:type="default" r:id="rId32"/>
          <w:headerReference w:type="first" r:id="rId33"/>
          <w:footerReference w:type="first" r:id="rId34"/>
          <w:pgSz w:w="11906" w:h="16838" w:code="9"/>
          <w:pgMar w:top="1440" w:right="1701" w:bottom="1418" w:left="1701" w:header="907" w:footer="215" w:gutter="0"/>
          <w:cols w:space="708"/>
          <w:docGrid w:linePitch="360"/>
        </w:sectPr>
      </w:pPr>
      <w:r>
        <w:rPr>
          <w:sz w:val="18"/>
          <w:szCs w:val="18"/>
          <w:highlight w:val="yellow"/>
          <w:lang w:eastAsia="ja-JP"/>
        </w:rP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5016EC65" w14:textId="77777777" w:rsidTr="00A05FA4">
        <w:trPr>
          <w:trHeight w:hRule="exact" w:val="704"/>
        </w:trPr>
        <w:tc>
          <w:tcPr>
            <w:tcW w:w="9175" w:type="dxa"/>
          </w:tcPr>
          <w:p w14:paraId="1A6281B6" w14:textId="77777777" w:rsidR="001C32CD" w:rsidRPr="00487162" w:rsidRDefault="001C32CD" w:rsidP="00A05FA4">
            <w:pPr>
              <w:pStyle w:val="TGASignoff"/>
            </w:pPr>
            <w:r w:rsidRPr="00487162">
              <w:lastRenderedPageBreak/>
              <w:t>Therapeutic Goods Administration</w:t>
            </w:r>
          </w:p>
        </w:tc>
      </w:tr>
      <w:tr w:rsidR="001C32CD" w:rsidRPr="004C239D" w14:paraId="1B25792C" w14:textId="77777777" w:rsidTr="00A05FA4">
        <w:trPr>
          <w:trHeight w:val="1221"/>
        </w:trPr>
        <w:tc>
          <w:tcPr>
            <w:tcW w:w="9175" w:type="dxa"/>
            <w:tcMar>
              <w:top w:w="28" w:type="dxa"/>
            </w:tcMar>
          </w:tcPr>
          <w:p w14:paraId="1A77D142" w14:textId="77777777" w:rsidR="001C32CD" w:rsidRPr="00487162" w:rsidRDefault="001C32CD" w:rsidP="00A05FA4">
            <w:pPr>
              <w:pStyle w:val="Address"/>
            </w:pPr>
            <w:r w:rsidRPr="00487162">
              <w:t>PO Box 100 Woden ACT 2606 Australia</w:t>
            </w:r>
          </w:p>
          <w:p w14:paraId="01A3A068" w14:textId="53B73820" w:rsidR="001C32CD" w:rsidRPr="00487162" w:rsidRDefault="001C32CD" w:rsidP="00A05FA4">
            <w:pPr>
              <w:pStyle w:val="Address"/>
            </w:pPr>
            <w:r w:rsidRPr="00487162">
              <w:t xml:space="preserve">Email: </w:t>
            </w:r>
            <w:hyperlink r:id="rId35" w:history="1">
              <w:r w:rsidRPr="004C239D">
                <w:rPr>
                  <w:rStyle w:val="Hyperlink"/>
                </w:rPr>
                <w:t>info@tga.gov.au</w:t>
              </w:r>
            </w:hyperlink>
            <w:r w:rsidR="00093C1B">
              <w:t xml:space="preserve"> </w:t>
            </w:r>
            <w:r w:rsidRPr="00487162">
              <w:t>Phone: 1800 020 653</w:t>
            </w:r>
            <w:r w:rsidR="00093C1B">
              <w:t xml:space="preserve"> </w:t>
            </w:r>
            <w:r w:rsidRPr="00487162">
              <w:t>Fax: 02 6232 8605</w:t>
            </w:r>
          </w:p>
          <w:p w14:paraId="7D4D5792" w14:textId="77777777" w:rsidR="001C32CD" w:rsidRPr="004C239D" w:rsidRDefault="00A97AE3" w:rsidP="00A05FA4">
            <w:pPr>
              <w:pStyle w:val="Address"/>
              <w:spacing w:line="260" w:lineRule="atLeast"/>
              <w:rPr>
                <w:b/>
                <w:color w:val="0000FF"/>
                <w:u w:val="single"/>
              </w:rPr>
            </w:pPr>
            <w:hyperlink r:id="rId36" w:history="1">
              <w:r w:rsidR="007C6B9B" w:rsidRPr="007C6B9B">
                <w:rPr>
                  <w:rStyle w:val="Hyperlink"/>
                  <w:b/>
                </w:rPr>
                <w:t>https://www.tga.gov.au</w:t>
              </w:r>
            </w:hyperlink>
          </w:p>
        </w:tc>
      </w:tr>
    </w:tbl>
    <w:p w14:paraId="07A6590A" w14:textId="77777777" w:rsidR="007332F9" w:rsidRPr="008A5E0B" w:rsidRDefault="007332F9" w:rsidP="00BD3E7E"/>
    <w:sectPr w:rsidR="007332F9" w:rsidRPr="008A5E0B" w:rsidSect="001C32CD">
      <w:headerReference w:type="even" r:id="rId37"/>
      <w:headerReference w:type="default" r:id="rId38"/>
      <w:footerReference w:type="default" r:id="rId39"/>
      <w:headerReference w:type="first" r:id="rId40"/>
      <w:footerReference w:type="first" r:id="rId41"/>
      <w:pgSz w:w="11906" w:h="16838" w:code="9"/>
      <w:pgMar w:top="13467" w:right="1701" w:bottom="426" w:left="1701" w:header="907" w:footer="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B0131AE" w16cid:durableId="211B9415"/>
  <w16cid:commentId w16cid:paraId="6810543D" w16cid:durableId="211B94DE"/>
  <w16cid:commentId w16cid:paraId="76285E38" w16cid:durableId="211B9532"/>
  <w16cid:commentId w16cid:paraId="77DBEBCD" w16cid:durableId="211B9416"/>
  <w16cid:commentId w16cid:paraId="3C7FCD65" w16cid:durableId="211B9570"/>
  <w16cid:commentId w16cid:paraId="4AF20099" w16cid:durableId="211B9417"/>
  <w16cid:commentId w16cid:paraId="410DC16D" w16cid:durableId="211B9418"/>
  <w16cid:commentId w16cid:paraId="47C25641" w16cid:durableId="211B9419"/>
  <w16cid:commentId w16cid:paraId="0573C56C" w16cid:durableId="211B941A"/>
  <w16cid:commentId w16cid:paraId="6E67D52F" w16cid:durableId="211B95AD"/>
  <w16cid:commentId w16cid:paraId="3AE9AEC7" w16cid:durableId="211B95DD"/>
  <w16cid:commentId w16cid:paraId="6A9C2E56" w16cid:durableId="211B9616"/>
  <w16cid:commentId w16cid:paraId="2A2066DB" w16cid:durableId="211B96D7"/>
  <w16cid:commentId w16cid:paraId="2E5154D4" w16cid:durableId="211B9773"/>
  <w16cid:commentId w16cid:paraId="2E5154D4" w16cid:durableId="211B9695"/>
  <w16cid:commentId w16cid:paraId="4569707D" w16cid:durableId="211B941B"/>
  <w16cid:commentId w16cid:paraId="790D4459" w16cid:durableId="211B941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136990" w14:textId="77777777" w:rsidR="00A97AE3" w:rsidRDefault="00A97AE3" w:rsidP="00C40A36">
      <w:pPr>
        <w:spacing w:after="0"/>
      </w:pPr>
      <w:r>
        <w:separator/>
      </w:r>
    </w:p>
  </w:endnote>
  <w:endnote w:type="continuationSeparator" w:id="0">
    <w:p w14:paraId="5918A2F2" w14:textId="77777777" w:rsidR="00A97AE3" w:rsidRDefault="00A97AE3"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C7888" w14:textId="77777777" w:rsidR="00A97AE3" w:rsidRDefault="00A97A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505"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6946"/>
      <w:gridCol w:w="1559"/>
    </w:tblGrid>
    <w:tr w:rsidR="00A97AE3" w:rsidRPr="00487162" w14:paraId="4E2AD605" w14:textId="77777777" w:rsidTr="00BF5C77">
      <w:trPr>
        <w:trHeight w:val="269"/>
      </w:trPr>
      <w:tc>
        <w:tcPr>
          <w:tcW w:w="6946" w:type="dxa"/>
          <w:tcMar>
            <w:top w:w="142" w:type="dxa"/>
            <w:bottom w:w="0" w:type="dxa"/>
          </w:tcMar>
        </w:tcPr>
        <w:p w14:paraId="5D5AF379" w14:textId="1B3A26D6" w:rsidR="00A97AE3" w:rsidRPr="00487162" w:rsidRDefault="00A97AE3" w:rsidP="005C176E">
          <w:pPr>
            <w:pStyle w:val="Footer"/>
          </w:pPr>
          <w:r>
            <w:t xml:space="preserve">AusPAR </w:t>
          </w:r>
          <w:proofErr w:type="spellStart"/>
          <w:r>
            <w:t>Blincyto</w:t>
          </w:r>
          <w:proofErr w:type="spellEnd"/>
          <w:r>
            <w:t xml:space="preserve"> </w:t>
          </w:r>
          <w:proofErr w:type="spellStart"/>
          <w:r>
            <w:t>blinatumomab</w:t>
          </w:r>
          <w:proofErr w:type="spellEnd"/>
          <w:r>
            <w:t xml:space="preserve"> Amgen Australia Pty Ltd PM-2017-01431-1-4 - FINAL 30 September 2019</w:t>
          </w:r>
        </w:p>
      </w:tc>
      <w:tc>
        <w:tcPr>
          <w:tcW w:w="1559" w:type="dxa"/>
          <w:tcMar>
            <w:top w:w="142" w:type="dxa"/>
            <w:bottom w:w="0" w:type="dxa"/>
          </w:tcMar>
        </w:tcPr>
        <w:p w14:paraId="053B474C" w14:textId="61ADECD1" w:rsidR="00A97AE3" w:rsidRPr="00487162" w:rsidRDefault="00A97AE3" w:rsidP="00DB750B">
          <w:pPr>
            <w:pStyle w:val="Footer"/>
            <w:jc w:val="right"/>
          </w:pPr>
          <w:r w:rsidRPr="00487162">
            <w:t xml:space="preserve">Page </w:t>
          </w:r>
          <w:r>
            <w:fldChar w:fldCharType="begin"/>
          </w:r>
          <w:r>
            <w:instrText xml:space="preserve"> PAGE  \* Arabic </w:instrText>
          </w:r>
          <w:r>
            <w:fldChar w:fldCharType="separate"/>
          </w:r>
          <w:r w:rsidR="005E3131">
            <w:rPr>
              <w:noProof/>
            </w:rPr>
            <w:t>2</w:t>
          </w:r>
          <w:r>
            <w:fldChar w:fldCharType="end"/>
          </w:r>
          <w:r w:rsidRPr="00487162">
            <w:t xml:space="preserve"> of </w:t>
          </w:r>
          <w:r>
            <w:rPr>
              <w:noProof/>
            </w:rPr>
            <w:fldChar w:fldCharType="begin"/>
          </w:r>
          <w:r>
            <w:rPr>
              <w:noProof/>
            </w:rPr>
            <w:instrText xml:space="preserve"> NUMPAGES  \* Arabic </w:instrText>
          </w:r>
          <w:r>
            <w:rPr>
              <w:noProof/>
            </w:rPr>
            <w:fldChar w:fldCharType="separate"/>
          </w:r>
          <w:r w:rsidR="005E3131">
            <w:rPr>
              <w:noProof/>
            </w:rPr>
            <w:t>52</w:t>
          </w:r>
          <w:r>
            <w:rPr>
              <w:noProof/>
            </w:rPr>
            <w:fldChar w:fldCharType="end"/>
          </w:r>
        </w:p>
      </w:tc>
    </w:tr>
  </w:tbl>
  <w:p w14:paraId="5C616C7C" w14:textId="77777777" w:rsidR="00A97AE3" w:rsidRDefault="00A97AE3"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FB2CE" w14:textId="77777777" w:rsidR="00A97AE3" w:rsidRDefault="00A97AE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97AE3" w:rsidRPr="00487162" w14:paraId="4CF497B0" w14:textId="77777777" w:rsidTr="00E45619">
      <w:trPr>
        <w:trHeight w:val="269"/>
      </w:trPr>
      <w:tc>
        <w:tcPr>
          <w:tcW w:w="4519" w:type="dxa"/>
          <w:tcBorders>
            <w:top w:val="single" w:sz="4" w:space="0" w:color="auto"/>
          </w:tcBorders>
          <w:tcMar>
            <w:top w:w="142" w:type="dxa"/>
            <w:bottom w:w="0" w:type="dxa"/>
          </w:tcMar>
        </w:tcPr>
        <w:p w14:paraId="02A92A39" w14:textId="77777777" w:rsidR="00A97AE3" w:rsidRPr="00487162" w:rsidRDefault="00A97AE3" w:rsidP="00FE1DEE">
          <w:pPr>
            <w:pStyle w:val="Footer"/>
          </w:pPr>
          <w:r w:rsidRPr="00487162">
            <w:t>Document title, Part #, Section # - Section title</w:t>
          </w:r>
        </w:p>
        <w:p w14:paraId="2EC585BB" w14:textId="77777777" w:rsidR="00A97AE3" w:rsidRPr="00487162" w:rsidRDefault="00A97AE3" w:rsidP="00FE1DEE">
          <w:pPr>
            <w:pStyle w:val="Footer"/>
          </w:pPr>
          <w:r w:rsidRPr="00487162">
            <w:t>V1.0 October 2010</w:t>
          </w:r>
        </w:p>
      </w:tc>
      <w:tc>
        <w:tcPr>
          <w:tcW w:w="4342" w:type="dxa"/>
          <w:tcBorders>
            <w:top w:val="single" w:sz="4" w:space="0" w:color="auto"/>
          </w:tcBorders>
          <w:tcMar>
            <w:top w:w="142" w:type="dxa"/>
            <w:bottom w:w="0" w:type="dxa"/>
          </w:tcMar>
        </w:tcPr>
        <w:p w14:paraId="6AA8132D" w14:textId="77777777" w:rsidR="00A97AE3" w:rsidRPr="00487162" w:rsidRDefault="00A97AE3"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Pr>
              <w:noProof/>
            </w:rPr>
            <w:fldChar w:fldCharType="begin"/>
          </w:r>
          <w:r>
            <w:rPr>
              <w:noProof/>
            </w:rPr>
            <w:instrText xml:space="preserve"> NUMPAGES  </w:instrText>
          </w:r>
          <w:r>
            <w:rPr>
              <w:noProof/>
            </w:rPr>
            <w:fldChar w:fldCharType="separate"/>
          </w:r>
          <w:r>
            <w:rPr>
              <w:noProof/>
            </w:rPr>
            <w:t>57</w:t>
          </w:r>
          <w:r>
            <w:rPr>
              <w:noProof/>
            </w:rPr>
            <w:fldChar w:fldCharType="end"/>
          </w:r>
        </w:p>
      </w:tc>
    </w:tr>
  </w:tbl>
  <w:p w14:paraId="5E6C1BD1" w14:textId="77777777" w:rsidR="00A97AE3" w:rsidRDefault="00A97AE3">
    <w:pPr>
      <w:pStyle w:val="Footer"/>
    </w:pPr>
  </w:p>
  <w:p w14:paraId="74741BCE" w14:textId="77777777" w:rsidR="00A97AE3" w:rsidRDefault="00A97AE3"/>
  <w:p w14:paraId="255BA9D8" w14:textId="77777777" w:rsidR="00A97AE3" w:rsidRDefault="00A97AE3"/>
  <w:p w14:paraId="488F8E9F" w14:textId="77777777" w:rsidR="00A97AE3" w:rsidRDefault="00A97AE3"/>
  <w:p w14:paraId="465F4AB8" w14:textId="77777777" w:rsidR="00A97AE3" w:rsidRDefault="00A97AE3"/>
  <w:p w14:paraId="50C25055" w14:textId="77777777" w:rsidR="00A97AE3" w:rsidRDefault="00A97AE3"/>
  <w:p w14:paraId="49909E67" w14:textId="77777777" w:rsidR="00A97AE3" w:rsidRDefault="00A97AE3"/>
  <w:p w14:paraId="4C19A0DF" w14:textId="77777777" w:rsidR="00A97AE3" w:rsidRDefault="00A97AE3"/>
  <w:p w14:paraId="0E3D617B" w14:textId="77777777" w:rsidR="00A97AE3" w:rsidRDefault="00A97AE3"/>
  <w:p w14:paraId="63D176AF" w14:textId="77777777" w:rsidR="00A97AE3" w:rsidRDefault="00A97AE3"/>
  <w:p w14:paraId="75C310F5" w14:textId="77777777" w:rsidR="00A97AE3" w:rsidRDefault="00A97AE3"/>
  <w:p w14:paraId="576E6ABB" w14:textId="77777777" w:rsidR="00A97AE3" w:rsidRDefault="00A97AE3"/>
  <w:p w14:paraId="42017F25" w14:textId="77777777" w:rsidR="00A97AE3" w:rsidRDefault="00A97AE3"/>
  <w:p w14:paraId="4E7787E8" w14:textId="77777777" w:rsidR="00A97AE3" w:rsidRDefault="00A97AE3"/>
  <w:p w14:paraId="5AA5A479" w14:textId="77777777" w:rsidR="00A97AE3" w:rsidRDefault="00A97AE3"/>
  <w:p w14:paraId="1FA3A3F4" w14:textId="77777777" w:rsidR="00A97AE3" w:rsidRDefault="00A97AE3"/>
  <w:p w14:paraId="63D593FE" w14:textId="77777777" w:rsidR="00A97AE3" w:rsidRDefault="00A97AE3"/>
  <w:p w14:paraId="139B54A3" w14:textId="77777777" w:rsidR="00A97AE3" w:rsidRDefault="00A97AE3"/>
  <w:p w14:paraId="490AB121" w14:textId="77777777" w:rsidR="00A97AE3" w:rsidRDefault="00A97AE3"/>
  <w:p w14:paraId="3A3A1681" w14:textId="77777777" w:rsidR="00A97AE3" w:rsidRDefault="00A97AE3"/>
  <w:p w14:paraId="617E32B2" w14:textId="77777777" w:rsidR="00A97AE3" w:rsidRDefault="00A97AE3"/>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7B22E" w14:textId="77777777" w:rsidR="00A97AE3" w:rsidRPr="001C32CD" w:rsidRDefault="00A97AE3"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97AE3" w14:paraId="667D966C" w14:textId="77777777" w:rsidTr="0010601F">
      <w:trPr>
        <w:trHeight w:val="108"/>
      </w:trPr>
      <w:tc>
        <w:tcPr>
          <w:tcW w:w="8875" w:type="dxa"/>
          <w:gridSpan w:val="2"/>
          <w:tcBorders>
            <w:bottom w:val="single" w:sz="4" w:space="0" w:color="auto"/>
          </w:tcBorders>
          <w:tcMar>
            <w:right w:w="284" w:type="dxa"/>
          </w:tcMar>
        </w:tcPr>
        <w:p w14:paraId="6A43A61D" w14:textId="77777777" w:rsidR="00A97AE3" w:rsidRDefault="00A97AE3" w:rsidP="006E08B3">
          <w:pPr>
            <w:pStyle w:val="Heading3"/>
          </w:pPr>
          <w:r>
            <w:t>Copyright</w:t>
          </w:r>
        </w:p>
        <w:p w14:paraId="4048A29E" w14:textId="77777777" w:rsidR="00A97AE3" w:rsidRDefault="00A97AE3" w:rsidP="006E08B3">
          <w:r>
            <w:rPr>
              <w:rFonts w:cs="Arial"/>
            </w:rPr>
            <w:t>©</w:t>
          </w:r>
          <w:r>
            <w:t xml:space="preserve"> Commonwealth of Australia [add year]</w:t>
          </w:r>
        </w:p>
        <w:p w14:paraId="3D935972" w14:textId="77777777" w:rsidR="00A97AE3" w:rsidRDefault="00A97AE3" w:rsidP="006E08B3"/>
        <w:p w14:paraId="58DB4048" w14:textId="77777777" w:rsidR="00A97AE3" w:rsidRDefault="00A97AE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6E3DEA23" w14:textId="77777777" w:rsidR="00A97AE3" w:rsidRDefault="00A97AE3" w:rsidP="006E08B3"/>
        <w:p w14:paraId="584C34B4" w14:textId="77777777" w:rsidR="00A97AE3" w:rsidRDefault="00A97AE3" w:rsidP="006E08B3">
          <w:pPr>
            <w:pStyle w:val="Heading3"/>
          </w:pPr>
          <w:r>
            <w:t>Confidentiality</w:t>
          </w:r>
        </w:p>
        <w:p w14:paraId="7E8EBE1F" w14:textId="77777777" w:rsidR="00A97AE3" w:rsidRDefault="00A97AE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45209835" w14:textId="77777777" w:rsidR="00A97AE3" w:rsidRDefault="00A97AE3" w:rsidP="006E08B3"/>
        <w:p w14:paraId="0E7C074B" w14:textId="77777777" w:rsidR="00A97AE3" w:rsidRDefault="00A97AE3" w:rsidP="006E08B3">
          <w:r>
            <w:t>For submission made by individuals, all personal details, other than your name, will be removed from your submission before it is published on the TGA’s Internet site.</w:t>
          </w:r>
        </w:p>
        <w:p w14:paraId="47307A26" w14:textId="77777777" w:rsidR="00A97AE3" w:rsidRDefault="00A97AE3" w:rsidP="006E08B3"/>
        <w:p w14:paraId="29CADC99" w14:textId="77777777" w:rsidR="00A97AE3" w:rsidRDefault="00A97AE3"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A97AE3" w14:paraId="1E8469D0" w14:textId="77777777" w:rsidTr="0010601F">
      <w:trPr>
        <w:trHeight w:val="417"/>
      </w:trPr>
      <w:tc>
        <w:tcPr>
          <w:tcW w:w="4519" w:type="dxa"/>
          <w:tcBorders>
            <w:top w:val="single" w:sz="4" w:space="0" w:color="auto"/>
          </w:tcBorders>
          <w:tcMar>
            <w:top w:w="142" w:type="dxa"/>
            <w:bottom w:w="0" w:type="dxa"/>
          </w:tcMar>
        </w:tcPr>
        <w:p w14:paraId="7B0099F4" w14:textId="77777777" w:rsidR="00A97AE3" w:rsidRDefault="00A97AE3" w:rsidP="006E08B3">
          <w:r>
            <w:t>Document title, Part #, Section # - Section title</w:t>
          </w:r>
        </w:p>
        <w:p w14:paraId="611F14FB" w14:textId="77777777" w:rsidR="00A97AE3" w:rsidRDefault="00A97AE3" w:rsidP="006E08B3">
          <w:r>
            <w:t>V1.0 October 2010</w:t>
          </w:r>
        </w:p>
      </w:tc>
      <w:tc>
        <w:tcPr>
          <w:tcW w:w="4356" w:type="dxa"/>
          <w:tcBorders>
            <w:top w:val="single" w:sz="4" w:space="0" w:color="auto"/>
          </w:tcBorders>
          <w:tcMar>
            <w:top w:w="142" w:type="dxa"/>
            <w:bottom w:w="0" w:type="dxa"/>
          </w:tcMar>
        </w:tcPr>
        <w:p w14:paraId="0074DE65" w14:textId="77777777" w:rsidR="00A97AE3" w:rsidRDefault="00A97AE3"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Pr>
              <w:noProof/>
            </w:rPr>
            <w:fldChar w:fldCharType="begin"/>
          </w:r>
          <w:r>
            <w:rPr>
              <w:noProof/>
            </w:rPr>
            <w:instrText xml:space="preserve"> NUMPAGES  \* Arabic </w:instrText>
          </w:r>
          <w:r>
            <w:rPr>
              <w:noProof/>
            </w:rPr>
            <w:fldChar w:fldCharType="separate"/>
          </w:r>
          <w:r>
            <w:rPr>
              <w:noProof/>
            </w:rPr>
            <w:t>57</w:t>
          </w:r>
          <w:r>
            <w:rPr>
              <w:noProof/>
            </w:rPr>
            <w:fldChar w:fldCharType="end"/>
          </w:r>
          <w:r>
            <w:t xml:space="preserve">  </w:t>
          </w:r>
        </w:p>
      </w:tc>
    </w:tr>
  </w:tbl>
  <w:p w14:paraId="58DC0EFA" w14:textId="77777777" w:rsidR="00A97AE3" w:rsidRDefault="00A97AE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41DBF0" w14:textId="77777777" w:rsidR="00A97AE3" w:rsidRDefault="00A97AE3" w:rsidP="00C40A36">
      <w:pPr>
        <w:spacing w:after="0"/>
      </w:pPr>
      <w:r>
        <w:separator/>
      </w:r>
    </w:p>
  </w:footnote>
  <w:footnote w:type="continuationSeparator" w:id="0">
    <w:p w14:paraId="0FDDD91E" w14:textId="77777777" w:rsidR="00A97AE3" w:rsidRDefault="00A97AE3" w:rsidP="00C40A36">
      <w:pPr>
        <w:spacing w:after="0"/>
      </w:pPr>
      <w:r>
        <w:continuationSeparator/>
      </w:r>
    </w:p>
  </w:footnote>
  <w:footnote w:id="1">
    <w:p w14:paraId="1FED2D34" w14:textId="77777777" w:rsidR="00A97AE3" w:rsidRDefault="00A97AE3" w:rsidP="00195218">
      <w:pPr>
        <w:pStyle w:val="FootnoteText"/>
      </w:pPr>
      <w:r>
        <w:rPr>
          <w:rStyle w:val="FootnoteReference"/>
        </w:rPr>
        <w:footnoteRef/>
      </w:r>
      <w:r>
        <w:t xml:space="preserve"> Clarification: during the course of the evaluation the proposed indication was revised to:</w:t>
      </w:r>
      <w:r w:rsidRPr="00BE48ED">
        <w:t xml:space="preserve"> </w:t>
      </w:r>
    </w:p>
    <w:p w14:paraId="68EBE693" w14:textId="77777777" w:rsidR="00A97AE3" w:rsidRPr="00195218" w:rsidRDefault="00A97AE3" w:rsidP="00195218">
      <w:pPr>
        <w:pStyle w:val="FootnoteText"/>
        <w:ind w:left="720"/>
        <w:rPr>
          <w:i/>
        </w:rPr>
      </w:pPr>
      <w:proofErr w:type="spellStart"/>
      <w:r w:rsidRPr="00195218">
        <w:rPr>
          <w:i/>
        </w:rPr>
        <w:t>Blincyto</w:t>
      </w:r>
      <w:proofErr w:type="spellEnd"/>
      <w:r w:rsidRPr="00195218">
        <w:rPr>
          <w:i/>
        </w:rPr>
        <w:t xml:space="preserve"> is indicated for the treatment of relapsed or refractory B-cell precursor acute lymphoblastic leukaemia (ALL).</w:t>
      </w:r>
    </w:p>
    <w:p w14:paraId="3CF98891" w14:textId="77777777" w:rsidR="00A97AE3" w:rsidRPr="00195218" w:rsidRDefault="00A97AE3" w:rsidP="00195218">
      <w:pPr>
        <w:pStyle w:val="FootnoteText"/>
        <w:ind w:left="720"/>
        <w:rPr>
          <w:i/>
        </w:rPr>
      </w:pPr>
      <w:proofErr w:type="spellStart"/>
      <w:r w:rsidRPr="00195218">
        <w:rPr>
          <w:i/>
        </w:rPr>
        <w:t>Blincyto</w:t>
      </w:r>
      <w:proofErr w:type="spellEnd"/>
      <w:r w:rsidRPr="00195218">
        <w:rPr>
          <w:i/>
        </w:rPr>
        <w:t xml:space="preserve"> is indicated for the treatment of minimal residual disease (MRD) positive B-cell precursor acute lymphoblastic leukaemia (ALL) in patients in complete haematological remission.</w:t>
      </w:r>
    </w:p>
    <w:p w14:paraId="2B077999" w14:textId="72CE016F" w:rsidR="00A97AE3" w:rsidRDefault="00A97AE3" w:rsidP="00195218">
      <w:pPr>
        <w:pStyle w:val="FootnoteText"/>
        <w:ind w:left="720"/>
      </w:pPr>
      <w:r w:rsidRPr="00195218">
        <w:rPr>
          <w:i/>
        </w:rPr>
        <w:t>Note to indication: the indications in Philadelphia positive, MRD positive and paediatric patients were approved based on phase II, non-randomised evidence. An improvement in clinical outcomes by direct prospective comparison in a randomised setting relative to other standard-of-care salvage therapies has not been established.</w:t>
      </w:r>
    </w:p>
  </w:footnote>
  <w:footnote w:id="2">
    <w:p w14:paraId="79653D02" w14:textId="08C5ECF2" w:rsidR="00A97AE3" w:rsidRPr="00DB582D" w:rsidRDefault="00A97AE3">
      <w:pPr>
        <w:pStyle w:val="FootnoteText"/>
        <w:rPr>
          <w:lang w:val="en-GB"/>
        </w:rPr>
      </w:pPr>
      <w:r>
        <w:rPr>
          <w:rStyle w:val="FootnoteReference"/>
        </w:rPr>
        <w:footnoteRef/>
      </w:r>
      <w:r>
        <w:t xml:space="preserve"> </w:t>
      </w:r>
      <w:r w:rsidRPr="00090CBC">
        <w:t xml:space="preserve">FDA-NIH Biomarker Working Group. BEST (Biomarkers, Endpoints, and </w:t>
      </w:r>
      <w:r>
        <w:t>other Tools) Resource. Silver Spring, MD, USA</w:t>
      </w:r>
      <w:r w:rsidRPr="00090CBC">
        <w:t>: Food and Dr</w:t>
      </w:r>
      <w:r>
        <w:t xml:space="preserve">ug Administration (US); 2016-. </w:t>
      </w:r>
      <w:r w:rsidRPr="00090CBC">
        <w:t>Co-published by National Institutes of Health (US), Bethesda (MD</w:t>
      </w:r>
      <w:r>
        <w:t>, USA</w:t>
      </w:r>
      <w:r w:rsidRPr="00090CBC">
        <w:t>).</w:t>
      </w:r>
    </w:p>
  </w:footnote>
  <w:footnote w:id="3">
    <w:p w14:paraId="58D0BC58" w14:textId="77777777" w:rsidR="00A97AE3" w:rsidRDefault="00A97AE3">
      <w:pPr>
        <w:pStyle w:val="FootnoteText"/>
      </w:pPr>
      <w:r>
        <w:rPr>
          <w:rStyle w:val="FootnoteReference"/>
        </w:rPr>
        <w:footnoteRef/>
      </w:r>
      <w:r>
        <w:t xml:space="preserve"> OS = overall survival</w:t>
      </w:r>
    </w:p>
  </w:footnote>
  <w:footnote w:id="4">
    <w:p w14:paraId="5AD66D09" w14:textId="77777777" w:rsidR="00A97AE3" w:rsidRPr="009302FA" w:rsidRDefault="00A97AE3">
      <w:pPr>
        <w:pStyle w:val="FootnoteText"/>
        <w:rPr>
          <w:lang w:val="en-US"/>
        </w:rPr>
      </w:pPr>
      <w:r>
        <w:rPr>
          <w:rStyle w:val="FootnoteReference"/>
        </w:rPr>
        <w:footnoteRef/>
      </w:r>
      <w:r>
        <w:t xml:space="preserve"> </w:t>
      </w:r>
      <w:proofErr w:type="spellStart"/>
      <w:r>
        <w:t>BiTE</w:t>
      </w:r>
      <w:proofErr w:type="spellEnd"/>
      <w:r>
        <w:t xml:space="preserve"> = </w:t>
      </w:r>
      <w:proofErr w:type="spellStart"/>
      <w:r>
        <w:t>Biospecific</w:t>
      </w:r>
      <w:proofErr w:type="spellEnd"/>
      <w:r>
        <w:t xml:space="preserve"> T cell engager</w:t>
      </w:r>
    </w:p>
  </w:footnote>
  <w:footnote w:id="5">
    <w:p w14:paraId="6F21CFC7" w14:textId="77777777" w:rsidR="00A97AE3" w:rsidRDefault="00A97AE3">
      <w:pPr>
        <w:pStyle w:val="FootnoteText"/>
      </w:pPr>
      <w:r>
        <w:rPr>
          <w:rStyle w:val="FootnoteReference"/>
        </w:rPr>
        <w:footnoteRef/>
      </w:r>
      <w:r>
        <w:t xml:space="preserve"> </w:t>
      </w:r>
      <w:proofErr w:type="spellStart"/>
      <w:r>
        <w:t>CRh</w:t>
      </w:r>
      <w:proofErr w:type="spellEnd"/>
      <w:r>
        <w:t>* =</w:t>
      </w:r>
      <w:r w:rsidRPr="005B6383">
        <w:t xml:space="preserve"> </w:t>
      </w:r>
      <w:r>
        <w:t>complete remission with partial haematological recovery</w:t>
      </w:r>
    </w:p>
  </w:footnote>
  <w:footnote w:id="6">
    <w:p w14:paraId="7F2CF981" w14:textId="77777777" w:rsidR="00A97AE3" w:rsidRDefault="00A97AE3" w:rsidP="00F12492">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7B6CBF93" w14:textId="77777777" w:rsidR="00A97AE3" w:rsidRDefault="00A97AE3" w:rsidP="00F12492">
      <w:pPr>
        <w:pStyle w:val="FootnoteText"/>
      </w:pPr>
      <w:r w:rsidRPr="00F12492">
        <w:rPr>
          <w:i/>
        </w:rPr>
        <w:t>Routine pharmacovigilance</w:t>
      </w:r>
      <w:r>
        <w:t xml:space="preserve"> practices involve the following activities:</w:t>
      </w:r>
    </w:p>
    <w:p w14:paraId="15FE5208" w14:textId="77777777" w:rsidR="00A97AE3" w:rsidRDefault="00A97AE3" w:rsidP="00F12492">
      <w:pPr>
        <w:pStyle w:val="FootnoteText"/>
        <w:ind w:left="709" w:hanging="709"/>
      </w:pPr>
      <w:r>
        <w:t>•</w:t>
      </w:r>
      <w:r>
        <w:tab/>
        <w:t>All suspected adverse reactions that are reported to the personnel of the company are collected and collated in an accessible manner;</w:t>
      </w:r>
    </w:p>
    <w:p w14:paraId="589DB879" w14:textId="77777777" w:rsidR="00A97AE3" w:rsidRDefault="00A97AE3" w:rsidP="00F12492">
      <w:pPr>
        <w:pStyle w:val="FootnoteText"/>
        <w:ind w:left="709" w:hanging="709"/>
      </w:pPr>
      <w:r>
        <w:t>•</w:t>
      </w:r>
      <w:r>
        <w:tab/>
        <w:t>Reporting to regulatory authorities;</w:t>
      </w:r>
    </w:p>
    <w:p w14:paraId="35BAE34F" w14:textId="77777777" w:rsidR="00A97AE3" w:rsidRDefault="00A97AE3" w:rsidP="00F12492">
      <w:pPr>
        <w:pStyle w:val="FootnoteText"/>
        <w:ind w:left="709" w:hanging="709"/>
      </w:pPr>
      <w:r>
        <w:t>•</w:t>
      </w:r>
      <w:r>
        <w:tab/>
        <w:t xml:space="preserve">Continuous monitoring of the safety profiles of approved products including signal detection and updating of </w:t>
      </w:r>
      <w:proofErr w:type="spellStart"/>
      <w:r>
        <w:t>labeling</w:t>
      </w:r>
      <w:proofErr w:type="spellEnd"/>
      <w:r>
        <w:t>;</w:t>
      </w:r>
    </w:p>
    <w:p w14:paraId="5DAF1002" w14:textId="77777777" w:rsidR="00A97AE3" w:rsidRDefault="00A97AE3" w:rsidP="00F12492">
      <w:pPr>
        <w:pStyle w:val="FootnoteText"/>
      </w:pPr>
      <w:r>
        <w:t>•</w:t>
      </w:r>
      <w:r>
        <w:tab/>
        <w:t>Submission of PSURs;</w:t>
      </w:r>
    </w:p>
    <w:p w14:paraId="2006136A" w14:textId="77777777" w:rsidR="00A97AE3" w:rsidRPr="00F12492" w:rsidRDefault="00A97AE3" w:rsidP="00F12492">
      <w:pPr>
        <w:pStyle w:val="FootnoteText"/>
        <w:rPr>
          <w:lang w:val="en-US"/>
        </w:rPr>
      </w:pPr>
      <w:r>
        <w:t>•</w:t>
      </w:r>
      <w:r>
        <w:tab/>
        <w:t>Meeting other local regulatory agency requirements.</w:t>
      </w:r>
    </w:p>
  </w:footnote>
  <w:footnote w:id="7">
    <w:p w14:paraId="2423988F" w14:textId="77777777" w:rsidR="00A97AE3" w:rsidRDefault="00A97AE3" w:rsidP="009E0C19">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04A071A1" w14:textId="77777777" w:rsidR="00A97AE3" w:rsidRPr="009E0C19" w:rsidRDefault="00A97AE3" w:rsidP="009E0C19">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634D2" w14:textId="77777777" w:rsidR="00A97AE3" w:rsidRDefault="00A97A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1D4E7" w14:textId="77777777" w:rsidR="00A97AE3" w:rsidRDefault="00A97AE3"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86563" w14:textId="77777777" w:rsidR="00A97AE3" w:rsidRDefault="00A97AE3">
    <w:pPr>
      <w:rPr>
        <w:noProof/>
        <w:lang w:eastAsia="en-AU"/>
      </w:rPr>
    </w:pPr>
    <w:r w:rsidRPr="00347824">
      <w:rPr>
        <w:noProof/>
        <w:lang w:eastAsia="en-AU"/>
      </w:rPr>
      <w:drawing>
        <wp:anchor distT="0" distB="0" distL="114300" distR="114300" simplePos="0" relativeHeight="251658240" behindDoc="1" locked="0" layoutInCell="1" allowOverlap="1" wp14:anchorId="429BEBAE" wp14:editId="72AD56E9">
          <wp:simplePos x="0" y="0"/>
          <wp:positionH relativeFrom="column">
            <wp:posOffset>-1089660</wp:posOffset>
          </wp:positionH>
          <wp:positionV relativeFrom="paragraph">
            <wp:posOffset>-585470</wp:posOffset>
          </wp:positionV>
          <wp:extent cx="7572375" cy="10706100"/>
          <wp:effectExtent l="19050" t="0" r="0" b="0"/>
          <wp:wrapNone/>
          <wp:docPr id="13"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64E64A40" w14:textId="1E3BA374" w:rsidR="00A97AE3" w:rsidRDefault="00A97AE3" w:rsidP="00593AD1">
    <w:pPr>
      <w:pStyle w:val="HeaderNoLin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62387" w14:textId="77777777" w:rsidR="00A97AE3" w:rsidRDefault="00A97AE3">
    <w:pPr>
      <w:pStyle w:val="Header"/>
    </w:pPr>
  </w:p>
  <w:p w14:paraId="5B5DC297" w14:textId="77777777" w:rsidR="00A97AE3" w:rsidRDefault="00A97AE3"/>
  <w:p w14:paraId="36FEFED0" w14:textId="77777777" w:rsidR="00A97AE3" w:rsidRDefault="00A97AE3"/>
  <w:p w14:paraId="6F8230E0" w14:textId="77777777" w:rsidR="00A97AE3" w:rsidRDefault="00A97AE3"/>
  <w:p w14:paraId="7099EDDE" w14:textId="77777777" w:rsidR="00A97AE3" w:rsidRDefault="00A97AE3"/>
  <w:p w14:paraId="5C475E73" w14:textId="77777777" w:rsidR="00A97AE3" w:rsidRDefault="00A97AE3"/>
  <w:p w14:paraId="38FF44E9" w14:textId="77777777" w:rsidR="00A97AE3" w:rsidRDefault="00A97AE3"/>
  <w:p w14:paraId="34035E09" w14:textId="77777777" w:rsidR="00A97AE3" w:rsidRDefault="00A97AE3"/>
  <w:p w14:paraId="003B4C60" w14:textId="77777777" w:rsidR="00A97AE3" w:rsidRDefault="00A97AE3"/>
  <w:p w14:paraId="7DEDAED3" w14:textId="77777777" w:rsidR="00A97AE3" w:rsidRDefault="00A97AE3"/>
  <w:p w14:paraId="2258DE73" w14:textId="77777777" w:rsidR="00A97AE3" w:rsidRDefault="00A97AE3"/>
  <w:p w14:paraId="465AA523" w14:textId="77777777" w:rsidR="00A97AE3" w:rsidRDefault="00A97AE3"/>
  <w:p w14:paraId="1E7E14DF" w14:textId="77777777" w:rsidR="00A97AE3" w:rsidRDefault="00A97AE3"/>
  <w:p w14:paraId="65F36ABA" w14:textId="77777777" w:rsidR="00A97AE3" w:rsidRDefault="00A97AE3"/>
  <w:p w14:paraId="465258DB" w14:textId="77777777" w:rsidR="00A97AE3" w:rsidRDefault="00A97AE3"/>
  <w:p w14:paraId="6027A9FD" w14:textId="77777777" w:rsidR="00A97AE3" w:rsidRDefault="00A97AE3"/>
  <w:p w14:paraId="6CB14658" w14:textId="77777777" w:rsidR="00A97AE3" w:rsidRDefault="00A97AE3"/>
  <w:p w14:paraId="67E48C56" w14:textId="77777777" w:rsidR="00A97AE3" w:rsidRDefault="00A97AE3"/>
  <w:p w14:paraId="45E8AE83" w14:textId="77777777" w:rsidR="00A97AE3" w:rsidRDefault="00A97AE3"/>
  <w:p w14:paraId="0A7BA751" w14:textId="77777777" w:rsidR="00A97AE3" w:rsidRDefault="00A97AE3"/>
  <w:p w14:paraId="44CE8C18" w14:textId="77777777" w:rsidR="00A97AE3" w:rsidRDefault="00A97AE3"/>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1D8B1" w14:textId="77777777" w:rsidR="00A97AE3" w:rsidRPr="00652924" w:rsidRDefault="00A97AE3" w:rsidP="0065292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56723" w14:textId="77777777" w:rsidR="00A97AE3" w:rsidRDefault="00A97AE3">
    <w:pPr>
      <w:pStyle w:val="Header"/>
    </w:pPr>
    <w:r>
      <w:t>Therapeutic Goods Administration</w:t>
    </w:r>
  </w:p>
  <w:p w14:paraId="21927CD0" w14:textId="77777777" w:rsidR="00A97AE3" w:rsidRDefault="00A97AE3"/>
  <w:p w14:paraId="0BCAFBE7" w14:textId="77777777" w:rsidR="00A97AE3" w:rsidRDefault="00A97AE3"/>
  <w:p w14:paraId="052E7336" w14:textId="77777777" w:rsidR="00A97AE3" w:rsidRDefault="00A97AE3"/>
  <w:p w14:paraId="62068B1F" w14:textId="77777777" w:rsidR="00A97AE3" w:rsidRDefault="00A97AE3"/>
  <w:p w14:paraId="3014206B" w14:textId="77777777" w:rsidR="00A97AE3" w:rsidRDefault="00A97AE3"/>
  <w:p w14:paraId="0F2C81E4" w14:textId="77777777" w:rsidR="00A97AE3" w:rsidRDefault="00A97AE3"/>
  <w:p w14:paraId="397FB336" w14:textId="77777777" w:rsidR="00A97AE3" w:rsidRDefault="00A97AE3"/>
  <w:p w14:paraId="730AFEF9" w14:textId="77777777" w:rsidR="00A97AE3" w:rsidRDefault="00A97AE3"/>
  <w:p w14:paraId="07E486EE" w14:textId="77777777" w:rsidR="00A97AE3" w:rsidRDefault="00A97AE3"/>
  <w:p w14:paraId="6518FE4C" w14:textId="77777777" w:rsidR="00A97AE3" w:rsidRDefault="00A97AE3"/>
  <w:p w14:paraId="0AE09F66" w14:textId="77777777" w:rsidR="00A97AE3" w:rsidRDefault="00A97AE3"/>
  <w:p w14:paraId="664FD435" w14:textId="77777777" w:rsidR="00A97AE3" w:rsidRDefault="00A97AE3"/>
  <w:p w14:paraId="1F8CF263" w14:textId="77777777" w:rsidR="00A97AE3" w:rsidRDefault="00A97AE3"/>
  <w:p w14:paraId="7D3B807A" w14:textId="77777777" w:rsidR="00A97AE3" w:rsidRDefault="00A97AE3"/>
  <w:p w14:paraId="6EBCB138" w14:textId="77777777" w:rsidR="00A97AE3" w:rsidRDefault="00A97AE3"/>
  <w:p w14:paraId="57E79692" w14:textId="77777777" w:rsidR="00A97AE3" w:rsidRDefault="00A97AE3"/>
  <w:p w14:paraId="6A884829" w14:textId="77777777" w:rsidR="00A97AE3" w:rsidRDefault="00A97AE3"/>
  <w:p w14:paraId="09454708" w14:textId="77777777" w:rsidR="00A97AE3" w:rsidRDefault="00A97AE3"/>
  <w:p w14:paraId="41C2B43B" w14:textId="77777777" w:rsidR="00A97AE3" w:rsidRDefault="00A97AE3"/>
  <w:p w14:paraId="6589095B" w14:textId="77777777" w:rsidR="00A97AE3" w:rsidRDefault="00A97AE3"/>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3A174" w14:textId="77777777" w:rsidR="00A97AE3" w:rsidRDefault="00A97AE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6872B" w14:textId="77777777" w:rsidR="00A97AE3" w:rsidRDefault="00A97AE3"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B7154" w14:textId="77777777" w:rsidR="00A97AE3" w:rsidRDefault="00A97AE3" w:rsidP="006E08B3">
    <w:r>
      <w:t>Therapeutic Goods Administration</w:t>
    </w:r>
  </w:p>
  <w:p w14:paraId="5CF7587D" w14:textId="77777777" w:rsidR="00A97AE3" w:rsidRDefault="00A97AE3"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D3026BF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4BE4C2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C566BA6"/>
    <w:multiLevelType w:val="hybridMultilevel"/>
    <w:tmpl w:val="2D824790"/>
    <w:lvl w:ilvl="0" w:tplc="E3B6797C">
      <w:start w:val="1"/>
      <w:numFmt w:val="lowerRoman"/>
      <w:lvlText w:val="%1)"/>
      <w:lvlJc w:val="left"/>
      <w:pPr>
        <w:ind w:left="1185" w:hanging="720"/>
      </w:pPr>
      <w:rPr>
        <w:rFonts w:ascii="Cambria" w:eastAsia="Cambria" w:hAnsi="Cambria" w:cs="Cambria" w:hint="default"/>
        <w:spacing w:val="0"/>
        <w:w w:val="100"/>
        <w:sz w:val="22"/>
        <w:szCs w:val="22"/>
        <w:lang w:val="en-AU" w:eastAsia="en-AU" w:bidi="en-AU"/>
      </w:rPr>
    </w:lvl>
    <w:lvl w:ilvl="1" w:tplc="E9C024F0">
      <w:numFmt w:val="bullet"/>
      <w:lvlText w:val="•"/>
      <w:lvlJc w:val="left"/>
      <w:pPr>
        <w:ind w:left="1723" w:hanging="720"/>
      </w:pPr>
      <w:rPr>
        <w:rFonts w:hint="default"/>
        <w:lang w:val="en-AU" w:eastAsia="en-AU" w:bidi="en-AU"/>
      </w:rPr>
    </w:lvl>
    <w:lvl w:ilvl="2" w:tplc="51E417B2">
      <w:numFmt w:val="bullet"/>
      <w:lvlText w:val="•"/>
      <w:lvlJc w:val="left"/>
      <w:pPr>
        <w:ind w:left="2266" w:hanging="720"/>
      </w:pPr>
      <w:rPr>
        <w:rFonts w:hint="default"/>
        <w:lang w:val="en-AU" w:eastAsia="en-AU" w:bidi="en-AU"/>
      </w:rPr>
    </w:lvl>
    <w:lvl w:ilvl="3" w:tplc="6150B0A2">
      <w:numFmt w:val="bullet"/>
      <w:lvlText w:val="•"/>
      <w:lvlJc w:val="left"/>
      <w:pPr>
        <w:ind w:left="2810" w:hanging="720"/>
      </w:pPr>
      <w:rPr>
        <w:rFonts w:hint="default"/>
        <w:lang w:val="en-AU" w:eastAsia="en-AU" w:bidi="en-AU"/>
      </w:rPr>
    </w:lvl>
    <w:lvl w:ilvl="4" w:tplc="B0C275E2">
      <w:numFmt w:val="bullet"/>
      <w:lvlText w:val="•"/>
      <w:lvlJc w:val="left"/>
      <w:pPr>
        <w:ind w:left="3353" w:hanging="720"/>
      </w:pPr>
      <w:rPr>
        <w:rFonts w:hint="default"/>
        <w:lang w:val="en-AU" w:eastAsia="en-AU" w:bidi="en-AU"/>
      </w:rPr>
    </w:lvl>
    <w:lvl w:ilvl="5" w:tplc="E7507E7A">
      <w:numFmt w:val="bullet"/>
      <w:lvlText w:val="•"/>
      <w:lvlJc w:val="left"/>
      <w:pPr>
        <w:ind w:left="3897" w:hanging="720"/>
      </w:pPr>
      <w:rPr>
        <w:rFonts w:hint="default"/>
        <w:lang w:val="en-AU" w:eastAsia="en-AU" w:bidi="en-AU"/>
      </w:rPr>
    </w:lvl>
    <w:lvl w:ilvl="6" w:tplc="7CD6BF20">
      <w:numFmt w:val="bullet"/>
      <w:lvlText w:val="•"/>
      <w:lvlJc w:val="left"/>
      <w:pPr>
        <w:ind w:left="4440" w:hanging="720"/>
      </w:pPr>
      <w:rPr>
        <w:rFonts w:hint="default"/>
        <w:lang w:val="en-AU" w:eastAsia="en-AU" w:bidi="en-AU"/>
      </w:rPr>
    </w:lvl>
    <w:lvl w:ilvl="7" w:tplc="B44C63C0">
      <w:numFmt w:val="bullet"/>
      <w:lvlText w:val="•"/>
      <w:lvlJc w:val="left"/>
      <w:pPr>
        <w:ind w:left="4983" w:hanging="720"/>
      </w:pPr>
      <w:rPr>
        <w:rFonts w:hint="default"/>
        <w:lang w:val="en-AU" w:eastAsia="en-AU" w:bidi="en-AU"/>
      </w:rPr>
    </w:lvl>
    <w:lvl w:ilvl="8" w:tplc="43CA2DF2">
      <w:numFmt w:val="bullet"/>
      <w:lvlText w:val="•"/>
      <w:lvlJc w:val="left"/>
      <w:pPr>
        <w:ind w:left="5527" w:hanging="720"/>
      </w:pPr>
      <w:rPr>
        <w:rFonts w:hint="default"/>
        <w:lang w:val="en-AU" w:eastAsia="en-AU" w:bidi="en-AU"/>
      </w:rPr>
    </w:lvl>
  </w:abstractNum>
  <w:abstractNum w:abstractNumId="3"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15:restartNumberingAfterBreak="0">
    <w:nsid w:val="168F13E9"/>
    <w:multiLevelType w:val="multilevel"/>
    <w:tmpl w:val="314811D0"/>
    <w:styleLink w:val="ListBullets"/>
    <w:lvl w:ilvl="0">
      <w:start w:val="1"/>
      <w:numFmt w:val="bullet"/>
      <w:pStyle w:val="ListBullet"/>
      <w:lvlText w:val=""/>
      <w:lvlJc w:val="left"/>
      <w:pPr>
        <w:ind w:left="360" w:hanging="360"/>
      </w:pPr>
      <w:rPr>
        <w:rFonts w:ascii="Symbol" w:hAnsi="Symbol" w:hint="default"/>
      </w:rPr>
    </w:lvl>
    <w:lvl w:ilvl="1">
      <w:start w:val="1"/>
      <w:numFmt w:val="bullet"/>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1F815989"/>
    <w:multiLevelType w:val="hybridMultilevel"/>
    <w:tmpl w:val="265271B8"/>
    <w:lvl w:ilvl="0" w:tplc="A386DBBC">
      <w:numFmt w:val="bullet"/>
      <w:pStyle w:val="ListBullet2"/>
      <w:lvlText w:val="-"/>
      <w:lvlJc w:val="left"/>
      <w:pPr>
        <w:ind w:left="1080" w:hanging="360"/>
      </w:pPr>
      <w:rPr>
        <w:rFonts w:ascii="Courier New" w:eastAsia="Courier New" w:hAnsi="Courier New" w:cs="Courier New" w:hint="default"/>
        <w:w w:val="100"/>
        <w:sz w:val="21"/>
        <w:szCs w:val="21"/>
        <w:lang w:val="en-AU" w:eastAsia="en-AU" w:bidi="en-AU"/>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27081B1E"/>
    <w:multiLevelType w:val="hybridMultilevel"/>
    <w:tmpl w:val="0226B1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B42452C"/>
    <w:multiLevelType w:val="hybridMultilevel"/>
    <w:tmpl w:val="D206CFC4"/>
    <w:lvl w:ilvl="0" w:tplc="8ABCC35A">
      <w:numFmt w:val="bullet"/>
      <w:lvlText w:val="•"/>
      <w:lvlJc w:val="left"/>
      <w:pPr>
        <w:ind w:left="360" w:hanging="360"/>
      </w:pPr>
      <w:rPr>
        <w:rFonts w:hint="default"/>
        <w:w w:val="100"/>
        <w:sz w:val="21"/>
        <w:szCs w:val="21"/>
        <w:lang w:val="en-AU" w:eastAsia="en-AU" w:bidi="en-AU"/>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BDF3E80"/>
    <w:multiLevelType w:val="hybridMultilevel"/>
    <w:tmpl w:val="7DCC7F46"/>
    <w:lvl w:ilvl="0" w:tplc="DAF8E4A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7F435C"/>
    <w:multiLevelType w:val="hybridMultilevel"/>
    <w:tmpl w:val="A5B80D4A"/>
    <w:lvl w:ilvl="0" w:tplc="9398ADF8">
      <w:numFmt w:val="bullet"/>
      <w:lvlText w:val="-"/>
      <w:lvlJc w:val="left"/>
      <w:pPr>
        <w:ind w:left="360" w:hanging="360"/>
      </w:pPr>
      <w:rPr>
        <w:rFonts w:ascii="Courier New" w:eastAsia="Courier New" w:hAnsi="Courier New" w:cs="Courier New" w:hint="default"/>
        <w:w w:val="100"/>
        <w:sz w:val="21"/>
        <w:szCs w:val="21"/>
        <w:lang w:val="en-AU" w:eastAsia="en-AU" w:bidi="en-AU"/>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2E94011"/>
    <w:multiLevelType w:val="hybridMultilevel"/>
    <w:tmpl w:val="3D880ABE"/>
    <w:lvl w:ilvl="0" w:tplc="9398ADF8">
      <w:numFmt w:val="bullet"/>
      <w:lvlText w:val="-"/>
      <w:lvlJc w:val="left"/>
      <w:pPr>
        <w:ind w:left="446" w:hanging="308"/>
      </w:pPr>
      <w:rPr>
        <w:rFonts w:ascii="Courier New" w:eastAsia="Courier New" w:hAnsi="Courier New" w:cs="Courier New" w:hint="default"/>
        <w:w w:val="100"/>
        <w:sz w:val="21"/>
        <w:szCs w:val="21"/>
        <w:lang w:val="en-AU" w:eastAsia="en-AU" w:bidi="en-AU"/>
      </w:rPr>
    </w:lvl>
    <w:lvl w:ilvl="1" w:tplc="8ABCC35A">
      <w:numFmt w:val="bullet"/>
      <w:lvlText w:val="•"/>
      <w:lvlJc w:val="left"/>
      <w:pPr>
        <w:ind w:left="820" w:hanging="308"/>
      </w:pPr>
      <w:rPr>
        <w:rFonts w:hint="default"/>
        <w:lang w:val="en-AU" w:eastAsia="en-AU" w:bidi="en-AU"/>
      </w:rPr>
    </w:lvl>
    <w:lvl w:ilvl="2" w:tplc="0532ACE6">
      <w:numFmt w:val="bullet"/>
      <w:lvlText w:val="•"/>
      <w:lvlJc w:val="left"/>
      <w:pPr>
        <w:ind w:left="1200" w:hanging="308"/>
      </w:pPr>
      <w:rPr>
        <w:rFonts w:hint="default"/>
        <w:lang w:val="en-AU" w:eastAsia="en-AU" w:bidi="en-AU"/>
      </w:rPr>
    </w:lvl>
    <w:lvl w:ilvl="3" w:tplc="76623012">
      <w:numFmt w:val="bullet"/>
      <w:lvlText w:val="•"/>
      <w:lvlJc w:val="left"/>
      <w:pPr>
        <w:ind w:left="1580" w:hanging="308"/>
      </w:pPr>
      <w:rPr>
        <w:rFonts w:hint="default"/>
        <w:lang w:val="en-AU" w:eastAsia="en-AU" w:bidi="en-AU"/>
      </w:rPr>
    </w:lvl>
    <w:lvl w:ilvl="4" w:tplc="768E84A4">
      <w:numFmt w:val="bullet"/>
      <w:lvlText w:val="•"/>
      <w:lvlJc w:val="left"/>
      <w:pPr>
        <w:ind w:left="1961" w:hanging="308"/>
      </w:pPr>
      <w:rPr>
        <w:rFonts w:hint="default"/>
        <w:lang w:val="en-AU" w:eastAsia="en-AU" w:bidi="en-AU"/>
      </w:rPr>
    </w:lvl>
    <w:lvl w:ilvl="5" w:tplc="FF4EDD5E">
      <w:numFmt w:val="bullet"/>
      <w:lvlText w:val="•"/>
      <w:lvlJc w:val="left"/>
      <w:pPr>
        <w:ind w:left="2341" w:hanging="308"/>
      </w:pPr>
      <w:rPr>
        <w:rFonts w:hint="default"/>
        <w:lang w:val="en-AU" w:eastAsia="en-AU" w:bidi="en-AU"/>
      </w:rPr>
    </w:lvl>
    <w:lvl w:ilvl="6" w:tplc="EAB60074">
      <w:numFmt w:val="bullet"/>
      <w:lvlText w:val="•"/>
      <w:lvlJc w:val="left"/>
      <w:pPr>
        <w:ind w:left="2721" w:hanging="308"/>
      </w:pPr>
      <w:rPr>
        <w:rFonts w:hint="default"/>
        <w:lang w:val="en-AU" w:eastAsia="en-AU" w:bidi="en-AU"/>
      </w:rPr>
    </w:lvl>
    <w:lvl w:ilvl="7" w:tplc="C02E4420">
      <w:numFmt w:val="bullet"/>
      <w:lvlText w:val="•"/>
      <w:lvlJc w:val="left"/>
      <w:pPr>
        <w:ind w:left="3102" w:hanging="308"/>
      </w:pPr>
      <w:rPr>
        <w:rFonts w:hint="default"/>
        <w:lang w:val="en-AU" w:eastAsia="en-AU" w:bidi="en-AU"/>
      </w:rPr>
    </w:lvl>
    <w:lvl w:ilvl="8" w:tplc="D8AE3B5A">
      <w:numFmt w:val="bullet"/>
      <w:lvlText w:val="•"/>
      <w:lvlJc w:val="left"/>
      <w:pPr>
        <w:ind w:left="3482" w:hanging="308"/>
      </w:pPr>
      <w:rPr>
        <w:rFonts w:hint="default"/>
        <w:lang w:val="en-AU" w:eastAsia="en-AU" w:bidi="en-AU"/>
      </w:rPr>
    </w:lvl>
  </w:abstractNum>
  <w:abstractNum w:abstractNumId="12" w15:restartNumberingAfterBreak="0">
    <w:nsid w:val="37CF403D"/>
    <w:multiLevelType w:val="hybridMultilevel"/>
    <w:tmpl w:val="62DE3D4E"/>
    <w:lvl w:ilvl="0" w:tplc="28A826E2">
      <w:numFmt w:val="bullet"/>
      <w:lvlText w:val="-"/>
      <w:lvlJc w:val="left"/>
      <w:pPr>
        <w:ind w:left="446" w:hanging="284"/>
      </w:pPr>
      <w:rPr>
        <w:rFonts w:ascii="Courier New" w:eastAsia="Courier New" w:hAnsi="Courier New" w:cs="Courier New" w:hint="default"/>
        <w:w w:val="100"/>
        <w:sz w:val="21"/>
        <w:szCs w:val="21"/>
        <w:lang w:val="en-AU" w:eastAsia="en-AU" w:bidi="en-AU"/>
      </w:rPr>
    </w:lvl>
    <w:lvl w:ilvl="1" w:tplc="F5D23FF2">
      <w:numFmt w:val="bullet"/>
      <w:lvlText w:val="•"/>
      <w:lvlJc w:val="left"/>
      <w:pPr>
        <w:ind w:left="820" w:hanging="284"/>
      </w:pPr>
      <w:rPr>
        <w:rFonts w:hint="default"/>
        <w:lang w:val="en-AU" w:eastAsia="en-AU" w:bidi="en-AU"/>
      </w:rPr>
    </w:lvl>
    <w:lvl w:ilvl="2" w:tplc="8DDCCA92">
      <w:numFmt w:val="bullet"/>
      <w:lvlText w:val="•"/>
      <w:lvlJc w:val="left"/>
      <w:pPr>
        <w:ind w:left="1200" w:hanging="284"/>
      </w:pPr>
      <w:rPr>
        <w:rFonts w:hint="default"/>
        <w:lang w:val="en-AU" w:eastAsia="en-AU" w:bidi="en-AU"/>
      </w:rPr>
    </w:lvl>
    <w:lvl w:ilvl="3" w:tplc="E86E4E9A">
      <w:numFmt w:val="bullet"/>
      <w:lvlText w:val="•"/>
      <w:lvlJc w:val="left"/>
      <w:pPr>
        <w:ind w:left="1580" w:hanging="284"/>
      </w:pPr>
      <w:rPr>
        <w:rFonts w:hint="default"/>
        <w:lang w:val="en-AU" w:eastAsia="en-AU" w:bidi="en-AU"/>
      </w:rPr>
    </w:lvl>
    <w:lvl w:ilvl="4" w:tplc="D2823D1A">
      <w:numFmt w:val="bullet"/>
      <w:lvlText w:val="•"/>
      <w:lvlJc w:val="left"/>
      <w:pPr>
        <w:ind w:left="1961" w:hanging="284"/>
      </w:pPr>
      <w:rPr>
        <w:rFonts w:hint="default"/>
        <w:lang w:val="en-AU" w:eastAsia="en-AU" w:bidi="en-AU"/>
      </w:rPr>
    </w:lvl>
    <w:lvl w:ilvl="5" w:tplc="657E097A">
      <w:numFmt w:val="bullet"/>
      <w:lvlText w:val="•"/>
      <w:lvlJc w:val="left"/>
      <w:pPr>
        <w:ind w:left="2341" w:hanging="284"/>
      </w:pPr>
      <w:rPr>
        <w:rFonts w:hint="default"/>
        <w:lang w:val="en-AU" w:eastAsia="en-AU" w:bidi="en-AU"/>
      </w:rPr>
    </w:lvl>
    <w:lvl w:ilvl="6" w:tplc="077ED8AA">
      <w:numFmt w:val="bullet"/>
      <w:lvlText w:val="•"/>
      <w:lvlJc w:val="left"/>
      <w:pPr>
        <w:ind w:left="2721" w:hanging="284"/>
      </w:pPr>
      <w:rPr>
        <w:rFonts w:hint="default"/>
        <w:lang w:val="en-AU" w:eastAsia="en-AU" w:bidi="en-AU"/>
      </w:rPr>
    </w:lvl>
    <w:lvl w:ilvl="7" w:tplc="B25E7462">
      <w:numFmt w:val="bullet"/>
      <w:lvlText w:val="•"/>
      <w:lvlJc w:val="left"/>
      <w:pPr>
        <w:ind w:left="3102" w:hanging="284"/>
      </w:pPr>
      <w:rPr>
        <w:rFonts w:hint="default"/>
        <w:lang w:val="en-AU" w:eastAsia="en-AU" w:bidi="en-AU"/>
      </w:rPr>
    </w:lvl>
    <w:lvl w:ilvl="8" w:tplc="71A0A34E">
      <w:numFmt w:val="bullet"/>
      <w:lvlText w:val="•"/>
      <w:lvlJc w:val="left"/>
      <w:pPr>
        <w:ind w:left="3482" w:hanging="284"/>
      </w:pPr>
      <w:rPr>
        <w:rFonts w:hint="default"/>
        <w:lang w:val="en-AU" w:eastAsia="en-AU" w:bidi="en-AU"/>
      </w:rPr>
    </w:lvl>
  </w:abstractNum>
  <w:abstractNum w:abstractNumId="13" w15:restartNumberingAfterBreak="0">
    <w:nsid w:val="701D66FA"/>
    <w:multiLevelType w:val="hybridMultilevel"/>
    <w:tmpl w:val="AA8C6344"/>
    <w:lvl w:ilvl="0" w:tplc="BE0A1336">
      <w:numFmt w:val="bullet"/>
      <w:lvlText w:val=""/>
      <w:lvlJc w:val="left"/>
      <w:pPr>
        <w:ind w:left="480" w:hanging="360"/>
      </w:pPr>
      <w:rPr>
        <w:rFonts w:ascii="Symbol" w:eastAsia="Symbol" w:hAnsi="Symbol" w:cs="Symbol" w:hint="default"/>
        <w:w w:val="100"/>
        <w:sz w:val="24"/>
        <w:szCs w:val="24"/>
        <w:lang w:val="en-AU" w:eastAsia="en-AU" w:bidi="en-AU"/>
      </w:rPr>
    </w:lvl>
    <w:lvl w:ilvl="1" w:tplc="74C05F5C">
      <w:numFmt w:val="bullet"/>
      <w:lvlText w:val="•"/>
      <w:lvlJc w:val="left"/>
      <w:pPr>
        <w:ind w:left="1332" w:hanging="360"/>
      </w:pPr>
      <w:rPr>
        <w:rFonts w:hint="default"/>
        <w:lang w:val="en-AU" w:eastAsia="en-AU" w:bidi="en-AU"/>
      </w:rPr>
    </w:lvl>
    <w:lvl w:ilvl="2" w:tplc="B66CDFBA">
      <w:numFmt w:val="bullet"/>
      <w:lvlText w:val="•"/>
      <w:lvlJc w:val="left"/>
      <w:pPr>
        <w:ind w:left="2185" w:hanging="360"/>
      </w:pPr>
      <w:rPr>
        <w:rFonts w:hint="default"/>
        <w:lang w:val="en-AU" w:eastAsia="en-AU" w:bidi="en-AU"/>
      </w:rPr>
    </w:lvl>
    <w:lvl w:ilvl="3" w:tplc="78607AF4">
      <w:numFmt w:val="bullet"/>
      <w:lvlText w:val="•"/>
      <w:lvlJc w:val="left"/>
      <w:pPr>
        <w:ind w:left="3038" w:hanging="360"/>
      </w:pPr>
      <w:rPr>
        <w:rFonts w:hint="default"/>
        <w:lang w:val="en-AU" w:eastAsia="en-AU" w:bidi="en-AU"/>
      </w:rPr>
    </w:lvl>
    <w:lvl w:ilvl="4" w:tplc="52C48DF0">
      <w:numFmt w:val="bullet"/>
      <w:lvlText w:val="•"/>
      <w:lvlJc w:val="left"/>
      <w:pPr>
        <w:ind w:left="3891" w:hanging="360"/>
      </w:pPr>
      <w:rPr>
        <w:rFonts w:hint="default"/>
        <w:lang w:val="en-AU" w:eastAsia="en-AU" w:bidi="en-AU"/>
      </w:rPr>
    </w:lvl>
    <w:lvl w:ilvl="5" w:tplc="B0D2E8D0">
      <w:numFmt w:val="bullet"/>
      <w:lvlText w:val="•"/>
      <w:lvlJc w:val="left"/>
      <w:pPr>
        <w:ind w:left="4744" w:hanging="360"/>
      </w:pPr>
      <w:rPr>
        <w:rFonts w:hint="default"/>
        <w:lang w:val="en-AU" w:eastAsia="en-AU" w:bidi="en-AU"/>
      </w:rPr>
    </w:lvl>
    <w:lvl w:ilvl="6" w:tplc="FB9E6DA0">
      <w:numFmt w:val="bullet"/>
      <w:lvlText w:val="•"/>
      <w:lvlJc w:val="left"/>
      <w:pPr>
        <w:ind w:left="5597" w:hanging="360"/>
      </w:pPr>
      <w:rPr>
        <w:rFonts w:hint="default"/>
        <w:lang w:val="en-AU" w:eastAsia="en-AU" w:bidi="en-AU"/>
      </w:rPr>
    </w:lvl>
    <w:lvl w:ilvl="7" w:tplc="028AB65A">
      <w:numFmt w:val="bullet"/>
      <w:lvlText w:val="•"/>
      <w:lvlJc w:val="left"/>
      <w:pPr>
        <w:ind w:left="6450" w:hanging="360"/>
      </w:pPr>
      <w:rPr>
        <w:rFonts w:hint="default"/>
        <w:lang w:val="en-AU" w:eastAsia="en-AU" w:bidi="en-AU"/>
      </w:rPr>
    </w:lvl>
    <w:lvl w:ilvl="8" w:tplc="50CE5B74">
      <w:numFmt w:val="bullet"/>
      <w:lvlText w:val="•"/>
      <w:lvlJc w:val="left"/>
      <w:pPr>
        <w:ind w:left="7303" w:hanging="360"/>
      </w:pPr>
      <w:rPr>
        <w:rFonts w:hint="default"/>
        <w:lang w:val="en-AU" w:eastAsia="en-AU" w:bidi="en-AU"/>
      </w:rPr>
    </w:lvl>
  </w:abstractNum>
  <w:abstractNum w:abstractNumId="14" w15:restartNumberingAfterBreak="0">
    <w:nsid w:val="71517BF4"/>
    <w:multiLevelType w:val="hybridMultilevel"/>
    <w:tmpl w:val="ED209B12"/>
    <w:lvl w:ilvl="0" w:tplc="76E6B29E">
      <w:start w:val="1"/>
      <w:numFmt w:val="lowerRoman"/>
      <w:lvlText w:val="%1)"/>
      <w:lvlJc w:val="left"/>
      <w:pPr>
        <w:ind w:left="882" w:hanging="720"/>
      </w:pPr>
      <w:rPr>
        <w:rFonts w:hint="default"/>
      </w:rPr>
    </w:lvl>
    <w:lvl w:ilvl="1" w:tplc="0C090019" w:tentative="1">
      <w:start w:val="1"/>
      <w:numFmt w:val="lowerLetter"/>
      <w:lvlText w:val="%2."/>
      <w:lvlJc w:val="left"/>
      <w:pPr>
        <w:ind w:left="1242" w:hanging="360"/>
      </w:pPr>
    </w:lvl>
    <w:lvl w:ilvl="2" w:tplc="0C09001B" w:tentative="1">
      <w:start w:val="1"/>
      <w:numFmt w:val="lowerRoman"/>
      <w:lvlText w:val="%3."/>
      <w:lvlJc w:val="right"/>
      <w:pPr>
        <w:ind w:left="1962" w:hanging="180"/>
      </w:pPr>
    </w:lvl>
    <w:lvl w:ilvl="3" w:tplc="0C09000F" w:tentative="1">
      <w:start w:val="1"/>
      <w:numFmt w:val="decimal"/>
      <w:lvlText w:val="%4."/>
      <w:lvlJc w:val="left"/>
      <w:pPr>
        <w:ind w:left="2682" w:hanging="360"/>
      </w:pPr>
    </w:lvl>
    <w:lvl w:ilvl="4" w:tplc="0C090019" w:tentative="1">
      <w:start w:val="1"/>
      <w:numFmt w:val="lowerLetter"/>
      <w:lvlText w:val="%5."/>
      <w:lvlJc w:val="left"/>
      <w:pPr>
        <w:ind w:left="3402" w:hanging="360"/>
      </w:pPr>
    </w:lvl>
    <w:lvl w:ilvl="5" w:tplc="0C09001B" w:tentative="1">
      <w:start w:val="1"/>
      <w:numFmt w:val="lowerRoman"/>
      <w:lvlText w:val="%6."/>
      <w:lvlJc w:val="right"/>
      <w:pPr>
        <w:ind w:left="4122" w:hanging="180"/>
      </w:pPr>
    </w:lvl>
    <w:lvl w:ilvl="6" w:tplc="0C09000F" w:tentative="1">
      <w:start w:val="1"/>
      <w:numFmt w:val="decimal"/>
      <w:lvlText w:val="%7."/>
      <w:lvlJc w:val="left"/>
      <w:pPr>
        <w:ind w:left="4842" w:hanging="360"/>
      </w:pPr>
    </w:lvl>
    <w:lvl w:ilvl="7" w:tplc="0C090019" w:tentative="1">
      <w:start w:val="1"/>
      <w:numFmt w:val="lowerLetter"/>
      <w:lvlText w:val="%8."/>
      <w:lvlJc w:val="left"/>
      <w:pPr>
        <w:ind w:left="5562" w:hanging="360"/>
      </w:pPr>
    </w:lvl>
    <w:lvl w:ilvl="8" w:tplc="0C09001B" w:tentative="1">
      <w:start w:val="1"/>
      <w:numFmt w:val="lowerRoman"/>
      <w:lvlText w:val="%9."/>
      <w:lvlJc w:val="right"/>
      <w:pPr>
        <w:ind w:left="6282" w:hanging="180"/>
      </w:pPr>
    </w:lvl>
  </w:abstractNum>
  <w:abstractNum w:abstractNumId="15" w15:restartNumberingAfterBreak="0">
    <w:nsid w:val="72B42DF9"/>
    <w:multiLevelType w:val="hybridMultilevel"/>
    <w:tmpl w:val="DCA6714A"/>
    <w:lvl w:ilvl="0" w:tplc="0C8A5FD4">
      <w:start w:val="1"/>
      <w:numFmt w:val="decimal"/>
      <w:lvlText w:val="Table %1"/>
      <w:lvlJc w:val="left"/>
      <w:pPr>
        <w:ind w:left="135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4"/>
  </w:num>
  <w:num w:numId="3">
    <w:abstractNumId w:val="5"/>
    <w:lvlOverride w:ilvl="0">
      <w:lvl w:ilvl="0">
        <w:numFmt w:val="bullet"/>
        <w:pStyle w:val="ListBullet"/>
        <w:lvlText w:val="•"/>
        <w:lvlJc w:val="left"/>
        <w:pPr>
          <w:ind w:left="360" w:hanging="360"/>
        </w:pPr>
        <w:rPr>
          <w:rFonts w:hint="default"/>
          <w:lang w:val="en-AU" w:eastAsia="en-AU" w:bidi="en-AU"/>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tentative="1">
        <w:start w:val="1"/>
        <w:numFmt w:val="bullet"/>
        <w:pStyle w:val="ListBullet3"/>
        <w:lvlText w:val=""/>
        <w:lvlJc w:val="left"/>
        <w:pPr>
          <w:ind w:left="1800" w:hanging="360"/>
        </w:pPr>
        <w:rPr>
          <w:rFonts w:ascii="Wingdings" w:hAnsi="Wingdings" w:hint="default"/>
        </w:rPr>
      </w:lvl>
    </w:lvlOverride>
    <w:lvlOverride w:ilvl="3">
      <w:lvl w:ilvl="3" w:tentative="1">
        <w:start w:val="1"/>
        <w:numFmt w:val="bullet"/>
        <w:lvlText w:val=""/>
        <w:lvlJc w:val="left"/>
        <w:pPr>
          <w:ind w:left="2520" w:hanging="360"/>
        </w:pPr>
        <w:rPr>
          <w:rFonts w:ascii="Symbol" w:hAnsi="Symbol" w:hint="default"/>
        </w:rPr>
      </w:lvl>
    </w:lvlOverride>
    <w:lvlOverride w:ilvl="4">
      <w:lvl w:ilvl="4" w:tentative="1">
        <w:start w:val="1"/>
        <w:numFmt w:val="bullet"/>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4">
    <w:abstractNumId w:val="4"/>
  </w:num>
  <w:num w:numId="5">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11"/>
  </w:num>
  <w:num w:numId="7">
    <w:abstractNumId w:val="12"/>
  </w:num>
  <w:num w:numId="8">
    <w:abstractNumId w:val="13"/>
  </w:num>
  <w:num w:numId="9">
    <w:abstractNumId w:val="2"/>
  </w:num>
  <w:num w:numId="10">
    <w:abstractNumId w:val="9"/>
  </w:num>
  <w:num w:numId="11">
    <w:abstractNumId w:val="14"/>
  </w:num>
  <w:num w:numId="12">
    <w:abstractNumId w:val="3"/>
  </w:num>
  <w:num w:numId="13">
    <w:abstractNumId w:val="7"/>
  </w:num>
  <w:num w:numId="14">
    <w:abstractNumId w:val="15"/>
  </w:num>
  <w:num w:numId="15">
    <w:abstractNumId w:val="10"/>
  </w:num>
  <w:num w:numId="16">
    <w:abstractNumId w:val="8"/>
  </w:num>
  <w:num w:numId="17">
    <w:abstractNumId w:val="1"/>
  </w:num>
  <w:num w:numId="18">
    <w:abstractNumId w:val="0"/>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mirrorMargins/>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BBC"/>
    <w:rsid w:val="00002031"/>
    <w:rsid w:val="00004734"/>
    <w:rsid w:val="00005CC2"/>
    <w:rsid w:val="00006B22"/>
    <w:rsid w:val="00011AF8"/>
    <w:rsid w:val="0001276A"/>
    <w:rsid w:val="00013E99"/>
    <w:rsid w:val="000246AE"/>
    <w:rsid w:val="00025C67"/>
    <w:rsid w:val="00031B12"/>
    <w:rsid w:val="00035C8C"/>
    <w:rsid w:val="00044772"/>
    <w:rsid w:val="00044A34"/>
    <w:rsid w:val="00045813"/>
    <w:rsid w:val="00047C21"/>
    <w:rsid w:val="000537E6"/>
    <w:rsid w:val="0005559E"/>
    <w:rsid w:val="000604D6"/>
    <w:rsid w:val="00072ED2"/>
    <w:rsid w:val="000734D8"/>
    <w:rsid w:val="00077775"/>
    <w:rsid w:val="00080712"/>
    <w:rsid w:val="00090471"/>
    <w:rsid w:val="00090CBC"/>
    <w:rsid w:val="00093C1B"/>
    <w:rsid w:val="00096AA7"/>
    <w:rsid w:val="000A3AED"/>
    <w:rsid w:val="000A510D"/>
    <w:rsid w:val="000B3532"/>
    <w:rsid w:val="000B38D2"/>
    <w:rsid w:val="000B3A75"/>
    <w:rsid w:val="000B7627"/>
    <w:rsid w:val="000C00C2"/>
    <w:rsid w:val="000C06DD"/>
    <w:rsid w:val="000C690F"/>
    <w:rsid w:val="000D1295"/>
    <w:rsid w:val="000D391B"/>
    <w:rsid w:val="000D3D6D"/>
    <w:rsid w:val="000D4FC7"/>
    <w:rsid w:val="000D5BCC"/>
    <w:rsid w:val="000E60F9"/>
    <w:rsid w:val="000E6196"/>
    <w:rsid w:val="000F40D0"/>
    <w:rsid w:val="000F4869"/>
    <w:rsid w:val="000F4E72"/>
    <w:rsid w:val="000F5B42"/>
    <w:rsid w:val="000F6E6F"/>
    <w:rsid w:val="0010601F"/>
    <w:rsid w:val="0010788A"/>
    <w:rsid w:val="00107A31"/>
    <w:rsid w:val="00110EA5"/>
    <w:rsid w:val="00112F56"/>
    <w:rsid w:val="00121899"/>
    <w:rsid w:val="00123143"/>
    <w:rsid w:val="0012332A"/>
    <w:rsid w:val="00125318"/>
    <w:rsid w:val="001305A2"/>
    <w:rsid w:val="00130ECA"/>
    <w:rsid w:val="00131F12"/>
    <w:rsid w:val="00133238"/>
    <w:rsid w:val="00133A1B"/>
    <w:rsid w:val="0014197B"/>
    <w:rsid w:val="001428E2"/>
    <w:rsid w:val="001447CD"/>
    <w:rsid w:val="001516B1"/>
    <w:rsid w:val="00152ED3"/>
    <w:rsid w:val="00154EBB"/>
    <w:rsid w:val="00156316"/>
    <w:rsid w:val="00161181"/>
    <w:rsid w:val="00162D14"/>
    <w:rsid w:val="00165389"/>
    <w:rsid w:val="0017630C"/>
    <w:rsid w:val="0017693F"/>
    <w:rsid w:val="0018110E"/>
    <w:rsid w:val="00181684"/>
    <w:rsid w:val="001843C6"/>
    <w:rsid w:val="001850E0"/>
    <w:rsid w:val="00195218"/>
    <w:rsid w:val="001A2158"/>
    <w:rsid w:val="001A525F"/>
    <w:rsid w:val="001B09F9"/>
    <w:rsid w:val="001B5C90"/>
    <w:rsid w:val="001B6448"/>
    <w:rsid w:val="001C0119"/>
    <w:rsid w:val="001C32CD"/>
    <w:rsid w:val="001D0AAB"/>
    <w:rsid w:val="001D2984"/>
    <w:rsid w:val="001E07CF"/>
    <w:rsid w:val="001E481E"/>
    <w:rsid w:val="001E523D"/>
    <w:rsid w:val="001E59F1"/>
    <w:rsid w:val="001E781C"/>
    <w:rsid w:val="001F2CEE"/>
    <w:rsid w:val="001F49EB"/>
    <w:rsid w:val="001F5C1B"/>
    <w:rsid w:val="001F6CBA"/>
    <w:rsid w:val="001F74D1"/>
    <w:rsid w:val="00201D4E"/>
    <w:rsid w:val="0020462E"/>
    <w:rsid w:val="002076C9"/>
    <w:rsid w:val="00212ECD"/>
    <w:rsid w:val="00220B8A"/>
    <w:rsid w:val="002257F3"/>
    <w:rsid w:val="0022671A"/>
    <w:rsid w:val="00233456"/>
    <w:rsid w:val="002339A5"/>
    <w:rsid w:val="00242B39"/>
    <w:rsid w:val="00242DD1"/>
    <w:rsid w:val="00257848"/>
    <w:rsid w:val="00257B20"/>
    <w:rsid w:val="00263595"/>
    <w:rsid w:val="0027084A"/>
    <w:rsid w:val="00273C3F"/>
    <w:rsid w:val="002840C3"/>
    <w:rsid w:val="00286434"/>
    <w:rsid w:val="00286C59"/>
    <w:rsid w:val="00287149"/>
    <w:rsid w:val="00291957"/>
    <w:rsid w:val="002942D1"/>
    <w:rsid w:val="0029501A"/>
    <w:rsid w:val="00296192"/>
    <w:rsid w:val="0029684F"/>
    <w:rsid w:val="002A3721"/>
    <w:rsid w:val="002B08FA"/>
    <w:rsid w:val="002B1638"/>
    <w:rsid w:val="002B3624"/>
    <w:rsid w:val="002B425D"/>
    <w:rsid w:val="002D0952"/>
    <w:rsid w:val="002D58EE"/>
    <w:rsid w:val="002E3D1D"/>
    <w:rsid w:val="002E40B3"/>
    <w:rsid w:val="002E45F5"/>
    <w:rsid w:val="002E4C9A"/>
    <w:rsid w:val="002F11F8"/>
    <w:rsid w:val="002F3F56"/>
    <w:rsid w:val="002F44B5"/>
    <w:rsid w:val="002F7609"/>
    <w:rsid w:val="003060F6"/>
    <w:rsid w:val="00307CB3"/>
    <w:rsid w:val="00311AC0"/>
    <w:rsid w:val="003176FC"/>
    <w:rsid w:val="0032583B"/>
    <w:rsid w:val="00327883"/>
    <w:rsid w:val="00335504"/>
    <w:rsid w:val="00340C18"/>
    <w:rsid w:val="003442FD"/>
    <w:rsid w:val="00347824"/>
    <w:rsid w:val="00350567"/>
    <w:rsid w:val="003521E8"/>
    <w:rsid w:val="0036417F"/>
    <w:rsid w:val="0036573A"/>
    <w:rsid w:val="00370CE3"/>
    <w:rsid w:val="003728F3"/>
    <w:rsid w:val="0037496E"/>
    <w:rsid w:val="00377BD4"/>
    <w:rsid w:val="00381F2E"/>
    <w:rsid w:val="00383221"/>
    <w:rsid w:val="0038533F"/>
    <w:rsid w:val="00386150"/>
    <w:rsid w:val="003874CE"/>
    <w:rsid w:val="00390900"/>
    <w:rsid w:val="003A03A0"/>
    <w:rsid w:val="003A323B"/>
    <w:rsid w:val="003A4C6B"/>
    <w:rsid w:val="003A7F6C"/>
    <w:rsid w:val="003B4D60"/>
    <w:rsid w:val="003B7E39"/>
    <w:rsid w:val="003C2F14"/>
    <w:rsid w:val="003C58DC"/>
    <w:rsid w:val="003C6CEB"/>
    <w:rsid w:val="003D1E62"/>
    <w:rsid w:val="003D2185"/>
    <w:rsid w:val="003E0B99"/>
    <w:rsid w:val="003E0E12"/>
    <w:rsid w:val="003E14D8"/>
    <w:rsid w:val="003E2486"/>
    <w:rsid w:val="003E3208"/>
    <w:rsid w:val="003F0B04"/>
    <w:rsid w:val="003F0ED9"/>
    <w:rsid w:val="003F2395"/>
    <w:rsid w:val="0040134E"/>
    <w:rsid w:val="0040595E"/>
    <w:rsid w:val="0041756E"/>
    <w:rsid w:val="00427455"/>
    <w:rsid w:val="004334C7"/>
    <w:rsid w:val="00437CF2"/>
    <w:rsid w:val="00440A2D"/>
    <w:rsid w:val="00441C3F"/>
    <w:rsid w:val="0045249C"/>
    <w:rsid w:val="0045538E"/>
    <w:rsid w:val="004564A7"/>
    <w:rsid w:val="00457EB3"/>
    <w:rsid w:val="004617BF"/>
    <w:rsid w:val="00463658"/>
    <w:rsid w:val="004637A0"/>
    <w:rsid w:val="004722CC"/>
    <w:rsid w:val="00482F6D"/>
    <w:rsid w:val="00487460"/>
    <w:rsid w:val="004936E4"/>
    <w:rsid w:val="00494E60"/>
    <w:rsid w:val="00497487"/>
    <w:rsid w:val="004A5ABB"/>
    <w:rsid w:val="004A6189"/>
    <w:rsid w:val="004A7390"/>
    <w:rsid w:val="004B37F4"/>
    <w:rsid w:val="004B7B76"/>
    <w:rsid w:val="004C239D"/>
    <w:rsid w:val="004C2DCA"/>
    <w:rsid w:val="004C4DBD"/>
    <w:rsid w:val="004C61D2"/>
    <w:rsid w:val="004C7B68"/>
    <w:rsid w:val="004D3C54"/>
    <w:rsid w:val="004D714C"/>
    <w:rsid w:val="004E2818"/>
    <w:rsid w:val="004F0C4A"/>
    <w:rsid w:val="004F0F38"/>
    <w:rsid w:val="004F47D6"/>
    <w:rsid w:val="00501921"/>
    <w:rsid w:val="00504C1D"/>
    <w:rsid w:val="005140B5"/>
    <w:rsid w:val="0052280B"/>
    <w:rsid w:val="00530354"/>
    <w:rsid w:val="0053625B"/>
    <w:rsid w:val="005434C6"/>
    <w:rsid w:val="00543B39"/>
    <w:rsid w:val="00543F29"/>
    <w:rsid w:val="00546154"/>
    <w:rsid w:val="00550096"/>
    <w:rsid w:val="00551B39"/>
    <w:rsid w:val="00555280"/>
    <w:rsid w:val="00557222"/>
    <w:rsid w:val="005573A3"/>
    <w:rsid w:val="00557FF9"/>
    <w:rsid w:val="00560C2C"/>
    <w:rsid w:val="005622D4"/>
    <w:rsid w:val="00562327"/>
    <w:rsid w:val="005672F6"/>
    <w:rsid w:val="005711D5"/>
    <w:rsid w:val="00572B03"/>
    <w:rsid w:val="00576378"/>
    <w:rsid w:val="00577130"/>
    <w:rsid w:val="00577945"/>
    <w:rsid w:val="00577E38"/>
    <w:rsid w:val="005846C2"/>
    <w:rsid w:val="00585322"/>
    <w:rsid w:val="005857C6"/>
    <w:rsid w:val="005926D0"/>
    <w:rsid w:val="00592F6E"/>
    <w:rsid w:val="00593AD1"/>
    <w:rsid w:val="005979D8"/>
    <w:rsid w:val="005A2C96"/>
    <w:rsid w:val="005A615F"/>
    <w:rsid w:val="005A68B6"/>
    <w:rsid w:val="005A6B26"/>
    <w:rsid w:val="005B3484"/>
    <w:rsid w:val="005B6383"/>
    <w:rsid w:val="005C176E"/>
    <w:rsid w:val="005C5570"/>
    <w:rsid w:val="005C79A4"/>
    <w:rsid w:val="005D5442"/>
    <w:rsid w:val="005E3131"/>
    <w:rsid w:val="00601129"/>
    <w:rsid w:val="00603F32"/>
    <w:rsid w:val="00605AD4"/>
    <w:rsid w:val="006136D7"/>
    <w:rsid w:val="00617DA0"/>
    <w:rsid w:val="00625A6E"/>
    <w:rsid w:val="00632398"/>
    <w:rsid w:val="00636F47"/>
    <w:rsid w:val="006403AF"/>
    <w:rsid w:val="00640FC3"/>
    <w:rsid w:val="00642020"/>
    <w:rsid w:val="00647223"/>
    <w:rsid w:val="00652924"/>
    <w:rsid w:val="0065337B"/>
    <w:rsid w:val="0065419D"/>
    <w:rsid w:val="00654968"/>
    <w:rsid w:val="0065759F"/>
    <w:rsid w:val="006604D8"/>
    <w:rsid w:val="00664A5B"/>
    <w:rsid w:val="0066735C"/>
    <w:rsid w:val="00670435"/>
    <w:rsid w:val="006763D2"/>
    <w:rsid w:val="00680C08"/>
    <w:rsid w:val="006838C2"/>
    <w:rsid w:val="00684353"/>
    <w:rsid w:val="006916A0"/>
    <w:rsid w:val="006931B1"/>
    <w:rsid w:val="006A15C0"/>
    <w:rsid w:val="006B206D"/>
    <w:rsid w:val="006B4847"/>
    <w:rsid w:val="006B4E02"/>
    <w:rsid w:val="006C002C"/>
    <w:rsid w:val="006C3E2A"/>
    <w:rsid w:val="006C642F"/>
    <w:rsid w:val="006D03E5"/>
    <w:rsid w:val="006D5D3E"/>
    <w:rsid w:val="006E08B3"/>
    <w:rsid w:val="006F17AC"/>
    <w:rsid w:val="006F25B8"/>
    <w:rsid w:val="006F572E"/>
    <w:rsid w:val="00701A2B"/>
    <w:rsid w:val="007046D6"/>
    <w:rsid w:val="00705DB0"/>
    <w:rsid w:val="007103A9"/>
    <w:rsid w:val="00711244"/>
    <w:rsid w:val="00713407"/>
    <w:rsid w:val="00722B57"/>
    <w:rsid w:val="00730F8A"/>
    <w:rsid w:val="007332F9"/>
    <w:rsid w:val="00735A8C"/>
    <w:rsid w:val="0074253D"/>
    <w:rsid w:val="00742CF4"/>
    <w:rsid w:val="00743A77"/>
    <w:rsid w:val="0074429B"/>
    <w:rsid w:val="00750522"/>
    <w:rsid w:val="007528C0"/>
    <w:rsid w:val="007615BC"/>
    <w:rsid w:val="00762F05"/>
    <w:rsid w:val="007652FF"/>
    <w:rsid w:val="00770CAC"/>
    <w:rsid w:val="00770EF1"/>
    <w:rsid w:val="00773EF7"/>
    <w:rsid w:val="00774E1D"/>
    <w:rsid w:val="007759F1"/>
    <w:rsid w:val="007765D8"/>
    <w:rsid w:val="0077675A"/>
    <w:rsid w:val="0078029E"/>
    <w:rsid w:val="00780355"/>
    <w:rsid w:val="007819FD"/>
    <w:rsid w:val="00785717"/>
    <w:rsid w:val="00785721"/>
    <w:rsid w:val="00793A59"/>
    <w:rsid w:val="007A16D3"/>
    <w:rsid w:val="007B326B"/>
    <w:rsid w:val="007B57C1"/>
    <w:rsid w:val="007B5E53"/>
    <w:rsid w:val="007B6132"/>
    <w:rsid w:val="007B6D6C"/>
    <w:rsid w:val="007B6E9F"/>
    <w:rsid w:val="007B79C4"/>
    <w:rsid w:val="007C1216"/>
    <w:rsid w:val="007C1278"/>
    <w:rsid w:val="007C1AF7"/>
    <w:rsid w:val="007C6B9B"/>
    <w:rsid w:val="007F09F7"/>
    <w:rsid w:val="007F2E7D"/>
    <w:rsid w:val="007F2EB3"/>
    <w:rsid w:val="008032E1"/>
    <w:rsid w:val="00805D27"/>
    <w:rsid w:val="00806DCB"/>
    <w:rsid w:val="00811513"/>
    <w:rsid w:val="00811F68"/>
    <w:rsid w:val="008141E2"/>
    <w:rsid w:val="0081555D"/>
    <w:rsid w:val="00821776"/>
    <w:rsid w:val="008321F5"/>
    <w:rsid w:val="00832369"/>
    <w:rsid w:val="00834660"/>
    <w:rsid w:val="00836BC2"/>
    <w:rsid w:val="0085156D"/>
    <w:rsid w:val="0085641B"/>
    <w:rsid w:val="00857136"/>
    <w:rsid w:val="008674E2"/>
    <w:rsid w:val="00875A6B"/>
    <w:rsid w:val="00885B11"/>
    <w:rsid w:val="00886606"/>
    <w:rsid w:val="00886D15"/>
    <w:rsid w:val="00887DD8"/>
    <w:rsid w:val="00891BA9"/>
    <w:rsid w:val="0089473E"/>
    <w:rsid w:val="00896018"/>
    <w:rsid w:val="008960DD"/>
    <w:rsid w:val="0089635C"/>
    <w:rsid w:val="008A2B9D"/>
    <w:rsid w:val="008A3A0C"/>
    <w:rsid w:val="008A3D9F"/>
    <w:rsid w:val="008A4F9C"/>
    <w:rsid w:val="008A5E0B"/>
    <w:rsid w:val="008A6D59"/>
    <w:rsid w:val="008B1F02"/>
    <w:rsid w:val="008B4B03"/>
    <w:rsid w:val="008B596F"/>
    <w:rsid w:val="008C159F"/>
    <w:rsid w:val="008C1623"/>
    <w:rsid w:val="008C1850"/>
    <w:rsid w:val="008C3197"/>
    <w:rsid w:val="008C51A9"/>
    <w:rsid w:val="008D6FCC"/>
    <w:rsid w:val="008E7846"/>
    <w:rsid w:val="008F02E5"/>
    <w:rsid w:val="008F1CCC"/>
    <w:rsid w:val="008F2967"/>
    <w:rsid w:val="008F6943"/>
    <w:rsid w:val="008F7B7E"/>
    <w:rsid w:val="00900132"/>
    <w:rsid w:val="00902A21"/>
    <w:rsid w:val="009030A1"/>
    <w:rsid w:val="00912C22"/>
    <w:rsid w:val="00914A21"/>
    <w:rsid w:val="00920330"/>
    <w:rsid w:val="009219D7"/>
    <w:rsid w:val="00922D53"/>
    <w:rsid w:val="00923B70"/>
    <w:rsid w:val="00924482"/>
    <w:rsid w:val="00930237"/>
    <w:rsid w:val="009302FA"/>
    <w:rsid w:val="009373A7"/>
    <w:rsid w:val="00937C17"/>
    <w:rsid w:val="00937FA5"/>
    <w:rsid w:val="00940A89"/>
    <w:rsid w:val="00946A00"/>
    <w:rsid w:val="00946EA5"/>
    <w:rsid w:val="00963C08"/>
    <w:rsid w:val="00964F30"/>
    <w:rsid w:val="009752A5"/>
    <w:rsid w:val="00977C39"/>
    <w:rsid w:val="0098585A"/>
    <w:rsid w:val="009A4CED"/>
    <w:rsid w:val="009A690D"/>
    <w:rsid w:val="009B1D12"/>
    <w:rsid w:val="009B3F83"/>
    <w:rsid w:val="009B416B"/>
    <w:rsid w:val="009B7417"/>
    <w:rsid w:val="009C3558"/>
    <w:rsid w:val="009C4BD5"/>
    <w:rsid w:val="009C6C9A"/>
    <w:rsid w:val="009D3DBA"/>
    <w:rsid w:val="009D5BF3"/>
    <w:rsid w:val="009D7B77"/>
    <w:rsid w:val="009E0BB0"/>
    <w:rsid w:val="009E0C19"/>
    <w:rsid w:val="009E3FBB"/>
    <w:rsid w:val="009F04F8"/>
    <w:rsid w:val="009F7353"/>
    <w:rsid w:val="00A04F85"/>
    <w:rsid w:val="00A05FA4"/>
    <w:rsid w:val="00A102E4"/>
    <w:rsid w:val="00A10303"/>
    <w:rsid w:val="00A12C42"/>
    <w:rsid w:val="00A14DF7"/>
    <w:rsid w:val="00A22DEC"/>
    <w:rsid w:val="00A231AA"/>
    <w:rsid w:val="00A2747C"/>
    <w:rsid w:val="00A3246D"/>
    <w:rsid w:val="00A36FA7"/>
    <w:rsid w:val="00A407C5"/>
    <w:rsid w:val="00A40DD4"/>
    <w:rsid w:val="00A44DDB"/>
    <w:rsid w:val="00A451AE"/>
    <w:rsid w:val="00A4669C"/>
    <w:rsid w:val="00A475B7"/>
    <w:rsid w:val="00A47AF7"/>
    <w:rsid w:val="00A47C3E"/>
    <w:rsid w:val="00A50226"/>
    <w:rsid w:val="00A60BAD"/>
    <w:rsid w:val="00A722CC"/>
    <w:rsid w:val="00A73CFE"/>
    <w:rsid w:val="00A74E76"/>
    <w:rsid w:val="00A77E28"/>
    <w:rsid w:val="00A80B5B"/>
    <w:rsid w:val="00A8188D"/>
    <w:rsid w:val="00A84E36"/>
    <w:rsid w:val="00A863E7"/>
    <w:rsid w:val="00A96457"/>
    <w:rsid w:val="00A964D1"/>
    <w:rsid w:val="00A97AE3"/>
    <w:rsid w:val="00AA0ED0"/>
    <w:rsid w:val="00AB2D65"/>
    <w:rsid w:val="00AB3AA9"/>
    <w:rsid w:val="00AC2B40"/>
    <w:rsid w:val="00AC2BB2"/>
    <w:rsid w:val="00AC2C3C"/>
    <w:rsid w:val="00AC512D"/>
    <w:rsid w:val="00AD0083"/>
    <w:rsid w:val="00AD3935"/>
    <w:rsid w:val="00AD5107"/>
    <w:rsid w:val="00AD7F6F"/>
    <w:rsid w:val="00AE2A53"/>
    <w:rsid w:val="00AE65EB"/>
    <w:rsid w:val="00AE67A7"/>
    <w:rsid w:val="00AF1D94"/>
    <w:rsid w:val="00AF60C5"/>
    <w:rsid w:val="00AF64A9"/>
    <w:rsid w:val="00B009C6"/>
    <w:rsid w:val="00B01548"/>
    <w:rsid w:val="00B072DA"/>
    <w:rsid w:val="00B13EBD"/>
    <w:rsid w:val="00B21D29"/>
    <w:rsid w:val="00B226CC"/>
    <w:rsid w:val="00B25034"/>
    <w:rsid w:val="00B27E79"/>
    <w:rsid w:val="00B32355"/>
    <w:rsid w:val="00B329A8"/>
    <w:rsid w:val="00B33588"/>
    <w:rsid w:val="00B33863"/>
    <w:rsid w:val="00B366F9"/>
    <w:rsid w:val="00B36B44"/>
    <w:rsid w:val="00B37D17"/>
    <w:rsid w:val="00B4175E"/>
    <w:rsid w:val="00B452CE"/>
    <w:rsid w:val="00B54C25"/>
    <w:rsid w:val="00B6069D"/>
    <w:rsid w:val="00B66A8D"/>
    <w:rsid w:val="00B67D02"/>
    <w:rsid w:val="00B766C5"/>
    <w:rsid w:val="00B76B91"/>
    <w:rsid w:val="00B77EB1"/>
    <w:rsid w:val="00B811C6"/>
    <w:rsid w:val="00B855B0"/>
    <w:rsid w:val="00B92E08"/>
    <w:rsid w:val="00B95CEE"/>
    <w:rsid w:val="00B96EBD"/>
    <w:rsid w:val="00B977CA"/>
    <w:rsid w:val="00BC622A"/>
    <w:rsid w:val="00BD3E7E"/>
    <w:rsid w:val="00BE0A78"/>
    <w:rsid w:val="00BE253F"/>
    <w:rsid w:val="00BE48ED"/>
    <w:rsid w:val="00BE79F0"/>
    <w:rsid w:val="00BF046D"/>
    <w:rsid w:val="00BF1190"/>
    <w:rsid w:val="00BF5C77"/>
    <w:rsid w:val="00BF5D04"/>
    <w:rsid w:val="00C009AA"/>
    <w:rsid w:val="00C1164D"/>
    <w:rsid w:val="00C16861"/>
    <w:rsid w:val="00C20BA7"/>
    <w:rsid w:val="00C346AB"/>
    <w:rsid w:val="00C401E8"/>
    <w:rsid w:val="00C401FA"/>
    <w:rsid w:val="00C404A6"/>
    <w:rsid w:val="00C40A36"/>
    <w:rsid w:val="00C42160"/>
    <w:rsid w:val="00C42A60"/>
    <w:rsid w:val="00C44419"/>
    <w:rsid w:val="00C45E7B"/>
    <w:rsid w:val="00C471B1"/>
    <w:rsid w:val="00C61A78"/>
    <w:rsid w:val="00C6316B"/>
    <w:rsid w:val="00C634A9"/>
    <w:rsid w:val="00C64586"/>
    <w:rsid w:val="00C66445"/>
    <w:rsid w:val="00C70D53"/>
    <w:rsid w:val="00C73A3C"/>
    <w:rsid w:val="00C73D0B"/>
    <w:rsid w:val="00C76917"/>
    <w:rsid w:val="00C772FF"/>
    <w:rsid w:val="00C80137"/>
    <w:rsid w:val="00C801AF"/>
    <w:rsid w:val="00C80256"/>
    <w:rsid w:val="00C8687A"/>
    <w:rsid w:val="00C94CD4"/>
    <w:rsid w:val="00C9747E"/>
    <w:rsid w:val="00CA38EC"/>
    <w:rsid w:val="00CB6BC0"/>
    <w:rsid w:val="00CC1B7C"/>
    <w:rsid w:val="00CC23E8"/>
    <w:rsid w:val="00CC727F"/>
    <w:rsid w:val="00CF15C3"/>
    <w:rsid w:val="00CF2B6F"/>
    <w:rsid w:val="00CF2F3E"/>
    <w:rsid w:val="00CF58B6"/>
    <w:rsid w:val="00CF7044"/>
    <w:rsid w:val="00D0062D"/>
    <w:rsid w:val="00D017ED"/>
    <w:rsid w:val="00D040D3"/>
    <w:rsid w:val="00D04C65"/>
    <w:rsid w:val="00D05669"/>
    <w:rsid w:val="00D201D2"/>
    <w:rsid w:val="00D224FE"/>
    <w:rsid w:val="00D23139"/>
    <w:rsid w:val="00D248B6"/>
    <w:rsid w:val="00D31393"/>
    <w:rsid w:val="00D35973"/>
    <w:rsid w:val="00D36F10"/>
    <w:rsid w:val="00D40D0E"/>
    <w:rsid w:val="00D425BB"/>
    <w:rsid w:val="00D55AAE"/>
    <w:rsid w:val="00D639C8"/>
    <w:rsid w:val="00D6493E"/>
    <w:rsid w:val="00D7195D"/>
    <w:rsid w:val="00D72803"/>
    <w:rsid w:val="00D7301E"/>
    <w:rsid w:val="00D81AE3"/>
    <w:rsid w:val="00D83AE1"/>
    <w:rsid w:val="00D855D4"/>
    <w:rsid w:val="00D87520"/>
    <w:rsid w:val="00D902C9"/>
    <w:rsid w:val="00D93466"/>
    <w:rsid w:val="00D9485F"/>
    <w:rsid w:val="00DA1124"/>
    <w:rsid w:val="00DB582D"/>
    <w:rsid w:val="00DB6124"/>
    <w:rsid w:val="00DB63FC"/>
    <w:rsid w:val="00DB750B"/>
    <w:rsid w:val="00DB75B7"/>
    <w:rsid w:val="00DB7E43"/>
    <w:rsid w:val="00DB7EC8"/>
    <w:rsid w:val="00DC28EA"/>
    <w:rsid w:val="00DC3A28"/>
    <w:rsid w:val="00DC6E02"/>
    <w:rsid w:val="00DD17C6"/>
    <w:rsid w:val="00DD28CD"/>
    <w:rsid w:val="00DE02AE"/>
    <w:rsid w:val="00DE3A51"/>
    <w:rsid w:val="00DF1D7F"/>
    <w:rsid w:val="00DF4BE4"/>
    <w:rsid w:val="00E02FB4"/>
    <w:rsid w:val="00E061EE"/>
    <w:rsid w:val="00E10631"/>
    <w:rsid w:val="00E13FC7"/>
    <w:rsid w:val="00E146E3"/>
    <w:rsid w:val="00E20571"/>
    <w:rsid w:val="00E235F7"/>
    <w:rsid w:val="00E23659"/>
    <w:rsid w:val="00E239D4"/>
    <w:rsid w:val="00E26130"/>
    <w:rsid w:val="00E40B22"/>
    <w:rsid w:val="00E44ED1"/>
    <w:rsid w:val="00E45619"/>
    <w:rsid w:val="00E4588F"/>
    <w:rsid w:val="00E46DA3"/>
    <w:rsid w:val="00E51BB1"/>
    <w:rsid w:val="00E53631"/>
    <w:rsid w:val="00E54805"/>
    <w:rsid w:val="00E55868"/>
    <w:rsid w:val="00E60BB9"/>
    <w:rsid w:val="00E61386"/>
    <w:rsid w:val="00E624A5"/>
    <w:rsid w:val="00E64BA4"/>
    <w:rsid w:val="00E71346"/>
    <w:rsid w:val="00E7344E"/>
    <w:rsid w:val="00E74244"/>
    <w:rsid w:val="00E82665"/>
    <w:rsid w:val="00E96D57"/>
    <w:rsid w:val="00EB0798"/>
    <w:rsid w:val="00EB0B1E"/>
    <w:rsid w:val="00EB40AD"/>
    <w:rsid w:val="00EB586E"/>
    <w:rsid w:val="00EB5FC8"/>
    <w:rsid w:val="00EC463D"/>
    <w:rsid w:val="00EC59D9"/>
    <w:rsid w:val="00EC5A28"/>
    <w:rsid w:val="00EC7A85"/>
    <w:rsid w:val="00ED2922"/>
    <w:rsid w:val="00ED3CAD"/>
    <w:rsid w:val="00ED5A41"/>
    <w:rsid w:val="00EE1DE8"/>
    <w:rsid w:val="00EE27C2"/>
    <w:rsid w:val="00EE50C4"/>
    <w:rsid w:val="00EF4BAD"/>
    <w:rsid w:val="00EF4BBC"/>
    <w:rsid w:val="00EF59DC"/>
    <w:rsid w:val="00F033EC"/>
    <w:rsid w:val="00F04F68"/>
    <w:rsid w:val="00F12492"/>
    <w:rsid w:val="00F12670"/>
    <w:rsid w:val="00F14B27"/>
    <w:rsid w:val="00F3148D"/>
    <w:rsid w:val="00F325C5"/>
    <w:rsid w:val="00F32FE0"/>
    <w:rsid w:val="00F35298"/>
    <w:rsid w:val="00F447E3"/>
    <w:rsid w:val="00F47333"/>
    <w:rsid w:val="00F47E37"/>
    <w:rsid w:val="00F52D89"/>
    <w:rsid w:val="00F53C07"/>
    <w:rsid w:val="00F54549"/>
    <w:rsid w:val="00F54B65"/>
    <w:rsid w:val="00F63932"/>
    <w:rsid w:val="00F640B6"/>
    <w:rsid w:val="00F66DF2"/>
    <w:rsid w:val="00F80E40"/>
    <w:rsid w:val="00F815C6"/>
    <w:rsid w:val="00F848D9"/>
    <w:rsid w:val="00F85FB2"/>
    <w:rsid w:val="00F86163"/>
    <w:rsid w:val="00F94BE5"/>
    <w:rsid w:val="00FA5B82"/>
    <w:rsid w:val="00FA639E"/>
    <w:rsid w:val="00FB06D1"/>
    <w:rsid w:val="00FC1FCA"/>
    <w:rsid w:val="00FC25E4"/>
    <w:rsid w:val="00FC4DED"/>
    <w:rsid w:val="00FC4EF7"/>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D4C5439"/>
  <w15:docId w15:val="{B4D97F1F-731B-47BE-8B60-449D3D550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E523D"/>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1"/>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uiPriority w:val="1"/>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uiPriority w:val="1"/>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uiPriority w:val="1"/>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1"/>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45249C"/>
    <w:pPr>
      <w:keepNext/>
      <w:keepLines/>
      <w:spacing w:line="220" w:lineRule="atLeast"/>
    </w:pPr>
    <w:rPr>
      <w:b/>
    </w:rPr>
  </w:style>
  <w:style w:type="character" w:customStyle="1" w:styleId="Heading4Char">
    <w:name w:val="Heading 4 Char"/>
    <w:basedOn w:val="DefaultParagraphFont"/>
    <w:link w:val="Heading4"/>
    <w:uiPriority w:val="1"/>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1"/>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654968"/>
    <w:pPr>
      <w:numPr>
        <w:numId w:val="20"/>
      </w:numPr>
      <w:ind w:left="714" w:hanging="357"/>
    </w:pPr>
  </w:style>
  <w:style w:type="paragraph" w:styleId="ListBullet3">
    <w:name w:val="List Bullet 3"/>
    <w:basedOn w:val="Normal"/>
    <w:uiPriority w:val="2"/>
    <w:qFormat/>
    <w:rsid w:val="004C2DCA"/>
    <w:pPr>
      <w:numPr>
        <w:ilvl w:val="2"/>
        <w:numId w:val="3"/>
      </w:numPr>
      <w:ind w:left="1080"/>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uiPriority w:val="1"/>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1"/>
    <w:qFormat/>
    <w:rsid w:val="00F3148D"/>
    <w:pPr>
      <w:tabs>
        <w:tab w:val="right" w:pos="8505"/>
      </w:tabs>
      <w:spacing w:after="200"/>
    </w:pPr>
    <w:rPr>
      <w:rFonts w:ascii="Arial" w:hAnsi="Arial"/>
      <w:b/>
      <w:sz w:val="32"/>
    </w:rPr>
  </w:style>
  <w:style w:type="paragraph" w:styleId="TOC2">
    <w:name w:val="toc 2"/>
    <w:basedOn w:val="Normal"/>
    <w:next w:val="Normal"/>
    <w:uiPriority w:val="39"/>
    <w:qFormat/>
    <w:rsid w:val="00F3148D"/>
    <w:pPr>
      <w:tabs>
        <w:tab w:val="right" w:leader="underscore" w:pos="8505"/>
      </w:tabs>
      <w:spacing w:after="100"/>
      <w:ind w:left="624"/>
    </w:pPr>
    <w:rPr>
      <w:b/>
      <w:sz w:val="25"/>
    </w:rPr>
  </w:style>
  <w:style w:type="paragraph" w:styleId="TOC3">
    <w:name w:val="toc 3"/>
    <w:basedOn w:val="Normal"/>
    <w:next w:val="Normal"/>
    <w:uiPriority w:val="39"/>
    <w:qFormat/>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highlighttext">
    <w:name w:val="highlighttext"/>
    <w:rsid w:val="00EF4BBC"/>
    <w:rPr>
      <w:b/>
      <w:bCs/>
      <w:color w:val="000000"/>
    </w:rPr>
  </w:style>
  <w:style w:type="paragraph" w:styleId="Bibliography">
    <w:name w:val="Bibliography"/>
    <w:basedOn w:val="Normal"/>
    <w:next w:val="Normal"/>
    <w:uiPriority w:val="37"/>
    <w:semiHidden/>
    <w:unhideWhenUsed/>
    <w:rsid w:val="00EF4BBC"/>
    <w:pPr>
      <w:spacing w:before="0" w:after="0" w:line="240" w:lineRule="auto"/>
    </w:pPr>
    <w:rPr>
      <w:rFonts w:eastAsia="Times New Roman"/>
      <w:szCs w:val="24"/>
      <w:lang w:eastAsia="en-AU"/>
    </w:rPr>
  </w:style>
  <w:style w:type="character" w:customStyle="1" w:styleId="eutitle">
    <w:name w:val="eutitle"/>
    <w:basedOn w:val="DefaultParagraphFont"/>
    <w:rsid w:val="00EF4BBC"/>
  </w:style>
  <w:style w:type="paragraph" w:customStyle="1" w:styleId="Default">
    <w:name w:val="Default"/>
    <w:rsid w:val="00EF4BBC"/>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BodyText">
    <w:name w:val="Body Text"/>
    <w:basedOn w:val="Normal"/>
    <w:link w:val="BodyTextChar"/>
    <w:uiPriority w:val="1"/>
    <w:qFormat/>
    <w:rsid w:val="00DB63FC"/>
    <w:pPr>
      <w:widowControl w:val="0"/>
      <w:autoSpaceDE w:val="0"/>
      <w:autoSpaceDN w:val="0"/>
      <w:spacing w:before="0" w:after="0" w:line="240" w:lineRule="auto"/>
    </w:pPr>
    <w:rPr>
      <w:rFonts w:cs="Cambria"/>
      <w:lang w:eastAsia="en-AU" w:bidi="en-AU"/>
    </w:rPr>
  </w:style>
  <w:style w:type="character" w:customStyle="1" w:styleId="BodyTextChar">
    <w:name w:val="Body Text Char"/>
    <w:basedOn w:val="DefaultParagraphFont"/>
    <w:link w:val="BodyText"/>
    <w:uiPriority w:val="1"/>
    <w:rsid w:val="00DB63FC"/>
    <w:rPr>
      <w:rFonts w:ascii="Cambria" w:eastAsia="Cambria" w:hAnsi="Cambria" w:cs="Cambria"/>
      <w:lang w:eastAsia="en-AU" w:bidi="en-AU"/>
    </w:rPr>
  </w:style>
  <w:style w:type="paragraph" w:customStyle="1" w:styleId="TableParagraph">
    <w:name w:val="Table Paragraph"/>
    <w:basedOn w:val="Normal"/>
    <w:uiPriority w:val="1"/>
    <w:qFormat/>
    <w:rsid w:val="00DB63FC"/>
    <w:pPr>
      <w:widowControl w:val="0"/>
      <w:autoSpaceDE w:val="0"/>
      <w:autoSpaceDN w:val="0"/>
      <w:spacing w:before="11" w:after="0" w:line="242" w:lineRule="exact"/>
      <w:ind w:left="197"/>
      <w:jc w:val="center"/>
    </w:pPr>
    <w:rPr>
      <w:rFonts w:ascii="Calibri" w:eastAsia="Calibri" w:hAnsi="Calibri" w:cs="Calibri"/>
      <w:lang w:eastAsia="en-AU" w:bidi="en-AU"/>
    </w:rPr>
  </w:style>
  <w:style w:type="paragraph" w:styleId="ListParagraph">
    <w:name w:val="List Paragraph"/>
    <w:basedOn w:val="Normal"/>
    <w:uiPriority w:val="1"/>
    <w:qFormat/>
    <w:rsid w:val="00CA38EC"/>
    <w:pPr>
      <w:widowControl w:val="0"/>
      <w:autoSpaceDE w:val="0"/>
      <w:autoSpaceDN w:val="0"/>
      <w:spacing w:before="0" w:after="0" w:line="240" w:lineRule="auto"/>
      <w:ind w:left="1352" w:hanging="1190"/>
    </w:pPr>
    <w:rPr>
      <w:rFonts w:cs="Cambria"/>
      <w:lang w:eastAsia="en-AU" w:bidi="en-AU"/>
    </w:rPr>
  </w:style>
  <w:style w:type="paragraph" w:styleId="TOC4">
    <w:name w:val="toc 4"/>
    <w:basedOn w:val="Normal"/>
    <w:uiPriority w:val="1"/>
    <w:qFormat/>
    <w:rsid w:val="00912C22"/>
    <w:pPr>
      <w:widowControl w:val="0"/>
      <w:autoSpaceDE w:val="0"/>
      <w:autoSpaceDN w:val="0"/>
      <w:spacing w:before="0" w:after="0" w:line="256" w:lineRule="exact"/>
      <w:ind w:left="1495"/>
    </w:pPr>
    <w:rPr>
      <w:rFonts w:cs="Cambria"/>
      <w:lang w:eastAsia="en-AU" w:bidi="en-AU"/>
    </w:rPr>
  </w:style>
  <w:style w:type="paragraph" w:styleId="TOC5">
    <w:name w:val="toc 5"/>
    <w:basedOn w:val="Normal"/>
    <w:uiPriority w:val="1"/>
    <w:qFormat/>
    <w:rsid w:val="00912C22"/>
    <w:pPr>
      <w:widowControl w:val="0"/>
      <w:autoSpaceDE w:val="0"/>
      <w:autoSpaceDN w:val="0"/>
      <w:spacing w:before="0" w:after="0" w:line="240" w:lineRule="auto"/>
      <w:ind w:left="1501"/>
    </w:pPr>
    <w:rPr>
      <w:rFonts w:cs="Cambria"/>
      <w:lang w:eastAsia="en-AU" w:bidi="en-AU"/>
    </w:rPr>
  </w:style>
  <w:style w:type="table" w:styleId="LightList-Accent3">
    <w:name w:val="Light List Accent 3"/>
    <w:basedOn w:val="TableNormal"/>
    <w:uiPriority w:val="61"/>
    <w:rsid w:val="00A74E76"/>
    <w:pPr>
      <w:spacing w:after="0" w:line="240" w:lineRule="auto"/>
    </w:pPr>
    <w:tblPr>
      <w:tblStyleRowBandSize w:val="1"/>
      <w:tblStyleColBandSize w:val="1"/>
      <w:tblBorders>
        <w:top w:val="single" w:sz="8" w:space="0" w:color="006DA7" w:themeColor="accent3"/>
        <w:left w:val="single" w:sz="8" w:space="0" w:color="006DA7" w:themeColor="accent3"/>
        <w:bottom w:val="single" w:sz="8" w:space="0" w:color="006DA7" w:themeColor="accent3"/>
        <w:right w:val="single" w:sz="8" w:space="0" w:color="006DA7" w:themeColor="accent3"/>
      </w:tblBorders>
    </w:tblPr>
    <w:tblStylePr w:type="firstRow">
      <w:pPr>
        <w:spacing w:before="0" w:after="0" w:line="240" w:lineRule="auto"/>
      </w:pPr>
      <w:rPr>
        <w:b/>
        <w:bCs/>
        <w:color w:val="FFFFFF" w:themeColor="background1"/>
      </w:rPr>
      <w:tblPr/>
      <w:tcPr>
        <w:shd w:val="clear" w:color="auto" w:fill="006DA7" w:themeFill="accent3"/>
      </w:tcPr>
    </w:tblStylePr>
    <w:tblStylePr w:type="lastRow">
      <w:pPr>
        <w:spacing w:before="0" w:after="0" w:line="240" w:lineRule="auto"/>
      </w:pPr>
      <w:rPr>
        <w:b/>
        <w:bCs/>
      </w:rPr>
      <w:tblPr/>
      <w:tcPr>
        <w:tcBorders>
          <w:top w:val="double" w:sz="6" w:space="0" w:color="006DA7" w:themeColor="accent3"/>
          <w:left w:val="single" w:sz="8" w:space="0" w:color="006DA7" w:themeColor="accent3"/>
          <w:bottom w:val="single" w:sz="8" w:space="0" w:color="006DA7" w:themeColor="accent3"/>
          <w:right w:val="single" w:sz="8" w:space="0" w:color="006DA7" w:themeColor="accent3"/>
        </w:tcBorders>
      </w:tcPr>
    </w:tblStylePr>
    <w:tblStylePr w:type="firstCol">
      <w:rPr>
        <w:b/>
        <w:bCs/>
      </w:rPr>
    </w:tblStylePr>
    <w:tblStylePr w:type="lastCol">
      <w:rPr>
        <w:b/>
        <w:bCs/>
      </w:rPr>
    </w:tblStylePr>
    <w:tblStylePr w:type="band1Vert">
      <w:tblPr/>
      <w:tcPr>
        <w:tcBorders>
          <w:top w:val="single" w:sz="8" w:space="0" w:color="006DA7" w:themeColor="accent3"/>
          <w:left w:val="single" w:sz="8" w:space="0" w:color="006DA7" w:themeColor="accent3"/>
          <w:bottom w:val="single" w:sz="8" w:space="0" w:color="006DA7" w:themeColor="accent3"/>
          <w:right w:val="single" w:sz="8" w:space="0" w:color="006DA7" w:themeColor="accent3"/>
        </w:tcBorders>
      </w:tcPr>
    </w:tblStylePr>
    <w:tblStylePr w:type="band1Horz">
      <w:tblPr/>
      <w:tcPr>
        <w:tcBorders>
          <w:top w:val="single" w:sz="8" w:space="0" w:color="006DA7" w:themeColor="accent3"/>
          <w:left w:val="single" w:sz="8" w:space="0" w:color="006DA7" w:themeColor="accent3"/>
          <w:bottom w:val="single" w:sz="8" w:space="0" w:color="006DA7" w:themeColor="accent3"/>
          <w:right w:val="single" w:sz="8" w:space="0" w:color="006DA7" w:themeColor="accent3"/>
        </w:tcBorders>
      </w:tcPr>
    </w:tblStylePr>
  </w:style>
  <w:style w:type="paragraph" w:customStyle="1" w:styleId="Standard">
    <w:name w:val="Standard"/>
    <w:basedOn w:val="Normal"/>
    <w:link w:val="StandardChar"/>
    <w:qFormat/>
    <w:rsid w:val="00A722CC"/>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A722CC"/>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A722CC"/>
    <w:pPr>
      <w:numPr>
        <w:numId w:val="12"/>
      </w:numPr>
      <w:spacing w:after="180"/>
      <w:ind w:left="426" w:hanging="284"/>
    </w:pPr>
    <w:rPr>
      <w:kern w:val="2"/>
    </w:rPr>
  </w:style>
  <w:style w:type="character" w:customStyle="1" w:styleId="TabletextChar">
    <w:name w:val="Table text Char"/>
    <w:basedOn w:val="StandardChar"/>
    <w:link w:val="Tabletext"/>
    <w:rsid w:val="00A722CC"/>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A722CC"/>
    <w:rPr>
      <w:rFonts w:ascii="Cambria" w:eastAsia="Times New Roman" w:hAnsi="Cambria" w:cs="Times New Roman"/>
      <w:snapToGrid w:val="0"/>
      <w:kern w:val="2"/>
      <w:sz w:val="23"/>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471801">
      <w:bodyDiv w:val="1"/>
      <w:marLeft w:val="0"/>
      <w:marRight w:val="0"/>
      <w:marTop w:val="0"/>
      <w:marBottom w:val="0"/>
      <w:divBdr>
        <w:top w:val="none" w:sz="0" w:space="0" w:color="auto"/>
        <w:left w:val="none" w:sz="0" w:space="0" w:color="auto"/>
        <w:bottom w:val="none" w:sz="0" w:space="0" w:color="auto"/>
        <w:right w:val="none" w:sz="0" w:space="0" w:color="auto"/>
      </w:divBdr>
      <w:divsChild>
        <w:div w:id="108940908">
          <w:marLeft w:val="0"/>
          <w:marRight w:val="0"/>
          <w:marTop w:val="0"/>
          <w:marBottom w:val="0"/>
          <w:divBdr>
            <w:top w:val="none" w:sz="0" w:space="0" w:color="auto"/>
            <w:left w:val="none" w:sz="0" w:space="0" w:color="auto"/>
            <w:bottom w:val="none" w:sz="0" w:space="0" w:color="auto"/>
            <w:right w:val="none" w:sz="0" w:space="0" w:color="auto"/>
          </w:divBdr>
          <w:divsChild>
            <w:div w:id="69083645">
              <w:marLeft w:val="0"/>
              <w:marRight w:val="0"/>
              <w:marTop w:val="0"/>
              <w:marBottom w:val="0"/>
              <w:divBdr>
                <w:top w:val="none" w:sz="0" w:space="0" w:color="auto"/>
                <w:left w:val="none" w:sz="0" w:space="0" w:color="auto"/>
                <w:bottom w:val="none" w:sz="0" w:space="0" w:color="auto"/>
                <w:right w:val="none" w:sz="0" w:space="0" w:color="auto"/>
              </w:divBdr>
              <w:divsChild>
                <w:div w:id="1373067797">
                  <w:marLeft w:val="0"/>
                  <w:marRight w:val="0"/>
                  <w:marTop w:val="0"/>
                  <w:marBottom w:val="0"/>
                  <w:divBdr>
                    <w:top w:val="none" w:sz="0" w:space="0" w:color="auto"/>
                    <w:left w:val="none" w:sz="0" w:space="0" w:color="auto"/>
                    <w:bottom w:val="none" w:sz="0" w:space="0" w:color="auto"/>
                    <w:right w:val="none" w:sz="0" w:space="0" w:color="auto"/>
                  </w:divBdr>
                  <w:divsChild>
                    <w:div w:id="2064985977">
                      <w:marLeft w:val="0"/>
                      <w:marRight w:val="0"/>
                      <w:marTop w:val="0"/>
                      <w:marBottom w:val="0"/>
                      <w:divBdr>
                        <w:top w:val="none" w:sz="0" w:space="0" w:color="auto"/>
                        <w:left w:val="none" w:sz="0" w:space="0" w:color="auto"/>
                        <w:bottom w:val="none" w:sz="0" w:space="0" w:color="auto"/>
                        <w:right w:val="none" w:sz="0" w:space="0" w:color="auto"/>
                      </w:divBdr>
                      <w:divsChild>
                        <w:div w:id="542904771">
                          <w:marLeft w:val="0"/>
                          <w:marRight w:val="0"/>
                          <w:marTop w:val="0"/>
                          <w:marBottom w:val="0"/>
                          <w:divBdr>
                            <w:top w:val="none" w:sz="0" w:space="0" w:color="auto"/>
                            <w:left w:val="none" w:sz="0" w:space="0" w:color="auto"/>
                            <w:bottom w:val="none" w:sz="0" w:space="0" w:color="auto"/>
                            <w:right w:val="none" w:sz="0" w:space="0" w:color="auto"/>
                          </w:divBdr>
                          <w:divsChild>
                            <w:div w:id="1795902894">
                              <w:marLeft w:val="0"/>
                              <w:marRight w:val="0"/>
                              <w:marTop w:val="0"/>
                              <w:marBottom w:val="0"/>
                              <w:divBdr>
                                <w:top w:val="none" w:sz="0" w:space="0" w:color="auto"/>
                                <w:left w:val="none" w:sz="0" w:space="0" w:color="auto"/>
                                <w:bottom w:val="none" w:sz="0" w:space="0" w:color="auto"/>
                                <w:right w:val="none" w:sz="0" w:space="0" w:color="auto"/>
                              </w:divBdr>
                              <w:divsChild>
                                <w:div w:id="96678788">
                                  <w:marLeft w:val="0"/>
                                  <w:marRight w:val="0"/>
                                  <w:marTop w:val="0"/>
                                  <w:marBottom w:val="0"/>
                                  <w:divBdr>
                                    <w:top w:val="none" w:sz="0" w:space="0" w:color="auto"/>
                                    <w:left w:val="none" w:sz="0" w:space="0" w:color="auto"/>
                                    <w:bottom w:val="none" w:sz="0" w:space="0" w:color="auto"/>
                                    <w:right w:val="none" w:sz="0" w:space="0" w:color="auto"/>
                                  </w:divBdr>
                                  <w:divsChild>
                                    <w:div w:id="652373160">
                                      <w:marLeft w:val="0"/>
                                      <w:marRight w:val="0"/>
                                      <w:marTop w:val="0"/>
                                      <w:marBottom w:val="0"/>
                                      <w:divBdr>
                                        <w:top w:val="none" w:sz="0" w:space="0" w:color="auto"/>
                                        <w:left w:val="none" w:sz="0" w:space="0" w:color="auto"/>
                                        <w:bottom w:val="none" w:sz="0" w:space="0" w:color="auto"/>
                                        <w:right w:val="none" w:sz="0" w:space="0" w:color="auto"/>
                                      </w:divBdr>
                                      <w:divsChild>
                                        <w:div w:id="188232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9091400">
      <w:bodyDiv w:val="1"/>
      <w:marLeft w:val="0"/>
      <w:marRight w:val="0"/>
      <w:marTop w:val="0"/>
      <w:marBottom w:val="0"/>
      <w:divBdr>
        <w:top w:val="none" w:sz="0" w:space="0" w:color="auto"/>
        <w:left w:val="none" w:sz="0" w:space="0" w:color="auto"/>
        <w:bottom w:val="none" w:sz="0" w:space="0" w:color="auto"/>
        <w:right w:val="none" w:sz="0" w:space="0" w:color="auto"/>
      </w:divBdr>
    </w:div>
    <w:div w:id="811795639">
      <w:bodyDiv w:val="1"/>
      <w:marLeft w:val="0"/>
      <w:marRight w:val="0"/>
      <w:marTop w:val="0"/>
      <w:marBottom w:val="0"/>
      <w:divBdr>
        <w:top w:val="none" w:sz="0" w:space="0" w:color="auto"/>
        <w:left w:val="none" w:sz="0" w:space="0" w:color="auto"/>
        <w:bottom w:val="none" w:sz="0" w:space="0" w:color="auto"/>
        <w:right w:val="none" w:sz="0" w:space="0" w:color="auto"/>
      </w:divBdr>
    </w:div>
    <w:div w:id="957878808">
      <w:bodyDiv w:val="1"/>
      <w:marLeft w:val="0"/>
      <w:marRight w:val="0"/>
      <w:marTop w:val="0"/>
      <w:marBottom w:val="0"/>
      <w:divBdr>
        <w:top w:val="none" w:sz="0" w:space="0" w:color="auto"/>
        <w:left w:val="none" w:sz="0" w:space="0" w:color="auto"/>
        <w:bottom w:val="none" w:sz="0" w:space="0" w:color="auto"/>
        <w:right w:val="none" w:sz="0" w:space="0" w:color="auto"/>
      </w:divBdr>
    </w:div>
    <w:div w:id="1341077890">
      <w:bodyDiv w:val="1"/>
      <w:marLeft w:val="0"/>
      <w:marRight w:val="0"/>
      <w:marTop w:val="0"/>
      <w:marBottom w:val="0"/>
      <w:divBdr>
        <w:top w:val="none" w:sz="0" w:space="0" w:color="auto"/>
        <w:left w:val="none" w:sz="0" w:space="0" w:color="auto"/>
        <w:bottom w:val="none" w:sz="0" w:space="0" w:color="auto"/>
        <w:right w:val="none" w:sz="0" w:space="0" w:color="auto"/>
      </w:divBdr>
      <w:divsChild>
        <w:div w:id="1860309462">
          <w:marLeft w:val="0"/>
          <w:marRight w:val="0"/>
          <w:marTop w:val="0"/>
          <w:marBottom w:val="0"/>
          <w:divBdr>
            <w:top w:val="none" w:sz="0" w:space="0" w:color="auto"/>
            <w:left w:val="none" w:sz="0" w:space="0" w:color="auto"/>
            <w:bottom w:val="none" w:sz="0" w:space="0" w:color="auto"/>
            <w:right w:val="none" w:sz="0" w:space="0" w:color="auto"/>
          </w:divBdr>
          <w:divsChild>
            <w:div w:id="1727026538">
              <w:marLeft w:val="0"/>
              <w:marRight w:val="0"/>
              <w:marTop w:val="0"/>
              <w:marBottom w:val="0"/>
              <w:divBdr>
                <w:top w:val="none" w:sz="0" w:space="0" w:color="auto"/>
                <w:left w:val="none" w:sz="0" w:space="0" w:color="auto"/>
                <w:bottom w:val="none" w:sz="0" w:space="0" w:color="auto"/>
                <w:right w:val="none" w:sz="0" w:space="0" w:color="auto"/>
              </w:divBdr>
              <w:divsChild>
                <w:div w:id="368845792">
                  <w:marLeft w:val="0"/>
                  <w:marRight w:val="0"/>
                  <w:marTop w:val="0"/>
                  <w:marBottom w:val="0"/>
                  <w:divBdr>
                    <w:top w:val="none" w:sz="0" w:space="0" w:color="auto"/>
                    <w:left w:val="none" w:sz="0" w:space="0" w:color="auto"/>
                    <w:bottom w:val="none" w:sz="0" w:space="0" w:color="auto"/>
                    <w:right w:val="none" w:sz="0" w:space="0" w:color="auto"/>
                  </w:divBdr>
                  <w:divsChild>
                    <w:div w:id="1305617574">
                      <w:marLeft w:val="0"/>
                      <w:marRight w:val="0"/>
                      <w:marTop w:val="0"/>
                      <w:marBottom w:val="0"/>
                      <w:divBdr>
                        <w:top w:val="none" w:sz="0" w:space="0" w:color="auto"/>
                        <w:left w:val="none" w:sz="0" w:space="0" w:color="auto"/>
                        <w:bottom w:val="none" w:sz="0" w:space="0" w:color="auto"/>
                        <w:right w:val="none" w:sz="0" w:space="0" w:color="auto"/>
                      </w:divBdr>
                      <w:divsChild>
                        <w:div w:id="516161588">
                          <w:marLeft w:val="0"/>
                          <w:marRight w:val="0"/>
                          <w:marTop w:val="0"/>
                          <w:marBottom w:val="0"/>
                          <w:divBdr>
                            <w:top w:val="none" w:sz="0" w:space="0" w:color="auto"/>
                            <w:left w:val="none" w:sz="0" w:space="0" w:color="auto"/>
                            <w:bottom w:val="none" w:sz="0" w:space="0" w:color="auto"/>
                            <w:right w:val="none" w:sz="0" w:space="0" w:color="auto"/>
                          </w:divBdr>
                          <w:divsChild>
                            <w:div w:id="371198230">
                              <w:marLeft w:val="0"/>
                              <w:marRight w:val="0"/>
                              <w:marTop w:val="0"/>
                              <w:marBottom w:val="0"/>
                              <w:divBdr>
                                <w:top w:val="none" w:sz="0" w:space="0" w:color="auto"/>
                                <w:left w:val="none" w:sz="0" w:space="0" w:color="auto"/>
                                <w:bottom w:val="none" w:sz="0" w:space="0" w:color="auto"/>
                                <w:right w:val="none" w:sz="0" w:space="0" w:color="auto"/>
                              </w:divBdr>
                              <w:divsChild>
                                <w:div w:id="199656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258463">
                          <w:marLeft w:val="0"/>
                          <w:marRight w:val="0"/>
                          <w:marTop w:val="0"/>
                          <w:marBottom w:val="0"/>
                          <w:divBdr>
                            <w:top w:val="none" w:sz="0" w:space="0" w:color="auto"/>
                            <w:left w:val="none" w:sz="0" w:space="0" w:color="auto"/>
                            <w:bottom w:val="none" w:sz="0" w:space="0" w:color="auto"/>
                            <w:right w:val="none" w:sz="0" w:space="0" w:color="auto"/>
                          </w:divBdr>
                        </w:div>
                        <w:div w:id="560016518">
                          <w:marLeft w:val="0"/>
                          <w:marRight w:val="0"/>
                          <w:marTop w:val="0"/>
                          <w:marBottom w:val="0"/>
                          <w:divBdr>
                            <w:top w:val="none" w:sz="0" w:space="0" w:color="auto"/>
                            <w:left w:val="none" w:sz="0" w:space="0" w:color="auto"/>
                            <w:bottom w:val="none" w:sz="0" w:space="0" w:color="auto"/>
                            <w:right w:val="none" w:sz="0" w:space="0" w:color="auto"/>
                          </w:divBdr>
                          <w:divsChild>
                            <w:div w:id="817768842">
                              <w:marLeft w:val="0"/>
                              <w:marRight w:val="0"/>
                              <w:marTop w:val="0"/>
                              <w:marBottom w:val="0"/>
                              <w:divBdr>
                                <w:top w:val="none" w:sz="0" w:space="0" w:color="auto"/>
                                <w:left w:val="none" w:sz="0" w:space="0" w:color="auto"/>
                                <w:bottom w:val="none" w:sz="0" w:space="0" w:color="auto"/>
                                <w:right w:val="none" w:sz="0" w:space="0" w:color="auto"/>
                              </w:divBdr>
                              <w:divsChild>
                                <w:div w:id="81056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8002639">
      <w:bodyDiv w:val="1"/>
      <w:marLeft w:val="0"/>
      <w:marRight w:val="0"/>
      <w:marTop w:val="0"/>
      <w:marBottom w:val="0"/>
      <w:divBdr>
        <w:top w:val="none" w:sz="0" w:space="0" w:color="auto"/>
        <w:left w:val="none" w:sz="0" w:space="0" w:color="auto"/>
        <w:bottom w:val="none" w:sz="0" w:space="0" w:color="auto"/>
        <w:right w:val="none" w:sz="0" w:space="0" w:color="auto"/>
      </w:divBdr>
    </w:div>
    <w:div w:id="1616325431">
      <w:bodyDiv w:val="1"/>
      <w:marLeft w:val="0"/>
      <w:marRight w:val="0"/>
      <w:marTop w:val="0"/>
      <w:marBottom w:val="0"/>
      <w:divBdr>
        <w:top w:val="none" w:sz="0" w:space="0" w:color="auto"/>
        <w:left w:val="none" w:sz="0" w:space="0" w:color="auto"/>
        <w:bottom w:val="none" w:sz="0" w:space="0" w:color="auto"/>
        <w:right w:val="none" w:sz="0" w:space="0" w:color="auto"/>
      </w:divBdr>
      <w:divsChild>
        <w:div w:id="1782800453">
          <w:marLeft w:val="0"/>
          <w:marRight w:val="0"/>
          <w:marTop w:val="0"/>
          <w:marBottom w:val="0"/>
          <w:divBdr>
            <w:top w:val="none" w:sz="0" w:space="0" w:color="auto"/>
            <w:left w:val="none" w:sz="0" w:space="0" w:color="auto"/>
            <w:bottom w:val="none" w:sz="0" w:space="0" w:color="auto"/>
            <w:right w:val="none" w:sz="0" w:space="0" w:color="auto"/>
          </w:divBdr>
          <w:divsChild>
            <w:div w:id="1351026728">
              <w:marLeft w:val="0"/>
              <w:marRight w:val="0"/>
              <w:marTop w:val="0"/>
              <w:marBottom w:val="0"/>
              <w:divBdr>
                <w:top w:val="none" w:sz="0" w:space="0" w:color="auto"/>
                <w:left w:val="none" w:sz="0" w:space="0" w:color="auto"/>
                <w:bottom w:val="none" w:sz="0" w:space="0" w:color="auto"/>
                <w:right w:val="none" w:sz="0" w:space="0" w:color="auto"/>
              </w:divBdr>
              <w:divsChild>
                <w:div w:id="307980961">
                  <w:marLeft w:val="0"/>
                  <w:marRight w:val="0"/>
                  <w:marTop w:val="0"/>
                  <w:marBottom w:val="0"/>
                  <w:divBdr>
                    <w:top w:val="none" w:sz="0" w:space="0" w:color="auto"/>
                    <w:left w:val="none" w:sz="0" w:space="0" w:color="auto"/>
                    <w:bottom w:val="none" w:sz="0" w:space="0" w:color="auto"/>
                    <w:right w:val="none" w:sz="0" w:space="0" w:color="auto"/>
                  </w:divBdr>
                  <w:divsChild>
                    <w:div w:id="594480286">
                      <w:marLeft w:val="0"/>
                      <w:marRight w:val="0"/>
                      <w:marTop w:val="0"/>
                      <w:marBottom w:val="0"/>
                      <w:divBdr>
                        <w:top w:val="none" w:sz="0" w:space="0" w:color="auto"/>
                        <w:left w:val="none" w:sz="0" w:space="0" w:color="auto"/>
                        <w:bottom w:val="none" w:sz="0" w:space="0" w:color="auto"/>
                        <w:right w:val="none" w:sz="0" w:space="0" w:color="auto"/>
                      </w:divBdr>
                      <w:divsChild>
                        <w:div w:id="972061412">
                          <w:marLeft w:val="0"/>
                          <w:marRight w:val="0"/>
                          <w:marTop w:val="0"/>
                          <w:marBottom w:val="375"/>
                          <w:divBdr>
                            <w:top w:val="single" w:sz="6" w:space="0" w:color="BDBDBD"/>
                            <w:left w:val="single" w:sz="6" w:space="0" w:color="BDBDBD"/>
                            <w:bottom w:val="single" w:sz="6" w:space="0" w:color="BDBDBD"/>
                            <w:right w:val="single" w:sz="6" w:space="0" w:color="BDBDBD"/>
                          </w:divBdr>
                        </w:div>
                      </w:divsChild>
                    </w:div>
                  </w:divsChild>
                </w:div>
              </w:divsChild>
            </w:div>
          </w:divsChild>
        </w:div>
      </w:divsChild>
    </w:div>
    <w:div w:id="1642271437">
      <w:bodyDiv w:val="1"/>
      <w:marLeft w:val="0"/>
      <w:marRight w:val="0"/>
      <w:marTop w:val="0"/>
      <w:marBottom w:val="0"/>
      <w:divBdr>
        <w:top w:val="none" w:sz="0" w:space="0" w:color="auto"/>
        <w:left w:val="none" w:sz="0" w:space="0" w:color="auto"/>
        <w:bottom w:val="none" w:sz="0" w:space="0" w:color="auto"/>
        <w:right w:val="none" w:sz="0" w:space="0" w:color="auto"/>
      </w:divBdr>
    </w:div>
    <w:div w:id="1860507602">
      <w:bodyDiv w:val="1"/>
      <w:marLeft w:val="0"/>
      <w:marRight w:val="0"/>
      <w:marTop w:val="0"/>
      <w:marBottom w:val="0"/>
      <w:divBdr>
        <w:top w:val="none" w:sz="0" w:space="0" w:color="auto"/>
        <w:left w:val="none" w:sz="0" w:space="0" w:color="auto"/>
        <w:bottom w:val="none" w:sz="0" w:space="0" w:color="auto"/>
        <w:right w:val="none" w:sz="0" w:space="0" w:color="auto"/>
      </w:divBdr>
    </w:div>
    <w:div w:id="1865636217">
      <w:bodyDiv w:val="1"/>
      <w:marLeft w:val="0"/>
      <w:marRight w:val="0"/>
      <w:marTop w:val="0"/>
      <w:marBottom w:val="0"/>
      <w:divBdr>
        <w:top w:val="none" w:sz="0" w:space="0" w:color="auto"/>
        <w:left w:val="none" w:sz="0" w:space="0" w:color="auto"/>
        <w:bottom w:val="none" w:sz="0" w:space="0" w:color="auto"/>
        <w:right w:val="none" w:sz="0" w:space="0" w:color="auto"/>
      </w:divBdr>
    </w:div>
    <w:div w:id="2053580363">
      <w:bodyDiv w:val="1"/>
      <w:marLeft w:val="0"/>
      <w:marRight w:val="0"/>
      <w:marTop w:val="0"/>
      <w:marBottom w:val="0"/>
      <w:divBdr>
        <w:top w:val="none" w:sz="0" w:space="0" w:color="auto"/>
        <w:left w:val="none" w:sz="0" w:space="0" w:color="auto"/>
        <w:bottom w:val="none" w:sz="0" w:space="0" w:color="auto"/>
        <w:right w:val="none" w:sz="0" w:space="0" w:color="auto"/>
      </w:divBdr>
      <w:divsChild>
        <w:div w:id="1075543222">
          <w:marLeft w:val="0"/>
          <w:marRight w:val="0"/>
          <w:marTop w:val="0"/>
          <w:marBottom w:val="0"/>
          <w:divBdr>
            <w:top w:val="none" w:sz="0" w:space="0" w:color="auto"/>
            <w:left w:val="none" w:sz="0" w:space="0" w:color="auto"/>
            <w:bottom w:val="none" w:sz="0" w:space="0" w:color="auto"/>
            <w:right w:val="none" w:sz="0" w:space="0" w:color="auto"/>
          </w:divBdr>
          <w:divsChild>
            <w:div w:id="237130112">
              <w:marLeft w:val="0"/>
              <w:marRight w:val="0"/>
              <w:marTop w:val="0"/>
              <w:marBottom w:val="0"/>
              <w:divBdr>
                <w:top w:val="none" w:sz="0" w:space="0" w:color="auto"/>
                <w:left w:val="none" w:sz="0" w:space="0" w:color="auto"/>
                <w:bottom w:val="none" w:sz="0" w:space="0" w:color="auto"/>
                <w:right w:val="none" w:sz="0" w:space="0" w:color="auto"/>
              </w:divBdr>
              <w:divsChild>
                <w:div w:id="1014377425">
                  <w:marLeft w:val="0"/>
                  <w:marRight w:val="0"/>
                  <w:marTop w:val="0"/>
                  <w:marBottom w:val="0"/>
                  <w:divBdr>
                    <w:top w:val="none" w:sz="0" w:space="0" w:color="auto"/>
                    <w:left w:val="none" w:sz="0" w:space="0" w:color="auto"/>
                    <w:bottom w:val="none" w:sz="0" w:space="0" w:color="auto"/>
                    <w:right w:val="none" w:sz="0" w:space="0" w:color="auto"/>
                  </w:divBdr>
                  <w:divsChild>
                    <w:div w:id="2109498076">
                      <w:marLeft w:val="0"/>
                      <w:marRight w:val="0"/>
                      <w:marTop w:val="0"/>
                      <w:marBottom w:val="0"/>
                      <w:divBdr>
                        <w:top w:val="none" w:sz="0" w:space="0" w:color="auto"/>
                        <w:left w:val="none" w:sz="0" w:space="0" w:color="auto"/>
                        <w:bottom w:val="none" w:sz="0" w:space="0" w:color="auto"/>
                        <w:right w:val="none" w:sz="0" w:space="0" w:color="auto"/>
                      </w:divBdr>
                      <w:divsChild>
                        <w:div w:id="1545294600">
                          <w:marLeft w:val="0"/>
                          <w:marRight w:val="0"/>
                          <w:marTop w:val="0"/>
                          <w:marBottom w:val="375"/>
                          <w:divBdr>
                            <w:top w:val="single" w:sz="6" w:space="0" w:color="AFCDE3"/>
                            <w:left w:val="single" w:sz="6" w:space="0" w:color="AFCDE3"/>
                            <w:bottom w:val="single" w:sz="6" w:space="0" w:color="AFCDE3"/>
                            <w:right w:val="single" w:sz="6" w:space="0" w:color="AFCDE3"/>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footer" Target="footer4.xml"/><Relationship Id="rId42" Type="http://schemas.openxmlformats.org/officeDocument/2006/relationships/fontTable" Target="fontTable.xml"/><Relationship Id="rId47"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www.tga.gov.au/product-information-pi" TargetMode="External"/><Relationship Id="rId25" Type="http://schemas.openxmlformats.org/officeDocument/2006/relationships/image" Target="media/image9.png"/><Relationship Id="rId33" Type="http://schemas.openxmlformats.org/officeDocument/2006/relationships/header" Target="header6.xml"/><Relationship Id="rId38"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header" Target="header5.xml"/><Relationship Id="rId37" Type="http://schemas.openxmlformats.org/officeDocument/2006/relationships/header" Target="header7.xml"/><Relationship Id="rId40"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www.tga.gov.au" TargetMode="External"/><Relationship Id="rId10" Type="http://schemas.openxmlformats.org/officeDocument/2006/relationships/hyperlink" Target="mailto:tga.copyright@tga.gov.au" TargetMode="External"/><Relationship Id="rId19" Type="http://schemas.openxmlformats.org/officeDocument/2006/relationships/image" Target="media/image3.png"/><Relationship Id="rId31" Type="http://schemas.openxmlformats.org/officeDocument/2006/relationships/header" Target="header4.xml"/><Relationship Id="rId4" Type="http://schemas.openxmlformats.org/officeDocument/2006/relationships/styles" Target="styles.xml"/><Relationship Id="rId9" Type="http://schemas.openxmlformats.org/officeDocument/2006/relationships/hyperlink" Target="https://www.tga.gov.au" TargetMode="Externa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www.tga.gov.au/product-information-pi" TargetMode="External"/><Relationship Id="rId35" Type="http://schemas.openxmlformats.org/officeDocument/2006/relationships/hyperlink" Target="mailto:info@tga.gov.au" TargetMode="External"/><Relationship Id="rId43"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4624\R13%20442859%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82ad3a63-90ad-4a46-a3cb-757f4658e205" origin="userSelected">
  <element uid="ba0343df-3220-4244-9388-1298e2abc028" value=""/>
  <element uid="6d3ee3d4-0386-4b93-9e57-c14563358695" value=""/>
  <element uid="7349a702-6462-4442-88eb-c64cd513835c"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DB3F98-A961-4917-A2AA-E69749A727B4}">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C3EF9AA9-5664-49B2-95D6-5DB3A1088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442859  AusPAR - template</Template>
  <TotalTime>30</TotalTime>
  <Pages>52</Pages>
  <Words>14824</Words>
  <Characters>84498</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Australian Public Assessment Report for Blinatumomab</vt:lpstr>
    </vt:vector>
  </TitlesOfParts>
  <Company>Department of Health</Company>
  <LinksUpToDate>false</LinksUpToDate>
  <CharactersWithSpaces>99124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Blinatumomab</dc:title>
  <dc:subject>prescription medicines</dc:subject>
  <dc:creator>Therapeutic Goods Administration</dc:creator>
  <cp:keywords>AusPARs</cp:keywords>
  <cp:lastModifiedBy>LACK, Janet</cp:lastModifiedBy>
  <cp:revision>4</cp:revision>
  <cp:lastPrinted>2018-07-04T05:48:00Z</cp:lastPrinted>
  <dcterms:created xsi:type="dcterms:W3CDTF">2019-10-16T05:48:00Z</dcterms:created>
  <dcterms:modified xsi:type="dcterms:W3CDTF">2019-10-16T22:49:00Z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ad498a57-ac98-4ff5-98b6-08e030fafe4e</vt:lpwstr>
  </property>
  <property fmtid="{D5CDD505-2E9C-101B-9397-08002B2CF9AE}" pid="3" name="bjSaver">
    <vt:lpwstr>rWvtO+m2gxbMm2cuWXXAtzFaK9GWO9So</vt:lpwstr>
  </property>
  <property fmtid="{D5CDD505-2E9C-101B-9397-08002B2CF9AE}" pid="4" name="bjDocumentLabelXML">
    <vt:lpwstr>&lt;?xml version="1.0" encoding="us-ascii"?&gt;&lt;sisl xmlns:xsi="http://www.w3.org/2001/XMLSchema-instance" xmlns:xsd="http://www.w3.org/2001/XMLSchema" sislVersion="0" policy="82ad3a63-90ad-4a46-a3cb-757f4658e205" origin="userSelected" xmlns="http://www.boldonj</vt:lpwstr>
  </property>
  <property fmtid="{D5CDD505-2E9C-101B-9397-08002B2CF9AE}" pid="5" name="bjDocumentLabelXML-0">
    <vt:lpwstr>ames.com/2008/01/sie/internal/label"&gt;&lt;element uid="ba0343df-3220-4244-9388-1298e2abc028" value="" /&gt;&lt;element uid="6d3ee3d4-0386-4b93-9e57-c14563358695" value="" /&gt;&lt;element uid="7349a702-6462-4442-88eb-c64cd513835c" value="" /&gt;&lt;/sisl&gt;</vt:lpwstr>
  </property>
  <property fmtid="{D5CDD505-2E9C-101B-9397-08002B2CF9AE}" pid="6" name="bjDocumentSecurityLabel">
    <vt:lpwstr>Confidential - Compliance</vt:lpwstr>
  </property>
</Properties>
</file>