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ED76F" w14:textId="23C263E4" w:rsidR="004032BD" w:rsidRDefault="004032BD" w:rsidP="00DF5E99">
      <w:pPr>
        <w:pStyle w:val="Heading1"/>
        <w:numPr>
          <w:ilvl w:val="0"/>
          <w:numId w:val="0"/>
        </w:numPr>
        <w:spacing w:after="240"/>
        <w:rPr>
          <w:rFonts w:eastAsia="SimSun"/>
        </w:rPr>
      </w:pPr>
      <w:r w:rsidRPr="009C133A">
        <w:rPr>
          <w:rFonts w:eastAsia="SimSun"/>
        </w:rPr>
        <w:t>A</w:t>
      </w:r>
      <w:bookmarkStart w:id="0" w:name="_GoBack"/>
      <w:bookmarkEnd w:id="0"/>
      <w:r w:rsidRPr="009C133A">
        <w:rPr>
          <w:rFonts w:eastAsia="SimSun"/>
        </w:rPr>
        <w:t>ustralian PI</w:t>
      </w:r>
      <w:r>
        <w:rPr>
          <w:rFonts w:eastAsia="SimSun"/>
        </w:rPr>
        <w:t xml:space="preserve"> –</w:t>
      </w:r>
      <w:r w:rsidR="0096434E">
        <w:rPr>
          <w:rFonts w:eastAsia="SimSun"/>
        </w:rPr>
        <w:t xml:space="preserve"> </w:t>
      </w:r>
      <w:r w:rsidR="00AE521B" w:rsidRPr="00AE521B">
        <w:rPr>
          <w:rFonts w:eastAsia="SimSun"/>
        </w:rPr>
        <w:t>BLINCYTO</w:t>
      </w:r>
      <w:r w:rsidR="00AE521B" w:rsidRPr="00AE521B">
        <w:rPr>
          <w:rFonts w:eastAsia="SimSun"/>
          <w:vertAlign w:val="superscript"/>
        </w:rPr>
        <w:t>®</w:t>
      </w:r>
      <w:r w:rsidR="0096434E">
        <w:rPr>
          <w:rFonts w:eastAsia="SimSun"/>
        </w:rPr>
        <w:t xml:space="preserve"> (BLINATUMOMAB)</w:t>
      </w:r>
    </w:p>
    <w:tbl>
      <w:tblPr>
        <w:tblStyle w:val="TableGrid"/>
        <w:tblW w:w="0" w:type="auto"/>
        <w:tblLook w:val="04A0" w:firstRow="1" w:lastRow="0" w:firstColumn="1" w:lastColumn="0" w:noHBand="0" w:noVBand="1"/>
      </w:tblPr>
      <w:tblGrid>
        <w:gridCol w:w="9016"/>
      </w:tblGrid>
      <w:tr w:rsidR="00AE521B" w14:paraId="48A6FBE1" w14:textId="77777777" w:rsidTr="00AE521B">
        <w:tc>
          <w:tcPr>
            <w:tcW w:w="9016" w:type="dxa"/>
          </w:tcPr>
          <w:p w14:paraId="371BA0C2" w14:textId="77777777" w:rsidR="00AE521B" w:rsidRPr="00E414E2" w:rsidRDefault="00AE521B" w:rsidP="004A4940">
            <w:pPr>
              <w:pStyle w:val="Heading1"/>
              <w:numPr>
                <w:ilvl w:val="0"/>
                <w:numId w:val="0"/>
              </w:numPr>
              <w:spacing w:before="120" w:after="120"/>
              <w:ind w:left="431" w:hanging="431"/>
              <w:outlineLvl w:val="0"/>
            </w:pPr>
            <w:r w:rsidRPr="00E414E2">
              <w:t>WARNING</w:t>
            </w:r>
          </w:p>
          <w:p w14:paraId="39F2F2D7" w14:textId="77777777" w:rsidR="00AE521B" w:rsidRPr="00E414E2" w:rsidRDefault="00AE521B" w:rsidP="00AE521B">
            <w:pPr>
              <w:pStyle w:val="PI-Text"/>
              <w:rPr>
                <w:b/>
                <w:lang w:val="en-AU"/>
              </w:rPr>
            </w:pPr>
            <w:r w:rsidRPr="00E414E2">
              <w:rPr>
                <w:b/>
                <w:lang w:val="en-AU"/>
              </w:rPr>
              <w:t>The following have occurred in patients receiving BLINCYTO:</w:t>
            </w:r>
          </w:p>
          <w:p w14:paraId="385AFD12" w14:textId="77777777" w:rsidR="00AE521B" w:rsidRPr="00E414E2" w:rsidRDefault="00AE521B" w:rsidP="00AE521B">
            <w:pPr>
              <w:pStyle w:val="PI-Bullets"/>
              <w:rPr>
                <w:b/>
              </w:rPr>
            </w:pPr>
            <w:r w:rsidRPr="00E414E2">
              <w:rPr>
                <w:rFonts w:eastAsia="Calibri"/>
                <w:b/>
              </w:rPr>
              <w:t>Cytokine Release Syndrome, which may be life-threatening or fatal</w:t>
            </w:r>
          </w:p>
          <w:p w14:paraId="15AB62A6" w14:textId="77777777" w:rsidR="00AE521B" w:rsidRPr="00E414E2" w:rsidRDefault="00AE521B" w:rsidP="00AE521B">
            <w:pPr>
              <w:pStyle w:val="PI-Bullets"/>
              <w:rPr>
                <w:b/>
              </w:rPr>
            </w:pPr>
            <w:r w:rsidRPr="00E414E2">
              <w:rPr>
                <w:rFonts w:eastAsia="Calibri"/>
                <w:b/>
              </w:rPr>
              <w:t>Neurological toxicities, which may be severe, life-threatening, or fatal</w:t>
            </w:r>
          </w:p>
          <w:p w14:paraId="6AF43C3D" w14:textId="77777777" w:rsidR="00AE521B" w:rsidRPr="00E414E2" w:rsidRDefault="00AE521B" w:rsidP="00AE521B">
            <w:pPr>
              <w:pStyle w:val="PI-Bullets"/>
              <w:rPr>
                <w:b/>
              </w:rPr>
            </w:pPr>
            <w:r w:rsidRPr="00E414E2">
              <w:rPr>
                <w:b/>
              </w:rPr>
              <w:t>Reactivation of JC viral infection</w:t>
            </w:r>
          </w:p>
          <w:p w14:paraId="36B7EA5E" w14:textId="75FBC67D" w:rsidR="00AE521B" w:rsidRPr="00AE521B" w:rsidRDefault="00AE521B" w:rsidP="00620E41">
            <w:pPr>
              <w:pStyle w:val="PI-Text"/>
              <w:rPr>
                <w:b/>
              </w:rPr>
            </w:pPr>
            <w:r w:rsidRPr="00AE521B">
              <w:rPr>
                <w:b/>
              </w:rPr>
              <w:t xml:space="preserve">Interrupt or discontinue BLINCYTO as recommended if any of these adverse events occur </w:t>
            </w:r>
            <w:r w:rsidRPr="006F4DEE">
              <w:rPr>
                <w:b/>
              </w:rPr>
              <w:t xml:space="preserve">(See </w:t>
            </w:r>
            <w:r w:rsidR="00FA34EF">
              <w:rPr>
                <w:b/>
              </w:rPr>
              <w:t>Section</w:t>
            </w:r>
            <w:r w:rsidR="00620E41">
              <w:rPr>
                <w:b/>
              </w:rPr>
              <w:t> </w:t>
            </w:r>
            <w:r w:rsidR="004F2178">
              <w:rPr>
                <w:b/>
              </w:rPr>
              <w:t>4.4</w:t>
            </w:r>
            <w:r w:rsidR="00620E41">
              <w:rPr>
                <w:b/>
              </w:rPr>
              <w:t xml:space="preserve"> </w:t>
            </w:r>
            <w:r w:rsidR="001F412F">
              <w:rPr>
                <w:b/>
              </w:rPr>
              <w:t xml:space="preserve">Special warnings and precautions for use </w:t>
            </w:r>
            <w:r w:rsidRPr="006F4DEE">
              <w:rPr>
                <w:b/>
              </w:rPr>
              <w:t xml:space="preserve">and </w:t>
            </w:r>
            <w:r w:rsidR="00620E41">
              <w:rPr>
                <w:b/>
              </w:rPr>
              <w:t xml:space="preserve">Section 4.2 </w:t>
            </w:r>
            <w:r w:rsidR="001F412F">
              <w:rPr>
                <w:b/>
              </w:rPr>
              <w:t>Dose and method of administration</w:t>
            </w:r>
            <w:r w:rsidRPr="006F4DEE">
              <w:rPr>
                <w:b/>
              </w:rPr>
              <w:t>).</w:t>
            </w:r>
          </w:p>
        </w:tc>
      </w:tr>
    </w:tbl>
    <w:p w14:paraId="4919B783" w14:textId="77777777" w:rsidR="00AE521B" w:rsidRPr="00AE521B" w:rsidRDefault="00AE521B" w:rsidP="00AE521B"/>
    <w:p w14:paraId="7AA1EF15" w14:textId="77777777" w:rsidR="001A3992" w:rsidRDefault="001A3992" w:rsidP="00DF5E99">
      <w:pPr>
        <w:pStyle w:val="Heading1"/>
        <w:spacing w:before="0" w:after="120"/>
        <w:ind w:left="431" w:hanging="431"/>
      </w:pPr>
      <w:r w:rsidRPr="00035C95">
        <w:t>Name of the medicine</w:t>
      </w:r>
    </w:p>
    <w:p w14:paraId="315DF84F" w14:textId="77777777" w:rsidR="00AE521B" w:rsidRPr="00FF4079" w:rsidRDefault="00AE521B" w:rsidP="00AE521B">
      <w:pPr>
        <w:pStyle w:val="PI-Text"/>
      </w:pPr>
      <w:proofErr w:type="spellStart"/>
      <w:r w:rsidRPr="00FF4079">
        <w:t>Blincyto</w:t>
      </w:r>
      <w:proofErr w:type="spellEnd"/>
      <w:r w:rsidRPr="00FF4079">
        <w:rPr>
          <w:vertAlign w:val="superscript"/>
        </w:rPr>
        <w:t>®</w:t>
      </w:r>
      <w:r w:rsidRPr="00FF4079">
        <w:t xml:space="preserve"> is the Amgen Inc. trademark for </w:t>
      </w:r>
      <w:proofErr w:type="spellStart"/>
      <w:r w:rsidRPr="00FF4079">
        <w:t>blinatumomab</w:t>
      </w:r>
      <w:proofErr w:type="spellEnd"/>
      <w:r w:rsidRPr="00FF4079">
        <w:t xml:space="preserve"> (</w:t>
      </w:r>
      <w:proofErr w:type="spellStart"/>
      <w:r w:rsidRPr="00FF4079">
        <w:t>rch</w:t>
      </w:r>
      <w:proofErr w:type="spellEnd"/>
      <w:r w:rsidRPr="00FF4079">
        <w:t>).</w:t>
      </w:r>
    </w:p>
    <w:p w14:paraId="7D0BB5F4" w14:textId="77777777" w:rsidR="001A3992" w:rsidRDefault="001A3992" w:rsidP="001A3992">
      <w:pPr>
        <w:pStyle w:val="Heading1"/>
        <w:spacing w:before="0" w:after="120"/>
      </w:pPr>
      <w:r w:rsidRPr="00DE5A80">
        <w:t xml:space="preserve">Qualitative and </w:t>
      </w:r>
      <w:r>
        <w:t>quantitative c</w:t>
      </w:r>
      <w:r w:rsidRPr="00DE5A80">
        <w:t>omposition</w:t>
      </w:r>
    </w:p>
    <w:p w14:paraId="33E24E7E" w14:textId="77777777" w:rsidR="003C79BA" w:rsidRDefault="003C79BA" w:rsidP="004D33B0">
      <w:pPr>
        <w:pStyle w:val="PI-Text"/>
      </w:pPr>
      <w:proofErr w:type="spellStart"/>
      <w:r w:rsidRPr="00FF4079">
        <w:t>Blinatumomab</w:t>
      </w:r>
      <w:proofErr w:type="spellEnd"/>
      <w:r w:rsidRPr="00FF4079">
        <w:t xml:space="preserve"> is a bispecific T cell engager (</w:t>
      </w:r>
      <w:proofErr w:type="spellStart"/>
      <w:r w:rsidRPr="00FF4079">
        <w:t>BiTE</w:t>
      </w:r>
      <w:proofErr w:type="spellEnd"/>
      <w:r w:rsidRPr="00FF4079">
        <w:rPr>
          <w:vertAlign w:val="superscript"/>
        </w:rPr>
        <w:t>®</w:t>
      </w:r>
      <w:r w:rsidRPr="00FF4079">
        <w:t xml:space="preserve">) antibody construct that selectively binds with high affinity to CD19 (expressed on cells of B-lineage origin) and CD3 (expressed on T cells). </w:t>
      </w:r>
      <w:r>
        <w:t xml:space="preserve"> </w:t>
      </w:r>
      <w:r w:rsidRPr="00FF4079">
        <w:t xml:space="preserve">Using recombinant DNA technology, </w:t>
      </w:r>
      <w:proofErr w:type="spellStart"/>
      <w:r w:rsidRPr="00FF4079">
        <w:t>Blincyto</w:t>
      </w:r>
      <w:proofErr w:type="spellEnd"/>
      <w:r w:rsidRPr="00FF4079">
        <w:t xml:space="preserve"> is produced in a well-characterised mammalian cell (Chinese hamster ovary) culture and is purified by a series of steps that include measures to inactivate and remove viruses.</w:t>
      </w:r>
      <w:r w:rsidR="005251A0">
        <w:t xml:space="preserve"> </w:t>
      </w:r>
      <w:r w:rsidRPr="00FF4079">
        <w:t xml:space="preserve"> It consists of 504</w:t>
      </w:r>
      <w:r w:rsidR="005251A0">
        <w:t> </w:t>
      </w:r>
      <w:r w:rsidRPr="00FF4079">
        <w:t>amino acids and has a molecular weight of approximately 54</w:t>
      </w:r>
      <w:r w:rsidR="005251A0">
        <w:t> </w:t>
      </w:r>
      <w:proofErr w:type="spellStart"/>
      <w:r w:rsidRPr="00FF4079">
        <w:t>kilodaltons</w:t>
      </w:r>
      <w:proofErr w:type="spellEnd"/>
      <w:r w:rsidRPr="00FF4079">
        <w:t>.</w:t>
      </w:r>
    </w:p>
    <w:p w14:paraId="5AF7A6A2" w14:textId="77777777" w:rsidR="001B36DD" w:rsidRDefault="001B36DD" w:rsidP="001B36DD">
      <w:pPr>
        <w:pStyle w:val="PI-Text"/>
      </w:pPr>
      <w:r w:rsidRPr="00FF4079">
        <w:t xml:space="preserve">Each single-use vial of </w:t>
      </w:r>
      <w:proofErr w:type="spellStart"/>
      <w:r w:rsidRPr="00FF4079">
        <w:t>Blincyto</w:t>
      </w:r>
      <w:proofErr w:type="spellEnd"/>
      <w:r w:rsidRPr="00FF4079">
        <w:t xml:space="preserve"> contains 38.5</w:t>
      </w:r>
      <w:r>
        <w:t> </w:t>
      </w:r>
      <w:r w:rsidRPr="00FF4079">
        <w:t xml:space="preserve">micrograms preservative-free </w:t>
      </w:r>
      <w:proofErr w:type="spellStart"/>
      <w:r w:rsidRPr="00FF4079">
        <w:t>blinatumomab</w:t>
      </w:r>
      <w:proofErr w:type="spellEnd"/>
      <w:r>
        <w:t>.</w:t>
      </w:r>
    </w:p>
    <w:p w14:paraId="44A52EC2" w14:textId="69C0835E" w:rsidR="001B36DD" w:rsidRPr="00C5352A" w:rsidRDefault="001B36DD" w:rsidP="001B36DD">
      <w:pPr>
        <w:pStyle w:val="PI-Text"/>
        <w:rPr>
          <w:color w:val="000000" w:themeColor="text1"/>
        </w:rPr>
      </w:pPr>
      <w:r w:rsidRPr="00FF4079">
        <w:t>After reconstitution with 3</w:t>
      </w:r>
      <w:r>
        <w:t> </w:t>
      </w:r>
      <w:r w:rsidRPr="00FF4079">
        <w:t xml:space="preserve">mL of preservative-free </w:t>
      </w:r>
      <w:r w:rsidRPr="00925F33">
        <w:t xml:space="preserve">sterile Water for Injections, the resulting total volume of reconstituted solution is 3.1 mL and each mL contains 12.5 micrograms </w:t>
      </w:r>
      <w:proofErr w:type="spellStart"/>
      <w:r w:rsidRPr="00925F33">
        <w:t>blinatumomab</w:t>
      </w:r>
      <w:proofErr w:type="spellEnd"/>
      <w:r w:rsidRPr="00C5352A">
        <w:rPr>
          <w:color w:val="000000" w:themeColor="text1"/>
        </w:rPr>
        <w:t xml:space="preserve">.  The extractable amount of </w:t>
      </w:r>
      <w:proofErr w:type="spellStart"/>
      <w:r w:rsidRPr="00C5352A">
        <w:rPr>
          <w:color w:val="000000" w:themeColor="text1"/>
        </w:rPr>
        <w:t>blinatumomab</w:t>
      </w:r>
      <w:proofErr w:type="spellEnd"/>
      <w:r w:rsidRPr="00C5352A">
        <w:rPr>
          <w:color w:val="000000" w:themeColor="text1"/>
        </w:rPr>
        <w:t xml:space="preserve"> per vial is 35 micrograms in a volume of 2.8 mL reconstituted solution.</w:t>
      </w:r>
    </w:p>
    <w:p w14:paraId="0BEA03C1" w14:textId="797ED188" w:rsidR="003C79BA" w:rsidRPr="003C79BA" w:rsidRDefault="003C79BA" w:rsidP="00800C19">
      <w:pPr>
        <w:pStyle w:val="PI-Text"/>
      </w:pPr>
      <w:r>
        <w:t>F</w:t>
      </w:r>
      <w:r w:rsidRPr="003C79BA">
        <w:t>or the full list of excipients, see Section</w:t>
      </w:r>
      <w:r w:rsidR="00620E41">
        <w:t> </w:t>
      </w:r>
      <w:r w:rsidRPr="003C79BA">
        <w:t>6.1</w:t>
      </w:r>
      <w:r w:rsidR="00620E41">
        <w:t xml:space="preserve"> </w:t>
      </w:r>
      <w:r w:rsidR="00006DE6">
        <w:t xml:space="preserve">List of </w:t>
      </w:r>
      <w:r w:rsidR="000028CA">
        <w:t>e</w:t>
      </w:r>
      <w:r w:rsidR="00006DE6">
        <w:t>xcipients</w:t>
      </w:r>
      <w:r w:rsidRPr="003C79BA">
        <w:t>.</w:t>
      </w:r>
    </w:p>
    <w:p w14:paraId="2B9EBDA2" w14:textId="77777777" w:rsidR="001A3992" w:rsidRDefault="001A3992" w:rsidP="001A3992">
      <w:pPr>
        <w:pStyle w:val="Heading1"/>
        <w:spacing w:before="0" w:after="120"/>
      </w:pPr>
      <w:r w:rsidRPr="00035C95">
        <w:t>Pharmaceutical form</w:t>
      </w:r>
    </w:p>
    <w:p w14:paraId="03DDC460" w14:textId="77777777" w:rsidR="00800C19" w:rsidRPr="004D33B0" w:rsidRDefault="00800C19" w:rsidP="004D33B0">
      <w:pPr>
        <w:pStyle w:val="PI-Bullets"/>
        <w:numPr>
          <w:ilvl w:val="0"/>
          <w:numId w:val="0"/>
        </w:numPr>
        <w:spacing w:before="120" w:after="120" w:line="360" w:lineRule="auto"/>
        <w:rPr>
          <w:rFonts w:eastAsiaTheme="minorHAnsi" w:cs="Arial"/>
          <w:szCs w:val="22"/>
          <w:lang w:val="en-GB" w:eastAsia="en-US"/>
        </w:rPr>
      </w:pPr>
      <w:proofErr w:type="spellStart"/>
      <w:r w:rsidRPr="004D33B0">
        <w:rPr>
          <w:rFonts w:eastAsiaTheme="minorHAnsi" w:cs="Arial"/>
          <w:szCs w:val="22"/>
          <w:lang w:val="en-GB" w:eastAsia="en-US"/>
        </w:rPr>
        <w:t>Blincyto</w:t>
      </w:r>
      <w:proofErr w:type="spellEnd"/>
      <w:r w:rsidRPr="004D33B0">
        <w:rPr>
          <w:rFonts w:eastAsiaTheme="minorHAnsi" w:cs="Arial"/>
          <w:szCs w:val="22"/>
          <w:lang w:val="en-GB" w:eastAsia="en-US"/>
        </w:rPr>
        <w:t xml:space="preserve"> </w:t>
      </w:r>
      <w:r w:rsidR="004D33B0" w:rsidRPr="004D33B0">
        <w:rPr>
          <w:rFonts w:eastAsiaTheme="minorHAnsi" w:cs="Arial"/>
          <w:szCs w:val="22"/>
          <w:lang w:val="en-GB" w:eastAsia="en-US"/>
        </w:rPr>
        <w:t xml:space="preserve">is </w:t>
      </w:r>
      <w:r w:rsidRPr="004D33B0">
        <w:rPr>
          <w:rFonts w:eastAsiaTheme="minorHAnsi" w:cs="Arial"/>
          <w:szCs w:val="22"/>
          <w:lang w:val="en-GB" w:eastAsia="en-US"/>
        </w:rPr>
        <w:t>supplied as a sterile, preservative-free, white to off-white lyophilised po</w:t>
      </w:r>
      <w:r w:rsidR="004D33B0">
        <w:rPr>
          <w:rFonts w:eastAsiaTheme="minorHAnsi" w:cs="Arial"/>
          <w:szCs w:val="22"/>
          <w:lang w:val="en-GB" w:eastAsia="en-US"/>
        </w:rPr>
        <w:t>wder (38.5 micrograms/vial)</w:t>
      </w:r>
    </w:p>
    <w:p w14:paraId="6DC34627" w14:textId="77777777" w:rsidR="00800C19" w:rsidRPr="00800C19" w:rsidRDefault="00800C19" w:rsidP="004D33B0">
      <w:pPr>
        <w:pStyle w:val="PI-Bullets"/>
        <w:numPr>
          <w:ilvl w:val="0"/>
          <w:numId w:val="0"/>
        </w:numPr>
        <w:spacing w:before="120" w:after="120" w:line="360" w:lineRule="auto"/>
      </w:pPr>
      <w:r w:rsidRPr="004D33B0">
        <w:rPr>
          <w:rFonts w:eastAsiaTheme="minorHAnsi" w:cs="Arial"/>
          <w:szCs w:val="22"/>
          <w:lang w:val="en-GB" w:eastAsia="en-US"/>
        </w:rPr>
        <w:lastRenderedPageBreak/>
        <w:t xml:space="preserve">IV solution stabiliser </w:t>
      </w:r>
      <w:r w:rsidR="004D33B0">
        <w:rPr>
          <w:rFonts w:eastAsiaTheme="minorHAnsi" w:cs="Arial"/>
          <w:szCs w:val="22"/>
          <w:lang w:val="en-GB" w:eastAsia="en-US"/>
        </w:rPr>
        <w:t xml:space="preserve">is </w:t>
      </w:r>
      <w:r w:rsidRPr="004D33B0">
        <w:rPr>
          <w:rFonts w:eastAsiaTheme="minorHAnsi" w:cs="Arial"/>
          <w:szCs w:val="22"/>
          <w:lang w:val="en-GB" w:eastAsia="en-US"/>
        </w:rPr>
        <w:t xml:space="preserve">supplied as a sterile, preservative-free, colourless to slightly yellow, clear solution.  </w:t>
      </w:r>
    </w:p>
    <w:p w14:paraId="7767379B" w14:textId="77777777" w:rsidR="001A3992" w:rsidRDefault="001A3992" w:rsidP="001A3992">
      <w:pPr>
        <w:pStyle w:val="Heading1"/>
        <w:spacing w:before="0" w:after="120"/>
      </w:pPr>
      <w:r w:rsidRPr="00035C95">
        <w:t>Clinical particulars</w:t>
      </w:r>
    </w:p>
    <w:p w14:paraId="4DCD35CF" w14:textId="77777777" w:rsidR="001A3992" w:rsidRDefault="00774CBD" w:rsidP="00896384">
      <w:pPr>
        <w:pStyle w:val="Heading2"/>
      </w:pPr>
      <w:r>
        <w:t>Therapeutic indications</w:t>
      </w:r>
    </w:p>
    <w:p w14:paraId="07B48005" w14:textId="77777777" w:rsidR="0016359A" w:rsidRDefault="0016359A" w:rsidP="0016359A">
      <w:pPr>
        <w:pStyle w:val="PI-Text"/>
      </w:pPr>
      <w:proofErr w:type="spellStart"/>
      <w:r w:rsidRPr="00FF4079">
        <w:t>Blincyto</w:t>
      </w:r>
      <w:proofErr w:type="spellEnd"/>
      <w:r w:rsidRPr="00FF4079">
        <w:t xml:space="preserve"> is indicated for the treatment of relapsed or refractory B-cell precursor acute lymphoblastic leukaemia (ALL).</w:t>
      </w:r>
    </w:p>
    <w:p w14:paraId="329FEA14" w14:textId="77777777" w:rsidR="0016359A" w:rsidRPr="00C5352A" w:rsidRDefault="0016359A" w:rsidP="0016359A">
      <w:pPr>
        <w:pStyle w:val="PI-Text"/>
        <w:rPr>
          <w:color w:val="000000" w:themeColor="text1"/>
        </w:rPr>
      </w:pPr>
      <w:proofErr w:type="spellStart"/>
      <w:r w:rsidRPr="008F7428">
        <w:rPr>
          <w:bCs/>
        </w:rPr>
        <w:t>Blincyto</w:t>
      </w:r>
      <w:proofErr w:type="spellEnd"/>
      <w:r w:rsidRPr="008F7428">
        <w:rPr>
          <w:bCs/>
        </w:rPr>
        <w:t xml:space="preserve"> is indicated for the treatment of minimal residual disease (MRD) positive B-cell precursor acute lymphoblastic leuk</w:t>
      </w:r>
      <w:r>
        <w:rPr>
          <w:bCs/>
        </w:rPr>
        <w:t>a</w:t>
      </w:r>
      <w:r w:rsidRPr="008F7428">
        <w:rPr>
          <w:bCs/>
        </w:rPr>
        <w:t>emia (ALL</w:t>
      </w:r>
      <w:r w:rsidRPr="00C5352A">
        <w:rPr>
          <w:bCs/>
          <w:color w:val="000000" w:themeColor="text1"/>
        </w:rPr>
        <w:t>) in patients in complete haematological remission.</w:t>
      </w:r>
    </w:p>
    <w:p w14:paraId="3BE3C5D3" w14:textId="77777777" w:rsidR="0016359A" w:rsidRDefault="0016359A" w:rsidP="0016359A">
      <w:pPr>
        <w:pStyle w:val="PI-Text"/>
      </w:pPr>
      <w:r w:rsidRPr="00FF4079">
        <w:t>Note to indication: th</w:t>
      </w:r>
      <w:r>
        <w:t>e</w:t>
      </w:r>
      <w:r w:rsidRPr="00FF4079">
        <w:t xml:space="preserve"> indication</w:t>
      </w:r>
      <w:r w:rsidRPr="00A34510">
        <w:rPr>
          <w:color w:val="000000" w:themeColor="text1"/>
        </w:rPr>
        <w:t>s</w:t>
      </w:r>
      <w:r w:rsidRPr="00FF4079">
        <w:t xml:space="preserve"> </w:t>
      </w:r>
      <w:r>
        <w:t xml:space="preserve">in Philadelphia positive, MRD positive and paediatric patients </w:t>
      </w:r>
      <w:r>
        <w:rPr>
          <w:lang w:val="en-US"/>
        </w:rPr>
        <w:t>were</w:t>
      </w:r>
      <w:r w:rsidRPr="00FF4079">
        <w:t xml:space="preserve"> approved based on phase</w:t>
      </w:r>
      <w:r>
        <w:t> </w:t>
      </w:r>
      <w:r w:rsidRPr="00FF4079">
        <w:t>II, non-randomised evidence.</w:t>
      </w:r>
      <w:r>
        <w:t xml:space="preserve"> </w:t>
      </w:r>
      <w:r w:rsidRPr="00FF4079">
        <w:t xml:space="preserve"> An improvement in clinical outcomes by direct prospective comparison in a randomised setting relative to other standard-of-care salvage therapies has not been established.</w:t>
      </w:r>
    </w:p>
    <w:p w14:paraId="0D146154" w14:textId="77777777" w:rsidR="001A3992" w:rsidRDefault="001A3992" w:rsidP="001A3992">
      <w:pPr>
        <w:pStyle w:val="Heading2"/>
        <w:spacing w:before="0" w:after="120"/>
      </w:pPr>
      <w:r>
        <w:t xml:space="preserve">Dose and method of administration </w:t>
      </w:r>
    </w:p>
    <w:p w14:paraId="61E69646" w14:textId="26EECDD4" w:rsidR="006F4DEE" w:rsidRDefault="0099153C" w:rsidP="004114C0">
      <w:pPr>
        <w:pStyle w:val="Heading3"/>
      </w:pPr>
      <w:r>
        <w:t>Dosage (dose and interval)</w:t>
      </w:r>
    </w:p>
    <w:p w14:paraId="661FF590" w14:textId="77777777" w:rsidR="006F4DEE" w:rsidRDefault="006F4DEE" w:rsidP="006F4DEE">
      <w:pPr>
        <w:pStyle w:val="PI-Text"/>
      </w:pPr>
      <w:r w:rsidRPr="00A0300D">
        <w:t xml:space="preserve">Use of </w:t>
      </w:r>
      <w:proofErr w:type="spellStart"/>
      <w:r w:rsidRPr="00A0300D">
        <w:t>Blincyto</w:t>
      </w:r>
      <w:proofErr w:type="spellEnd"/>
      <w:r w:rsidRPr="00A0300D">
        <w:t xml:space="preserve"> should be restricted to physicians experienced in the treatment of haematological malignancies.</w:t>
      </w:r>
    </w:p>
    <w:p w14:paraId="731C71FF" w14:textId="77777777" w:rsidR="006F4DEE" w:rsidRPr="00EB037B" w:rsidRDefault="006F4DEE" w:rsidP="006F4DEE">
      <w:pPr>
        <w:autoSpaceDE w:val="0"/>
        <w:autoSpaceDN w:val="0"/>
        <w:adjustRightInd w:val="0"/>
        <w:spacing w:after="0" w:line="360" w:lineRule="auto"/>
        <w:rPr>
          <w:rFonts w:ascii="Arial" w:eastAsia="Times New Roman" w:hAnsi="Arial" w:cs="Arial"/>
          <w:szCs w:val="20"/>
          <w:lang w:val="en-GB" w:eastAsia="en-AU"/>
        </w:rPr>
      </w:pPr>
      <w:r w:rsidRPr="00EB037B">
        <w:rPr>
          <w:rFonts w:ascii="Arial" w:eastAsia="Times New Roman" w:hAnsi="Arial" w:cs="Arial"/>
          <w:lang w:eastAsia="en-AU"/>
        </w:rPr>
        <w:t>For the treatment of relapsed or refractory B-cell precursor ALL, hospitalisation is recommended at a minimum for the first 9</w:t>
      </w:r>
      <w:r w:rsidR="004114C0">
        <w:rPr>
          <w:rFonts w:ascii="Arial" w:eastAsia="Times New Roman" w:hAnsi="Arial" w:cs="Arial"/>
          <w:lang w:eastAsia="en-AU"/>
        </w:rPr>
        <w:t> </w:t>
      </w:r>
      <w:r w:rsidRPr="00EB037B">
        <w:rPr>
          <w:rFonts w:ascii="Arial" w:eastAsia="Times New Roman" w:hAnsi="Arial" w:cs="Arial"/>
          <w:lang w:eastAsia="en-AU"/>
        </w:rPr>
        <w:t>days of the first cycle and the first 2</w:t>
      </w:r>
      <w:r w:rsidR="004114C0">
        <w:rPr>
          <w:rFonts w:ascii="Arial" w:eastAsia="Times New Roman" w:hAnsi="Arial" w:cs="Arial"/>
          <w:lang w:eastAsia="en-AU"/>
        </w:rPr>
        <w:t> </w:t>
      </w:r>
      <w:r w:rsidRPr="00EB037B">
        <w:rPr>
          <w:rFonts w:ascii="Arial" w:eastAsia="Times New Roman" w:hAnsi="Arial" w:cs="Arial"/>
          <w:lang w:eastAsia="en-AU"/>
        </w:rPr>
        <w:t>days of the second cycle.</w:t>
      </w:r>
    </w:p>
    <w:p w14:paraId="254E37ED" w14:textId="491A5F2C" w:rsidR="006F4DEE" w:rsidRDefault="006F4DEE" w:rsidP="004114C0">
      <w:pPr>
        <w:pStyle w:val="PI-Text"/>
        <w:rPr>
          <w:lang w:eastAsia="en-AU"/>
        </w:rPr>
      </w:pPr>
      <w:r>
        <w:rPr>
          <w:lang w:eastAsia="en-AU"/>
        </w:rPr>
        <w:t>For the treatment of MRD positive B-cell precursor ALL, ho</w:t>
      </w:r>
      <w:r w:rsidRPr="00A350FA">
        <w:rPr>
          <w:lang w:eastAsia="en-AU"/>
        </w:rPr>
        <w:t>spitali</w:t>
      </w:r>
      <w:r>
        <w:rPr>
          <w:lang w:eastAsia="en-AU"/>
        </w:rPr>
        <w:t>s</w:t>
      </w:r>
      <w:r w:rsidRPr="00A350FA">
        <w:rPr>
          <w:lang w:eastAsia="en-AU"/>
        </w:rPr>
        <w:t>ation is recommended at a minimum for the first 3</w:t>
      </w:r>
      <w:r w:rsidR="004114C0">
        <w:rPr>
          <w:lang w:eastAsia="en-AU"/>
        </w:rPr>
        <w:t> </w:t>
      </w:r>
      <w:r w:rsidRPr="00A350FA">
        <w:rPr>
          <w:lang w:eastAsia="en-AU"/>
        </w:rPr>
        <w:t>days of the first cycle and the first 2</w:t>
      </w:r>
      <w:r w:rsidR="004114C0">
        <w:rPr>
          <w:lang w:eastAsia="en-AU"/>
        </w:rPr>
        <w:t> </w:t>
      </w:r>
      <w:r w:rsidRPr="00A350FA">
        <w:rPr>
          <w:lang w:eastAsia="en-AU"/>
        </w:rPr>
        <w:t xml:space="preserve">days of </w:t>
      </w:r>
      <w:r w:rsidR="00A34510" w:rsidRPr="00C5352A">
        <w:rPr>
          <w:rFonts w:eastAsia="Times New Roman"/>
          <w:color w:val="000000" w:themeColor="text1"/>
          <w:lang w:eastAsia="en-AU"/>
        </w:rPr>
        <w:t>the second cycle</w:t>
      </w:r>
      <w:r>
        <w:rPr>
          <w:lang w:eastAsia="en-AU"/>
        </w:rPr>
        <w:t>.</w:t>
      </w:r>
    </w:p>
    <w:p w14:paraId="44C45557" w14:textId="13C1F44E" w:rsidR="006F4DEE" w:rsidRDefault="006F4DEE" w:rsidP="004114C0">
      <w:pPr>
        <w:pStyle w:val="PI-Text"/>
        <w:rPr>
          <w:lang w:eastAsia="en-AU"/>
        </w:rPr>
      </w:pPr>
      <w:r w:rsidRPr="00A350FA">
        <w:rPr>
          <w:lang w:eastAsia="en-AU"/>
        </w:rPr>
        <w:t xml:space="preserve">For all subsequent cycle starts and </w:t>
      </w:r>
      <w:proofErr w:type="spellStart"/>
      <w:r w:rsidRPr="00A350FA">
        <w:rPr>
          <w:lang w:eastAsia="en-AU"/>
        </w:rPr>
        <w:t>reinitiation</w:t>
      </w:r>
      <w:proofErr w:type="spellEnd"/>
      <w:r w:rsidRPr="00A350FA">
        <w:rPr>
          <w:lang w:eastAsia="en-AU"/>
        </w:rPr>
        <w:t xml:space="preserve"> (</w:t>
      </w:r>
      <w:r w:rsidR="00623550" w:rsidRPr="00C5352A">
        <w:rPr>
          <w:rFonts w:eastAsia="Calibri"/>
          <w:color w:val="000000" w:themeColor="text1"/>
        </w:rPr>
        <w:t>e.g.,</w:t>
      </w:r>
      <w:r w:rsidRPr="00A350FA">
        <w:rPr>
          <w:lang w:eastAsia="en-AU"/>
        </w:rPr>
        <w:t xml:space="preserve"> if treatment is interrupted for 4 or more hours), supervision by a healthcare professional or hospitali</w:t>
      </w:r>
      <w:r>
        <w:rPr>
          <w:lang w:eastAsia="en-AU"/>
        </w:rPr>
        <w:t>s</w:t>
      </w:r>
      <w:r w:rsidRPr="00A350FA">
        <w:rPr>
          <w:lang w:eastAsia="en-AU"/>
        </w:rPr>
        <w:t>ation is recommended.</w:t>
      </w:r>
    </w:p>
    <w:p w14:paraId="3B0AC711" w14:textId="3E0D871D" w:rsidR="006F4DEE" w:rsidRDefault="006F4DEE" w:rsidP="001F412F">
      <w:pPr>
        <w:pStyle w:val="PI-Text"/>
      </w:pPr>
      <w:proofErr w:type="spellStart"/>
      <w:r w:rsidRPr="00A350FA">
        <w:t>Blincyto</w:t>
      </w:r>
      <w:proofErr w:type="spellEnd"/>
      <w:r w:rsidRPr="00A350FA">
        <w:t xml:space="preserve"> infusion bags should be admixed to infuse over 24</w:t>
      </w:r>
      <w:r w:rsidR="004114C0">
        <w:t> </w:t>
      </w:r>
      <w:r w:rsidRPr="00A350FA">
        <w:t>hours, 48</w:t>
      </w:r>
      <w:r w:rsidR="004D33B0">
        <w:t> </w:t>
      </w:r>
      <w:r w:rsidRPr="00A350FA">
        <w:t>hours, 72</w:t>
      </w:r>
      <w:r w:rsidR="004114C0">
        <w:t> </w:t>
      </w:r>
      <w:r w:rsidRPr="00A350FA">
        <w:t>hours</w:t>
      </w:r>
      <w:r>
        <w:t xml:space="preserve"> or</w:t>
      </w:r>
      <w:r w:rsidRPr="00A350FA">
        <w:t xml:space="preserve"> 96</w:t>
      </w:r>
      <w:r w:rsidR="004114C0">
        <w:t> </w:t>
      </w:r>
      <w:r w:rsidRPr="00A350FA">
        <w:t xml:space="preserve">hours </w:t>
      </w:r>
      <w:r>
        <w:t>(</w:t>
      </w:r>
      <w:r w:rsidRPr="00A350FA">
        <w:t xml:space="preserve">see </w:t>
      </w:r>
      <w:r w:rsidR="00FA34EF">
        <w:t>Section</w:t>
      </w:r>
      <w:r w:rsidR="00620E41">
        <w:t xml:space="preserve"> 4.2 </w:t>
      </w:r>
      <w:r w:rsidR="001F412F">
        <w:t>Dose and method of administration</w:t>
      </w:r>
      <w:r>
        <w:t xml:space="preserve">, </w:t>
      </w:r>
      <w:r w:rsidR="001F412F">
        <w:t>Preparation and a</w:t>
      </w:r>
      <w:r w:rsidRPr="004D33B0">
        <w:t>dministration</w:t>
      </w:r>
      <w:r>
        <w:t>).</w:t>
      </w:r>
    </w:p>
    <w:p w14:paraId="2783B690" w14:textId="77777777" w:rsidR="006F4DEE" w:rsidRPr="00B77254" w:rsidRDefault="006F4DEE" w:rsidP="004D33B0">
      <w:pPr>
        <w:pStyle w:val="Heading4"/>
      </w:pPr>
      <w:r w:rsidRPr="00B77254">
        <w:lastRenderedPageBreak/>
        <w:t xml:space="preserve">Treatment of </w:t>
      </w:r>
      <w:r>
        <w:t>Relapsed or Refractory</w:t>
      </w:r>
      <w:r w:rsidRPr="00B77254">
        <w:t xml:space="preserve"> B-cell Precursor ALL</w:t>
      </w:r>
    </w:p>
    <w:p w14:paraId="02FF6E8F" w14:textId="77777777" w:rsidR="006F4DEE" w:rsidRPr="00A0300D" w:rsidRDefault="006F4DEE" w:rsidP="006F4DEE">
      <w:pPr>
        <w:pStyle w:val="Text"/>
        <w:rPr>
          <w:rFonts w:ascii="Arial" w:eastAsia="Times New Roman" w:hAnsi="Arial" w:cs="Arial"/>
          <w:szCs w:val="20"/>
          <w:lang w:val="en-GB" w:eastAsia="en-AU"/>
        </w:rPr>
      </w:pPr>
      <w:proofErr w:type="spellStart"/>
      <w:r w:rsidRPr="007A2BC3">
        <w:rPr>
          <w:rFonts w:ascii="Arial" w:eastAsia="Times New Roman" w:hAnsi="Arial" w:cs="Arial"/>
          <w:szCs w:val="20"/>
          <w:lang w:val="en-GB" w:eastAsia="en-AU"/>
        </w:rPr>
        <w:t>Blincyto</w:t>
      </w:r>
      <w:proofErr w:type="spellEnd"/>
      <w:r w:rsidRPr="007A2BC3">
        <w:rPr>
          <w:rFonts w:ascii="Arial" w:eastAsia="Times New Roman" w:hAnsi="Arial" w:cs="Arial"/>
          <w:szCs w:val="20"/>
          <w:lang w:val="en-GB" w:eastAsia="en-AU"/>
        </w:rPr>
        <w:t xml:space="preserve"> is administered as a continuous intravenous infusion delivered at a constant flow rate using an infusion pump.  A single cycle of treatment is 28</w:t>
      </w:r>
      <w:r w:rsidR="004D33B0">
        <w:rPr>
          <w:rFonts w:ascii="Arial" w:eastAsia="Times New Roman" w:hAnsi="Arial" w:cs="Arial"/>
          <w:szCs w:val="20"/>
          <w:lang w:val="en-GB" w:eastAsia="en-AU"/>
        </w:rPr>
        <w:t> </w:t>
      </w:r>
      <w:r w:rsidRPr="007A2BC3">
        <w:rPr>
          <w:rFonts w:ascii="Arial" w:eastAsia="Times New Roman" w:hAnsi="Arial" w:cs="Arial"/>
          <w:szCs w:val="20"/>
          <w:lang w:val="en-GB" w:eastAsia="en-AU"/>
        </w:rPr>
        <w:t>days (4</w:t>
      </w:r>
      <w:r w:rsidR="004D33B0">
        <w:rPr>
          <w:rFonts w:ascii="Arial" w:eastAsia="Times New Roman" w:hAnsi="Arial" w:cs="Arial"/>
          <w:szCs w:val="20"/>
          <w:lang w:val="en-GB" w:eastAsia="en-AU"/>
        </w:rPr>
        <w:t> </w:t>
      </w:r>
      <w:r w:rsidRPr="007A2BC3">
        <w:rPr>
          <w:rFonts w:ascii="Arial" w:eastAsia="Times New Roman" w:hAnsi="Arial" w:cs="Arial"/>
          <w:szCs w:val="20"/>
          <w:lang w:val="en-GB" w:eastAsia="en-AU"/>
        </w:rPr>
        <w:t>weeks) of continuous infusion</w:t>
      </w:r>
      <w:r>
        <w:rPr>
          <w:rFonts w:ascii="Arial" w:eastAsia="Times New Roman" w:hAnsi="Arial" w:cs="Arial"/>
          <w:szCs w:val="20"/>
          <w:lang w:val="en-GB" w:eastAsia="en-AU"/>
        </w:rPr>
        <w:t xml:space="preserve"> followed</w:t>
      </w:r>
      <w:r w:rsidRPr="00A0300D">
        <w:rPr>
          <w:rFonts w:ascii="Arial" w:eastAsia="Times New Roman" w:hAnsi="Arial" w:cs="Arial"/>
          <w:szCs w:val="20"/>
          <w:lang w:val="en-GB" w:eastAsia="en-AU"/>
        </w:rPr>
        <w:t xml:space="preserve"> by a 14</w:t>
      </w:r>
      <w:r w:rsidR="004D33B0">
        <w:rPr>
          <w:rFonts w:ascii="Arial" w:eastAsia="Times New Roman" w:hAnsi="Arial" w:cs="Arial"/>
          <w:szCs w:val="20"/>
          <w:lang w:val="en-GB" w:eastAsia="en-AU"/>
        </w:rPr>
        <w:t> </w:t>
      </w:r>
      <w:r w:rsidRPr="00A0300D">
        <w:rPr>
          <w:rFonts w:ascii="Arial" w:eastAsia="Times New Roman" w:hAnsi="Arial" w:cs="Arial"/>
          <w:szCs w:val="20"/>
          <w:lang w:val="en-GB" w:eastAsia="en-AU"/>
        </w:rPr>
        <w:t>day (2-week) treatment-free interval.</w:t>
      </w:r>
      <w:r>
        <w:rPr>
          <w:rFonts w:ascii="Arial" w:eastAsia="Times New Roman" w:hAnsi="Arial" w:cs="Arial"/>
          <w:szCs w:val="20"/>
          <w:lang w:val="en-GB" w:eastAsia="en-AU"/>
        </w:rPr>
        <w:t xml:space="preserve"> </w:t>
      </w:r>
      <w:r w:rsidRPr="00A0300D">
        <w:rPr>
          <w:rFonts w:ascii="Arial" w:eastAsia="Times New Roman" w:hAnsi="Arial" w:cs="Arial"/>
          <w:szCs w:val="20"/>
          <w:lang w:val="en-GB" w:eastAsia="en-AU"/>
        </w:rPr>
        <w:t xml:space="preserve"> Patients may receive 2 cycles of induction treatment followed by 3 additional cycles of </w:t>
      </w:r>
      <w:proofErr w:type="spellStart"/>
      <w:r w:rsidRPr="00A0300D">
        <w:rPr>
          <w:rFonts w:ascii="Arial" w:eastAsia="Times New Roman" w:hAnsi="Arial" w:cs="Arial"/>
          <w:szCs w:val="20"/>
          <w:lang w:val="en-GB" w:eastAsia="en-AU"/>
        </w:rPr>
        <w:t>Blincyto</w:t>
      </w:r>
      <w:proofErr w:type="spellEnd"/>
      <w:r w:rsidRPr="00A0300D">
        <w:rPr>
          <w:rFonts w:ascii="Arial" w:eastAsia="Times New Roman" w:hAnsi="Arial" w:cs="Arial"/>
          <w:szCs w:val="20"/>
          <w:lang w:val="en-GB" w:eastAsia="en-AU"/>
        </w:rPr>
        <w:t xml:space="preserve"> consolidation treatment.</w:t>
      </w:r>
    </w:p>
    <w:p w14:paraId="1C4118ED" w14:textId="77777777" w:rsidR="00D960E8" w:rsidRDefault="006F4DEE" w:rsidP="006F4DEE">
      <w:pPr>
        <w:pStyle w:val="Text"/>
        <w:rPr>
          <w:rFonts w:ascii="Arial" w:eastAsia="Times New Roman" w:hAnsi="Arial" w:cs="Arial"/>
          <w:szCs w:val="20"/>
          <w:lang w:val="en-GB" w:eastAsia="en-AU"/>
        </w:rPr>
      </w:pPr>
      <w:r w:rsidRPr="00A0300D">
        <w:rPr>
          <w:rFonts w:ascii="Arial" w:eastAsia="Times New Roman" w:hAnsi="Arial" w:cs="Arial"/>
          <w:szCs w:val="20"/>
          <w:lang w:val="en-GB" w:eastAsia="en-AU"/>
        </w:rPr>
        <w:t xml:space="preserve">See </w:t>
      </w:r>
      <w:r w:rsidRPr="00A0300D">
        <w:rPr>
          <w:rFonts w:ascii="Arial" w:eastAsia="Times New Roman" w:hAnsi="Arial" w:cs="Arial"/>
          <w:szCs w:val="20"/>
          <w:lang w:val="en-GB" w:eastAsia="en-AU"/>
        </w:rPr>
        <w:fldChar w:fldCharType="begin"/>
      </w:r>
      <w:r w:rsidRPr="00A0300D">
        <w:rPr>
          <w:rFonts w:ascii="Arial" w:eastAsia="Times New Roman" w:hAnsi="Arial" w:cs="Arial"/>
          <w:szCs w:val="20"/>
          <w:lang w:val="en-GB" w:eastAsia="en-AU"/>
        </w:rPr>
        <w:instrText xml:space="preserve"> REF _Ref448908362 \h  \* MERGEFORMAT </w:instrText>
      </w:r>
      <w:r w:rsidRPr="00A0300D">
        <w:rPr>
          <w:rFonts w:ascii="Arial" w:eastAsia="Times New Roman" w:hAnsi="Arial" w:cs="Arial"/>
          <w:szCs w:val="20"/>
          <w:lang w:val="en-GB" w:eastAsia="en-AU"/>
        </w:rPr>
      </w:r>
      <w:r w:rsidRPr="00A0300D">
        <w:rPr>
          <w:rFonts w:ascii="Arial" w:eastAsia="Times New Roman" w:hAnsi="Arial" w:cs="Arial"/>
          <w:szCs w:val="20"/>
          <w:lang w:val="en-GB" w:eastAsia="en-AU"/>
        </w:rPr>
        <w:fldChar w:fldCharType="separate"/>
      </w:r>
      <w:r w:rsidR="007667C8" w:rsidRPr="007667C8">
        <w:rPr>
          <w:rFonts w:ascii="Arial" w:eastAsia="Times New Roman" w:hAnsi="Arial" w:cs="Arial"/>
          <w:szCs w:val="20"/>
          <w:lang w:val="en-GB" w:eastAsia="en-AU"/>
        </w:rPr>
        <w:t>Table </w:t>
      </w:r>
      <w:r w:rsidRPr="00A0300D">
        <w:rPr>
          <w:rFonts w:ascii="Arial" w:eastAsia="Times New Roman" w:hAnsi="Arial" w:cs="Arial"/>
          <w:szCs w:val="20"/>
          <w:lang w:val="en-GB" w:eastAsia="en-AU"/>
        </w:rPr>
        <w:fldChar w:fldCharType="end"/>
      </w:r>
      <w:r w:rsidR="004D33B0">
        <w:rPr>
          <w:rFonts w:ascii="Arial" w:eastAsia="Times New Roman" w:hAnsi="Arial" w:cs="Arial"/>
          <w:szCs w:val="20"/>
          <w:lang w:val="en-GB" w:eastAsia="en-AU"/>
        </w:rPr>
        <w:t>1</w:t>
      </w:r>
      <w:r>
        <w:rPr>
          <w:rFonts w:ascii="Arial" w:eastAsia="Times New Roman" w:hAnsi="Arial" w:cs="Arial"/>
          <w:szCs w:val="20"/>
          <w:lang w:val="en-GB" w:eastAsia="en-AU"/>
        </w:rPr>
        <w:t xml:space="preserve"> </w:t>
      </w:r>
      <w:r w:rsidRPr="00A0300D">
        <w:rPr>
          <w:rFonts w:ascii="Arial" w:eastAsia="Times New Roman" w:hAnsi="Arial" w:cs="Arial"/>
          <w:szCs w:val="20"/>
          <w:lang w:val="en-GB" w:eastAsia="en-AU"/>
        </w:rPr>
        <w:t>for the recommended daily dose by patient weight.  Patients greater than or equal to 45 kg receive a fixed-dose and for patients less than 45 kg, the dose is calculated using the patient’s body surface area (BSA).</w:t>
      </w:r>
    </w:p>
    <w:p w14:paraId="207328AB" w14:textId="63D3B13A" w:rsidR="007C0EE8" w:rsidRPr="00451822" w:rsidRDefault="006F4DEE" w:rsidP="007C0EE8">
      <w:pPr>
        <w:pStyle w:val="Caption"/>
      </w:pPr>
      <w:bookmarkStart w:id="1" w:name="_Ref448908362"/>
      <w:r w:rsidRPr="00BB029B">
        <w:t>Table </w:t>
      </w:r>
      <w:bookmarkEnd w:id="1"/>
      <w:r w:rsidR="004D33B0" w:rsidRPr="00BB029B">
        <w:t>1</w:t>
      </w:r>
      <w:r w:rsidRPr="00BB029B">
        <w:t xml:space="preserve">.  </w:t>
      </w:r>
      <w:proofErr w:type="spellStart"/>
      <w:r w:rsidRPr="00BB029B">
        <w:t>Blincyto</w:t>
      </w:r>
      <w:proofErr w:type="spellEnd"/>
      <w:r w:rsidRPr="00BB029B">
        <w:t xml:space="preserve"> Recommended Dosage for Relapsed or Refractory B-cell Precursor ALL</w:t>
      </w:r>
      <w:r w:rsidR="007C0EE8" w:rsidRPr="007C0EE8">
        <w:t xml:space="preserve"> </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531"/>
        <w:gridCol w:w="1701"/>
        <w:gridCol w:w="1276"/>
        <w:gridCol w:w="1701"/>
        <w:gridCol w:w="1245"/>
      </w:tblGrid>
      <w:tr w:rsidR="007C0EE8" w:rsidRPr="00FF4079" w14:paraId="3AA00584" w14:textId="77777777" w:rsidTr="00620E41">
        <w:trPr>
          <w:trHeight w:val="251"/>
          <w:jc w:val="center"/>
        </w:trPr>
        <w:tc>
          <w:tcPr>
            <w:tcW w:w="1299" w:type="dxa"/>
            <w:vMerge w:val="restart"/>
            <w:shd w:val="clear" w:color="auto" w:fill="auto"/>
            <w:vAlign w:val="center"/>
          </w:tcPr>
          <w:p w14:paraId="7CEBE46F" w14:textId="77777777" w:rsidR="007C0EE8" w:rsidRPr="000E339D" w:rsidRDefault="007C0EE8" w:rsidP="00620E41">
            <w:pPr>
              <w:pStyle w:val="Text"/>
              <w:keepNext/>
              <w:keepLines/>
              <w:spacing w:before="0" w:after="0" w:line="240" w:lineRule="auto"/>
              <w:jc w:val="center"/>
              <w:rPr>
                <w:rFonts w:ascii="Arial" w:hAnsi="Arial" w:cs="Arial"/>
                <w:b/>
                <w:sz w:val="20"/>
              </w:rPr>
            </w:pPr>
            <w:r w:rsidRPr="000E339D">
              <w:rPr>
                <w:rFonts w:ascii="Arial" w:hAnsi="Arial" w:cs="Arial"/>
                <w:b/>
                <w:sz w:val="20"/>
              </w:rPr>
              <w:t>Patient Weight</w:t>
            </w:r>
          </w:p>
        </w:tc>
        <w:tc>
          <w:tcPr>
            <w:tcW w:w="4508" w:type="dxa"/>
            <w:gridSpan w:val="3"/>
            <w:shd w:val="clear" w:color="auto" w:fill="auto"/>
          </w:tcPr>
          <w:p w14:paraId="00A77EFF" w14:textId="77777777" w:rsidR="007C0EE8" w:rsidRPr="00DA5607" w:rsidRDefault="007C0EE8" w:rsidP="00620E41">
            <w:pPr>
              <w:pStyle w:val="Text"/>
              <w:keepNext/>
              <w:keepLines/>
              <w:spacing w:before="0" w:after="0" w:line="240" w:lineRule="auto"/>
              <w:jc w:val="center"/>
              <w:rPr>
                <w:rFonts w:ascii="Arial" w:hAnsi="Arial" w:cs="Arial"/>
                <w:b/>
                <w:sz w:val="20"/>
              </w:rPr>
            </w:pPr>
            <w:r w:rsidRPr="00DA5607">
              <w:rPr>
                <w:rFonts w:ascii="Arial" w:hAnsi="Arial" w:cs="Arial"/>
                <w:b/>
                <w:sz w:val="20"/>
              </w:rPr>
              <w:t>Treatment Cycle 1</w:t>
            </w:r>
          </w:p>
        </w:tc>
        <w:tc>
          <w:tcPr>
            <w:tcW w:w="2946" w:type="dxa"/>
            <w:gridSpan w:val="2"/>
            <w:shd w:val="clear" w:color="auto" w:fill="auto"/>
          </w:tcPr>
          <w:p w14:paraId="34BFBC1A" w14:textId="77777777" w:rsidR="007C0EE8" w:rsidRPr="00DA5607" w:rsidRDefault="007C0EE8" w:rsidP="00620E41">
            <w:pPr>
              <w:pStyle w:val="Text"/>
              <w:keepNext/>
              <w:keepLines/>
              <w:spacing w:before="0" w:after="0" w:line="240" w:lineRule="auto"/>
              <w:jc w:val="center"/>
              <w:rPr>
                <w:rFonts w:ascii="Arial" w:hAnsi="Arial" w:cs="Arial"/>
                <w:b/>
                <w:sz w:val="20"/>
              </w:rPr>
            </w:pPr>
            <w:r w:rsidRPr="00DA5607">
              <w:rPr>
                <w:rFonts w:ascii="Arial" w:hAnsi="Arial" w:cs="Arial"/>
                <w:b/>
                <w:sz w:val="20"/>
              </w:rPr>
              <w:t>Subsequent Treatment Cycles</w:t>
            </w:r>
          </w:p>
        </w:tc>
      </w:tr>
      <w:tr w:rsidR="007C0EE8" w:rsidRPr="00FF4079" w14:paraId="3F79F77A" w14:textId="77777777" w:rsidTr="00620E41">
        <w:trPr>
          <w:trHeight w:val="156"/>
          <w:jc w:val="center"/>
        </w:trPr>
        <w:tc>
          <w:tcPr>
            <w:tcW w:w="1299" w:type="dxa"/>
            <w:vMerge/>
            <w:shd w:val="clear" w:color="auto" w:fill="auto"/>
          </w:tcPr>
          <w:p w14:paraId="280076A7" w14:textId="77777777" w:rsidR="007C0EE8" w:rsidRPr="004C4D30" w:rsidRDefault="007C0EE8" w:rsidP="00620E41">
            <w:pPr>
              <w:pStyle w:val="Text"/>
              <w:keepNext/>
              <w:keepLines/>
              <w:spacing w:before="0" w:after="0" w:line="240" w:lineRule="auto"/>
              <w:rPr>
                <w:rFonts w:ascii="Arial" w:hAnsi="Arial" w:cs="Arial"/>
                <w:sz w:val="20"/>
              </w:rPr>
            </w:pPr>
          </w:p>
        </w:tc>
        <w:tc>
          <w:tcPr>
            <w:tcW w:w="1531" w:type="dxa"/>
            <w:shd w:val="clear" w:color="auto" w:fill="auto"/>
          </w:tcPr>
          <w:p w14:paraId="34D4B0CC" w14:textId="77777777" w:rsidR="007C0EE8" w:rsidRPr="004C4D30" w:rsidRDefault="007C0EE8" w:rsidP="00620E41">
            <w:pPr>
              <w:pStyle w:val="Text"/>
              <w:keepNext/>
              <w:keepLines/>
              <w:spacing w:before="0" w:after="0" w:line="240" w:lineRule="auto"/>
              <w:jc w:val="center"/>
              <w:rPr>
                <w:rFonts w:ascii="Arial" w:hAnsi="Arial" w:cs="Arial"/>
                <w:sz w:val="20"/>
              </w:rPr>
            </w:pPr>
            <w:r w:rsidRPr="004C4D30">
              <w:rPr>
                <w:rFonts w:ascii="Arial" w:hAnsi="Arial" w:cs="Arial"/>
                <w:sz w:val="20"/>
              </w:rPr>
              <w:t>Days 1-7</w:t>
            </w:r>
          </w:p>
        </w:tc>
        <w:tc>
          <w:tcPr>
            <w:tcW w:w="1701" w:type="dxa"/>
          </w:tcPr>
          <w:p w14:paraId="5E8F4A90" w14:textId="12C600B2" w:rsidR="007C0EE8" w:rsidRPr="004C4D30" w:rsidRDefault="007C0EE8" w:rsidP="00C5352A">
            <w:pPr>
              <w:pStyle w:val="Text"/>
              <w:keepNext/>
              <w:keepLines/>
              <w:spacing w:before="0" w:after="0" w:line="240" w:lineRule="auto"/>
              <w:jc w:val="center"/>
              <w:rPr>
                <w:rFonts w:ascii="Arial" w:hAnsi="Arial" w:cs="Arial"/>
                <w:sz w:val="20"/>
              </w:rPr>
            </w:pPr>
            <w:r w:rsidRPr="004C4D30">
              <w:rPr>
                <w:rFonts w:ascii="Arial" w:hAnsi="Arial" w:cs="Arial"/>
                <w:sz w:val="20"/>
              </w:rPr>
              <w:t xml:space="preserve">Days </w:t>
            </w:r>
            <w:r w:rsidRPr="00C5352A">
              <w:rPr>
                <w:rFonts w:ascii="Arial" w:hAnsi="Arial" w:cs="Arial"/>
                <w:color w:val="000000" w:themeColor="text1"/>
                <w:sz w:val="20"/>
              </w:rPr>
              <w:t>8</w:t>
            </w:r>
            <w:r w:rsidRPr="004C4D30">
              <w:rPr>
                <w:rFonts w:ascii="Arial" w:hAnsi="Arial" w:cs="Arial"/>
                <w:sz w:val="20"/>
              </w:rPr>
              <w:t>-28</w:t>
            </w:r>
          </w:p>
        </w:tc>
        <w:tc>
          <w:tcPr>
            <w:tcW w:w="1276" w:type="dxa"/>
            <w:shd w:val="clear" w:color="auto" w:fill="auto"/>
          </w:tcPr>
          <w:p w14:paraId="3A2C68F4" w14:textId="77777777" w:rsidR="007C0EE8" w:rsidRPr="004C4D30" w:rsidRDefault="007C0EE8" w:rsidP="00620E41">
            <w:pPr>
              <w:pStyle w:val="Text"/>
              <w:keepNext/>
              <w:keepLines/>
              <w:spacing w:before="0" w:after="0" w:line="240" w:lineRule="auto"/>
              <w:jc w:val="center"/>
              <w:rPr>
                <w:rFonts w:ascii="Arial" w:hAnsi="Arial" w:cs="Arial"/>
                <w:sz w:val="20"/>
              </w:rPr>
            </w:pPr>
            <w:r w:rsidRPr="004C4D30">
              <w:rPr>
                <w:rFonts w:ascii="Arial" w:hAnsi="Arial" w:cs="Arial"/>
                <w:sz w:val="20"/>
              </w:rPr>
              <w:t xml:space="preserve">Days </w:t>
            </w:r>
            <w:r>
              <w:rPr>
                <w:rFonts w:ascii="Arial" w:hAnsi="Arial" w:cs="Arial"/>
                <w:sz w:val="20"/>
              </w:rPr>
              <w:t>29</w:t>
            </w:r>
            <w:r w:rsidRPr="004C4D30">
              <w:rPr>
                <w:rFonts w:ascii="Arial" w:hAnsi="Arial" w:cs="Arial"/>
                <w:sz w:val="20"/>
              </w:rPr>
              <w:t>-</w:t>
            </w:r>
            <w:r>
              <w:rPr>
                <w:rFonts w:ascii="Arial" w:hAnsi="Arial" w:cs="Arial"/>
                <w:sz w:val="20"/>
              </w:rPr>
              <w:t>42</w:t>
            </w:r>
          </w:p>
        </w:tc>
        <w:tc>
          <w:tcPr>
            <w:tcW w:w="1701" w:type="dxa"/>
            <w:shd w:val="clear" w:color="auto" w:fill="auto"/>
          </w:tcPr>
          <w:p w14:paraId="54C32F08" w14:textId="77777777" w:rsidR="007C0EE8" w:rsidRPr="004C4D30" w:rsidRDefault="007C0EE8" w:rsidP="00620E41">
            <w:pPr>
              <w:pStyle w:val="Text"/>
              <w:keepNext/>
              <w:keepLines/>
              <w:spacing w:before="0" w:after="0" w:line="240" w:lineRule="auto"/>
              <w:jc w:val="center"/>
              <w:rPr>
                <w:rFonts w:ascii="Arial" w:hAnsi="Arial" w:cs="Arial"/>
                <w:sz w:val="20"/>
              </w:rPr>
            </w:pPr>
            <w:r w:rsidRPr="004C4D30">
              <w:rPr>
                <w:rFonts w:ascii="Arial" w:hAnsi="Arial" w:cs="Arial"/>
                <w:sz w:val="20"/>
              </w:rPr>
              <w:t>Days 1-28</w:t>
            </w:r>
          </w:p>
        </w:tc>
        <w:tc>
          <w:tcPr>
            <w:tcW w:w="1245" w:type="dxa"/>
          </w:tcPr>
          <w:p w14:paraId="5EF0304E" w14:textId="77777777" w:rsidR="007C0EE8" w:rsidRPr="004C4D30" w:rsidRDefault="007C0EE8" w:rsidP="00620E41">
            <w:pPr>
              <w:pStyle w:val="Text"/>
              <w:keepNext/>
              <w:keepLines/>
              <w:spacing w:before="0" w:after="0" w:line="240" w:lineRule="auto"/>
              <w:jc w:val="center"/>
              <w:rPr>
                <w:rFonts w:ascii="Arial" w:hAnsi="Arial" w:cs="Arial"/>
                <w:sz w:val="20"/>
              </w:rPr>
            </w:pPr>
            <w:r>
              <w:rPr>
                <w:rFonts w:ascii="Arial" w:hAnsi="Arial" w:cs="Arial"/>
                <w:sz w:val="20"/>
              </w:rPr>
              <w:t>Days 29-42</w:t>
            </w:r>
          </w:p>
        </w:tc>
      </w:tr>
      <w:tr w:rsidR="007C0EE8" w:rsidRPr="00FF4079" w14:paraId="707144F0" w14:textId="77777777" w:rsidTr="00620E41">
        <w:trPr>
          <w:trHeight w:val="1081"/>
          <w:jc w:val="center"/>
        </w:trPr>
        <w:tc>
          <w:tcPr>
            <w:tcW w:w="1299" w:type="dxa"/>
            <w:shd w:val="clear" w:color="auto" w:fill="auto"/>
            <w:vAlign w:val="center"/>
          </w:tcPr>
          <w:p w14:paraId="4517E6AD" w14:textId="77777777" w:rsidR="007C0EE8" w:rsidRPr="004C4D30" w:rsidRDefault="007C0EE8" w:rsidP="00620E41">
            <w:pPr>
              <w:pStyle w:val="ListParagraph"/>
              <w:keepNext/>
              <w:keepLines/>
              <w:autoSpaceDE w:val="0"/>
              <w:autoSpaceDN w:val="0"/>
              <w:adjustRightInd w:val="0"/>
              <w:spacing w:after="0" w:line="240" w:lineRule="auto"/>
              <w:ind w:left="0"/>
              <w:jc w:val="center"/>
              <w:rPr>
                <w:rFonts w:ascii="Arial" w:eastAsia="Calibri" w:hAnsi="Arial" w:cs="Arial"/>
                <w:sz w:val="20"/>
                <w:vertAlign w:val="superscript"/>
              </w:rPr>
            </w:pPr>
            <w:r w:rsidRPr="00766756">
              <w:rPr>
                <w:rFonts w:ascii="Arial" w:eastAsia="Calibri" w:hAnsi="Arial" w:cs="Arial"/>
                <w:sz w:val="20"/>
              </w:rPr>
              <w:t>Greater than or Equal to 45 kg (fixed-dose)</w:t>
            </w:r>
          </w:p>
        </w:tc>
        <w:tc>
          <w:tcPr>
            <w:tcW w:w="1531" w:type="dxa"/>
            <w:shd w:val="clear" w:color="auto" w:fill="auto"/>
            <w:vAlign w:val="center"/>
          </w:tcPr>
          <w:p w14:paraId="40F94F24" w14:textId="77777777" w:rsidR="007C0EE8" w:rsidRPr="00A0300D" w:rsidRDefault="007C0EE8" w:rsidP="00620E41">
            <w:pPr>
              <w:pStyle w:val="Text"/>
              <w:keepNext/>
              <w:keepLines/>
              <w:spacing w:before="0" w:after="0" w:line="240" w:lineRule="auto"/>
              <w:jc w:val="center"/>
              <w:rPr>
                <w:rFonts w:ascii="Arial" w:hAnsi="Arial" w:cs="Arial"/>
                <w:sz w:val="20"/>
              </w:rPr>
            </w:pPr>
            <w:r w:rsidRPr="00A0300D">
              <w:rPr>
                <w:rFonts w:ascii="Arial" w:hAnsi="Arial" w:cs="Arial"/>
                <w:sz w:val="20"/>
              </w:rPr>
              <w:t>9 micrograms</w:t>
            </w:r>
            <w:r>
              <w:rPr>
                <w:rFonts w:ascii="Arial" w:hAnsi="Arial" w:cs="Arial"/>
                <w:sz w:val="20"/>
              </w:rPr>
              <w:br/>
            </w:r>
            <w:r w:rsidRPr="00A0300D">
              <w:rPr>
                <w:rFonts w:ascii="Arial" w:hAnsi="Arial" w:cs="Arial"/>
                <w:sz w:val="20"/>
              </w:rPr>
              <w:t>/day</w:t>
            </w:r>
          </w:p>
        </w:tc>
        <w:tc>
          <w:tcPr>
            <w:tcW w:w="1701" w:type="dxa"/>
            <w:vAlign w:val="center"/>
          </w:tcPr>
          <w:p w14:paraId="375DFF2E" w14:textId="77777777" w:rsidR="007C0EE8" w:rsidRPr="00A0300D" w:rsidRDefault="007C0EE8" w:rsidP="00620E41">
            <w:pPr>
              <w:pStyle w:val="Text"/>
              <w:keepNext/>
              <w:keepLines/>
              <w:spacing w:before="0" w:after="0" w:line="240" w:lineRule="auto"/>
              <w:jc w:val="center"/>
              <w:rPr>
                <w:rFonts w:ascii="Arial" w:hAnsi="Arial" w:cs="Arial"/>
                <w:sz w:val="20"/>
              </w:rPr>
            </w:pPr>
            <w:r w:rsidRPr="00A0300D">
              <w:rPr>
                <w:rFonts w:ascii="Arial" w:hAnsi="Arial" w:cs="Arial"/>
                <w:sz w:val="20"/>
              </w:rPr>
              <w:t>28 micrograms</w:t>
            </w:r>
            <w:r>
              <w:rPr>
                <w:rFonts w:ascii="Arial" w:hAnsi="Arial" w:cs="Arial"/>
                <w:sz w:val="20"/>
              </w:rPr>
              <w:br/>
            </w:r>
            <w:r w:rsidRPr="00A0300D">
              <w:rPr>
                <w:rFonts w:ascii="Arial" w:hAnsi="Arial" w:cs="Arial"/>
                <w:sz w:val="20"/>
              </w:rPr>
              <w:t>/day</w:t>
            </w:r>
          </w:p>
        </w:tc>
        <w:tc>
          <w:tcPr>
            <w:tcW w:w="1276" w:type="dxa"/>
            <w:vMerge w:val="restart"/>
            <w:shd w:val="clear" w:color="auto" w:fill="auto"/>
            <w:vAlign w:val="center"/>
          </w:tcPr>
          <w:p w14:paraId="2C135F27" w14:textId="77777777" w:rsidR="007C0EE8" w:rsidRPr="00A0300D" w:rsidRDefault="007C0EE8" w:rsidP="00620E41">
            <w:pPr>
              <w:pStyle w:val="Text"/>
              <w:keepNext/>
              <w:keepLines/>
              <w:spacing w:before="0" w:after="0" w:line="240" w:lineRule="auto"/>
              <w:jc w:val="center"/>
              <w:rPr>
                <w:rFonts w:ascii="Arial" w:hAnsi="Arial" w:cs="Arial"/>
                <w:sz w:val="20"/>
              </w:rPr>
            </w:pPr>
            <w:r>
              <w:rPr>
                <w:rFonts w:ascii="Arial" w:hAnsi="Arial" w:cs="Arial"/>
                <w:sz w:val="20"/>
              </w:rPr>
              <w:t xml:space="preserve">14-day treatment- free </w:t>
            </w:r>
            <w:r>
              <w:rPr>
                <w:rFonts w:ascii="Arial" w:hAnsi="Arial" w:cs="Arial"/>
                <w:sz w:val="20"/>
              </w:rPr>
              <w:br/>
              <w:t>interval</w:t>
            </w:r>
          </w:p>
        </w:tc>
        <w:tc>
          <w:tcPr>
            <w:tcW w:w="1701" w:type="dxa"/>
            <w:shd w:val="clear" w:color="auto" w:fill="auto"/>
            <w:vAlign w:val="center"/>
          </w:tcPr>
          <w:p w14:paraId="7E363408" w14:textId="77777777" w:rsidR="007C0EE8" w:rsidRPr="00871467" w:rsidRDefault="007C0EE8" w:rsidP="00620E41">
            <w:pPr>
              <w:pStyle w:val="Text"/>
              <w:keepNext/>
              <w:keepLines/>
              <w:spacing w:before="0" w:after="0" w:line="240" w:lineRule="auto"/>
              <w:jc w:val="center"/>
              <w:rPr>
                <w:rFonts w:ascii="Arial" w:hAnsi="Arial" w:cs="Arial"/>
                <w:sz w:val="20"/>
              </w:rPr>
            </w:pPr>
            <w:r w:rsidRPr="00871467">
              <w:rPr>
                <w:rFonts w:ascii="Arial" w:hAnsi="Arial" w:cs="Arial"/>
                <w:sz w:val="20"/>
              </w:rPr>
              <w:t>28 micrograms</w:t>
            </w:r>
            <w:r w:rsidRPr="00871467">
              <w:rPr>
                <w:rFonts w:ascii="Arial" w:hAnsi="Arial" w:cs="Arial"/>
                <w:sz w:val="20"/>
              </w:rPr>
              <w:br/>
              <w:t>/day</w:t>
            </w:r>
          </w:p>
        </w:tc>
        <w:tc>
          <w:tcPr>
            <w:tcW w:w="1245" w:type="dxa"/>
            <w:vMerge w:val="restart"/>
            <w:vAlign w:val="center"/>
          </w:tcPr>
          <w:p w14:paraId="00770115" w14:textId="77777777" w:rsidR="007C0EE8" w:rsidRPr="00A0300D" w:rsidRDefault="007C0EE8" w:rsidP="00620E41">
            <w:pPr>
              <w:pStyle w:val="Text"/>
              <w:keepNext/>
              <w:keepLines/>
              <w:spacing w:before="0" w:after="0" w:line="240" w:lineRule="auto"/>
              <w:jc w:val="center"/>
              <w:rPr>
                <w:rFonts w:ascii="Arial" w:hAnsi="Arial" w:cs="Arial"/>
                <w:sz w:val="20"/>
              </w:rPr>
            </w:pPr>
            <w:r>
              <w:rPr>
                <w:rFonts w:ascii="Arial" w:hAnsi="Arial" w:cs="Arial"/>
                <w:sz w:val="20"/>
              </w:rPr>
              <w:t>14-day treatment- free interval</w:t>
            </w:r>
          </w:p>
        </w:tc>
      </w:tr>
      <w:tr w:rsidR="007C0EE8" w:rsidRPr="00FF4079" w14:paraId="481DC62D" w14:textId="77777777" w:rsidTr="00620E41">
        <w:trPr>
          <w:trHeight w:val="1255"/>
          <w:jc w:val="center"/>
        </w:trPr>
        <w:tc>
          <w:tcPr>
            <w:tcW w:w="1299" w:type="dxa"/>
            <w:shd w:val="clear" w:color="auto" w:fill="auto"/>
            <w:vAlign w:val="center"/>
          </w:tcPr>
          <w:p w14:paraId="446EA1E0" w14:textId="5E27A6C6" w:rsidR="007C0EE8" w:rsidRPr="00A0300D" w:rsidRDefault="007C0EE8" w:rsidP="00620E41">
            <w:pPr>
              <w:pStyle w:val="ListParagraph"/>
              <w:keepNext/>
              <w:keepLines/>
              <w:autoSpaceDE w:val="0"/>
              <w:autoSpaceDN w:val="0"/>
              <w:adjustRightInd w:val="0"/>
              <w:ind w:left="0"/>
              <w:jc w:val="center"/>
              <w:rPr>
                <w:rFonts w:ascii="Arial" w:eastAsia="Calibri" w:hAnsi="Arial" w:cs="Arial"/>
                <w:i/>
                <w:sz w:val="20"/>
              </w:rPr>
            </w:pPr>
            <w:r w:rsidRPr="00A0300D">
              <w:rPr>
                <w:rFonts w:ascii="Arial" w:eastAsia="Calibri" w:hAnsi="Arial" w:cs="Arial"/>
                <w:sz w:val="20"/>
              </w:rPr>
              <w:t>Less than 45 kg</w:t>
            </w:r>
            <w:r>
              <w:rPr>
                <w:rFonts w:ascii="Arial" w:eastAsia="Calibri" w:hAnsi="Arial" w:cs="Arial"/>
                <w:sz w:val="20"/>
              </w:rPr>
              <w:t xml:space="preserve"> </w:t>
            </w:r>
            <w:r>
              <w:rPr>
                <w:rFonts w:ascii="Arial" w:eastAsia="Calibri" w:hAnsi="Arial" w:cs="Arial"/>
                <w:sz w:val="20"/>
              </w:rPr>
              <w:br/>
            </w:r>
            <w:r w:rsidRPr="00A0300D">
              <w:rPr>
                <w:rFonts w:ascii="Arial" w:eastAsia="Calibri" w:hAnsi="Arial" w:cs="Arial"/>
                <w:i/>
                <w:sz w:val="20"/>
              </w:rPr>
              <w:t>(BSA-based dose)</w:t>
            </w:r>
          </w:p>
        </w:tc>
        <w:tc>
          <w:tcPr>
            <w:tcW w:w="1531" w:type="dxa"/>
            <w:shd w:val="clear" w:color="auto" w:fill="auto"/>
            <w:vAlign w:val="center"/>
          </w:tcPr>
          <w:p w14:paraId="49289DF7" w14:textId="46419CC2" w:rsidR="007C0EE8" w:rsidRPr="004C4D30" w:rsidRDefault="007C0EE8" w:rsidP="007C0EE8">
            <w:pPr>
              <w:keepNext/>
              <w:keepLines/>
              <w:autoSpaceDE w:val="0"/>
              <w:autoSpaceDN w:val="0"/>
              <w:adjustRightInd w:val="0"/>
              <w:spacing w:after="0" w:line="240" w:lineRule="auto"/>
              <w:ind w:hanging="17"/>
              <w:jc w:val="center"/>
              <w:rPr>
                <w:rFonts w:ascii="Arial" w:eastAsia="Calibri" w:hAnsi="Arial" w:cs="Arial"/>
                <w:i/>
                <w:sz w:val="20"/>
              </w:rPr>
            </w:pPr>
            <w:r w:rsidRPr="00A0300D">
              <w:rPr>
                <w:rFonts w:ascii="Arial" w:eastAsia="Calibri" w:hAnsi="Arial" w:cs="Arial"/>
                <w:sz w:val="20"/>
              </w:rPr>
              <w:t>5 micrograms/m</w:t>
            </w:r>
            <w:r w:rsidRPr="00A0300D">
              <w:rPr>
                <w:rFonts w:ascii="Arial" w:eastAsia="Calibri" w:hAnsi="Arial" w:cs="Arial"/>
                <w:sz w:val="20"/>
                <w:vertAlign w:val="superscript"/>
              </w:rPr>
              <w:t>2</w:t>
            </w:r>
            <w:r w:rsidRPr="00A0300D">
              <w:rPr>
                <w:rFonts w:ascii="Arial" w:eastAsia="Calibri" w:hAnsi="Arial" w:cs="Arial"/>
                <w:sz w:val="20"/>
              </w:rPr>
              <w:t>/day</w:t>
            </w:r>
            <w:r>
              <w:rPr>
                <w:rFonts w:ascii="Arial" w:eastAsia="Calibri" w:hAnsi="Arial" w:cs="Arial"/>
                <w:sz w:val="20"/>
              </w:rPr>
              <w:br/>
            </w:r>
            <w:r w:rsidRPr="00A0300D">
              <w:rPr>
                <w:rFonts w:ascii="Arial" w:eastAsia="Calibri" w:hAnsi="Arial" w:cs="Arial"/>
                <w:i/>
                <w:sz w:val="20"/>
              </w:rPr>
              <w:t>(not to exceed 9 micrograms/day)</w:t>
            </w:r>
          </w:p>
        </w:tc>
        <w:tc>
          <w:tcPr>
            <w:tcW w:w="1701" w:type="dxa"/>
            <w:vAlign w:val="center"/>
          </w:tcPr>
          <w:p w14:paraId="71AC6E4A" w14:textId="38DFD084" w:rsidR="007C0EE8" w:rsidRPr="00A0300D" w:rsidRDefault="007C0EE8" w:rsidP="007C0EE8">
            <w:pPr>
              <w:keepNext/>
              <w:keepLines/>
              <w:autoSpaceDE w:val="0"/>
              <w:autoSpaceDN w:val="0"/>
              <w:adjustRightInd w:val="0"/>
              <w:ind w:hanging="18"/>
              <w:jc w:val="center"/>
              <w:rPr>
                <w:rFonts w:ascii="Arial" w:eastAsia="Calibri" w:hAnsi="Arial" w:cs="Arial"/>
                <w:sz w:val="20"/>
              </w:rPr>
            </w:pPr>
            <w:r w:rsidRPr="00A0300D">
              <w:rPr>
                <w:rFonts w:ascii="Arial" w:eastAsia="Calibri" w:hAnsi="Arial" w:cs="Arial"/>
                <w:sz w:val="20"/>
              </w:rPr>
              <w:t>15 micrograms/m</w:t>
            </w:r>
            <w:r w:rsidRPr="00A0300D">
              <w:rPr>
                <w:rFonts w:ascii="Arial" w:eastAsia="Calibri" w:hAnsi="Arial" w:cs="Arial"/>
                <w:sz w:val="20"/>
                <w:vertAlign w:val="superscript"/>
              </w:rPr>
              <w:t>2</w:t>
            </w:r>
            <w:r w:rsidRPr="00A0300D">
              <w:rPr>
                <w:rFonts w:ascii="Arial" w:eastAsia="Calibri" w:hAnsi="Arial" w:cs="Arial"/>
                <w:sz w:val="20"/>
              </w:rPr>
              <w:t>/day</w:t>
            </w:r>
            <w:r>
              <w:rPr>
                <w:rFonts w:ascii="Arial" w:eastAsia="Calibri" w:hAnsi="Arial" w:cs="Arial"/>
                <w:sz w:val="20"/>
              </w:rPr>
              <w:br/>
            </w:r>
            <w:r w:rsidRPr="00A0300D">
              <w:rPr>
                <w:rFonts w:ascii="Arial" w:eastAsia="Calibri" w:hAnsi="Arial" w:cs="Arial"/>
                <w:i/>
                <w:sz w:val="20"/>
              </w:rPr>
              <w:t>(not to exceed 28 micrograms/day)</w:t>
            </w:r>
          </w:p>
        </w:tc>
        <w:tc>
          <w:tcPr>
            <w:tcW w:w="1276" w:type="dxa"/>
            <w:vMerge/>
            <w:shd w:val="clear" w:color="auto" w:fill="auto"/>
            <w:vAlign w:val="center"/>
          </w:tcPr>
          <w:p w14:paraId="7F0FF0FC" w14:textId="77777777" w:rsidR="007C0EE8" w:rsidRPr="00766756" w:rsidRDefault="007C0EE8" w:rsidP="00620E41">
            <w:pPr>
              <w:pStyle w:val="Text"/>
              <w:keepNext/>
              <w:keepLines/>
              <w:spacing w:before="0" w:after="0" w:line="240" w:lineRule="auto"/>
              <w:jc w:val="center"/>
              <w:rPr>
                <w:rFonts w:ascii="Arial" w:eastAsia="Calibri" w:hAnsi="Arial" w:cs="Arial"/>
                <w:i/>
                <w:sz w:val="20"/>
              </w:rPr>
            </w:pPr>
          </w:p>
        </w:tc>
        <w:tc>
          <w:tcPr>
            <w:tcW w:w="1701" w:type="dxa"/>
            <w:shd w:val="clear" w:color="auto" w:fill="auto"/>
            <w:vAlign w:val="center"/>
          </w:tcPr>
          <w:p w14:paraId="1B5CF43A" w14:textId="2D71FDA9" w:rsidR="007C0EE8" w:rsidRPr="00871467" w:rsidRDefault="007C0EE8" w:rsidP="007C0EE8">
            <w:pPr>
              <w:keepNext/>
              <w:keepLines/>
              <w:autoSpaceDE w:val="0"/>
              <w:autoSpaceDN w:val="0"/>
              <w:adjustRightInd w:val="0"/>
              <w:ind w:hanging="18"/>
              <w:jc w:val="center"/>
              <w:rPr>
                <w:rFonts w:ascii="Arial" w:eastAsia="Calibri" w:hAnsi="Arial" w:cs="Arial"/>
                <w:i/>
                <w:sz w:val="20"/>
              </w:rPr>
            </w:pPr>
            <w:r w:rsidRPr="00871467">
              <w:rPr>
                <w:rFonts w:ascii="Arial" w:eastAsia="Calibri" w:hAnsi="Arial" w:cs="Arial"/>
                <w:sz w:val="20"/>
              </w:rPr>
              <w:t>15 micrograms/m</w:t>
            </w:r>
            <w:r w:rsidRPr="00871467">
              <w:rPr>
                <w:rFonts w:ascii="Arial" w:eastAsia="Calibri" w:hAnsi="Arial" w:cs="Arial"/>
                <w:sz w:val="20"/>
                <w:vertAlign w:val="superscript"/>
              </w:rPr>
              <w:t>2</w:t>
            </w:r>
            <w:r w:rsidRPr="00871467">
              <w:rPr>
                <w:rFonts w:ascii="Arial" w:eastAsia="Calibri" w:hAnsi="Arial" w:cs="Arial"/>
                <w:sz w:val="20"/>
              </w:rPr>
              <w:t>/day</w:t>
            </w:r>
            <w:r>
              <w:rPr>
                <w:rFonts w:ascii="Arial" w:eastAsia="Calibri" w:hAnsi="Arial" w:cs="Arial"/>
                <w:sz w:val="20"/>
              </w:rPr>
              <w:br/>
            </w:r>
            <w:r w:rsidRPr="00871467">
              <w:rPr>
                <w:rFonts w:ascii="Arial" w:eastAsia="Calibri" w:hAnsi="Arial" w:cs="Arial"/>
                <w:i/>
                <w:sz w:val="20"/>
              </w:rPr>
              <w:t>(not to exceed 28 micrograms/day)</w:t>
            </w:r>
          </w:p>
        </w:tc>
        <w:tc>
          <w:tcPr>
            <w:tcW w:w="1245" w:type="dxa"/>
            <w:vMerge/>
          </w:tcPr>
          <w:p w14:paraId="581210DD" w14:textId="77777777" w:rsidR="007C0EE8" w:rsidRPr="00A0300D" w:rsidRDefault="007C0EE8" w:rsidP="00620E41">
            <w:pPr>
              <w:keepNext/>
              <w:keepLines/>
              <w:autoSpaceDE w:val="0"/>
              <w:autoSpaceDN w:val="0"/>
              <w:adjustRightInd w:val="0"/>
              <w:ind w:hanging="18"/>
              <w:jc w:val="center"/>
              <w:rPr>
                <w:rFonts w:ascii="Arial" w:eastAsia="Calibri" w:hAnsi="Arial" w:cs="Arial"/>
                <w:sz w:val="20"/>
              </w:rPr>
            </w:pPr>
          </w:p>
        </w:tc>
      </w:tr>
    </w:tbl>
    <w:p w14:paraId="394888A9" w14:textId="072B7833" w:rsidR="007C0EE8" w:rsidRPr="00327E4C" w:rsidRDefault="007C0EE8" w:rsidP="007C0EE8">
      <w:pPr>
        <w:keepNext/>
        <w:keepLines/>
        <w:autoSpaceDE w:val="0"/>
        <w:autoSpaceDN w:val="0"/>
        <w:adjustRightInd w:val="0"/>
        <w:ind w:left="142"/>
        <w:rPr>
          <w:rFonts w:ascii="Arial" w:hAnsi="Arial" w:cs="Arial"/>
          <w:color w:val="808080" w:themeColor="background1" w:themeShade="80"/>
          <w:sz w:val="20"/>
          <w:szCs w:val="20"/>
        </w:rPr>
      </w:pPr>
      <w:r w:rsidRPr="00A8610E">
        <w:rPr>
          <w:rFonts w:ascii="Arial" w:eastAsia="Calibri" w:hAnsi="Arial" w:cs="Arial"/>
        </w:rPr>
        <w:t>*</w:t>
      </w:r>
      <w:r w:rsidRPr="00327E4C">
        <w:rPr>
          <w:rFonts w:ascii="Arial" w:eastAsia="Calibri" w:hAnsi="Arial" w:cs="Arial"/>
          <w:sz w:val="20"/>
          <w:szCs w:val="20"/>
        </w:rPr>
        <w:t xml:space="preserve">For maintenance therapy, a cycle of treatment of </w:t>
      </w:r>
      <w:proofErr w:type="spellStart"/>
      <w:r w:rsidRPr="00327E4C">
        <w:rPr>
          <w:rFonts w:ascii="Arial" w:eastAsia="Calibri" w:hAnsi="Arial" w:cs="Arial"/>
          <w:sz w:val="20"/>
          <w:szCs w:val="20"/>
        </w:rPr>
        <w:t>Blincyto</w:t>
      </w:r>
      <w:proofErr w:type="spellEnd"/>
      <w:r w:rsidRPr="00327E4C">
        <w:rPr>
          <w:rFonts w:ascii="Arial" w:eastAsia="Calibri" w:hAnsi="Arial" w:cs="Arial"/>
          <w:sz w:val="20"/>
          <w:szCs w:val="20"/>
        </w:rPr>
        <w:t xml:space="preserve"> consists of 28</w:t>
      </w:r>
      <w:r>
        <w:rPr>
          <w:rFonts w:ascii="Arial" w:eastAsia="Calibri" w:hAnsi="Arial" w:cs="Arial"/>
          <w:sz w:val="20"/>
          <w:szCs w:val="20"/>
        </w:rPr>
        <w:t> </w:t>
      </w:r>
      <w:r w:rsidRPr="00327E4C">
        <w:rPr>
          <w:rFonts w:ascii="Arial" w:eastAsia="Calibri" w:hAnsi="Arial" w:cs="Arial"/>
          <w:sz w:val="20"/>
          <w:szCs w:val="20"/>
        </w:rPr>
        <w:t>days of continuous intravenous infusion followed by a 56-day treatment-free interval.</w:t>
      </w:r>
      <w:r>
        <w:rPr>
          <w:rFonts w:ascii="Arial" w:eastAsia="Calibri" w:hAnsi="Arial" w:cs="Arial"/>
          <w:sz w:val="20"/>
          <w:szCs w:val="20"/>
        </w:rPr>
        <w:br/>
      </w:r>
    </w:p>
    <w:p w14:paraId="280B88EE" w14:textId="77777777" w:rsidR="006F4DEE" w:rsidRPr="00131DD7" w:rsidRDefault="006F4DEE" w:rsidP="00B86C76">
      <w:pPr>
        <w:pStyle w:val="Heading6"/>
      </w:pPr>
      <w:r w:rsidRPr="00131DD7">
        <w:t>Premedication and Additional Medication Recommendations</w:t>
      </w:r>
    </w:p>
    <w:p w14:paraId="5D90EBB3" w14:textId="77777777" w:rsidR="006F4DEE" w:rsidRDefault="006F4DEE" w:rsidP="006F4DEE">
      <w:pPr>
        <w:pStyle w:val="PI-Text"/>
      </w:pPr>
      <w:r w:rsidRPr="00FF4079">
        <w:t>Additional premedication recommendations are as follows:</w:t>
      </w:r>
    </w:p>
    <w:tbl>
      <w:tblPr>
        <w:tblStyle w:val="TableGrid"/>
        <w:tblW w:w="0" w:type="auto"/>
        <w:tblBorders>
          <w:insideV w:val="none" w:sz="0" w:space="0" w:color="auto"/>
        </w:tblBorders>
        <w:tblLook w:val="04A0" w:firstRow="1" w:lastRow="0" w:firstColumn="1" w:lastColumn="0" w:noHBand="0" w:noVBand="1"/>
      </w:tblPr>
      <w:tblGrid>
        <w:gridCol w:w="1413"/>
        <w:gridCol w:w="7249"/>
      </w:tblGrid>
      <w:tr w:rsidR="007C0EE8" w14:paraId="64341FB4" w14:textId="77777777" w:rsidTr="00620E41">
        <w:tc>
          <w:tcPr>
            <w:tcW w:w="1413" w:type="dxa"/>
            <w:tcBorders>
              <w:bottom w:val="single" w:sz="4" w:space="0" w:color="auto"/>
            </w:tcBorders>
            <w:vAlign w:val="center"/>
          </w:tcPr>
          <w:p w14:paraId="7401E378" w14:textId="77777777" w:rsidR="007C0EE8" w:rsidRPr="0043296A" w:rsidRDefault="007C0EE8" w:rsidP="00620E41">
            <w:pPr>
              <w:pStyle w:val="PI-Text"/>
              <w:spacing w:before="20" w:after="20" w:line="240" w:lineRule="auto"/>
              <w:rPr>
                <w:sz w:val="20"/>
                <w:szCs w:val="20"/>
              </w:rPr>
            </w:pPr>
            <w:r w:rsidRPr="0043296A">
              <w:rPr>
                <w:rFonts w:eastAsia="Calibri"/>
                <w:b/>
                <w:sz w:val="20"/>
                <w:szCs w:val="20"/>
              </w:rPr>
              <w:t>Patient Group</w:t>
            </w:r>
          </w:p>
        </w:tc>
        <w:tc>
          <w:tcPr>
            <w:tcW w:w="7249" w:type="dxa"/>
            <w:tcBorders>
              <w:bottom w:val="single" w:sz="4" w:space="0" w:color="auto"/>
            </w:tcBorders>
            <w:vAlign w:val="center"/>
          </w:tcPr>
          <w:p w14:paraId="07806876" w14:textId="77777777" w:rsidR="007C0EE8" w:rsidRPr="0043296A" w:rsidRDefault="007C0EE8" w:rsidP="00620E41">
            <w:pPr>
              <w:pStyle w:val="PI-Text"/>
              <w:spacing w:before="20" w:after="20" w:line="240" w:lineRule="auto"/>
              <w:rPr>
                <w:sz w:val="20"/>
                <w:szCs w:val="20"/>
              </w:rPr>
            </w:pPr>
            <w:r w:rsidRPr="0043296A">
              <w:rPr>
                <w:rFonts w:eastAsia="Calibri"/>
                <w:b/>
                <w:sz w:val="20"/>
                <w:szCs w:val="20"/>
              </w:rPr>
              <w:t>Premedication</w:t>
            </w:r>
          </w:p>
        </w:tc>
      </w:tr>
      <w:tr w:rsidR="007C0EE8" w14:paraId="3E7A5287" w14:textId="77777777" w:rsidTr="00620E41">
        <w:tc>
          <w:tcPr>
            <w:tcW w:w="1413" w:type="dxa"/>
            <w:tcBorders>
              <w:bottom w:val="nil"/>
            </w:tcBorders>
          </w:tcPr>
          <w:p w14:paraId="3EB11601" w14:textId="77777777" w:rsidR="007C0EE8" w:rsidRPr="0043296A" w:rsidRDefault="007C0EE8" w:rsidP="00620E41">
            <w:pPr>
              <w:pStyle w:val="PI-Text"/>
              <w:rPr>
                <w:sz w:val="20"/>
                <w:szCs w:val="20"/>
              </w:rPr>
            </w:pPr>
            <w:r w:rsidRPr="0043296A">
              <w:rPr>
                <w:rFonts w:eastAsia="Calibri"/>
                <w:sz w:val="20"/>
                <w:szCs w:val="20"/>
              </w:rPr>
              <w:t>Adults</w:t>
            </w:r>
          </w:p>
        </w:tc>
        <w:tc>
          <w:tcPr>
            <w:tcW w:w="7249" w:type="dxa"/>
            <w:tcBorders>
              <w:bottom w:val="nil"/>
            </w:tcBorders>
          </w:tcPr>
          <w:p w14:paraId="2AA6077F" w14:textId="77777777" w:rsidR="007C0EE8" w:rsidRPr="0043296A" w:rsidRDefault="007C0EE8" w:rsidP="00620E41">
            <w:pPr>
              <w:pStyle w:val="PI-Text"/>
              <w:spacing w:before="20" w:after="20" w:line="240" w:lineRule="auto"/>
              <w:rPr>
                <w:rFonts w:eastAsia="Calibri"/>
                <w:sz w:val="20"/>
                <w:szCs w:val="20"/>
              </w:rPr>
            </w:pPr>
            <w:proofErr w:type="spellStart"/>
            <w:r w:rsidRPr="0043296A">
              <w:rPr>
                <w:rFonts w:eastAsia="Calibri"/>
                <w:sz w:val="20"/>
                <w:szCs w:val="20"/>
              </w:rPr>
              <w:t>Premedicate</w:t>
            </w:r>
            <w:proofErr w:type="spellEnd"/>
            <w:r w:rsidRPr="0043296A">
              <w:rPr>
                <w:rFonts w:eastAsia="Calibri"/>
                <w:sz w:val="20"/>
                <w:szCs w:val="20"/>
              </w:rPr>
              <w:t xml:space="preserve"> with dexamethasone 20 mg intravenously 1 hour prior to the first dose of </w:t>
            </w:r>
            <w:proofErr w:type="spellStart"/>
            <w:r w:rsidRPr="0043296A">
              <w:rPr>
                <w:rFonts w:eastAsia="Calibri"/>
                <w:sz w:val="20"/>
                <w:szCs w:val="20"/>
              </w:rPr>
              <w:t>Blincyto</w:t>
            </w:r>
            <w:proofErr w:type="spellEnd"/>
            <w:r w:rsidRPr="0043296A">
              <w:rPr>
                <w:rFonts w:eastAsia="Calibri"/>
                <w:sz w:val="20"/>
                <w:szCs w:val="20"/>
              </w:rPr>
              <w:t xml:space="preserve"> of each cycle.  </w:t>
            </w:r>
          </w:p>
        </w:tc>
      </w:tr>
      <w:tr w:rsidR="007C0EE8" w14:paraId="318814E8" w14:textId="77777777" w:rsidTr="00620E41">
        <w:tc>
          <w:tcPr>
            <w:tcW w:w="1413" w:type="dxa"/>
            <w:tcBorders>
              <w:top w:val="nil"/>
            </w:tcBorders>
            <w:vAlign w:val="center"/>
          </w:tcPr>
          <w:p w14:paraId="75BCD224" w14:textId="77777777" w:rsidR="007C0EE8" w:rsidRPr="0043296A" w:rsidRDefault="007C0EE8" w:rsidP="00620E41">
            <w:pPr>
              <w:pStyle w:val="PI-Text"/>
              <w:spacing w:before="20" w:after="20" w:line="240" w:lineRule="auto"/>
              <w:rPr>
                <w:sz w:val="20"/>
                <w:szCs w:val="20"/>
              </w:rPr>
            </w:pPr>
            <w:r w:rsidRPr="0043296A">
              <w:rPr>
                <w:rFonts w:eastAsia="Calibri"/>
                <w:sz w:val="20"/>
                <w:szCs w:val="20"/>
              </w:rPr>
              <w:t>Paediatrics</w:t>
            </w:r>
          </w:p>
        </w:tc>
        <w:tc>
          <w:tcPr>
            <w:tcW w:w="7249" w:type="dxa"/>
            <w:tcBorders>
              <w:top w:val="nil"/>
            </w:tcBorders>
            <w:vAlign w:val="center"/>
          </w:tcPr>
          <w:p w14:paraId="67D6ABC2" w14:textId="77777777" w:rsidR="007C0EE8" w:rsidRPr="0043296A" w:rsidRDefault="007C0EE8" w:rsidP="00620E41">
            <w:pPr>
              <w:pStyle w:val="PI-Text"/>
              <w:spacing w:before="20" w:after="20" w:line="240" w:lineRule="auto"/>
              <w:rPr>
                <w:sz w:val="20"/>
                <w:szCs w:val="20"/>
              </w:rPr>
            </w:pPr>
            <w:proofErr w:type="spellStart"/>
            <w:r w:rsidRPr="0043296A">
              <w:rPr>
                <w:rFonts w:eastAsia="Calibri"/>
                <w:sz w:val="20"/>
                <w:szCs w:val="20"/>
              </w:rPr>
              <w:t>Premedicate</w:t>
            </w:r>
            <w:proofErr w:type="spellEnd"/>
            <w:r w:rsidRPr="0043296A">
              <w:rPr>
                <w:rFonts w:eastAsia="Calibri"/>
                <w:sz w:val="20"/>
                <w:szCs w:val="20"/>
              </w:rPr>
              <w:t xml:space="preserve"> with dexamethasone 10 mg/m</w:t>
            </w:r>
            <w:r w:rsidRPr="0043296A">
              <w:rPr>
                <w:rFonts w:eastAsia="Calibri"/>
                <w:sz w:val="20"/>
                <w:szCs w:val="20"/>
                <w:vertAlign w:val="superscript"/>
              </w:rPr>
              <w:t>2</w:t>
            </w:r>
            <w:r w:rsidRPr="0043296A">
              <w:rPr>
                <w:rFonts w:eastAsia="Calibri"/>
                <w:sz w:val="20"/>
                <w:szCs w:val="20"/>
              </w:rPr>
              <w:t xml:space="preserve"> (not to exceed 20 mg) orally or intravenously 6 to 12 hours prior to the start of </w:t>
            </w:r>
            <w:proofErr w:type="spellStart"/>
            <w:r w:rsidRPr="0043296A">
              <w:rPr>
                <w:rFonts w:eastAsia="Calibri"/>
                <w:sz w:val="20"/>
                <w:szCs w:val="20"/>
              </w:rPr>
              <w:t>Blincyto</w:t>
            </w:r>
            <w:proofErr w:type="spellEnd"/>
            <w:r w:rsidRPr="0043296A">
              <w:rPr>
                <w:rFonts w:eastAsia="Calibri"/>
                <w:sz w:val="20"/>
                <w:szCs w:val="20"/>
              </w:rPr>
              <w:t xml:space="preserve"> (Cycle 1 day 1), followed by premedication with dexamethasone 5 mg/m</w:t>
            </w:r>
            <w:r w:rsidRPr="0043296A">
              <w:rPr>
                <w:rFonts w:eastAsia="Calibri"/>
                <w:sz w:val="20"/>
                <w:szCs w:val="20"/>
                <w:vertAlign w:val="superscript"/>
              </w:rPr>
              <w:t>2</w:t>
            </w:r>
            <w:r w:rsidRPr="0043296A">
              <w:rPr>
                <w:rFonts w:eastAsia="Calibri"/>
                <w:sz w:val="20"/>
                <w:szCs w:val="20"/>
              </w:rPr>
              <w:t xml:space="preserve"> orally or intravenously within 30 minutes of the start of </w:t>
            </w:r>
            <w:proofErr w:type="spellStart"/>
            <w:r w:rsidRPr="0043296A">
              <w:rPr>
                <w:rFonts w:eastAsia="Calibri"/>
                <w:sz w:val="20"/>
                <w:szCs w:val="20"/>
              </w:rPr>
              <w:t>Blincyto</w:t>
            </w:r>
            <w:proofErr w:type="spellEnd"/>
            <w:r w:rsidRPr="0043296A">
              <w:rPr>
                <w:rFonts w:eastAsia="Calibri"/>
                <w:sz w:val="20"/>
                <w:szCs w:val="20"/>
              </w:rPr>
              <w:t xml:space="preserve"> (Cycle 1 day 1).  </w:t>
            </w:r>
          </w:p>
        </w:tc>
      </w:tr>
    </w:tbl>
    <w:p w14:paraId="6C7E855E" w14:textId="1E1D8F1E" w:rsidR="006F4DEE" w:rsidRPr="00FF4079" w:rsidRDefault="006F4DEE" w:rsidP="004252CC">
      <w:pPr>
        <w:pStyle w:val="PI-Text"/>
        <w:spacing w:before="180"/>
      </w:pPr>
      <w:r w:rsidRPr="00FF4079">
        <w:t xml:space="preserve">Intrathecal chemotherapy prophylaxis is recommended before and during </w:t>
      </w:r>
      <w:proofErr w:type="spellStart"/>
      <w:r w:rsidRPr="00FF4079">
        <w:t>Blincyto</w:t>
      </w:r>
      <w:proofErr w:type="spellEnd"/>
      <w:r w:rsidRPr="00FF4079">
        <w:t xml:space="preserve"> therapy to prevent central nervous system ALL relapse.</w:t>
      </w:r>
    </w:p>
    <w:p w14:paraId="4CCF56F1" w14:textId="77777777" w:rsidR="006F4DEE" w:rsidRPr="00131DD7" w:rsidRDefault="006F4DEE" w:rsidP="00B86C76">
      <w:pPr>
        <w:pStyle w:val="Heading6"/>
      </w:pPr>
      <w:r w:rsidRPr="00131DD7">
        <w:lastRenderedPageBreak/>
        <w:t>Pre-phase Treatment for Patients with High Tumour Burden</w:t>
      </w:r>
    </w:p>
    <w:p w14:paraId="494735B0" w14:textId="77777777" w:rsidR="006F4DEE" w:rsidRDefault="006F4DEE" w:rsidP="006F4DEE">
      <w:pPr>
        <w:pStyle w:val="PI-Text"/>
      </w:pPr>
      <w:r w:rsidRPr="00FF4079">
        <w:t>For patients with ≥</w:t>
      </w:r>
      <w:r w:rsidR="004D33B0">
        <w:t> </w:t>
      </w:r>
      <w:r w:rsidRPr="00FF4079">
        <w:t xml:space="preserve">50% </w:t>
      </w:r>
      <w:proofErr w:type="spellStart"/>
      <w:r w:rsidRPr="00FF4079">
        <w:t>leukaemic</w:t>
      </w:r>
      <w:proofErr w:type="spellEnd"/>
      <w:r w:rsidRPr="00FF4079">
        <w:t xml:space="preserve"> blasts in bone marrow or &gt;</w:t>
      </w:r>
      <w:r w:rsidR="0080260A">
        <w:t> </w:t>
      </w:r>
      <w:r w:rsidRPr="00FF4079">
        <w:t xml:space="preserve">15,000/µL peripheral blood </w:t>
      </w:r>
      <w:proofErr w:type="spellStart"/>
      <w:r w:rsidRPr="00FF4079">
        <w:t>leukaemic</w:t>
      </w:r>
      <w:proofErr w:type="spellEnd"/>
      <w:r w:rsidRPr="00FF4079">
        <w:t xml:space="preserve"> blast counts treat with dexamethasone (not to exceed 24</w:t>
      </w:r>
      <w:r w:rsidR="002E5E89">
        <w:t> </w:t>
      </w:r>
      <w:r w:rsidRPr="00FF4079">
        <w:t>mg/day).</w:t>
      </w:r>
    </w:p>
    <w:p w14:paraId="4BE38E7B" w14:textId="77777777" w:rsidR="006F4DEE" w:rsidRPr="00B77254" w:rsidRDefault="006F4DEE" w:rsidP="006F4DEE">
      <w:pPr>
        <w:pStyle w:val="PI-Text"/>
        <w:keepNext/>
        <w:rPr>
          <w:b/>
          <w:i/>
        </w:rPr>
      </w:pPr>
      <w:r w:rsidRPr="00B77254">
        <w:rPr>
          <w:b/>
          <w:i/>
        </w:rPr>
        <w:t>Treatment of MRD-positive B-cell Precursor ALL</w:t>
      </w:r>
    </w:p>
    <w:p w14:paraId="73DDF3F3" w14:textId="5D0597C1" w:rsidR="006F4DEE" w:rsidRPr="0079222A" w:rsidRDefault="006F4DEE" w:rsidP="006F4DEE">
      <w:pPr>
        <w:pStyle w:val="PI-Text"/>
      </w:pPr>
      <w:r w:rsidRPr="003B09CF">
        <w:t>Patients may receive 1</w:t>
      </w:r>
      <w:r w:rsidR="00136780">
        <w:t> </w:t>
      </w:r>
      <w:r w:rsidRPr="003B09CF">
        <w:t xml:space="preserve">cycle of induction treatment followed by 3 additional cycles of </w:t>
      </w:r>
      <w:proofErr w:type="spellStart"/>
      <w:r w:rsidRPr="003B09CF">
        <w:t>Blincyto</w:t>
      </w:r>
      <w:proofErr w:type="spellEnd"/>
      <w:r w:rsidRPr="003B09CF">
        <w:t xml:space="preserve"> consolidation treatment</w:t>
      </w:r>
      <w:r w:rsidRPr="007A2BC3">
        <w:t>.</w:t>
      </w:r>
      <w:r w:rsidRPr="007A2BC3">
        <w:rPr>
          <w:i/>
        </w:rPr>
        <w:t xml:space="preserve"> </w:t>
      </w:r>
      <w:r w:rsidR="007C0EE8">
        <w:rPr>
          <w:i/>
        </w:rPr>
        <w:t xml:space="preserve"> </w:t>
      </w:r>
      <w:proofErr w:type="spellStart"/>
      <w:r w:rsidRPr="007A2BC3">
        <w:t>Blincyto</w:t>
      </w:r>
      <w:proofErr w:type="spellEnd"/>
      <w:r w:rsidRPr="007A2BC3">
        <w:t xml:space="preserve"> is administered as a continuous intravenous infusion delivered at a constant flow rate using an infusion pump</w:t>
      </w:r>
      <w:r w:rsidR="007C0EE8" w:rsidRPr="00C5352A">
        <w:rPr>
          <w:color w:val="000000" w:themeColor="text1"/>
        </w:rPr>
        <w:t xml:space="preserve">.  </w:t>
      </w:r>
      <w:r w:rsidRPr="00C5352A">
        <w:rPr>
          <w:color w:val="000000" w:themeColor="text1"/>
        </w:rPr>
        <w:t>A</w:t>
      </w:r>
      <w:r w:rsidRPr="003B09CF">
        <w:t xml:space="preserve"> single cycle of treatment is 28</w:t>
      </w:r>
      <w:r w:rsidR="00136780">
        <w:t> </w:t>
      </w:r>
      <w:r w:rsidRPr="003B09CF">
        <w:t>days (4</w:t>
      </w:r>
      <w:r w:rsidR="00136780">
        <w:t> </w:t>
      </w:r>
      <w:r w:rsidRPr="003B09CF">
        <w:t>weeks) of continuous infusion followed by a 14-day (2</w:t>
      </w:r>
      <w:r w:rsidRPr="003B09CF">
        <w:noBreakHyphen/>
        <w:t xml:space="preserve">week) treatment-free interval.  </w:t>
      </w:r>
    </w:p>
    <w:p w14:paraId="24E4A75E" w14:textId="77777777" w:rsidR="006F4DEE" w:rsidRDefault="006F4DEE" w:rsidP="00C9791F">
      <w:pPr>
        <w:pStyle w:val="PI-Text"/>
      </w:pPr>
      <w:r w:rsidRPr="0079222A">
        <w:t>See Table </w:t>
      </w:r>
      <w:r w:rsidR="00C9791F">
        <w:t>2</w:t>
      </w:r>
      <w:r>
        <w:t xml:space="preserve"> for the recommended daily dose for patients at least 45</w:t>
      </w:r>
      <w:r w:rsidR="00136780">
        <w:t> </w:t>
      </w:r>
      <w:r>
        <w:t>kg in weight.</w:t>
      </w:r>
    </w:p>
    <w:p w14:paraId="1AFB01C0" w14:textId="77777777" w:rsidR="007C0EE8" w:rsidRPr="00CE433F" w:rsidRDefault="006F4DEE" w:rsidP="00BB029B">
      <w:pPr>
        <w:pStyle w:val="Caption"/>
      </w:pPr>
      <w:r w:rsidRPr="00CE433F">
        <w:t>Table </w:t>
      </w:r>
      <w:r w:rsidR="00C9791F">
        <w:t>2</w:t>
      </w:r>
      <w:r w:rsidRPr="00CE433F">
        <w:t xml:space="preserve">.  </w:t>
      </w:r>
      <w:proofErr w:type="spellStart"/>
      <w:r w:rsidRPr="00CE433F">
        <w:t>Blincyto</w:t>
      </w:r>
      <w:proofErr w:type="spellEnd"/>
      <w:r w:rsidRPr="00CE433F">
        <w:t xml:space="preserve"> Recommended Dosage </w:t>
      </w:r>
      <w:r>
        <w:t>f</w:t>
      </w:r>
      <w:r w:rsidRPr="00CE433F">
        <w:t>or MRD-positive B-cell Precursor ALL</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56"/>
        <w:gridCol w:w="2956"/>
      </w:tblGrid>
      <w:tr w:rsidR="007C0EE8" w:rsidRPr="00E72E50" w14:paraId="49D6AEB5" w14:textId="77777777" w:rsidTr="0087724F">
        <w:trPr>
          <w:trHeight w:val="250"/>
          <w:jc w:val="center"/>
        </w:trPr>
        <w:tc>
          <w:tcPr>
            <w:tcW w:w="2694" w:type="dxa"/>
            <w:vMerge w:val="restart"/>
            <w:shd w:val="clear" w:color="auto" w:fill="auto"/>
            <w:vAlign w:val="center"/>
          </w:tcPr>
          <w:p w14:paraId="2A7EED88" w14:textId="77777777" w:rsidR="007C0EE8" w:rsidRPr="00E72E50" w:rsidRDefault="007C0EE8" w:rsidP="007C0EE8">
            <w:pPr>
              <w:pStyle w:val="Text"/>
              <w:keepNext/>
              <w:keepLines/>
              <w:spacing w:before="60" w:after="60" w:line="240" w:lineRule="atLeast"/>
              <w:rPr>
                <w:rFonts w:ascii="Arial" w:hAnsi="Arial" w:cs="Arial"/>
                <w:b/>
                <w:sz w:val="20"/>
              </w:rPr>
            </w:pPr>
            <w:r w:rsidRPr="00E72E50">
              <w:rPr>
                <w:rFonts w:ascii="Arial" w:hAnsi="Arial" w:cs="Arial"/>
                <w:b/>
                <w:sz w:val="20"/>
              </w:rPr>
              <w:t>Patient Weight</w:t>
            </w:r>
          </w:p>
        </w:tc>
        <w:tc>
          <w:tcPr>
            <w:tcW w:w="5912" w:type="dxa"/>
            <w:gridSpan w:val="2"/>
            <w:tcBorders>
              <w:bottom w:val="nil"/>
              <w:right w:val="nil"/>
            </w:tcBorders>
            <w:shd w:val="clear" w:color="auto" w:fill="auto"/>
          </w:tcPr>
          <w:p w14:paraId="626B4F86" w14:textId="77777777" w:rsidR="007C0EE8" w:rsidRPr="00E72E50" w:rsidRDefault="007C0EE8" w:rsidP="007C0EE8">
            <w:pPr>
              <w:pStyle w:val="Text"/>
              <w:keepNext/>
              <w:keepLines/>
              <w:spacing w:before="60" w:after="60" w:line="240" w:lineRule="atLeast"/>
              <w:jc w:val="center"/>
              <w:rPr>
                <w:rFonts w:ascii="Arial" w:hAnsi="Arial" w:cs="Arial"/>
                <w:b/>
                <w:sz w:val="20"/>
              </w:rPr>
            </w:pPr>
            <w:r w:rsidRPr="00E72E50">
              <w:rPr>
                <w:rFonts w:ascii="Arial" w:hAnsi="Arial" w:cs="Arial"/>
                <w:b/>
                <w:sz w:val="20"/>
              </w:rPr>
              <w:t>Treatment Cycle(s)</w:t>
            </w:r>
          </w:p>
        </w:tc>
      </w:tr>
      <w:tr w:rsidR="007C0EE8" w:rsidRPr="00E72E50" w14:paraId="3D3EC039" w14:textId="77777777" w:rsidTr="0087724F">
        <w:trPr>
          <w:trHeight w:val="155"/>
          <w:jc w:val="center"/>
        </w:trPr>
        <w:tc>
          <w:tcPr>
            <w:tcW w:w="2694" w:type="dxa"/>
            <w:vMerge/>
            <w:shd w:val="clear" w:color="auto" w:fill="auto"/>
          </w:tcPr>
          <w:p w14:paraId="4BF9263A" w14:textId="77777777" w:rsidR="007C0EE8" w:rsidRPr="00E72E50" w:rsidRDefault="007C0EE8" w:rsidP="007C0EE8">
            <w:pPr>
              <w:pStyle w:val="Text"/>
              <w:keepNext/>
              <w:keepLines/>
              <w:spacing w:before="60" w:after="60" w:line="240" w:lineRule="atLeast"/>
              <w:rPr>
                <w:rFonts w:ascii="Arial" w:hAnsi="Arial" w:cs="Arial"/>
                <w:b/>
                <w:sz w:val="20"/>
              </w:rPr>
            </w:pPr>
          </w:p>
        </w:tc>
        <w:tc>
          <w:tcPr>
            <w:tcW w:w="2956" w:type="dxa"/>
            <w:tcBorders>
              <w:top w:val="nil"/>
              <w:bottom w:val="single" w:sz="4" w:space="0" w:color="auto"/>
              <w:right w:val="nil"/>
            </w:tcBorders>
            <w:shd w:val="clear" w:color="auto" w:fill="auto"/>
          </w:tcPr>
          <w:p w14:paraId="303C5C0F" w14:textId="77777777" w:rsidR="007C0EE8" w:rsidRPr="00E72E50" w:rsidRDefault="007C0EE8" w:rsidP="007C0EE8">
            <w:pPr>
              <w:pStyle w:val="Text"/>
              <w:keepNext/>
              <w:keepLines/>
              <w:spacing w:before="60" w:after="60" w:line="240" w:lineRule="atLeast"/>
              <w:jc w:val="center"/>
              <w:rPr>
                <w:rFonts w:ascii="Arial" w:hAnsi="Arial" w:cs="Arial"/>
                <w:b/>
                <w:sz w:val="20"/>
              </w:rPr>
            </w:pPr>
            <w:r w:rsidRPr="00E72E50">
              <w:rPr>
                <w:rFonts w:ascii="Arial" w:hAnsi="Arial" w:cs="Arial"/>
                <w:b/>
                <w:sz w:val="20"/>
              </w:rPr>
              <w:t>Days 1-28</w:t>
            </w:r>
          </w:p>
        </w:tc>
        <w:tc>
          <w:tcPr>
            <w:tcW w:w="2956" w:type="dxa"/>
            <w:tcBorders>
              <w:top w:val="nil"/>
              <w:left w:val="nil"/>
              <w:bottom w:val="single" w:sz="4" w:space="0" w:color="auto"/>
            </w:tcBorders>
          </w:tcPr>
          <w:p w14:paraId="16A46EE3" w14:textId="77777777" w:rsidR="007C0EE8" w:rsidRPr="00E72E50" w:rsidRDefault="007C0EE8" w:rsidP="007C0EE8">
            <w:pPr>
              <w:pStyle w:val="Text"/>
              <w:keepNext/>
              <w:keepLines/>
              <w:spacing w:before="60" w:after="60" w:line="240" w:lineRule="atLeast"/>
              <w:jc w:val="center"/>
              <w:rPr>
                <w:rFonts w:ascii="Arial" w:hAnsi="Arial" w:cs="Arial"/>
                <w:b/>
                <w:sz w:val="20"/>
              </w:rPr>
            </w:pPr>
            <w:r w:rsidRPr="00E72E50">
              <w:rPr>
                <w:rFonts w:ascii="Arial" w:hAnsi="Arial" w:cs="Arial"/>
                <w:b/>
                <w:sz w:val="20"/>
              </w:rPr>
              <w:t>Days 29-42</w:t>
            </w:r>
          </w:p>
        </w:tc>
      </w:tr>
      <w:tr w:rsidR="007C0EE8" w:rsidRPr="00E72E50" w14:paraId="0465BE4B" w14:textId="77777777" w:rsidTr="0087724F">
        <w:trPr>
          <w:trHeight w:val="377"/>
          <w:jc w:val="center"/>
        </w:trPr>
        <w:tc>
          <w:tcPr>
            <w:tcW w:w="2694" w:type="dxa"/>
            <w:tcBorders>
              <w:bottom w:val="single" w:sz="4" w:space="0" w:color="auto"/>
            </w:tcBorders>
            <w:shd w:val="clear" w:color="auto" w:fill="auto"/>
          </w:tcPr>
          <w:p w14:paraId="4961F96B" w14:textId="490B67C1" w:rsidR="007C0EE8" w:rsidRPr="00E72E50" w:rsidRDefault="007C0EE8" w:rsidP="004252CC">
            <w:pPr>
              <w:pStyle w:val="ListParagraph"/>
              <w:keepNext/>
              <w:keepLines/>
              <w:autoSpaceDE w:val="0"/>
              <w:autoSpaceDN w:val="0"/>
              <w:adjustRightInd w:val="0"/>
              <w:spacing w:before="60" w:after="60" w:line="240" w:lineRule="atLeast"/>
              <w:ind w:left="0" w:hanging="20"/>
              <w:rPr>
                <w:rFonts w:ascii="Arial" w:eastAsia="Calibri" w:hAnsi="Arial" w:cs="Arial"/>
                <w:i/>
                <w:sz w:val="20"/>
              </w:rPr>
            </w:pPr>
            <w:r w:rsidRPr="00E72E50">
              <w:rPr>
                <w:rFonts w:ascii="Arial" w:hAnsi="Arial" w:cs="Arial"/>
                <w:sz w:val="20"/>
              </w:rPr>
              <w:t>Greater than or equal to 45 kg</w:t>
            </w:r>
            <w:r w:rsidRPr="00E72E50">
              <w:rPr>
                <w:rFonts w:ascii="Arial" w:hAnsi="Arial" w:cs="Arial"/>
                <w:b/>
                <w:i/>
                <w:sz w:val="20"/>
              </w:rPr>
              <w:t xml:space="preserve"> </w:t>
            </w:r>
            <w:r w:rsidRPr="00E72E50">
              <w:rPr>
                <w:rFonts w:ascii="Arial" w:eastAsia="Calibri" w:hAnsi="Arial" w:cs="Arial"/>
                <w:i/>
                <w:sz w:val="20"/>
              </w:rPr>
              <w:t>(fixed-dose)</w:t>
            </w:r>
          </w:p>
        </w:tc>
        <w:tc>
          <w:tcPr>
            <w:tcW w:w="2956" w:type="dxa"/>
            <w:tcBorders>
              <w:bottom w:val="single" w:sz="4" w:space="0" w:color="auto"/>
              <w:right w:val="nil"/>
            </w:tcBorders>
            <w:shd w:val="clear" w:color="auto" w:fill="auto"/>
            <w:vAlign w:val="center"/>
          </w:tcPr>
          <w:p w14:paraId="4EAA5AC8" w14:textId="77777777" w:rsidR="007C0EE8" w:rsidRPr="00E72E50" w:rsidRDefault="007C0EE8" w:rsidP="007C0EE8">
            <w:pPr>
              <w:pStyle w:val="Text"/>
              <w:keepNext/>
              <w:keepLines/>
              <w:spacing w:before="60" w:after="60" w:line="240" w:lineRule="atLeast"/>
              <w:jc w:val="center"/>
              <w:rPr>
                <w:rFonts w:ascii="Arial" w:hAnsi="Arial" w:cs="Arial"/>
                <w:sz w:val="20"/>
              </w:rPr>
            </w:pPr>
            <w:r w:rsidRPr="00E72E50">
              <w:rPr>
                <w:rFonts w:ascii="Arial" w:hAnsi="Arial" w:cs="Arial"/>
                <w:sz w:val="20"/>
              </w:rPr>
              <w:t>28</w:t>
            </w:r>
            <w:r>
              <w:rPr>
                <w:rFonts w:ascii="Arial" w:hAnsi="Arial" w:cs="Arial"/>
                <w:sz w:val="20"/>
              </w:rPr>
              <w:t> </w:t>
            </w:r>
            <w:r w:rsidRPr="00E72E50">
              <w:rPr>
                <w:rFonts w:ascii="Arial" w:hAnsi="Arial" w:cs="Arial"/>
                <w:sz w:val="20"/>
              </w:rPr>
              <w:t>micrograms/day</w:t>
            </w:r>
          </w:p>
        </w:tc>
        <w:tc>
          <w:tcPr>
            <w:tcW w:w="2956" w:type="dxa"/>
            <w:tcBorders>
              <w:left w:val="nil"/>
              <w:bottom w:val="single" w:sz="4" w:space="0" w:color="auto"/>
            </w:tcBorders>
          </w:tcPr>
          <w:p w14:paraId="78698D7C" w14:textId="77777777" w:rsidR="007C0EE8" w:rsidRPr="00E72E50" w:rsidRDefault="007C0EE8" w:rsidP="007C0EE8">
            <w:pPr>
              <w:pStyle w:val="Text"/>
              <w:keepNext/>
              <w:keepLines/>
              <w:spacing w:before="60" w:after="60" w:line="240" w:lineRule="atLeast"/>
              <w:jc w:val="center"/>
              <w:rPr>
                <w:rFonts w:ascii="Arial" w:hAnsi="Arial" w:cs="Arial"/>
                <w:sz w:val="20"/>
              </w:rPr>
            </w:pPr>
            <w:r w:rsidRPr="00E72E50">
              <w:rPr>
                <w:rFonts w:ascii="Arial" w:hAnsi="Arial" w:cs="Arial"/>
                <w:sz w:val="20"/>
              </w:rPr>
              <w:t>14</w:t>
            </w:r>
            <w:r w:rsidRPr="00E72E50">
              <w:rPr>
                <w:rFonts w:ascii="Arial" w:hAnsi="Arial" w:cs="Arial"/>
                <w:sz w:val="20"/>
              </w:rPr>
              <w:noBreakHyphen/>
              <w:t>day treatment</w:t>
            </w:r>
            <w:r w:rsidRPr="00E72E50">
              <w:rPr>
                <w:rFonts w:ascii="Arial" w:hAnsi="Arial" w:cs="Arial"/>
                <w:sz w:val="20"/>
              </w:rPr>
              <w:noBreakHyphen/>
            </w:r>
            <w:r>
              <w:rPr>
                <w:rFonts w:ascii="Arial" w:hAnsi="Arial" w:cs="Arial"/>
                <w:sz w:val="20"/>
              </w:rPr>
              <w:br/>
            </w:r>
            <w:r w:rsidRPr="00E72E50">
              <w:rPr>
                <w:rFonts w:ascii="Arial" w:hAnsi="Arial" w:cs="Arial"/>
                <w:sz w:val="20"/>
              </w:rPr>
              <w:t>free interval</w:t>
            </w:r>
          </w:p>
        </w:tc>
      </w:tr>
      <w:tr w:rsidR="00DD02DC" w:rsidRPr="00E72E50" w14:paraId="44C1AB7B" w14:textId="77777777" w:rsidTr="00620E41">
        <w:trPr>
          <w:trHeight w:val="377"/>
          <w:jc w:val="center"/>
        </w:trPr>
        <w:tc>
          <w:tcPr>
            <w:tcW w:w="8606" w:type="dxa"/>
            <w:gridSpan w:val="3"/>
            <w:tcBorders>
              <w:left w:val="nil"/>
              <w:bottom w:val="nil"/>
              <w:right w:val="nil"/>
            </w:tcBorders>
            <w:shd w:val="clear" w:color="auto" w:fill="auto"/>
          </w:tcPr>
          <w:p w14:paraId="03C8ADD6" w14:textId="77777777" w:rsidR="00DD02DC" w:rsidRPr="00E72E50" w:rsidRDefault="00DD02DC" w:rsidP="007C0EE8">
            <w:pPr>
              <w:pStyle w:val="Text"/>
              <w:keepNext/>
              <w:keepLines/>
              <w:spacing w:before="60" w:after="60" w:line="240" w:lineRule="atLeast"/>
              <w:jc w:val="center"/>
              <w:rPr>
                <w:rFonts w:ascii="Arial" w:hAnsi="Arial" w:cs="Arial"/>
                <w:sz w:val="20"/>
              </w:rPr>
            </w:pPr>
          </w:p>
        </w:tc>
      </w:tr>
    </w:tbl>
    <w:p w14:paraId="6C1F256C" w14:textId="54386227" w:rsidR="006F4DEE" w:rsidRPr="00A12FDD" w:rsidRDefault="006F4DEE" w:rsidP="00B86C76">
      <w:pPr>
        <w:pStyle w:val="Heading6"/>
      </w:pPr>
      <w:r w:rsidRPr="00A12FDD">
        <w:t>Premedication and Additional Medication Recommendations</w:t>
      </w:r>
    </w:p>
    <w:p w14:paraId="01EB7ECC" w14:textId="77777777" w:rsidR="006F4DEE" w:rsidRDefault="006F4DEE" w:rsidP="00136780">
      <w:pPr>
        <w:pStyle w:val="PI-Text"/>
      </w:pPr>
      <w:r w:rsidRPr="004155F0">
        <w:t xml:space="preserve">Intrathecal chemotherapy prophylaxis is recommended before and during </w:t>
      </w:r>
      <w:proofErr w:type="spellStart"/>
      <w:r w:rsidRPr="004155F0">
        <w:t>Blincyto</w:t>
      </w:r>
      <w:proofErr w:type="spellEnd"/>
      <w:r w:rsidRPr="004155F0">
        <w:t xml:space="preserve"> therapy to prevent central nervous system ALL relapse.</w:t>
      </w:r>
    </w:p>
    <w:p w14:paraId="426C1494" w14:textId="77777777" w:rsidR="006F4DEE" w:rsidRPr="004155F0" w:rsidRDefault="006F4DEE" w:rsidP="00136780">
      <w:pPr>
        <w:pStyle w:val="PI-Text"/>
        <w:rPr>
          <w:rFonts w:eastAsia="Calibri"/>
        </w:rPr>
      </w:pPr>
      <w:proofErr w:type="spellStart"/>
      <w:r w:rsidRPr="004155F0">
        <w:rPr>
          <w:rFonts w:eastAsia="Calibri"/>
        </w:rPr>
        <w:t>Premedicate</w:t>
      </w:r>
      <w:proofErr w:type="spellEnd"/>
      <w:r w:rsidRPr="004155F0">
        <w:rPr>
          <w:rFonts w:eastAsia="Calibri"/>
        </w:rPr>
        <w:t xml:space="preserve"> with prednisone 100</w:t>
      </w:r>
      <w:r w:rsidR="00136780">
        <w:rPr>
          <w:rFonts w:eastAsia="Calibri"/>
        </w:rPr>
        <w:t> </w:t>
      </w:r>
      <w:r w:rsidRPr="004155F0">
        <w:rPr>
          <w:rFonts w:eastAsia="Calibri"/>
        </w:rPr>
        <w:t>mg intravenously or equivalent (e.g., dexamethasone 16</w:t>
      </w:r>
      <w:r w:rsidR="00136780">
        <w:rPr>
          <w:rFonts w:eastAsia="Calibri"/>
        </w:rPr>
        <w:t> </w:t>
      </w:r>
      <w:r w:rsidRPr="004155F0">
        <w:rPr>
          <w:rFonts w:eastAsia="Calibri"/>
        </w:rPr>
        <w:t xml:space="preserve">mg) 1 hour prior to the first dose of </w:t>
      </w:r>
      <w:proofErr w:type="spellStart"/>
      <w:r w:rsidRPr="004155F0">
        <w:rPr>
          <w:rFonts w:eastAsia="Calibri"/>
        </w:rPr>
        <w:t>Blincyto</w:t>
      </w:r>
      <w:proofErr w:type="spellEnd"/>
      <w:r w:rsidRPr="004155F0">
        <w:rPr>
          <w:rFonts w:eastAsia="Calibri"/>
        </w:rPr>
        <w:t xml:space="preserve"> of each cycle.  </w:t>
      </w:r>
    </w:p>
    <w:p w14:paraId="0EF2AD11" w14:textId="32B4FA73" w:rsidR="006F4DEE" w:rsidRPr="00FF4079" w:rsidRDefault="006F4DEE" w:rsidP="00C9791F">
      <w:pPr>
        <w:pStyle w:val="Heading3"/>
      </w:pPr>
      <w:r w:rsidRPr="00FF4079">
        <w:t xml:space="preserve">Preparation and </w:t>
      </w:r>
      <w:r w:rsidR="001F412F">
        <w:t>a</w:t>
      </w:r>
      <w:r w:rsidRPr="00FF4079">
        <w:t>dministration</w:t>
      </w:r>
    </w:p>
    <w:p w14:paraId="2C9FEC97" w14:textId="4EF3A752" w:rsidR="006F4DEE" w:rsidRPr="00FF4079" w:rsidRDefault="006F4DEE" w:rsidP="00C9791F">
      <w:pPr>
        <w:pStyle w:val="Heading4"/>
      </w:pPr>
      <w:r w:rsidRPr="00FF4079">
        <w:t xml:space="preserve">Reconstitution and </w:t>
      </w:r>
      <w:r w:rsidR="001F412F">
        <w:t>p</w:t>
      </w:r>
      <w:r w:rsidRPr="00FF4079">
        <w:t xml:space="preserve">reparation of </w:t>
      </w:r>
      <w:r w:rsidR="001F412F">
        <w:t>solution for i</w:t>
      </w:r>
      <w:r w:rsidRPr="00FF4079">
        <w:t>nfusion</w:t>
      </w:r>
    </w:p>
    <w:p w14:paraId="0E4431D4" w14:textId="1A7D7B62" w:rsidR="006F4DEE" w:rsidRPr="00FF4079" w:rsidRDefault="006F4DEE" w:rsidP="002535D8">
      <w:pPr>
        <w:pStyle w:val="PI-Text"/>
      </w:pPr>
      <w:r w:rsidRPr="00FF4079">
        <w:t xml:space="preserve">It is very important that the instructions for preparation and administration provided in this section are strictly followed to minimise medication errors (including </w:t>
      </w:r>
      <w:proofErr w:type="spellStart"/>
      <w:r w:rsidRPr="00FF4079">
        <w:t>underdose</w:t>
      </w:r>
      <w:proofErr w:type="spellEnd"/>
      <w:r w:rsidRPr="00FF4079">
        <w:t xml:space="preserve"> and overdose) </w:t>
      </w:r>
      <w:r w:rsidRPr="00FF4079">
        <w:rPr>
          <w:iCs/>
        </w:rPr>
        <w:t xml:space="preserve">(see </w:t>
      </w:r>
      <w:r w:rsidR="00FA34EF">
        <w:rPr>
          <w:iCs/>
        </w:rPr>
        <w:t>Section</w:t>
      </w:r>
      <w:r w:rsidR="0085498A">
        <w:rPr>
          <w:iCs/>
        </w:rPr>
        <w:t> </w:t>
      </w:r>
      <w:r w:rsidR="00FA34EF">
        <w:rPr>
          <w:iCs/>
        </w:rPr>
        <w:t xml:space="preserve">4.4 </w:t>
      </w:r>
      <w:r w:rsidR="001F412F">
        <w:rPr>
          <w:iCs/>
        </w:rPr>
        <w:t>Special warnings and precautions for use</w:t>
      </w:r>
      <w:r w:rsidRPr="00FF4079">
        <w:rPr>
          <w:iCs/>
        </w:rPr>
        <w:t>).</w:t>
      </w:r>
    </w:p>
    <w:p w14:paraId="693844BD" w14:textId="77777777" w:rsidR="006F4DEE" w:rsidRPr="004C4D30" w:rsidRDefault="006F4DEE" w:rsidP="00C9791F">
      <w:pPr>
        <w:pStyle w:val="Heading5"/>
      </w:pPr>
      <w:r w:rsidRPr="004C4D30">
        <w:t>Aseptic preparation</w:t>
      </w:r>
    </w:p>
    <w:p w14:paraId="2EB205BD" w14:textId="77777777" w:rsidR="006F4DEE" w:rsidRPr="00FF4079" w:rsidRDefault="006F4DEE" w:rsidP="006F4DEE">
      <w:pPr>
        <w:pStyle w:val="PI-Text"/>
        <w:rPr>
          <w:rStyle w:val="followingxmchange"/>
        </w:rPr>
      </w:pPr>
      <w:proofErr w:type="spellStart"/>
      <w:r w:rsidRPr="00FF4079">
        <w:rPr>
          <w:rStyle w:val="followingxmchange"/>
        </w:rPr>
        <w:t>Blincyto</w:t>
      </w:r>
      <w:proofErr w:type="spellEnd"/>
      <w:r w:rsidRPr="00FF4079">
        <w:rPr>
          <w:rStyle w:val="followingxmchange"/>
        </w:rPr>
        <w:t xml:space="preserve"> does not contain antimicrobial preservatives, aseptic preparation must therefore be ensured when preparing the infusion. </w:t>
      </w:r>
      <w:r w:rsidR="0080260A">
        <w:rPr>
          <w:rStyle w:val="followingxmchange"/>
        </w:rPr>
        <w:t xml:space="preserve"> </w:t>
      </w:r>
      <w:r w:rsidRPr="00FF4079">
        <w:t xml:space="preserve">To prevent accidental contamination, prepare </w:t>
      </w:r>
      <w:proofErr w:type="spellStart"/>
      <w:r w:rsidRPr="00FF4079">
        <w:t>Blincyto</w:t>
      </w:r>
      <w:proofErr w:type="spellEnd"/>
      <w:r w:rsidRPr="00FF4079">
        <w:t xml:space="preserve"> according to aseptic standards. </w:t>
      </w:r>
      <w:r w:rsidR="0080260A">
        <w:t xml:space="preserve"> </w:t>
      </w:r>
      <w:r w:rsidRPr="00FF4079">
        <w:rPr>
          <w:rStyle w:val="followingxmchange"/>
        </w:rPr>
        <w:t xml:space="preserve">Preparation of </w:t>
      </w:r>
      <w:proofErr w:type="spellStart"/>
      <w:r w:rsidRPr="00FF4079">
        <w:rPr>
          <w:rStyle w:val="followingxmchange"/>
        </w:rPr>
        <w:t>Blincyto</w:t>
      </w:r>
      <w:proofErr w:type="spellEnd"/>
      <w:r w:rsidRPr="00FF4079">
        <w:rPr>
          <w:rStyle w:val="followingxmchange"/>
        </w:rPr>
        <w:t xml:space="preserve"> should be: </w:t>
      </w:r>
    </w:p>
    <w:p w14:paraId="7E92FFE5" w14:textId="77777777" w:rsidR="006F4DEE" w:rsidRPr="00FF4079" w:rsidRDefault="006F4DEE" w:rsidP="006F4DEE">
      <w:pPr>
        <w:pStyle w:val="PI-Bullets"/>
        <w:rPr>
          <w:rStyle w:val="followingxmchange"/>
          <w:rFonts w:cs="Arial"/>
          <w:lang w:val="en-GB"/>
        </w:rPr>
      </w:pPr>
      <w:r w:rsidRPr="00FF4079">
        <w:rPr>
          <w:rStyle w:val="followingxmchange"/>
          <w:rFonts w:cs="Arial"/>
          <w:lang w:val="en-GB"/>
        </w:rPr>
        <w:lastRenderedPageBreak/>
        <w:t>performed under aseptic conditions by trained personnel in accordance with good practice rules especially with respect to the aseptic preparation of parenteral products</w:t>
      </w:r>
    </w:p>
    <w:p w14:paraId="686FE508" w14:textId="77777777" w:rsidR="006F4DEE" w:rsidRPr="00FF4079" w:rsidRDefault="006F4DEE" w:rsidP="006F4DEE">
      <w:pPr>
        <w:pStyle w:val="PI-Bullets"/>
        <w:rPr>
          <w:lang w:val="en-GB"/>
        </w:rPr>
      </w:pPr>
      <w:r w:rsidRPr="00FF4079">
        <w:rPr>
          <w:rStyle w:val="followingxmchange"/>
          <w:rFonts w:cs="Arial"/>
          <w:lang w:val="en-GB"/>
        </w:rPr>
        <w:t xml:space="preserve">prepared in </w:t>
      </w:r>
      <w:r w:rsidRPr="00FF4079">
        <w:rPr>
          <w:lang w:val="en-GB"/>
        </w:rPr>
        <w:t>a laminar flow hood or biological safety cabinet using standard precautions for the safe handling of intravenous agents.</w:t>
      </w:r>
    </w:p>
    <w:p w14:paraId="27B25307" w14:textId="77777777" w:rsidR="006F4DEE" w:rsidRPr="004C4D30" w:rsidRDefault="006F4DEE" w:rsidP="0085498A">
      <w:pPr>
        <w:pStyle w:val="Heading5"/>
      </w:pPr>
      <w:r w:rsidRPr="004C4D30">
        <w:t>Special considerations to support accurate preparation</w:t>
      </w:r>
    </w:p>
    <w:p w14:paraId="7F27F554" w14:textId="0F192001" w:rsidR="006F4DEE" w:rsidRPr="00FF4079" w:rsidRDefault="006F4DEE" w:rsidP="006F4DEE">
      <w:pPr>
        <w:pStyle w:val="PI-Bullets"/>
        <w:numPr>
          <w:ilvl w:val="0"/>
          <w:numId w:val="20"/>
        </w:numPr>
      </w:pPr>
      <w:r w:rsidRPr="00FF4079">
        <w:t xml:space="preserve">IV </w:t>
      </w:r>
      <w:r w:rsidR="00C5352A" w:rsidRPr="00C5352A">
        <w:rPr>
          <w:color w:val="000000" w:themeColor="text1"/>
        </w:rPr>
        <w:t>s</w:t>
      </w:r>
      <w:r w:rsidR="00DD02DC" w:rsidRPr="00FF4079">
        <w:t xml:space="preserve">olution </w:t>
      </w:r>
      <w:r w:rsidR="00C5352A" w:rsidRPr="00C5352A">
        <w:rPr>
          <w:color w:val="000000" w:themeColor="text1"/>
        </w:rPr>
        <w:t>s</w:t>
      </w:r>
      <w:r w:rsidR="00DD02DC" w:rsidRPr="00FF4079">
        <w:t xml:space="preserve">tabiliser </w:t>
      </w:r>
      <w:r w:rsidRPr="00FF4079">
        <w:t xml:space="preserve">is provided with the </w:t>
      </w:r>
      <w:proofErr w:type="spellStart"/>
      <w:r w:rsidRPr="00FF4079">
        <w:t>Blincyto</w:t>
      </w:r>
      <w:proofErr w:type="spellEnd"/>
      <w:r w:rsidRPr="00FF4079">
        <w:t xml:space="preserve"> package and is used to coat the prefilled IV bag or cassette prior to addition of reconstituted </w:t>
      </w:r>
      <w:proofErr w:type="spellStart"/>
      <w:r w:rsidRPr="00FF4079">
        <w:t>Blincyto</w:t>
      </w:r>
      <w:proofErr w:type="spellEnd"/>
      <w:r w:rsidRPr="00FF4079">
        <w:t xml:space="preserve"> to prevent adhesion of </w:t>
      </w:r>
      <w:proofErr w:type="spellStart"/>
      <w:r w:rsidRPr="00FF4079">
        <w:t>Blincyto</w:t>
      </w:r>
      <w:proofErr w:type="spellEnd"/>
      <w:r w:rsidRPr="00FF4079">
        <w:t xml:space="preserve"> to IV bags or cassettes and IV lines. </w:t>
      </w:r>
      <w:r w:rsidR="0085498A">
        <w:t xml:space="preserve"> </w:t>
      </w:r>
      <w:r w:rsidRPr="0085498A">
        <w:rPr>
          <w:b/>
        </w:rPr>
        <w:t xml:space="preserve">Do not use IV </w:t>
      </w:r>
      <w:r w:rsidR="00C5352A">
        <w:rPr>
          <w:b/>
        </w:rPr>
        <w:t>s</w:t>
      </w:r>
      <w:r w:rsidR="00DD02DC" w:rsidRPr="00DD02DC">
        <w:rPr>
          <w:b/>
        </w:rPr>
        <w:t xml:space="preserve">olution </w:t>
      </w:r>
      <w:r w:rsidR="00C5352A">
        <w:rPr>
          <w:b/>
        </w:rPr>
        <w:t>s</w:t>
      </w:r>
      <w:r w:rsidR="00DD02DC" w:rsidRPr="00DD02DC">
        <w:rPr>
          <w:b/>
        </w:rPr>
        <w:t>tabiliser</w:t>
      </w:r>
      <w:r w:rsidR="00DD02DC" w:rsidRPr="00FF4079">
        <w:t xml:space="preserve"> </w:t>
      </w:r>
      <w:r w:rsidRPr="0085498A">
        <w:rPr>
          <w:b/>
        </w:rPr>
        <w:t xml:space="preserve">for reconstitution of </w:t>
      </w:r>
      <w:proofErr w:type="spellStart"/>
      <w:r w:rsidRPr="0085498A">
        <w:rPr>
          <w:b/>
        </w:rPr>
        <w:t>Blincyto</w:t>
      </w:r>
      <w:proofErr w:type="spellEnd"/>
      <w:r w:rsidRPr="00FF4079">
        <w:t>.</w:t>
      </w:r>
    </w:p>
    <w:p w14:paraId="3AFB83CA" w14:textId="77777777" w:rsidR="006F4DEE" w:rsidRPr="00FF4079" w:rsidRDefault="006F4DEE" w:rsidP="006F4DEE">
      <w:pPr>
        <w:pStyle w:val="PI-Bullets"/>
        <w:numPr>
          <w:ilvl w:val="0"/>
          <w:numId w:val="20"/>
        </w:numPr>
      </w:pPr>
      <w:r w:rsidRPr="00FF4079">
        <w:t xml:space="preserve">The entire volume of the reconstituted and diluted </w:t>
      </w:r>
      <w:proofErr w:type="spellStart"/>
      <w:r w:rsidRPr="00FF4079">
        <w:t>Blincyto</w:t>
      </w:r>
      <w:proofErr w:type="spellEnd"/>
      <w:r w:rsidRPr="00FF4079">
        <w:t xml:space="preserve"> will be more than the volume administered to the patient (240</w:t>
      </w:r>
      <w:r w:rsidR="0085498A">
        <w:t> </w:t>
      </w:r>
      <w:r w:rsidRPr="00FF4079">
        <w:t xml:space="preserve">mL) to account for the priming of the IV line and to ensure that the patient will receive the full dose of </w:t>
      </w:r>
      <w:proofErr w:type="spellStart"/>
      <w:r w:rsidRPr="00FF4079">
        <w:t>Blincyto</w:t>
      </w:r>
      <w:proofErr w:type="spellEnd"/>
      <w:r w:rsidRPr="00FF4079">
        <w:t>.</w:t>
      </w:r>
    </w:p>
    <w:p w14:paraId="5DFBA1FD" w14:textId="77777777" w:rsidR="006F4DEE" w:rsidRPr="00FF4079" w:rsidRDefault="006F4DEE" w:rsidP="006F4DEE">
      <w:pPr>
        <w:pStyle w:val="PI-Bullets"/>
        <w:numPr>
          <w:ilvl w:val="0"/>
          <w:numId w:val="20"/>
        </w:numPr>
      </w:pPr>
      <w:r w:rsidRPr="00FF4079">
        <w:t xml:space="preserve">When preparing an IV bag, remove air from IV bag. </w:t>
      </w:r>
      <w:r w:rsidR="0085498A">
        <w:t xml:space="preserve"> </w:t>
      </w:r>
      <w:r w:rsidRPr="00FF4079">
        <w:t>This is particularly important for use with an ambulatory infusion pump.</w:t>
      </w:r>
    </w:p>
    <w:p w14:paraId="19825D4D" w14:textId="77777777" w:rsidR="006F4DEE" w:rsidRPr="00FF4079" w:rsidRDefault="006F4DEE" w:rsidP="006F4DEE">
      <w:pPr>
        <w:pStyle w:val="PI-Bullets"/>
        <w:numPr>
          <w:ilvl w:val="0"/>
          <w:numId w:val="20"/>
        </w:numPr>
      </w:pPr>
      <w:r w:rsidRPr="00FF4079">
        <w:t>Use the specific volumes described in the reconstitution and dilution instructions.</w:t>
      </w:r>
    </w:p>
    <w:p w14:paraId="39420626" w14:textId="77777777" w:rsidR="006F4DEE" w:rsidRPr="004C4D30" w:rsidRDefault="006F4DEE" w:rsidP="0085498A">
      <w:pPr>
        <w:pStyle w:val="Heading5"/>
      </w:pPr>
      <w:r w:rsidRPr="004C4D30">
        <w:t>Other considerations</w:t>
      </w:r>
    </w:p>
    <w:p w14:paraId="34F2BBF8" w14:textId="77777777" w:rsidR="006F4DEE" w:rsidRPr="00FF4079" w:rsidRDefault="006F4DEE" w:rsidP="006F4DEE">
      <w:pPr>
        <w:pStyle w:val="PI-Bullets"/>
        <w:rPr>
          <w:lang w:val="en-GB"/>
        </w:rPr>
      </w:pPr>
      <w:proofErr w:type="spellStart"/>
      <w:r w:rsidRPr="00FF4079">
        <w:rPr>
          <w:lang w:val="en-GB"/>
        </w:rPr>
        <w:t>Blincyto</w:t>
      </w:r>
      <w:proofErr w:type="spellEnd"/>
      <w:r w:rsidRPr="00FF4079">
        <w:rPr>
          <w:lang w:val="en-GB"/>
        </w:rPr>
        <w:t xml:space="preserve"> is compatible with polyolefin, PVC non-di-</w:t>
      </w:r>
      <w:proofErr w:type="spellStart"/>
      <w:r w:rsidRPr="00FF4079">
        <w:rPr>
          <w:lang w:val="en-GB"/>
        </w:rPr>
        <w:t>ethylhexylphthalate</w:t>
      </w:r>
      <w:proofErr w:type="spellEnd"/>
      <w:r w:rsidRPr="00FF4079">
        <w:rPr>
          <w:lang w:val="en-GB"/>
        </w:rPr>
        <w:t xml:space="preserve"> (non-DEHP), or ethyl vinyl acetate (EVA) infusion bags/pump cassettes. </w:t>
      </w:r>
    </w:p>
    <w:p w14:paraId="5F21DC9A" w14:textId="77777777" w:rsidR="006F4DEE" w:rsidRPr="00FF4079" w:rsidRDefault="006F4DEE" w:rsidP="006F4DEE">
      <w:pPr>
        <w:pStyle w:val="PI-Text"/>
      </w:pPr>
      <w:r w:rsidRPr="00FF4079">
        <w:t xml:space="preserve">Specific reconstitution and dilution instructions are provided below for each dose and infusion time. </w:t>
      </w:r>
      <w:r w:rsidR="0085498A">
        <w:t xml:space="preserve"> </w:t>
      </w:r>
      <w:r w:rsidRPr="00FF4079">
        <w:t xml:space="preserve">Verify the prescribed dose and infusion time of </w:t>
      </w:r>
      <w:proofErr w:type="spellStart"/>
      <w:r w:rsidRPr="00FF4079">
        <w:t>Blincyto</w:t>
      </w:r>
      <w:proofErr w:type="spellEnd"/>
      <w:r w:rsidRPr="00FF4079">
        <w:t xml:space="preserve"> and identify the appropriate dosing preparation section listed below.</w:t>
      </w:r>
      <w:r w:rsidR="0085498A">
        <w:t xml:space="preserve"> </w:t>
      </w:r>
      <w:r w:rsidRPr="00FF4079">
        <w:t xml:space="preserve"> Follow the steps for reconstituting </w:t>
      </w:r>
      <w:proofErr w:type="spellStart"/>
      <w:r w:rsidRPr="00FF4079">
        <w:t>Blincyto</w:t>
      </w:r>
      <w:proofErr w:type="spellEnd"/>
      <w:r w:rsidRPr="00FF4079">
        <w:t xml:space="preserve"> and preparing either an IV bag or a cassette.</w:t>
      </w:r>
    </w:p>
    <w:p w14:paraId="3118F309" w14:textId="77777777" w:rsidR="006F4DEE" w:rsidRPr="004C4D30" w:rsidRDefault="006F4DEE" w:rsidP="0085498A">
      <w:pPr>
        <w:pStyle w:val="Heading5"/>
      </w:pPr>
      <w:r w:rsidRPr="004C4D30">
        <w:t>Gather supplies</w:t>
      </w:r>
    </w:p>
    <w:p w14:paraId="25307A1C" w14:textId="77777777" w:rsidR="006F4DEE" w:rsidRPr="00FF4079" w:rsidRDefault="006F4DEE" w:rsidP="006F4DEE">
      <w:pPr>
        <w:pStyle w:val="PI-Text"/>
      </w:pPr>
      <w:r w:rsidRPr="00FF4079">
        <w:t>Before preparation, ensure you have the following supplies ready.</w:t>
      </w:r>
    </w:p>
    <w:p w14:paraId="4FC955D8" w14:textId="77777777" w:rsidR="006F4DEE" w:rsidRPr="00FF4079" w:rsidRDefault="006F4DEE" w:rsidP="006F4DEE">
      <w:pPr>
        <w:pStyle w:val="PI-Bullets"/>
        <w:numPr>
          <w:ilvl w:val="0"/>
          <w:numId w:val="21"/>
        </w:numPr>
      </w:pPr>
      <w:r w:rsidRPr="00FF4079">
        <w:t xml:space="preserve">A sufficient number of packages of </w:t>
      </w:r>
      <w:proofErr w:type="spellStart"/>
      <w:r w:rsidRPr="00FF4079">
        <w:t>Blincyto</w:t>
      </w:r>
      <w:proofErr w:type="spellEnd"/>
      <w:r w:rsidRPr="00FF4079">
        <w:t xml:space="preserve"> (each package includes 1</w:t>
      </w:r>
      <w:r w:rsidR="0085498A">
        <w:t> </w:t>
      </w:r>
      <w:r w:rsidRPr="00FF4079">
        <w:t xml:space="preserve">vial of </w:t>
      </w:r>
      <w:proofErr w:type="spellStart"/>
      <w:r w:rsidRPr="00FF4079">
        <w:t>Blincyto</w:t>
      </w:r>
      <w:proofErr w:type="spellEnd"/>
      <w:r w:rsidRPr="00FF4079">
        <w:t xml:space="preserve"> and 1</w:t>
      </w:r>
      <w:r w:rsidR="0085498A">
        <w:t> </w:t>
      </w:r>
      <w:r w:rsidRPr="00FF4079">
        <w:t>vial of IV solution stabiliser).</w:t>
      </w:r>
    </w:p>
    <w:p w14:paraId="79EF18DB" w14:textId="51ED7C76" w:rsidR="006F4DEE" w:rsidRPr="00FF4079" w:rsidRDefault="006F4DEE" w:rsidP="006F4DEE">
      <w:pPr>
        <w:pStyle w:val="PI-Bullets"/>
        <w:numPr>
          <w:ilvl w:val="0"/>
          <w:numId w:val="22"/>
        </w:numPr>
      </w:pPr>
      <w:r w:rsidRPr="00FF4079">
        <w:t>Refer to Tables</w:t>
      </w:r>
      <w:r w:rsidR="0085498A">
        <w:t> 3</w:t>
      </w:r>
      <w:r w:rsidRPr="00FF4079">
        <w:t xml:space="preserve"> to</w:t>
      </w:r>
      <w:r w:rsidR="0085498A">
        <w:t> 7</w:t>
      </w:r>
      <w:r w:rsidRPr="00FF4079">
        <w:t xml:space="preserve"> for the number of packages of </w:t>
      </w:r>
      <w:proofErr w:type="spellStart"/>
      <w:r w:rsidRPr="00FF4079">
        <w:t>Blincyto</w:t>
      </w:r>
      <w:proofErr w:type="spellEnd"/>
      <w:r w:rsidRPr="00FF4079">
        <w:t xml:space="preserve"> required for a given dose/duration/rate of infusion. </w:t>
      </w:r>
      <w:r w:rsidR="0085498A">
        <w:t xml:space="preserve"> </w:t>
      </w:r>
      <w:r w:rsidRPr="00FF4079">
        <w:t xml:space="preserve">Only one package is required </w:t>
      </w:r>
      <w:r w:rsidRPr="00C5352A">
        <w:rPr>
          <w:color w:val="000000" w:themeColor="text1"/>
        </w:rPr>
        <w:t xml:space="preserve">unless </w:t>
      </w:r>
      <w:r w:rsidR="005C660B" w:rsidRPr="00C5352A">
        <w:rPr>
          <w:color w:val="000000" w:themeColor="text1"/>
        </w:rPr>
        <w:t>indicated</w:t>
      </w:r>
      <w:r w:rsidRPr="00C5352A">
        <w:rPr>
          <w:color w:val="000000" w:themeColor="text1"/>
        </w:rPr>
        <w:t xml:space="preserve"> </w:t>
      </w:r>
      <w:r w:rsidRPr="00FF4079">
        <w:t>otherwise.</w:t>
      </w:r>
    </w:p>
    <w:p w14:paraId="64997E25" w14:textId="77777777" w:rsidR="006F4DEE" w:rsidRPr="00FF4079" w:rsidRDefault="006F4DEE" w:rsidP="006F4DEE">
      <w:pPr>
        <w:pStyle w:val="PI-Bullets"/>
        <w:numPr>
          <w:ilvl w:val="0"/>
          <w:numId w:val="22"/>
        </w:numPr>
      </w:pPr>
      <w:r w:rsidRPr="00FF4079">
        <w:t xml:space="preserve">The extractable amount of </w:t>
      </w:r>
      <w:proofErr w:type="spellStart"/>
      <w:r w:rsidRPr="00FF4079">
        <w:t>blinatumomab</w:t>
      </w:r>
      <w:proofErr w:type="spellEnd"/>
      <w:r w:rsidRPr="00FF4079">
        <w:t xml:space="preserve"> per vial is 35</w:t>
      </w:r>
      <w:r w:rsidR="0085498A">
        <w:t> </w:t>
      </w:r>
      <w:r w:rsidRPr="00FF4079">
        <w:t>micrograms in a volume of 2.8</w:t>
      </w:r>
      <w:r w:rsidR="0085498A">
        <w:t> </w:t>
      </w:r>
      <w:r w:rsidRPr="00FF4079">
        <w:t>mL reconstituted solution.</w:t>
      </w:r>
    </w:p>
    <w:p w14:paraId="6F89438E" w14:textId="19AF7949" w:rsidR="006F4DEE" w:rsidRPr="00FF4079" w:rsidRDefault="006F4DEE" w:rsidP="006F4DEE">
      <w:pPr>
        <w:pStyle w:val="PI-Bullets"/>
        <w:numPr>
          <w:ilvl w:val="0"/>
          <w:numId w:val="22"/>
        </w:numPr>
      </w:pPr>
      <w:r w:rsidRPr="00FF4079">
        <w:t xml:space="preserve">The IV </w:t>
      </w:r>
      <w:r w:rsidR="00C5352A">
        <w:t>s</w:t>
      </w:r>
      <w:r w:rsidR="00DD02DC" w:rsidRPr="00FF4079">
        <w:t xml:space="preserve">olution </w:t>
      </w:r>
      <w:r w:rsidR="00C5352A">
        <w:t>st</w:t>
      </w:r>
      <w:r w:rsidR="00DD02DC" w:rsidRPr="00FF4079">
        <w:t xml:space="preserve">abiliser </w:t>
      </w:r>
      <w:r w:rsidRPr="00FF4079">
        <w:t>is to be added to the IV bag containing 0.9% </w:t>
      </w:r>
      <w:r w:rsidR="00C5352A">
        <w:rPr>
          <w:color w:val="000000" w:themeColor="text1"/>
        </w:rPr>
        <w:t>so</w:t>
      </w:r>
      <w:r w:rsidR="00DD02DC" w:rsidRPr="00C112C2">
        <w:rPr>
          <w:color w:val="000000" w:themeColor="text1"/>
        </w:rPr>
        <w:t>dium</w:t>
      </w:r>
      <w:r w:rsidR="00DD02DC" w:rsidRPr="00C112C2">
        <w:t xml:space="preserve"> </w:t>
      </w:r>
      <w:r w:rsidR="00C5352A">
        <w:t>ch</w:t>
      </w:r>
      <w:r w:rsidR="00DD02DC" w:rsidRPr="00C112C2">
        <w:rPr>
          <w:color w:val="000000" w:themeColor="text1"/>
        </w:rPr>
        <w:t>loride</w:t>
      </w:r>
      <w:r w:rsidR="00DD02DC" w:rsidRPr="00C112C2">
        <w:t xml:space="preserve"> </w:t>
      </w:r>
      <w:r w:rsidRPr="00FF4079">
        <w:t>prior to addition</w:t>
      </w:r>
      <w:r w:rsidRPr="00FF4079">
        <w:rPr>
          <w:b/>
        </w:rPr>
        <w:t xml:space="preserve"> </w:t>
      </w:r>
      <w:r w:rsidRPr="00FF4079">
        <w:t xml:space="preserve">of reconstituted </w:t>
      </w:r>
      <w:proofErr w:type="spellStart"/>
      <w:r w:rsidRPr="00FF4079">
        <w:t>Blincyto</w:t>
      </w:r>
      <w:proofErr w:type="spellEnd"/>
      <w:r w:rsidRPr="00FF4079">
        <w:t xml:space="preserve"> to prevent adhesion of </w:t>
      </w:r>
      <w:proofErr w:type="spellStart"/>
      <w:r w:rsidRPr="00FF4079">
        <w:t>Blincyto</w:t>
      </w:r>
      <w:proofErr w:type="spellEnd"/>
      <w:r w:rsidRPr="00FF4079">
        <w:t xml:space="preserve"> to IV bags and IV lines.</w:t>
      </w:r>
    </w:p>
    <w:p w14:paraId="7FF190EC" w14:textId="77777777" w:rsidR="006F4DEE" w:rsidRPr="00275A11" w:rsidRDefault="006F4DEE" w:rsidP="006F4DEE">
      <w:pPr>
        <w:pStyle w:val="PI-Bullets"/>
        <w:numPr>
          <w:ilvl w:val="0"/>
          <w:numId w:val="21"/>
        </w:numPr>
      </w:pPr>
      <w:r w:rsidRPr="00275A11">
        <w:t xml:space="preserve">The following supplies which are also required, but </w:t>
      </w:r>
      <w:r w:rsidRPr="004752C6">
        <w:t>not</w:t>
      </w:r>
      <w:r w:rsidRPr="00275A11">
        <w:t xml:space="preserve"> included in the package:</w:t>
      </w:r>
    </w:p>
    <w:p w14:paraId="7151B521" w14:textId="77777777" w:rsidR="006F4DEE" w:rsidRPr="00275A11" w:rsidRDefault="006F4DEE" w:rsidP="006F4DEE">
      <w:pPr>
        <w:pStyle w:val="PI-Bullets"/>
        <w:numPr>
          <w:ilvl w:val="0"/>
          <w:numId w:val="22"/>
        </w:numPr>
      </w:pPr>
      <w:r w:rsidRPr="00275A11">
        <w:t>Sterile single-use disposable syringes</w:t>
      </w:r>
    </w:p>
    <w:p w14:paraId="669E9584" w14:textId="77777777" w:rsidR="006F4DEE" w:rsidRPr="00275A11" w:rsidRDefault="006F4DEE" w:rsidP="006F4DEE">
      <w:pPr>
        <w:pStyle w:val="PI-Bullets"/>
        <w:numPr>
          <w:ilvl w:val="0"/>
          <w:numId w:val="22"/>
        </w:numPr>
      </w:pPr>
      <w:r w:rsidRPr="00275A11">
        <w:t>21 to 23</w:t>
      </w:r>
      <w:r w:rsidR="0085498A">
        <w:t> </w:t>
      </w:r>
      <w:r w:rsidRPr="00275A11">
        <w:t>gauge needle(s) (recommended)</w:t>
      </w:r>
    </w:p>
    <w:p w14:paraId="6CDAE3C2" w14:textId="77777777" w:rsidR="006F4DEE" w:rsidRPr="00275A11" w:rsidRDefault="006F4DEE" w:rsidP="006F4DEE">
      <w:pPr>
        <w:pStyle w:val="PI-Bullets"/>
        <w:numPr>
          <w:ilvl w:val="0"/>
          <w:numId w:val="22"/>
        </w:numPr>
      </w:pPr>
      <w:r w:rsidRPr="00275A11">
        <w:t>Preservative-free sterile Water for Injections</w:t>
      </w:r>
    </w:p>
    <w:p w14:paraId="24607E84" w14:textId="77777777" w:rsidR="006F4DEE" w:rsidRDefault="006F4DEE" w:rsidP="006F4DEE">
      <w:pPr>
        <w:pStyle w:val="PI-Bullets"/>
        <w:numPr>
          <w:ilvl w:val="0"/>
          <w:numId w:val="22"/>
        </w:numPr>
      </w:pPr>
      <w:r w:rsidRPr="00275A11">
        <w:t>250</w:t>
      </w:r>
      <w:r w:rsidR="0085498A">
        <w:t> </w:t>
      </w:r>
      <w:r w:rsidRPr="00275A11">
        <w:t>mL 0.9% sodium chloride IV bag OR a 250</w:t>
      </w:r>
      <w:r w:rsidR="0085498A">
        <w:t> </w:t>
      </w:r>
      <w:r w:rsidRPr="00275A11">
        <w:t>mL cassette</w:t>
      </w:r>
    </w:p>
    <w:p w14:paraId="24E25D4E" w14:textId="77777777" w:rsidR="006F4DEE" w:rsidRPr="00275A11" w:rsidRDefault="006F4DEE" w:rsidP="006F4DEE">
      <w:pPr>
        <w:pStyle w:val="PI-Bullets"/>
        <w:numPr>
          <w:ilvl w:val="1"/>
          <w:numId w:val="22"/>
        </w:numPr>
      </w:pPr>
      <w:r w:rsidRPr="00275A11">
        <w:rPr>
          <w:bCs/>
        </w:rPr>
        <w:t>If using IV bags, to minimise the number of aseptic transfers, it is recommended to use a 250</w:t>
      </w:r>
      <w:r w:rsidR="0085498A">
        <w:rPr>
          <w:bCs/>
        </w:rPr>
        <w:t> </w:t>
      </w:r>
      <w:r w:rsidRPr="00275A11">
        <w:rPr>
          <w:bCs/>
        </w:rPr>
        <w:t>mL-prefilled IV bag. 250</w:t>
      </w:r>
      <w:r w:rsidR="0085498A">
        <w:rPr>
          <w:bCs/>
        </w:rPr>
        <w:t> </w:t>
      </w:r>
      <w:r w:rsidRPr="00275A11">
        <w:rPr>
          <w:bCs/>
        </w:rPr>
        <w:t>mL prefilled IV bags typically contain overfill with a total volume of 265 to 275</w:t>
      </w:r>
      <w:r w:rsidR="0085498A">
        <w:rPr>
          <w:bCs/>
        </w:rPr>
        <w:t> </w:t>
      </w:r>
      <w:proofErr w:type="spellStart"/>
      <w:r w:rsidRPr="00275A11">
        <w:rPr>
          <w:bCs/>
        </w:rPr>
        <w:t>mL.</w:t>
      </w:r>
      <w:proofErr w:type="spellEnd"/>
      <w:r w:rsidR="0085498A">
        <w:rPr>
          <w:bCs/>
        </w:rPr>
        <w:t xml:space="preserve"> </w:t>
      </w:r>
      <w:r w:rsidRPr="00275A11">
        <w:rPr>
          <w:bCs/>
        </w:rPr>
        <w:t xml:space="preserve"> </w:t>
      </w:r>
      <w:proofErr w:type="spellStart"/>
      <w:r w:rsidRPr="00275A11">
        <w:rPr>
          <w:bCs/>
        </w:rPr>
        <w:t>Blincyto</w:t>
      </w:r>
      <w:proofErr w:type="spellEnd"/>
      <w:r w:rsidRPr="00275A11">
        <w:rPr>
          <w:bCs/>
        </w:rPr>
        <w:t xml:space="preserve"> dose </w:t>
      </w:r>
      <w:r w:rsidRPr="00275A11">
        <w:rPr>
          <w:bCs/>
        </w:rPr>
        <w:lastRenderedPageBreak/>
        <w:t>calculations are based on a starting volume of 265</w:t>
      </w:r>
      <w:r w:rsidR="0085498A">
        <w:rPr>
          <w:bCs/>
        </w:rPr>
        <w:t> </w:t>
      </w:r>
      <w:r w:rsidRPr="00275A11">
        <w:rPr>
          <w:bCs/>
        </w:rPr>
        <w:t>mL to 275</w:t>
      </w:r>
      <w:r w:rsidR="0085498A">
        <w:rPr>
          <w:bCs/>
        </w:rPr>
        <w:t> </w:t>
      </w:r>
      <w:r w:rsidRPr="00275A11">
        <w:rPr>
          <w:bCs/>
        </w:rPr>
        <w:t>mL 0.9% sodium chloride.</w:t>
      </w:r>
    </w:p>
    <w:p w14:paraId="1B223A87" w14:textId="77777777" w:rsidR="006F4DEE" w:rsidRPr="00275A11" w:rsidRDefault="006F4DEE" w:rsidP="006F4DEE">
      <w:pPr>
        <w:pStyle w:val="PI-Bullets"/>
        <w:numPr>
          <w:ilvl w:val="1"/>
          <w:numId w:val="22"/>
        </w:numPr>
      </w:pPr>
      <w:r w:rsidRPr="00275A11">
        <w:rPr>
          <w:bCs/>
        </w:rPr>
        <w:t>Use only polyolefin, PVC non-di-</w:t>
      </w:r>
      <w:proofErr w:type="spellStart"/>
      <w:r w:rsidRPr="00275A11">
        <w:rPr>
          <w:bCs/>
        </w:rPr>
        <w:t>ethylhexylphthalate</w:t>
      </w:r>
      <w:proofErr w:type="spellEnd"/>
      <w:r w:rsidRPr="00275A11">
        <w:rPr>
          <w:bCs/>
        </w:rPr>
        <w:t xml:space="preserve"> (non-DEHP), or ethyl vinyl acetate (EVA) infusion bags/pump cassettes.</w:t>
      </w:r>
    </w:p>
    <w:p w14:paraId="0B2C0192" w14:textId="77777777" w:rsidR="006F4DEE" w:rsidRPr="00275A11" w:rsidRDefault="006F4DEE" w:rsidP="006F4DEE">
      <w:pPr>
        <w:pStyle w:val="PI-Bullets"/>
        <w:numPr>
          <w:ilvl w:val="0"/>
          <w:numId w:val="22"/>
        </w:numPr>
      </w:pPr>
      <w:r w:rsidRPr="00275A11">
        <w:t>Polyolefin, PVC non-DEHP, or EVA IV tubing with a sterile, non-pyrogenic, low protein-binding 0.2</w:t>
      </w:r>
      <w:r w:rsidR="0085498A">
        <w:t> </w:t>
      </w:r>
      <w:r w:rsidRPr="00275A11">
        <w:t>micron in-line filter</w:t>
      </w:r>
    </w:p>
    <w:p w14:paraId="3244FE2E" w14:textId="77777777" w:rsidR="006F4DEE" w:rsidRDefault="006F4DEE" w:rsidP="006F4DEE">
      <w:pPr>
        <w:pStyle w:val="PI-Bullets"/>
        <w:numPr>
          <w:ilvl w:val="0"/>
          <w:numId w:val="22"/>
        </w:numPr>
      </w:pPr>
      <w:r w:rsidRPr="00275A11">
        <w:t>Ensure that the IV tubing is compatible with the infusion pump</w:t>
      </w:r>
    </w:p>
    <w:p w14:paraId="1BD7F0C5" w14:textId="77777777" w:rsidR="00C9791F" w:rsidRDefault="00C9791F" w:rsidP="00C9791F">
      <w:pPr>
        <w:pStyle w:val="PI-Bullets"/>
        <w:numPr>
          <w:ilvl w:val="0"/>
          <w:numId w:val="0"/>
        </w:numPr>
        <w:ind w:left="360" w:hanging="360"/>
        <w:rPr>
          <w:lang w:val="en-GB"/>
        </w:rPr>
      </w:pPr>
    </w:p>
    <w:p w14:paraId="463C8909" w14:textId="77777777" w:rsidR="00C9791F" w:rsidRPr="00FF4079" w:rsidRDefault="00C9791F" w:rsidP="00C9791F">
      <w:pPr>
        <w:pStyle w:val="PI-Text"/>
      </w:pPr>
      <w:r w:rsidRPr="00FF4079">
        <w:t>Clearly label the prepared IV infusion bag or cassette with the dose, infusion rate and duration of infusion.</w:t>
      </w:r>
    </w:p>
    <w:p w14:paraId="1B620573" w14:textId="5CF55416" w:rsidR="006F4DEE" w:rsidRDefault="006F4DEE" w:rsidP="0085498A">
      <w:pPr>
        <w:pStyle w:val="Heading4"/>
      </w:pPr>
      <w:r w:rsidRPr="004752C6">
        <w:t xml:space="preserve">Reconstitution of </w:t>
      </w:r>
      <w:proofErr w:type="spellStart"/>
      <w:r w:rsidRPr="004752C6">
        <w:t>Blincyto</w:t>
      </w:r>
      <w:proofErr w:type="spellEnd"/>
      <w:r w:rsidRPr="004752C6">
        <w:t xml:space="preserve"> and Preparation of </w:t>
      </w:r>
      <w:proofErr w:type="spellStart"/>
      <w:r w:rsidRPr="004752C6">
        <w:t>Blincyto</w:t>
      </w:r>
      <w:proofErr w:type="spellEnd"/>
      <w:r w:rsidRPr="004752C6">
        <w:t xml:space="preserve"> Solution for Infusion </w:t>
      </w:r>
      <w:r w:rsidR="00C5352A">
        <w:t>U</w:t>
      </w:r>
      <w:r w:rsidRPr="004752C6">
        <w:t>sing a Prefilled 250</w:t>
      </w:r>
      <w:r w:rsidR="007627A5">
        <w:t> </w:t>
      </w:r>
      <w:r w:rsidRPr="004752C6">
        <w:t>mL 0.9% Sodium Chloride IV Infusion Bag</w:t>
      </w:r>
    </w:p>
    <w:p w14:paraId="1A77C4D4" w14:textId="77777777" w:rsidR="00C9791F" w:rsidRPr="00FF4079" w:rsidRDefault="00C9791F" w:rsidP="0085498A">
      <w:pPr>
        <w:pStyle w:val="Heading5"/>
      </w:pPr>
      <w:r w:rsidRPr="00FF4079">
        <w:t>Change of IV bag</w:t>
      </w:r>
    </w:p>
    <w:p w14:paraId="7FC6A765" w14:textId="77777777" w:rsidR="00C9791F" w:rsidRPr="00FF4079" w:rsidRDefault="00C9791F" w:rsidP="002535D8">
      <w:pPr>
        <w:pStyle w:val="PI-Text"/>
      </w:pPr>
      <w:r w:rsidRPr="00FF4079">
        <w:t>The IV bag must be changed at least every 24</w:t>
      </w:r>
      <w:r w:rsidR="0085498A">
        <w:t> </w:t>
      </w:r>
      <w:r w:rsidRPr="00FF4079">
        <w:t>to 96 hours by a healthcare professional for sterility reasons.</w:t>
      </w:r>
    </w:p>
    <w:p w14:paraId="0310B83E" w14:textId="5D9816DE" w:rsidR="00C9791F" w:rsidRPr="00FF4079" w:rsidRDefault="00C9791F" w:rsidP="00C9791F">
      <w:pPr>
        <w:pStyle w:val="PI-Bullets"/>
        <w:rPr>
          <w:i/>
          <w:iCs/>
        </w:rPr>
      </w:pPr>
      <w:r w:rsidRPr="00FF4079">
        <w:t xml:space="preserve">Administer </w:t>
      </w:r>
      <w:proofErr w:type="spellStart"/>
      <w:r w:rsidRPr="00FF4079">
        <w:t>Blincyto</w:t>
      </w:r>
      <w:proofErr w:type="spellEnd"/>
      <w:r w:rsidRPr="00FF4079">
        <w:t xml:space="preserve"> as a continuous intravenous infusion at a constant flow rate using an infusion pump.</w:t>
      </w:r>
      <w:r w:rsidR="00D72196">
        <w:t xml:space="preserve"> </w:t>
      </w:r>
      <w:r w:rsidRPr="00FF4079">
        <w:t xml:space="preserve"> The pump should be programmable, lockable, non-elastomeric, and have an alarm.</w:t>
      </w:r>
    </w:p>
    <w:p w14:paraId="3378E164" w14:textId="77777777" w:rsidR="00C9791F" w:rsidRPr="00FF4079" w:rsidRDefault="00C9791F" w:rsidP="00C9791F">
      <w:pPr>
        <w:pStyle w:val="PI-Bullets"/>
      </w:pPr>
      <w:r w:rsidRPr="00FF4079">
        <w:t>P</w:t>
      </w:r>
      <w:r w:rsidR="0085498A">
        <w:t xml:space="preserve">repared </w:t>
      </w:r>
      <w:proofErr w:type="spellStart"/>
      <w:r w:rsidR="0085498A">
        <w:t>Blincyto</w:t>
      </w:r>
      <w:proofErr w:type="spellEnd"/>
      <w:r w:rsidR="0085498A">
        <w:t xml:space="preserve"> infusion bags </w:t>
      </w:r>
      <w:r w:rsidRPr="00FF4079">
        <w:t>should be infused over 24 hours, 48 hours, 72</w:t>
      </w:r>
      <w:r w:rsidR="0085498A">
        <w:t> </w:t>
      </w:r>
      <w:r w:rsidRPr="00FF4079">
        <w:t>hours, or 96</w:t>
      </w:r>
      <w:r w:rsidR="0085498A">
        <w:t> </w:t>
      </w:r>
      <w:r w:rsidRPr="00FF4079">
        <w:t>hours.  The choice of the infusion duration should be made by the treating physician considering the frequency of the infusion bag changes.</w:t>
      </w:r>
    </w:p>
    <w:p w14:paraId="3F6B7C04" w14:textId="77777777" w:rsidR="00C9791F" w:rsidRPr="00FF4079" w:rsidRDefault="00C9791F" w:rsidP="00C9791F">
      <w:pPr>
        <w:pStyle w:val="PI-Bullets"/>
      </w:pPr>
      <w:r w:rsidRPr="00FF4079">
        <w:t>The starting volume (265-275</w:t>
      </w:r>
      <w:r w:rsidR="0085498A">
        <w:t> </w:t>
      </w:r>
      <w:r w:rsidRPr="00FF4079">
        <w:t>mL) is more than the volume administered to the patient (240</w:t>
      </w:r>
      <w:r w:rsidR="0085498A">
        <w:t> </w:t>
      </w:r>
      <w:r w:rsidRPr="00FF4079">
        <w:t xml:space="preserve">mL) to account for the priming of the IV tubing and to ensure that the patient will receive the full dose of </w:t>
      </w:r>
      <w:proofErr w:type="spellStart"/>
      <w:r w:rsidRPr="00FF4079">
        <w:t>Blincyto</w:t>
      </w:r>
      <w:proofErr w:type="spellEnd"/>
      <w:r w:rsidRPr="00FF4079">
        <w:t>.</w:t>
      </w:r>
    </w:p>
    <w:p w14:paraId="19818943" w14:textId="77777777" w:rsidR="00C9791F" w:rsidRDefault="00C9791F" w:rsidP="00C9791F">
      <w:pPr>
        <w:pStyle w:val="PI-Bullets"/>
      </w:pPr>
      <w:r w:rsidRPr="00FF4079">
        <w:t xml:space="preserve">Infuse </w:t>
      </w:r>
      <w:proofErr w:type="spellStart"/>
      <w:r w:rsidRPr="00FF4079">
        <w:t>Blincyto</w:t>
      </w:r>
      <w:proofErr w:type="spellEnd"/>
      <w:r w:rsidRPr="00FF4079">
        <w:t xml:space="preserve"> solution according to the instructions on the pharmacy label on the prepared bag at one of the following constant infusion rates:</w:t>
      </w:r>
    </w:p>
    <w:p w14:paraId="197B80B8" w14:textId="77777777" w:rsidR="00C9791F" w:rsidRDefault="00C9791F" w:rsidP="00C9791F">
      <w:pPr>
        <w:pStyle w:val="PI-Bullets"/>
        <w:numPr>
          <w:ilvl w:val="1"/>
          <w:numId w:val="11"/>
        </w:numPr>
      </w:pPr>
      <w:r w:rsidRPr="00FF4079">
        <w:t>Infusion rate of 10</w:t>
      </w:r>
      <w:r w:rsidR="0085498A">
        <w:t> </w:t>
      </w:r>
      <w:r w:rsidRPr="00FF4079">
        <w:t>mL/h for a duration of 24</w:t>
      </w:r>
      <w:r w:rsidR="0085498A">
        <w:t> </w:t>
      </w:r>
      <w:r w:rsidRPr="00FF4079">
        <w:t>hours</w:t>
      </w:r>
    </w:p>
    <w:p w14:paraId="3205E138" w14:textId="77777777" w:rsidR="00C9791F" w:rsidRDefault="00C9791F" w:rsidP="00C9791F">
      <w:pPr>
        <w:pStyle w:val="PI-Bullets"/>
        <w:numPr>
          <w:ilvl w:val="1"/>
          <w:numId w:val="11"/>
        </w:numPr>
      </w:pPr>
      <w:r w:rsidRPr="00FF4079">
        <w:t>Infusion rate of 5</w:t>
      </w:r>
      <w:r w:rsidR="0085498A">
        <w:t> </w:t>
      </w:r>
      <w:r w:rsidRPr="00FF4079">
        <w:t>mL/h for a duration of 48</w:t>
      </w:r>
      <w:r w:rsidR="0085498A">
        <w:t> </w:t>
      </w:r>
      <w:r w:rsidRPr="00FF4079">
        <w:t>hours</w:t>
      </w:r>
    </w:p>
    <w:p w14:paraId="269DFB09" w14:textId="77777777" w:rsidR="00C9791F" w:rsidRDefault="00C9791F" w:rsidP="00C9791F">
      <w:pPr>
        <w:pStyle w:val="PI-Bullets"/>
        <w:numPr>
          <w:ilvl w:val="1"/>
          <w:numId w:val="11"/>
        </w:numPr>
      </w:pPr>
      <w:r w:rsidRPr="00FF4079">
        <w:t>Infusion rate of 3.3</w:t>
      </w:r>
      <w:r w:rsidR="0085498A">
        <w:t> </w:t>
      </w:r>
      <w:r w:rsidRPr="00FF4079">
        <w:t>mL/h for a duration of 72</w:t>
      </w:r>
      <w:r w:rsidR="0085498A">
        <w:t> </w:t>
      </w:r>
      <w:r w:rsidRPr="00FF4079">
        <w:t>hours</w:t>
      </w:r>
    </w:p>
    <w:p w14:paraId="15B44C02" w14:textId="77777777" w:rsidR="00C9791F" w:rsidRPr="00275A11" w:rsidRDefault="00C9791F" w:rsidP="00C9791F">
      <w:pPr>
        <w:pStyle w:val="PI-Bullets"/>
        <w:numPr>
          <w:ilvl w:val="1"/>
          <w:numId w:val="11"/>
        </w:numPr>
      </w:pPr>
      <w:r w:rsidRPr="00FF4079">
        <w:t>Infusion rate of 2.5</w:t>
      </w:r>
      <w:r w:rsidR="0085498A">
        <w:t> </w:t>
      </w:r>
      <w:r w:rsidRPr="00FF4079">
        <w:t>mL/h for a duration of 96</w:t>
      </w:r>
      <w:r w:rsidR="0085498A">
        <w:t> </w:t>
      </w:r>
      <w:r w:rsidRPr="00FF4079">
        <w:t>hours</w:t>
      </w:r>
    </w:p>
    <w:p w14:paraId="40D4A3FF" w14:textId="77777777" w:rsidR="00C9791F" w:rsidRPr="00FF4079" w:rsidRDefault="00C9791F" w:rsidP="00C9791F">
      <w:pPr>
        <w:pStyle w:val="PI-Bullets"/>
      </w:pPr>
      <w:r w:rsidRPr="00FF4079">
        <w:t xml:space="preserve">The </w:t>
      </w:r>
      <w:proofErr w:type="spellStart"/>
      <w:r w:rsidRPr="00FF4079">
        <w:t>Blincyto</w:t>
      </w:r>
      <w:proofErr w:type="spellEnd"/>
      <w:r w:rsidRPr="00FF4079">
        <w:t xml:space="preserve"> solution for infusion must be administered using IV tubing that contains a sterile, non-pyrogenic, low protein-binding 0.2 micron in-line filter.</w:t>
      </w:r>
    </w:p>
    <w:p w14:paraId="38A43B1D" w14:textId="77777777" w:rsidR="00C9791F" w:rsidRPr="00275A11" w:rsidRDefault="00C9791F" w:rsidP="00C9791F">
      <w:pPr>
        <w:pStyle w:val="PI-Text"/>
        <w:rPr>
          <w:b/>
          <w:bCs/>
        </w:rPr>
      </w:pPr>
      <w:r w:rsidRPr="00275A11">
        <w:rPr>
          <w:b/>
          <w:bCs/>
        </w:rPr>
        <w:t xml:space="preserve">Important Note: Do not flush the </w:t>
      </w:r>
      <w:proofErr w:type="spellStart"/>
      <w:r w:rsidRPr="00275A11">
        <w:rPr>
          <w:b/>
          <w:bCs/>
        </w:rPr>
        <w:t>Blincyto</w:t>
      </w:r>
      <w:proofErr w:type="spellEnd"/>
      <w:r w:rsidRPr="00275A11">
        <w:rPr>
          <w:b/>
          <w:bCs/>
        </w:rPr>
        <w:t xml:space="preserve"> IV catheter, especially when changing infusion bags.  Flushing when changing bags or at completion of infusion can result in excess dosage and complications thereof.  </w:t>
      </w:r>
      <w:proofErr w:type="spellStart"/>
      <w:r w:rsidRPr="00275A11">
        <w:rPr>
          <w:b/>
          <w:bCs/>
        </w:rPr>
        <w:t>Blincyto</w:t>
      </w:r>
      <w:proofErr w:type="spellEnd"/>
      <w:r w:rsidRPr="00275A11">
        <w:rPr>
          <w:b/>
          <w:bCs/>
        </w:rPr>
        <w:t xml:space="preserve"> should be infused through a dedicated lumen.</w:t>
      </w:r>
    </w:p>
    <w:p w14:paraId="0F7C9A56" w14:textId="77777777" w:rsidR="006F4DEE" w:rsidRPr="004752C6" w:rsidRDefault="006F4DEE" w:rsidP="0085498A">
      <w:pPr>
        <w:pStyle w:val="Heading5"/>
      </w:pPr>
      <w:r w:rsidRPr="004752C6">
        <w:t xml:space="preserve">Reconstitution of </w:t>
      </w:r>
      <w:proofErr w:type="spellStart"/>
      <w:r w:rsidRPr="004752C6">
        <w:t>Blincyto</w:t>
      </w:r>
      <w:proofErr w:type="spellEnd"/>
    </w:p>
    <w:p w14:paraId="3A397DB4" w14:textId="3C31801D" w:rsidR="006F4DEE" w:rsidRPr="00275A11" w:rsidRDefault="006F4DEE" w:rsidP="006F4DEE">
      <w:pPr>
        <w:pStyle w:val="PI-Bullets"/>
        <w:numPr>
          <w:ilvl w:val="0"/>
          <w:numId w:val="23"/>
        </w:numPr>
      </w:pPr>
      <w:r w:rsidRPr="00275A11">
        <w:t>Add 3</w:t>
      </w:r>
      <w:r w:rsidR="0085498A">
        <w:t> </w:t>
      </w:r>
      <w:r w:rsidRPr="00275A11">
        <w:t xml:space="preserve">mL of preservative-free </w:t>
      </w:r>
      <w:r w:rsidR="00C5352A" w:rsidRPr="00C5352A">
        <w:t>s</w:t>
      </w:r>
      <w:r w:rsidR="00DD02DC" w:rsidRPr="00C5352A">
        <w:rPr>
          <w:color w:val="000000" w:themeColor="text1"/>
        </w:rPr>
        <w:t>terile</w:t>
      </w:r>
      <w:r w:rsidR="00DD02DC" w:rsidRPr="00C5352A">
        <w:t xml:space="preserve"> Water for Injection</w:t>
      </w:r>
      <w:r w:rsidR="00C5352A" w:rsidRPr="00C5352A">
        <w:t>s</w:t>
      </w:r>
      <w:r w:rsidR="00DD02DC" w:rsidRPr="00275A11">
        <w:t xml:space="preserve"> </w:t>
      </w:r>
      <w:r w:rsidRPr="00275A11">
        <w:t xml:space="preserve">by directing the water along the walls of the </w:t>
      </w:r>
      <w:proofErr w:type="spellStart"/>
      <w:r w:rsidRPr="00275A11">
        <w:t>Blincyto</w:t>
      </w:r>
      <w:proofErr w:type="spellEnd"/>
      <w:r w:rsidRPr="00275A11">
        <w:t xml:space="preserve"> vial and not directly on the lyophilised powder (resulting in a final </w:t>
      </w:r>
      <w:proofErr w:type="spellStart"/>
      <w:r w:rsidRPr="00275A11">
        <w:t>Blincyto</w:t>
      </w:r>
      <w:proofErr w:type="spellEnd"/>
      <w:r w:rsidRPr="00275A11">
        <w:t xml:space="preserve"> concentration of 12.5 micrograms/mL)</w:t>
      </w:r>
    </w:p>
    <w:p w14:paraId="4A983F87" w14:textId="2FE74A0C" w:rsidR="006F4DEE" w:rsidRPr="00B375F4" w:rsidRDefault="006F4DEE" w:rsidP="006F4DEE">
      <w:pPr>
        <w:pStyle w:val="PI-Bullets"/>
        <w:numPr>
          <w:ilvl w:val="0"/>
          <w:numId w:val="22"/>
        </w:numPr>
      </w:pPr>
      <w:r w:rsidRPr="00FF4079">
        <w:t xml:space="preserve">Do </w:t>
      </w:r>
      <w:r w:rsidRPr="00B375F4">
        <w:t>not</w:t>
      </w:r>
      <w:r w:rsidRPr="00FF4079">
        <w:t xml:space="preserve"> reconstitute </w:t>
      </w:r>
      <w:proofErr w:type="spellStart"/>
      <w:r w:rsidRPr="00FF4079">
        <w:t>Blincyto</w:t>
      </w:r>
      <w:proofErr w:type="spellEnd"/>
      <w:r w:rsidRPr="00FF4079">
        <w:t xml:space="preserve"> with IV </w:t>
      </w:r>
      <w:r w:rsidR="00C5352A">
        <w:t>s</w:t>
      </w:r>
      <w:r w:rsidR="00DD02DC" w:rsidRPr="00FF4079">
        <w:t xml:space="preserve">olution </w:t>
      </w:r>
      <w:r w:rsidR="00C5352A">
        <w:t>s</w:t>
      </w:r>
      <w:r w:rsidR="00DD02DC" w:rsidRPr="00FF4079">
        <w:t>tabiliser</w:t>
      </w:r>
      <w:r w:rsidRPr="00FF4079">
        <w:t xml:space="preserve">.  </w:t>
      </w:r>
    </w:p>
    <w:p w14:paraId="4DC9EF6A" w14:textId="77777777" w:rsidR="006F4DEE" w:rsidRPr="00B375F4" w:rsidRDefault="006F4DEE" w:rsidP="006F4DEE">
      <w:pPr>
        <w:pStyle w:val="PI-Bullets"/>
        <w:numPr>
          <w:ilvl w:val="0"/>
          <w:numId w:val="23"/>
        </w:numPr>
      </w:pPr>
      <w:r w:rsidRPr="00FF4079">
        <w:lastRenderedPageBreak/>
        <w:t xml:space="preserve">Gently swirl contents to avoid excess foaming.  </w:t>
      </w:r>
      <w:r w:rsidRPr="00B375F4">
        <w:rPr>
          <w:b/>
        </w:rPr>
        <w:t>Do not shake.</w:t>
      </w:r>
    </w:p>
    <w:p w14:paraId="56F29963" w14:textId="51F9CA6D" w:rsidR="006F4DEE" w:rsidRPr="00B375F4" w:rsidRDefault="006F4DEE" w:rsidP="006F4DEE">
      <w:pPr>
        <w:pStyle w:val="PI-Bullets"/>
        <w:numPr>
          <w:ilvl w:val="0"/>
          <w:numId w:val="23"/>
        </w:numPr>
      </w:pPr>
      <w:r w:rsidRPr="00FF4079">
        <w:t>Visually inspect the reconstituted solution for particulate matter and discolo</w:t>
      </w:r>
      <w:r w:rsidR="00165369">
        <w:t>u</w:t>
      </w:r>
      <w:r w:rsidRPr="00FF4079">
        <w:t>ration during reconstitution and prior to infusion.  The resulting solution should be clear to slightly opalescent, colo</w:t>
      </w:r>
      <w:r w:rsidR="00165369">
        <w:t>u</w:t>
      </w:r>
      <w:r w:rsidRPr="00FF4079">
        <w:t xml:space="preserve">rless to slightly yellow.  </w:t>
      </w:r>
      <w:r w:rsidRPr="00B375F4">
        <w:rPr>
          <w:b/>
        </w:rPr>
        <w:t xml:space="preserve">Do not use </w:t>
      </w:r>
      <w:r w:rsidRPr="00B375F4" w:rsidDel="0001278F">
        <w:rPr>
          <w:b/>
        </w:rPr>
        <w:t xml:space="preserve">if </w:t>
      </w:r>
      <w:r w:rsidRPr="00B375F4">
        <w:rPr>
          <w:b/>
        </w:rPr>
        <w:t>solution is cloudy or has precipitated</w:t>
      </w:r>
      <w:r w:rsidRPr="00B375F4">
        <w:t>.</w:t>
      </w:r>
      <w:r w:rsidRPr="00FF4079">
        <w:t xml:space="preserve">  </w:t>
      </w:r>
    </w:p>
    <w:p w14:paraId="33F349AD" w14:textId="77777777" w:rsidR="006F4DEE" w:rsidRPr="004752C6" w:rsidRDefault="006F4DEE" w:rsidP="0085498A">
      <w:pPr>
        <w:pStyle w:val="Heading5"/>
      </w:pPr>
      <w:r w:rsidRPr="004752C6">
        <w:t xml:space="preserve">Preparation of </w:t>
      </w:r>
      <w:proofErr w:type="spellStart"/>
      <w:r w:rsidRPr="004752C6">
        <w:t>Blincyto</w:t>
      </w:r>
      <w:proofErr w:type="spellEnd"/>
      <w:r w:rsidRPr="004752C6">
        <w:t xml:space="preserve"> Infusion Bag</w:t>
      </w:r>
    </w:p>
    <w:p w14:paraId="175E3C1B" w14:textId="77777777" w:rsidR="006F4DEE" w:rsidRPr="004C4D30" w:rsidRDefault="006F4DEE" w:rsidP="002535D8">
      <w:pPr>
        <w:pStyle w:val="PI-TableText"/>
        <w:rPr>
          <w:sz w:val="22"/>
        </w:rPr>
      </w:pPr>
      <w:r w:rsidRPr="004C4D30">
        <w:rPr>
          <w:sz w:val="22"/>
        </w:rPr>
        <w:t xml:space="preserve">Verify the prescribed dose and infusion duration for each </w:t>
      </w:r>
      <w:proofErr w:type="spellStart"/>
      <w:r w:rsidRPr="004C4D30">
        <w:rPr>
          <w:sz w:val="22"/>
        </w:rPr>
        <w:t>Blincyto</w:t>
      </w:r>
      <w:proofErr w:type="spellEnd"/>
      <w:r w:rsidRPr="004C4D30">
        <w:rPr>
          <w:sz w:val="22"/>
        </w:rPr>
        <w:t xml:space="preserve"> infusion bag.  To minimise errors, </w:t>
      </w:r>
      <w:r w:rsidRPr="004C4D30">
        <w:rPr>
          <w:b/>
          <w:sz w:val="22"/>
        </w:rPr>
        <w:t>use the specific volumes described in Tables</w:t>
      </w:r>
      <w:r w:rsidR="0085498A">
        <w:rPr>
          <w:b/>
          <w:sz w:val="22"/>
        </w:rPr>
        <w:t> 3 to 5</w:t>
      </w:r>
      <w:r w:rsidRPr="004C4D30">
        <w:rPr>
          <w:b/>
          <w:sz w:val="22"/>
        </w:rPr>
        <w:t xml:space="preserve"> to prepare the </w:t>
      </w:r>
      <w:proofErr w:type="spellStart"/>
      <w:r w:rsidRPr="004C4D30">
        <w:rPr>
          <w:b/>
          <w:sz w:val="22"/>
        </w:rPr>
        <w:t>Blincyto</w:t>
      </w:r>
      <w:proofErr w:type="spellEnd"/>
      <w:r w:rsidRPr="004C4D30">
        <w:rPr>
          <w:b/>
          <w:sz w:val="22"/>
        </w:rPr>
        <w:t xml:space="preserve"> infusion bag.</w:t>
      </w:r>
      <w:r w:rsidRPr="004C4D30">
        <w:rPr>
          <w:sz w:val="22"/>
        </w:rPr>
        <w:t xml:space="preserve">  </w:t>
      </w:r>
    </w:p>
    <w:p w14:paraId="15348B83" w14:textId="77777777" w:rsidR="006F4DEE" w:rsidRPr="00FF4079" w:rsidRDefault="006F4DEE" w:rsidP="006F4DEE">
      <w:pPr>
        <w:pStyle w:val="PI-Bullets"/>
      </w:pPr>
      <w:r w:rsidRPr="00FF4079">
        <w:t>Table </w:t>
      </w:r>
      <w:r w:rsidR="00B66439">
        <w:t>3</w:t>
      </w:r>
      <w:r w:rsidRPr="00FF4079">
        <w:t xml:space="preserve"> for patients weighing greater than or equal to</w:t>
      </w:r>
      <w:r w:rsidRPr="00FF4079">
        <w:rPr>
          <w:b/>
          <w:i/>
        </w:rPr>
        <w:t xml:space="preserve"> </w:t>
      </w:r>
      <w:r w:rsidRPr="00FF4079">
        <w:t xml:space="preserve">45 kg </w:t>
      </w:r>
    </w:p>
    <w:p w14:paraId="1BD8E0CE" w14:textId="77777777" w:rsidR="006F4DEE" w:rsidRDefault="006F4DEE" w:rsidP="006F4DEE">
      <w:pPr>
        <w:pStyle w:val="PI-Bullets"/>
      </w:pPr>
      <w:r w:rsidRPr="00FF4079">
        <w:t>Tables </w:t>
      </w:r>
      <w:r w:rsidR="00B66439">
        <w:t>4</w:t>
      </w:r>
      <w:r w:rsidRPr="00FF4079">
        <w:t xml:space="preserve"> and </w:t>
      </w:r>
      <w:r w:rsidR="00B66439">
        <w:t>5</w:t>
      </w:r>
      <w:r w:rsidRPr="00FF4079">
        <w:t xml:space="preserve"> for patients weighing less than 45 kg </w:t>
      </w:r>
    </w:p>
    <w:p w14:paraId="6A350BDC" w14:textId="77777777" w:rsidR="006F4DEE" w:rsidRPr="00FF4079" w:rsidRDefault="006F4DEE" w:rsidP="006F4DEE">
      <w:pPr>
        <w:pStyle w:val="PI-Bullets"/>
        <w:numPr>
          <w:ilvl w:val="0"/>
          <w:numId w:val="0"/>
        </w:numPr>
        <w:ind w:left="360"/>
      </w:pPr>
    </w:p>
    <w:p w14:paraId="1014ECA3" w14:textId="484A7B2F" w:rsidR="006F4DEE" w:rsidRPr="00FF4079" w:rsidRDefault="006F4DEE" w:rsidP="006F4DEE">
      <w:pPr>
        <w:pStyle w:val="PI-Bullets"/>
        <w:numPr>
          <w:ilvl w:val="0"/>
          <w:numId w:val="24"/>
        </w:numPr>
        <w:rPr>
          <w:i/>
        </w:rPr>
      </w:pPr>
      <w:r w:rsidRPr="00FF4079">
        <w:t>Use a prefilled 250</w:t>
      </w:r>
      <w:r w:rsidR="00B66439">
        <w:t> </w:t>
      </w:r>
      <w:r w:rsidRPr="00FF4079">
        <w:t xml:space="preserve">mL 0.9% </w:t>
      </w:r>
      <w:r w:rsidR="00C5352A">
        <w:t>s</w:t>
      </w:r>
      <w:r w:rsidRPr="00FF4079">
        <w:t xml:space="preserve">odium chloride IV bag. </w:t>
      </w:r>
      <w:r w:rsidR="00B66439">
        <w:t xml:space="preserve"> </w:t>
      </w:r>
      <w:r w:rsidRPr="00FF4079">
        <w:t>250</w:t>
      </w:r>
      <w:r w:rsidR="00B66439">
        <w:t> </w:t>
      </w:r>
      <w:r w:rsidRPr="00FF4079">
        <w:t>mL-prefilled bags typically contain overfill to a total volume of 265 to 275</w:t>
      </w:r>
      <w:r w:rsidR="00B66439">
        <w:t> </w:t>
      </w:r>
      <w:proofErr w:type="spellStart"/>
      <w:r w:rsidRPr="00FF4079">
        <w:t>mL.</w:t>
      </w:r>
      <w:proofErr w:type="spellEnd"/>
      <w:r w:rsidR="00B66439">
        <w:t xml:space="preserve"> </w:t>
      </w:r>
      <w:r w:rsidRPr="00FF4079">
        <w:t xml:space="preserve"> If necessary adjust the IV bag volume by adding or removing 0.9% sodium chloride to achieve a starting volume between 265 and 275</w:t>
      </w:r>
      <w:r w:rsidR="00B66439">
        <w:t> </w:t>
      </w:r>
      <w:proofErr w:type="spellStart"/>
      <w:r w:rsidRPr="00FF4079">
        <w:t>mL.</w:t>
      </w:r>
      <w:proofErr w:type="spellEnd"/>
    </w:p>
    <w:p w14:paraId="0DC6EA68" w14:textId="77777777" w:rsidR="006F4DEE" w:rsidRPr="00B375F4" w:rsidRDefault="006F4DEE" w:rsidP="006F4DEE">
      <w:pPr>
        <w:pStyle w:val="PI-Bullets"/>
        <w:numPr>
          <w:ilvl w:val="0"/>
          <w:numId w:val="22"/>
        </w:numPr>
      </w:pPr>
      <w:r w:rsidRPr="00B375F4">
        <w:t>Use only polyolefin, PVC DEHP-free, or EVA IV bags</w:t>
      </w:r>
    </w:p>
    <w:p w14:paraId="231B4C4F" w14:textId="390E66CC" w:rsidR="006F4DEE" w:rsidRPr="00FF4079" w:rsidRDefault="006F4DEE" w:rsidP="006F4DEE">
      <w:pPr>
        <w:pStyle w:val="PI-Bullets"/>
        <w:numPr>
          <w:ilvl w:val="0"/>
          <w:numId w:val="24"/>
        </w:numPr>
        <w:rPr>
          <w:i/>
        </w:rPr>
      </w:pPr>
      <w:r w:rsidRPr="00FF4079">
        <w:rPr>
          <w:b/>
        </w:rPr>
        <w:t>Aseptically transfer 5.5</w:t>
      </w:r>
      <w:r w:rsidR="00B66439">
        <w:rPr>
          <w:b/>
        </w:rPr>
        <w:t> </w:t>
      </w:r>
      <w:r w:rsidRPr="00FF4079">
        <w:rPr>
          <w:b/>
        </w:rPr>
        <w:t xml:space="preserve">mL IV </w:t>
      </w:r>
      <w:r w:rsidR="00C5352A">
        <w:rPr>
          <w:b/>
        </w:rPr>
        <w:t>s</w:t>
      </w:r>
      <w:r w:rsidR="00DD02DC" w:rsidRPr="00DD02DC">
        <w:rPr>
          <w:b/>
        </w:rPr>
        <w:t xml:space="preserve">olution </w:t>
      </w:r>
      <w:r w:rsidR="00C5352A">
        <w:rPr>
          <w:b/>
        </w:rPr>
        <w:t>s</w:t>
      </w:r>
      <w:r w:rsidR="00DD02DC" w:rsidRPr="00DD02DC">
        <w:rPr>
          <w:b/>
        </w:rPr>
        <w:t>tabiliser</w:t>
      </w:r>
      <w:r w:rsidR="00DD02DC" w:rsidRPr="00FF4079">
        <w:t xml:space="preserve"> </w:t>
      </w:r>
      <w:r w:rsidRPr="00FF4079">
        <w:rPr>
          <w:b/>
        </w:rPr>
        <w:t>to the IV bag containing 0.9% </w:t>
      </w:r>
      <w:r w:rsidR="00C5352A">
        <w:rPr>
          <w:b/>
        </w:rPr>
        <w:t>s</w:t>
      </w:r>
      <w:r w:rsidR="00DD02DC" w:rsidRPr="00DD02DC">
        <w:rPr>
          <w:b/>
          <w:color w:val="000000" w:themeColor="text1"/>
        </w:rPr>
        <w:t>odium</w:t>
      </w:r>
      <w:r w:rsidR="00DD02DC" w:rsidRPr="00DD02DC">
        <w:rPr>
          <w:b/>
        </w:rPr>
        <w:t xml:space="preserve"> </w:t>
      </w:r>
      <w:r w:rsidR="00C5352A">
        <w:rPr>
          <w:b/>
        </w:rPr>
        <w:t>c</w:t>
      </w:r>
      <w:r w:rsidR="00DD02DC" w:rsidRPr="00DD02DC">
        <w:rPr>
          <w:b/>
          <w:color w:val="000000" w:themeColor="text1"/>
        </w:rPr>
        <w:t>hloride</w:t>
      </w:r>
      <w:r w:rsidRPr="00FF4079">
        <w:t xml:space="preserve">.  Gently mix the contents of the bag to avoid foaming.  Discard the vial containing the unused IV </w:t>
      </w:r>
      <w:r w:rsidR="00C5352A">
        <w:t>s</w:t>
      </w:r>
      <w:r w:rsidRPr="00FF4079">
        <w:t xml:space="preserve">olution </w:t>
      </w:r>
      <w:r w:rsidR="00C5352A">
        <w:t>s</w:t>
      </w:r>
      <w:r w:rsidRPr="00FF4079">
        <w:t>tabiliser.</w:t>
      </w:r>
    </w:p>
    <w:p w14:paraId="694B32D6" w14:textId="4797E155" w:rsidR="006F4DEE" w:rsidRPr="00FF4079" w:rsidRDefault="006F4DEE" w:rsidP="006F4DEE">
      <w:pPr>
        <w:pStyle w:val="PI-Bullets"/>
        <w:numPr>
          <w:ilvl w:val="0"/>
          <w:numId w:val="24"/>
        </w:numPr>
        <w:rPr>
          <w:i/>
        </w:rPr>
      </w:pPr>
      <w:r w:rsidRPr="00FF4079">
        <w:rPr>
          <w:b/>
        </w:rPr>
        <w:t>Aseptically transfer</w:t>
      </w:r>
      <w:r w:rsidRPr="00FF4079">
        <w:t xml:space="preserve"> </w:t>
      </w:r>
      <w:r w:rsidRPr="00FF4079">
        <w:rPr>
          <w:b/>
        </w:rPr>
        <w:t>the specified volume of</w:t>
      </w:r>
      <w:r w:rsidRPr="00FF4079">
        <w:t xml:space="preserve"> </w:t>
      </w:r>
      <w:r w:rsidRPr="00FF4079">
        <w:rPr>
          <w:b/>
        </w:rPr>
        <w:t xml:space="preserve">reconstituted </w:t>
      </w:r>
      <w:proofErr w:type="spellStart"/>
      <w:r w:rsidRPr="00FF4079">
        <w:rPr>
          <w:b/>
        </w:rPr>
        <w:t>Blincyto</w:t>
      </w:r>
      <w:proofErr w:type="spellEnd"/>
      <w:r w:rsidRPr="00FF4079">
        <w:rPr>
          <w:b/>
        </w:rPr>
        <w:t xml:space="preserve"> (see Tables</w:t>
      </w:r>
      <w:r w:rsidR="00B66439">
        <w:rPr>
          <w:b/>
        </w:rPr>
        <w:t> 3</w:t>
      </w:r>
      <w:r w:rsidRPr="00FF4079">
        <w:rPr>
          <w:b/>
        </w:rPr>
        <w:t xml:space="preserve"> to </w:t>
      </w:r>
      <w:r w:rsidR="00B66439">
        <w:rPr>
          <w:b/>
        </w:rPr>
        <w:t>5</w:t>
      </w:r>
      <w:r w:rsidRPr="00FF4079">
        <w:rPr>
          <w:b/>
        </w:rPr>
        <w:t xml:space="preserve"> for the specific volume to be added) </w:t>
      </w:r>
      <w:r w:rsidRPr="00FF4079">
        <w:t>into the IV bag containing 0.9% </w:t>
      </w:r>
      <w:r w:rsidR="00C5352A">
        <w:t>so</w:t>
      </w:r>
      <w:r w:rsidR="00DD02DC" w:rsidRPr="00C112C2">
        <w:rPr>
          <w:color w:val="000000" w:themeColor="text1"/>
        </w:rPr>
        <w:t>dium</w:t>
      </w:r>
      <w:r w:rsidR="00DD02DC" w:rsidRPr="00C112C2">
        <w:t xml:space="preserve"> </w:t>
      </w:r>
      <w:r w:rsidR="00C5352A">
        <w:t>c</w:t>
      </w:r>
      <w:r w:rsidR="00DD02DC" w:rsidRPr="00C112C2">
        <w:rPr>
          <w:color w:val="000000" w:themeColor="text1"/>
        </w:rPr>
        <w:t>hloride</w:t>
      </w:r>
      <w:r w:rsidRPr="00FF4079">
        <w:t xml:space="preserve"> and IV </w:t>
      </w:r>
      <w:r w:rsidR="00C5352A">
        <w:t>s</w:t>
      </w:r>
      <w:r w:rsidR="00DD02DC" w:rsidRPr="00FF4079">
        <w:t xml:space="preserve">olution </w:t>
      </w:r>
      <w:r w:rsidR="00C5352A">
        <w:t>s</w:t>
      </w:r>
      <w:r w:rsidR="00DD02DC" w:rsidRPr="00FF4079">
        <w:t>tabiliser</w:t>
      </w:r>
      <w:r w:rsidRPr="00FF4079">
        <w:t xml:space="preserve">.  Gently mix the contents of the bag to avoid foaming.  </w:t>
      </w:r>
    </w:p>
    <w:p w14:paraId="04EA282B" w14:textId="77777777" w:rsidR="006F4DEE" w:rsidRPr="00FF4079" w:rsidRDefault="006F4DEE" w:rsidP="006F4DEE">
      <w:pPr>
        <w:pStyle w:val="PI-Bullets"/>
        <w:numPr>
          <w:ilvl w:val="0"/>
          <w:numId w:val="24"/>
        </w:numPr>
        <w:rPr>
          <w:i/>
        </w:rPr>
      </w:pPr>
      <w:r w:rsidRPr="00FF4079">
        <w:t>Under aseptic conditions, attach the IV tubing to the IV bag with the sterile 0.2</w:t>
      </w:r>
      <w:r w:rsidR="00B66439">
        <w:t> </w:t>
      </w:r>
      <w:r w:rsidRPr="00FF4079">
        <w:t xml:space="preserve">micron in-line filter.  </w:t>
      </w:r>
    </w:p>
    <w:p w14:paraId="2613A6BB" w14:textId="77777777" w:rsidR="006F4DEE" w:rsidRPr="00B375F4" w:rsidRDefault="006F4DEE" w:rsidP="006F4DEE">
      <w:pPr>
        <w:pStyle w:val="PI-Bullets"/>
        <w:numPr>
          <w:ilvl w:val="0"/>
          <w:numId w:val="22"/>
        </w:numPr>
      </w:pPr>
      <w:r w:rsidRPr="00B375F4">
        <w:t>Use only polyolefin, PVC DEHP-free, or EVA IV lines with a sterile, non-pyrogenic, low protein-binding 0.2</w:t>
      </w:r>
      <w:r w:rsidR="00B66439">
        <w:t> </w:t>
      </w:r>
      <w:r w:rsidRPr="00B375F4">
        <w:t>micron in-line filter</w:t>
      </w:r>
    </w:p>
    <w:p w14:paraId="5AF014BF" w14:textId="77777777" w:rsidR="006F4DEE" w:rsidRPr="00B375F4" w:rsidRDefault="006F4DEE" w:rsidP="006F4DEE">
      <w:pPr>
        <w:pStyle w:val="PI-Bullets"/>
        <w:numPr>
          <w:ilvl w:val="0"/>
          <w:numId w:val="22"/>
        </w:numPr>
      </w:pPr>
      <w:r w:rsidRPr="00B375F4">
        <w:t>Ensure that the IV tubing is compatible with the infusion pump</w:t>
      </w:r>
    </w:p>
    <w:p w14:paraId="4758C1CC" w14:textId="7776D38E" w:rsidR="006F4DEE" w:rsidRPr="00B66439" w:rsidRDefault="006F4DEE" w:rsidP="006F4DEE">
      <w:pPr>
        <w:pStyle w:val="PI-Bullets"/>
        <w:numPr>
          <w:ilvl w:val="0"/>
          <w:numId w:val="24"/>
        </w:numPr>
      </w:pPr>
      <w:r w:rsidRPr="00B375F4">
        <w:t xml:space="preserve">Remove air from the IV bag.  This is particularly important for use with an ambulatory infusion pump.  </w:t>
      </w:r>
      <w:bookmarkStart w:id="2" w:name="_Hlk475971240"/>
      <w:r w:rsidRPr="00B375F4">
        <w:rPr>
          <w:b/>
          <w:u w:val="single"/>
        </w:rPr>
        <w:t xml:space="preserve">Prime the IV tubing only </w:t>
      </w:r>
      <w:bookmarkEnd w:id="2"/>
      <w:r w:rsidRPr="00B375F4">
        <w:rPr>
          <w:b/>
          <w:u w:val="single"/>
        </w:rPr>
        <w:t>with the prepared solution for infusion</w:t>
      </w:r>
      <w:r w:rsidRPr="00B375F4">
        <w:rPr>
          <w:b/>
        </w:rPr>
        <w:t>.  Do not prime with 0.9% </w:t>
      </w:r>
      <w:r w:rsidR="00C5352A">
        <w:rPr>
          <w:b/>
        </w:rPr>
        <w:t>s</w:t>
      </w:r>
      <w:r w:rsidR="00DD02DC" w:rsidRPr="00DD02DC">
        <w:rPr>
          <w:b/>
          <w:color w:val="000000" w:themeColor="text1"/>
        </w:rPr>
        <w:t>odium</w:t>
      </w:r>
      <w:r w:rsidR="00DD02DC" w:rsidRPr="00DD02DC">
        <w:rPr>
          <w:b/>
        </w:rPr>
        <w:t xml:space="preserve"> </w:t>
      </w:r>
      <w:r w:rsidR="00C5352A">
        <w:rPr>
          <w:b/>
        </w:rPr>
        <w:t>c</w:t>
      </w:r>
      <w:r w:rsidR="00DD02DC" w:rsidRPr="00DD02DC">
        <w:rPr>
          <w:b/>
          <w:color w:val="000000" w:themeColor="text1"/>
        </w:rPr>
        <w:t>hloride</w:t>
      </w:r>
      <w:r w:rsidRPr="00B375F4">
        <w:rPr>
          <w:b/>
        </w:rPr>
        <w:t>.</w:t>
      </w:r>
    </w:p>
    <w:p w14:paraId="330F83DB" w14:textId="77777777" w:rsidR="006F4DEE" w:rsidRDefault="006F4DEE" w:rsidP="006F4DEE">
      <w:pPr>
        <w:pStyle w:val="PI-Bullets"/>
        <w:numPr>
          <w:ilvl w:val="0"/>
          <w:numId w:val="24"/>
        </w:numPr>
      </w:pPr>
      <w:r w:rsidRPr="00FF4079">
        <w:t xml:space="preserve">Store at 2°C to 8°C if not used immediately (see </w:t>
      </w:r>
      <w:r w:rsidR="00FA34EF">
        <w:t>Section</w:t>
      </w:r>
      <w:r w:rsidR="00B66439">
        <w:t> </w:t>
      </w:r>
      <w:r w:rsidR="00FA34EF">
        <w:t xml:space="preserve">6.4 </w:t>
      </w:r>
      <w:r w:rsidR="00006DE6">
        <w:t>Special Precautions for Storage</w:t>
      </w:r>
      <w:r w:rsidRPr="00FF4079">
        <w:t>).</w:t>
      </w:r>
    </w:p>
    <w:p w14:paraId="75422CBE" w14:textId="03B2463F" w:rsidR="00BB029B" w:rsidRDefault="00BB029B" w:rsidP="00BB029B">
      <w:pPr>
        <w:pStyle w:val="Caption"/>
      </w:pPr>
      <w:r w:rsidRPr="00BB029B">
        <w:lastRenderedPageBreak/>
        <w:t xml:space="preserve">Table 3.  For Patients Weighing Greater Than or Equal to 45 kg: Volumes of Reconstituted </w:t>
      </w:r>
      <w:proofErr w:type="spellStart"/>
      <w:r w:rsidRPr="00BB029B">
        <w:t>Blincyto</w:t>
      </w:r>
      <w:proofErr w:type="spellEnd"/>
      <w:r w:rsidRPr="00BB029B">
        <w:t xml:space="preserve"> to </w:t>
      </w:r>
      <w:r w:rsidR="00C5352A">
        <w:t>A</w:t>
      </w:r>
      <w:r w:rsidRPr="00BB029B">
        <w:t>dd to IV Bag</w:t>
      </w:r>
    </w:p>
    <w:tbl>
      <w:tblPr>
        <w:tblW w:w="8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32"/>
        <w:gridCol w:w="1992"/>
        <w:gridCol w:w="2548"/>
        <w:gridCol w:w="2131"/>
      </w:tblGrid>
      <w:tr w:rsidR="002535D8" w:rsidRPr="00FF4079" w14:paraId="63A51DAD" w14:textId="77777777" w:rsidTr="00F338DE">
        <w:trPr>
          <w:jc w:val="center"/>
        </w:trPr>
        <w:tc>
          <w:tcPr>
            <w:tcW w:w="2032" w:type="dxa"/>
            <w:tcBorders>
              <w:bottom w:val="single" w:sz="8" w:space="0" w:color="auto"/>
              <w:right w:val="nil"/>
            </w:tcBorders>
            <w:tcMar>
              <w:top w:w="0" w:type="dxa"/>
              <w:left w:w="108" w:type="dxa"/>
              <w:bottom w:w="0" w:type="dxa"/>
              <w:right w:w="108" w:type="dxa"/>
            </w:tcMar>
            <w:vAlign w:val="center"/>
            <w:hideMark/>
          </w:tcPr>
          <w:p w14:paraId="06BB5A1B" w14:textId="77777777" w:rsidR="002535D8" w:rsidRPr="000E339D" w:rsidRDefault="002535D8" w:rsidP="002535D8">
            <w:pPr>
              <w:keepNext/>
              <w:keepLines/>
              <w:widowControl w:val="0"/>
              <w:spacing w:before="60" w:after="60" w:line="120" w:lineRule="atLeast"/>
              <w:jc w:val="center"/>
              <w:rPr>
                <w:rFonts w:ascii="Arial" w:eastAsia="Calibri" w:hAnsi="Arial" w:cs="Arial"/>
                <w:b/>
                <w:bCs/>
                <w:color w:val="000000" w:themeColor="text1"/>
                <w:sz w:val="20"/>
              </w:rPr>
            </w:pPr>
            <w:r w:rsidRPr="000E339D">
              <w:rPr>
                <w:rFonts w:ascii="Arial" w:hAnsi="Arial" w:cs="Arial"/>
                <w:b/>
                <w:bCs/>
                <w:color w:val="000000" w:themeColor="text1"/>
                <w:sz w:val="20"/>
              </w:rPr>
              <w:t>Dose</w:t>
            </w:r>
          </w:p>
        </w:tc>
        <w:tc>
          <w:tcPr>
            <w:tcW w:w="1992" w:type="dxa"/>
            <w:tcBorders>
              <w:left w:val="nil"/>
              <w:bottom w:val="single" w:sz="8" w:space="0" w:color="auto"/>
              <w:right w:val="nil"/>
            </w:tcBorders>
            <w:tcMar>
              <w:top w:w="0" w:type="dxa"/>
              <w:left w:w="108" w:type="dxa"/>
              <w:bottom w:w="0" w:type="dxa"/>
              <w:right w:w="108" w:type="dxa"/>
            </w:tcMar>
            <w:vAlign w:val="center"/>
            <w:hideMark/>
          </w:tcPr>
          <w:p w14:paraId="5C7C72A2" w14:textId="77777777" w:rsidR="002535D8" w:rsidRPr="000E339D" w:rsidRDefault="002535D8" w:rsidP="002535D8">
            <w:pPr>
              <w:keepNext/>
              <w:keepLines/>
              <w:widowControl w:val="0"/>
              <w:spacing w:before="60" w:after="60" w:line="120" w:lineRule="atLeast"/>
              <w:jc w:val="center"/>
              <w:rPr>
                <w:rFonts w:ascii="Arial" w:eastAsia="Calibri" w:hAnsi="Arial" w:cs="Arial"/>
                <w:b/>
                <w:bCs/>
                <w:color w:val="000000" w:themeColor="text1"/>
                <w:sz w:val="20"/>
              </w:rPr>
            </w:pPr>
            <w:r w:rsidRPr="000E339D">
              <w:rPr>
                <w:rFonts w:ascii="Arial" w:hAnsi="Arial" w:cs="Arial"/>
                <w:b/>
                <w:bCs/>
                <w:color w:val="000000" w:themeColor="text1"/>
                <w:sz w:val="20"/>
              </w:rPr>
              <w:t>Infusion Duration</w:t>
            </w:r>
          </w:p>
        </w:tc>
        <w:tc>
          <w:tcPr>
            <w:tcW w:w="2548" w:type="dxa"/>
            <w:tcBorders>
              <w:left w:val="nil"/>
              <w:bottom w:val="single" w:sz="8" w:space="0" w:color="auto"/>
              <w:right w:val="nil"/>
            </w:tcBorders>
            <w:tcMar>
              <w:top w:w="0" w:type="dxa"/>
              <w:left w:w="108" w:type="dxa"/>
              <w:bottom w:w="0" w:type="dxa"/>
              <w:right w:w="108" w:type="dxa"/>
            </w:tcMar>
            <w:vAlign w:val="center"/>
            <w:hideMark/>
          </w:tcPr>
          <w:p w14:paraId="2D468CDD" w14:textId="77777777" w:rsidR="002535D8" w:rsidRPr="000E339D" w:rsidRDefault="002535D8" w:rsidP="002535D8">
            <w:pPr>
              <w:keepNext/>
              <w:keepLines/>
              <w:widowControl w:val="0"/>
              <w:spacing w:before="60" w:after="60" w:line="120" w:lineRule="atLeast"/>
              <w:jc w:val="center"/>
              <w:rPr>
                <w:rFonts w:ascii="Arial" w:eastAsia="Calibri" w:hAnsi="Arial" w:cs="Arial"/>
                <w:b/>
                <w:bCs/>
                <w:color w:val="000000" w:themeColor="text1"/>
                <w:sz w:val="20"/>
              </w:rPr>
            </w:pPr>
            <w:r w:rsidRPr="000E339D">
              <w:rPr>
                <w:rFonts w:ascii="Arial" w:hAnsi="Arial" w:cs="Arial"/>
                <w:b/>
                <w:bCs/>
                <w:color w:val="000000" w:themeColor="text1"/>
                <w:sz w:val="20"/>
              </w:rPr>
              <w:t>Infusion Rate</w:t>
            </w:r>
          </w:p>
        </w:tc>
        <w:tc>
          <w:tcPr>
            <w:tcW w:w="2131" w:type="dxa"/>
            <w:tcBorders>
              <w:left w:val="nil"/>
              <w:bottom w:val="single" w:sz="8" w:space="0" w:color="auto"/>
            </w:tcBorders>
            <w:tcMar>
              <w:top w:w="0" w:type="dxa"/>
              <w:left w:w="108" w:type="dxa"/>
              <w:bottom w:w="0" w:type="dxa"/>
              <w:right w:w="108" w:type="dxa"/>
            </w:tcMar>
            <w:vAlign w:val="center"/>
            <w:hideMark/>
          </w:tcPr>
          <w:p w14:paraId="0696D63A" w14:textId="77777777" w:rsidR="002535D8" w:rsidRPr="000E339D" w:rsidRDefault="002535D8" w:rsidP="002535D8">
            <w:pPr>
              <w:keepNext/>
              <w:keepLines/>
              <w:widowControl w:val="0"/>
              <w:spacing w:before="60" w:after="60" w:line="120" w:lineRule="atLeast"/>
              <w:jc w:val="center"/>
              <w:rPr>
                <w:rFonts w:ascii="Arial" w:eastAsia="Calibri" w:hAnsi="Arial" w:cs="Arial"/>
                <w:b/>
                <w:bCs/>
                <w:color w:val="000000" w:themeColor="text1"/>
                <w:sz w:val="20"/>
              </w:rPr>
            </w:pPr>
            <w:r w:rsidRPr="000E339D">
              <w:rPr>
                <w:rFonts w:ascii="Arial" w:hAnsi="Arial" w:cs="Arial"/>
                <w:b/>
                <w:bCs/>
                <w:color w:val="000000" w:themeColor="text1"/>
                <w:sz w:val="20"/>
              </w:rPr>
              <w:t xml:space="preserve">Reconstituted </w:t>
            </w:r>
            <w:r w:rsidRPr="000E339D">
              <w:rPr>
                <w:rFonts w:ascii="Arial" w:hAnsi="Arial" w:cs="Arial"/>
                <w:b/>
                <w:bCs/>
                <w:color w:val="000000" w:themeColor="text1"/>
                <w:sz w:val="20"/>
              </w:rPr>
              <w:br/>
            </w:r>
            <w:proofErr w:type="spellStart"/>
            <w:r w:rsidRPr="000E339D">
              <w:rPr>
                <w:rFonts w:ascii="Arial" w:hAnsi="Arial" w:cs="Arial"/>
                <w:b/>
                <w:bCs/>
                <w:color w:val="000000" w:themeColor="text1"/>
                <w:sz w:val="20"/>
              </w:rPr>
              <w:t>Blincyto</w:t>
            </w:r>
            <w:proofErr w:type="spellEnd"/>
          </w:p>
        </w:tc>
      </w:tr>
      <w:tr w:rsidR="002535D8" w:rsidRPr="00FF4079" w14:paraId="07CFA3A5" w14:textId="77777777" w:rsidTr="00F338DE">
        <w:trPr>
          <w:jc w:val="center"/>
        </w:trPr>
        <w:tc>
          <w:tcPr>
            <w:tcW w:w="2032" w:type="dxa"/>
            <w:vMerge w:val="restart"/>
            <w:tcBorders>
              <w:right w:val="nil"/>
            </w:tcBorders>
            <w:tcMar>
              <w:top w:w="0" w:type="dxa"/>
              <w:left w:w="108" w:type="dxa"/>
              <w:bottom w:w="0" w:type="dxa"/>
              <w:right w:w="108" w:type="dxa"/>
            </w:tcMar>
            <w:vAlign w:val="center"/>
            <w:hideMark/>
          </w:tcPr>
          <w:p w14:paraId="50704EF0"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9</w:t>
            </w:r>
            <w:r>
              <w:rPr>
                <w:rFonts w:ascii="Arial" w:hAnsi="Arial" w:cs="Arial"/>
                <w:sz w:val="20"/>
              </w:rPr>
              <w:t> </w:t>
            </w:r>
            <w:r w:rsidRPr="00B375F4">
              <w:rPr>
                <w:rFonts w:ascii="Arial" w:hAnsi="Arial" w:cs="Arial"/>
                <w:sz w:val="20"/>
              </w:rPr>
              <w:t xml:space="preserve">micrograms/day </w:t>
            </w:r>
          </w:p>
        </w:tc>
        <w:tc>
          <w:tcPr>
            <w:tcW w:w="1992" w:type="dxa"/>
            <w:tcBorders>
              <w:left w:val="nil"/>
              <w:bottom w:val="nil"/>
              <w:right w:val="nil"/>
            </w:tcBorders>
            <w:tcMar>
              <w:top w:w="0" w:type="dxa"/>
              <w:left w:w="108" w:type="dxa"/>
              <w:bottom w:w="0" w:type="dxa"/>
              <w:right w:w="108" w:type="dxa"/>
            </w:tcMar>
            <w:vAlign w:val="center"/>
            <w:hideMark/>
          </w:tcPr>
          <w:p w14:paraId="7F9125E6"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24</w:t>
            </w:r>
            <w:r>
              <w:rPr>
                <w:rFonts w:ascii="Arial" w:hAnsi="Arial" w:cs="Arial"/>
                <w:sz w:val="20"/>
              </w:rPr>
              <w:t> </w:t>
            </w:r>
            <w:r w:rsidRPr="00B375F4">
              <w:rPr>
                <w:rFonts w:ascii="Arial" w:hAnsi="Arial" w:cs="Arial"/>
                <w:sz w:val="20"/>
              </w:rPr>
              <w:t>hours</w:t>
            </w:r>
          </w:p>
        </w:tc>
        <w:tc>
          <w:tcPr>
            <w:tcW w:w="2548" w:type="dxa"/>
            <w:tcBorders>
              <w:left w:val="nil"/>
              <w:bottom w:val="nil"/>
              <w:right w:val="nil"/>
            </w:tcBorders>
            <w:tcMar>
              <w:top w:w="0" w:type="dxa"/>
              <w:left w:w="108" w:type="dxa"/>
              <w:bottom w:w="0" w:type="dxa"/>
              <w:right w:w="108" w:type="dxa"/>
            </w:tcMar>
            <w:vAlign w:val="center"/>
            <w:hideMark/>
          </w:tcPr>
          <w:p w14:paraId="7E67EB27"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10</w:t>
            </w:r>
            <w:r>
              <w:rPr>
                <w:rFonts w:ascii="Arial" w:hAnsi="Arial" w:cs="Arial"/>
                <w:sz w:val="20"/>
              </w:rPr>
              <w:t> </w:t>
            </w:r>
            <w:r w:rsidRPr="00B375F4">
              <w:rPr>
                <w:rFonts w:ascii="Arial" w:hAnsi="Arial" w:cs="Arial"/>
                <w:bCs/>
                <w:sz w:val="20"/>
              </w:rPr>
              <w:t>mL/hour</w:t>
            </w:r>
          </w:p>
        </w:tc>
        <w:tc>
          <w:tcPr>
            <w:tcW w:w="2131" w:type="dxa"/>
            <w:tcBorders>
              <w:left w:val="nil"/>
              <w:bottom w:val="nil"/>
            </w:tcBorders>
            <w:tcMar>
              <w:top w:w="0" w:type="dxa"/>
              <w:left w:w="108" w:type="dxa"/>
              <w:bottom w:w="0" w:type="dxa"/>
              <w:right w:w="108" w:type="dxa"/>
            </w:tcMar>
            <w:vAlign w:val="center"/>
            <w:hideMark/>
          </w:tcPr>
          <w:p w14:paraId="73B52815"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0.83</w:t>
            </w:r>
            <w:r>
              <w:rPr>
                <w:rFonts w:ascii="Arial" w:hAnsi="Arial" w:cs="Arial"/>
                <w:bCs/>
                <w:sz w:val="20"/>
              </w:rPr>
              <w:t> </w:t>
            </w:r>
            <w:r w:rsidRPr="00B375F4">
              <w:rPr>
                <w:rFonts w:ascii="Arial" w:hAnsi="Arial" w:cs="Arial"/>
                <w:bCs/>
                <w:sz w:val="20"/>
              </w:rPr>
              <w:t>mL</w:t>
            </w:r>
          </w:p>
        </w:tc>
      </w:tr>
      <w:tr w:rsidR="002535D8" w:rsidRPr="00FF4079" w14:paraId="685B9B49" w14:textId="77777777" w:rsidTr="00F338DE">
        <w:trPr>
          <w:jc w:val="center"/>
        </w:trPr>
        <w:tc>
          <w:tcPr>
            <w:tcW w:w="2032" w:type="dxa"/>
            <w:vMerge/>
            <w:tcBorders>
              <w:right w:val="nil"/>
            </w:tcBorders>
            <w:vAlign w:val="center"/>
            <w:hideMark/>
          </w:tcPr>
          <w:p w14:paraId="43C5A7B7"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bottom w:val="nil"/>
              <w:right w:val="nil"/>
            </w:tcBorders>
            <w:tcMar>
              <w:top w:w="0" w:type="dxa"/>
              <w:left w:w="108" w:type="dxa"/>
              <w:bottom w:w="0" w:type="dxa"/>
              <w:right w:w="108" w:type="dxa"/>
            </w:tcMar>
            <w:vAlign w:val="center"/>
            <w:hideMark/>
          </w:tcPr>
          <w:p w14:paraId="10BFE8DB"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48</w:t>
            </w:r>
            <w:r>
              <w:rPr>
                <w:rFonts w:ascii="Arial" w:hAnsi="Arial" w:cs="Arial"/>
                <w:sz w:val="20"/>
              </w:rPr>
              <w:t> </w:t>
            </w:r>
            <w:r w:rsidRPr="00B375F4">
              <w:rPr>
                <w:rFonts w:ascii="Arial" w:hAnsi="Arial" w:cs="Arial"/>
                <w:sz w:val="20"/>
              </w:rPr>
              <w:t>hours</w:t>
            </w:r>
          </w:p>
        </w:tc>
        <w:tc>
          <w:tcPr>
            <w:tcW w:w="2548" w:type="dxa"/>
            <w:tcBorders>
              <w:top w:val="nil"/>
              <w:left w:val="nil"/>
              <w:bottom w:val="nil"/>
              <w:right w:val="nil"/>
            </w:tcBorders>
            <w:tcMar>
              <w:top w:w="0" w:type="dxa"/>
              <w:left w:w="108" w:type="dxa"/>
              <w:bottom w:w="0" w:type="dxa"/>
              <w:right w:w="108" w:type="dxa"/>
            </w:tcMar>
            <w:vAlign w:val="center"/>
            <w:hideMark/>
          </w:tcPr>
          <w:p w14:paraId="2D54D714"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5</w:t>
            </w:r>
            <w:r>
              <w:rPr>
                <w:rFonts w:ascii="Arial" w:hAnsi="Arial" w:cs="Arial"/>
                <w:bCs/>
                <w:sz w:val="20"/>
              </w:rPr>
              <w:t> </w:t>
            </w:r>
            <w:r w:rsidRPr="00B375F4">
              <w:rPr>
                <w:rFonts w:ascii="Arial" w:hAnsi="Arial" w:cs="Arial"/>
                <w:bCs/>
                <w:sz w:val="20"/>
              </w:rPr>
              <w:t>mL/hour</w:t>
            </w:r>
          </w:p>
        </w:tc>
        <w:tc>
          <w:tcPr>
            <w:tcW w:w="2131" w:type="dxa"/>
            <w:tcBorders>
              <w:top w:val="nil"/>
              <w:left w:val="nil"/>
              <w:bottom w:val="nil"/>
            </w:tcBorders>
            <w:tcMar>
              <w:top w:w="0" w:type="dxa"/>
              <w:left w:w="108" w:type="dxa"/>
              <w:bottom w:w="0" w:type="dxa"/>
              <w:right w:w="108" w:type="dxa"/>
            </w:tcMar>
            <w:vAlign w:val="center"/>
            <w:hideMark/>
          </w:tcPr>
          <w:p w14:paraId="2ACBD29D"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1.7</w:t>
            </w:r>
            <w:r>
              <w:rPr>
                <w:rFonts w:ascii="Arial" w:hAnsi="Arial" w:cs="Arial"/>
                <w:bCs/>
                <w:sz w:val="20"/>
              </w:rPr>
              <w:t> </w:t>
            </w:r>
            <w:r w:rsidRPr="00B375F4">
              <w:rPr>
                <w:rFonts w:ascii="Arial" w:hAnsi="Arial" w:cs="Arial"/>
                <w:bCs/>
                <w:sz w:val="20"/>
              </w:rPr>
              <w:t>mL</w:t>
            </w:r>
          </w:p>
        </w:tc>
      </w:tr>
      <w:tr w:rsidR="002535D8" w:rsidRPr="00FF4079" w14:paraId="7CDF49D6" w14:textId="77777777" w:rsidTr="00F338DE">
        <w:trPr>
          <w:jc w:val="center"/>
        </w:trPr>
        <w:tc>
          <w:tcPr>
            <w:tcW w:w="2032" w:type="dxa"/>
            <w:vMerge/>
            <w:tcBorders>
              <w:right w:val="nil"/>
            </w:tcBorders>
            <w:vAlign w:val="center"/>
          </w:tcPr>
          <w:p w14:paraId="1D613FF3"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bottom w:val="nil"/>
              <w:right w:val="nil"/>
            </w:tcBorders>
            <w:tcMar>
              <w:top w:w="0" w:type="dxa"/>
              <w:left w:w="108" w:type="dxa"/>
              <w:bottom w:w="0" w:type="dxa"/>
              <w:right w:w="108" w:type="dxa"/>
            </w:tcMar>
            <w:vAlign w:val="center"/>
          </w:tcPr>
          <w:p w14:paraId="36DF0D7E"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72</w:t>
            </w:r>
            <w:r>
              <w:rPr>
                <w:rFonts w:ascii="Arial" w:hAnsi="Arial" w:cs="Arial"/>
                <w:sz w:val="20"/>
              </w:rPr>
              <w:t> </w:t>
            </w:r>
            <w:r w:rsidRPr="00B375F4">
              <w:rPr>
                <w:rFonts w:ascii="Arial" w:hAnsi="Arial" w:cs="Arial"/>
                <w:sz w:val="20"/>
              </w:rPr>
              <w:t>hours</w:t>
            </w:r>
          </w:p>
        </w:tc>
        <w:tc>
          <w:tcPr>
            <w:tcW w:w="2548" w:type="dxa"/>
            <w:tcBorders>
              <w:top w:val="nil"/>
              <w:left w:val="nil"/>
              <w:bottom w:val="nil"/>
              <w:right w:val="nil"/>
            </w:tcBorders>
            <w:tcMar>
              <w:top w:w="0" w:type="dxa"/>
              <w:left w:w="108" w:type="dxa"/>
              <w:bottom w:w="0" w:type="dxa"/>
              <w:right w:w="108" w:type="dxa"/>
            </w:tcMar>
            <w:vAlign w:val="center"/>
          </w:tcPr>
          <w:p w14:paraId="261567CD"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3.3</w:t>
            </w:r>
            <w:r>
              <w:rPr>
                <w:rFonts w:ascii="Arial" w:hAnsi="Arial" w:cs="Arial"/>
                <w:sz w:val="20"/>
              </w:rPr>
              <w:t> </w:t>
            </w:r>
            <w:r w:rsidRPr="00B375F4">
              <w:rPr>
                <w:rFonts w:ascii="Arial" w:hAnsi="Arial" w:cs="Arial"/>
                <w:sz w:val="20"/>
              </w:rPr>
              <w:t>mL/hour</w:t>
            </w:r>
          </w:p>
        </w:tc>
        <w:tc>
          <w:tcPr>
            <w:tcW w:w="2131" w:type="dxa"/>
            <w:tcBorders>
              <w:top w:val="nil"/>
              <w:left w:val="nil"/>
              <w:bottom w:val="nil"/>
            </w:tcBorders>
            <w:tcMar>
              <w:top w:w="0" w:type="dxa"/>
              <w:left w:w="108" w:type="dxa"/>
              <w:bottom w:w="0" w:type="dxa"/>
              <w:right w:w="108" w:type="dxa"/>
            </w:tcMar>
            <w:vAlign w:val="center"/>
          </w:tcPr>
          <w:p w14:paraId="1E3BF2D3"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2.5</w:t>
            </w:r>
            <w:r>
              <w:rPr>
                <w:rFonts w:ascii="Arial" w:hAnsi="Arial" w:cs="Arial"/>
                <w:sz w:val="20"/>
              </w:rPr>
              <w:t> </w:t>
            </w:r>
            <w:r w:rsidRPr="00B375F4">
              <w:rPr>
                <w:rFonts w:ascii="Arial" w:hAnsi="Arial" w:cs="Arial"/>
                <w:sz w:val="20"/>
              </w:rPr>
              <w:t>mL</w:t>
            </w:r>
          </w:p>
        </w:tc>
      </w:tr>
      <w:tr w:rsidR="002535D8" w:rsidRPr="00FF4079" w14:paraId="6C02FFA2" w14:textId="77777777" w:rsidTr="00F338DE">
        <w:trPr>
          <w:jc w:val="center"/>
        </w:trPr>
        <w:tc>
          <w:tcPr>
            <w:tcW w:w="2032" w:type="dxa"/>
            <w:vMerge/>
            <w:tcBorders>
              <w:right w:val="nil"/>
            </w:tcBorders>
            <w:vAlign w:val="center"/>
          </w:tcPr>
          <w:p w14:paraId="1D2097FF"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bottom w:val="single" w:sz="8" w:space="0" w:color="auto"/>
              <w:right w:val="nil"/>
            </w:tcBorders>
            <w:tcMar>
              <w:top w:w="0" w:type="dxa"/>
              <w:left w:w="108" w:type="dxa"/>
              <w:bottom w:w="0" w:type="dxa"/>
              <w:right w:w="108" w:type="dxa"/>
            </w:tcMar>
            <w:vAlign w:val="center"/>
          </w:tcPr>
          <w:p w14:paraId="0673D1DB"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96</w:t>
            </w:r>
            <w:r>
              <w:rPr>
                <w:rFonts w:ascii="Arial" w:hAnsi="Arial" w:cs="Arial"/>
                <w:sz w:val="20"/>
              </w:rPr>
              <w:t> </w:t>
            </w:r>
            <w:r w:rsidRPr="00B375F4">
              <w:rPr>
                <w:rFonts w:ascii="Arial" w:hAnsi="Arial" w:cs="Arial"/>
                <w:sz w:val="20"/>
              </w:rPr>
              <w:t>hours</w:t>
            </w:r>
          </w:p>
        </w:tc>
        <w:tc>
          <w:tcPr>
            <w:tcW w:w="2548" w:type="dxa"/>
            <w:tcBorders>
              <w:top w:val="nil"/>
              <w:left w:val="nil"/>
              <w:bottom w:val="single" w:sz="8" w:space="0" w:color="auto"/>
              <w:right w:val="nil"/>
            </w:tcBorders>
            <w:tcMar>
              <w:top w:w="0" w:type="dxa"/>
              <w:left w:w="108" w:type="dxa"/>
              <w:bottom w:w="0" w:type="dxa"/>
              <w:right w:w="108" w:type="dxa"/>
            </w:tcMar>
            <w:vAlign w:val="center"/>
          </w:tcPr>
          <w:p w14:paraId="24466539"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2.5</w:t>
            </w:r>
            <w:r>
              <w:rPr>
                <w:rFonts w:ascii="Arial" w:hAnsi="Arial" w:cs="Arial"/>
                <w:sz w:val="20"/>
              </w:rPr>
              <w:t> </w:t>
            </w:r>
            <w:r w:rsidRPr="00B375F4">
              <w:rPr>
                <w:rFonts w:ascii="Arial" w:hAnsi="Arial" w:cs="Arial"/>
                <w:sz w:val="20"/>
              </w:rPr>
              <w:t>mL/hour</w:t>
            </w:r>
          </w:p>
        </w:tc>
        <w:tc>
          <w:tcPr>
            <w:tcW w:w="2131" w:type="dxa"/>
            <w:tcBorders>
              <w:top w:val="nil"/>
              <w:left w:val="nil"/>
              <w:bottom w:val="single" w:sz="8" w:space="0" w:color="auto"/>
            </w:tcBorders>
            <w:tcMar>
              <w:top w:w="0" w:type="dxa"/>
              <w:left w:w="108" w:type="dxa"/>
              <w:bottom w:w="0" w:type="dxa"/>
              <w:right w:w="108" w:type="dxa"/>
            </w:tcMar>
            <w:vAlign w:val="center"/>
          </w:tcPr>
          <w:p w14:paraId="3BA60B0F"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3.3</w:t>
            </w:r>
            <w:r>
              <w:rPr>
                <w:rFonts w:ascii="Arial" w:hAnsi="Arial" w:cs="Arial"/>
                <w:sz w:val="20"/>
              </w:rPr>
              <w:t> </w:t>
            </w:r>
            <w:proofErr w:type="spellStart"/>
            <w:r w:rsidRPr="00B375F4">
              <w:rPr>
                <w:rFonts w:ascii="Arial" w:hAnsi="Arial" w:cs="Arial"/>
                <w:sz w:val="20"/>
              </w:rPr>
              <w:t>mL</w:t>
            </w:r>
            <w:r w:rsidRPr="00B375F4">
              <w:rPr>
                <w:rFonts w:ascii="Arial" w:hAnsi="Arial" w:cs="Arial"/>
                <w:sz w:val="20"/>
                <w:vertAlign w:val="superscript"/>
              </w:rPr>
              <w:t>a</w:t>
            </w:r>
            <w:proofErr w:type="spellEnd"/>
          </w:p>
        </w:tc>
      </w:tr>
      <w:tr w:rsidR="002535D8" w:rsidRPr="00FF4079" w14:paraId="663C1D7F" w14:textId="77777777" w:rsidTr="00F338DE">
        <w:trPr>
          <w:jc w:val="center"/>
        </w:trPr>
        <w:tc>
          <w:tcPr>
            <w:tcW w:w="2032" w:type="dxa"/>
            <w:vMerge w:val="restart"/>
            <w:tcBorders>
              <w:right w:val="nil"/>
            </w:tcBorders>
            <w:tcMar>
              <w:top w:w="0" w:type="dxa"/>
              <w:left w:w="108" w:type="dxa"/>
              <w:bottom w:w="0" w:type="dxa"/>
              <w:right w:w="108" w:type="dxa"/>
            </w:tcMar>
            <w:vAlign w:val="center"/>
            <w:hideMark/>
          </w:tcPr>
          <w:p w14:paraId="4A15EB1A"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28</w:t>
            </w:r>
            <w:r>
              <w:rPr>
                <w:rFonts w:ascii="Arial" w:hAnsi="Arial" w:cs="Arial"/>
                <w:sz w:val="20"/>
              </w:rPr>
              <w:t> </w:t>
            </w:r>
            <w:r w:rsidRPr="00B375F4">
              <w:rPr>
                <w:rFonts w:ascii="Arial" w:hAnsi="Arial" w:cs="Arial"/>
                <w:sz w:val="20"/>
              </w:rPr>
              <w:t>micrograms/day</w:t>
            </w:r>
          </w:p>
        </w:tc>
        <w:tc>
          <w:tcPr>
            <w:tcW w:w="1992" w:type="dxa"/>
            <w:tcBorders>
              <w:left w:val="nil"/>
              <w:bottom w:val="nil"/>
              <w:right w:val="nil"/>
            </w:tcBorders>
            <w:tcMar>
              <w:top w:w="0" w:type="dxa"/>
              <w:left w:w="108" w:type="dxa"/>
              <w:bottom w:w="0" w:type="dxa"/>
              <w:right w:w="108" w:type="dxa"/>
            </w:tcMar>
            <w:vAlign w:val="center"/>
            <w:hideMark/>
          </w:tcPr>
          <w:p w14:paraId="45E92B06"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24</w:t>
            </w:r>
            <w:r>
              <w:rPr>
                <w:rFonts w:ascii="Arial" w:hAnsi="Arial" w:cs="Arial"/>
                <w:sz w:val="20"/>
              </w:rPr>
              <w:t> </w:t>
            </w:r>
            <w:r w:rsidRPr="00B375F4">
              <w:rPr>
                <w:rFonts w:ascii="Arial" w:hAnsi="Arial" w:cs="Arial"/>
                <w:sz w:val="20"/>
              </w:rPr>
              <w:t>hours</w:t>
            </w:r>
          </w:p>
        </w:tc>
        <w:tc>
          <w:tcPr>
            <w:tcW w:w="2548" w:type="dxa"/>
            <w:tcBorders>
              <w:left w:val="nil"/>
              <w:bottom w:val="nil"/>
              <w:right w:val="nil"/>
            </w:tcBorders>
            <w:tcMar>
              <w:top w:w="0" w:type="dxa"/>
              <w:left w:w="108" w:type="dxa"/>
              <w:bottom w:w="0" w:type="dxa"/>
              <w:right w:w="108" w:type="dxa"/>
            </w:tcMar>
            <w:vAlign w:val="center"/>
            <w:hideMark/>
          </w:tcPr>
          <w:p w14:paraId="1D245235"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10</w:t>
            </w:r>
            <w:r>
              <w:rPr>
                <w:rFonts w:ascii="Arial" w:hAnsi="Arial" w:cs="Arial"/>
                <w:sz w:val="20"/>
              </w:rPr>
              <w:t> </w:t>
            </w:r>
            <w:r w:rsidRPr="00B375F4">
              <w:rPr>
                <w:rFonts w:ascii="Arial" w:hAnsi="Arial" w:cs="Arial"/>
                <w:bCs/>
                <w:sz w:val="20"/>
              </w:rPr>
              <w:t>mL/hour</w:t>
            </w:r>
          </w:p>
        </w:tc>
        <w:tc>
          <w:tcPr>
            <w:tcW w:w="2131" w:type="dxa"/>
            <w:tcBorders>
              <w:left w:val="nil"/>
              <w:bottom w:val="nil"/>
            </w:tcBorders>
            <w:tcMar>
              <w:top w:w="0" w:type="dxa"/>
              <w:left w:w="108" w:type="dxa"/>
              <w:bottom w:w="0" w:type="dxa"/>
              <w:right w:w="108" w:type="dxa"/>
            </w:tcMar>
            <w:vAlign w:val="center"/>
            <w:hideMark/>
          </w:tcPr>
          <w:p w14:paraId="15728A9B"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2.6</w:t>
            </w:r>
            <w:r>
              <w:rPr>
                <w:rFonts w:ascii="Arial" w:hAnsi="Arial" w:cs="Arial"/>
                <w:bCs/>
                <w:sz w:val="20"/>
              </w:rPr>
              <w:t> </w:t>
            </w:r>
            <w:r w:rsidRPr="00B375F4">
              <w:rPr>
                <w:rFonts w:ascii="Arial" w:hAnsi="Arial" w:cs="Arial"/>
                <w:bCs/>
                <w:sz w:val="20"/>
              </w:rPr>
              <w:t>mL</w:t>
            </w:r>
          </w:p>
        </w:tc>
      </w:tr>
      <w:tr w:rsidR="002535D8" w:rsidRPr="00FF4079" w14:paraId="2348E1D7" w14:textId="77777777" w:rsidTr="00F338DE">
        <w:trPr>
          <w:jc w:val="center"/>
        </w:trPr>
        <w:tc>
          <w:tcPr>
            <w:tcW w:w="2032" w:type="dxa"/>
            <w:vMerge/>
            <w:tcBorders>
              <w:right w:val="nil"/>
            </w:tcBorders>
            <w:vAlign w:val="center"/>
            <w:hideMark/>
          </w:tcPr>
          <w:p w14:paraId="2B446C07"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bottom w:val="nil"/>
              <w:right w:val="nil"/>
            </w:tcBorders>
            <w:tcMar>
              <w:top w:w="0" w:type="dxa"/>
              <w:left w:w="108" w:type="dxa"/>
              <w:bottom w:w="0" w:type="dxa"/>
              <w:right w:w="108" w:type="dxa"/>
            </w:tcMar>
            <w:vAlign w:val="center"/>
            <w:hideMark/>
          </w:tcPr>
          <w:p w14:paraId="7AF108AE"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48</w:t>
            </w:r>
            <w:r>
              <w:rPr>
                <w:rFonts w:ascii="Arial" w:hAnsi="Arial" w:cs="Arial"/>
                <w:sz w:val="20"/>
              </w:rPr>
              <w:t> </w:t>
            </w:r>
            <w:r w:rsidRPr="00B375F4">
              <w:rPr>
                <w:rFonts w:ascii="Arial" w:hAnsi="Arial" w:cs="Arial"/>
                <w:sz w:val="20"/>
              </w:rPr>
              <w:t>hours</w:t>
            </w:r>
          </w:p>
        </w:tc>
        <w:tc>
          <w:tcPr>
            <w:tcW w:w="2548" w:type="dxa"/>
            <w:tcBorders>
              <w:top w:val="nil"/>
              <w:left w:val="nil"/>
              <w:bottom w:val="nil"/>
              <w:right w:val="nil"/>
            </w:tcBorders>
            <w:tcMar>
              <w:top w:w="0" w:type="dxa"/>
              <w:left w:w="108" w:type="dxa"/>
              <w:bottom w:w="0" w:type="dxa"/>
              <w:right w:w="108" w:type="dxa"/>
            </w:tcMar>
            <w:vAlign w:val="center"/>
            <w:hideMark/>
          </w:tcPr>
          <w:p w14:paraId="0BE6E7A3"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5</w:t>
            </w:r>
            <w:r>
              <w:rPr>
                <w:rFonts w:ascii="Arial" w:hAnsi="Arial" w:cs="Arial"/>
                <w:bCs/>
                <w:sz w:val="20"/>
              </w:rPr>
              <w:t> </w:t>
            </w:r>
            <w:r w:rsidRPr="00B375F4">
              <w:rPr>
                <w:rFonts w:ascii="Arial" w:hAnsi="Arial" w:cs="Arial"/>
                <w:bCs/>
                <w:sz w:val="20"/>
              </w:rPr>
              <w:t>mL/hour</w:t>
            </w:r>
          </w:p>
        </w:tc>
        <w:tc>
          <w:tcPr>
            <w:tcW w:w="2131" w:type="dxa"/>
            <w:tcBorders>
              <w:top w:val="nil"/>
              <w:left w:val="nil"/>
              <w:bottom w:val="nil"/>
            </w:tcBorders>
            <w:tcMar>
              <w:top w:w="0" w:type="dxa"/>
              <w:left w:w="108" w:type="dxa"/>
              <w:bottom w:w="0" w:type="dxa"/>
              <w:right w:w="108" w:type="dxa"/>
            </w:tcMar>
            <w:vAlign w:val="center"/>
            <w:hideMark/>
          </w:tcPr>
          <w:p w14:paraId="34510566" w14:textId="77777777" w:rsidR="002535D8" w:rsidRPr="00B375F4" w:rsidRDefault="002535D8" w:rsidP="002535D8">
            <w:pPr>
              <w:keepNext/>
              <w:keepLines/>
              <w:widowControl w:val="0"/>
              <w:spacing w:before="60" w:after="60" w:line="120" w:lineRule="atLeast"/>
              <w:jc w:val="center"/>
              <w:rPr>
                <w:rFonts w:ascii="Arial" w:eastAsia="Calibri" w:hAnsi="Arial" w:cs="Arial"/>
                <w:sz w:val="20"/>
              </w:rPr>
            </w:pPr>
            <w:r w:rsidRPr="00B375F4">
              <w:rPr>
                <w:rFonts w:ascii="Arial" w:hAnsi="Arial" w:cs="Arial"/>
                <w:sz w:val="20"/>
              </w:rPr>
              <w:t>5.2</w:t>
            </w:r>
            <w:r>
              <w:rPr>
                <w:rFonts w:ascii="Arial" w:hAnsi="Arial" w:cs="Arial"/>
                <w:bCs/>
                <w:sz w:val="20"/>
              </w:rPr>
              <w:t> </w:t>
            </w:r>
            <w:proofErr w:type="spellStart"/>
            <w:r w:rsidRPr="00B375F4">
              <w:rPr>
                <w:rFonts w:ascii="Arial" w:hAnsi="Arial" w:cs="Arial"/>
                <w:bCs/>
                <w:sz w:val="20"/>
              </w:rPr>
              <w:t>mL</w:t>
            </w:r>
            <w:r w:rsidRPr="00B375F4">
              <w:rPr>
                <w:rFonts w:ascii="Arial" w:hAnsi="Arial" w:cs="Arial"/>
                <w:bCs/>
                <w:sz w:val="20"/>
                <w:vertAlign w:val="superscript"/>
              </w:rPr>
              <w:t>a</w:t>
            </w:r>
            <w:proofErr w:type="spellEnd"/>
          </w:p>
        </w:tc>
      </w:tr>
      <w:tr w:rsidR="002535D8" w:rsidRPr="00FF4079" w14:paraId="5D62EF8E" w14:textId="77777777" w:rsidTr="00F338DE">
        <w:trPr>
          <w:jc w:val="center"/>
        </w:trPr>
        <w:tc>
          <w:tcPr>
            <w:tcW w:w="2032" w:type="dxa"/>
            <w:vMerge/>
            <w:tcBorders>
              <w:right w:val="nil"/>
            </w:tcBorders>
            <w:vAlign w:val="center"/>
          </w:tcPr>
          <w:p w14:paraId="3E0CA908"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bottom w:val="nil"/>
              <w:right w:val="nil"/>
            </w:tcBorders>
            <w:tcMar>
              <w:top w:w="0" w:type="dxa"/>
              <w:left w:w="108" w:type="dxa"/>
              <w:bottom w:w="0" w:type="dxa"/>
              <w:right w:w="108" w:type="dxa"/>
            </w:tcMar>
            <w:vAlign w:val="center"/>
          </w:tcPr>
          <w:p w14:paraId="06BD6D07"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72</w:t>
            </w:r>
            <w:r>
              <w:rPr>
                <w:rFonts w:ascii="Arial" w:hAnsi="Arial" w:cs="Arial"/>
                <w:sz w:val="20"/>
              </w:rPr>
              <w:t> </w:t>
            </w:r>
            <w:r w:rsidRPr="00B375F4">
              <w:rPr>
                <w:rFonts w:ascii="Arial" w:hAnsi="Arial" w:cs="Arial"/>
                <w:sz w:val="20"/>
              </w:rPr>
              <w:t>hours</w:t>
            </w:r>
          </w:p>
        </w:tc>
        <w:tc>
          <w:tcPr>
            <w:tcW w:w="2548" w:type="dxa"/>
            <w:tcBorders>
              <w:top w:val="nil"/>
              <w:left w:val="nil"/>
              <w:bottom w:val="nil"/>
              <w:right w:val="nil"/>
            </w:tcBorders>
            <w:tcMar>
              <w:top w:w="0" w:type="dxa"/>
              <w:left w:w="108" w:type="dxa"/>
              <w:bottom w:w="0" w:type="dxa"/>
              <w:right w:w="108" w:type="dxa"/>
            </w:tcMar>
            <w:vAlign w:val="center"/>
          </w:tcPr>
          <w:p w14:paraId="2C0C6635"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3.3</w:t>
            </w:r>
            <w:r>
              <w:rPr>
                <w:rFonts w:ascii="Arial" w:hAnsi="Arial" w:cs="Arial"/>
                <w:sz w:val="20"/>
              </w:rPr>
              <w:t> </w:t>
            </w:r>
            <w:r w:rsidRPr="00B375F4">
              <w:rPr>
                <w:rFonts w:ascii="Arial" w:hAnsi="Arial" w:cs="Arial"/>
                <w:sz w:val="20"/>
              </w:rPr>
              <w:t>mL/hour</w:t>
            </w:r>
          </w:p>
        </w:tc>
        <w:tc>
          <w:tcPr>
            <w:tcW w:w="2131" w:type="dxa"/>
            <w:tcBorders>
              <w:top w:val="nil"/>
              <w:left w:val="nil"/>
              <w:bottom w:val="nil"/>
            </w:tcBorders>
            <w:tcMar>
              <w:top w:w="0" w:type="dxa"/>
              <w:left w:w="108" w:type="dxa"/>
              <w:bottom w:w="0" w:type="dxa"/>
              <w:right w:w="108" w:type="dxa"/>
            </w:tcMar>
            <w:vAlign w:val="center"/>
          </w:tcPr>
          <w:p w14:paraId="72B9CFB9"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8</w:t>
            </w:r>
            <w:r>
              <w:rPr>
                <w:rFonts w:ascii="Arial" w:hAnsi="Arial" w:cs="Arial"/>
                <w:sz w:val="20"/>
              </w:rPr>
              <w:t> </w:t>
            </w:r>
            <w:proofErr w:type="spellStart"/>
            <w:r w:rsidRPr="00B375F4">
              <w:rPr>
                <w:rFonts w:ascii="Arial" w:hAnsi="Arial" w:cs="Arial"/>
                <w:sz w:val="20"/>
              </w:rPr>
              <w:t>mL</w:t>
            </w:r>
            <w:r w:rsidRPr="00B375F4">
              <w:rPr>
                <w:rFonts w:ascii="Arial" w:hAnsi="Arial" w:cs="Arial"/>
                <w:sz w:val="20"/>
                <w:vertAlign w:val="superscript"/>
              </w:rPr>
              <w:t>b</w:t>
            </w:r>
            <w:proofErr w:type="spellEnd"/>
          </w:p>
        </w:tc>
      </w:tr>
      <w:tr w:rsidR="002535D8" w:rsidRPr="00FF4079" w14:paraId="3753BFA7" w14:textId="77777777" w:rsidTr="00F338DE">
        <w:trPr>
          <w:jc w:val="center"/>
        </w:trPr>
        <w:tc>
          <w:tcPr>
            <w:tcW w:w="2032" w:type="dxa"/>
            <w:vMerge/>
            <w:tcBorders>
              <w:right w:val="nil"/>
            </w:tcBorders>
            <w:vAlign w:val="center"/>
          </w:tcPr>
          <w:p w14:paraId="378D0476" w14:textId="77777777" w:rsidR="002535D8" w:rsidRPr="00B375F4" w:rsidRDefault="002535D8" w:rsidP="002535D8">
            <w:pPr>
              <w:keepNext/>
              <w:keepLines/>
              <w:widowControl w:val="0"/>
              <w:spacing w:before="60" w:after="60" w:line="120" w:lineRule="atLeast"/>
              <w:rPr>
                <w:rFonts w:ascii="Arial" w:eastAsia="Calibri" w:hAnsi="Arial" w:cs="Arial"/>
                <w:sz w:val="20"/>
              </w:rPr>
            </w:pPr>
          </w:p>
        </w:tc>
        <w:tc>
          <w:tcPr>
            <w:tcW w:w="1992" w:type="dxa"/>
            <w:tcBorders>
              <w:top w:val="nil"/>
              <w:left w:val="nil"/>
              <w:right w:val="nil"/>
            </w:tcBorders>
            <w:tcMar>
              <w:top w:w="0" w:type="dxa"/>
              <w:left w:w="108" w:type="dxa"/>
              <w:bottom w:w="0" w:type="dxa"/>
              <w:right w:w="108" w:type="dxa"/>
            </w:tcMar>
            <w:vAlign w:val="center"/>
          </w:tcPr>
          <w:p w14:paraId="37F0EF98"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96</w:t>
            </w:r>
            <w:r>
              <w:rPr>
                <w:rFonts w:ascii="Arial" w:hAnsi="Arial" w:cs="Arial"/>
                <w:sz w:val="20"/>
              </w:rPr>
              <w:t> </w:t>
            </w:r>
            <w:r w:rsidRPr="00B375F4">
              <w:rPr>
                <w:rFonts w:ascii="Arial" w:hAnsi="Arial" w:cs="Arial"/>
                <w:sz w:val="20"/>
              </w:rPr>
              <w:t>hours</w:t>
            </w:r>
          </w:p>
        </w:tc>
        <w:tc>
          <w:tcPr>
            <w:tcW w:w="2548" w:type="dxa"/>
            <w:tcBorders>
              <w:top w:val="nil"/>
              <w:left w:val="nil"/>
              <w:right w:val="nil"/>
            </w:tcBorders>
            <w:tcMar>
              <w:top w:w="0" w:type="dxa"/>
              <w:left w:w="108" w:type="dxa"/>
              <w:bottom w:w="0" w:type="dxa"/>
              <w:right w:w="108" w:type="dxa"/>
            </w:tcMar>
            <w:vAlign w:val="center"/>
          </w:tcPr>
          <w:p w14:paraId="3124740F"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2.5</w:t>
            </w:r>
            <w:r>
              <w:rPr>
                <w:rFonts w:ascii="Arial" w:hAnsi="Arial" w:cs="Arial"/>
                <w:sz w:val="20"/>
              </w:rPr>
              <w:t> </w:t>
            </w:r>
            <w:r w:rsidRPr="00B375F4">
              <w:rPr>
                <w:rFonts w:ascii="Arial" w:hAnsi="Arial" w:cs="Arial"/>
                <w:sz w:val="20"/>
              </w:rPr>
              <w:t>mL/hour</w:t>
            </w:r>
          </w:p>
        </w:tc>
        <w:tc>
          <w:tcPr>
            <w:tcW w:w="2131" w:type="dxa"/>
            <w:tcBorders>
              <w:top w:val="nil"/>
              <w:left w:val="nil"/>
            </w:tcBorders>
            <w:tcMar>
              <w:top w:w="0" w:type="dxa"/>
              <w:left w:w="108" w:type="dxa"/>
              <w:bottom w:w="0" w:type="dxa"/>
              <w:right w:w="108" w:type="dxa"/>
            </w:tcMar>
            <w:vAlign w:val="center"/>
          </w:tcPr>
          <w:p w14:paraId="5E85351F" w14:textId="77777777" w:rsidR="002535D8" w:rsidRPr="00B375F4" w:rsidRDefault="002535D8" w:rsidP="002535D8">
            <w:pPr>
              <w:keepNext/>
              <w:keepLines/>
              <w:widowControl w:val="0"/>
              <w:spacing w:before="60" w:after="60" w:line="120" w:lineRule="atLeast"/>
              <w:jc w:val="center"/>
              <w:rPr>
                <w:rFonts w:ascii="Arial" w:hAnsi="Arial" w:cs="Arial"/>
                <w:sz w:val="20"/>
              </w:rPr>
            </w:pPr>
            <w:r w:rsidRPr="00B375F4">
              <w:rPr>
                <w:rFonts w:ascii="Arial" w:hAnsi="Arial" w:cs="Arial"/>
                <w:sz w:val="20"/>
              </w:rPr>
              <w:t>10.7</w:t>
            </w:r>
            <w:r>
              <w:rPr>
                <w:rFonts w:ascii="Arial" w:hAnsi="Arial" w:cs="Arial"/>
                <w:sz w:val="20"/>
              </w:rPr>
              <w:t> </w:t>
            </w:r>
            <w:proofErr w:type="spellStart"/>
            <w:r w:rsidRPr="00B375F4">
              <w:rPr>
                <w:rFonts w:ascii="Arial" w:hAnsi="Arial" w:cs="Arial"/>
                <w:sz w:val="20"/>
              </w:rPr>
              <w:t>mL</w:t>
            </w:r>
            <w:r w:rsidRPr="00B375F4">
              <w:rPr>
                <w:rFonts w:ascii="Arial" w:hAnsi="Arial" w:cs="Arial"/>
                <w:sz w:val="20"/>
                <w:vertAlign w:val="superscript"/>
              </w:rPr>
              <w:t>c</w:t>
            </w:r>
            <w:proofErr w:type="spellEnd"/>
          </w:p>
        </w:tc>
      </w:tr>
    </w:tbl>
    <w:p w14:paraId="22EC37E5" w14:textId="77777777" w:rsidR="002535D8" w:rsidRPr="00B375F4" w:rsidRDefault="002535D8" w:rsidP="002535D8">
      <w:pPr>
        <w:pStyle w:val="ListParagraph"/>
        <w:keepNext/>
        <w:keepLines/>
        <w:widowControl w:val="0"/>
        <w:numPr>
          <w:ilvl w:val="0"/>
          <w:numId w:val="16"/>
        </w:numPr>
        <w:autoSpaceDE w:val="0"/>
        <w:autoSpaceDN w:val="0"/>
        <w:spacing w:after="0" w:line="240" w:lineRule="auto"/>
        <w:ind w:left="283" w:right="590" w:hanging="181"/>
        <w:contextualSpacing w:val="0"/>
        <w:rPr>
          <w:rFonts w:ascii="Arial" w:hAnsi="Arial" w:cs="Arial"/>
          <w:sz w:val="18"/>
          <w:szCs w:val="18"/>
        </w:rPr>
      </w:pPr>
      <w:r w:rsidRPr="00B375F4">
        <w:rPr>
          <w:rFonts w:ascii="Arial" w:hAnsi="Arial" w:cs="Arial"/>
          <w:sz w:val="18"/>
          <w:szCs w:val="18"/>
        </w:rPr>
        <w:t>2</w:t>
      </w:r>
      <w:r>
        <w:rPr>
          <w:rFonts w:ascii="Arial" w:hAnsi="Arial" w:cs="Arial"/>
          <w:sz w:val="18"/>
          <w:szCs w:val="18"/>
        </w:rPr>
        <w:t> </w:t>
      </w:r>
      <w:r w:rsidRPr="00B375F4">
        <w:rPr>
          <w:rFonts w:ascii="Arial" w:hAnsi="Arial" w:cs="Arial"/>
          <w:sz w:val="18"/>
          <w:szCs w:val="18"/>
        </w:rPr>
        <w:t xml:space="preserve">packages of </w:t>
      </w:r>
      <w:proofErr w:type="spellStart"/>
      <w:r w:rsidRPr="00B375F4">
        <w:rPr>
          <w:rFonts w:ascii="Arial" w:hAnsi="Arial" w:cs="Arial"/>
          <w:sz w:val="18"/>
          <w:szCs w:val="18"/>
        </w:rPr>
        <w:t>Blincyto</w:t>
      </w:r>
      <w:proofErr w:type="spellEnd"/>
      <w:r w:rsidRPr="00B375F4">
        <w:rPr>
          <w:rFonts w:ascii="Arial" w:hAnsi="Arial" w:cs="Arial"/>
          <w:sz w:val="18"/>
          <w:szCs w:val="18"/>
        </w:rPr>
        <w:t xml:space="preserve"> are needed for preparation of 9 micrograms/day dose infused over 96 hours at a rate of 2.5 mL/hour and 28 micrograms/day dose infused over 48 hours at a rate of 5 mL/hour</w:t>
      </w:r>
    </w:p>
    <w:p w14:paraId="5B2917F1" w14:textId="77777777" w:rsidR="002535D8" w:rsidRPr="00B375F4" w:rsidRDefault="002535D8" w:rsidP="002535D8">
      <w:pPr>
        <w:pStyle w:val="ListParagraph"/>
        <w:keepNext/>
        <w:keepLines/>
        <w:widowControl w:val="0"/>
        <w:numPr>
          <w:ilvl w:val="0"/>
          <w:numId w:val="16"/>
        </w:numPr>
        <w:autoSpaceDE w:val="0"/>
        <w:autoSpaceDN w:val="0"/>
        <w:spacing w:after="0" w:line="240" w:lineRule="auto"/>
        <w:ind w:left="283" w:right="590" w:hanging="181"/>
        <w:contextualSpacing w:val="0"/>
        <w:rPr>
          <w:rFonts w:ascii="Arial" w:hAnsi="Arial" w:cs="Arial"/>
          <w:sz w:val="18"/>
          <w:szCs w:val="18"/>
        </w:rPr>
      </w:pPr>
      <w:r w:rsidRPr="00B375F4">
        <w:rPr>
          <w:rFonts w:ascii="Arial" w:hAnsi="Arial" w:cs="Arial"/>
          <w:sz w:val="18"/>
          <w:szCs w:val="18"/>
        </w:rPr>
        <w:t>3</w:t>
      </w:r>
      <w:r>
        <w:rPr>
          <w:rFonts w:ascii="Arial" w:hAnsi="Arial" w:cs="Arial"/>
          <w:sz w:val="18"/>
          <w:szCs w:val="18"/>
        </w:rPr>
        <w:t> </w:t>
      </w:r>
      <w:r w:rsidRPr="00B375F4">
        <w:rPr>
          <w:rFonts w:ascii="Arial" w:hAnsi="Arial" w:cs="Arial"/>
          <w:sz w:val="18"/>
          <w:szCs w:val="18"/>
        </w:rPr>
        <w:t xml:space="preserve">packages of </w:t>
      </w:r>
      <w:proofErr w:type="spellStart"/>
      <w:r w:rsidRPr="00B375F4">
        <w:rPr>
          <w:rFonts w:ascii="Arial" w:hAnsi="Arial" w:cs="Arial"/>
          <w:sz w:val="18"/>
          <w:szCs w:val="18"/>
        </w:rPr>
        <w:t>Blincyto</w:t>
      </w:r>
      <w:proofErr w:type="spellEnd"/>
      <w:r w:rsidRPr="00B375F4">
        <w:rPr>
          <w:rFonts w:ascii="Arial" w:hAnsi="Arial" w:cs="Arial"/>
          <w:sz w:val="18"/>
          <w:szCs w:val="18"/>
        </w:rPr>
        <w:t xml:space="preserve"> are needed for preparation of 28 micrograms/day dose infused over 72 hours at a rate of 3.3 mL/hour</w:t>
      </w:r>
    </w:p>
    <w:p w14:paraId="52886AE4" w14:textId="77777777" w:rsidR="002535D8" w:rsidRDefault="002535D8" w:rsidP="002535D8">
      <w:pPr>
        <w:pStyle w:val="ListParagraph"/>
        <w:keepNext/>
        <w:keepLines/>
        <w:widowControl w:val="0"/>
        <w:numPr>
          <w:ilvl w:val="0"/>
          <w:numId w:val="16"/>
        </w:numPr>
        <w:autoSpaceDE w:val="0"/>
        <w:autoSpaceDN w:val="0"/>
        <w:spacing w:after="0" w:line="240" w:lineRule="auto"/>
        <w:ind w:left="283" w:right="590" w:hanging="181"/>
        <w:contextualSpacing w:val="0"/>
        <w:rPr>
          <w:rFonts w:ascii="Arial" w:hAnsi="Arial" w:cs="Arial"/>
          <w:sz w:val="18"/>
          <w:szCs w:val="18"/>
        </w:rPr>
      </w:pPr>
      <w:r w:rsidRPr="00B375F4">
        <w:rPr>
          <w:rFonts w:ascii="Arial" w:hAnsi="Arial" w:cs="Arial"/>
          <w:sz w:val="18"/>
          <w:szCs w:val="18"/>
        </w:rPr>
        <w:t>4</w:t>
      </w:r>
      <w:r>
        <w:rPr>
          <w:rFonts w:ascii="Arial" w:hAnsi="Arial" w:cs="Arial"/>
          <w:sz w:val="18"/>
          <w:szCs w:val="18"/>
        </w:rPr>
        <w:t> </w:t>
      </w:r>
      <w:r w:rsidRPr="00B375F4">
        <w:rPr>
          <w:rFonts w:ascii="Arial" w:hAnsi="Arial" w:cs="Arial"/>
          <w:sz w:val="18"/>
          <w:szCs w:val="18"/>
        </w:rPr>
        <w:t xml:space="preserve">packages of </w:t>
      </w:r>
      <w:proofErr w:type="spellStart"/>
      <w:r w:rsidRPr="00B375F4">
        <w:rPr>
          <w:rFonts w:ascii="Arial" w:hAnsi="Arial" w:cs="Arial"/>
          <w:sz w:val="18"/>
          <w:szCs w:val="18"/>
        </w:rPr>
        <w:t>Blincyto</w:t>
      </w:r>
      <w:proofErr w:type="spellEnd"/>
      <w:r w:rsidRPr="00B375F4">
        <w:rPr>
          <w:rFonts w:ascii="Arial" w:hAnsi="Arial" w:cs="Arial"/>
          <w:sz w:val="18"/>
          <w:szCs w:val="18"/>
        </w:rPr>
        <w:t xml:space="preserve"> are needed for preparation of 28 micrograms/day dose infused over 96 hours at a rate of 2.5 mL/hour</w:t>
      </w:r>
    </w:p>
    <w:p w14:paraId="56798DB6" w14:textId="77777777" w:rsidR="002535D8" w:rsidRDefault="002535D8" w:rsidP="002535D8">
      <w:r>
        <w:br w:type="page"/>
      </w:r>
    </w:p>
    <w:p w14:paraId="103E53A4" w14:textId="47D02778" w:rsidR="006F4DEE" w:rsidRPr="002535D8" w:rsidRDefault="006F4DEE" w:rsidP="002535D8">
      <w:pPr>
        <w:pStyle w:val="Caption"/>
      </w:pPr>
      <w:r w:rsidRPr="002535D8">
        <w:lastRenderedPageBreak/>
        <w:t>Table </w:t>
      </w:r>
      <w:r w:rsidR="007627A5" w:rsidRPr="002535D8">
        <w:t>4</w:t>
      </w:r>
      <w:r w:rsidRPr="002535D8">
        <w:t xml:space="preserve">.  For Patients Weighing Less Than 45 kg: Volumes of Reconstituted </w:t>
      </w:r>
      <w:proofErr w:type="spellStart"/>
      <w:r w:rsidRPr="002535D8">
        <w:t>Blincyto</w:t>
      </w:r>
      <w:proofErr w:type="spellEnd"/>
      <w:r w:rsidRPr="002535D8">
        <w:t xml:space="preserve"> to </w:t>
      </w:r>
      <w:r w:rsidR="002478C0">
        <w:t>A</w:t>
      </w:r>
      <w:r w:rsidRPr="002535D8">
        <w:t>dd to IV Bag for 5 micrograms/m</w:t>
      </w:r>
      <w:r w:rsidRPr="003B6CCA">
        <w:rPr>
          <w:vertAlign w:val="superscript"/>
        </w:rPr>
        <w:t>2</w:t>
      </w:r>
      <w:r w:rsidRPr="002535D8">
        <w:t xml:space="preserve">/day Dose </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454"/>
        <w:gridCol w:w="1438"/>
        <w:gridCol w:w="2127"/>
        <w:gridCol w:w="2128"/>
      </w:tblGrid>
      <w:tr w:rsidR="006F4DEE" w:rsidRPr="00FF4079" w14:paraId="3AB87D35" w14:textId="77777777" w:rsidTr="004114C0">
        <w:trPr>
          <w:jc w:val="center"/>
        </w:trPr>
        <w:tc>
          <w:tcPr>
            <w:tcW w:w="1595" w:type="dxa"/>
            <w:tcBorders>
              <w:bottom w:val="single" w:sz="4" w:space="0" w:color="auto"/>
            </w:tcBorders>
            <w:vAlign w:val="center"/>
          </w:tcPr>
          <w:p w14:paraId="421B69DC" w14:textId="77777777" w:rsidR="006F4DEE" w:rsidRPr="009A4714" w:rsidRDefault="006F4DEE" w:rsidP="002535D8">
            <w:pPr>
              <w:keepNext/>
              <w:keepLines/>
              <w:spacing w:before="60" w:after="60" w:line="240" w:lineRule="atLeast"/>
              <w:jc w:val="center"/>
              <w:rPr>
                <w:rFonts w:ascii="Arial" w:hAnsi="Arial" w:cs="Arial"/>
                <w:b/>
                <w:sz w:val="20"/>
                <w:szCs w:val="20"/>
              </w:rPr>
            </w:pPr>
            <w:bookmarkStart w:id="3" w:name="_Hlk475971457"/>
            <w:r w:rsidRPr="009A4714">
              <w:rPr>
                <w:rFonts w:ascii="Arial" w:hAnsi="Arial" w:cs="Arial"/>
                <w:b/>
                <w:sz w:val="20"/>
                <w:szCs w:val="20"/>
              </w:rPr>
              <w:t>Dose</w:t>
            </w:r>
          </w:p>
        </w:tc>
        <w:tc>
          <w:tcPr>
            <w:tcW w:w="1454" w:type="dxa"/>
            <w:tcBorders>
              <w:bottom w:val="single" w:sz="4" w:space="0" w:color="auto"/>
            </w:tcBorders>
            <w:vAlign w:val="center"/>
          </w:tcPr>
          <w:p w14:paraId="30B8E800" w14:textId="77777777" w:rsidR="006F4DEE" w:rsidRPr="009A4714" w:rsidRDefault="006F4DEE" w:rsidP="002535D8">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Duration</w:t>
            </w:r>
          </w:p>
        </w:tc>
        <w:tc>
          <w:tcPr>
            <w:tcW w:w="1438" w:type="dxa"/>
            <w:tcBorders>
              <w:bottom w:val="single" w:sz="4" w:space="0" w:color="auto"/>
            </w:tcBorders>
            <w:vAlign w:val="center"/>
          </w:tcPr>
          <w:p w14:paraId="40A921FD" w14:textId="77777777" w:rsidR="006F4DEE" w:rsidRPr="009A4714" w:rsidRDefault="006F4DEE" w:rsidP="002535D8">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Rate</w:t>
            </w:r>
          </w:p>
        </w:tc>
        <w:tc>
          <w:tcPr>
            <w:tcW w:w="2127" w:type="dxa"/>
            <w:tcBorders>
              <w:bottom w:val="single" w:sz="4" w:space="0" w:color="auto"/>
            </w:tcBorders>
            <w:tcMar>
              <w:top w:w="0" w:type="dxa"/>
              <w:left w:w="108" w:type="dxa"/>
              <w:bottom w:w="0" w:type="dxa"/>
              <w:right w:w="108" w:type="dxa"/>
            </w:tcMar>
            <w:vAlign w:val="center"/>
            <w:hideMark/>
          </w:tcPr>
          <w:p w14:paraId="3389C685" w14:textId="77777777" w:rsidR="006F4DEE" w:rsidRPr="009A4714" w:rsidRDefault="006F4DEE" w:rsidP="002535D8">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BSA (m</w:t>
            </w:r>
            <w:r w:rsidRPr="009A4714">
              <w:rPr>
                <w:rFonts w:ascii="Arial" w:hAnsi="Arial" w:cs="Arial"/>
                <w:b/>
                <w:sz w:val="20"/>
                <w:szCs w:val="20"/>
                <w:vertAlign w:val="superscript"/>
              </w:rPr>
              <w:t>2</w:t>
            </w:r>
            <w:r w:rsidRPr="009A4714">
              <w:rPr>
                <w:rFonts w:ascii="Arial" w:hAnsi="Arial" w:cs="Arial"/>
                <w:b/>
                <w:sz w:val="20"/>
                <w:szCs w:val="20"/>
              </w:rPr>
              <w:t>)</w:t>
            </w:r>
          </w:p>
        </w:tc>
        <w:tc>
          <w:tcPr>
            <w:tcW w:w="2128" w:type="dxa"/>
            <w:tcBorders>
              <w:bottom w:val="single" w:sz="4" w:space="0" w:color="auto"/>
            </w:tcBorders>
            <w:tcMar>
              <w:top w:w="0" w:type="dxa"/>
              <w:left w:w="108" w:type="dxa"/>
              <w:bottom w:w="0" w:type="dxa"/>
              <w:right w:w="108" w:type="dxa"/>
            </w:tcMar>
            <w:vAlign w:val="center"/>
            <w:hideMark/>
          </w:tcPr>
          <w:p w14:paraId="4791AD77" w14:textId="49FE0304" w:rsidR="006F4DEE" w:rsidRPr="009A4714" w:rsidRDefault="006F4DEE" w:rsidP="001261C2">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 xml:space="preserve">Reconstituted </w:t>
            </w:r>
            <w:proofErr w:type="spellStart"/>
            <w:r w:rsidR="001261C2">
              <w:rPr>
                <w:rFonts w:ascii="Arial" w:hAnsi="Arial" w:cs="Arial"/>
                <w:b/>
                <w:sz w:val="20"/>
                <w:szCs w:val="20"/>
              </w:rPr>
              <w:t>Blincyto</w:t>
            </w:r>
            <w:proofErr w:type="spellEnd"/>
          </w:p>
        </w:tc>
      </w:tr>
      <w:tr w:rsidR="006F4DEE" w:rsidRPr="00FF4079" w14:paraId="29001B9C" w14:textId="77777777" w:rsidTr="004114C0">
        <w:trPr>
          <w:trHeight w:val="241"/>
          <w:jc w:val="center"/>
        </w:trPr>
        <w:tc>
          <w:tcPr>
            <w:tcW w:w="1595" w:type="dxa"/>
            <w:vMerge w:val="restart"/>
            <w:vAlign w:val="center"/>
          </w:tcPr>
          <w:p w14:paraId="52A81EF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bCs/>
                <w:sz w:val="20"/>
                <w:szCs w:val="20"/>
              </w:rPr>
            </w:pPr>
            <w:bookmarkStart w:id="4" w:name="_Hlk475971465"/>
            <w:bookmarkEnd w:id="3"/>
            <w:r w:rsidRPr="00024DA2">
              <w:rPr>
                <w:rFonts w:ascii="Arial" w:hAnsi="Arial" w:cs="Arial"/>
                <w:bCs/>
                <w:sz w:val="20"/>
                <w:szCs w:val="20"/>
              </w:rPr>
              <w:t>5 micrograms/m</w:t>
            </w:r>
            <w:r w:rsidRPr="00024DA2">
              <w:rPr>
                <w:rFonts w:ascii="Arial" w:hAnsi="Arial" w:cs="Arial"/>
                <w:bCs/>
                <w:sz w:val="20"/>
                <w:szCs w:val="20"/>
                <w:vertAlign w:val="superscript"/>
              </w:rPr>
              <w:t>2</w:t>
            </w:r>
            <w:r w:rsidRPr="00024DA2">
              <w:rPr>
                <w:rFonts w:ascii="Arial" w:hAnsi="Arial" w:cs="Arial"/>
                <w:bCs/>
                <w:sz w:val="20"/>
                <w:szCs w:val="20"/>
              </w:rPr>
              <w:t>/</w:t>
            </w:r>
            <w:r>
              <w:rPr>
                <w:rFonts w:ascii="Arial" w:hAnsi="Arial" w:cs="Arial"/>
                <w:bCs/>
                <w:sz w:val="20"/>
                <w:szCs w:val="20"/>
              </w:rPr>
              <w:br/>
            </w:r>
            <w:r w:rsidRPr="00024DA2">
              <w:rPr>
                <w:rFonts w:ascii="Arial" w:hAnsi="Arial" w:cs="Arial"/>
                <w:bCs/>
                <w:sz w:val="20"/>
                <w:szCs w:val="20"/>
              </w:rPr>
              <w:t>day</w:t>
            </w:r>
            <w:bookmarkEnd w:id="4"/>
          </w:p>
        </w:tc>
        <w:tc>
          <w:tcPr>
            <w:tcW w:w="1454" w:type="dxa"/>
            <w:vMerge w:val="restart"/>
            <w:vAlign w:val="center"/>
          </w:tcPr>
          <w:p w14:paraId="16B8B2D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24 hours</w:t>
            </w:r>
          </w:p>
        </w:tc>
        <w:tc>
          <w:tcPr>
            <w:tcW w:w="1438" w:type="dxa"/>
            <w:vMerge w:val="restart"/>
            <w:vAlign w:val="center"/>
          </w:tcPr>
          <w:p w14:paraId="46B2868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10 mL/hour</w:t>
            </w:r>
          </w:p>
        </w:tc>
        <w:tc>
          <w:tcPr>
            <w:tcW w:w="2127" w:type="dxa"/>
            <w:tcMar>
              <w:top w:w="0" w:type="dxa"/>
              <w:left w:w="108" w:type="dxa"/>
              <w:bottom w:w="0" w:type="dxa"/>
              <w:right w:w="108" w:type="dxa"/>
            </w:tcMar>
            <w:vAlign w:val="center"/>
            <w:hideMark/>
          </w:tcPr>
          <w:p w14:paraId="49E0A6E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1.5 – 1.59</w:t>
            </w:r>
          </w:p>
        </w:tc>
        <w:tc>
          <w:tcPr>
            <w:tcW w:w="2128" w:type="dxa"/>
            <w:tcMar>
              <w:top w:w="0" w:type="dxa"/>
              <w:left w:w="108" w:type="dxa"/>
              <w:bottom w:w="0" w:type="dxa"/>
              <w:right w:w="108" w:type="dxa"/>
            </w:tcMar>
            <w:vAlign w:val="center"/>
            <w:hideMark/>
          </w:tcPr>
          <w:p w14:paraId="4A6F403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mL</w:t>
            </w:r>
          </w:p>
        </w:tc>
      </w:tr>
      <w:tr w:rsidR="006F4DEE" w:rsidRPr="00FF4079" w14:paraId="67048F59" w14:textId="77777777" w:rsidTr="004114C0">
        <w:trPr>
          <w:jc w:val="center"/>
        </w:trPr>
        <w:tc>
          <w:tcPr>
            <w:tcW w:w="1595" w:type="dxa"/>
            <w:vMerge/>
          </w:tcPr>
          <w:p w14:paraId="042FF309"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3E8B5F0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03CAA48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1016C65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 1.49</w:t>
            </w:r>
          </w:p>
        </w:tc>
        <w:tc>
          <w:tcPr>
            <w:tcW w:w="2128" w:type="dxa"/>
            <w:tcMar>
              <w:top w:w="0" w:type="dxa"/>
              <w:left w:w="108" w:type="dxa"/>
              <w:bottom w:w="0" w:type="dxa"/>
              <w:right w:w="108" w:type="dxa"/>
            </w:tcMar>
            <w:vAlign w:val="center"/>
            <w:hideMark/>
          </w:tcPr>
          <w:p w14:paraId="54C364F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0.65 mL</w:t>
            </w:r>
          </w:p>
        </w:tc>
      </w:tr>
      <w:tr w:rsidR="006F4DEE" w:rsidRPr="00FF4079" w14:paraId="25F8712E" w14:textId="77777777" w:rsidTr="004114C0">
        <w:trPr>
          <w:jc w:val="center"/>
        </w:trPr>
        <w:tc>
          <w:tcPr>
            <w:tcW w:w="1595" w:type="dxa"/>
            <w:vMerge/>
          </w:tcPr>
          <w:p w14:paraId="34FC37B4"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4AF1BD3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36F4FC7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6F86230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 1.39</w:t>
            </w:r>
          </w:p>
        </w:tc>
        <w:tc>
          <w:tcPr>
            <w:tcW w:w="2128" w:type="dxa"/>
            <w:tcMar>
              <w:top w:w="0" w:type="dxa"/>
              <w:left w:w="108" w:type="dxa"/>
              <w:bottom w:w="0" w:type="dxa"/>
              <w:right w:w="108" w:type="dxa"/>
            </w:tcMar>
            <w:vAlign w:val="center"/>
            <w:hideMark/>
          </w:tcPr>
          <w:p w14:paraId="07FA3CB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0.61 mL</w:t>
            </w:r>
          </w:p>
        </w:tc>
      </w:tr>
      <w:tr w:rsidR="006F4DEE" w:rsidRPr="00FF4079" w14:paraId="7927B5CB" w14:textId="77777777" w:rsidTr="004114C0">
        <w:trPr>
          <w:jc w:val="center"/>
        </w:trPr>
        <w:tc>
          <w:tcPr>
            <w:tcW w:w="1595" w:type="dxa"/>
            <w:vMerge/>
          </w:tcPr>
          <w:p w14:paraId="471AC1BC"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688722D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235047E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59E352C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1.2 – 1.29</w:t>
            </w:r>
          </w:p>
        </w:tc>
        <w:tc>
          <w:tcPr>
            <w:tcW w:w="2128" w:type="dxa"/>
            <w:tcMar>
              <w:top w:w="0" w:type="dxa"/>
              <w:left w:w="108" w:type="dxa"/>
              <w:bottom w:w="0" w:type="dxa"/>
              <w:right w:w="108" w:type="dxa"/>
            </w:tcMar>
            <w:vAlign w:val="center"/>
            <w:hideMark/>
          </w:tcPr>
          <w:p w14:paraId="00EC027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0.56 mL</w:t>
            </w:r>
          </w:p>
        </w:tc>
      </w:tr>
      <w:tr w:rsidR="006F4DEE" w:rsidRPr="00FF4079" w14:paraId="442717FE" w14:textId="77777777" w:rsidTr="004114C0">
        <w:trPr>
          <w:jc w:val="center"/>
        </w:trPr>
        <w:tc>
          <w:tcPr>
            <w:tcW w:w="1595" w:type="dxa"/>
            <w:vMerge/>
          </w:tcPr>
          <w:p w14:paraId="037624C9"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666DF19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22D9D4A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19C0816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 1.19</w:t>
            </w:r>
          </w:p>
        </w:tc>
        <w:tc>
          <w:tcPr>
            <w:tcW w:w="2128" w:type="dxa"/>
            <w:tcMar>
              <w:top w:w="0" w:type="dxa"/>
              <w:left w:w="108" w:type="dxa"/>
              <w:bottom w:w="0" w:type="dxa"/>
              <w:right w:w="108" w:type="dxa"/>
            </w:tcMar>
            <w:vAlign w:val="center"/>
            <w:hideMark/>
          </w:tcPr>
          <w:p w14:paraId="0931521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0.52 mL</w:t>
            </w:r>
          </w:p>
        </w:tc>
      </w:tr>
      <w:tr w:rsidR="006F4DEE" w:rsidRPr="00FF4079" w14:paraId="7F98D6D5" w14:textId="77777777" w:rsidTr="004114C0">
        <w:trPr>
          <w:jc w:val="center"/>
        </w:trPr>
        <w:tc>
          <w:tcPr>
            <w:tcW w:w="1595" w:type="dxa"/>
            <w:vMerge/>
          </w:tcPr>
          <w:p w14:paraId="2AD04ABC"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13CFD18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26A53F7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2C7FBC6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 – 1.09</w:t>
            </w:r>
          </w:p>
        </w:tc>
        <w:tc>
          <w:tcPr>
            <w:tcW w:w="2128" w:type="dxa"/>
            <w:tcMar>
              <w:top w:w="0" w:type="dxa"/>
              <w:left w:w="108" w:type="dxa"/>
              <w:bottom w:w="0" w:type="dxa"/>
              <w:right w:w="108" w:type="dxa"/>
            </w:tcMar>
            <w:vAlign w:val="center"/>
            <w:hideMark/>
          </w:tcPr>
          <w:p w14:paraId="3B6A7F0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0.47 mL</w:t>
            </w:r>
          </w:p>
        </w:tc>
      </w:tr>
      <w:tr w:rsidR="006F4DEE" w:rsidRPr="00FF4079" w14:paraId="7177BA56" w14:textId="77777777" w:rsidTr="004114C0">
        <w:trPr>
          <w:jc w:val="center"/>
        </w:trPr>
        <w:tc>
          <w:tcPr>
            <w:tcW w:w="1595" w:type="dxa"/>
            <w:vMerge/>
          </w:tcPr>
          <w:p w14:paraId="2576A3AA"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5371750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42A3068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033D337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0.9 – 0.99</w:t>
            </w:r>
          </w:p>
        </w:tc>
        <w:tc>
          <w:tcPr>
            <w:tcW w:w="2128" w:type="dxa"/>
            <w:tcMar>
              <w:top w:w="0" w:type="dxa"/>
              <w:left w:w="108" w:type="dxa"/>
              <w:bottom w:w="0" w:type="dxa"/>
              <w:right w:w="108" w:type="dxa"/>
            </w:tcMar>
            <w:vAlign w:val="center"/>
            <w:hideMark/>
          </w:tcPr>
          <w:p w14:paraId="5DED3E3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0.43 mL</w:t>
            </w:r>
          </w:p>
        </w:tc>
      </w:tr>
      <w:tr w:rsidR="006F4DEE" w:rsidRPr="00FF4079" w14:paraId="461B5078" w14:textId="77777777" w:rsidTr="004114C0">
        <w:trPr>
          <w:jc w:val="center"/>
        </w:trPr>
        <w:tc>
          <w:tcPr>
            <w:tcW w:w="1595" w:type="dxa"/>
            <w:vMerge/>
          </w:tcPr>
          <w:p w14:paraId="1934729A"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0C1D2D1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5657156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65DD190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 – 0.89</w:t>
            </w:r>
          </w:p>
        </w:tc>
        <w:tc>
          <w:tcPr>
            <w:tcW w:w="2128" w:type="dxa"/>
            <w:tcMar>
              <w:top w:w="0" w:type="dxa"/>
              <w:left w:w="108" w:type="dxa"/>
              <w:bottom w:w="0" w:type="dxa"/>
              <w:right w:w="108" w:type="dxa"/>
            </w:tcMar>
            <w:vAlign w:val="center"/>
            <w:hideMark/>
          </w:tcPr>
          <w:p w14:paraId="6E1566F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0.38 mL</w:t>
            </w:r>
          </w:p>
        </w:tc>
      </w:tr>
      <w:tr w:rsidR="006F4DEE" w:rsidRPr="00FF4079" w14:paraId="6BB096B9" w14:textId="77777777" w:rsidTr="004114C0">
        <w:trPr>
          <w:jc w:val="center"/>
        </w:trPr>
        <w:tc>
          <w:tcPr>
            <w:tcW w:w="1595" w:type="dxa"/>
            <w:vMerge/>
          </w:tcPr>
          <w:p w14:paraId="20EADD7E"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6D3FF2B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494ECB9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6EE6395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 0.79</w:t>
            </w:r>
          </w:p>
        </w:tc>
        <w:tc>
          <w:tcPr>
            <w:tcW w:w="2128" w:type="dxa"/>
            <w:tcMar>
              <w:top w:w="0" w:type="dxa"/>
              <w:left w:w="108" w:type="dxa"/>
              <w:bottom w:w="0" w:type="dxa"/>
              <w:right w:w="108" w:type="dxa"/>
            </w:tcMar>
            <w:vAlign w:val="center"/>
            <w:hideMark/>
          </w:tcPr>
          <w:p w14:paraId="1132FA1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0.34 mL</w:t>
            </w:r>
          </w:p>
        </w:tc>
      </w:tr>
      <w:tr w:rsidR="006F4DEE" w:rsidRPr="00FF4079" w14:paraId="6EA282E2" w14:textId="77777777" w:rsidTr="004114C0">
        <w:trPr>
          <w:jc w:val="center"/>
        </w:trPr>
        <w:tc>
          <w:tcPr>
            <w:tcW w:w="1595" w:type="dxa"/>
            <w:vMerge/>
          </w:tcPr>
          <w:p w14:paraId="70931FA8"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573251F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407F33C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6AF2BC0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 0.69</w:t>
            </w:r>
          </w:p>
        </w:tc>
        <w:tc>
          <w:tcPr>
            <w:tcW w:w="2128" w:type="dxa"/>
            <w:tcMar>
              <w:top w:w="0" w:type="dxa"/>
              <w:left w:w="108" w:type="dxa"/>
              <w:bottom w:w="0" w:type="dxa"/>
              <w:right w:w="108" w:type="dxa"/>
            </w:tcMar>
            <w:vAlign w:val="center"/>
            <w:hideMark/>
          </w:tcPr>
          <w:p w14:paraId="7D2424B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0.29 mL</w:t>
            </w:r>
          </w:p>
        </w:tc>
      </w:tr>
      <w:tr w:rsidR="006F4DEE" w:rsidRPr="00FF4079" w14:paraId="1CB7C826" w14:textId="77777777" w:rsidTr="004114C0">
        <w:trPr>
          <w:jc w:val="center"/>
        </w:trPr>
        <w:tc>
          <w:tcPr>
            <w:tcW w:w="1595" w:type="dxa"/>
            <w:vMerge/>
          </w:tcPr>
          <w:p w14:paraId="6B840DA9"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440D0C7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43A35B9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6CFD721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 – 0.59</w:t>
            </w:r>
          </w:p>
        </w:tc>
        <w:tc>
          <w:tcPr>
            <w:tcW w:w="2128" w:type="dxa"/>
            <w:tcMar>
              <w:top w:w="0" w:type="dxa"/>
              <w:left w:w="108" w:type="dxa"/>
              <w:bottom w:w="0" w:type="dxa"/>
              <w:right w:w="108" w:type="dxa"/>
            </w:tcMar>
            <w:vAlign w:val="center"/>
            <w:hideMark/>
          </w:tcPr>
          <w:p w14:paraId="520ECC1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0.25 mL</w:t>
            </w:r>
          </w:p>
        </w:tc>
      </w:tr>
      <w:tr w:rsidR="006F4DEE" w:rsidRPr="00FF4079" w14:paraId="53548B35" w14:textId="77777777" w:rsidTr="004114C0">
        <w:trPr>
          <w:jc w:val="center"/>
        </w:trPr>
        <w:tc>
          <w:tcPr>
            <w:tcW w:w="1595" w:type="dxa"/>
            <w:vMerge/>
          </w:tcPr>
          <w:p w14:paraId="51862C13"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2355BFA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2BA7237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hideMark/>
          </w:tcPr>
          <w:p w14:paraId="4608815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 – 0.49</w:t>
            </w:r>
          </w:p>
        </w:tc>
        <w:tc>
          <w:tcPr>
            <w:tcW w:w="2128" w:type="dxa"/>
            <w:tcMar>
              <w:top w:w="0" w:type="dxa"/>
              <w:left w:w="108" w:type="dxa"/>
              <w:bottom w:w="0" w:type="dxa"/>
              <w:right w:w="108" w:type="dxa"/>
            </w:tcMar>
            <w:vAlign w:val="center"/>
            <w:hideMark/>
          </w:tcPr>
          <w:p w14:paraId="4F56E32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 xml:space="preserve">0.2 mL </w:t>
            </w:r>
          </w:p>
        </w:tc>
      </w:tr>
      <w:tr w:rsidR="006F4DEE" w:rsidRPr="00FF4079" w14:paraId="41BACDB0" w14:textId="77777777" w:rsidTr="004114C0">
        <w:trPr>
          <w:jc w:val="center"/>
        </w:trPr>
        <w:tc>
          <w:tcPr>
            <w:tcW w:w="1595" w:type="dxa"/>
            <w:vMerge/>
            <w:shd w:val="clear" w:color="auto" w:fill="D9D9D9"/>
          </w:tcPr>
          <w:p w14:paraId="6D6D53C2" w14:textId="77777777" w:rsidR="006F4DEE" w:rsidRPr="009A4714" w:rsidRDefault="006F4DEE" w:rsidP="002535D8">
            <w:pPr>
              <w:keepNext/>
              <w:keepLines/>
              <w:tabs>
                <w:tab w:val="left" w:pos="450"/>
              </w:tabs>
              <w:spacing w:before="60" w:after="60" w:line="240" w:lineRule="atLeast"/>
              <w:ind w:left="1208"/>
              <w:rPr>
                <w:rFonts w:ascii="Arial" w:hAnsi="Arial" w:cs="Arial"/>
                <w:sz w:val="20"/>
                <w:szCs w:val="20"/>
              </w:rPr>
            </w:pPr>
          </w:p>
        </w:tc>
        <w:tc>
          <w:tcPr>
            <w:tcW w:w="7147" w:type="dxa"/>
            <w:gridSpan w:val="4"/>
            <w:shd w:val="clear" w:color="auto" w:fill="D9D9D9"/>
          </w:tcPr>
          <w:p w14:paraId="16331BB6" w14:textId="77777777" w:rsidR="006F4DEE" w:rsidRPr="00892D76" w:rsidRDefault="006F4DEE" w:rsidP="002535D8">
            <w:pPr>
              <w:keepNext/>
              <w:keepLines/>
              <w:tabs>
                <w:tab w:val="left" w:pos="450"/>
              </w:tabs>
              <w:spacing w:before="60" w:after="60" w:line="240" w:lineRule="atLeast"/>
              <w:rPr>
                <w:rFonts w:ascii="Arial" w:hAnsi="Arial" w:cs="Arial"/>
                <w:sz w:val="10"/>
                <w:szCs w:val="20"/>
              </w:rPr>
            </w:pPr>
          </w:p>
        </w:tc>
      </w:tr>
      <w:tr w:rsidR="006F4DEE" w:rsidRPr="00FF4079" w14:paraId="62872997" w14:textId="77777777" w:rsidTr="004114C0">
        <w:trPr>
          <w:trHeight w:val="60"/>
          <w:jc w:val="center"/>
        </w:trPr>
        <w:tc>
          <w:tcPr>
            <w:tcW w:w="1595" w:type="dxa"/>
            <w:vMerge/>
            <w:vAlign w:val="center"/>
          </w:tcPr>
          <w:p w14:paraId="3671B81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4" w:type="dxa"/>
            <w:vMerge w:val="restart"/>
            <w:vAlign w:val="center"/>
          </w:tcPr>
          <w:p w14:paraId="43B064C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48 hours</w:t>
            </w:r>
          </w:p>
        </w:tc>
        <w:tc>
          <w:tcPr>
            <w:tcW w:w="1438" w:type="dxa"/>
            <w:vMerge w:val="restart"/>
            <w:vAlign w:val="center"/>
          </w:tcPr>
          <w:p w14:paraId="6117345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5 mL/hour</w:t>
            </w:r>
          </w:p>
        </w:tc>
        <w:tc>
          <w:tcPr>
            <w:tcW w:w="2127" w:type="dxa"/>
            <w:tcMar>
              <w:top w:w="0" w:type="dxa"/>
              <w:left w:w="108" w:type="dxa"/>
              <w:bottom w:w="0" w:type="dxa"/>
              <w:right w:w="108" w:type="dxa"/>
            </w:tcMar>
          </w:tcPr>
          <w:p w14:paraId="52406FE2" w14:textId="77777777" w:rsidR="006F4DEE" w:rsidRPr="009A4714" w:rsidRDefault="006F4DEE" w:rsidP="002535D8">
            <w:pPr>
              <w:keepNext/>
              <w:keepLines/>
              <w:autoSpaceDE w:val="0"/>
              <w:autoSpaceDN w:val="0"/>
              <w:adjustRightInd w:val="0"/>
              <w:spacing w:before="60" w:after="60" w:line="240" w:lineRule="atLeast"/>
              <w:jc w:val="center"/>
              <w:rPr>
                <w:rFonts w:ascii="Arial" w:eastAsia="Calibri" w:hAnsi="Arial" w:cs="Arial"/>
                <w:b/>
                <w:sz w:val="20"/>
                <w:szCs w:val="20"/>
              </w:rPr>
            </w:pPr>
            <w:r w:rsidRPr="009A4714">
              <w:rPr>
                <w:rFonts w:ascii="Arial" w:hAnsi="Arial" w:cs="Arial"/>
                <w:sz w:val="20"/>
                <w:szCs w:val="20"/>
              </w:rPr>
              <w:t>1.5 – 1.59</w:t>
            </w:r>
          </w:p>
        </w:tc>
        <w:tc>
          <w:tcPr>
            <w:tcW w:w="2128" w:type="dxa"/>
            <w:tcMar>
              <w:top w:w="0" w:type="dxa"/>
              <w:left w:w="108" w:type="dxa"/>
              <w:bottom w:w="0" w:type="dxa"/>
              <w:right w:w="108" w:type="dxa"/>
            </w:tcMar>
            <w:vAlign w:val="center"/>
          </w:tcPr>
          <w:p w14:paraId="0D110F5D"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1.4 mL</w:t>
            </w:r>
          </w:p>
        </w:tc>
      </w:tr>
      <w:tr w:rsidR="006F4DEE" w:rsidRPr="00FF4079" w14:paraId="7E6606BA" w14:textId="77777777" w:rsidTr="004114C0">
        <w:trPr>
          <w:jc w:val="center"/>
        </w:trPr>
        <w:tc>
          <w:tcPr>
            <w:tcW w:w="1595" w:type="dxa"/>
            <w:vMerge/>
          </w:tcPr>
          <w:p w14:paraId="765378A5"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7B48364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1C56D74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4A8E5D8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 1.49</w:t>
            </w:r>
          </w:p>
        </w:tc>
        <w:tc>
          <w:tcPr>
            <w:tcW w:w="2128" w:type="dxa"/>
            <w:tcMar>
              <w:top w:w="0" w:type="dxa"/>
              <w:left w:w="108" w:type="dxa"/>
              <w:bottom w:w="0" w:type="dxa"/>
              <w:right w:w="108" w:type="dxa"/>
            </w:tcMar>
            <w:vAlign w:val="center"/>
          </w:tcPr>
          <w:p w14:paraId="52A77CA7"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1.3 mL</w:t>
            </w:r>
          </w:p>
        </w:tc>
      </w:tr>
      <w:tr w:rsidR="006F4DEE" w:rsidRPr="00FF4079" w14:paraId="11DC56E0" w14:textId="77777777" w:rsidTr="004114C0">
        <w:trPr>
          <w:jc w:val="center"/>
        </w:trPr>
        <w:tc>
          <w:tcPr>
            <w:tcW w:w="1595" w:type="dxa"/>
            <w:vMerge/>
          </w:tcPr>
          <w:p w14:paraId="2B1D1BA3"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16B9FEA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786C111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64D925F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 1.39</w:t>
            </w:r>
          </w:p>
        </w:tc>
        <w:tc>
          <w:tcPr>
            <w:tcW w:w="2128" w:type="dxa"/>
            <w:tcMar>
              <w:top w:w="0" w:type="dxa"/>
              <w:left w:w="108" w:type="dxa"/>
              <w:bottom w:w="0" w:type="dxa"/>
              <w:right w:w="108" w:type="dxa"/>
            </w:tcMar>
            <w:vAlign w:val="center"/>
          </w:tcPr>
          <w:p w14:paraId="7992DAAF"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1.2 mL</w:t>
            </w:r>
          </w:p>
        </w:tc>
      </w:tr>
      <w:tr w:rsidR="006F4DEE" w:rsidRPr="00FF4079" w14:paraId="70B0D395" w14:textId="77777777" w:rsidTr="004114C0">
        <w:trPr>
          <w:jc w:val="center"/>
        </w:trPr>
        <w:tc>
          <w:tcPr>
            <w:tcW w:w="1595" w:type="dxa"/>
            <w:vMerge/>
          </w:tcPr>
          <w:p w14:paraId="4CFD870C"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3532AFA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748865E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2FBAA53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1.2 – 1.29</w:t>
            </w:r>
          </w:p>
        </w:tc>
        <w:tc>
          <w:tcPr>
            <w:tcW w:w="2128" w:type="dxa"/>
            <w:tcMar>
              <w:top w:w="0" w:type="dxa"/>
              <w:left w:w="108" w:type="dxa"/>
              <w:bottom w:w="0" w:type="dxa"/>
              <w:right w:w="108" w:type="dxa"/>
            </w:tcMar>
            <w:vAlign w:val="center"/>
          </w:tcPr>
          <w:p w14:paraId="2660F557"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1.1 mL</w:t>
            </w:r>
          </w:p>
        </w:tc>
      </w:tr>
      <w:tr w:rsidR="006F4DEE" w:rsidRPr="00FF4079" w14:paraId="4756CBDD" w14:textId="77777777" w:rsidTr="004114C0">
        <w:trPr>
          <w:jc w:val="center"/>
        </w:trPr>
        <w:tc>
          <w:tcPr>
            <w:tcW w:w="1595" w:type="dxa"/>
            <w:vMerge/>
          </w:tcPr>
          <w:p w14:paraId="4AB1F82F"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288B030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7801241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5ED1CDA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 1.19</w:t>
            </w:r>
          </w:p>
        </w:tc>
        <w:tc>
          <w:tcPr>
            <w:tcW w:w="2128" w:type="dxa"/>
            <w:tcMar>
              <w:top w:w="0" w:type="dxa"/>
              <w:left w:w="108" w:type="dxa"/>
              <w:bottom w:w="0" w:type="dxa"/>
              <w:right w:w="108" w:type="dxa"/>
            </w:tcMar>
            <w:vAlign w:val="center"/>
          </w:tcPr>
          <w:p w14:paraId="31CAACE0"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 mL</w:t>
            </w:r>
          </w:p>
        </w:tc>
      </w:tr>
      <w:tr w:rsidR="006F4DEE" w:rsidRPr="00FF4079" w14:paraId="3629543E" w14:textId="77777777" w:rsidTr="004114C0">
        <w:trPr>
          <w:jc w:val="center"/>
        </w:trPr>
        <w:tc>
          <w:tcPr>
            <w:tcW w:w="1595" w:type="dxa"/>
            <w:vMerge/>
          </w:tcPr>
          <w:p w14:paraId="67D7C9DB"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5C67B7F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12095DA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0C5B21E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 – 1.09</w:t>
            </w:r>
          </w:p>
        </w:tc>
        <w:tc>
          <w:tcPr>
            <w:tcW w:w="2128" w:type="dxa"/>
            <w:tcMar>
              <w:top w:w="0" w:type="dxa"/>
              <w:left w:w="108" w:type="dxa"/>
              <w:bottom w:w="0" w:type="dxa"/>
              <w:right w:w="108" w:type="dxa"/>
            </w:tcMar>
            <w:vAlign w:val="center"/>
          </w:tcPr>
          <w:p w14:paraId="1F310213"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0.94 mL</w:t>
            </w:r>
          </w:p>
        </w:tc>
      </w:tr>
      <w:tr w:rsidR="006F4DEE" w:rsidRPr="00FF4079" w14:paraId="3BB3FE2F" w14:textId="77777777" w:rsidTr="004114C0">
        <w:trPr>
          <w:jc w:val="center"/>
        </w:trPr>
        <w:tc>
          <w:tcPr>
            <w:tcW w:w="1595" w:type="dxa"/>
            <w:vMerge/>
          </w:tcPr>
          <w:p w14:paraId="6A9190FC"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6D73F1C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1410590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52336E3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0.9 – 0.99</w:t>
            </w:r>
          </w:p>
        </w:tc>
        <w:tc>
          <w:tcPr>
            <w:tcW w:w="2128" w:type="dxa"/>
            <w:tcMar>
              <w:top w:w="0" w:type="dxa"/>
              <w:left w:w="108" w:type="dxa"/>
              <w:bottom w:w="0" w:type="dxa"/>
              <w:right w:w="108" w:type="dxa"/>
            </w:tcMar>
            <w:vAlign w:val="center"/>
          </w:tcPr>
          <w:p w14:paraId="1A18925F"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0.85 mL</w:t>
            </w:r>
          </w:p>
        </w:tc>
      </w:tr>
      <w:tr w:rsidR="006F4DEE" w:rsidRPr="00FF4079" w14:paraId="62F00709" w14:textId="77777777" w:rsidTr="004114C0">
        <w:trPr>
          <w:jc w:val="center"/>
        </w:trPr>
        <w:tc>
          <w:tcPr>
            <w:tcW w:w="1595" w:type="dxa"/>
            <w:vMerge/>
          </w:tcPr>
          <w:p w14:paraId="032B2958"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29DDC76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3C3750E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312764E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 – 0.89</w:t>
            </w:r>
          </w:p>
        </w:tc>
        <w:tc>
          <w:tcPr>
            <w:tcW w:w="2128" w:type="dxa"/>
            <w:tcMar>
              <w:top w:w="0" w:type="dxa"/>
              <w:left w:w="108" w:type="dxa"/>
              <w:bottom w:w="0" w:type="dxa"/>
              <w:right w:w="108" w:type="dxa"/>
            </w:tcMar>
            <w:vAlign w:val="center"/>
          </w:tcPr>
          <w:p w14:paraId="4F574B49"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0.76 mL</w:t>
            </w:r>
          </w:p>
        </w:tc>
      </w:tr>
      <w:tr w:rsidR="006F4DEE" w:rsidRPr="00FF4079" w14:paraId="22276D72" w14:textId="77777777" w:rsidTr="004114C0">
        <w:trPr>
          <w:jc w:val="center"/>
        </w:trPr>
        <w:tc>
          <w:tcPr>
            <w:tcW w:w="1595" w:type="dxa"/>
            <w:vMerge/>
          </w:tcPr>
          <w:p w14:paraId="2D4AC41B"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2851FF8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6CC3941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2615E25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 0.79</w:t>
            </w:r>
          </w:p>
        </w:tc>
        <w:tc>
          <w:tcPr>
            <w:tcW w:w="2128" w:type="dxa"/>
            <w:tcMar>
              <w:top w:w="0" w:type="dxa"/>
              <w:left w:w="108" w:type="dxa"/>
              <w:bottom w:w="0" w:type="dxa"/>
              <w:right w:w="108" w:type="dxa"/>
            </w:tcMar>
            <w:vAlign w:val="center"/>
          </w:tcPr>
          <w:p w14:paraId="309A1514"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0.67 mL</w:t>
            </w:r>
          </w:p>
        </w:tc>
      </w:tr>
      <w:tr w:rsidR="006F4DEE" w:rsidRPr="00FF4079" w14:paraId="48380AC7" w14:textId="77777777" w:rsidTr="004114C0">
        <w:trPr>
          <w:jc w:val="center"/>
        </w:trPr>
        <w:tc>
          <w:tcPr>
            <w:tcW w:w="1595" w:type="dxa"/>
            <w:vMerge/>
          </w:tcPr>
          <w:p w14:paraId="5D9E6556"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20A2738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1337C3D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5D61AE6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 0.69</w:t>
            </w:r>
          </w:p>
        </w:tc>
        <w:tc>
          <w:tcPr>
            <w:tcW w:w="2128" w:type="dxa"/>
            <w:tcMar>
              <w:top w:w="0" w:type="dxa"/>
              <w:left w:w="108" w:type="dxa"/>
              <w:bottom w:w="0" w:type="dxa"/>
              <w:right w:w="108" w:type="dxa"/>
            </w:tcMar>
            <w:vAlign w:val="center"/>
          </w:tcPr>
          <w:p w14:paraId="076BA8D1"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0.58 mL</w:t>
            </w:r>
          </w:p>
        </w:tc>
      </w:tr>
      <w:tr w:rsidR="006F4DEE" w:rsidRPr="00FF4079" w14:paraId="7ADCC1E5" w14:textId="77777777" w:rsidTr="004114C0">
        <w:trPr>
          <w:jc w:val="center"/>
        </w:trPr>
        <w:tc>
          <w:tcPr>
            <w:tcW w:w="1595" w:type="dxa"/>
            <w:vMerge/>
          </w:tcPr>
          <w:p w14:paraId="29025E9E"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5AF4A39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7633FF8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43DE3ED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 – 0.59</w:t>
            </w:r>
          </w:p>
        </w:tc>
        <w:tc>
          <w:tcPr>
            <w:tcW w:w="2128" w:type="dxa"/>
            <w:tcMar>
              <w:top w:w="0" w:type="dxa"/>
              <w:left w:w="108" w:type="dxa"/>
              <w:bottom w:w="0" w:type="dxa"/>
              <w:right w:w="108" w:type="dxa"/>
            </w:tcMar>
            <w:vAlign w:val="center"/>
          </w:tcPr>
          <w:p w14:paraId="401EDBA3"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0.49 mL</w:t>
            </w:r>
          </w:p>
        </w:tc>
      </w:tr>
      <w:tr w:rsidR="006F4DEE" w:rsidRPr="00FF4079" w14:paraId="551FA3C2" w14:textId="77777777" w:rsidTr="004114C0">
        <w:trPr>
          <w:jc w:val="center"/>
        </w:trPr>
        <w:tc>
          <w:tcPr>
            <w:tcW w:w="1595" w:type="dxa"/>
            <w:vMerge/>
          </w:tcPr>
          <w:p w14:paraId="02076B8D"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454" w:type="dxa"/>
            <w:vMerge/>
          </w:tcPr>
          <w:p w14:paraId="71B5AF5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38" w:type="dxa"/>
            <w:vMerge/>
          </w:tcPr>
          <w:p w14:paraId="6214F33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127" w:type="dxa"/>
            <w:tcMar>
              <w:top w:w="0" w:type="dxa"/>
              <w:left w:w="108" w:type="dxa"/>
              <w:bottom w:w="0" w:type="dxa"/>
              <w:right w:w="108" w:type="dxa"/>
            </w:tcMar>
            <w:vAlign w:val="bottom"/>
          </w:tcPr>
          <w:p w14:paraId="58C2E4D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 – 0.49</w:t>
            </w:r>
          </w:p>
        </w:tc>
        <w:tc>
          <w:tcPr>
            <w:tcW w:w="2128" w:type="dxa"/>
            <w:tcMar>
              <w:top w:w="0" w:type="dxa"/>
              <w:left w:w="108" w:type="dxa"/>
              <w:bottom w:w="0" w:type="dxa"/>
              <w:right w:w="108" w:type="dxa"/>
            </w:tcMar>
            <w:vAlign w:val="center"/>
          </w:tcPr>
          <w:p w14:paraId="47D1C281"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0.40 mL</w:t>
            </w:r>
          </w:p>
        </w:tc>
      </w:tr>
    </w:tbl>
    <w:p w14:paraId="39DA1B99" w14:textId="77777777" w:rsidR="006F4DEE" w:rsidRPr="00892D76" w:rsidRDefault="006F4DEE" w:rsidP="006F4DEE">
      <w:pPr>
        <w:jc w:val="right"/>
        <w:rPr>
          <w:rFonts w:ascii="Arial" w:hAnsi="Arial" w:cs="Arial"/>
          <w:sz w:val="20"/>
          <w:szCs w:val="20"/>
        </w:rPr>
      </w:pPr>
      <w:bookmarkStart w:id="5" w:name="_Hlk475974315"/>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454"/>
        <w:gridCol w:w="1438"/>
        <w:gridCol w:w="2127"/>
        <w:gridCol w:w="2128"/>
      </w:tblGrid>
      <w:tr w:rsidR="006F4DEE" w:rsidRPr="00FF4079" w14:paraId="752C5B64" w14:textId="77777777" w:rsidTr="004114C0">
        <w:trPr>
          <w:jc w:val="center"/>
        </w:trPr>
        <w:tc>
          <w:tcPr>
            <w:tcW w:w="1595" w:type="dxa"/>
            <w:tcBorders>
              <w:bottom w:val="single" w:sz="4" w:space="0" w:color="auto"/>
            </w:tcBorders>
            <w:vAlign w:val="center"/>
          </w:tcPr>
          <w:bookmarkEnd w:id="5"/>
          <w:p w14:paraId="7F61996A" w14:textId="77777777" w:rsidR="006F4DEE" w:rsidRPr="009A4714" w:rsidRDefault="006F4DEE" w:rsidP="002535D8">
            <w:pPr>
              <w:keepNext/>
              <w:keepLines/>
              <w:spacing w:before="60" w:after="60" w:line="240" w:lineRule="atLeast"/>
              <w:jc w:val="center"/>
              <w:rPr>
                <w:rFonts w:ascii="Arial" w:hAnsi="Arial" w:cs="Arial"/>
                <w:b/>
                <w:sz w:val="20"/>
              </w:rPr>
            </w:pPr>
            <w:r w:rsidRPr="009A4714">
              <w:rPr>
                <w:rFonts w:ascii="Arial" w:hAnsi="Arial" w:cs="Arial"/>
                <w:b/>
                <w:sz w:val="20"/>
              </w:rPr>
              <w:lastRenderedPageBreak/>
              <w:t>Dose</w:t>
            </w:r>
          </w:p>
        </w:tc>
        <w:tc>
          <w:tcPr>
            <w:tcW w:w="1454" w:type="dxa"/>
            <w:tcBorders>
              <w:bottom w:val="single" w:sz="4" w:space="0" w:color="auto"/>
            </w:tcBorders>
            <w:vAlign w:val="center"/>
          </w:tcPr>
          <w:p w14:paraId="5E4779BB" w14:textId="77777777" w:rsidR="006F4DEE" w:rsidRPr="009A4714" w:rsidRDefault="006F4DEE" w:rsidP="002535D8">
            <w:pPr>
              <w:keepNext/>
              <w:keepLines/>
              <w:spacing w:before="60" w:after="60" w:line="240" w:lineRule="atLeast"/>
              <w:jc w:val="center"/>
              <w:rPr>
                <w:rFonts w:ascii="Arial" w:hAnsi="Arial" w:cs="Arial"/>
                <w:b/>
                <w:sz w:val="20"/>
              </w:rPr>
            </w:pPr>
            <w:r w:rsidRPr="009A4714">
              <w:rPr>
                <w:rFonts w:ascii="Arial" w:hAnsi="Arial" w:cs="Arial"/>
                <w:b/>
                <w:bCs/>
                <w:sz w:val="20"/>
              </w:rPr>
              <w:t>Infusion Duration</w:t>
            </w:r>
          </w:p>
        </w:tc>
        <w:tc>
          <w:tcPr>
            <w:tcW w:w="1438" w:type="dxa"/>
            <w:tcBorders>
              <w:bottom w:val="single" w:sz="4" w:space="0" w:color="auto"/>
            </w:tcBorders>
            <w:vAlign w:val="center"/>
          </w:tcPr>
          <w:p w14:paraId="7715EF72" w14:textId="77777777" w:rsidR="006F4DEE" w:rsidRPr="009A4714" w:rsidRDefault="006F4DEE" w:rsidP="002535D8">
            <w:pPr>
              <w:keepNext/>
              <w:keepLines/>
              <w:spacing w:before="60" w:after="60" w:line="240" w:lineRule="atLeast"/>
              <w:jc w:val="center"/>
              <w:rPr>
                <w:rFonts w:ascii="Arial" w:hAnsi="Arial" w:cs="Arial"/>
                <w:b/>
                <w:sz w:val="20"/>
              </w:rPr>
            </w:pPr>
            <w:r w:rsidRPr="009A4714">
              <w:rPr>
                <w:rFonts w:ascii="Arial" w:hAnsi="Arial" w:cs="Arial"/>
                <w:b/>
                <w:bCs/>
                <w:sz w:val="20"/>
              </w:rPr>
              <w:t>Infusion Rate</w:t>
            </w:r>
          </w:p>
        </w:tc>
        <w:tc>
          <w:tcPr>
            <w:tcW w:w="2127" w:type="dxa"/>
            <w:tcBorders>
              <w:bottom w:val="single" w:sz="4" w:space="0" w:color="auto"/>
            </w:tcBorders>
            <w:tcMar>
              <w:top w:w="0" w:type="dxa"/>
              <w:left w:w="108" w:type="dxa"/>
              <w:bottom w:w="0" w:type="dxa"/>
              <w:right w:w="108" w:type="dxa"/>
            </w:tcMar>
            <w:vAlign w:val="center"/>
            <w:hideMark/>
          </w:tcPr>
          <w:p w14:paraId="1F8FD390" w14:textId="77777777" w:rsidR="006F4DEE" w:rsidRPr="009A4714" w:rsidRDefault="006F4DEE" w:rsidP="002535D8">
            <w:pPr>
              <w:keepNext/>
              <w:keepLines/>
              <w:spacing w:before="60" w:after="60" w:line="240" w:lineRule="atLeast"/>
              <w:jc w:val="center"/>
              <w:rPr>
                <w:rFonts w:ascii="Arial" w:eastAsia="Calibri" w:hAnsi="Arial" w:cs="Arial"/>
                <w:b/>
                <w:sz w:val="20"/>
              </w:rPr>
            </w:pPr>
            <w:r w:rsidRPr="009A4714">
              <w:rPr>
                <w:rFonts w:ascii="Arial" w:hAnsi="Arial" w:cs="Arial"/>
                <w:b/>
                <w:sz w:val="20"/>
              </w:rPr>
              <w:t>BSA (m</w:t>
            </w:r>
            <w:r w:rsidRPr="009A4714">
              <w:rPr>
                <w:rFonts w:ascii="Arial" w:hAnsi="Arial" w:cs="Arial"/>
                <w:b/>
                <w:sz w:val="20"/>
                <w:vertAlign w:val="superscript"/>
              </w:rPr>
              <w:t>2</w:t>
            </w:r>
            <w:r w:rsidRPr="009A4714">
              <w:rPr>
                <w:rFonts w:ascii="Arial" w:hAnsi="Arial" w:cs="Arial"/>
                <w:b/>
                <w:sz w:val="20"/>
              </w:rPr>
              <w:t>)</w:t>
            </w:r>
          </w:p>
        </w:tc>
        <w:tc>
          <w:tcPr>
            <w:tcW w:w="2128" w:type="dxa"/>
            <w:tcBorders>
              <w:bottom w:val="single" w:sz="4" w:space="0" w:color="auto"/>
            </w:tcBorders>
            <w:tcMar>
              <w:top w:w="0" w:type="dxa"/>
              <w:left w:w="108" w:type="dxa"/>
              <w:bottom w:w="0" w:type="dxa"/>
              <w:right w:w="108" w:type="dxa"/>
            </w:tcMar>
            <w:vAlign w:val="center"/>
            <w:hideMark/>
          </w:tcPr>
          <w:p w14:paraId="6BB40B8F" w14:textId="07DA3E69" w:rsidR="006F4DEE" w:rsidRPr="009A4714" w:rsidRDefault="006F4DEE" w:rsidP="001261C2">
            <w:pPr>
              <w:keepNext/>
              <w:keepLines/>
              <w:spacing w:before="60" w:after="60" w:line="240" w:lineRule="atLeast"/>
              <w:jc w:val="center"/>
              <w:rPr>
                <w:rFonts w:ascii="Arial" w:eastAsia="Calibri" w:hAnsi="Arial" w:cs="Arial"/>
                <w:b/>
                <w:sz w:val="20"/>
              </w:rPr>
            </w:pPr>
            <w:r w:rsidRPr="009A4714">
              <w:rPr>
                <w:rFonts w:ascii="Arial" w:hAnsi="Arial" w:cs="Arial"/>
                <w:b/>
                <w:sz w:val="20"/>
              </w:rPr>
              <w:t xml:space="preserve">Reconstituted </w:t>
            </w:r>
            <w:proofErr w:type="spellStart"/>
            <w:r w:rsidR="001261C2">
              <w:rPr>
                <w:rFonts w:ascii="Arial" w:hAnsi="Arial" w:cs="Arial"/>
                <w:b/>
                <w:sz w:val="20"/>
              </w:rPr>
              <w:t>Blincyto</w:t>
            </w:r>
            <w:proofErr w:type="spellEnd"/>
          </w:p>
        </w:tc>
      </w:tr>
      <w:tr w:rsidR="006F4DEE" w:rsidRPr="00FF4079" w14:paraId="2456B981" w14:textId="77777777" w:rsidTr="004114C0">
        <w:trPr>
          <w:jc w:val="center"/>
        </w:trPr>
        <w:tc>
          <w:tcPr>
            <w:tcW w:w="1595" w:type="dxa"/>
            <w:vMerge w:val="restart"/>
            <w:vAlign w:val="center"/>
          </w:tcPr>
          <w:p w14:paraId="41BB01A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rPr>
            </w:pPr>
            <w:r w:rsidRPr="00024DA2">
              <w:rPr>
                <w:rFonts w:ascii="Arial" w:hAnsi="Arial" w:cs="Arial"/>
                <w:bCs/>
                <w:sz w:val="20"/>
              </w:rPr>
              <w:t>5 micrograms/m</w:t>
            </w:r>
            <w:r w:rsidRPr="00024DA2">
              <w:rPr>
                <w:rFonts w:ascii="Arial" w:hAnsi="Arial" w:cs="Arial"/>
                <w:bCs/>
                <w:sz w:val="20"/>
                <w:vertAlign w:val="superscript"/>
              </w:rPr>
              <w:t>2</w:t>
            </w:r>
            <w:r w:rsidRPr="00024DA2">
              <w:rPr>
                <w:rFonts w:ascii="Arial" w:hAnsi="Arial" w:cs="Arial"/>
                <w:bCs/>
                <w:sz w:val="20"/>
              </w:rPr>
              <w:t>/</w:t>
            </w:r>
            <w:r>
              <w:rPr>
                <w:rFonts w:ascii="Arial" w:hAnsi="Arial" w:cs="Arial"/>
                <w:bCs/>
                <w:sz w:val="20"/>
              </w:rPr>
              <w:br/>
            </w:r>
            <w:r w:rsidRPr="00024DA2">
              <w:rPr>
                <w:rFonts w:ascii="Arial" w:hAnsi="Arial" w:cs="Arial"/>
                <w:bCs/>
                <w:sz w:val="20"/>
              </w:rPr>
              <w:t>day</w:t>
            </w:r>
          </w:p>
        </w:tc>
        <w:tc>
          <w:tcPr>
            <w:tcW w:w="1454" w:type="dxa"/>
            <w:vMerge w:val="restart"/>
            <w:vAlign w:val="center"/>
          </w:tcPr>
          <w:p w14:paraId="3E3AC33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72 hours</w:t>
            </w:r>
          </w:p>
        </w:tc>
        <w:tc>
          <w:tcPr>
            <w:tcW w:w="1438" w:type="dxa"/>
            <w:vMerge w:val="restart"/>
            <w:vAlign w:val="center"/>
          </w:tcPr>
          <w:p w14:paraId="6F6048F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3.3 mL/hour</w:t>
            </w:r>
          </w:p>
        </w:tc>
        <w:tc>
          <w:tcPr>
            <w:tcW w:w="2127" w:type="dxa"/>
            <w:tcMar>
              <w:top w:w="0" w:type="dxa"/>
              <w:left w:w="108" w:type="dxa"/>
              <w:bottom w:w="0" w:type="dxa"/>
              <w:right w:w="108" w:type="dxa"/>
            </w:tcMar>
          </w:tcPr>
          <w:p w14:paraId="5BDBC46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1.5 – 1.59</w:t>
            </w:r>
          </w:p>
        </w:tc>
        <w:tc>
          <w:tcPr>
            <w:tcW w:w="2128" w:type="dxa"/>
            <w:tcMar>
              <w:top w:w="0" w:type="dxa"/>
              <w:left w:w="108" w:type="dxa"/>
              <w:bottom w:w="0" w:type="dxa"/>
              <w:right w:w="108" w:type="dxa"/>
            </w:tcMar>
            <w:vAlign w:val="center"/>
          </w:tcPr>
          <w:p w14:paraId="1909B44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2.1 mL</w:t>
            </w:r>
          </w:p>
        </w:tc>
      </w:tr>
      <w:tr w:rsidR="006F4DEE" w:rsidRPr="00FF4079" w14:paraId="753A2E0E" w14:textId="77777777" w:rsidTr="004114C0">
        <w:trPr>
          <w:jc w:val="center"/>
        </w:trPr>
        <w:tc>
          <w:tcPr>
            <w:tcW w:w="1595" w:type="dxa"/>
            <w:vMerge/>
          </w:tcPr>
          <w:p w14:paraId="2E1740F0"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4D22FE1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5279CBE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2591700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1.4 – 1.49</w:t>
            </w:r>
          </w:p>
        </w:tc>
        <w:tc>
          <w:tcPr>
            <w:tcW w:w="2128" w:type="dxa"/>
            <w:tcMar>
              <w:top w:w="0" w:type="dxa"/>
              <w:left w:w="108" w:type="dxa"/>
              <w:bottom w:w="0" w:type="dxa"/>
              <w:right w:w="108" w:type="dxa"/>
            </w:tcMar>
            <w:vAlign w:val="center"/>
          </w:tcPr>
          <w:p w14:paraId="5783C57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2 mL</w:t>
            </w:r>
          </w:p>
        </w:tc>
      </w:tr>
      <w:tr w:rsidR="006F4DEE" w:rsidRPr="00FF4079" w14:paraId="2F3BAC65" w14:textId="77777777" w:rsidTr="004114C0">
        <w:trPr>
          <w:jc w:val="center"/>
        </w:trPr>
        <w:tc>
          <w:tcPr>
            <w:tcW w:w="1595" w:type="dxa"/>
            <w:vMerge/>
          </w:tcPr>
          <w:p w14:paraId="5405BD28"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7B367AE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7416B64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265CB0D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1.3 – 1.39</w:t>
            </w:r>
          </w:p>
        </w:tc>
        <w:tc>
          <w:tcPr>
            <w:tcW w:w="2128" w:type="dxa"/>
            <w:tcMar>
              <w:top w:w="0" w:type="dxa"/>
              <w:left w:w="108" w:type="dxa"/>
              <w:bottom w:w="0" w:type="dxa"/>
              <w:right w:w="108" w:type="dxa"/>
            </w:tcMar>
            <w:vAlign w:val="center"/>
          </w:tcPr>
          <w:p w14:paraId="4CFA091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1.8 mL</w:t>
            </w:r>
          </w:p>
        </w:tc>
      </w:tr>
      <w:tr w:rsidR="006F4DEE" w:rsidRPr="00FF4079" w14:paraId="7C090E02" w14:textId="77777777" w:rsidTr="004114C0">
        <w:trPr>
          <w:jc w:val="center"/>
        </w:trPr>
        <w:tc>
          <w:tcPr>
            <w:tcW w:w="1595" w:type="dxa"/>
            <w:vMerge/>
          </w:tcPr>
          <w:p w14:paraId="1F516DE5"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11F19D7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7D31DB2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7CB2597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1.2 – 1.29</w:t>
            </w:r>
          </w:p>
        </w:tc>
        <w:tc>
          <w:tcPr>
            <w:tcW w:w="2128" w:type="dxa"/>
            <w:tcMar>
              <w:top w:w="0" w:type="dxa"/>
              <w:left w:w="108" w:type="dxa"/>
              <w:bottom w:w="0" w:type="dxa"/>
              <w:right w:w="108" w:type="dxa"/>
            </w:tcMar>
            <w:vAlign w:val="center"/>
          </w:tcPr>
          <w:p w14:paraId="611EF77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1.7 mL</w:t>
            </w:r>
          </w:p>
        </w:tc>
      </w:tr>
      <w:tr w:rsidR="006F4DEE" w:rsidRPr="00FF4079" w14:paraId="41816B05" w14:textId="77777777" w:rsidTr="004114C0">
        <w:trPr>
          <w:jc w:val="center"/>
        </w:trPr>
        <w:tc>
          <w:tcPr>
            <w:tcW w:w="1595" w:type="dxa"/>
            <w:vMerge/>
          </w:tcPr>
          <w:p w14:paraId="026B6B40"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6DFE27E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A4E995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445DCB9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1.1 – 1.19</w:t>
            </w:r>
          </w:p>
        </w:tc>
        <w:tc>
          <w:tcPr>
            <w:tcW w:w="2128" w:type="dxa"/>
            <w:tcMar>
              <w:top w:w="0" w:type="dxa"/>
              <w:left w:w="108" w:type="dxa"/>
              <w:bottom w:w="0" w:type="dxa"/>
              <w:right w:w="108" w:type="dxa"/>
            </w:tcMar>
            <w:vAlign w:val="center"/>
          </w:tcPr>
          <w:p w14:paraId="5D592F8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1.5 mL</w:t>
            </w:r>
          </w:p>
        </w:tc>
      </w:tr>
      <w:tr w:rsidR="006F4DEE" w:rsidRPr="00FF4079" w14:paraId="1AE217B6" w14:textId="77777777" w:rsidTr="004114C0">
        <w:trPr>
          <w:jc w:val="center"/>
        </w:trPr>
        <w:tc>
          <w:tcPr>
            <w:tcW w:w="1595" w:type="dxa"/>
            <w:vMerge/>
          </w:tcPr>
          <w:p w14:paraId="1CF366E6"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40BF555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073A48B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620396D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 – 1.09</w:t>
            </w:r>
          </w:p>
        </w:tc>
        <w:tc>
          <w:tcPr>
            <w:tcW w:w="2128" w:type="dxa"/>
            <w:tcMar>
              <w:top w:w="0" w:type="dxa"/>
              <w:left w:w="108" w:type="dxa"/>
              <w:bottom w:w="0" w:type="dxa"/>
              <w:right w:w="108" w:type="dxa"/>
            </w:tcMar>
            <w:vAlign w:val="center"/>
          </w:tcPr>
          <w:p w14:paraId="3EBE056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1.4 mL</w:t>
            </w:r>
          </w:p>
        </w:tc>
      </w:tr>
      <w:tr w:rsidR="006F4DEE" w:rsidRPr="00FF4079" w14:paraId="681203A4" w14:textId="77777777" w:rsidTr="004114C0">
        <w:trPr>
          <w:jc w:val="center"/>
        </w:trPr>
        <w:tc>
          <w:tcPr>
            <w:tcW w:w="1595" w:type="dxa"/>
            <w:vMerge/>
          </w:tcPr>
          <w:p w14:paraId="6EB46C0B"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1AA1D46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D5EA81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436291E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0.9 – 0.99</w:t>
            </w:r>
          </w:p>
        </w:tc>
        <w:tc>
          <w:tcPr>
            <w:tcW w:w="2128" w:type="dxa"/>
            <w:tcMar>
              <w:top w:w="0" w:type="dxa"/>
              <w:left w:w="108" w:type="dxa"/>
              <w:bottom w:w="0" w:type="dxa"/>
              <w:right w:w="108" w:type="dxa"/>
            </w:tcMar>
            <w:vAlign w:val="center"/>
          </w:tcPr>
          <w:p w14:paraId="3784432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1.3 mL</w:t>
            </w:r>
          </w:p>
        </w:tc>
      </w:tr>
      <w:tr w:rsidR="006F4DEE" w:rsidRPr="00FF4079" w14:paraId="2CFB4E1A" w14:textId="77777777" w:rsidTr="004114C0">
        <w:trPr>
          <w:jc w:val="center"/>
        </w:trPr>
        <w:tc>
          <w:tcPr>
            <w:tcW w:w="1595" w:type="dxa"/>
            <w:vMerge/>
          </w:tcPr>
          <w:p w14:paraId="162292CE"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4766B5B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A55EEE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5DBA909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0.8 – 0.89</w:t>
            </w:r>
          </w:p>
        </w:tc>
        <w:tc>
          <w:tcPr>
            <w:tcW w:w="2128" w:type="dxa"/>
            <w:tcMar>
              <w:top w:w="0" w:type="dxa"/>
              <w:left w:w="108" w:type="dxa"/>
              <w:bottom w:w="0" w:type="dxa"/>
              <w:right w:w="108" w:type="dxa"/>
            </w:tcMar>
            <w:vAlign w:val="center"/>
          </w:tcPr>
          <w:p w14:paraId="594AFDE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1.1 mL</w:t>
            </w:r>
          </w:p>
        </w:tc>
      </w:tr>
      <w:tr w:rsidR="006F4DEE" w:rsidRPr="00FF4079" w14:paraId="62DE9E9F" w14:textId="77777777" w:rsidTr="004114C0">
        <w:trPr>
          <w:jc w:val="center"/>
        </w:trPr>
        <w:tc>
          <w:tcPr>
            <w:tcW w:w="1595" w:type="dxa"/>
            <w:vMerge/>
          </w:tcPr>
          <w:p w14:paraId="3FF0045A"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75E3C06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3D59ACE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344AE04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0.7 – 0.79</w:t>
            </w:r>
          </w:p>
        </w:tc>
        <w:tc>
          <w:tcPr>
            <w:tcW w:w="2128" w:type="dxa"/>
            <w:tcMar>
              <w:top w:w="0" w:type="dxa"/>
              <w:left w:w="108" w:type="dxa"/>
              <w:bottom w:w="0" w:type="dxa"/>
              <w:right w:w="108" w:type="dxa"/>
            </w:tcMar>
            <w:vAlign w:val="center"/>
          </w:tcPr>
          <w:p w14:paraId="378ACCC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1.01 mL</w:t>
            </w:r>
          </w:p>
        </w:tc>
      </w:tr>
      <w:tr w:rsidR="006F4DEE" w:rsidRPr="00FF4079" w14:paraId="0CF25E00" w14:textId="77777777" w:rsidTr="004114C0">
        <w:trPr>
          <w:jc w:val="center"/>
        </w:trPr>
        <w:tc>
          <w:tcPr>
            <w:tcW w:w="1595" w:type="dxa"/>
            <w:vMerge/>
          </w:tcPr>
          <w:p w14:paraId="117819AC"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477DA22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39C223E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67E94E0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0.6 – 0.69</w:t>
            </w:r>
          </w:p>
        </w:tc>
        <w:tc>
          <w:tcPr>
            <w:tcW w:w="2128" w:type="dxa"/>
            <w:tcMar>
              <w:top w:w="0" w:type="dxa"/>
              <w:left w:w="108" w:type="dxa"/>
              <w:bottom w:w="0" w:type="dxa"/>
              <w:right w:w="108" w:type="dxa"/>
            </w:tcMar>
            <w:vAlign w:val="center"/>
          </w:tcPr>
          <w:p w14:paraId="7C636A4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0.87 mL</w:t>
            </w:r>
          </w:p>
        </w:tc>
      </w:tr>
      <w:tr w:rsidR="006F4DEE" w:rsidRPr="00FF4079" w14:paraId="15A5B437" w14:textId="77777777" w:rsidTr="004114C0">
        <w:trPr>
          <w:jc w:val="center"/>
        </w:trPr>
        <w:tc>
          <w:tcPr>
            <w:tcW w:w="1595" w:type="dxa"/>
            <w:vMerge/>
          </w:tcPr>
          <w:p w14:paraId="490CDEDF"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0DCEE5A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554E27C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3259599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0.5 – 0.59</w:t>
            </w:r>
          </w:p>
        </w:tc>
        <w:tc>
          <w:tcPr>
            <w:tcW w:w="2128" w:type="dxa"/>
            <w:tcMar>
              <w:top w:w="0" w:type="dxa"/>
              <w:left w:w="108" w:type="dxa"/>
              <w:bottom w:w="0" w:type="dxa"/>
              <w:right w:w="108" w:type="dxa"/>
            </w:tcMar>
            <w:vAlign w:val="center"/>
          </w:tcPr>
          <w:p w14:paraId="28CE83D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0.74 mL</w:t>
            </w:r>
          </w:p>
        </w:tc>
      </w:tr>
      <w:tr w:rsidR="006F4DEE" w:rsidRPr="00FF4079" w14:paraId="260D4E92" w14:textId="77777777" w:rsidTr="004114C0">
        <w:trPr>
          <w:jc w:val="center"/>
        </w:trPr>
        <w:tc>
          <w:tcPr>
            <w:tcW w:w="1595" w:type="dxa"/>
            <w:vMerge/>
          </w:tcPr>
          <w:p w14:paraId="10FF7049"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32834CE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72291B9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2E14777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0.4 – 0.49</w:t>
            </w:r>
          </w:p>
        </w:tc>
        <w:tc>
          <w:tcPr>
            <w:tcW w:w="2128" w:type="dxa"/>
            <w:tcMar>
              <w:top w:w="0" w:type="dxa"/>
              <w:left w:w="108" w:type="dxa"/>
              <w:bottom w:w="0" w:type="dxa"/>
              <w:right w:w="108" w:type="dxa"/>
            </w:tcMar>
            <w:vAlign w:val="center"/>
          </w:tcPr>
          <w:p w14:paraId="6238547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0.60 mL</w:t>
            </w:r>
          </w:p>
        </w:tc>
      </w:tr>
      <w:tr w:rsidR="006F4DEE" w:rsidRPr="00FF4079" w14:paraId="0E92455F" w14:textId="77777777" w:rsidTr="004114C0">
        <w:trPr>
          <w:jc w:val="center"/>
        </w:trPr>
        <w:tc>
          <w:tcPr>
            <w:tcW w:w="1595" w:type="dxa"/>
            <w:vMerge/>
          </w:tcPr>
          <w:p w14:paraId="678BFBBF"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7147" w:type="dxa"/>
            <w:gridSpan w:val="4"/>
            <w:shd w:val="clear" w:color="auto" w:fill="D9D9D9" w:themeFill="background1" w:themeFillShade="D9"/>
            <w:vAlign w:val="center"/>
          </w:tcPr>
          <w:p w14:paraId="0045BDE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10"/>
                <w:szCs w:val="10"/>
              </w:rPr>
            </w:pPr>
          </w:p>
        </w:tc>
      </w:tr>
      <w:tr w:rsidR="006F4DEE" w:rsidRPr="00FF4079" w14:paraId="5A0F7BFF" w14:textId="77777777" w:rsidTr="004114C0">
        <w:trPr>
          <w:jc w:val="center"/>
        </w:trPr>
        <w:tc>
          <w:tcPr>
            <w:tcW w:w="1595" w:type="dxa"/>
            <w:vMerge/>
          </w:tcPr>
          <w:p w14:paraId="1C7BFED2"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val="restart"/>
            <w:vAlign w:val="center"/>
          </w:tcPr>
          <w:p w14:paraId="5BEB6DB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96 hours</w:t>
            </w:r>
          </w:p>
        </w:tc>
        <w:tc>
          <w:tcPr>
            <w:tcW w:w="1438" w:type="dxa"/>
            <w:vMerge w:val="restart"/>
            <w:vAlign w:val="center"/>
          </w:tcPr>
          <w:p w14:paraId="71DC4CE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2.5 mL/hour</w:t>
            </w:r>
          </w:p>
        </w:tc>
        <w:tc>
          <w:tcPr>
            <w:tcW w:w="2127" w:type="dxa"/>
            <w:tcMar>
              <w:top w:w="0" w:type="dxa"/>
              <w:left w:w="108" w:type="dxa"/>
              <w:bottom w:w="0" w:type="dxa"/>
              <w:right w:w="108" w:type="dxa"/>
            </w:tcMar>
          </w:tcPr>
          <w:p w14:paraId="2B7F5B2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1.5 – 1.59</w:t>
            </w:r>
          </w:p>
        </w:tc>
        <w:tc>
          <w:tcPr>
            <w:tcW w:w="2128" w:type="dxa"/>
            <w:tcMar>
              <w:top w:w="0" w:type="dxa"/>
              <w:left w:w="108" w:type="dxa"/>
              <w:bottom w:w="0" w:type="dxa"/>
              <w:right w:w="108" w:type="dxa"/>
            </w:tcMar>
            <w:vAlign w:val="center"/>
          </w:tcPr>
          <w:p w14:paraId="4FD92FE6"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2.8 mL</w:t>
            </w:r>
          </w:p>
        </w:tc>
      </w:tr>
      <w:tr w:rsidR="006F4DEE" w:rsidRPr="00FF4079" w14:paraId="7E2DC0A6" w14:textId="77777777" w:rsidTr="004114C0">
        <w:trPr>
          <w:jc w:val="center"/>
        </w:trPr>
        <w:tc>
          <w:tcPr>
            <w:tcW w:w="1595" w:type="dxa"/>
            <w:vMerge/>
          </w:tcPr>
          <w:p w14:paraId="1F14BFA1"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7A083CB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290EC97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3752E97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1.4 – 1.49</w:t>
            </w:r>
          </w:p>
        </w:tc>
        <w:tc>
          <w:tcPr>
            <w:tcW w:w="2128" w:type="dxa"/>
            <w:tcMar>
              <w:top w:w="0" w:type="dxa"/>
              <w:left w:w="108" w:type="dxa"/>
              <w:bottom w:w="0" w:type="dxa"/>
              <w:right w:w="108" w:type="dxa"/>
            </w:tcMar>
            <w:vAlign w:val="center"/>
          </w:tcPr>
          <w:p w14:paraId="02D345E9"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2.6 mL</w:t>
            </w:r>
          </w:p>
        </w:tc>
      </w:tr>
      <w:tr w:rsidR="006F4DEE" w:rsidRPr="00FF4079" w14:paraId="46281411" w14:textId="77777777" w:rsidTr="004114C0">
        <w:trPr>
          <w:jc w:val="center"/>
        </w:trPr>
        <w:tc>
          <w:tcPr>
            <w:tcW w:w="1595" w:type="dxa"/>
            <w:vMerge/>
          </w:tcPr>
          <w:p w14:paraId="3C44ABAD"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317AD0B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FA586D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1C3202A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1.3 – 1.39</w:t>
            </w:r>
          </w:p>
        </w:tc>
        <w:tc>
          <w:tcPr>
            <w:tcW w:w="2128" w:type="dxa"/>
            <w:tcMar>
              <w:top w:w="0" w:type="dxa"/>
              <w:left w:w="108" w:type="dxa"/>
              <w:bottom w:w="0" w:type="dxa"/>
              <w:right w:w="108" w:type="dxa"/>
            </w:tcMar>
            <w:vAlign w:val="center"/>
          </w:tcPr>
          <w:p w14:paraId="459D7F43"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2.4 mL</w:t>
            </w:r>
          </w:p>
        </w:tc>
      </w:tr>
      <w:tr w:rsidR="006F4DEE" w:rsidRPr="00FF4079" w14:paraId="2068364E" w14:textId="77777777" w:rsidTr="004114C0">
        <w:trPr>
          <w:jc w:val="center"/>
        </w:trPr>
        <w:tc>
          <w:tcPr>
            <w:tcW w:w="1595" w:type="dxa"/>
            <w:vMerge/>
          </w:tcPr>
          <w:p w14:paraId="0A96AB24"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51304B2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4C1326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42B660B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1.2 – 1.29</w:t>
            </w:r>
          </w:p>
        </w:tc>
        <w:tc>
          <w:tcPr>
            <w:tcW w:w="2128" w:type="dxa"/>
            <w:tcMar>
              <w:top w:w="0" w:type="dxa"/>
              <w:left w:w="108" w:type="dxa"/>
              <w:bottom w:w="0" w:type="dxa"/>
              <w:right w:w="108" w:type="dxa"/>
            </w:tcMar>
            <w:vAlign w:val="center"/>
          </w:tcPr>
          <w:p w14:paraId="69A9567F"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2.2 mL</w:t>
            </w:r>
          </w:p>
        </w:tc>
      </w:tr>
      <w:tr w:rsidR="006F4DEE" w:rsidRPr="00FF4079" w14:paraId="0B02F5B1" w14:textId="77777777" w:rsidTr="004114C0">
        <w:trPr>
          <w:jc w:val="center"/>
        </w:trPr>
        <w:tc>
          <w:tcPr>
            <w:tcW w:w="1595" w:type="dxa"/>
            <w:vMerge/>
          </w:tcPr>
          <w:p w14:paraId="58F824F4"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42AE7D9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3B1487E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1DAEB3C3"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1.1 – 1.19</w:t>
            </w:r>
          </w:p>
        </w:tc>
        <w:tc>
          <w:tcPr>
            <w:tcW w:w="2128" w:type="dxa"/>
            <w:tcMar>
              <w:top w:w="0" w:type="dxa"/>
              <w:left w:w="108" w:type="dxa"/>
              <w:bottom w:w="0" w:type="dxa"/>
              <w:right w:w="108" w:type="dxa"/>
            </w:tcMar>
            <w:vAlign w:val="center"/>
          </w:tcPr>
          <w:p w14:paraId="52330992"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2.1 mL</w:t>
            </w:r>
          </w:p>
        </w:tc>
      </w:tr>
      <w:tr w:rsidR="006F4DEE" w:rsidRPr="00FF4079" w14:paraId="07E3C037" w14:textId="77777777" w:rsidTr="004114C0">
        <w:trPr>
          <w:jc w:val="center"/>
        </w:trPr>
        <w:tc>
          <w:tcPr>
            <w:tcW w:w="1595" w:type="dxa"/>
            <w:vMerge/>
          </w:tcPr>
          <w:p w14:paraId="0B983E01"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6A8F506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170C676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51E8523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1 – 1.09</w:t>
            </w:r>
          </w:p>
        </w:tc>
        <w:tc>
          <w:tcPr>
            <w:tcW w:w="2128" w:type="dxa"/>
            <w:tcMar>
              <w:top w:w="0" w:type="dxa"/>
              <w:left w:w="108" w:type="dxa"/>
              <w:bottom w:w="0" w:type="dxa"/>
              <w:right w:w="108" w:type="dxa"/>
            </w:tcMar>
            <w:vAlign w:val="center"/>
          </w:tcPr>
          <w:p w14:paraId="58A68907"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1.9 mL</w:t>
            </w:r>
          </w:p>
        </w:tc>
      </w:tr>
      <w:tr w:rsidR="006F4DEE" w:rsidRPr="00FF4079" w14:paraId="36C10FC1" w14:textId="77777777" w:rsidTr="004114C0">
        <w:trPr>
          <w:jc w:val="center"/>
        </w:trPr>
        <w:tc>
          <w:tcPr>
            <w:tcW w:w="1595" w:type="dxa"/>
            <w:vMerge/>
          </w:tcPr>
          <w:p w14:paraId="4751BC52"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25B2746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4A293CE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2B11884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0.9 – 0.99</w:t>
            </w:r>
          </w:p>
        </w:tc>
        <w:tc>
          <w:tcPr>
            <w:tcW w:w="2128" w:type="dxa"/>
            <w:tcMar>
              <w:top w:w="0" w:type="dxa"/>
              <w:left w:w="108" w:type="dxa"/>
              <w:bottom w:w="0" w:type="dxa"/>
              <w:right w:w="108" w:type="dxa"/>
            </w:tcMar>
            <w:vAlign w:val="center"/>
          </w:tcPr>
          <w:p w14:paraId="5AA63EB8"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1.7 mL</w:t>
            </w:r>
          </w:p>
        </w:tc>
      </w:tr>
      <w:tr w:rsidR="006F4DEE" w:rsidRPr="00FF4079" w14:paraId="5E372743" w14:textId="77777777" w:rsidTr="004114C0">
        <w:trPr>
          <w:jc w:val="center"/>
        </w:trPr>
        <w:tc>
          <w:tcPr>
            <w:tcW w:w="1595" w:type="dxa"/>
            <w:vMerge/>
          </w:tcPr>
          <w:p w14:paraId="27864312"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64C7C8D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5F713FB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16A543B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0.8 – 0.89</w:t>
            </w:r>
          </w:p>
        </w:tc>
        <w:tc>
          <w:tcPr>
            <w:tcW w:w="2128" w:type="dxa"/>
            <w:tcMar>
              <w:top w:w="0" w:type="dxa"/>
              <w:left w:w="108" w:type="dxa"/>
              <w:bottom w:w="0" w:type="dxa"/>
              <w:right w:w="108" w:type="dxa"/>
            </w:tcMar>
            <w:vAlign w:val="center"/>
          </w:tcPr>
          <w:p w14:paraId="5D248CB7"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1.5 mL</w:t>
            </w:r>
          </w:p>
        </w:tc>
      </w:tr>
      <w:tr w:rsidR="006F4DEE" w:rsidRPr="00FF4079" w14:paraId="130B8C73" w14:textId="77777777" w:rsidTr="004114C0">
        <w:trPr>
          <w:jc w:val="center"/>
        </w:trPr>
        <w:tc>
          <w:tcPr>
            <w:tcW w:w="1595" w:type="dxa"/>
            <w:vMerge/>
          </w:tcPr>
          <w:p w14:paraId="04EA2CEE"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26CA560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3B53A49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12DDD80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0.7 – 0.79</w:t>
            </w:r>
          </w:p>
        </w:tc>
        <w:tc>
          <w:tcPr>
            <w:tcW w:w="2128" w:type="dxa"/>
            <w:tcMar>
              <w:top w:w="0" w:type="dxa"/>
              <w:left w:w="108" w:type="dxa"/>
              <w:bottom w:w="0" w:type="dxa"/>
              <w:right w:w="108" w:type="dxa"/>
            </w:tcMar>
            <w:vAlign w:val="center"/>
          </w:tcPr>
          <w:p w14:paraId="63B432BE"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1.3 mL</w:t>
            </w:r>
          </w:p>
        </w:tc>
      </w:tr>
      <w:tr w:rsidR="006F4DEE" w:rsidRPr="00FF4079" w14:paraId="5912EA1A" w14:textId="77777777" w:rsidTr="004114C0">
        <w:trPr>
          <w:jc w:val="center"/>
        </w:trPr>
        <w:tc>
          <w:tcPr>
            <w:tcW w:w="1595" w:type="dxa"/>
            <w:vMerge/>
          </w:tcPr>
          <w:p w14:paraId="3D17E10F"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5821C8A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231B7E1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70C126D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0.6 – 0.69</w:t>
            </w:r>
          </w:p>
        </w:tc>
        <w:tc>
          <w:tcPr>
            <w:tcW w:w="2128" w:type="dxa"/>
            <w:tcMar>
              <w:top w:w="0" w:type="dxa"/>
              <w:left w:w="108" w:type="dxa"/>
              <w:bottom w:w="0" w:type="dxa"/>
              <w:right w:w="108" w:type="dxa"/>
            </w:tcMar>
            <w:vAlign w:val="center"/>
          </w:tcPr>
          <w:p w14:paraId="3CFD3624"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1.2 mL</w:t>
            </w:r>
          </w:p>
        </w:tc>
      </w:tr>
      <w:tr w:rsidR="006F4DEE" w:rsidRPr="00FF4079" w14:paraId="5A84A661" w14:textId="77777777" w:rsidTr="004114C0">
        <w:trPr>
          <w:jc w:val="center"/>
        </w:trPr>
        <w:tc>
          <w:tcPr>
            <w:tcW w:w="1595" w:type="dxa"/>
            <w:vMerge/>
          </w:tcPr>
          <w:p w14:paraId="45ABDE48"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Pr>
          <w:p w14:paraId="6D7B4D2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Pr>
          <w:p w14:paraId="2E4B47E1"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Mar>
              <w:top w:w="0" w:type="dxa"/>
              <w:left w:w="108" w:type="dxa"/>
              <w:bottom w:w="0" w:type="dxa"/>
              <w:right w:w="108" w:type="dxa"/>
            </w:tcMar>
            <w:vAlign w:val="bottom"/>
          </w:tcPr>
          <w:p w14:paraId="1911488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0.5 – 0.59</w:t>
            </w:r>
          </w:p>
        </w:tc>
        <w:tc>
          <w:tcPr>
            <w:tcW w:w="2128" w:type="dxa"/>
            <w:tcMar>
              <w:top w:w="0" w:type="dxa"/>
              <w:left w:w="108" w:type="dxa"/>
              <w:bottom w:w="0" w:type="dxa"/>
              <w:right w:w="108" w:type="dxa"/>
            </w:tcMar>
            <w:vAlign w:val="center"/>
          </w:tcPr>
          <w:p w14:paraId="47170E19"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0.98 mL</w:t>
            </w:r>
          </w:p>
        </w:tc>
      </w:tr>
      <w:tr w:rsidR="006F4DEE" w:rsidRPr="00FF4079" w14:paraId="72464BAE" w14:textId="77777777" w:rsidTr="004114C0">
        <w:trPr>
          <w:jc w:val="center"/>
        </w:trPr>
        <w:tc>
          <w:tcPr>
            <w:tcW w:w="1595" w:type="dxa"/>
            <w:vMerge/>
            <w:tcBorders>
              <w:bottom w:val="single" w:sz="4" w:space="0" w:color="auto"/>
            </w:tcBorders>
          </w:tcPr>
          <w:p w14:paraId="2DEFB427" w14:textId="77777777" w:rsidR="006F4DEE" w:rsidRPr="009A4714" w:rsidRDefault="006F4DEE" w:rsidP="002535D8">
            <w:pPr>
              <w:keepNext/>
              <w:keepLines/>
              <w:autoSpaceDE w:val="0"/>
              <w:autoSpaceDN w:val="0"/>
              <w:adjustRightInd w:val="0"/>
              <w:spacing w:before="60" w:after="60" w:line="240" w:lineRule="atLeast"/>
              <w:ind w:left="1208"/>
              <w:jc w:val="center"/>
              <w:rPr>
                <w:rFonts w:ascii="Arial" w:hAnsi="Arial" w:cs="Arial"/>
                <w:sz w:val="20"/>
              </w:rPr>
            </w:pPr>
          </w:p>
        </w:tc>
        <w:tc>
          <w:tcPr>
            <w:tcW w:w="1454" w:type="dxa"/>
            <w:vMerge/>
            <w:tcBorders>
              <w:bottom w:val="single" w:sz="4" w:space="0" w:color="auto"/>
            </w:tcBorders>
          </w:tcPr>
          <w:p w14:paraId="5FDEF8A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1438" w:type="dxa"/>
            <w:vMerge/>
            <w:tcBorders>
              <w:bottom w:val="single" w:sz="4" w:space="0" w:color="auto"/>
            </w:tcBorders>
          </w:tcPr>
          <w:p w14:paraId="07F54F1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p>
        </w:tc>
        <w:tc>
          <w:tcPr>
            <w:tcW w:w="2127" w:type="dxa"/>
            <w:tcBorders>
              <w:bottom w:val="single" w:sz="4" w:space="0" w:color="auto"/>
            </w:tcBorders>
            <w:tcMar>
              <w:top w:w="0" w:type="dxa"/>
              <w:left w:w="108" w:type="dxa"/>
              <w:bottom w:w="0" w:type="dxa"/>
              <w:right w:w="108" w:type="dxa"/>
            </w:tcMar>
            <w:vAlign w:val="bottom"/>
          </w:tcPr>
          <w:p w14:paraId="68E8294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rPr>
            </w:pPr>
            <w:r w:rsidRPr="009A4714">
              <w:rPr>
                <w:rFonts w:ascii="Arial" w:hAnsi="Arial" w:cs="Arial"/>
                <w:sz w:val="20"/>
              </w:rPr>
              <w:t>0.4 – 0.49</w:t>
            </w:r>
          </w:p>
        </w:tc>
        <w:tc>
          <w:tcPr>
            <w:tcW w:w="2128" w:type="dxa"/>
            <w:tcBorders>
              <w:bottom w:val="single" w:sz="4" w:space="0" w:color="auto"/>
            </w:tcBorders>
            <w:tcMar>
              <w:top w:w="0" w:type="dxa"/>
              <w:left w:w="108" w:type="dxa"/>
              <w:bottom w:w="0" w:type="dxa"/>
              <w:right w:w="108" w:type="dxa"/>
            </w:tcMar>
            <w:vAlign w:val="center"/>
          </w:tcPr>
          <w:p w14:paraId="2D856A28" w14:textId="77777777" w:rsidR="006F4DEE" w:rsidRPr="009A4714" w:rsidRDefault="006F4DEE" w:rsidP="002535D8">
            <w:pPr>
              <w:spacing w:before="60" w:after="60" w:line="240" w:lineRule="atLeast"/>
              <w:jc w:val="center"/>
              <w:rPr>
                <w:rFonts w:ascii="Arial" w:hAnsi="Arial" w:cs="Arial"/>
                <w:sz w:val="20"/>
              </w:rPr>
            </w:pPr>
            <w:r w:rsidRPr="009A4714">
              <w:rPr>
                <w:rFonts w:ascii="Arial" w:hAnsi="Arial" w:cs="Arial"/>
                <w:sz w:val="20"/>
              </w:rPr>
              <w:t>0.80 mL</w:t>
            </w:r>
          </w:p>
        </w:tc>
      </w:tr>
    </w:tbl>
    <w:p w14:paraId="0DD25989" w14:textId="77777777" w:rsidR="002535D8" w:rsidRDefault="002535D8" w:rsidP="002535D8"/>
    <w:p w14:paraId="59C1920B" w14:textId="77777777" w:rsidR="002535D8" w:rsidRDefault="002535D8" w:rsidP="002535D8">
      <w:pPr>
        <w:rPr>
          <w:rFonts w:ascii="Arial" w:eastAsiaTheme="minorEastAsia" w:hAnsi="Arial"/>
          <w:lang w:eastAsia="ja-JP"/>
        </w:rPr>
      </w:pPr>
      <w:r>
        <w:br w:type="page"/>
      </w:r>
    </w:p>
    <w:p w14:paraId="720C8F74" w14:textId="20C35F9C" w:rsidR="006F4DEE" w:rsidRPr="00BB029B" w:rsidRDefault="006F4DEE" w:rsidP="00BB029B">
      <w:pPr>
        <w:pStyle w:val="Caption"/>
      </w:pPr>
      <w:r w:rsidRPr="00BB029B">
        <w:lastRenderedPageBreak/>
        <w:t>Table </w:t>
      </w:r>
      <w:r w:rsidR="007627A5" w:rsidRPr="00BB029B">
        <w:t>5</w:t>
      </w:r>
      <w:r w:rsidRPr="00BB029B">
        <w:t xml:space="preserve">.  For Patients Weighing Less Than 45 kg: Volumes of Reconstituted </w:t>
      </w:r>
      <w:proofErr w:type="spellStart"/>
      <w:r w:rsidRPr="00BB029B">
        <w:t>Blincyto</w:t>
      </w:r>
      <w:proofErr w:type="spellEnd"/>
      <w:r w:rsidRPr="00BB029B">
        <w:t xml:space="preserve"> to </w:t>
      </w:r>
      <w:r w:rsidR="002478C0">
        <w:t>A</w:t>
      </w:r>
      <w:r w:rsidRPr="00BB029B">
        <w:t>dd to IV Bag for 15 micrograms/m</w:t>
      </w:r>
      <w:r w:rsidRPr="003B6CCA">
        <w:rPr>
          <w:vertAlign w:val="superscript"/>
        </w:rPr>
        <w:t>2</w:t>
      </w:r>
      <w:r w:rsidRPr="00BB029B">
        <w:t>/day Dose</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0"/>
        <w:gridCol w:w="1347"/>
        <w:gridCol w:w="1418"/>
        <w:gridCol w:w="2126"/>
        <w:gridCol w:w="2290"/>
      </w:tblGrid>
      <w:tr w:rsidR="006F4DEE" w:rsidRPr="009A4714" w14:paraId="38F060F8" w14:textId="77777777" w:rsidTr="003B6CCA">
        <w:trPr>
          <w:jc w:val="center"/>
        </w:trPr>
        <w:tc>
          <w:tcPr>
            <w:tcW w:w="1630" w:type="dxa"/>
            <w:vAlign w:val="center"/>
          </w:tcPr>
          <w:p w14:paraId="66E83EB6" w14:textId="77777777" w:rsidR="006F4DEE" w:rsidRPr="009A4714" w:rsidRDefault="006F4DEE" w:rsidP="003B6CCA">
            <w:pPr>
              <w:keepNext/>
              <w:keepLines/>
              <w:spacing w:before="60" w:after="60" w:line="240" w:lineRule="atLeast"/>
              <w:jc w:val="center"/>
              <w:rPr>
                <w:rFonts w:ascii="Arial" w:hAnsi="Arial" w:cs="Arial"/>
                <w:b/>
                <w:sz w:val="20"/>
                <w:szCs w:val="20"/>
              </w:rPr>
            </w:pPr>
            <w:bookmarkStart w:id="6" w:name="_Hlk475971804"/>
            <w:r w:rsidRPr="009A4714">
              <w:rPr>
                <w:rFonts w:ascii="Arial" w:hAnsi="Arial" w:cs="Arial"/>
                <w:b/>
                <w:sz w:val="20"/>
                <w:szCs w:val="20"/>
              </w:rPr>
              <w:t>Dose</w:t>
            </w:r>
          </w:p>
        </w:tc>
        <w:tc>
          <w:tcPr>
            <w:tcW w:w="1347" w:type="dxa"/>
            <w:vAlign w:val="center"/>
          </w:tcPr>
          <w:p w14:paraId="76BAC9C5" w14:textId="77777777" w:rsidR="006F4DEE" w:rsidRPr="009A4714" w:rsidRDefault="006F4DEE" w:rsidP="003B6CCA">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Duration</w:t>
            </w:r>
          </w:p>
        </w:tc>
        <w:tc>
          <w:tcPr>
            <w:tcW w:w="1418" w:type="dxa"/>
            <w:vAlign w:val="center"/>
          </w:tcPr>
          <w:p w14:paraId="76DB7BDB" w14:textId="77777777" w:rsidR="006F4DEE" w:rsidRPr="009A4714" w:rsidRDefault="006F4DEE" w:rsidP="003B6CCA">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Rate</w:t>
            </w:r>
          </w:p>
        </w:tc>
        <w:tc>
          <w:tcPr>
            <w:tcW w:w="2126" w:type="dxa"/>
            <w:tcMar>
              <w:top w:w="0" w:type="dxa"/>
              <w:left w:w="108" w:type="dxa"/>
              <w:bottom w:w="0" w:type="dxa"/>
              <w:right w:w="108" w:type="dxa"/>
            </w:tcMar>
            <w:vAlign w:val="center"/>
            <w:hideMark/>
          </w:tcPr>
          <w:p w14:paraId="5D2B72F9" w14:textId="77777777" w:rsidR="006F4DEE" w:rsidRPr="009A4714" w:rsidRDefault="006F4DEE" w:rsidP="003B6CCA">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BSA (m</w:t>
            </w:r>
            <w:r w:rsidRPr="009A4714">
              <w:rPr>
                <w:rFonts w:ascii="Arial" w:hAnsi="Arial" w:cs="Arial"/>
                <w:b/>
                <w:sz w:val="20"/>
                <w:szCs w:val="20"/>
                <w:vertAlign w:val="superscript"/>
              </w:rPr>
              <w:t>2</w:t>
            </w:r>
            <w:r w:rsidRPr="009A4714">
              <w:rPr>
                <w:rFonts w:ascii="Arial" w:hAnsi="Arial" w:cs="Arial"/>
                <w:b/>
                <w:sz w:val="20"/>
                <w:szCs w:val="20"/>
              </w:rPr>
              <w:t>)</w:t>
            </w:r>
          </w:p>
        </w:tc>
        <w:tc>
          <w:tcPr>
            <w:tcW w:w="2290" w:type="dxa"/>
            <w:tcMar>
              <w:top w:w="0" w:type="dxa"/>
              <w:left w:w="108" w:type="dxa"/>
              <w:bottom w:w="0" w:type="dxa"/>
              <w:right w:w="108" w:type="dxa"/>
            </w:tcMar>
            <w:vAlign w:val="center"/>
            <w:hideMark/>
          </w:tcPr>
          <w:p w14:paraId="66E6A261" w14:textId="6951FEDE" w:rsidR="006F4DEE" w:rsidRPr="009A4714" w:rsidRDefault="006F4DEE" w:rsidP="001261C2">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 xml:space="preserve">Reconstituted </w:t>
            </w:r>
            <w:proofErr w:type="spellStart"/>
            <w:r w:rsidR="001261C2">
              <w:rPr>
                <w:rFonts w:ascii="Arial" w:hAnsi="Arial" w:cs="Arial"/>
                <w:b/>
                <w:sz w:val="20"/>
                <w:szCs w:val="20"/>
              </w:rPr>
              <w:t>Blincyto</w:t>
            </w:r>
            <w:proofErr w:type="spellEnd"/>
          </w:p>
        </w:tc>
      </w:tr>
      <w:tr w:rsidR="006F4DEE" w:rsidRPr="009A4714" w14:paraId="6420C92F" w14:textId="77777777" w:rsidTr="003B6CCA">
        <w:trPr>
          <w:trHeight w:val="215"/>
          <w:jc w:val="center"/>
        </w:trPr>
        <w:tc>
          <w:tcPr>
            <w:tcW w:w="1630" w:type="dxa"/>
            <w:vMerge w:val="restart"/>
            <w:vAlign w:val="center"/>
          </w:tcPr>
          <w:p w14:paraId="78C4DBFD" w14:textId="77777777" w:rsidR="006F4DEE" w:rsidRPr="00024DA2" w:rsidRDefault="006F4DEE" w:rsidP="003B6CCA">
            <w:pPr>
              <w:keepNext/>
              <w:keepLines/>
              <w:autoSpaceDE w:val="0"/>
              <w:autoSpaceDN w:val="0"/>
              <w:adjustRightInd w:val="0"/>
              <w:spacing w:before="60" w:after="60" w:line="240" w:lineRule="atLeast"/>
              <w:jc w:val="center"/>
              <w:rPr>
                <w:rFonts w:ascii="Arial" w:hAnsi="Arial" w:cs="Arial"/>
                <w:sz w:val="20"/>
                <w:szCs w:val="20"/>
              </w:rPr>
            </w:pPr>
            <w:bookmarkStart w:id="7" w:name="_Hlk475971779"/>
            <w:bookmarkEnd w:id="6"/>
            <w:r w:rsidRPr="00024DA2">
              <w:rPr>
                <w:rFonts w:ascii="Arial" w:hAnsi="Arial" w:cs="Arial"/>
                <w:bCs/>
                <w:sz w:val="20"/>
                <w:szCs w:val="20"/>
              </w:rPr>
              <w:t>15 micrograms/m</w:t>
            </w:r>
            <w:r w:rsidRPr="00024DA2">
              <w:rPr>
                <w:rFonts w:ascii="Arial" w:hAnsi="Arial" w:cs="Arial"/>
                <w:bCs/>
                <w:sz w:val="20"/>
                <w:szCs w:val="20"/>
                <w:vertAlign w:val="superscript"/>
              </w:rPr>
              <w:t>2</w:t>
            </w:r>
            <w:r w:rsidRPr="00024DA2">
              <w:rPr>
                <w:rFonts w:ascii="Arial" w:hAnsi="Arial" w:cs="Arial"/>
                <w:bCs/>
                <w:sz w:val="20"/>
                <w:szCs w:val="20"/>
              </w:rPr>
              <w:t>/day</w:t>
            </w:r>
            <w:bookmarkEnd w:id="7"/>
          </w:p>
        </w:tc>
        <w:tc>
          <w:tcPr>
            <w:tcW w:w="1347" w:type="dxa"/>
            <w:vMerge w:val="restart"/>
            <w:vAlign w:val="center"/>
          </w:tcPr>
          <w:p w14:paraId="3338673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24 hours</w:t>
            </w:r>
          </w:p>
        </w:tc>
        <w:tc>
          <w:tcPr>
            <w:tcW w:w="1418" w:type="dxa"/>
            <w:vMerge w:val="restart"/>
            <w:vAlign w:val="center"/>
          </w:tcPr>
          <w:p w14:paraId="15DC1E1E"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10 mL/hour</w:t>
            </w:r>
          </w:p>
        </w:tc>
        <w:tc>
          <w:tcPr>
            <w:tcW w:w="2126" w:type="dxa"/>
            <w:tcMar>
              <w:top w:w="0" w:type="dxa"/>
              <w:left w:w="108" w:type="dxa"/>
              <w:bottom w:w="0" w:type="dxa"/>
              <w:right w:w="108" w:type="dxa"/>
            </w:tcMar>
            <w:vAlign w:val="center"/>
            <w:hideMark/>
          </w:tcPr>
          <w:p w14:paraId="387C31C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1.5 – 1.59</w:t>
            </w:r>
          </w:p>
        </w:tc>
        <w:tc>
          <w:tcPr>
            <w:tcW w:w="2290" w:type="dxa"/>
            <w:tcMar>
              <w:top w:w="0" w:type="dxa"/>
              <w:left w:w="108" w:type="dxa"/>
              <w:bottom w:w="0" w:type="dxa"/>
              <w:right w:w="108" w:type="dxa"/>
            </w:tcMar>
            <w:vAlign w:val="center"/>
            <w:hideMark/>
          </w:tcPr>
          <w:p w14:paraId="0F8E60B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2.1 mL</w:t>
            </w:r>
          </w:p>
        </w:tc>
      </w:tr>
      <w:tr w:rsidR="006F4DEE" w:rsidRPr="009A4714" w14:paraId="050B6644" w14:textId="77777777" w:rsidTr="003B6CCA">
        <w:trPr>
          <w:jc w:val="center"/>
        </w:trPr>
        <w:tc>
          <w:tcPr>
            <w:tcW w:w="1630" w:type="dxa"/>
            <w:vMerge/>
            <w:vAlign w:val="center"/>
          </w:tcPr>
          <w:p w14:paraId="58D2EA36"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2E70072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1ACF9F2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2A19DDF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 1.49</w:t>
            </w:r>
          </w:p>
        </w:tc>
        <w:tc>
          <w:tcPr>
            <w:tcW w:w="2290" w:type="dxa"/>
            <w:tcMar>
              <w:top w:w="0" w:type="dxa"/>
              <w:left w:w="108" w:type="dxa"/>
              <w:bottom w:w="0" w:type="dxa"/>
              <w:right w:w="108" w:type="dxa"/>
            </w:tcMar>
            <w:vAlign w:val="center"/>
            <w:hideMark/>
          </w:tcPr>
          <w:p w14:paraId="3D65CA3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2 mL</w:t>
            </w:r>
          </w:p>
        </w:tc>
      </w:tr>
      <w:tr w:rsidR="006F4DEE" w:rsidRPr="009A4714" w14:paraId="22DEA584" w14:textId="77777777" w:rsidTr="003B6CCA">
        <w:trPr>
          <w:jc w:val="center"/>
        </w:trPr>
        <w:tc>
          <w:tcPr>
            <w:tcW w:w="1630" w:type="dxa"/>
            <w:vMerge/>
            <w:vAlign w:val="center"/>
          </w:tcPr>
          <w:p w14:paraId="215F00B8"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54AB474B"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49DAE7C8"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6DFAADD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 1.39</w:t>
            </w:r>
          </w:p>
        </w:tc>
        <w:tc>
          <w:tcPr>
            <w:tcW w:w="2290" w:type="dxa"/>
            <w:tcMar>
              <w:top w:w="0" w:type="dxa"/>
              <w:left w:w="108" w:type="dxa"/>
              <w:bottom w:w="0" w:type="dxa"/>
              <w:right w:w="108" w:type="dxa"/>
            </w:tcMar>
            <w:vAlign w:val="center"/>
            <w:hideMark/>
          </w:tcPr>
          <w:p w14:paraId="44EBBDD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1.8 mL</w:t>
            </w:r>
          </w:p>
        </w:tc>
      </w:tr>
      <w:tr w:rsidR="006F4DEE" w:rsidRPr="009A4714" w14:paraId="02033DB5" w14:textId="77777777" w:rsidTr="003B6CCA">
        <w:trPr>
          <w:jc w:val="center"/>
        </w:trPr>
        <w:tc>
          <w:tcPr>
            <w:tcW w:w="1630" w:type="dxa"/>
            <w:vMerge/>
            <w:vAlign w:val="center"/>
          </w:tcPr>
          <w:p w14:paraId="52808C93"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289DB22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44C8585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54F1B0B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1.2 – 1.29</w:t>
            </w:r>
          </w:p>
        </w:tc>
        <w:tc>
          <w:tcPr>
            <w:tcW w:w="2290" w:type="dxa"/>
            <w:tcMar>
              <w:top w:w="0" w:type="dxa"/>
              <w:left w:w="108" w:type="dxa"/>
              <w:bottom w:w="0" w:type="dxa"/>
              <w:right w:w="108" w:type="dxa"/>
            </w:tcMar>
            <w:vAlign w:val="center"/>
            <w:hideMark/>
          </w:tcPr>
          <w:p w14:paraId="5715FFC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1.7  mL</w:t>
            </w:r>
          </w:p>
        </w:tc>
      </w:tr>
      <w:tr w:rsidR="006F4DEE" w:rsidRPr="009A4714" w14:paraId="399C7C9B" w14:textId="77777777" w:rsidTr="003B6CCA">
        <w:trPr>
          <w:jc w:val="center"/>
        </w:trPr>
        <w:tc>
          <w:tcPr>
            <w:tcW w:w="1630" w:type="dxa"/>
            <w:vMerge/>
            <w:vAlign w:val="center"/>
          </w:tcPr>
          <w:p w14:paraId="51630140"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5E33CC7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0436F3E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4B36B6A2"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 1.19</w:t>
            </w:r>
          </w:p>
        </w:tc>
        <w:tc>
          <w:tcPr>
            <w:tcW w:w="2290" w:type="dxa"/>
            <w:tcMar>
              <w:top w:w="0" w:type="dxa"/>
              <w:left w:w="108" w:type="dxa"/>
              <w:bottom w:w="0" w:type="dxa"/>
              <w:right w:w="108" w:type="dxa"/>
            </w:tcMar>
            <w:vAlign w:val="center"/>
            <w:hideMark/>
          </w:tcPr>
          <w:p w14:paraId="0D09520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1.5 mL</w:t>
            </w:r>
          </w:p>
        </w:tc>
      </w:tr>
      <w:tr w:rsidR="006F4DEE" w:rsidRPr="009A4714" w14:paraId="1D573717" w14:textId="77777777" w:rsidTr="003B6CCA">
        <w:trPr>
          <w:jc w:val="center"/>
        </w:trPr>
        <w:tc>
          <w:tcPr>
            <w:tcW w:w="1630" w:type="dxa"/>
            <w:vMerge/>
            <w:vAlign w:val="center"/>
          </w:tcPr>
          <w:p w14:paraId="43652AA3"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1B219160"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71D2C16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3D5268BB"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 – 1.09</w:t>
            </w:r>
          </w:p>
        </w:tc>
        <w:tc>
          <w:tcPr>
            <w:tcW w:w="2290" w:type="dxa"/>
            <w:tcMar>
              <w:top w:w="0" w:type="dxa"/>
              <w:left w:w="108" w:type="dxa"/>
              <w:bottom w:w="0" w:type="dxa"/>
              <w:right w:w="108" w:type="dxa"/>
            </w:tcMar>
            <w:vAlign w:val="center"/>
            <w:hideMark/>
          </w:tcPr>
          <w:p w14:paraId="1D889F62"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mL</w:t>
            </w:r>
          </w:p>
        </w:tc>
      </w:tr>
      <w:tr w:rsidR="006F4DEE" w:rsidRPr="009A4714" w14:paraId="34106343" w14:textId="77777777" w:rsidTr="003B6CCA">
        <w:trPr>
          <w:jc w:val="center"/>
        </w:trPr>
        <w:tc>
          <w:tcPr>
            <w:tcW w:w="1630" w:type="dxa"/>
            <w:vMerge/>
            <w:vAlign w:val="center"/>
          </w:tcPr>
          <w:p w14:paraId="35E92195"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4BBA1BC2"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DC7B80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31EB69C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0.9 – 0.99</w:t>
            </w:r>
          </w:p>
        </w:tc>
        <w:tc>
          <w:tcPr>
            <w:tcW w:w="2290" w:type="dxa"/>
            <w:tcMar>
              <w:top w:w="0" w:type="dxa"/>
              <w:left w:w="108" w:type="dxa"/>
              <w:bottom w:w="0" w:type="dxa"/>
              <w:right w:w="108" w:type="dxa"/>
            </w:tcMar>
            <w:vAlign w:val="center"/>
            <w:hideMark/>
          </w:tcPr>
          <w:p w14:paraId="2F46394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mL</w:t>
            </w:r>
          </w:p>
        </w:tc>
      </w:tr>
      <w:tr w:rsidR="006F4DEE" w:rsidRPr="009A4714" w14:paraId="5EE95EB6" w14:textId="77777777" w:rsidTr="003B6CCA">
        <w:trPr>
          <w:jc w:val="center"/>
        </w:trPr>
        <w:tc>
          <w:tcPr>
            <w:tcW w:w="1630" w:type="dxa"/>
            <w:vMerge/>
            <w:vAlign w:val="center"/>
          </w:tcPr>
          <w:p w14:paraId="73BCCE97"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2D4E5B1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20A1C83"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48F4912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 – 0.89</w:t>
            </w:r>
          </w:p>
        </w:tc>
        <w:tc>
          <w:tcPr>
            <w:tcW w:w="2290" w:type="dxa"/>
            <w:tcMar>
              <w:top w:w="0" w:type="dxa"/>
              <w:left w:w="108" w:type="dxa"/>
              <w:bottom w:w="0" w:type="dxa"/>
              <w:right w:w="108" w:type="dxa"/>
            </w:tcMar>
            <w:vAlign w:val="center"/>
            <w:hideMark/>
          </w:tcPr>
          <w:p w14:paraId="69723F0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mL</w:t>
            </w:r>
          </w:p>
        </w:tc>
      </w:tr>
      <w:tr w:rsidR="006F4DEE" w:rsidRPr="009A4714" w14:paraId="00A446BA" w14:textId="77777777" w:rsidTr="003B6CCA">
        <w:trPr>
          <w:jc w:val="center"/>
        </w:trPr>
        <w:tc>
          <w:tcPr>
            <w:tcW w:w="1630" w:type="dxa"/>
            <w:vMerge/>
            <w:vAlign w:val="center"/>
          </w:tcPr>
          <w:p w14:paraId="39E36487"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639464E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4EF01EA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6CD3D41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 0.79</w:t>
            </w:r>
          </w:p>
        </w:tc>
        <w:tc>
          <w:tcPr>
            <w:tcW w:w="2290" w:type="dxa"/>
            <w:tcMar>
              <w:top w:w="0" w:type="dxa"/>
              <w:left w:w="108" w:type="dxa"/>
              <w:bottom w:w="0" w:type="dxa"/>
              <w:right w:w="108" w:type="dxa"/>
            </w:tcMar>
            <w:vAlign w:val="center"/>
            <w:hideMark/>
          </w:tcPr>
          <w:p w14:paraId="157D3D4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1.01 mL</w:t>
            </w:r>
          </w:p>
        </w:tc>
      </w:tr>
      <w:tr w:rsidR="006F4DEE" w:rsidRPr="009A4714" w14:paraId="41C56F8D" w14:textId="77777777" w:rsidTr="003B6CCA">
        <w:trPr>
          <w:jc w:val="center"/>
        </w:trPr>
        <w:tc>
          <w:tcPr>
            <w:tcW w:w="1630" w:type="dxa"/>
            <w:vMerge/>
            <w:vAlign w:val="center"/>
          </w:tcPr>
          <w:p w14:paraId="393A0C10"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02ED880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6D8814AF"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188E7AD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 0.69</w:t>
            </w:r>
          </w:p>
        </w:tc>
        <w:tc>
          <w:tcPr>
            <w:tcW w:w="2290" w:type="dxa"/>
            <w:tcMar>
              <w:top w:w="0" w:type="dxa"/>
              <w:left w:w="108" w:type="dxa"/>
              <w:bottom w:w="0" w:type="dxa"/>
              <w:right w:w="108" w:type="dxa"/>
            </w:tcMar>
            <w:vAlign w:val="center"/>
            <w:hideMark/>
          </w:tcPr>
          <w:p w14:paraId="2D0C091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0.87 mL</w:t>
            </w:r>
          </w:p>
        </w:tc>
      </w:tr>
      <w:tr w:rsidR="006F4DEE" w:rsidRPr="009A4714" w14:paraId="05ABD0C8" w14:textId="77777777" w:rsidTr="003B6CCA">
        <w:trPr>
          <w:jc w:val="center"/>
        </w:trPr>
        <w:tc>
          <w:tcPr>
            <w:tcW w:w="1630" w:type="dxa"/>
            <w:vMerge/>
            <w:vAlign w:val="center"/>
          </w:tcPr>
          <w:p w14:paraId="4E5556E7"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3AF3BE3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3D5768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1F3139D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 – 0.59</w:t>
            </w:r>
          </w:p>
        </w:tc>
        <w:tc>
          <w:tcPr>
            <w:tcW w:w="2290" w:type="dxa"/>
            <w:tcMar>
              <w:top w:w="0" w:type="dxa"/>
              <w:left w:w="108" w:type="dxa"/>
              <w:bottom w:w="0" w:type="dxa"/>
              <w:right w:w="108" w:type="dxa"/>
            </w:tcMar>
            <w:vAlign w:val="center"/>
            <w:hideMark/>
          </w:tcPr>
          <w:p w14:paraId="3E84BF4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0.74 mL</w:t>
            </w:r>
          </w:p>
        </w:tc>
      </w:tr>
      <w:tr w:rsidR="006F4DEE" w:rsidRPr="009A4714" w14:paraId="46FA471A" w14:textId="77777777" w:rsidTr="003B6CCA">
        <w:trPr>
          <w:jc w:val="center"/>
        </w:trPr>
        <w:tc>
          <w:tcPr>
            <w:tcW w:w="1630" w:type="dxa"/>
            <w:vMerge/>
            <w:vAlign w:val="center"/>
          </w:tcPr>
          <w:p w14:paraId="2B753A09"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4B4039A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79F048A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hideMark/>
          </w:tcPr>
          <w:p w14:paraId="121F329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 – 0.49</w:t>
            </w:r>
          </w:p>
        </w:tc>
        <w:tc>
          <w:tcPr>
            <w:tcW w:w="2290" w:type="dxa"/>
            <w:tcMar>
              <w:top w:w="0" w:type="dxa"/>
              <w:left w:w="108" w:type="dxa"/>
              <w:bottom w:w="0" w:type="dxa"/>
              <w:right w:w="108" w:type="dxa"/>
            </w:tcMar>
            <w:vAlign w:val="center"/>
            <w:hideMark/>
          </w:tcPr>
          <w:p w14:paraId="51E4861F"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mL</w:t>
            </w:r>
          </w:p>
        </w:tc>
      </w:tr>
      <w:tr w:rsidR="006F4DEE" w:rsidRPr="009A4714" w14:paraId="092B2379" w14:textId="77777777" w:rsidTr="003B6CCA">
        <w:trPr>
          <w:trHeight w:val="58"/>
          <w:jc w:val="center"/>
        </w:trPr>
        <w:tc>
          <w:tcPr>
            <w:tcW w:w="1630" w:type="dxa"/>
            <w:vMerge/>
            <w:shd w:val="clear" w:color="auto" w:fill="D9D9D9"/>
            <w:vAlign w:val="center"/>
          </w:tcPr>
          <w:p w14:paraId="0A86833F" w14:textId="77777777" w:rsidR="006F4DEE" w:rsidRPr="009A4714" w:rsidRDefault="006F4DEE" w:rsidP="003B6CCA">
            <w:pPr>
              <w:keepNext/>
              <w:keepLines/>
              <w:tabs>
                <w:tab w:val="left" w:pos="450"/>
              </w:tabs>
              <w:spacing w:before="60" w:after="60" w:line="240" w:lineRule="atLeast"/>
              <w:ind w:left="1208"/>
              <w:jc w:val="center"/>
              <w:rPr>
                <w:rFonts w:ascii="Arial" w:hAnsi="Arial" w:cs="Arial"/>
                <w:sz w:val="20"/>
                <w:szCs w:val="20"/>
              </w:rPr>
            </w:pPr>
            <w:bookmarkStart w:id="8" w:name="_Hlk475971980"/>
          </w:p>
        </w:tc>
        <w:tc>
          <w:tcPr>
            <w:tcW w:w="7181" w:type="dxa"/>
            <w:gridSpan w:val="4"/>
            <w:shd w:val="clear" w:color="auto" w:fill="D9D9D9"/>
            <w:vAlign w:val="center"/>
          </w:tcPr>
          <w:p w14:paraId="6565B059" w14:textId="77777777" w:rsidR="006F4DEE" w:rsidRPr="00892D76" w:rsidRDefault="006F4DEE" w:rsidP="003B6CCA">
            <w:pPr>
              <w:keepNext/>
              <w:keepLines/>
              <w:tabs>
                <w:tab w:val="left" w:pos="450"/>
              </w:tabs>
              <w:spacing w:before="60" w:after="60" w:line="240" w:lineRule="atLeast"/>
              <w:jc w:val="center"/>
              <w:rPr>
                <w:rFonts w:ascii="Arial" w:hAnsi="Arial" w:cs="Arial"/>
                <w:sz w:val="4"/>
                <w:szCs w:val="20"/>
              </w:rPr>
            </w:pPr>
          </w:p>
        </w:tc>
      </w:tr>
      <w:bookmarkEnd w:id="8"/>
      <w:tr w:rsidR="006F4DEE" w:rsidRPr="009A4714" w14:paraId="0999F358" w14:textId="77777777" w:rsidTr="003B6CCA">
        <w:trPr>
          <w:jc w:val="center"/>
        </w:trPr>
        <w:tc>
          <w:tcPr>
            <w:tcW w:w="1630" w:type="dxa"/>
            <w:vMerge/>
            <w:vAlign w:val="center"/>
          </w:tcPr>
          <w:p w14:paraId="56FC83F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347" w:type="dxa"/>
            <w:vMerge w:val="restart"/>
            <w:vAlign w:val="center"/>
          </w:tcPr>
          <w:p w14:paraId="305F7E9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48 hours</w:t>
            </w:r>
          </w:p>
        </w:tc>
        <w:tc>
          <w:tcPr>
            <w:tcW w:w="1418" w:type="dxa"/>
            <w:vMerge w:val="restart"/>
            <w:vAlign w:val="center"/>
          </w:tcPr>
          <w:p w14:paraId="5A89056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5 mL/hour</w:t>
            </w:r>
          </w:p>
        </w:tc>
        <w:tc>
          <w:tcPr>
            <w:tcW w:w="2126" w:type="dxa"/>
            <w:tcMar>
              <w:top w:w="0" w:type="dxa"/>
              <w:left w:w="108" w:type="dxa"/>
              <w:bottom w:w="0" w:type="dxa"/>
              <w:right w:w="108" w:type="dxa"/>
            </w:tcMar>
            <w:vAlign w:val="center"/>
          </w:tcPr>
          <w:p w14:paraId="55A04ADB" w14:textId="77777777" w:rsidR="006F4DEE" w:rsidRPr="009A4714" w:rsidRDefault="006F4DEE" w:rsidP="003B6CCA">
            <w:pPr>
              <w:keepNext/>
              <w:keepLines/>
              <w:autoSpaceDE w:val="0"/>
              <w:autoSpaceDN w:val="0"/>
              <w:adjustRightInd w:val="0"/>
              <w:spacing w:before="60" w:after="60" w:line="240" w:lineRule="atLeast"/>
              <w:jc w:val="center"/>
              <w:rPr>
                <w:rFonts w:ascii="Arial" w:eastAsia="Calibri" w:hAnsi="Arial" w:cs="Arial"/>
                <w:b/>
                <w:sz w:val="20"/>
                <w:szCs w:val="20"/>
              </w:rPr>
            </w:pPr>
            <w:r w:rsidRPr="009A4714">
              <w:rPr>
                <w:rFonts w:ascii="Arial" w:hAnsi="Arial" w:cs="Arial"/>
                <w:sz w:val="20"/>
                <w:szCs w:val="20"/>
              </w:rPr>
              <w:t>1.5 – 1.59</w:t>
            </w:r>
          </w:p>
        </w:tc>
        <w:tc>
          <w:tcPr>
            <w:tcW w:w="2290" w:type="dxa"/>
            <w:tcMar>
              <w:top w:w="0" w:type="dxa"/>
              <w:left w:w="108" w:type="dxa"/>
              <w:bottom w:w="0" w:type="dxa"/>
              <w:right w:w="108" w:type="dxa"/>
            </w:tcMar>
            <w:vAlign w:val="center"/>
          </w:tcPr>
          <w:p w14:paraId="01648DA0"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 xml:space="preserve">4.2 </w:t>
            </w:r>
            <w:proofErr w:type="spellStart"/>
            <w:r w:rsidRPr="009A4714">
              <w:rPr>
                <w:rFonts w:ascii="Arial" w:hAnsi="Arial" w:cs="Arial"/>
                <w:sz w:val="20"/>
                <w:szCs w:val="20"/>
              </w:rPr>
              <w:t>mL</w:t>
            </w:r>
            <w:r w:rsidRPr="009A4714">
              <w:rPr>
                <w:rFonts w:ascii="Arial" w:hAnsi="Arial" w:cs="Arial"/>
                <w:sz w:val="20"/>
                <w:szCs w:val="20"/>
                <w:vertAlign w:val="superscript"/>
              </w:rPr>
              <w:t>a</w:t>
            </w:r>
            <w:proofErr w:type="spellEnd"/>
          </w:p>
        </w:tc>
      </w:tr>
      <w:tr w:rsidR="006F4DEE" w:rsidRPr="009A4714" w14:paraId="2764E310" w14:textId="77777777" w:rsidTr="003B6CCA">
        <w:trPr>
          <w:jc w:val="center"/>
        </w:trPr>
        <w:tc>
          <w:tcPr>
            <w:tcW w:w="1630" w:type="dxa"/>
            <w:vMerge/>
            <w:vAlign w:val="center"/>
          </w:tcPr>
          <w:p w14:paraId="72191DA1"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4892AAB4"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DAB8B5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790D5B2C"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 1.49</w:t>
            </w:r>
          </w:p>
        </w:tc>
        <w:tc>
          <w:tcPr>
            <w:tcW w:w="2290" w:type="dxa"/>
            <w:tcMar>
              <w:top w:w="0" w:type="dxa"/>
              <w:left w:w="108" w:type="dxa"/>
              <w:bottom w:w="0" w:type="dxa"/>
              <w:right w:w="108" w:type="dxa"/>
            </w:tcMar>
            <w:vAlign w:val="center"/>
          </w:tcPr>
          <w:p w14:paraId="106FADA2"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 xml:space="preserve">3.9 </w:t>
            </w:r>
            <w:proofErr w:type="spellStart"/>
            <w:r w:rsidRPr="009A4714">
              <w:rPr>
                <w:rFonts w:ascii="Arial" w:hAnsi="Arial" w:cs="Arial"/>
                <w:sz w:val="20"/>
                <w:szCs w:val="20"/>
              </w:rPr>
              <w:t>mL</w:t>
            </w:r>
            <w:r w:rsidRPr="009A4714">
              <w:rPr>
                <w:rFonts w:ascii="Arial" w:hAnsi="Arial" w:cs="Arial"/>
                <w:sz w:val="20"/>
                <w:szCs w:val="20"/>
                <w:vertAlign w:val="superscript"/>
              </w:rPr>
              <w:t>a</w:t>
            </w:r>
            <w:proofErr w:type="spellEnd"/>
          </w:p>
        </w:tc>
      </w:tr>
      <w:tr w:rsidR="006F4DEE" w:rsidRPr="009A4714" w14:paraId="7E965FAA" w14:textId="77777777" w:rsidTr="003B6CCA">
        <w:trPr>
          <w:jc w:val="center"/>
        </w:trPr>
        <w:tc>
          <w:tcPr>
            <w:tcW w:w="1630" w:type="dxa"/>
            <w:vMerge/>
            <w:vAlign w:val="center"/>
          </w:tcPr>
          <w:p w14:paraId="6467B407"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79725AD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314C6D3"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3F1C4DE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 1.39</w:t>
            </w:r>
          </w:p>
        </w:tc>
        <w:tc>
          <w:tcPr>
            <w:tcW w:w="2290" w:type="dxa"/>
            <w:tcMar>
              <w:top w:w="0" w:type="dxa"/>
              <w:left w:w="108" w:type="dxa"/>
              <w:bottom w:w="0" w:type="dxa"/>
              <w:right w:w="108" w:type="dxa"/>
            </w:tcMar>
            <w:vAlign w:val="center"/>
          </w:tcPr>
          <w:p w14:paraId="3BE5EBDD"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 xml:space="preserve">3.6 </w:t>
            </w:r>
            <w:proofErr w:type="spellStart"/>
            <w:r w:rsidRPr="009A4714">
              <w:rPr>
                <w:rFonts w:ascii="Arial" w:hAnsi="Arial" w:cs="Arial"/>
                <w:sz w:val="20"/>
                <w:szCs w:val="20"/>
              </w:rPr>
              <w:t>mL</w:t>
            </w:r>
            <w:r w:rsidRPr="009A4714">
              <w:rPr>
                <w:rFonts w:ascii="Arial" w:hAnsi="Arial" w:cs="Arial"/>
                <w:sz w:val="20"/>
                <w:szCs w:val="20"/>
                <w:vertAlign w:val="superscript"/>
              </w:rPr>
              <w:t>a</w:t>
            </w:r>
            <w:proofErr w:type="spellEnd"/>
          </w:p>
        </w:tc>
      </w:tr>
      <w:tr w:rsidR="006F4DEE" w:rsidRPr="009A4714" w14:paraId="1EB5EFC3" w14:textId="77777777" w:rsidTr="003B6CCA">
        <w:trPr>
          <w:jc w:val="center"/>
        </w:trPr>
        <w:tc>
          <w:tcPr>
            <w:tcW w:w="1630" w:type="dxa"/>
            <w:vMerge/>
            <w:vAlign w:val="center"/>
          </w:tcPr>
          <w:p w14:paraId="69E0E98D"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746CBC88"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0A89A658"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5DBF380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1.2 – 1.29</w:t>
            </w:r>
          </w:p>
        </w:tc>
        <w:tc>
          <w:tcPr>
            <w:tcW w:w="2290" w:type="dxa"/>
            <w:tcMar>
              <w:top w:w="0" w:type="dxa"/>
              <w:left w:w="108" w:type="dxa"/>
              <w:bottom w:w="0" w:type="dxa"/>
              <w:right w:w="108" w:type="dxa"/>
            </w:tcMar>
            <w:vAlign w:val="center"/>
          </w:tcPr>
          <w:p w14:paraId="0BD5A8B5"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 xml:space="preserve">3.4 </w:t>
            </w:r>
            <w:proofErr w:type="spellStart"/>
            <w:r w:rsidRPr="009A4714">
              <w:rPr>
                <w:rFonts w:ascii="Arial" w:hAnsi="Arial" w:cs="Arial"/>
                <w:sz w:val="20"/>
                <w:szCs w:val="20"/>
              </w:rPr>
              <w:t>mL</w:t>
            </w:r>
            <w:r w:rsidRPr="009A4714">
              <w:rPr>
                <w:rFonts w:ascii="Arial" w:hAnsi="Arial" w:cs="Arial"/>
                <w:sz w:val="20"/>
                <w:szCs w:val="20"/>
                <w:vertAlign w:val="superscript"/>
              </w:rPr>
              <w:t>a</w:t>
            </w:r>
            <w:proofErr w:type="spellEnd"/>
          </w:p>
        </w:tc>
      </w:tr>
      <w:tr w:rsidR="006F4DEE" w:rsidRPr="009A4714" w14:paraId="701EED7B" w14:textId="77777777" w:rsidTr="003B6CCA">
        <w:trPr>
          <w:jc w:val="center"/>
        </w:trPr>
        <w:tc>
          <w:tcPr>
            <w:tcW w:w="1630" w:type="dxa"/>
            <w:vMerge/>
            <w:vAlign w:val="center"/>
          </w:tcPr>
          <w:p w14:paraId="44BBD4AC"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74DA933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004F735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03078A20"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 1.19</w:t>
            </w:r>
          </w:p>
        </w:tc>
        <w:tc>
          <w:tcPr>
            <w:tcW w:w="2290" w:type="dxa"/>
            <w:tcMar>
              <w:top w:w="0" w:type="dxa"/>
              <w:left w:w="108" w:type="dxa"/>
              <w:bottom w:w="0" w:type="dxa"/>
              <w:right w:w="108" w:type="dxa"/>
            </w:tcMar>
            <w:vAlign w:val="center"/>
          </w:tcPr>
          <w:p w14:paraId="534A9ABC"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 xml:space="preserve">3.1 </w:t>
            </w:r>
            <w:proofErr w:type="spellStart"/>
            <w:r w:rsidRPr="009A4714">
              <w:rPr>
                <w:rFonts w:ascii="Arial" w:hAnsi="Arial" w:cs="Arial"/>
                <w:sz w:val="20"/>
                <w:szCs w:val="20"/>
              </w:rPr>
              <w:t>mL</w:t>
            </w:r>
            <w:r w:rsidRPr="009A4714">
              <w:rPr>
                <w:rFonts w:ascii="Arial" w:hAnsi="Arial" w:cs="Arial"/>
                <w:sz w:val="20"/>
                <w:szCs w:val="20"/>
                <w:vertAlign w:val="superscript"/>
              </w:rPr>
              <w:t>a</w:t>
            </w:r>
            <w:proofErr w:type="spellEnd"/>
          </w:p>
        </w:tc>
      </w:tr>
      <w:tr w:rsidR="006F4DEE" w:rsidRPr="009A4714" w14:paraId="3DE417FE" w14:textId="77777777" w:rsidTr="003B6CCA">
        <w:trPr>
          <w:jc w:val="center"/>
        </w:trPr>
        <w:tc>
          <w:tcPr>
            <w:tcW w:w="1630" w:type="dxa"/>
            <w:vMerge/>
            <w:vAlign w:val="center"/>
          </w:tcPr>
          <w:p w14:paraId="6D8987BC"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50292178"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54F5E14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77CFE463"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 – 1.09</w:t>
            </w:r>
          </w:p>
        </w:tc>
        <w:tc>
          <w:tcPr>
            <w:tcW w:w="2290" w:type="dxa"/>
            <w:tcMar>
              <w:top w:w="0" w:type="dxa"/>
              <w:left w:w="108" w:type="dxa"/>
              <w:bottom w:w="0" w:type="dxa"/>
              <w:right w:w="108" w:type="dxa"/>
            </w:tcMar>
            <w:vAlign w:val="center"/>
          </w:tcPr>
          <w:p w14:paraId="7D799F60"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2.8 mL</w:t>
            </w:r>
          </w:p>
        </w:tc>
      </w:tr>
      <w:tr w:rsidR="006F4DEE" w:rsidRPr="009A4714" w14:paraId="3A30C679" w14:textId="77777777" w:rsidTr="003B6CCA">
        <w:trPr>
          <w:jc w:val="center"/>
        </w:trPr>
        <w:tc>
          <w:tcPr>
            <w:tcW w:w="1630" w:type="dxa"/>
            <w:vMerge/>
            <w:vAlign w:val="center"/>
          </w:tcPr>
          <w:p w14:paraId="72793753"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2F4C5301"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1E191DE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449D5799"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0.9 – 0.99</w:t>
            </w:r>
          </w:p>
        </w:tc>
        <w:tc>
          <w:tcPr>
            <w:tcW w:w="2290" w:type="dxa"/>
            <w:tcMar>
              <w:top w:w="0" w:type="dxa"/>
              <w:left w:w="108" w:type="dxa"/>
              <w:bottom w:w="0" w:type="dxa"/>
              <w:right w:w="108" w:type="dxa"/>
            </w:tcMar>
            <w:vAlign w:val="center"/>
          </w:tcPr>
          <w:p w14:paraId="63366E42"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2.6 mL</w:t>
            </w:r>
          </w:p>
        </w:tc>
      </w:tr>
      <w:tr w:rsidR="006F4DEE" w:rsidRPr="009A4714" w14:paraId="1051586A" w14:textId="77777777" w:rsidTr="003B6CCA">
        <w:trPr>
          <w:jc w:val="center"/>
        </w:trPr>
        <w:tc>
          <w:tcPr>
            <w:tcW w:w="1630" w:type="dxa"/>
            <w:vMerge/>
            <w:vAlign w:val="center"/>
          </w:tcPr>
          <w:p w14:paraId="7C3AEA64"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7B3F07BE"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C190952"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27876E0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 – 0.89</w:t>
            </w:r>
          </w:p>
        </w:tc>
        <w:tc>
          <w:tcPr>
            <w:tcW w:w="2290" w:type="dxa"/>
            <w:tcMar>
              <w:top w:w="0" w:type="dxa"/>
              <w:left w:w="108" w:type="dxa"/>
              <w:bottom w:w="0" w:type="dxa"/>
              <w:right w:w="108" w:type="dxa"/>
            </w:tcMar>
            <w:vAlign w:val="center"/>
          </w:tcPr>
          <w:p w14:paraId="1194B0DA"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2.3 mL</w:t>
            </w:r>
          </w:p>
        </w:tc>
      </w:tr>
      <w:tr w:rsidR="006F4DEE" w:rsidRPr="009A4714" w14:paraId="43950B1F" w14:textId="77777777" w:rsidTr="003B6CCA">
        <w:trPr>
          <w:jc w:val="center"/>
        </w:trPr>
        <w:tc>
          <w:tcPr>
            <w:tcW w:w="1630" w:type="dxa"/>
            <w:vMerge/>
            <w:vAlign w:val="center"/>
          </w:tcPr>
          <w:p w14:paraId="1BB99D59"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3AD613B5"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41BEDF52"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528A1B17"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 0.79</w:t>
            </w:r>
          </w:p>
        </w:tc>
        <w:tc>
          <w:tcPr>
            <w:tcW w:w="2290" w:type="dxa"/>
            <w:tcMar>
              <w:top w:w="0" w:type="dxa"/>
              <w:left w:w="108" w:type="dxa"/>
              <w:bottom w:w="0" w:type="dxa"/>
              <w:right w:w="108" w:type="dxa"/>
            </w:tcMar>
            <w:vAlign w:val="center"/>
          </w:tcPr>
          <w:p w14:paraId="173E1414"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2 mL</w:t>
            </w:r>
          </w:p>
        </w:tc>
      </w:tr>
      <w:tr w:rsidR="006F4DEE" w:rsidRPr="009A4714" w14:paraId="2C9BAAD0" w14:textId="77777777" w:rsidTr="003B6CCA">
        <w:trPr>
          <w:jc w:val="center"/>
        </w:trPr>
        <w:tc>
          <w:tcPr>
            <w:tcW w:w="1630" w:type="dxa"/>
            <w:vMerge/>
            <w:vAlign w:val="center"/>
          </w:tcPr>
          <w:p w14:paraId="47D88585"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58871050"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5089B47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4DDD062E"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 0.69</w:t>
            </w:r>
          </w:p>
        </w:tc>
        <w:tc>
          <w:tcPr>
            <w:tcW w:w="2290" w:type="dxa"/>
            <w:tcMar>
              <w:top w:w="0" w:type="dxa"/>
              <w:left w:w="108" w:type="dxa"/>
              <w:bottom w:w="0" w:type="dxa"/>
              <w:right w:w="108" w:type="dxa"/>
            </w:tcMar>
            <w:vAlign w:val="center"/>
          </w:tcPr>
          <w:p w14:paraId="33430175"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1.7 mL</w:t>
            </w:r>
          </w:p>
        </w:tc>
      </w:tr>
      <w:tr w:rsidR="006F4DEE" w:rsidRPr="009A4714" w14:paraId="624EDDCB" w14:textId="77777777" w:rsidTr="003B6CCA">
        <w:trPr>
          <w:jc w:val="center"/>
        </w:trPr>
        <w:tc>
          <w:tcPr>
            <w:tcW w:w="1630" w:type="dxa"/>
            <w:vMerge/>
            <w:vAlign w:val="center"/>
          </w:tcPr>
          <w:p w14:paraId="6AF4C813"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4BAC6AE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308EE0D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74544A4E"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 – 0.59</w:t>
            </w:r>
          </w:p>
        </w:tc>
        <w:tc>
          <w:tcPr>
            <w:tcW w:w="2290" w:type="dxa"/>
            <w:tcMar>
              <w:top w:w="0" w:type="dxa"/>
              <w:left w:w="108" w:type="dxa"/>
              <w:bottom w:w="0" w:type="dxa"/>
              <w:right w:w="108" w:type="dxa"/>
            </w:tcMar>
            <w:vAlign w:val="center"/>
          </w:tcPr>
          <w:p w14:paraId="60B386FF" w14:textId="77777777" w:rsidR="006F4DEE" w:rsidRPr="009A4714" w:rsidRDefault="006F4DEE" w:rsidP="003B6CCA">
            <w:pPr>
              <w:spacing w:before="60" w:after="60" w:line="240" w:lineRule="atLeast"/>
              <w:jc w:val="center"/>
              <w:rPr>
                <w:rFonts w:ascii="Arial" w:hAnsi="Arial" w:cs="Arial"/>
                <w:sz w:val="20"/>
                <w:szCs w:val="20"/>
              </w:rPr>
            </w:pPr>
            <w:r w:rsidRPr="009A4714">
              <w:rPr>
                <w:rFonts w:ascii="Arial" w:hAnsi="Arial" w:cs="Arial"/>
                <w:sz w:val="20"/>
                <w:szCs w:val="20"/>
              </w:rPr>
              <w:t>1.5 mL</w:t>
            </w:r>
          </w:p>
        </w:tc>
      </w:tr>
      <w:tr w:rsidR="006F4DEE" w:rsidRPr="009A4714" w14:paraId="658A82B9" w14:textId="77777777" w:rsidTr="003B6CCA">
        <w:trPr>
          <w:jc w:val="center"/>
        </w:trPr>
        <w:tc>
          <w:tcPr>
            <w:tcW w:w="1630" w:type="dxa"/>
            <w:vMerge/>
            <w:vAlign w:val="center"/>
          </w:tcPr>
          <w:p w14:paraId="069FA9F0" w14:textId="77777777" w:rsidR="006F4DEE" w:rsidRPr="009A4714" w:rsidRDefault="006F4DEE" w:rsidP="003B6CCA">
            <w:pPr>
              <w:keepNext/>
              <w:keepLines/>
              <w:autoSpaceDE w:val="0"/>
              <w:autoSpaceDN w:val="0"/>
              <w:adjustRightInd w:val="0"/>
              <w:spacing w:before="60" w:after="60" w:line="240" w:lineRule="atLeast"/>
              <w:ind w:left="1208"/>
              <w:jc w:val="center"/>
              <w:rPr>
                <w:rFonts w:ascii="Arial" w:hAnsi="Arial" w:cs="Arial"/>
                <w:sz w:val="20"/>
                <w:szCs w:val="20"/>
              </w:rPr>
            </w:pPr>
          </w:p>
        </w:tc>
        <w:tc>
          <w:tcPr>
            <w:tcW w:w="1347" w:type="dxa"/>
            <w:vMerge/>
            <w:vAlign w:val="center"/>
          </w:tcPr>
          <w:p w14:paraId="364712F6"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1418" w:type="dxa"/>
            <w:vMerge/>
            <w:vAlign w:val="center"/>
          </w:tcPr>
          <w:p w14:paraId="5FAF38BD"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p>
        </w:tc>
        <w:tc>
          <w:tcPr>
            <w:tcW w:w="2126" w:type="dxa"/>
            <w:tcMar>
              <w:top w:w="0" w:type="dxa"/>
              <w:left w:w="108" w:type="dxa"/>
              <w:bottom w:w="0" w:type="dxa"/>
              <w:right w:w="108" w:type="dxa"/>
            </w:tcMar>
            <w:vAlign w:val="center"/>
          </w:tcPr>
          <w:p w14:paraId="60208E8A" w14:textId="77777777" w:rsidR="006F4DEE" w:rsidRPr="009A4714" w:rsidRDefault="006F4DEE" w:rsidP="003B6CCA">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 – 0.49</w:t>
            </w:r>
          </w:p>
        </w:tc>
        <w:tc>
          <w:tcPr>
            <w:tcW w:w="2290" w:type="dxa"/>
            <w:tcMar>
              <w:top w:w="0" w:type="dxa"/>
              <w:left w:w="108" w:type="dxa"/>
              <w:bottom w:w="0" w:type="dxa"/>
              <w:right w:w="108" w:type="dxa"/>
            </w:tcMar>
            <w:vAlign w:val="center"/>
          </w:tcPr>
          <w:p w14:paraId="5C0922D7" w14:textId="77777777" w:rsidR="006F4DEE" w:rsidRPr="009A4714" w:rsidRDefault="006F4DEE" w:rsidP="003B6CCA">
            <w:pPr>
              <w:spacing w:before="60" w:after="60" w:line="240" w:lineRule="atLeast"/>
              <w:jc w:val="center"/>
              <w:rPr>
                <w:rFonts w:ascii="Arial" w:hAnsi="Arial" w:cs="Arial"/>
                <w:b/>
                <w:sz w:val="20"/>
                <w:szCs w:val="20"/>
              </w:rPr>
            </w:pPr>
            <w:r w:rsidRPr="009A4714">
              <w:rPr>
                <w:rFonts w:ascii="Arial" w:hAnsi="Arial" w:cs="Arial"/>
                <w:sz w:val="20"/>
                <w:szCs w:val="20"/>
              </w:rPr>
              <w:t>1.2 mL</w:t>
            </w:r>
          </w:p>
        </w:tc>
      </w:tr>
    </w:tbl>
    <w:p w14:paraId="0DC5CD46" w14:textId="77777777" w:rsidR="006F4DEE" w:rsidRPr="00892D76" w:rsidRDefault="006F4DEE" w:rsidP="006F4DEE">
      <w:pPr>
        <w:jc w:val="right"/>
        <w:rPr>
          <w:rFonts w:ascii="Arial" w:hAnsi="Arial" w:cs="Arial"/>
          <w:sz w:val="20"/>
        </w:rPr>
      </w:pPr>
      <w:bookmarkStart w:id="9" w:name="_Hlk475974427"/>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1"/>
        <w:gridCol w:w="1165"/>
        <w:gridCol w:w="1459"/>
        <w:gridCol w:w="70"/>
        <w:gridCol w:w="1914"/>
        <w:gridCol w:w="2432"/>
      </w:tblGrid>
      <w:tr w:rsidR="006F4DEE" w:rsidRPr="009A4714" w14:paraId="43380EE2" w14:textId="77777777" w:rsidTr="004114C0">
        <w:trPr>
          <w:jc w:val="center"/>
        </w:trPr>
        <w:tc>
          <w:tcPr>
            <w:tcW w:w="1771" w:type="dxa"/>
            <w:vAlign w:val="center"/>
          </w:tcPr>
          <w:p w14:paraId="7860B6A4" w14:textId="77777777" w:rsidR="006F4DEE" w:rsidRPr="009A4714" w:rsidRDefault="006F4DEE" w:rsidP="002535D8">
            <w:pPr>
              <w:keepNext/>
              <w:keepLines/>
              <w:spacing w:before="60" w:after="60" w:line="240" w:lineRule="atLeast"/>
              <w:jc w:val="center"/>
              <w:rPr>
                <w:rFonts w:ascii="Arial" w:hAnsi="Arial" w:cs="Arial"/>
                <w:b/>
                <w:sz w:val="20"/>
                <w:szCs w:val="20"/>
              </w:rPr>
            </w:pPr>
            <w:bookmarkStart w:id="10" w:name="_Hlk475972053"/>
            <w:bookmarkEnd w:id="9"/>
            <w:r w:rsidRPr="009A4714">
              <w:rPr>
                <w:rFonts w:ascii="Arial" w:hAnsi="Arial" w:cs="Arial"/>
                <w:b/>
                <w:sz w:val="20"/>
                <w:szCs w:val="20"/>
              </w:rPr>
              <w:lastRenderedPageBreak/>
              <w:t>Dose</w:t>
            </w:r>
          </w:p>
        </w:tc>
        <w:tc>
          <w:tcPr>
            <w:tcW w:w="1165" w:type="dxa"/>
            <w:vAlign w:val="center"/>
          </w:tcPr>
          <w:p w14:paraId="314BA4F8" w14:textId="77777777" w:rsidR="006F4DEE" w:rsidRPr="009A4714" w:rsidRDefault="006F4DEE" w:rsidP="002535D8">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Duration</w:t>
            </w:r>
          </w:p>
        </w:tc>
        <w:tc>
          <w:tcPr>
            <w:tcW w:w="1459" w:type="dxa"/>
            <w:vAlign w:val="center"/>
          </w:tcPr>
          <w:p w14:paraId="3E048D71" w14:textId="77777777" w:rsidR="006F4DEE" w:rsidRPr="009A4714" w:rsidRDefault="006F4DEE" w:rsidP="002535D8">
            <w:pPr>
              <w:keepNext/>
              <w:keepLines/>
              <w:spacing w:before="60" w:after="60" w:line="240" w:lineRule="atLeast"/>
              <w:jc w:val="center"/>
              <w:rPr>
                <w:rFonts w:ascii="Arial" w:hAnsi="Arial" w:cs="Arial"/>
                <w:b/>
                <w:sz w:val="20"/>
                <w:szCs w:val="20"/>
              </w:rPr>
            </w:pPr>
            <w:r w:rsidRPr="009A4714">
              <w:rPr>
                <w:rFonts w:ascii="Arial" w:hAnsi="Arial" w:cs="Arial"/>
                <w:b/>
                <w:bCs/>
                <w:sz w:val="20"/>
                <w:szCs w:val="20"/>
              </w:rPr>
              <w:t>Infusion Rate</w:t>
            </w:r>
          </w:p>
        </w:tc>
        <w:tc>
          <w:tcPr>
            <w:tcW w:w="1984" w:type="dxa"/>
            <w:gridSpan w:val="2"/>
            <w:tcMar>
              <w:top w:w="0" w:type="dxa"/>
              <w:left w:w="108" w:type="dxa"/>
              <w:bottom w:w="0" w:type="dxa"/>
              <w:right w:w="108" w:type="dxa"/>
            </w:tcMar>
            <w:vAlign w:val="center"/>
            <w:hideMark/>
          </w:tcPr>
          <w:p w14:paraId="4FB30F9A" w14:textId="77777777" w:rsidR="006F4DEE" w:rsidRPr="009A4714" w:rsidRDefault="006F4DEE" w:rsidP="002535D8">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BSA (m</w:t>
            </w:r>
            <w:r w:rsidRPr="009A4714">
              <w:rPr>
                <w:rFonts w:ascii="Arial" w:hAnsi="Arial" w:cs="Arial"/>
                <w:b/>
                <w:sz w:val="20"/>
                <w:szCs w:val="20"/>
                <w:vertAlign w:val="superscript"/>
              </w:rPr>
              <w:t>2</w:t>
            </w:r>
            <w:r w:rsidRPr="009A4714">
              <w:rPr>
                <w:rFonts w:ascii="Arial" w:hAnsi="Arial" w:cs="Arial"/>
                <w:b/>
                <w:sz w:val="20"/>
                <w:szCs w:val="20"/>
              </w:rPr>
              <w:t>)</w:t>
            </w:r>
          </w:p>
        </w:tc>
        <w:tc>
          <w:tcPr>
            <w:tcW w:w="2432" w:type="dxa"/>
            <w:tcMar>
              <w:top w:w="0" w:type="dxa"/>
              <w:left w:w="108" w:type="dxa"/>
              <w:bottom w:w="0" w:type="dxa"/>
              <w:right w:w="108" w:type="dxa"/>
            </w:tcMar>
            <w:vAlign w:val="center"/>
            <w:hideMark/>
          </w:tcPr>
          <w:p w14:paraId="236A61D6" w14:textId="5A897E4A" w:rsidR="006F4DEE" w:rsidRPr="009A4714" w:rsidRDefault="006F4DEE" w:rsidP="001261C2">
            <w:pPr>
              <w:keepNext/>
              <w:keepLines/>
              <w:spacing w:before="60" w:after="60" w:line="240" w:lineRule="atLeast"/>
              <w:jc w:val="center"/>
              <w:rPr>
                <w:rFonts w:ascii="Arial" w:eastAsia="Calibri" w:hAnsi="Arial" w:cs="Arial"/>
                <w:b/>
                <w:sz w:val="20"/>
                <w:szCs w:val="20"/>
              </w:rPr>
            </w:pPr>
            <w:r w:rsidRPr="009A4714">
              <w:rPr>
                <w:rFonts w:ascii="Arial" w:hAnsi="Arial" w:cs="Arial"/>
                <w:b/>
                <w:sz w:val="20"/>
                <w:szCs w:val="20"/>
              </w:rPr>
              <w:t xml:space="preserve">Reconstituted </w:t>
            </w:r>
            <w:proofErr w:type="spellStart"/>
            <w:r w:rsidR="001261C2">
              <w:rPr>
                <w:rFonts w:ascii="Arial" w:hAnsi="Arial" w:cs="Arial"/>
                <w:b/>
                <w:sz w:val="20"/>
                <w:szCs w:val="20"/>
              </w:rPr>
              <w:t>Blincyto</w:t>
            </w:r>
            <w:proofErr w:type="spellEnd"/>
          </w:p>
        </w:tc>
      </w:tr>
      <w:tr w:rsidR="006F4DEE" w:rsidRPr="009A4714" w14:paraId="7838FB35" w14:textId="77777777" w:rsidTr="004114C0">
        <w:trPr>
          <w:jc w:val="center"/>
        </w:trPr>
        <w:tc>
          <w:tcPr>
            <w:tcW w:w="1771" w:type="dxa"/>
            <w:vMerge w:val="restart"/>
            <w:vAlign w:val="center"/>
          </w:tcPr>
          <w:p w14:paraId="589FBA2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bookmarkStart w:id="11" w:name="_Hlk475972948"/>
            <w:bookmarkEnd w:id="10"/>
            <w:r w:rsidRPr="00024DA2">
              <w:rPr>
                <w:rFonts w:ascii="Arial" w:hAnsi="Arial" w:cs="Arial"/>
                <w:bCs/>
                <w:sz w:val="20"/>
                <w:szCs w:val="20"/>
              </w:rPr>
              <w:t>15 micrograms/m</w:t>
            </w:r>
            <w:r w:rsidRPr="00024DA2">
              <w:rPr>
                <w:rFonts w:ascii="Arial" w:hAnsi="Arial" w:cs="Arial"/>
                <w:bCs/>
                <w:sz w:val="20"/>
                <w:szCs w:val="20"/>
                <w:vertAlign w:val="superscript"/>
              </w:rPr>
              <w:t>2</w:t>
            </w:r>
            <w:r w:rsidRPr="00024DA2">
              <w:rPr>
                <w:rFonts w:ascii="Arial" w:hAnsi="Arial" w:cs="Arial"/>
                <w:bCs/>
                <w:sz w:val="20"/>
                <w:szCs w:val="20"/>
              </w:rPr>
              <w:t>/day</w:t>
            </w:r>
          </w:p>
          <w:bookmarkEnd w:id="11"/>
          <w:p w14:paraId="02B58A5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val="restart"/>
            <w:vAlign w:val="center"/>
          </w:tcPr>
          <w:p w14:paraId="0989F8F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72 hours</w:t>
            </w:r>
          </w:p>
        </w:tc>
        <w:tc>
          <w:tcPr>
            <w:tcW w:w="1459" w:type="dxa"/>
            <w:vMerge w:val="restart"/>
            <w:vAlign w:val="center"/>
          </w:tcPr>
          <w:p w14:paraId="0D20D3C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3.3 mL/hour</w:t>
            </w:r>
          </w:p>
        </w:tc>
        <w:tc>
          <w:tcPr>
            <w:tcW w:w="1984" w:type="dxa"/>
            <w:gridSpan w:val="2"/>
            <w:tcMar>
              <w:top w:w="0" w:type="dxa"/>
              <w:left w:w="108" w:type="dxa"/>
              <w:bottom w:w="0" w:type="dxa"/>
              <w:right w:w="108" w:type="dxa"/>
            </w:tcMar>
          </w:tcPr>
          <w:p w14:paraId="3F69650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1.5 – 1.59</w:t>
            </w:r>
          </w:p>
        </w:tc>
        <w:tc>
          <w:tcPr>
            <w:tcW w:w="2432" w:type="dxa"/>
            <w:tcMar>
              <w:top w:w="0" w:type="dxa"/>
              <w:left w:w="108" w:type="dxa"/>
              <w:bottom w:w="0" w:type="dxa"/>
              <w:right w:w="108" w:type="dxa"/>
            </w:tcMar>
            <w:vAlign w:val="center"/>
          </w:tcPr>
          <w:p w14:paraId="4955B621"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6.3 </w:t>
            </w:r>
            <w:proofErr w:type="spellStart"/>
            <w:r w:rsidRPr="009A4714">
              <w:rPr>
                <w:rFonts w:ascii="Arial" w:hAnsi="Arial" w:cs="Arial"/>
                <w:sz w:val="20"/>
                <w:szCs w:val="20"/>
              </w:rPr>
              <w:t>mL</w:t>
            </w:r>
            <w:r w:rsidRPr="009A4714">
              <w:rPr>
                <w:rFonts w:ascii="Arial" w:hAnsi="Arial" w:cs="Arial"/>
                <w:sz w:val="20"/>
                <w:szCs w:val="20"/>
                <w:vertAlign w:val="superscript"/>
              </w:rPr>
              <w:t>b</w:t>
            </w:r>
            <w:proofErr w:type="spellEnd"/>
          </w:p>
        </w:tc>
      </w:tr>
      <w:tr w:rsidR="006F4DEE" w:rsidRPr="009A4714" w14:paraId="2A91F086" w14:textId="77777777" w:rsidTr="004114C0">
        <w:trPr>
          <w:jc w:val="center"/>
        </w:trPr>
        <w:tc>
          <w:tcPr>
            <w:tcW w:w="1771" w:type="dxa"/>
            <w:vMerge/>
          </w:tcPr>
          <w:p w14:paraId="3D0A1DA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48219F1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4CE1DB8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0FAF822B"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1.4 – 1.49</w:t>
            </w:r>
          </w:p>
        </w:tc>
        <w:tc>
          <w:tcPr>
            <w:tcW w:w="2432" w:type="dxa"/>
            <w:tcMar>
              <w:top w:w="0" w:type="dxa"/>
              <w:left w:w="108" w:type="dxa"/>
              <w:bottom w:w="0" w:type="dxa"/>
              <w:right w:w="108" w:type="dxa"/>
            </w:tcMar>
            <w:vAlign w:val="center"/>
          </w:tcPr>
          <w:p w14:paraId="5B2160F8"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5.9 </w:t>
            </w:r>
            <w:proofErr w:type="spellStart"/>
            <w:r w:rsidRPr="009A4714">
              <w:rPr>
                <w:rFonts w:ascii="Arial" w:hAnsi="Arial" w:cs="Arial"/>
                <w:sz w:val="20"/>
                <w:szCs w:val="20"/>
              </w:rPr>
              <w:t>mL</w:t>
            </w:r>
            <w:r w:rsidRPr="009A4714">
              <w:rPr>
                <w:rFonts w:ascii="Arial" w:hAnsi="Arial" w:cs="Arial"/>
                <w:sz w:val="20"/>
                <w:szCs w:val="20"/>
                <w:vertAlign w:val="superscript"/>
              </w:rPr>
              <w:t>b</w:t>
            </w:r>
            <w:proofErr w:type="spellEnd"/>
          </w:p>
        </w:tc>
      </w:tr>
      <w:tr w:rsidR="006F4DEE" w:rsidRPr="009A4714" w14:paraId="020D948A" w14:textId="77777777" w:rsidTr="004114C0">
        <w:trPr>
          <w:jc w:val="center"/>
        </w:trPr>
        <w:tc>
          <w:tcPr>
            <w:tcW w:w="1771" w:type="dxa"/>
            <w:vMerge/>
          </w:tcPr>
          <w:p w14:paraId="3BC503C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102E742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612B095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4B11E3C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1.3 – 1.39</w:t>
            </w:r>
          </w:p>
        </w:tc>
        <w:tc>
          <w:tcPr>
            <w:tcW w:w="2432" w:type="dxa"/>
            <w:tcMar>
              <w:top w:w="0" w:type="dxa"/>
              <w:left w:w="108" w:type="dxa"/>
              <w:bottom w:w="0" w:type="dxa"/>
              <w:right w:w="108" w:type="dxa"/>
            </w:tcMar>
            <w:vAlign w:val="center"/>
          </w:tcPr>
          <w:p w14:paraId="085D658D"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5.4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0A9CBD74" w14:textId="77777777" w:rsidTr="004114C0">
        <w:trPr>
          <w:jc w:val="center"/>
        </w:trPr>
        <w:tc>
          <w:tcPr>
            <w:tcW w:w="1771" w:type="dxa"/>
            <w:vMerge/>
          </w:tcPr>
          <w:p w14:paraId="5E081C1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782A93C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1473CF4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39E2864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1.2 – 1.29</w:t>
            </w:r>
          </w:p>
        </w:tc>
        <w:tc>
          <w:tcPr>
            <w:tcW w:w="2432" w:type="dxa"/>
            <w:tcMar>
              <w:top w:w="0" w:type="dxa"/>
              <w:left w:w="108" w:type="dxa"/>
              <w:bottom w:w="0" w:type="dxa"/>
              <w:right w:w="108" w:type="dxa"/>
            </w:tcMar>
            <w:vAlign w:val="center"/>
          </w:tcPr>
          <w:p w14:paraId="4245CB80"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5.0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04991B5B" w14:textId="77777777" w:rsidTr="004114C0">
        <w:trPr>
          <w:jc w:val="center"/>
        </w:trPr>
        <w:tc>
          <w:tcPr>
            <w:tcW w:w="1771" w:type="dxa"/>
            <w:vMerge/>
          </w:tcPr>
          <w:p w14:paraId="3A1CB75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7AB2B19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3454BD8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31F8010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1.1 – 1.19</w:t>
            </w:r>
          </w:p>
        </w:tc>
        <w:tc>
          <w:tcPr>
            <w:tcW w:w="2432" w:type="dxa"/>
            <w:tcMar>
              <w:top w:w="0" w:type="dxa"/>
              <w:left w:w="108" w:type="dxa"/>
              <w:bottom w:w="0" w:type="dxa"/>
              <w:right w:w="108" w:type="dxa"/>
            </w:tcMar>
            <w:vAlign w:val="center"/>
          </w:tcPr>
          <w:p w14:paraId="124BE4E7"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4.6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29001891" w14:textId="77777777" w:rsidTr="004114C0">
        <w:trPr>
          <w:jc w:val="center"/>
        </w:trPr>
        <w:tc>
          <w:tcPr>
            <w:tcW w:w="1771" w:type="dxa"/>
            <w:vMerge/>
          </w:tcPr>
          <w:p w14:paraId="00BB36B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292E0CD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66AEE36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5E56C93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1 – 1.09</w:t>
            </w:r>
          </w:p>
        </w:tc>
        <w:tc>
          <w:tcPr>
            <w:tcW w:w="2432" w:type="dxa"/>
            <w:tcMar>
              <w:top w:w="0" w:type="dxa"/>
              <w:left w:w="108" w:type="dxa"/>
              <w:bottom w:w="0" w:type="dxa"/>
              <w:right w:w="108" w:type="dxa"/>
            </w:tcMar>
            <w:vAlign w:val="center"/>
          </w:tcPr>
          <w:p w14:paraId="4271F63B"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4.2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0EA87963" w14:textId="77777777" w:rsidTr="004114C0">
        <w:trPr>
          <w:jc w:val="center"/>
        </w:trPr>
        <w:tc>
          <w:tcPr>
            <w:tcW w:w="1771" w:type="dxa"/>
            <w:vMerge/>
          </w:tcPr>
          <w:p w14:paraId="03BB321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3F7C834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26C5111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712E429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0.9 – 0.99</w:t>
            </w:r>
          </w:p>
        </w:tc>
        <w:tc>
          <w:tcPr>
            <w:tcW w:w="2432" w:type="dxa"/>
            <w:tcMar>
              <w:top w:w="0" w:type="dxa"/>
              <w:left w:w="108" w:type="dxa"/>
              <w:bottom w:w="0" w:type="dxa"/>
              <w:right w:w="108" w:type="dxa"/>
            </w:tcMar>
            <w:vAlign w:val="center"/>
          </w:tcPr>
          <w:p w14:paraId="16BDE936"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3.8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732ADDF1" w14:textId="77777777" w:rsidTr="004114C0">
        <w:trPr>
          <w:jc w:val="center"/>
        </w:trPr>
        <w:tc>
          <w:tcPr>
            <w:tcW w:w="1771" w:type="dxa"/>
            <w:vMerge/>
          </w:tcPr>
          <w:p w14:paraId="70458A5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36D9922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53C9054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61DCABEA"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0.8 – 0.89</w:t>
            </w:r>
          </w:p>
        </w:tc>
        <w:tc>
          <w:tcPr>
            <w:tcW w:w="2432" w:type="dxa"/>
            <w:tcMar>
              <w:top w:w="0" w:type="dxa"/>
              <w:left w:w="108" w:type="dxa"/>
              <w:bottom w:w="0" w:type="dxa"/>
              <w:right w:w="108" w:type="dxa"/>
            </w:tcMar>
            <w:vAlign w:val="center"/>
          </w:tcPr>
          <w:p w14:paraId="69BC2D83"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3.4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52B031D8" w14:textId="77777777" w:rsidTr="004114C0">
        <w:trPr>
          <w:jc w:val="center"/>
        </w:trPr>
        <w:tc>
          <w:tcPr>
            <w:tcW w:w="1771" w:type="dxa"/>
            <w:vMerge/>
          </w:tcPr>
          <w:p w14:paraId="4E916135"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3A4B156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6D81FB5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2E954042"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0.7 – 0.79</w:t>
            </w:r>
          </w:p>
        </w:tc>
        <w:tc>
          <w:tcPr>
            <w:tcW w:w="2432" w:type="dxa"/>
            <w:tcMar>
              <w:top w:w="0" w:type="dxa"/>
              <w:left w:w="108" w:type="dxa"/>
              <w:bottom w:w="0" w:type="dxa"/>
              <w:right w:w="108" w:type="dxa"/>
            </w:tcMar>
            <w:vAlign w:val="center"/>
          </w:tcPr>
          <w:p w14:paraId="2ECEE83D"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 xml:space="preserve">3 </w:t>
            </w:r>
            <w:proofErr w:type="spellStart"/>
            <w:r w:rsidRPr="009A4714">
              <w:rPr>
                <w:rFonts w:ascii="Arial" w:hAnsi="Arial" w:cs="Arial"/>
                <w:sz w:val="20"/>
                <w:szCs w:val="20"/>
              </w:rPr>
              <w:t>mL</w:t>
            </w:r>
            <w:r w:rsidRPr="009A4714">
              <w:rPr>
                <w:rFonts w:ascii="Arial" w:hAnsi="Arial" w:cs="Arial"/>
                <w:sz w:val="20"/>
                <w:szCs w:val="20"/>
                <w:vertAlign w:val="superscript"/>
              </w:rPr>
              <w:t>c</w:t>
            </w:r>
            <w:proofErr w:type="spellEnd"/>
          </w:p>
        </w:tc>
      </w:tr>
      <w:tr w:rsidR="006F4DEE" w:rsidRPr="009A4714" w14:paraId="011BF4B3" w14:textId="77777777" w:rsidTr="004114C0">
        <w:trPr>
          <w:jc w:val="center"/>
        </w:trPr>
        <w:tc>
          <w:tcPr>
            <w:tcW w:w="1771" w:type="dxa"/>
            <w:vMerge/>
          </w:tcPr>
          <w:p w14:paraId="4C750276"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3FEC3E49"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651E530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57652670"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0.6 – 0.69</w:t>
            </w:r>
          </w:p>
        </w:tc>
        <w:tc>
          <w:tcPr>
            <w:tcW w:w="2432" w:type="dxa"/>
            <w:tcMar>
              <w:top w:w="0" w:type="dxa"/>
              <w:left w:w="108" w:type="dxa"/>
              <w:bottom w:w="0" w:type="dxa"/>
              <w:right w:w="108" w:type="dxa"/>
            </w:tcMar>
            <w:vAlign w:val="center"/>
          </w:tcPr>
          <w:p w14:paraId="5E80752C"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2.6 mL</w:t>
            </w:r>
          </w:p>
        </w:tc>
      </w:tr>
      <w:tr w:rsidR="006F4DEE" w:rsidRPr="009A4714" w14:paraId="3EE43EDC" w14:textId="77777777" w:rsidTr="004114C0">
        <w:trPr>
          <w:jc w:val="center"/>
        </w:trPr>
        <w:tc>
          <w:tcPr>
            <w:tcW w:w="1771" w:type="dxa"/>
            <w:vMerge/>
          </w:tcPr>
          <w:p w14:paraId="2887371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Pr>
          <w:p w14:paraId="665952CF"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Pr>
          <w:p w14:paraId="0BCAB24C"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Mar>
              <w:top w:w="0" w:type="dxa"/>
              <w:left w:w="108" w:type="dxa"/>
              <w:bottom w:w="0" w:type="dxa"/>
              <w:right w:w="108" w:type="dxa"/>
            </w:tcMar>
            <w:vAlign w:val="bottom"/>
          </w:tcPr>
          <w:p w14:paraId="7A26B65E"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0.5 – 0.59</w:t>
            </w:r>
          </w:p>
        </w:tc>
        <w:tc>
          <w:tcPr>
            <w:tcW w:w="2432" w:type="dxa"/>
            <w:tcMar>
              <w:top w:w="0" w:type="dxa"/>
              <w:left w:w="108" w:type="dxa"/>
              <w:bottom w:w="0" w:type="dxa"/>
              <w:right w:w="108" w:type="dxa"/>
            </w:tcMar>
            <w:vAlign w:val="center"/>
          </w:tcPr>
          <w:p w14:paraId="3A2F2D29"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2.2 mL</w:t>
            </w:r>
          </w:p>
        </w:tc>
      </w:tr>
      <w:tr w:rsidR="006F4DEE" w:rsidRPr="009A4714" w14:paraId="1D2B2654" w14:textId="77777777" w:rsidTr="004114C0">
        <w:trPr>
          <w:jc w:val="center"/>
        </w:trPr>
        <w:tc>
          <w:tcPr>
            <w:tcW w:w="1771" w:type="dxa"/>
            <w:vMerge/>
          </w:tcPr>
          <w:p w14:paraId="554C43E7"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tcBorders>
              <w:bottom w:val="single" w:sz="4" w:space="0" w:color="auto"/>
            </w:tcBorders>
          </w:tcPr>
          <w:p w14:paraId="69D5E7C8"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459" w:type="dxa"/>
            <w:vMerge/>
            <w:tcBorders>
              <w:bottom w:val="single" w:sz="4" w:space="0" w:color="auto"/>
            </w:tcBorders>
          </w:tcPr>
          <w:p w14:paraId="4E29CEF4"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gridSpan w:val="2"/>
            <w:tcBorders>
              <w:bottom w:val="single" w:sz="4" w:space="0" w:color="auto"/>
            </w:tcBorders>
            <w:tcMar>
              <w:top w:w="0" w:type="dxa"/>
              <w:left w:w="108" w:type="dxa"/>
              <w:bottom w:w="0" w:type="dxa"/>
              <w:right w:w="108" w:type="dxa"/>
            </w:tcMar>
            <w:vAlign w:val="bottom"/>
          </w:tcPr>
          <w:p w14:paraId="34F544AD" w14:textId="77777777" w:rsidR="006F4DEE" w:rsidRPr="009A4714"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9A4714">
              <w:rPr>
                <w:rFonts w:ascii="Arial" w:hAnsi="Arial" w:cs="Arial"/>
                <w:sz w:val="20"/>
                <w:szCs w:val="20"/>
              </w:rPr>
              <w:t>0.4 – 0.49</w:t>
            </w:r>
          </w:p>
        </w:tc>
        <w:tc>
          <w:tcPr>
            <w:tcW w:w="2432" w:type="dxa"/>
            <w:tcBorders>
              <w:bottom w:val="single" w:sz="4" w:space="0" w:color="auto"/>
            </w:tcBorders>
            <w:tcMar>
              <w:top w:w="0" w:type="dxa"/>
              <w:left w:w="108" w:type="dxa"/>
              <w:bottom w:w="0" w:type="dxa"/>
              <w:right w:w="108" w:type="dxa"/>
            </w:tcMar>
            <w:vAlign w:val="center"/>
          </w:tcPr>
          <w:p w14:paraId="4058791D" w14:textId="77777777" w:rsidR="006F4DEE" w:rsidRPr="009A4714" w:rsidRDefault="006F4DEE" w:rsidP="002535D8">
            <w:pPr>
              <w:spacing w:before="60" w:after="60" w:line="240" w:lineRule="atLeast"/>
              <w:jc w:val="center"/>
              <w:rPr>
                <w:rFonts w:ascii="Arial" w:hAnsi="Arial" w:cs="Arial"/>
                <w:sz w:val="20"/>
                <w:szCs w:val="20"/>
              </w:rPr>
            </w:pPr>
            <w:r w:rsidRPr="009A4714">
              <w:rPr>
                <w:rFonts w:ascii="Arial" w:hAnsi="Arial" w:cs="Arial"/>
                <w:sz w:val="20"/>
                <w:szCs w:val="20"/>
              </w:rPr>
              <w:t>1.8 mL</w:t>
            </w:r>
          </w:p>
        </w:tc>
      </w:tr>
      <w:tr w:rsidR="006F4DEE" w:rsidRPr="00FF4079" w14:paraId="64BB9DA2" w14:textId="77777777" w:rsidTr="003B6CCA">
        <w:trPr>
          <w:trHeight w:val="113"/>
          <w:jc w:val="center"/>
        </w:trPr>
        <w:tc>
          <w:tcPr>
            <w:tcW w:w="1771" w:type="dxa"/>
            <w:vMerge/>
            <w:vAlign w:val="center"/>
          </w:tcPr>
          <w:p w14:paraId="1B6A215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7040" w:type="dxa"/>
            <w:gridSpan w:val="5"/>
            <w:shd w:val="clear" w:color="auto" w:fill="D9D9D9" w:themeFill="background1" w:themeFillShade="D9"/>
            <w:vAlign w:val="center"/>
          </w:tcPr>
          <w:p w14:paraId="518E8CC7" w14:textId="77777777" w:rsidR="006F4DEE" w:rsidRPr="00E72E50" w:rsidRDefault="006F4DEE" w:rsidP="002535D8">
            <w:pPr>
              <w:spacing w:before="60" w:after="60" w:line="240" w:lineRule="atLeast"/>
              <w:jc w:val="center"/>
              <w:rPr>
                <w:rFonts w:ascii="Arial" w:hAnsi="Arial" w:cs="Arial"/>
                <w:sz w:val="20"/>
                <w:szCs w:val="20"/>
              </w:rPr>
            </w:pPr>
          </w:p>
        </w:tc>
      </w:tr>
      <w:tr w:rsidR="006F4DEE" w:rsidRPr="00FF4079" w14:paraId="2EAC5FE5" w14:textId="77777777" w:rsidTr="004114C0">
        <w:trPr>
          <w:jc w:val="center"/>
        </w:trPr>
        <w:tc>
          <w:tcPr>
            <w:tcW w:w="1771" w:type="dxa"/>
            <w:vMerge/>
            <w:vAlign w:val="center"/>
          </w:tcPr>
          <w:p w14:paraId="0C9B4CE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165" w:type="dxa"/>
            <w:vMerge w:val="restart"/>
            <w:vAlign w:val="center"/>
          </w:tcPr>
          <w:p w14:paraId="3CE24031"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96 hours</w:t>
            </w:r>
          </w:p>
        </w:tc>
        <w:tc>
          <w:tcPr>
            <w:tcW w:w="1529" w:type="dxa"/>
            <w:gridSpan w:val="2"/>
            <w:vMerge w:val="restart"/>
            <w:vAlign w:val="center"/>
          </w:tcPr>
          <w:p w14:paraId="4EC55E75"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2.5 mL/hour</w:t>
            </w:r>
          </w:p>
        </w:tc>
        <w:tc>
          <w:tcPr>
            <w:tcW w:w="1914" w:type="dxa"/>
            <w:tcMar>
              <w:top w:w="0" w:type="dxa"/>
              <w:left w:w="108" w:type="dxa"/>
              <w:bottom w:w="0" w:type="dxa"/>
              <w:right w:w="108" w:type="dxa"/>
            </w:tcMar>
          </w:tcPr>
          <w:p w14:paraId="04C5935C"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1.5 – 1.59</w:t>
            </w:r>
          </w:p>
        </w:tc>
        <w:tc>
          <w:tcPr>
            <w:tcW w:w="2432" w:type="dxa"/>
            <w:tcMar>
              <w:top w:w="0" w:type="dxa"/>
              <w:left w:w="108" w:type="dxa"/>
              <w:bottom w:w="0" w:type="dxa"/>
              <w:right w:w="108" w:type="dxa"/>
            </w:tcMar>
            <w:vAlign w:val="center"/>
          </w:tcPr>
          <w:p w14:paraId="2AB2F6A2"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8.3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253FB80D" w14:textId="77777777" w:rsidTr="004114C0">
        <w:trPr>
          <w:jc w:val="center"/>
        </w:trPr>
        <w:tc>
          <w:tcPr>
            <w:tcW w:w="1771" w:type="dxa"/>
            <w:vMerge/>
          </w:tcPr>
          <w:p w14:paraId="25E7B321"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44CFB1C9"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6EE439B8"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44872F8B"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1.4 – 1.49</w:t>
            </w:r>
          </w:p>
        </w:tc>
        <w:tc>
          <w:tcPr>
            <w:tcW w:w="2432" w:type="dxa"/>
            <w:tcMar>
              <w:top w:w="0" w:type="dxa"/>
              <w:left w:w="108" w:type="dxa"/>
              <w:bottom w:w="0" w:type="dxa"/>
              <w:right w:w="108" w:type="dxa"/>
            </w:tcMar>
            <w:vAlign w:val="center"/>
          </w:tcPr>
          <w:p w14:paraId="1137D053"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7.8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0D6BAC16" w14:textId="77777777" w:rsidTr="004114C0">
        <w:trPr>
          <w:jc w:val="center"/>
        </w:trPr>
        <w:tc>
          <w:tcPr>
            <w:tcW w:w="1771" w:type="dxa"/>
            <w:vMerge/>
          </w:tcPr>
          <w:p w14:paraId="18849188"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30CFDAD6"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310B01B6"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0E4D5EEA"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1.3 – 1.39</w:t>
            </w:r>
          </w:p>
        </w:tc>
        <w:tc>
          <w:tcPr>
            <w:tcW w:w="2432" w:type="dxa"/>
            <w:tcMar>
              <w:top w:w="0" w:type="dxa"/>
              <w:left w:w="108" w:type="dxa"/>
              <w:bottom w:w="0" w:type="dxa"/>
              <w:right w:w="108" w:type="dxa"/>
            </w:tcMar>
            <w:vAlign w:val="center"/>
          </w:tcPr>
          <w:p w14:paraId="493EE889"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7.3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4776BDFC" w14:textId="77777777" w:rsidTr="004114C0">
        <w:trPr>
          <w:jc w:val="center"/>
        </w:trPr>
        <w:tc>
          <w:tcPr>
            <w:tcW w:w="1771" w:type="dxa"/>
            <w:vMerge/>
          </w:tcPr>
          <w:p w14:paraId="76B57313"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2A0C8AC0"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3E33C27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62B90DF9"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1.2 – 1.29</w:t>
            </w:r>
          </w:p>
        </w:tc>
        <w:tc>
          <w:tcPr>
            <w:tcW w:w="2432" w:type="dxa"/>
            <w:tcMar>
              <w:top w:w="0" w:type="dxa"/>
              <w:left w:w="108" w:type="dxa"/>
              <w:bottom w:w="0" w:type="dxa"/>
              <w:right w:w="108" w:type="dxa"/>
            </w:tcMar>
            <w:vAlign w:val="center"/>
          </w:tcPr>
          <w:p w14:paraId="7059FE1E"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6.7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18601930" w14:textId="77777777" w:rsidTr="004114C0">
        <w:trPr>
          <w:jc w:val="center"/>
        </w:trPr>
        <w:tc>
          <w:tcPr>
            <w:tcW w:w="1771" w:type="dxa"/>
            <w:vMerge/>
          </w:tcPr>
          <w:p w14:paraId="31633468"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45DE34A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7897A1D8"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6C28C2DE"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1.1 – 1.19</w:t>
            </w:r>
          </w:p>
        </w:tc>
        <w:tc>
          <w:tcPr>
            <w:tcW w:w="2432" w:type="dxa"/>
            <w:tcMar>
              <w:top w:w="0" w:type="dxa"/>
              <w:left w:w="108" w:type="dxa"/>
              <w:bottom w:w="0" w:type="dxa"/>
              <w:right w:w="108" w:type="dxa"/>
            </w:tcMar>
            <w:vAlign w:val="center"/>
          </w:tcPr>
          <w:p w14:paraId="72C8B1F6"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6.2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633FEF93" w14:textId="77777777" w:rsidTr="004114C0">
        <w:trPr>
          <w:jc w:val="center"/>
        </w:trPr>
        <w:tc>
          <w:tcPr>
            <w:tcW w:w="1771" w:type="dxa"/>
            <w:vMerge/>
          </w:tcPr>
          <w:p w14:paraId="39B312CA"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25E4ACBF"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50C3DB4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04C0F07E"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1 – 1.09</w:t>
            </w:r>
          </w:p>
        </w:tc>
        <w:tc>
          <w:tcPr>
            <w:tcW w:w="2432" w:type="dxa"/>
            <w:tcMar>
              <w:top w:w="0" w:type="dxa"/>
              <w:left w:w="108" w:type="dxa"/>
              <w:bottom w:w="0" w:type="dxa"/>
              <w:right w:w="108" w:type="dxa"/>
            </w:tcMar>
            <w:vAlign w:val="center"/>
          </w:tcPr>
          <w:p w14:paraId="78D6CB3E"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5.6 </w:t>
            </w:r>
            <w:proofErr w:type="spellStart"/>
            <w:r w:rsidRPr="00343740">
              <w:rPr>
                <w:rFonts w:ascii="Arial" w:hAnsi="Arial" w:cs="Arial"/>
                <w:sz w:val="20"/>
                <w:szCs w:val="20"/>
              </w:rPr>
              <w:t>mL</w:t>
            </w:r>
            <w:r w:rsidRPr="00343740">
              <w:rPr>
                <w:rFonts w:ascii="Arial" w:hAnsi="Arial" w:cs="Arial"/>
                <w:sz w:val="20"/>
                <w:szCs w:val="20"/>
                <w:vertAlign w:val="superscript"/>
              </w:rPr>
              <w:t>d</w:t>
            </w:r>
            <w:proofErr w:type="spellEnd"/>
          </w:p>
        </w:tc>
      </w:tr>
      <w:tr w:rsidR="006F4DEE" w:rsidRPr="00FF4079" w14:paraId="701FAB64" w14:textId="77777777" w:rsidTr="004114C0">
        <w:trPr>
          <w:jc w:val="center"/>
        </w:trPr>
        <w:tc>
          <w:tcPr>
            <w:tcW w:w="1771" w:type="dxa"/>
            <w:vMerge/>
          </w:tcPr>
          <w:p w14:paraId="26D6C387"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1817E5D1"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67D8393F"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6D191A2C"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0.9 – 0.99</w:t>
            </w:r>
          </w:p>
        </w:tc>
        <w:tc>
          <w:tcPr>
            <w:tcW w:w="2432" w:type="dxa"/>
            <w:tcMar>
              <w:top w:w="0" w:type="dxa"/>
              <w:left w:w="108" w:type="dxa"/>
              <w:bottom w:w="0" w:type="dxa"/>
              <w:right w:w="108" w:type="dxa"/>
            </w:tcMar>
            <w:vAlign w:val="center"/>
          </w:tcPr>
          <w:p w14:paraId="770E0696"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5.1 </w:t>
            </w:r>
            <w:proofErr w:type="spellStart"/>
            <w:r w:rsidRPr="00343740">
              <w:rPr>
                <w:rFonts w:ascii="Arial" w:hAnsi="Arial" w:cs="Arial"/>
                <w:sz w:val="20"/>
                <w:szCs w:val="20"/>
              </w:rPr>
              <w:t>mL</w:t>
            </w:r>
            <w:r w:rsidRPr="00343740">
              <w:rPr>
                <w:rFonts w:ascii="Arial" w:hAnsi="Arial" w:cs="Arial"/>
                <w:sz w:val="20"/>
                <w:szCs w:val="20"/>
                <w:vertAlign w:val="superscript"/>
              </w:rPr>
              <w:t>e</w:t>
            </w:r>
            <w:proofErr w:type="spellEnd"/>
          </w:p>
        </w:tc>
      </w:tr>
      <w:tr w:rsidR="006F4DEE" w:rsidRPr="00FF4079" w14:paraId="72674176" w14:textId="77777777" w:rsidTr="004114C0">
        <w:trPr>
          <w:jc w:val="center"/>
        </w:trPr>
        <w:tc>
          <w:tcPr>
            <w:tcW w:w="1771" w:type="dxa"/>
            <w:vMerge/>
          </w:tcPr>
          <w:p w14:paraId="09FF01C2"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16F32EA5"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0A512824"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667DA965"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0.8 – 0.89</w:t>
            </w:r>
          </w:p>
        </w:tc>
        <w:tc>
          <w:tcPr>
            <w:tcW w:w="2432" w:type="dxa"/>
            <w:tcMar>
              <w:top w:w="0" w:type="dxa"/>
              <w:left w:w="108" w:type="dxa"/>
              <w:bottom w:w="0" w:type="dxa"/>
              <w:right w:w="108" w:type="dxa"/>
            </w:tcMar>
            <w:vAlign w:val="center"/>
          </w:tcPr>
          <w:p w14:paraId="7DD869FE"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4.6 </w:t>
            </w:r>
            <w:proofErr w:type="spellStart"/>
            <w:r w:rsidRPr="00343740">
              <w:rPr>
                <w:rFonts w:ascii="Arial" w:hAnsi="Arial" w:cs="Arial"/>
                <w:sz w:val="20"/>
                <w:szCs w:val="20"/>
              </w:rPr>
              <w:t>mL</w:t>
            </w:r>
            <w:r w:rsidRPr="00343740">
              <w:rPr>
                <w:rFonts w:ascii="Arial" w:hAnsi="Arial" w:cs="Arial"/>
                <w:sz w:val="20"/>
                <w:szCs w:val="20"/>
                <w:vertAlign w:val="superscript"/>
              </w:rPr>
              <w:t>e</w:t>
            </w:r>
            <w:proofErr w:type="spellEnd"/>
          </w:p>
        </w:tc>
      </w:tr>
      <w:tr w:rsidR="006F4DEE" w:rsidRPr="00FF4079" w14:paraId="730DA42A" w14:textId="77777777" w:rsidTr="004114C0">
        <w:trPr>
          <w:jc w:val="center"/>
        </w:trPr>
        <w:tc>
          <w:tcPr>
            <w:tcW w:w="1771" w:type="dxa"/>
            <w:vMerge/>
          </w:tcPr>
          <w:p w14:paraId="7E47465F"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0F63AA1E"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7D820142"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7F77424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0.7 – 0.79</w:t>
            </w:r>
          </w:p>
        </w:tc>
        <w:tc>
          <w:tcPr>
            <w:tcW w:w="2432" w:type="dxa"/>
            <w:tcMar>
              <w:top w:w="0" w:type="dxa"/>
              <w:left w:w="108" w:type="dxa"/>
              <w:bottom w:w="0" w:type="dxa"/>
              <w:right w:w="108" w:type="dxa"/>
            </w:tcMar>
            <w:vAlign w:val="center"/>
          </w:tcPr>
          <w:p w14:paraId="1D377198"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4 </w:t>
            </w:r>
            <w:proofErr w:type="spellStart"/>
            <w:r w:rsidRPr="00343740">
              <w:rPr>
                <w:rFonts w:ascii="Arial" w:hAnsi="Arial" w:cs="Arial"/>
                <w:sz w:val="20"/>
                <w:szCs w:val="20"/>
              </w:rPr>
              <w:t>mL</w:t>
            </w:r>
            <w:r w:rsidRPr="00343740">
              <w:rPr>
                <w:rFonts w:ascii="Arial" w:hAnsi="Arial" w:cs="Arial"/>
                <w:sz w:val="20"/>
                <w:szCs w:val="20"/>
                <w:vertAlign w:val="superscript"/>
              </w:rPr>
              <w:t>e</w:t>
            </w:r>
            <w:proofErr w:type="spellEnd"/>
          </w:p>
        </w:tc>
      </w:tr>
      <w:tr w:rsidR="006F4DEE" w:rsidRPr="00FF4079" w14:paraId="013B2244" w14:textId="77777777" w:rsidTr="004114C0">
        <w:trPr>
          <w:jc w:val="center"/>
        </w:trPr>
        <w:tc>
          <w:tcPr>
            <w:tcW w:w="1771" w:type="dxa"/>
            <w:vMerge/>
          </w:tcPr>
          <w:p w14:paraId="6D5FD831"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10F5B03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3C76BEF2"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328818E4"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0.6 – 0.69</w:t>
            </w:r>
          </w:p>
        </w:tc>
        <w:tc>
          <w:tcPr>
            <w:tcW w:w="2432" w:type="dxa"/>
            <w:tcMar>
              <w:top w:w="0" w:type="dxa"/>
              <w:left w:w="108" w:type="dxa"/>
              <w:bottom w:w="0" w:type="dxa"/>
              <w:right w:w="108" w:type="dxa"/>
            </w:tcMar>
            <w:vAlign w:val="center"/>
          </w:tcPr>
          <w:p w14:paraId="2A2FA78A"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3.5 </w:t>
            </w:r>
            <w:proofErr w:type="spellStart"/>
            <w:r w:rsidRPr="00343740">
              <w:rPr>
                <w:rFonts w:ascii="Arial" w:hAnsi="Arial" w:cs="Arial"/>
                <w:sz w:val="20"/>
                <w:szCs w:val="20"/>
              </w:rPr>
              <w:t>mL</w:t>
            </w:r>
            <w:r w:rsidRPr="00343740">
              <w:rPr>
                <w:rFonts w:ascii="Arial" w:hAnsi="Arial" w:cs="Arial"/>
                <w:sz w:val="20"/>
                <w:szCs w:val="20"/>
                <w:vertAlign w:val="superscript"/>
              </w:rPr>
              <w:t>e</w:t>
            </w:r>
            <w:proofErr w:type="spellEnd"/>
          </w:p>
        </w:tc>
      </w:tr>
      <w:tr w:rsidR="006F4DEE" w:rsidRPr="00FF4079" w14:paraId="0CEDBF04" w14:textId="77777777" w:rsidTr="004114C0">
        <w:trPr>
          <w:jc w:val="center"/>
        </w:trPr>
        <w:tc>
          <w:tcPr>
            <w:tcW w:w="1771" w:type="dxa"/>
            <w:vMerge/>
          </w:tcPr>
          <w:p w14:paraId="549E48F8"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576229C3"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6BE8F0B5"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62674BE9"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0.5 – 0.59</w:t>
            </w:r>
          </w:p>
        </w:tc>
        <w:tc>
          <w:tcPr>
            <w:tcW w:w="2432" w:type="dxa"/>
            <w:tcMar>
              <w:top w:w="0" w:type="dxa"/>
              <w:left w:w="108" w:type="dxa"/>
              <w:bottom w:w="0" w:type="dxa"/>
              <w:right w:w="108" w:type="dxa"/>
            </w:tcMar>
            <w:vAlign w:val="center"/>
          </w:tcPr>
          <w:p w14:paraId="2FD802BC"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 xml:space="preserve">2.9 </w:t>
            </w:r>
            <w:proofErr w:type="spellStart"/>
            <w:r w:rsidRPr="00343740">
              <w:rPr>
                <w:rFonts w:ascii="Arial" w:hAnsi="Arial" w:cs="Arial"/>
                <w:sz w:val="20"/>
                <w:szCs w:val="20"/>
              </w:rPr>
              <w:t>mL</w:t>
            </w:r>
            <w:r w:rsidRPr="00343740">
              <w:rPr>
                <w:rFonts w:ascii="Arial" w:hAnsi="Arial" w:cs="Arial"/>
                <w:sz w:val="20"/>
                <w:szCs w:val="20"/>
                <w:vertAlign w:val="superscript"/>
              </w:rPr>
              <w:t>e</w:t>
            </w:r>
            <w:proofErr w:type="spellEnd"/>
          </w:p>
        </w:tc>
      </w:tr>
      <w:tr w:rsidR="006F4DEE" w:rsidRPr="00FF4079" w14:paraId="1B1EF959" w14:textId="77777777" w:rsidTr="004114C0">
        <w:trPr>
          <w:jc w:val="center"/>
        </w:trPr>
        <w:tc>
          <w:tcPr>
            <w:tcW w:w="1771" w:type="dxa"/>
            <w:vMerge/>
          </w:tcPr>
          <w:p w14:paraId="17C5B254" w14:textId="77777777" w:rsidR="006F4DEE" w:rsidRPr="00343740"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165" w:type="dxa"/>
            <w:vMerge/>
          </w:tcPr>
          <w:p w14:paraId="16570AFF"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29" w:type="dxa"/>
            <w:gridSpan w:val="2"/>
            <w:vMerge/>
          </w:tcPr>
          <w:p w14:paraId="244DA13F"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14" w:type="dxa"/>
            <w:tcMar>
              <w:top w:w="0" w:type="dxa"/>
              <w:left w:w="108" w:type="dxa"/>
              <w:bottom w:w="0" w:type="dxa"/>
              <w:right w:w="108" w:type="dxa"/>
            </w:tcMar>
            <w:vAlign w:val="bottom"/>
          </w:tcPr>
          <w:p w14:paraId="512FA1BD" w14:textId="77777777" w:rsidR="006F4DEE" w:rsidRPr="00343740"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343740">
              <w:rPr>
                <w:rFonts w:ascii="Arial" w:hAnsi="Arial" w:cs="Arial"/>
                <w:sz w:val="20"/>
                <w:szCs w:val="20"/>
              </w:rPr>
              <w:t>0.4 – 0.49</w:t>
            </w:r>
          </w:p>
        </w:tc>
        <w:tc>
          <w:tcPr>
            <w:tcW w:w="2432" w:type="dxa"/>
            <w:tcMar>
              <w:top w:w="0" w:type="dxa"/>
              <w:left w:w="108" w:type="dxa"/>
              <w:bottom w:w="0" w:type="dxa"/>
              <w:right w:w="108" w:type="dxa"/>
            </w:tcMar>
            <w:vAlign w:val="center"/>
          </w:tcPr>
          <w:p w14:paraId="2B5C9DD0" w14:textId="77777777" w:rsidR="006F4DEE" w:rsidRPr="00343740" w:rsidRDefault="006F4DEE" w:rsidP="002535D8">
            <w:pPr>
              <w:spacing w:before="60" w:after="60" w:line="240" w:lineRule="atLeast"/>
              <w:jc w:val="center"/>
              <w:rPr>
                <w:rFonts w:ascii="Arial" w:hAnsi="Arial" w:cs="Arial"/>
                <w:sz w:val="20"/>
                <w:szCs w:val="20"/>
              </w:rPr>
            </w:pPr>
            <w:r w:rsidRPr="00343740">
              <w:rPr>
                <w:rFonts w:ascii="Arial" w:hAnsi="Arial" w:cs="Arial"/>
                <w:sz w:val="20"/>
                <w:szCs w:val="20"/>
              </w:rPr>
              <w:t>2.4 mL</w:t>
            </w:r>
          </w:p>
        </w:tc>
      </w:tr>
    </w:tbl>
    <w:p w14:paraId="0E509B6F" w14:textId="77777777" w:rsidR="006F4DEE" w:rsidRPr="00343740" w:rsidRDefault="006F4DEE" w:rsidP="006F4DEE">
      <w:pPr>
        <w:pStyle w:val="ListParagraph"/>
        <w:keepNext/>
        <w:keepLines/>
        <w:numPr>
          <w:ilvl w:val="0"/>
          <w:numId w:val="17"/>
        </w:numPr>
        <w:tabs>
          <w:tab w:val="left" w:pos="450"/>
        </w:tabs>
        <w:spacing w:after="0" w:line="240" w:lineRule="auto"/>
        <w:ind w:left="283" w:right="590" w:hanging="215"/>
        <w:contextualSpacing w:val="0"/>
        <w:rPr>
          <w:rFonts w:ascii="Arial" w:hAnsi="Arial" w:cs="Arial"/>
          <w:sz w:val="18"/>
          <w:szCs w:val="16"/>
          <w:vertAlign w:val="superscript"/>
        </w:rPr>
      </w:pPr>
      <w:r w:rsidRPr="00343740">
        <w:rPr>
          <w:rFonts w:ascii="Arial" w:hAnsi="Arial" w:cs="Arial"/>
          <w:sz w:val="18"/>
          <w:szCs w:val="16"/>
        </w:rPr>
        <w:t xml:space="preserve">2 packages of </w:t>
      </w:r>
      <w:proofErr w:type="spellStart"/>
      <w:r w:rsidRPr="00343740">
        <w:rPr>
          <w:rFonts w:ascii="Arial" w:hAnsi="Arial" w:cs="Arial"/>
          <w:sz w:val="18"/>
          <w:szCs w:val="16"/>
        </w:rPr>
        <w:t>Blincyto</w:t>
      </w:r>
      <w:proofErr w:type="spellEnd"/>
      <w:r w:rsidRPr="00343740">
        <w:rPr>
          <w:rFonts w:ascii="Arial" w:hAnsi="Arial" w:cs="Arial"/>
          <w:sz w:val="18"/>
          <w:szCs w:val="16"/>
        </w:rPr>
        <w:t xml:space="preserve"> are needed for preparation of 15 </w:t>
      </w:r>
      <w:r>
        <w:rPr>
          <w:rFonts w:ascii="Arial" w:hAnsi="Arial" w:cs="Arial"/>
          <w:sz w:val="18"/>
          <w:szCs w:val="16"/>
        </w:rPr>
        <w:t>micrograms</w:t>
      </w:r>
      <w:r w:rsidRPr="00343740">
        <w:rPr>
          <w:rFonts w:ascii="Arial" w:hAnsi="Arial" w:cs="Arial"/>
          <w:sz w:val="18"/>
          <w:szCs w:val="16"/>
        </w:rPr>
        <w:t>/m</w:t>
      </w:r>
      <w:r w:rsidRPr="00343740">
        <w:rPr>
          <w:rFonts w:ascii="Arial" w:hAnsi="Arial" w:cs="Arial"/>
          <w:sz w:val="18"/>
          <w:szCs w:val="16"/>
          <w:vertAlign w:val="superscript"/>
        </w:rPr>
        <w:t>2</w:t>
      </w:r>
      <w:r w:rsidRPr="00343740">
        <w:rPr>
          <w:rFonts w:ascii="Arial" w:hAnsi="Arial" w:cs="Arial"/>
          <w:sz w:val="18"/>
          <w:szCs w:val="16"/>
        </w:rPr>
        <w:t>/day dose infused over 48 hours at a rate of 5 mL/hour for patients with a BSA greater than 1.09 m</w:t>
      </w:r>
      <w:r w:rsidRPr="00343740">
        <w:rPr>
          <w:rFonts w:ascii="Arial" w:hAnsi="Arial" w:cs="Arial"/>
          <w:sz w:val="18"/>
          <w:szCs w:val="16"/>
          <w:vertAlign w:val="superscript"/>
        </w:rPr>
        <w:t>2</w:t>
      </w:r>
    </w:p>
    <w:p w14:paraId="4567AB78" w14:textId="77777777" w:rsidR="006F4DEE" w:rsidRPr="00343740" w:rsidRDefault="006F4DEE" w:rsidP="006F4DEE">
      <w:pPr>
        <w:pStyle w:val="ListParagraph"/>
        <w:keepNext/>
        <w:keepLines/>
        <w:numPr>
          <w:ilvl w:val="0"/>
          <w:numId w:val="17"/>
        </w:numPr>
        <w:spacing w:after="0" w:line="240" w:lineRule="auto"/>
        <w:ind w:left="283" w:right="590" w:hanging="215"/>
        <w:contextualSpacing w:val="0"/>
        <w:rPr>
          <w:rFonts w:ascii="Arial" w:hAnsi="Arial" w:cs="Arial"/>
          <w:sz w:val="18"/>
          <w:szCs w:val="16"/>
          <w:vertAlign w:val="superscript"/>
        </w:rPr>
      </w:pPr>
      <w:r w:rsidRPr="00343740">
        <w:rPr>
          <w:rFonts w:ascii="Arial" w:hAnsi="Arial" w:cs="Arial"/>
          <w:sz w:val="18"/>
          <w:szCs w:val="16"/>
        </w:rPr>
        <w:t xml:space="preserve">3 packages of </w:t>
      </w:r>
      <w:proofErr w:type="spellStart"/>
      <w:r w:rsidRPr="00343740">
        <w:rPr>
          <w:rFonts w:ascii="Arial" w:hAnsi="Arial" w:cs="Arial"/>
          <w:sz w:val="18"/>
          <w:szCs w:val="16"/>
        </w:rPr>
        <w:t>Blincyto</w:t>
      </w:r>
      <w:proofErr w:type="spellEnd"/>
      <w:r w:rsidRPr="00343740">
        <w:rPr>
          <w:rFonts w:ascii="Arial" w:hAnsi="Arial" w:cs="Arial"/>
          <w:sz w:val="18"/>
          <w:szCs w:val="16"/>
        </w:rPr>
        <w:t xml:space="preserve"> are needed for preparation of 15 </w:t>
      </w:r>
      <w:r>
        <w:rPr>
          <w:rFonts w:ascii="Arial" w:hAnsi="Arial" w:cs="Arial"/>
          <w:sz w:val="18"/>
          <w:szCs w:val="16"/>
        </w:rPr>
        <w:t>micrograms</w:t>
      </w:r>
      <w:r w:rsidRPr="00343740">
        <w:rPr>
          <w:rFonts w:ascii="Arial" w:hAnsi="Arial" w:cs="Arial"/>
          <w:sz w:val="18"/>
          <w:szCs w:val="16"/>
        </w:rPr>
        <w:t>/m</w:t>
      </w:r>
      <w:r w:rsidRPr="00343740">
        <w:rPr>
          <w:rFonts w:ascii="Arial" w:hAnsi="Arial" w:cs="Arial"/>
          <w:sz w:val="18"/>
          <w:szCs w:val="16"/>
          <w:vertAlign w:val="superscript"/>
        </w:rPr>
        <w:t>2</w:t>
      </w:r>
      <w:r w:rsidRPr="00343740">
        <w:rPr>
          <w:rFonts w:ascii="Arial" w:hAnsi="Arial" w:cs="Arial"/>
          <w:sz w:val="18"/>
          <w:szCs w:val="16"/>
        </w:rPr>
        <w:t>/day dose infused over 72 hours at a rate of 3.3 mL/hour for patients with a BSA greater than 1.39 m</w:t>
      </w:r>
      <w:r w:rsidRPr="00343740">
        <w:rPr>
          <w:rFonts w:ascii="Arial" w:hAnsi="Arial" w:cs="Arial"/>
          <w:sz w:val="18"/>
          <w:szCs w:val="16"/>
          <w:vertAlign w:val="superscript"/>
        </w:rPr>
        <w:t>2</w:t>
      </w:r>
    </w:p>
    <w:p w14:paraId="3529F2A3" w14:textId="77777777" w:rsidR="006F4DEE" w:rsidRPr="00343740" w:rsidRDefault="006F4DEE" w:rsidP="006F4DEE">
      <w:pPr>
        <w:pStyle w:val="ListParagraph"/>
        <w:keepNext/>
        <w:keepLines/>
        <w:numPr>
          <w:ilvl w:val="0"/>
          <w:numId w:val="17"/>
        </w:numPr>
        <w:spacing w:after="0" w:line="240" w:lineRule="auto"/>
        <w:ind w:left="283" w:right="590" w:hanging="215"/>
        <w:contextualSpacing w:val="0"/>
        <w:rPr>
          <w:rFonts w:ascii="Arial" w:hAnsi="Arial" w:cs="Arial"/>
          <w:sz w:val="18"/>
          <w:szCs w:val="16"/>
          <w:vertAlign w:val="superscript"/>
        </w:rPr>
      </w:pPr>
      <w:r w:rsidRPr="00343740">
        <w:rPr>
          <w:rFonts w:ascii="Arial" w:hAnsi="Arial" w:cs="Arial"/>
          <w:sz w:val="18"/>
          <w:szCs w:val="16"/>
        </w:rPr>
        <w:t xml:space="preserve">2 packages of </w:t>
      </w:r>
      <w:proofErr w:type="spellStart"/>
      <w:r w:rsidRPr="00343740">
        <w:rPr>
          <w:rFonts w:ascii="Arial" w:hAnsi="Arial" w:cs="Arial"/>
          <w:sz w:val="18"/>
          <w:szCs w:val="16"/>
        </w:rPr>
        <w:t>Blincyto</w:t>
      </w:r>
      <w:proofErr w:type="spellEnd"/>
      <w:r w:rsidRPr="00343740">
        <w:rPr>
          <w:rFonts w:ascii="Arial" w:hAnsi="Arial" w:cs="Arial"/>
          <w:sz w:val="18"/>
          <w:szCs w:val="16"/>
        </w:rPr>
        <w:t xml:space="preserve"> are needed for preparation of 15 </w:t>
      </w:r>
      <w:r>
        <w:rPr>
          <w:rFonts w:ascii="Arial" w:hAnsi="Arial" w:cs="Arial"/>
          <w:sz w:val="18"/>
          <w:szCs w:val="16"/>
        </w:rPr>
        <w:t>micrograms</w:t>
      </w:r>
      <w:r w:rsidRPr="00343740">
        <w:rPr>
          <w:rFonts w:ascii="Arial" w:hAnsi="Arial" w:cs="Arial"/>
          <w:sz w:val="18"/>
          <w:szCs w:val="16"/>
        </w:rPr>
        <w:t>/m</w:t>
      </w:r>
      <w:r w:rsidRPr="00343740">
        <w:rPr>
          <w:rFonts w:ascii="Arial" w:hAnsi="Arial" w:cs="Arial"/>
          <w:sz w:val="18"/>
          <w:szCs w:val="16"/>
          <w:vertAlign w:val="superscript"/>
        </w:rPr>
        <w:t>2</w:t>
      </w:r>
      <w:r w:rsidRPr="00343740">
        <w:rPr>
          <w:rFonts w:ascii="Arial" w:hAnsi="Arial" w:cs="Arial"/>
          <w:sz w:val="18"/>
          <w:szCs w:val="16"/>
        </w:rPr>
        <w:t>/day dose infused over 72 hours at a rate of 3.3 mL/hour for patients with a BSA of 0.70 m</w:t>
      </w:r>
      <w:r w:rsidRPr="00343740">
        <w:rPr>
          <w:rFonts w:ascii="Arial" w:hAnsi="Arial" w:cs="Arial"/>
          <w:sz w:val="18"/>
          <w:szCs w:val="16"/>
          <w:vertAlign w:val="superscript"/>
        </w:rPr>
        <w:t>2</w:t>
      </w:r>
      <w:r w:rsidRPr="00343740">
        <w:rPr>
          <w:rFonts w:ascii="Arial" w:hAnsi="Arial" w:cs="Arial"/>
          <w:sz w:val="18"/>
          <w:szCs w:val="16"/>
        </w:rPr>
        <w:t xml:space="preserve"> to 1.39 m</w:t>
      </w:r>
      <w:r w:rsidRPr="00343740">
        <w:rPr>
          <w:rFonts w:ascii="Arial" w:hAnsi="Arial" w:cs="Arial"/>
          <w:sz w:val="18"/>
          <w:szCs w:val="16"/>
          <w:vertAlign w:val="superscript"/>
        </w:rPr>
        <w:t>2</w:t>
      </w:r>
    </w:p>
    <w:p w14:paraId="254E1B1A" w14:textId="77777777" w:rsidR="006F4DEE" w:rsidRPr="00343740" w:rsidRDefault="006F4DEE" w:rsidP="006F4DEE">
      <w:pPr>
        <w:pStyle w:val="ListParagraph"/>
        <w:keepNext/>
        <w:keepLines/>
        <w:numPr>
          <w:ilvl w:val="0"/>
          <w:numId w:val="17"/>
        </w:numPr>
        <w:spacing w:after="0" w:line="240" w:lineRule="auto"/>
        <w:ind w:left="283" w:right="590" w:hanging="215"/>
        <w:contextualSpacing w:val="0"/>
        <w:rPr>
          <w:rFonts w:ascii="Arial" w:hAnsi="Arial" w:cs="Arial"/>
          <w:sz w:val="18"/>
          <w:szCs w:val="16"/>
        </w:rPr>
      </w:pPr>
      <w:r w:rsidRPr="00343740">
        <w:rPr>
          <w:rFonts w:ascii="Arial" w:hAnsi="Arial" w:cs="Arial"/>
          <w:sz w:val="18"/>
          <w:szCs w:val="16"/>
        </w:rPr>
        <w:t xml:space="preserve">3 packages of </w:t>
      </w:r>
      <w:proofErr w:type="spellStart"/>
      <w:r w:rsidRPr="00343740">
        <w:rPr>
          <w:rFonts w:ascii="Arial" w:hAnsi="Arial" w:cs="Arial"/>
          <w:sz w:val="18"/>
          <w:szCs w:val="16"/>
        </w:rPr>
        <w:t>Blincyto</w:t>
      </w:r>
      <w:proofErr w:type="spellEnd"/>
      <w:r w:rsidRPr="00343740">
        <w:rPr>
          <w:rFonts w:ascii="Arial" w:hAnsi="Arial" w:cs="Arial"/>
          <w:sz w:val="18"/>
          <w:szCs w:val="16"/>
        </w:rPr>
        <w:t xml:space="preserve"> are needed for preparation of 15 </w:t>
      </w:r>
      <w:r>
        <w:rPr>
          <w:rFonts w:ascii="Arial" w:hAnsi="Arial" w:cs="Arial"/>
          <w:sz w:val="18"/>
          <w:szCs w:val="16"/>
        </w:rPr>
        <w:t>micrograms</w:t>
      </w:r>
      <w:r w:rsidRPr="00343740">
        <w:rPr>
          <w:rFonts w:ascii="Arial" w:hAnsi="Arial" w:cs="Arial"/>
          <w:sz w:val="18"/>
          <w:szCs w:val="16"/>
        </w:rPr>
        <w:t>/m</w:t>
      </w:r>
      <w:r w:rsidRPr="00343740">
        <w:rPr>
          <w:rFonts w:ascii="Arial" w:hAnsi="Arial" w:cs="Arial"/>
          <w:sz w:val="18"/>
          <w:szCs w:val="16"/>
          <w:vertAlign w:val="superscript"/>
        </w:rPr>
        <w:t>2</w:t>
      </w:r>
      <w:r w:rsidRPr="00343740">
        <w:rPr>
          <w:rFonts w:ascii="Arial" w:hAnsi="Arial" w:cs="Arial"/>
          <w:sz w:val="18"/>
          <w:szCs w:val="16"/>
        </w:rPr>
        <w:t>/day dose infused over 96 hours at a rate of 2.5 mL/hour for patients with a BSA greater than 0.99 m</w:t>
      </w:r>
      <w:r w:rsidRPr="00343740">
        <w:rPr>
          <w:rFonts w:ascii="Arial" w:hAnsi="Arial" w:cs="Arial"/>
          <w:sz w:val="18"/>
          <w:szCs w:val="16"/>
          <w:vertAlign w:val="superscript"/>
        </w:rPr>
        <w:t>2</w:t>
      </w:r>
    </w:p>
    <w:p w14:paraId="40727DA7" w14:textId="77777777" w:rsidR="006F4DEE" w:rsidRPr="00343740" w:rsidRDefault="006F4DEE" w:rsidP="006F4DEE">
      <w:pPr>
        <w:pStyle w:val="ListParagraph"/>
        <w:keepNext/>
        <w:keepLines/>
        <w:numPr>
          <w:ilvl w:val="0"/>
          <w:numId w:val="17"/>
        </w:numPr>
        <w:spacing w:after="0" w:line="240" w:lineRule="auto"/>
        <w:ind w:left="283" w:right="590" w:hanging="215"/>
        <w:contextualSpacing w:val="0"/>
        <w:rPr>
          <w:rFonts w:ascii="Arial" w:hAnsi="Arial" w:cs="Arial"/>
          <w:sz w:val="18"/>
          <w:szCs w:val="16"/>
        </w:rPr>
      </w:pPr>
      <w:r w:rsidRPr="00343740">
        <w:rPr>
          <w:rFonts w:ascii="Arial" w:hAnsi="Arial" w:cs="Arial"/>
          <w:sz w:val="18"/>
          <w:szCs w:val="16"/>
        </w:rPr>
        <w:t xml:space="preserve">2 packages of </w:t>
      </w:r>
      <w:proofErr w:type="spellStart"/>
      <w:r w:rsidRPr="00343740">
        <w:rPr>
          <w:rFonts w:ascii="Arial" w:hAnsi="Arial" w:cs="Arial"/>
          <w:sz w:val="18"/>
          <w:szCs w:val="16"/>
        </w:rPr>
        <w:t>Blincyto</w:t>
      </w:r>
      <w:proofErr w:type="spellEnd"/>
      <w:r w:rsidRPr="00343740">
        <w:rPr>
          <w:rFonts w:ascii="Arial" w:hAnsi="Arial" w:cs="Arial"/>
          <w:sz w:val="18"/>
          <w:szCs w:val="16"/>
        </w:rPr>
        <w:t xml:space="preserve"> are needed for preparation of 15 </w:t>
      </w:r>
      <w:r>
        <w:rPr>
          <w:rFonts w:ascii="Arial" w:hAnsi="Arial" w:cs="Arial"/>
          <w:sz w:val="18"/>
          <w:szCs w:val="16"/>
        </w:rPr>
        <w:t>micrograms</w:t>
      </w:r>
      <w:r w:rsidRPr="00343740">
        <w:rPr>
          <w:rFonts w:ascii="Arial" w:hAnsi="Arial" w:cs="Arial"/>
          <w:sz w:val="18"/>
          <w:szCs w:val="16"/>
        </w:rPr>
        <w:t>/m</w:t>
      </w:r>
      <w:r w:rsidRPr="00343740">
        <w:rPr>
          <w:rFonts w:ascii="Arial" w:hAnsi="Arial" w:cs="Arial"/>
          <w:sz w:val="18"/>
          <w:szCs w:val="16"/>
          <w:vertAlign w:val="superscript"/>
        </w:rPr>
        <w:t>2</w:t>
      </w:r>
      <w:r w:rsidRPr="00343740">
        <w:rPr>
          <w:rFonts w:ascii="Arial" w:hAnsi="Arial" w:cs="Arial"/>
          <w:sz w:val="18"/>
          <w:szCs w:val="16"/>
        </w:rPr>
        <w:t>/day dose infused over 96 hours at a rate of 2.5 mL/hour for patients with a BSA of 0.50 m</w:t>
      </w:r>
      <w:r w:rsidRPr="00343740">
        <w:rPr>
          <w:rFonts w:ascii="Arial" w:hAnsi="Arial" w:cs="Arial"/>
          <w:sz w:val="18"/>
          <w:szCs w:val="16"/>
          <w:vertAlign w:val="superscript"/>
        </w:rPr>
        <w:t>2</w:t>
      </w:r>
      <w:r w:rsidRPr="00343740">
        <w:rPr>
          <w:rFonts w:ascii="Arial" w:hAnsi="Arial" w:cs="Arial"/>
          <w:sz w:val="18"/>
          <w:szCs w:val="16"/>
        </w:rPr>
        <w:t xml:space="preserve"> to 0.99 m</w:t>
      </w:r>
      <w:r w:rsidRPr="00343740">
        <w:rPr>
          <w:rFonts w:ascii="Arial" w:hAnsi="Arial" w:cs="Arial"/>
          <w:sz w:val="18"/>
          <w:szCs w:val="16"/>
          <w:vertAlign w:val="superscript"/>
        </w:rPr>
        <w:t>2</w:t>
      </w:r>
    </w:p>
    <w:p w14:paraId="034B34E8" w14:textId="48DC395D" w:rsidR="006F4DEE" w:rsidRPr="00343740" w:rsidRDefault="006F4DEE" w:rsidP="007627A5">
      <w:pPr>
        <w:pStyle w:val="Heading4"/>
      </w:pPr>
      <w:r w:rsidRPr="00343740">
        <w:t xml:space="preserve">Preparation of </w:t>
      </w:r>
      <w:proofErr w:type="spellStart"/>
      <w:r w:rsidRPr="00343740">
        <w:t>Blincyto</w:t>
      </w:r>
      <w:proofErr w:type="spellEnd"/>
      <w:r w:rsidRPr="00343740">
        <w:t xml:space="preserve"> Solution for Infusion </w:t>
      </w:r>
      <w:r w:rsidR="002478C0">
        <w:t>U</w:t>
      </w:r>
      <w:r w:rsidRPr="00343740">
        <w:t>sing a 250</w:t>
      </w:r>
      <w:r w:rsidR="007627A5">
        <w:t> </w:t>
      </w:r>
      <w:r w:rsidRPr="00343740">
        <w:t xml:space="preserve">mL </w:t>
      </w:r>
      <w:r w:rsidR="002478C0">
        <w:t>C</w:t>
      </w:r>
      <w:r w:rsidRPr="00343740">
        <w:t>assette</w:t>
      </w:r>
    </w:p>
    <w:p w14:paraId="77395576" w14:textId="77777777" w:rsidR="006F4DEE" w:rsidRPr="00FF4079" w:rsidRDefault="006F4DEE" w:rsidP="006F4DEE">
      <w:pPr>
        <w:pStyle w:val="PI-Text"/>
      </w:pPr>
      <w:r w:rsidRPr="00FF4079">
        <w:lastRenderedPageBreak/>
        <w:t xml:space="preserve">Verify the prescribed dose and infusion duration for each </w:t>
      </w:r>
      <w:proofErr w:type="spellStart"/>
      <w:r w:rsidRPr="00FF4079">
        <w:t>Blincyto</w:t>
      </w:r>
      <w:proofErr w:type="spellEnd"/>
      <w:r w:rsidRPr="00FF4079">
        <w:t xml:space="preserve"> cassette.  To minimise errors, </w:t>
      </w:r>
      <w:r w:rsidRPr="00FF4079">
        <w:rPr>
          <w:b/>
        </w:rPr>
        <w:t>use the specific volumes described in Tables</w:t>
      </w:r>
      <w:r w:rsidR="007627A5">
        <w:rPr>
          <w:b/>
        </w:rPr>
        <w:t> 6</w:t>
      </w:r>
      <w:r w:rsidRPr="00FF4079">
        <w:rPr>
          <w:b/>
        </w:rPr>
        <w:t xml:space="preserve"> to </w:t>
      </w:r>
      <w:r w:rsidR="007627A5">
        <w:rPr>
          <w:b/>
        </w:rPr>
        <w:t>8</w:t>
      </w:r>
      <w:r w:rsidRPr="00FF4079">
        <w:rPr>
          <w:b/>
        </w:rPr>
        <w:t xml:space="preserve"> to prepare the </w:t>
      </w:r>
      <w:proofErr w:type="spellStart"/>
      <w:r w:rsidRPr="00FF4079">
        <w:rPr>
          <w:b/>
        </w:rPr>
        <w:t>Blincyto</w:t>
      </w:r>
      <w:proofErr w:type="spellEnd"/>
      <w:r w:rsidRPr="00FF4079">
        <w:rPr>
          <w:b/>
        </w:rPr>
        <w:t xml:space="preserve"> cassette.</w:t>
      </w:r>
      <w:r w:rsidRPr="00FF4079">
        <w:t xml:space="preserve">  </w:t>
      </w:r>
    </w:p>
    <w:p w14:paraId="6D907E03" w14:textId="77777777" w:rsidR="006F4DEE" w:rsidRPr="00FF4079" w:rsidRDefault="006F4DEE" w:rsidP="006F4DEE">
      <w:pPr>
        <w:pStyle w:val="PI-Bullets"/>
      </w:pPr>
      <w:r w:rsidRPr="00FF4079">
        <w:t>Table </w:t>
      </w:r>
      <w:r w:rsidR="007627A5">
        <w:t>6</w:t>
      </w:r>
      <w:r w:rsidRPr="00FF4079">
        <w:t xml:space="preserve"> for patients weighing greater than or equal to</w:t>
      </w:r>
      <w:r w:rsidRPr="00FF4079">
        <w:rPr>
          <w:b/>
          <w:i/>
        </w:rPr>
        <w:t xml:space="preserve"> </w:t>
      </w:r>
      <w:r w:rsidRPr="00FF4079">
        <w:t xml:space="preserve">45 kg </w:t>
      </w:r>
    </w:p>
    <w:p w14:paraId="5B3F2A74" w14:textId="77777777" w:rsidR="006F4DEE" w:rsidRPr="00024DA2" w:rsidRDefault="006F4DEE" w:rsidP="006F4DEE">
      <w:pPr>
        <w:pStyle w:val="PI-Bullets"/>
        <w:rPr>
          <w:rFonts w:cs="Arial"/>
          <w:sz w:val="20"/>
        </w:rPr>
      </w:pPr>
      <w:r w:rsidRPr="00FF4079">
        <w:t>Tables </w:t>
      </w:r>
      <w:r w:rsidR="007627A5">
        <w:t>7</w:t>
      </w:r>
      <w:r w:rsidRPr="00FF4079">
        <w:t xml:space="preserve"> and </w:t>
      </w:r>
      <w:r w:rsidR="007627A5">
        <w:t>8</w:t>
      </w:r>
      <w:r w:rsidRPr="00FF4079">
        <w:t xml:space="preserve"> for patients weighing less than 45 kg </w:t>
      </w:r>
    </w:p>
    <w:p w14:paraId="214C9D9A" w14:textId="77777777" w:rsidR="006F4DEE" w:rsidRPr="00FF4079" w:rsidRDefault="006F4DEE" w:rsidP="006F4DEE">
      <w:pPr>
        <w:pStyle w:val="PI-Bullets"/>
        <w:numPr>
          <w:ilvl w:val="0"/>
          <w:numId w:val="0"/>
        </w:numPr>
        <w:ind w:left="360"/>
        <w:rPr>
          <w:rFonts w:cs="Arial"/>
          <w:sz w:val="20"/>
        </w:rPr>
      </w:pPr>
    </w:p>
    <w:p w14:paraId="1346E148" w14:textId="705FC74A" w:rsidR="006F4DEE" w:rsidRPr="00FF4079" w:rsidRDefault="006F4DEE" w:rsidP="006F4DEE">
      <w:pPr>
        <w:pStyle w:val="PI-Bullets"/>
        <w:numPr>
          <w:ilvl w:val="0"/>
          <w:numId w:val="25"/>
        </w:numPr>
      </w:pPr>
      <w:r w:rsidRPr="00FF4079">
        <w:t>Aseptically transfer sterile 0.9%</w:t>
      </w:r>
      <w:r w:rsidR="00D72196">
        <w:t> </w:t>
      </w:r>
      <w:r w:rsidR="002478C0">
        <w:t>s</w:t>
      </w:r>
      <w:r w:rsidR="00D72196" w:rsidRPr="00C112C2">
        <w:rPr>
          <w:color w:val="000000" w:themeColor="text1"/>
        </w:rPr>
        <w:t>odium</w:t>
      </w:r>
      <w:r w:rsidR="00D72196" w:rsidRPr="00C112C2">
        <w:t xml:space="preserve"> </w:t>
      </w:r>
      <w:r w:rsidR="002478C0">
        <w:t>c</w:t>
      </w:r>
      <w:r w:rsidR="00D72196" w:rsidRPr="00C112C2">
        <w:rPr>
          <w:color w:val="000000" w:themeColor="text1"/>
        </w:rPr>
        <w:t>hloride</w:t>
      </w:r>
      <w:r w:rsidR="00D72196" w:rsidRPr="00C112C2">
        <w:t xml:space="preserve"> </w:t>
      </w:r>
      <w:r w:rsidRPr="00FF4079">
        <w:t>into the cassette. The volume to transfer should be 250</w:t>
      </w:r>
      <w:r w:rsidR="007627A5">
        <w:t> </w:t>
      </w:r>
      <w:r w:rsidRPr="00FF4079">
        <w:t xml:space="preserve">mL </w:t>
      </w:r>
      <w:r w:rsidRPr="00FF4079">
        <w:rPr>
          <w:b/>
          <w:bCs/>
        </w:rPr>
        <w:t>minus 5</w:t>
      </w:r>
      <w:r w:rsidR="007627A5">
        <w:rPr>
          <w:b/>
          <w:bCs/>
        </w:rPr>
        <w:t> </w:t>
      </w:r>
      <w:r w:rsidRPr="00FF4079">
        <w:rPr>
          <w:b/>
          <w:bCs/>
        </w:rPr>
        <w:t xml:space="preserve">mL IV solution stabiliser and reconstituted </w:t>
      </w:r>
      <w:proofErr w:type="spellStart"/>
      <w:r w:rsidRPr="00FF4079">
        <w:rPr>
          <w:b/>
          <w:bCs/>
        </w:rPr>
        <w:t>Blincyto</w:t>
      </w:r>
      <w:proofErr w:type="spellEnd"/>
      <w:r w:rsidRPr="00FF4079">
        <w:rPr>
          <w:b/>
          <w:bCs/>
        </w:rPr>
        <w:t xml:space="preserve"> to be added</w:t>
      </w:r>
      <w:r w:rsidR="007627A5">
        <w:t xml:space="preserve">. </w:t>
      </w:r>
      <w:r w:rsidRPr="00FF4079">
        <w:t xml:space="preserve"> For example, for a cassette that will deliver 9</w:t>
      </w:r>
      <w:r w:rsidR="007627A5">
        <w:t> </w:t>
      </w:r>
      <w:r w:rsidRPr="00FF4079">
        <w:t>micrograms/day over 96 hours, load 242</w:t>
      </w:r>
      <w:r w:rsidR="007627A5">
        <w:t> </w:t>
      </w:r>
      <w:r w:rsidRPr="00FF4079">
        <w:t>mL 0.9%</w:t>
      </w:r>
      <w:r w:rsidR="00D72196">
        <w:t> </w:t>
      </w:r>
      <w:r w:rsidR="002478C0">
        <w:t>s</w:t>
      </w:r>
      <w:r w:rsidR="00D72196" w:rsidRPr="00C112C2">
        <w:rPr>
          <w:color w:val="000000" w:themeColor="text1"/>
        </w:rPr>
        <w:t>odium</w:t>
      </w:r>
      <w:r w:rsidR="00D72196" w:rsidRPr="00C112C2">
        <w:t xml:space="preserve"> </w:t>
      </w:r>
      <w:r w:rsidR="002478C0">
        <w:t>c</w:t>
      </w:r>
      <w:r w:rsidR="00D72196" w:rsidRPr="00C112C2">
        <w:rPr>
          <w:color w:val="000000" w:themeColor="text1"/>
        </w:rPr>
        <w:t>hloride</w:t>
      </w:r>
      <w:r w:rsidR="00D72196" w:rsidRPr="00C112C2">
        <w:t xml:space="preserve"> </w:t>
      </w:r>
      <w:r w:rsidRPr="00FF4079">
        <w:t>into the cassette (250</w:t>
      </w:r>
      <w:r w:rsidR="007627A5">
        <w:t> </w:t>
      </w:r>
      <w:r w:rsidRPr="00FF4079">
        <w:t>mL minus 5</w:t>
      </w:r>
      <w:r w:rsidR="007627A5">
        <w:t> </w:t>
      </w:r>
      <w:r w:rsidRPr="00FF4079">
        <w:t>mL IV solution stabiliser minus 3</w:t>
      </w:r>
      <w:r w:rsidR="007627A5">
        <w:t> </w:t>
      </w:r>
      <w:r w:rsidRPr="00FF4079">
        <w:t xml:space="preserve">mL reconstituted </w:t>
      </w:r>
      <w:proofErr w:type="spellStart"/>
      <w:r w:rsidRPr="00FF4079">
        <w:t>Blincyto</w:t>
      </w:r>
      <w:proofErr w:type="spellEnd"/>
      <w:r w:rsidRPr="00FF4079">
        <w:t xml:space="preserve"> for a total volume of 242</w:t>
      </w:r>
      <w:r w:rsidR="007627A5">
        <w:t> </w:t>
      </w:r>
      <w:r w:rsidRPr="00FF4079">
        <w:t>mL).</w:t>
      </w:r>
      <w:r w:rsidR="00C51898">
        <w:t xml:space="preserve">  </w:t>
      </w:r>
      <w:r w:rsidRPr="00FF4079">
        <w:rPr>
          <w:b/>
          <w:bCs/>
        </w:rPr>
        <w:t>The final solution volume should equal 250</w:t>
      </w:r>
      <w:r w:rsidR="007627A5">
        <w:rPr>
          <w:b/>
          <w:bCs/>
        </w:rPr>
        <w:t> </w:t>
      </w:r>
      <w:proofErr w:type="spellStart"/>
      <w:r w:rsidRPr="00FF4079">
        <w:rPr>
          <w:b/>
          <w:bCs/>
        </w:rPr>
        <w:t>mL</w:t>
      </w:r>
      <w:r w:rsidRPr="00FF4079">
        <w:t>.</w:t>
      </w:r>
      <w:proofErr w:type="spellEnd"/>
      <w:r w:rsidRPr="00FF4079">
        <w:t xml:space="preserve"> </w:t>
      </w:r>
    </w:p>
    <w:p w14:paraId="213D53CF" w14:textId="33FC4131" w:rsidR="006F4DEE" w:rsidRPr="00FF4079" w:rsidRDefault="006F4DEE" w:rsidP="006F4DEE">
      <w:pPr>
        <w:pStyle w:val="PI-Bullets"/>
        <w:numPr>
          <w:ilvl w:val="0"/>
          <w:numId w:val="25"/>
        </w:numPr>
      </w:pPr>
      <w:r w:rsidRPr="00FF4079">
        <w:t>Aseptically transfer 5</w:t>
      </w:r>
      <w:r w:rsidR="007627A5">
        <w:t> </w:t>
      </w:r>
      <w:r w:rsidRPr="00FF4079">
        <w:t>mL of IV solut</w:t>
      </w:r>
      <w:r w:rsidR="007627A5">
        <w:t xml:space="preserve">ion stabiliser to the cassette.  </w:t>
      </w:r>
      <w:r w:rsidRPr="00FF4079">
        <w:t>Gently mix the contents of</w:t>
      </w:r>
      <w:r w:rsidR="007627A5">
        <w:t xml:space="preserve"> the cassette to avoid foaming.  </w:t>
      </w:r>
      <w:r w:rsidRPr="00FF4079">
        <w:t xml:space="preserve">Discard the vial containing the unused IV </w:t>
      </w:r>
      <w:r w:rsidR="002478C0">
        <w:t>s</w:t>
      </w:r>
      <w:r w:rsidR="00DD02DC" w:rsidRPr="00FF4079">
        <w:t xml:space="preserve">olution </w:t>
      </w:r>
      <w:r w:rsidR="002478C0">
        <w:t>s</w:t>
      </w:r>
      <w:r w:rsidR="00DD02DC" w:rsidRPr="00FF4079">
        <w:t>tabiliser</w:t>
      </w:r>
      <w:r w:rsidR="00C51898">
        <w:t>.</w:t>
      </w:r>
    </w:p>
    <w:p w14:paraId="48C4FF12" w14:textId="213B3DDF" w:rsidR="006F4DEE" w:rsidRPr="00FF4079" w:rsidRDefault="006F4DEE" w:rsidP="006F4DEE">
      <w:pPr>
        <w:pStyle w:val="PI-Bullets"/>
        <w:numPr>
          <w:ilvl w:val="0"/>
          <w:numId w:val="25"/>
        </w:numPr>
      </w:pPr>
      <w:r w:rsidRPr="00FF4079">
        <w:t>Refer to Tables</w:t>
      </w:r>
      <w:r w:rsidR="007627A5">
        <w:t> 6</w:t>
      </w:r>
      <w:r w:rsidRPr="00FF4079">
        <w:t xml:space="preserve"> to </w:t>
      </w:r>
      <w:r w:rsidR="007627A5">
        <w:t>8</w:t>
      </w:r>
      <w:r w:rsidRPr="00FF4079">
        <w:t xml:space="preserve"> for the expected number of </w:t>
      </w:r>
      <w:proofErr w:type="spellStart"/>
      <w:r w:rsidRPr="00FF4079">
        <w:t>Blincyto</w:t>
      </w:r>
      <w:proofErr w:type="spellEnd"/>
      <w:r w:rsidRPr="00FF4079">
        <w:t xml:space="preserve"> vials needed to prepare the required dose of </w:t>
      </w:r>
      <w:proofErr w:type="spellStart"/>
      <w:r w:rsidRPr="00FF4079">
        <w:t>Blincyto</w:t>
      </w:r>
      <w:proofErr w:type="spellEnd"/>
      <w:r w:rsidRPr="00FF4079">
        <w:t xml:space="preserve"> for the infusion duration. </w:t>
      </w:r>
      <w:r w:rsidR="007627A5">
        <w:t xml:space="preserve"> </w:t>
      </w:r>
      <w:r w:rsidRPr="00FF4079">
        <w:t xml:space="preserve">Reconstitute each vial of </w:t>
      </w:r>
      <w:proofErr w:type="spellStart"/>
      <w:r w:rsidRPr="00FF4079">
        <w:t>Blincyto</w:t>
      </w:r>
      <w:proofErr w:type="spellEnd"/>
      <w:r w:rsidRPr="00FF4079">
        <w:t xml:space="preserve"> using 3</w:t>
      </w:r>
      <w:r w:rsidR="008466DA">
        <w:t> </w:t>
      </w:r>
      <w:r w:rsidRPr="00FF4079">
        <w:t xml:space="preserve">mL of preservative-free </w:t>
      </w:r>
      <w:r w:rsidR="002478C0">
        <w:t>s</w:t>
      </w:r>
      <w:r w:rsidRPr="00FF4079">
        <w:t xml:space="preserve">terile Water for Injections. </w:t>
      </w:r>
      <w:r w:rsidR="007627A5">
        <w:t xml:space="preserve"> </w:t>
      </w:r>
      <w:r w:rsidRPr="00FF4079">
        <w:t xml:space="preserve">Direct preservative-free Sterile Water for Injections toward the side of </w:t>
      </w:r>
      <w:r w:rsidR="007627A5">
        <w:t xml:space="preserve">the vial during reconstitution.  </w:t>
      </w:r>
      <w:r w:rsidRPr="00FF4079">
        <w:t>Gently swirl co</w:t>
      </w:r>
      <w:r w:rsidR="007627A5">
        <w:t xml:space="preserve">ntents to avoid excess foaming.  </w:t>
      </w:r>
      <w:r w:rsidRPr="00FF4079">
        <w:rPr>
          <w:b/>
          <w:bCs/>
        </w:rPr>
        <w:t xml:space="preserve">Do </w:t>
      </w:r>
      <w:r w:rsidRPr="00FF4079">
        <w:rPr>
          <w:b/>
          <w:bCs/>
          <w:u w:val="single"/>
        </w:rPr>
        <w:t>not</w:t>
      </w:r>
      <w:r w:rsidRPr="00FF4079">
        <w:rPr>
          <w:b/>
          <w:bCs/>
        </w:rPr>
        <w:t xml:space="preserve"> shake</w:t>
      </w:r>
      <w:r w:rsidRPr="00FF4079">
        <w:t>.</w:t>
      </w:r>
    </w:p>
    <w:p w14:paraId="487A2B55" w14:textId="77777777" w:rsidR="006F4DEE" w:rsidRPr="00FF4079" w:rsidRDefault="006F4DEE" w:rsidP="006F4DEE">
      <w:pPr>
        <w:pStyle w:val="PI-Bullets"/>
        <w:numPr>
          <w:ilvl w:val="0"/>
          <w:numId w:val="22"/>
        </w:numPr>
      </w:pPr>
      <w:r w:rsidRPr="00FF4079">
        <w:t xml:space="preserve">Do </w:t>
      </w:r>
      <w:r w:rsidRPr="00343740">
        <w:rPr>
          <w:u w:val="single"/>
        </w:rPr>
        <w:t>not</w:t>
      </w:r>
      <w:r w:rsidRPr="00FF4079">
        <w:t xml:space="preserve"> reconstitute </w:t>
      </w:r>
      <w:proofErr w:type="spellStart"/>
      <w:r w:rsidRPr="00FF4079">
        <w:t>Blincyto</w:t>
      </w:r>
      <w:proofErr w:type="spellEnd"/>
      <w:r w:rsidRPr="00FF4079">
        <w:t xml:space="preserve"> with IV solution stabiliser.  </w:t>
      </w:r>
    </w:p>
    <w:p w14:paraId="11DD34E6" w14:textId="5DDAF03B" w:rsidR="006F4DEE" w:rsidRPr="00FF4079" w:rsidRDefault="006F4DEE" w:rsidP="006F4DEE">
      <w:pPr>
        <w:pStyle w:val="PI-Bullets"/>
        <w:numPr>
          <w:ilvl w:val="0"/>
          <w:numId w:val="22"/>
        </w:numPr>
      </w:pPr>
      <w:r w:rsidRPr="00FF4079">
        <w:t xml:space="preserve">The addition of preservative-free </w:t>
      </w:r>
      <w:r w:rsidR="002478C0">
        <w:t>s</w:t>
      </w:r>
      <w:r w:rsidRPr="00FF4079">
        <w:t>terile Water for Injections to the lyophilised powder results in a total volume of 3.1</w:t>
      </w:r>
      <w:r w:rsidR="008466DA">
        <w:t> </w:t>
      </w:r>
      <w:r w:rsidRPr="00FF4079">
        <w:t xml:space="preserve">mL for a final </w:t>
      </w:r>
      <w:proofErr w:type="spellStart"/>
      <w:r w:rsidRPr="00FF4079">
        <w:t>Blincyto</w:t>
      </w:r>
      <w:proofErr w:type="spellEnd"/>
      <w:r w:rsidRPr="00FF4079">
        <w:t xml:space="preserve"> concentration of 12.5</w:t>
      </w:r>
      <w:r w:rsidR="008466DA">
        <w:t> </w:t>
      </w:r>
      <w:r w:rsidR="00CE4391">
        <w:t>micrograms/</w:t>
      </w:r>
      <w:proofErr w:type="spellStart"/>
      <w:r w:rsidR="00CE4391">
        <w:t>mL.</w:t>
      </w:r>
      <w:proofErr w:type="spellEnd"/>
    </w:p>
    <w:p w14:paraId="6E4306F0" w14:textId="76D78FA3" w:rsidR="006F4DEE" w:rsidRPr="00FF4079" w:rsidRDefault="006F4DEE" w:rsidP="006F4DEE">
      <w:pPr>
        <w:pStyle w:val="PI-Bullets"/>
        <w:numPr>
          <w:ilvl w:val="0"/>
          <w:numId w:val="25"/>
        </w:numPr>
      </w:pPr>
      <w:r w:rsidRPr="00FF4079">
        <w:t>Visually inspect the reconstituted solution for particulate matter and discolo</w:t>
      </w:r>
      <w:r w:rsidR="00165369">
        <w:t>u</w:t>
      </w:r>
      <w:r w:rsidRPr="00FF4079">
        <w:t>ration during reconstitution and prior to infusion.</w:t>
      </w:r>
      <w:r w:rsidR="008466DA">
        <w:t xml:space="preserve"> </w:t>
      </w:r>
      <w:r w:rsidRPr="00FF4079">
        <w:t xml:space="preserve"> The resulting solution should be clear to slightly opalescent, colourless to slightly yellow.</w:t>
      </w:r>
      <w:r w:rsidR="008466DA">
        <w:t xml:space="preserve"> </w:t>
      </w:r>
      <w:r w:rsidRPr="00FF4079">
        <w:t xml:space="preserve"> </w:t>
      </w:r>
      <w:r w:rsidRPr="00FF4079">
        <w:rPr>
          <w:b/>
          <w:bCs/>
        </w:rPr>
        <w:t xml:space="preserve">Do </w:t>
      </w:r>
      <w:r w:rsidRPr="00FF4079">
        <w:rPr>
          <w:b/>
          <w:bCs/>
          <w:u w:val="single"/>
        </w:rPr>
        <w:t>not</w:t>
      </w:r>
      <w:r w:rsidRPr="00FF4079">
        <w:rPr>
          <w:b/>
          <w:bCs/>
        </w:rPr>
        <w:t xml:space="preserve"> use if solution is cloudy or has precipitated</w:t>
      </w:r>
      <w:r w:rsidR="008466DA">
        <w:t>.</w:t>
      </w:r>
    </w:p>
    <w:p w14:paraId="1C6E058C" w14:textId="77777777" w:rsidR="006F4DEE" w:rsidRPr="00FF4079" w:rsidRDefault="006F4DEE" w:rsidP="006F4DEE">
      <w:pPr>
        <w:pStyle w:val="PI-Bullets"/>
        <w:numPr>
          <w:ilvl w:val="0"/>
          <w:numId w:val="25"/>
        </w:numPr>
      </w:pPr>
      <w:r w:rsidRPr="00FF4079">
        <w:t xml:space="preserve">Using an appropriate sized syringe, aseptically transfer the required volume </w:t>
      </w:r>
      <w:r w:rsidR="008466DA">
        <w:t>(Tables 6 to 8</w:t>
      </w:r>
      <w:r>
        <w:t xml:space="preserve">) </w:t>
      </w:r>
      <w:r w:rsidRPr="00FF4079">
        <w:t>of reconstitu</w:t>
      </w:r>
      <w:r w:rsidR="008466DA">
        <w:t xml:space="preserve">ted </w:t>
      </w:r>
      <w:proofErr w:type="spellStart"/>
      <w:r w:rsidR="008466DA">
        <w:t>Blincyto</w:t>
      </w:r>
      <w:proofErr w:type="spellEnd"/>
      <w:r w:rsidR="008466DA">
        <w:t xml:space="preserve"> into the cassette.  </w:t>
      </w:r>
      <w:r w:rsidRPr="00FF4079">
        <w:t>Gently mix the contents of</w:t>
      </w:r>
      <w:r w:rsidR="008466DA">
        <w:t xml:space="preserve"> the cassette to avoid foaming.</w:t>
      </w:r>
      <w:r w:rsidRPr="00FF4079">
        <w:t xml:space="preserve"> </w:t>
      </w:r>
    </w:p>
    <w:p w14:paraId="43D7961D" w14:textId="77777777" w:rsidR="006F4DEE" w:rsidRPr="00FF4079" w:rsidRDefault="006F4DEE" w:rsidP="006F4DEE">
      <w:pPr>
        <w:pStyle w:val="PI-Bullets"/>
        <w:numPr>
          <w:ilvl w:val="0"/>
          <w:numId w:val="25"/>
        </w:numPr>
      </w:pPr>
      <w:r w:rsidRPr="00FF4079">
        <w:t>Redraw approximately 10</w:t>
      </w:r>
      <w:r w:rsidR="008466DA">
        <w:t> </w:t>
      </w:r>
      <w:r w:rsidRPr="00FF4079">
        <w:t xml:space="preserve">mL of fluid from the cassette and inject back to ensure no </w:t>
      </w:r>
      <w:proofErr w:type="spellStart"/>
      <w:r w:rsidRPr="00FF4079">
        <w:t>Blincyto</w:t>
      </w:r>
      <w:proofErr w:type="spellEnd"/>
      <w:r w:rsidRPr="00FF4079">
        <w:t xml:space="preserve"> remains in the ca</w:t>
      </w:r>
      <w:r w:rsidR="008466DA">
        <w:t>ssette line.  Gently mix again.</w:t>
      </w:r>
    </w:p>
    <w:p w14:paraId="40A6B099" w14:textId="77777777" w:rsidR="006F4DEE" w:rsidRPr="00FF4079" w:rsidRDefault="006F4DEE" w:rsidP="006F4DEE">
      <w:pPr>
        <w:pStyle w:val="PI-Bullets"/>
        <w:numPr>
          <w:ilvl w:val="0"/>
          <w:numId w:val="25"/>
        </w:numPr>
      </w:pPr>
      <w:r w:rsidRPr="00FF4079">
        <w:t xml:space="preserve">Remove air from the cassette using a syringe. </w:t>
      </w:r>
      <w:r w:rsidR="008466DA">
        <w:t xml:space="preserve"> </w:t>
      </w:r>
      <w:r w:rsidRPr="00FF4079">
        <w:t>Under aseptic conditions, attach the IV tubing with the sterile 0.2</w:t>
      </w:r>
      <w:r w:rsidR="008466DA">
        <w:t> </w:t>
      </w:r>
      <w:r w:rsidRPr="00FF4079">
        <w:t xml:space="preserve">micron in-line filter to the cassette. </w:t>
      </w:r>
    </w:p>
    <w:p w14:paraId="55D1C428" w14:textId="0289F285" w:rsidR="006F4DEE" w:rsidRPr="00FF4079" w:rsidRDefault="006F4DEE" w:rsidP="006F4DEE">
      <w:pPr>
        <w:pStyle w:val="PI-Bullets"/>
        <w:numPr>
          <w:ilvl w:val="0"/>
          <w:numId w:val="25"/>
        </w:numPr>
      </w:pPr>
      <w:r w:rsidRPr="00FF4079">
        <w:t xml:space="preserve">Prime the IV line </w:t>
      </w:r>
      <w:r w:rsidRPr="00FF4079">
        <w:rPr>
          <w:b/>
          <w:bCs/>
        </w:rPr>
        <w:t xml:space="preserve">only </w:t>
      </w:r>
      <w:r w:rsidRPr="00FF4079">
        <w:t>with the prepared solution for</w:t>
      </w:r>
      <w:r w:rsidR="008466DA">
        <w:t xml:space="preserve"> infusion.  </w:t>
      </w:r>
      <w:r w:rsidRPr="00FF4079">
        <w:rPr>
          <w:b/>
          <w:bCs/>
        </w:rPr>
        <w:t>Do not prime with 0.9%</w:t>
      </w:r>
      <w:r w:rsidR="00D72196">
        <w:rPr>
          <w:b/>
          <w:bCs/>
        </w:rPr>
        <w:t> </w:t>
      </w:r>
      <w:r w:rsidR="002478C0">
        <w:rPr>
          <w:b/>
          <w:bCs/>
        </w:rPr>
        <w:t>s</w:t>
      </w:r>
      <w:r w:rsidR="00D72196" w:rsidRPr="00C112C2">
        <w:rPr>
          <w:b/>
          <w:color w:val="000000" w:themeColor="text1"/>
        </w:rPr>
        <w:t>odium</w:t>
      </w:r>
      <w:r w:rsidR="00D72196" w:rsidRPr="00C112C2">
        <w:rPr>
          <w:b/>
        </w:rPr>
        <w:t xml:space="preserve"> </w:t>
      </w:r>
      <w:r w:rsidR="002478C0">
        <w:rPr>
          <w:b/>
        </w:rPr>
        <w:t>c</w:t>
      </w:r>
      <w:r w:rsidR="00D72196" w:rsidRPr="00C112C2">
        <w:rPr>
          <w:b/>
        </w:rPr>
        <w:t>hloride</w:t>
      </w:r>
      <w:r w:rsidRPr="00FF4079">
        <w:rPr>
          <w:b/>
          <w:bCs/>
        </w:rPr>
        <w:t>.</w:t>
      </w:r>
    </w:p>
    <w:p w14:paraId="6B5F25EB" w14:textId="77777777" w:rsidR="006F4DEE" w:rsidRPr="00FF4079" w:rsidRDefault="006F4DEE" w:rsidP="00F338DE">
      <w:pPr>
        <w:pStyle w:val="PI-Bullets"/>
        <w:numPr>
          <w:ilvl w:val="0"/>
          <w:numId w:val="0"/>
        </w:numPr>
        <w:ind w:left="360"/>
      </w:pPr>
      <w:r w:rsidRPr="00FF4079">
        <w:t xml:space="preserve">Store at </w:t>
      </w:r>
      <w:r w:rsidRPr="002535D8">
        <w:rPr>
          <w:lang w:val="en-GB" w:eastAsia="zh-TW"/>
        </w:rPr>
        <w:t>2°C to 8°C</w:t>
      </w:r>
      <w:r w:rsidRPr="002535D8">
        <w:rPr>
          <w:b/>
          <w:bCs/>
          <w:lang w:val="en-GB" w:eastAsia="zh-TW"/>
        </w:rPr>
        <w:t xml:space="preserve"> </w:t>
      </w:r>
      <w:r w:rsidRPr="00FF4079">
        <w:t>if not used immediately.</w:t>
      </w:r>
    </w:p>
    <w:p w14:paraId="3C3E9E16" w14:textId="540B2C25" w:rsidR="006F4DEE" w:rsidRPr="00FF4079" w:rsidRDefault="006F4DEE" w:rsidP="00BB029B">
      <w:pPr>
        <w:pStyle w:val="Caption"/>
      </w:pPr>
      <w:r w:rsidRPr="00FF4079">
        <w:lastRenderedPageBreak/>
        <w:t>Table </w:t>
      </w:r>
      <w:r w:rsidR="009A44C1">
        <w:t>6</w:t>
      </w:r>
      <w:r w:rsidRPr="00FF4079">
        <w:t xml:space="preserve">.  For Patients Weighing Greater Than or Equal to 45 kg: Volume of </w:t>
      </w:r>
      <w:proofErr w:type="spellStart"/>
      <w:r w:rsidRPr="00FF4079">
        <w:t>Blincyto</w:t>
      </w:r>
      <w:proofErr w:type="spellEnd"/>
      <w:r w:rsidRPr="00FF4079">
        <w:t xml:space="preserve"> </w:t>
      </w:r>
      <w:r w:rsidR="002478C0">
        <w:t>R</w:t>
      </w:r>
      <w:r w:rsidRPr="00FF4079">
        <w:t>equired for 250</w:t>
      </w:r>
      <w:r w:rsidR="00D72196">
        <w:t> </w:t>
      </w:r>
      <w:r w:rsidRPr="00FF4079">
        <w:t>mL</w:t>
      </w:r>
      <w:r w:rsidR="00D72196">
        <w:t xml:space="preserve"> </w:t>
      </w:r>
      <w:r w:rsidR="002478C0">
        <w:t>C</w:t>
      </w:r>
      <w:r w:rsidRPr="00D72196">
        <w:rPr>
          <w:color w:val="000000" w:themeColor="text1"/>
        </w:rPr>
        <w:t>assette</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4"/>
        <w:gridCol w:w="2286"/>
        <w:gridCol w:w="2287"/>
        <w:gridCol w:w="2287"/>
      </w:tblGrid>
      <w:tr w:rsidR="00D72196" w:rsidRPr="00343740" w14:paraId="34EFB017" w14:textId="77777777" w:rsidTr="00620E41">
        <w:trPr>
          <w:jc w:val="center"/>
        </w:trPr>
        <w:tc>
          <w:tcPr>
            <w:tcW w:w="1674" w:type="dxa"/>
            <w:tcBorders>
              <w:bottom w:val="single" w:sz="4" w:space="0" w:color="auto"/>
              <w:right w:val="nil"/>
            </w:tcBorders>
            <w:tcMar>
              <w:top w:w="0" w:type="dxa"/>
              <w:left w:w="108" w:type="dxa"/>
              <w:bottom w:w="0" w:type="dxa"/>
              <w:right w:w="108" w:type="dxa"/>
            </w:tcMar>
            <w:vAlign w:val="center"/>
            <w:hideMark/>
          </w:tcPr>
          <w:p w14:paraId="2C9DC7A4" w14:textId="77777777" w:rsidR="00D72196" w:rsidRPr="000665B7" w:rsidRDefault="00D72196" w:rsidP="00620E41">
            <w:pPr>
              <w:keepNext/>
              <w:keepLines/>
              <w:widowControl w:val="0"/>
              <w:spacing w:before="60" w:after="60" w:line="240" w:lineRule="atLeast"/>
              <w:jc w:val="center"/>
              <w:rPr>
                <w:rFonts w:ascii="Arial" w:eastAsia="Calibri" w:hAnsi="Arial" w:cs="Arial"/>
                <w:b/>
                <w:bCs/>
                <w:sz w:val="20"/>
              </w:rPr>
            </w:pPr>
            <w:r w:rsidRPr="000665B7">
              <w:rPr>
                <w:rFonts w:ascii="Arial" w:hAnsi="Arial" w:cs="Arial"/>
                <w:b/>
                <w:bCs/>
                <w:sz w:val="20"/>
              </w:rPr>
              <w:t>Dose</w:t>
            </w:r>
          </w:p>
        </w:tc>
        <w:tc>
          <w:tcPr>
            <w:tcW w:w="2286" w:type="dxa"/>
            <w:tcBorders>
              <w:left w:val="nil"/>
              <w:bottom w:val="single" w:sz="4" w:space="0" w:color="auto"/>
              <w:right w:val="nil"/>
            </w:tcBorders>
            <w:tcMar>
              <w:top w:w="0" w:type="dxa"/>
              <w:left w:w="108" w:type="dxa"/>
              <w:bottom w:w="0" w:type="dxa"/>
              <w:right w:w="108" w:type="dxa"/>
            </w:tcMar>
            <w:vAlign w:val="center"/>
            <w:hideMark/>
          </w:tcPr>
          <w:p w14:paraId="3C00AD7A" w14:textId="77777777" w:rsidR="00D72196" w:rsidRPr="000665B7" w:rsidRDefault="00D72196" w:rsidP="00620E41">
            <w:pPr>
              <w:keepNext/>
              <w:keepLines/>
              <w:widowControl w:val="0"/>
              <w:spacing w:before="60" w:after="60" w:line="240" w:lineRule="atLeast"/>
              <w:jc w:val="center"/>
              <w:rPr>
                <w:rFonts w:ascii="Arial" w:eastAsia="Calibri" w:hAnsi="Arial" w:cs="Arial"/>
                <w:b/>
                <w:bCs/>
                <w:sz w:val="20"/>
              </w:rPr>
            </w:pPr>
            <w:r w:rsidRPr="000665B7">
              <w:rPr>
                <w:rFonts w:ascii="Arial" w:hAnsi="Arial" w:cs="Arial"/>
                <w:b/>
                <w:bCs/>
                <w:sz w:val="20"/>
              </w:rPr>
              <w:t>Cassette Duration</w:t>
            </w:r>
          </w:p>
        </w:tc>
        <w:tc>
          <w:tcPr>
            <w:tcW w:w="2287" w:type="dxa"/>
            <w:tcBorders>
              <w:left w:val="nil"/>
              <w:bottom w:val="single" w:sz="4" w:space="0" w:color="auto"/>
              <w:right w:val="nil"/>
            </w:tcBorders>
            <w:tcMar>
              <w:top w:w="0" w:type="dxa"/>
              <w:left w:w="108" w:type="dxa"/>
              <w:bottom w:w="0" w:type="dxa"/>
              <w:right w:w="108" w:type="dxa"/>
            </w:tcMar>
            <w:vAlign w:val="center"/>
            <w:hideMark/>
          </w:tcPr>
          <w:p w14:paraId="010C056E" w14:textId="77777777" w:rsidR="00D72196" w:rsidRPr="000665B7" w:rsidRDefault="00D72196" w:rsidP="00620E41">
            <w:pPr>
              <w:keepNext/>
              <w:keepLines/>
              <w:widowControl w:val="0"/>
              <w:spacing w:before="60" w:after="60" w:line="240" w:lineRule="atLeast"/>
              <w:jc w:val="center"/>
              <w:rPr>
                <w:rFonts w:ascii="Arial" w:eastAsia="Calibri" w:hAnsi="Arial" w:cs="Arial"/>
                <w:b/>
                <w:bCs/>
                <w:sz w:val="20"/>
              </w:rPr>
            </w:pPr>
            <w:r w:rsidRPr="000665B7">
              <w:rPr>
                <w:rFonts w:ascii="Arial" w:hAnsi="Arial" w:cs="Arial"/>
                <w:b/>
                <w:bCs/>
                <w:sz w:val="20"/>
              </w:rPr>
              <w:t xml:space="preserve">Expected Number of </w:t>
            </w:r>
            <w:proofErr w:type="spellStart"/>
            <w:r w:rsidRPr="000665B7">
              <w:rPr>
                <w:rFonts w:ascii="Arial" w:hAnsi="Arial" w:cs="Arial"/>
                <w:b/>
                <w:bCs/>
                <w:sz w:val="20"/>
              </w:rPr>
              <w:t>Blincyto</w:t>
            </w:r>
            <w:proofErr w:type="spellEnd"/>
            <w:r w:rsidRPr="000665B7">
              <w:rPr>
                <w:rFonts w:ascii="Arial" w:hAnsi="Arial" w:cs="Arial"/>
                <w:b/>
                <w:bCs/>
                <w:sz w:val="20"/>
              </w:rPr>
              <w:t xml:space="preserve"> vials required*</w:t>
            </w:r>
          </w:p>
        </w:tc>
        <w:tc>
          <w:tcPr>
            <w:tcW w:w="2287" w:type="dxa"/>
            <w:tcBorders>
              <w:left w:val="nil"/>
              <w:bottom w:val="single" w:sz="4" w:space="0" w:color="auto"/>
            </w:tcBorders>
            <w:tcMar>
              <w:top w:w="0" w:type="dxa"/>
              <w:left w:w="108" w:type="dxa"/>
              <w:bottom w:w="0" w:type="dxa"/>
              <w:right w:w="108" w:type="dxa"/>
            </w:tcMar>
            <w:vAlign w:val="center"/>
            <w:hideMark/>
          </w:tcPr>
          <w:p w14:paraId="4538F3D9" w14:textId="77777777" w:rsidR="00D72196" w:rsidRPr="000665B7" w:rsidRDefault="00D72196" w:rsidP="00620E41">
            <w:pPr>
              <w:keepNext/>
              <w:keepLines/>
              <w:widowControl w:val="0"/>
              <w:spacing w:before="60" w:after="60" w:line="240" w:lineRule="atLeast"/>
              <w:jc w:val="center"/>
              <w:rPr>
                <w:rFonts w:ascii="Arial" w:eastAsia="Calibri" w:hAnsi="Arial" w:cs="Arial"/>
                <w:b/>
                <w:bCs/>
                <w:sz w:val="20"/>
              </w:rPr>
            </w:pPr>
            <w:r w:rsidRPr="000665B7">
              <w:rPr>
                <w:rFonts w:ascii="Arial" w:hAnsi="Arial" w:cs="Arial"/>
                <w:b/>
                <w:bCs/>
                <w:sz w:val="20"/>
              </w:rPr>
              <w:t xml:space="preserve">Reconstituted </w:t>
            </w:r>
            <w:r w:rsidRPr="000665B7">
              <w:rPr>
                <w:rFonts w:ascii="Arial" w:hAnsi="Arial" w:cs="Arial"/>
                <w:b/>
                <w:bCs/>
                <w:sz w:val="20"/>
              </w:rPr>
              <w:br/>
            </w:r>
            <w:proofErr w:type="spellStart"/>
            <w:r w:rsidRPr="000665B7">
              <w:rPr>
                <w:rFonts w:ascii="Arial" w:hAnsi="Arial" w:cs="Arial"/>
                <w:b/>
                <w:bCs/>
                <w:sz w:val="20"/>
              </w:rPr>
              <w:t>Blincyto</w:t>
            </w:r>
            <w:proofErr w:type="spellEnd"/>
          </w:p>
        </w:tc>
      </w:tr>
      <w:tr w:rsidR="00D72196" w:rsidRPr="00343740" w14:paraId="6971B0B0" w14:textId="77777777" w:rsidTr="00620E41">
        <w:trPr>
          <w:jc w:val="center"/>
        </w:trPr>
        <w:tc>
          <w:tcPr>
            <w:tcW w:w="1674" w:type="dxa"/>
            <w:vMerge w:val="restart"/>
            <w:tcBorders>
              <w:bottom w:val="nil"/>
              <w:right w:val="nil"/>
            </w:tcBorders>
            <w:tcMar>
              <w:top w:w="0" w:type="dxa"/>
              <w:left w:w="108" w:type="dxa"/>
              <w:bottom w:w="0" w:type="dxa"/>
              <w:right w:w="108" w:type="dxa"/>
            </w:tcMar>
            <w:vAlign w:val="center"/>
            <w:hideMark/>
          </w:tcPr>
          <w:p w14:paraId="6A4322A4" w14:textId="4C27FE44" w:rsidR="00D72196" w:rsidRPr="00343740" w:rsidRDefault="00D72196" w:rsidP="001261C2">
            <w:pPr>
              <w:keepNext/>
              <w:keepLines/>
              <w:widowControl w:val="0"/>
              <w:spacing w:after="60"/>
              <w:jc w:val="center"/>
              <w:rPr>
                <w:rFonts w:ascii="Arial" w:eastAsia="Calibri" w:hAnsi="Arial" w:cs="Arial"/>
                <w:sz w:val="20"/>
              </w:rPr>
            </w:pPr>
            <w:r w:rsidRPr="00343740">
              <w:rPr>
                <w:rFonts w:ascii="Arial" w:hAnsi="Arial" w:cs="Arial"/>
                <w:sz w:val="20"/>
              </w:rPr>
              <w:t>9</w:t>
            </w:r>
            <w:r w:rsidR="001261C2">
              <w:rPr>
                <w:rFonts w:ascii="Arial" w:hAnsi="Arial" w:cs="Arial"/>
                <w:sz w:val="20"/>
              </w:rPr>
              <w:t> microgram</w:t>
            </w:r>
            <w:r w:rsidR="00C51898">
              <w:rPr>
                <w:rFonts w:ascii="Arial" w:hAnsi="Arial" w:cs="Arial"/>
                <w:sz w:val="20"/>
              </w:rPr>
              <w:t>/</w:t>
            </w:r>
            <w:r w:rsidR="001261C2">
              <w:rPr>
                <w:rFonts w:ascii="Arial" w:hAnsi="Arial" w:cs="Arial"/>
                <w:sz w:val="20"/>
              </w:rPr>
              <w:br/>
            </w:r>
            <w:r w:rsidR="00C51898">
              <w:rPr>
                <w:rFonts w:ascii="Arial" w:hAnsi="Arial" w:cs="Arial"/>
                <w:sz w:val="20"/>
              </w:rPr>
              <w:t>day</w:t>
            </w:r>
          </w:p>
        </w:tc>
        <w:tc>
          <w:tcPr>
            <w:tcW w:w="2286" w:type="dxa"/>
            <w:tcBorders>
              <w:left w:val="nil"/>
              <w:bottom w:val="nil"/>
              <w:right w:val="nil"/>
            </w:tcBorders>
            <w:tcMar>
              <w:top w:w="0" w:type="dxa"/>
              <w:left w:w="108" w:type="dxa"/>
              <w:bottom w:w="0" w:type="dxa"/>
              <w:right w:w="108" w:type="dxa"/>
            </w:tcMar>
            <w:vAlign w:val="center"/>
            <w:hideMark/>
          </w:tcPr>
          <w:p w14:paraId="2C94E7F0"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24</w:t>
            </w:r>
            <w:r>
              <w:rPr>
                <w:rFonts w:ascii="Arial" w:hAnsi="Arial" w:cs="Arial"/>
                <w:sz w:val="20"/>
              </w:rPr>
              <w:t> </w:t>
            </w:r>
            <w:r w:rsidRPr="00343740">
              <w:rPr>
                <w:rFonts w:ascii="Arial" w:hAnsi="Arial" w:cs="Arial"/>
                <w:sz w:val="20"/>
              </w:rPr>
              <w:t>hours</w:t>
            </w:r>
          </w:p>
        </w:tc>
        <w:tc>
          <w:tcPr>
            <w:tcW w:w="2287" w:type="dxa"/>
            <w:tcBorders>
              <w:left w:val="nil"/>
              <w:bottom w:val="nil"/>
              <w:right w:val="nil"/>
            </w:tcBorders>
            <w:tcMar>
              <w:top w:w="0" w:type="dxa"/>
              <w:left w:w="108" w:type="dxa"/>
              <w:bottom w:w="0" w:type="dxa"/>
              <w:right w:w="108" w:type="dxa"/>
            </w:tcMar>
            <w:vAlign w:val="center"/>
          </w:tcPr>
          <w:p w14:paraId="6792AD6A"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eastAsia="Calibri" w:hAnsi="Arial" w:cs="Arial"/>
                <w:sz w:val="20"/>
              </w:rPr>
              <w:t>1</w:t>
            </w:r>
          </w:p>
        </w:tc>
        <w:tc>
          <w:tcPr>
            <w:tcW w:w="2287" w:type="dxa"/>
            <w:tcBorders>
              <w:left w:val="nil"/>
              <w:bottom w:val="nil"/>
            </w:tcBorders>
            <w:tcMar>
              <w:top w:w="0" w:type="dxa"/>
              <w:left w:w="108" w:type="dxa"/>
              <w:bottom w:w="0" w:type="dxa"/>
              <w:right w:w="108" w:type="dxa"/>
            </w:tcMar>
            <w:vAlign w:val="center"/>
            <w:hideMark/>
          </w:tcPr>
          <w:p w14:paraId="0113A370"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0.75</w:t>
            </w:r>
            <w:r>
              <w:rPr>
                <w:rFonts w:ascii="Arial" w:hAnsi="Arial" w:cs="Arial"/>
                <w:bCs/>
                <w:sz w:val="20"/>
              </w:rPr>
              <w:t> </w:t>
            </w:r>
            <w:r w:rsidRPr="00343740">
              <w:rPr>
                <w:rFonts w:ascii="Arial" w:hAnsi="Arial" w:cs="Arial"/>
                <w:bCs/>
                <w:sz w:val="20"/>
              </w:rPr>
              <w:t>mL</w:t>
            </w:r>
          </w:p>
        </w:tc>
      </w:tr>
      <w:tr w:rsidR="00D72196" w:rsidRPr="00343740" w14:paraId="0F2AFA14" w14:textId="77777777" w:rsidTr="00620E41">
        <w:trPr>
          <w:jc w:val="center"/>
        </w:trPr>
        <w:tc>
          <w:tcPr>
            <w:tcW w:w="1674" w:type="dxa"/>
            <w:vMerge/>
            <w:tcBorders>
              <w:top w:val="nil"/>
              <w:bottom w:val="nil"/>
              <w:right w:val="nil"/>
            </w:tcBorders>
            <w:vAlign w:val="center"/>
            <w:hideMark/>
          </w:tcPr>
          <w:p w14:paraId="49944833"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bottom w:val="nil"/>
              <w:right w:val="nil"/>
            </w:tcBorders>
            <w:tcMar>
              <w:top w:w="0" w:type="dxa"/>
              <w:left w:w="108" w:type="dxa"/>
              <w:bottom w:w="0" w:type="dxa"/>
              <w:right w:w="108" w:type="dxa"/>
            </w:tcMar>
            <w:vAlign w:val="center"/>
            <w:hideMark/>
          </w:tcPr>
          <w:p w14:paraId="58A29FEC"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48</w:t>
            </w:r>
            <w:r>
              <w:rPr>
                <w:rFonts w:ascii="Arial" w:hAnsi="Arial" w:cs="Arial"/>
                <w:sz w:val="20"/>
              </w:rPr>
              <w:t> </w:t>
            </w:r>
            <w:r w:rsidRPr="00343740">
              <w:rPr>
                <w:rFonts w:ascii="Arial" w:hAnsi="Arial" w:cs="Arial"/>
                <w:sz w:val="20"/>
              </w:rPr>
              <w:t>hours</w:t>
            </w:r>
          </w:p>
        </w:tc>
        <w:tc>
          <w:tcPr>
            <w:tcW w:w="2287" w:type="dxa"/>
            <w:tcBorders>
              <w:top w:val="nil"/>
              <w:left w:val="nil"/>
              <w:bottom w:val="nil"/>
              <w:right w:val="nil"/>
            </w:tcBorders>
            <w:tcMar>
              <w:top w:w="0" w:type="dxa"/>
              <w:left w:w="108" w:type="dxa"/>
              <w:bottom w:w="0" w:type="dxa"/>
              <w:right w:w="108" w:type="dxa"/>
            </w:tcMar>
            <w:vAlign w:val="center"/>
          </w:tcPr>
          <w:p w14:paraId="71DE00F1"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eastAsia="Calibri" w:hAnsi="Arial" w:cs="Arial"/>
                <w:sz w:val="20"/>
              </w:rPr>
              <w:t>1</w:t>
            </w:r>
          </w:p>
        </w:tc>
        <w:tc>
          <w:tcPr>
            <w:tcW w:w="2287" w:type="dxa"/>
            <w:tcBorders>
              <w:top w:val="nil"/>
              <w:left w:val="nil"/>
              <w:bottom w:val="nil"/>
            </w:tcBorders>
            <w:tcMar>
              <w:top w:w="0" w:type="dxa"/>
              <w:left w:w="108" w:type="dxa"/>
              <w:bottom w:w="0" w:type="dxa"/>
              <w:right w:w="108" w:type="dxa"/>
            </w:tcMar>
            <w:vAlign w:val="center"/>
            <w:hideMark/>
          </w:tcPr>
          <w:p w14:paraId="6CD70014"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1.5</w:t>
            </w:r>
            <w:r>
              <w:rPr>
                <w:rFonts w:ascii="Arial" w:hAnsi="Arial" w:cs="Arial"/>
                <w:bCs/>
                <w:sz w:val="20"/>
              </w:rPr>
              <w:t> </w:t>
            </w:r>
            <w:r w:rsidRPr="00343740">
              <w:rPr>
                <w:rFonts w:ascii="Arial" w:hAnsi="Arial" w:cs="Arial"/>
                <w:bCs/>
                <w:sz w:val="20"/>
              </w:rPr>
              <w:t>mL</w:t>
            </w:r>
          </w:p>
        </w:tc>
      </w:tr>
      <w:tr w:rsidR="00D72196" w:rsidRPr="00343740" w14:paraId="1DC450DC" w14:textId="77777777" w:rsidTr="00620E41">
        <w:trPr>
          <w:jc w:val="center"/>
        </w:trPr>
        <w:tc>
          <w:tcPr>
            <w:tcW w:w="1674" w:type="dxa"/>
            <w:vMerge/>
            <w:tcBorders>
              <w:top w:val="nil"/>
              <w:bottom w:val="nil"/>
              <w:right w:val="nil"/>
            </w:tcBorders>
            <w:vAlign w:val="center"/>
          </w:tcPr>
          <w:p w14:paraId="7EC879A6"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bottom w:val="nil"/>
              <w:right w:val="nil"/>
            </w:tcBorders>
            <w:tcMar>
              <w:top w:w="0" w:type="dxa"/>
              <w:left w:w="108" w:type="dxa"/>
              <w:bottom w:w="0" w:type="dxa"/>
              <w:right w:w="108" w:type="dxa"/>
            </w:tcMar>
            <w:vAlign w:val="center"/>
          </w:tcPr>
          <w:p w14:paraId="6BEFD1D5"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72</w:t>
            </w:r>
            <w:r>
              <w:rPr>
                <w:rFonts w:ascii="Arial" w:hAnsi="Arial" w:cs="Arial"/>
                <w:sz w:val="20"/>
              </w:rPr>
              <w:t> </w:t>
            </w:r>
            <w:r w:rsidRPr="00343740">
              <w:rPr>
                <w:rFonts w:ascii="Arial" w:hAnsi="Arial" w:cs="Arial"/>
                <w:sz w:val="20"/>
              </w:rPr>
              <w:t>hours</w:t>
            </w:r>
          </w:p>
        </w:tc>
        <w:tc>
          <w:tcPr>
            <w:tcW w:w="2287" w:type="dxa"/>
            <w:tcBorders>
              <w:top w:val="nil"/>
              <w:left w:val="nil"/>
              <w:bottom w:val="nil"/>
              <w:right w:val="nil"/>
            </w:tcBorders>
            <w:tcMar>
              <w:top w:w="0" w:type="dxa"/>
              <w:left w:w="108" w:type="dxa"/>
              <w:bottom w:w="0" w:type="dxa"/>
              <w:right w:w="108" w:type="dxa"/>
            </w:tcMar>
            <w:vAlign w:val="center"/>
          </w:tcPr>
          <w:p w14:paraId="6A51D462"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1</w:t>
            </w:r>
          </w:p>
        </w:tc>
        <w:tc>
          <w:tcPr>
            <w:tcW w:w="2287" w:type="dxa"/>
            <w:tcBorders>
              <w:top w:val="nil"/>
              <w:left w:val="nil"/>
              <w:bottom w:val="nil"/>
            </w:tcBorders>
            <w:tcMar>
              <w:top w:w="0" w:type="dxa"/>
              <w:left w:w="108" w:type="dxa"/>
              <w:bottom w:w="0" w:type="dxa"/>
              <w:right w:w="108" w:type="dxa"/>
            </w:tcMar>
            <w:vAlign w:val="center"/>
          </w:tcPr>
          <w:p w14:paraId="604DA51E" w14:textId="4AAA5E51" w:rsidR="00D72196" w:rsidRPr="00343740" w:rsidRDefault="00D72196" w:rsidP="00620E41">
            <w:pPr>
              <w:keepNext/>
              <w:keepLines/>
              <w:widowControl w:val="0"/>
              <w:spacing w:before="60" w:after="60" w:line="240" w:lineRule="atLeast"/>
              <w:jc w:val="center"/>
              <w:rPr>
                <w:rFonts w:ascii="Arial" w:hAnsi="Arial" w:cs="Arial"/>
                <w:sz w:val="20"/>
              </w:rPr>
            </w:pPr>
            <w:r w:rsidRPr="00C51898">
              <w:rPr>
                <w:rFonts w:ascii="Arial" w:hAnsi="Arial" w:cs="Arial"/>
                <w:color w:val="000000" w:themeColor="text1"/>
                <w:sz w:val="20"/>
              </w:rPr>
              <w:t>2.25 </w:t>
            </w:r>
            <w:r w:rsidRPr="00343740">
              <w:rPr>
                <w:rFonts w:ascii="Arial" w:hAnsi="Arial" w:cs="Arial"/>
                <w:sz w:val="20"/>
              </w:rPr>
              <w:t>mL</w:t>
            </w:r>
          </w:p>
        </w:tc>
      </w:tr>
      <w:tr w:rsidR="00D72196" w:rsidRPr="00343740" w14:paraId="0BA3D918" w14:textId="77777777" w:rsidTr="00620E41">
        <w:trPr>
          <w:jc w:val="center"/>
        </w:trPr>
        <w:tc>
          <w:tcPr>
            <w:tcW w:w="1674" w:type="dxa"/>
            <w:vMerge/>
            <w:tcBorders>
              <w:top w:val="nil"/>
              <w:right w:val="nil"/>
            </w:tcBorders>
            <w:vAlign w:val="center"/>
          </w:tcPr>
          <w:p w14:paraId="0F5EBD0D"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bottom w:val="single" w:sz="4" w:space="0" w:color="auto"/>
              <w:right w:val="nil"/>
            </w:tcBorders>
            <w:tcMar>
              <w:top w:w="0" w:type="dxa"/>
              <w:left w:w="108" w:type="dxa"/>
              <w:bottom w:w="0" w:type="dxa"/>
              <w:right w:w="108" w:type="dxa"/>
            </w:tcMar>
            <w:vAlign w:val="center"/>
          </w:tcPr>
          <w:p w14:paraId="408746E2"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96</w:t>
            </w:r>
            <w:r>
              <w:rPr>
                <w:rFonts w:ascii="Arial" w:hAnsi="Arial" w:cs="Arial"/>
                <w:sz w:val="20"/>
              </w:rPr>
              <w:t> </w:t>
            </w:r>
            <w:r w:rsidRPr="00343740">
              <w:rPr>
                <w:rFonts w:ascii="Arial" w:hAnsi="Arial" w:cs="Arial"/>
                <w:sz w:val="20"/>
              </w:rPr>
              <w:t>hours</w:t>
            </w:r>
          </w:p>
        </w:tc>
        <w:tc>
          <w:tcPr>
            <w:tcW w:w="2287" w:type="dxa"/>
            <w:tcBorders>
              <w:top w:val="nil"/>
              <w:left w:val="nil"/>
              <w:bottom w:val="single" w:sz="4" w:space="0" w:color="auto"/>
              <w:right w:val="nil"/>
            </w:tcBorders>
            <w:tcMar>
              <w:top w:w="0" w:type="dxa"/>
              <w:left w:w="108" w:type="dxa"/>
              <w:bottom w:w="0" w:type="dxa"/>
              <w:right w:w="108" w:type="dxa"/>
            </w:tcMar>
            <w:vAlign w:val="center"/>
          </w:tcPr>
          <w:p w14:paraId="20B7178E"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2</w:t>
            </w:r>
          </w:p>
        </w:tc>
        <w:tc>
          <w:tcPr>
            <w:tcW w:w="2287" w:type="dxa"/>
            <w:tcBorders>
              <w:top w:val="nil"/>
              <w:left w:val="nil"/>
              <w:bottom w:val="single" w:sz="4" w:space="0" w:color="auto"/>
            </w:tcBorders>
            <w:tcMar>
              <w:top w:w="0" w:type="dxa"/>
              <w:left w:w="108" w:type="dxa"/>
              <w:bottom w:w="0" w:type="dxa"/>
              <w:right w:w="108" w:type="dxa"/>
            </w:tcMar>
            <w:vAlign w:val="center"/>
          </w:tcPr>
          <w:p w14:paraId="2B0F790E"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3</w:t>
            </w:r>
            <w:r>
              <w:t> </w:t>
            </w:r>
            <w:r w:rsidRPr="00343740">
              <w:rPr>
                <w:rFonts w:ascii="Arial" w:hAnsi="Arial" w:cs="Arial"/>
                <w:sz w:val="20"/>
              </w:rPr>
              <w:t>mL</w:t>
            </w:r>
          </w:p>
        </w:tc>
      </w:tr>
      <w:tr w:rsidR="00D72196" w:rsidRPr="00343740" w14:paraId="5369F7F0" w14:textId="77777777" w:rsidTr="00620E41">
        <w:trPr>
          <w:jc w:val="center"/>
        </w:trPr>
        <w:tc>
          <w:tcPr>
            <w:tcW w:w="1674" w:type="dxa"/>
            <w:vMerge w:val="restart"/>
            <w:tcBorders>
              <w:right w:val="nil"/>
            </w:tcBorders>
            <w:tcMar>
              <w:top w:w="0" w:type="dxa"/>
              <w:left w:w="108" w:type="dxa"/>
              <w:bottom w:w="0" w:type="dxa"/>
              <w:right w:w="108" w:type="dxa"/>
            </w:tcMar>
            <w:vAlign w:val="center"/>
            <w:hideMark/>
          </w:tcPr>
          <w:p w14:paraId="27CC1A61" w14:textId="355243BB" w:rsidR="00D72196" w:rsidRPr="00343740" w:rsidRDefault="001261C2" w:rsidP="001261C2">
            <w:pPr>
              <w:keepNext/>
              <w:keepLines/>
              <w:widowControl w:val="0"/>
              <w:spacing w:after="60"/>
              <w:jc w:val="center"/>
              <w:rPr>
                <w:rFonts w:ascii="Arial" w:eastAsia="Calibri" w:hAnsi="Arial" w:cs="Arial"/>
                <w:sz w:val="20"/>
              </w:rPr>
            </w:pPr>
            <w:r>
              <w:rPr>
                <w:rFonts w:ascii="Arial" w:hAnsi="Arial" w:cs="Arial"/>
                <w:sz w:val="20"/>
              </w:rPr>
              <w:t>28 microgram</w:t>
            </w:r>
            <w:r w:rsidR="00D72196" w:rsidRPr="00343740">
              <w:rPr>
                <w:rFonts w:ascii="Arial" w:hAnsi="Arial" w:cs="Arial"/>
                <w:sz w:val="20"/>
              </w:rPr>
              <w:t>/</w:t>
            </w:r>
            <w:r>
              <w:rPr>
                <w:rFonts w:ascii="Arial" w:hAnsi="Arial" w:cs="Arial"/>
                <w:sz w:val="20"/>
              </w:rPr>
              <w:br/>
            </w:r>
            <w:r w:rsidR="00D72196" w:rsidRPr="00343740">
              <w:rPr>
                <w:rFonts w:ascii="Arial" w:hAnsi="Arial" w:cs="Arial"/>
                <w:sz w:val="20"/>
              </w:rPr>
              <w:t>day</w:t>
            </w:r>
          </w:p>
        </w:tc>
        <w:tc>
          <w:tcPr>
            <w:tcW w:w="2286" w:type="dxa"/>
            <w:tcBorders>
              <w:left w:val="nil"/>
              <w:bottom w:val="nil"/>
              <w:right w:val="nil"/>
            </w:tcBorders>
            <w:tcMar>
              <w:top w:w="0" w:type="dxa"/>
              <w:left w:w="108" w:type="dxa"/>
              <w:bottom w:w="0" w:type="dxa"/>
              <w:right w:w="108" w:type="dxa"/>
            </w:tcMar>
            <w:vAlign w:val="center"/>
            <w:hideMark/>
          </w:tcPr>
          <w:p w14:paraId="5C1CB89A"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24</w:t>
            </w:r>
            <w:r>
              <w:rPr>
                <w:rFonts w:ascii="Arial" w:hAnsi="Arial" w:cs="Arial"/>
                <w:sz w:val="20"/>
              </w:rPr>
              <w:t> </w:t>
            </w:r>
            <w:r w:rsidRPr="00343740">
              <w:rPr>
                <w:rFonts w:ascii="Arial" w:hAnsi="Arial" w:cs="Arial"/>
                <w:sz w:val="20"/>
              </w:rPr>
              <w:t>hours</w:t>
            </w:r>
          </w:p>
        </w:tc>
        <w:tc>
          <w:tcPr>
            <w:tcW w:w="2287" w:type="dxa"/>
            <w:tcBorders>
              <w:left w:val="nil"/>
              <w:bottom w:val="nil"/>
              <w:right w:val="nil"/>
            </w:tcBorders>
            <w:tcMar>
              <w:top w:w="0" w:type="dxa"/>
              <w:left w:w="108" w:type="dxa"/>
              <w:bottom w:w="0" w:type="dxa"/>
              <w:right w:w="108" w:type="dxa"/>
            </w:tcMar>
            <w:vAlign w:val="center"/>
          </w:tcPr>
          <w:p w14:paraId="54E2E315"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eastAsia="Calibri" w:hAnsi="Arial" w:cs="Arial"/>
                <w:sz w:val="20"/>
              </w:rPr>
              <w:t>1</w:t>
            </w:r>
          </w:p>
        </w:tc>
        <w:tc>
          <w:tcPr>
            <w:tcW w:w="2287" w:type="dxa"/>
            <w:tcBorders>
              <w:left w:val="nil"/>
              <w:bottom w:val="nil"/>
            </w:tcBorders>
            <w:tcMar>
              <w:top w:w="0" w:type="dxa"/>
              <w:left w:w="108" w:type="dxa"/>
              <w:bottom w:w="0" w:type="dxa"/>
              <w:right w:w="108" w:type="dxa"/>
            </w:tcMar>
            <w:vAlign w:val="center"/>
            <w:hideMark/>
          </w:tcPr>
          <w:p w14:paraId="1F2E6F21"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2.3</w:t>
            </w:r>
            <w:r>
              <w:t> </w:t>
            </w:r>
            <w:r w:rsidRPr="00343740">
              <w:rPr>
                <w:rFonts w:ascii="Arial" w:hAnsi="Arial" w:cs="Arial"/>
                <w:bCs/>
                <w:sz w:val="20"/>
              </w:rPr>
              <w:t>mL</w:t>
            </w:r>
          </w:p>
        </w:tc>
      </w:tr>
      <w:tr w:rsidR="00D72196" w:rsidRPr="00343740" w14:paraId="06048AD5" w14:textId="77777777" w:rsidTr="00620E41">
        <w:trPr>
          <w:jc w:val="center"/>
        </w:trPr>
        <w:tc>
          <w:tcPr>
            <w:tcW w:w="1674" w:type="dxa"/>
            <w:vMerge/>
            <w:tcBorders>
              <w:right w:val="nil"/>
            </w:tcBorders>
            <w:vAlign w:val="center"/>
            <w:hideMark/>
          </w:tcPr>
          <w:p w14:paraId="23599FCF"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bottom w:val="nil"/>
              <w:right w:val="nil"/>
            </w:tcBorders>
            <w:tcMar>
              <w:top w:w="0" w:type="dxa"/>
              <w:left w:w="108" w:type="dxa"/>
              <w:bottom w:w="0" w:type="dxa"/>
              <w:right w:w="108" w:type="dxa"/>
            </w:tcMar>
            <w:vAlign w:val="center"/>
            <w:hideMark/>
          </w:tcPr>
          <w:p w14:paraId="40549813"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48</w:t>
            </w:r>
            <w:r>
              <w:rPr>
                <w:rFonts w:ascii="Arial" w:hAnsi="Arial" w:cs="Arial"/>
                <w:sz w:val="20"/>
              </w:rPr>
              <w:t> </w:t>
            </w:r>
            <w:r w:rsidRPr="00343740">
              <w:rPr>
                <w:rFonts w:ascii="Arial" w:hAnsi="Arial" w:cs="Arial"/>
                <w:sz w:val="20"/>
              </w:rPr>
              <w:t>hours</w:t>
            </w:r>
          </w:p>
        </w:tc>
        <w:tc>
          <w:tcPr>
            <w:tcW w:w="2287" w:type="dxa"/>
            <w:tcBorders>
              <w:top w:val="nil"/>
              <w:left w:val="nil"/>
              <w:bottom w:val="nil"/>
              <w:right w:val="nil"/>
            </w:tcBorders>
            <w:tcMar>
              <w:top w:w="0" w:type="dxa"/>
              <w:left w:w="108" w:type="dxa"/>
              <w:bottom w:w="0" w:type="dxa"/>
              <w:right w:w="108" w:type="dxa"/>
            </w:tcMar>
            <w:vAlign w:val="center"/>
          </w:tcPr>
          <w:p w14:paraId="085ADC82"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eastAsia="Calibri" w:hAnsi="Arial" w:cs="Arial"/>
                <w:sz w:val="20"/>
              </w:rPr>
              <w:t>2</w:t>
            </w:r>
          </w:p>
        </w:tc>
        <w:tc>
          <w:tcPr>
            <w:tcW w:w="2287" w:type="dxa"/>
            <w:tcBorders>
              <w:top w:val="nil"/>
              <w:left w:val="nil"/>
              <w:bottom w:val="nil"/>
            </w:tcBorders>
            <w:tcMar>
              <w:top w:w="0" w:type="dxa"/>
              <w:left w:w="108" w:type="dxa"/>
              <w:bottom w:w="0" w:type="dxa"/>
              <w:right w:w="108" w:type="dxa"/>
            </w:tcMar>
            <w:vAlign w:val="center"/>
            <w:hideMark/>
          </w:tcPr>
          <w:p w14:paraId="20CA2545" w14:textId="77777777" w:rsidR="00D72196" w:rsidRPr="00343740" w:rsidRDefault="00D72196" w:rsidP="00620E41">
            <w:pPr>
              <w:keepNext/>
              <w:keepLines/>
              <w:widowControl w:val="0"/>
              <w:spacing w:before="60" w:after="60" w:line="240" w:lineRule="atLeast"/>
              <w:jc w:val="center"/>
              <w:rPr>
                <w:rFonts w:ascii="Arial" w:eastAsia="Calibri" w:hAnsi="Arial" w:cs="Arial"/>
                <w:sz w:val="20"/>
              </w:rPr>
            </w:pPr>
            <w:r w:rsidRPr="00343740">
              <w:rPr>
                <w:rFonts w:ascii="Arial" w:hAnsi="Arial" w:cs="Arial"/>
                <w:sz w:val="20"/>
              </w:rPr>
              <w:t>4.7</w:t>
            </w:r>
            <w:r>
              <w:rPr>
                <w:rFonts w:ascii="Arial" w:hAnsi="Arial" w:cs="Arial"/>
                <w:bCs/>
                <w:sz w:val="20"/>
              </w:rPr>
              <w:t> </w:t>
            </w:r>
            <w:r w:rsidRPr="00343740">
              <w:rPr>
                <w:rFonts w:ascii="Arial" w:hAnsi="Arial" w:cs="Arial"/>
                <w:bCs/>
                <w:sz w:val="20"/>
              </w:rPr>
              <w:t>mL</w:t>
            </w:r>
          </w:p>
        </w:tc>
      </w:tr>
      <w:tr w:rsidR="00D72196" w:rsidRPr="00343740" w14:paraId="1D7A237F" w14:textId="77777777" w:rsidTr="00620E41">
        <w:trPr>
          <w:jc w:val="center"/>
        </w:trPr>
        <w:tc>
          <w:tcPr>
            <w:tcW w:w="1674" w:type="dxa"/>
            <w:vMerge/>
            <w:tcBorders>
              <w:right w:val="nil"/>
            </w:tcBorders>
            <w:vAlign w:val="center"/>
          </w:tcPr>
          <w:p w14:paraId="774EBAC8"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bottom w:val="nil"/>
              <w:right w:val="nil"/>
            </w:tcBorders>
            <w:tcMar>
              <w:top w:w="0" w:type="dxa"/>
              <w:left w:w="108" w:type="dxa"/>
              <w:bottom w:w="0" w:type="dxa"/>
              <w:right w:w="108" w:type="dxa"/>
            </w:tcMar>
            <w:vAlign w:val="center"/>
          </w:tcPr>
          <w:p w14:paraId="22608DB5"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72</w:t>
            </w:r>
            <w:r>
              <w:rPr>
                <w:rFonts w:ascii="Arial" w:hAnsi="Arial" w:cs="Arial"/>
                <w:sz w:val="20"/>
              </w:rPr>
              <w:t> </w:t>
            </w:r>
            <w:r w:rsidRPr="00343740">
              <w:rPr>
                <w:rFonts w:ascii="Arial" w:hAnsi="Arial" w:cs="Arial"/>
                <w:sz w:val="20"/>
              </w:rPr>
              <w:t>hours</w:t>
            </w:r>
          </w:p>
        </w:tc>
        <w:tc>
          <w:tcPr>
            <w:tcW w:w="2287" w:type="dxa"/>
            <w:tcBorders>
              <w:top w:val="nil"/>
              <w:left w:val="nil"/>
              <w:bottom w:val="nil"/>
              <w:right w:val="nil"/>
            </w:tcBorders>
            <w:tcMar>
              <w:top w:w="0" w:type="dxa"/>
              <w:left w:w="108" w:type="dxa"/>
              <w:bottom w:w="0" w:type="dxa"/>
              <w:right w:w="108" w:type="dxa"/>
            </w:tcMar>
            <w:vAlign w:val="center"/>
          </w:tcPr>
          <w:p w14:paraId="6D2926C0"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3</w:t>
            </w:r>
          </w:p>
        </w:tc>
        <w:tc>
          <w:tcPr>
            <w:tcW w:w="2287" w:type="dxa"/>
            <w:tcBorders>
              <w:top w:val="nil"/>
              <w:left w:val="nil"/>
              <w:bottom w:val="nil"/>
            </w:tcBorders>
            <w:tcMar>
              <w:top w:w="0" w:type="dxa"/>
              <w:left w:w="108" w:type="dxa"/>
              <w:bottom w:w="0" w:type="dxa"/>
              <w:right w:w="108" w:type="dxa"/>
            </w:tcMar>
            <w:vAlign w:val="center"/>
          </w:tcPr>
          <w:p w14:paraId="5EC09753"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7</w:t>
            </w:r>
            <w:r>
              <w:rPr>
                <w:rFonts w:ascii="Arial" w:hAnsi="Arial" w:cs="Arial"/>
                <w:sz w:val="20"/>
              </w:rPr>
              <w:t> </w:t>
            </w:r>
            <w:r w:rsidRPr="00343740">
              <w:rPr>
                <w:rFonts w:ascii="Arial" w:hAnsi="Arial" w:cs="Arial"/>
                <w:sz w:val="20"/>
              </w:rPr>
              <w:t>mL</w:t>
            </w:r>
          </w:p>
        </w:tc>
      </w:tr>
      <w:tr w:rsidR="00D72196" w:rsidRPr="00343740" w14:paraId="4387EBEA" w14:textId="77777777" w:rsidTr="00620E41">
        <w:trPr>
          <w:jc w:val="center"/>
        </w:trPr>
        <w:tc>
          <w:tcPr>
            <w:tcW w:w="1674" w:type="dxa"/>
            <w:vMerge/>
            <w:tcBorders>
              <w:right w:val="nil"/>
            </w:tcBorders>
            <w:vAlign w:val="center"/>
          </w:tcPr>
          <w:p w14:paraId="71B07887" w14:textId="77777777" w:rsidR="00D72196" w:rsidRPr="00343740" w:rsidRDefault="00D72196" w:rsidP="00620E41">
            <w:pPr>
              <w:keepNext/>
              <w:keepLines/>
              <w:widowControl w:val="0"/>
              <w:spacing w:after="60"/>
              <w:rPr>
                <w:rFonts w:ascii="Arial" w:eastAsia="Calibri" w:hAnsi="Arial" w:cs="Arial"/>
                <w:sz w:val="20"/>
              </w:rPr>
            </w:pPr>
          </w:p>
        </w:tc>
        <w:tc>
          <w:tcPr>
            <w:tcW w:w="2286" w:type="dxa"/>
            <w:tcBorders>
              <w:top w:val="nil"/>
              <w:left w:val="nil"/>
              <w:right w:val="nil"/>
            </w:tcBorders>
            <w:tcMar>
              <w:top w:w="0" w:type="dxa"/>
              <w:left w:w="108" w:type="dxa"/>
              <w:bottom w:w="0" w:type="dxa"/>
              <w:right w:w="108" w:type="dxa"/>
            </w:tcMar>
            <w:vAlign w:val="center"/>
          </w:tcPr>
          <w:p w14:paraId="1A0CD87E"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96</w:t>
            </w:r>
            <w:r>
              <w:rPr>
                <w:rFonts w:ascii="Arial" w:hAnsi="Arial" w:cs="Arial"/>
                <w:sz w:val="20"/>
              </w:rPr>
              <w:t> </w:t>
            </w:r>
            <w:r w:rsidRPr="00343740">
              <w:rPr>
                <w:rFonts w:ascii="Arial" w:hAnsi="Arial" w:cs="Arial"/>
                <w:sz w:val="20"/>
              </w:rPr>
              <w:t>hours</w:t>
            </w:r>
          </w:p>
        </w:tc>
        <w:tc>
          <w:tcPr>
            <w:tcW w:w="2287" w:type="dxa"/>
            <w:tcBorders>
              <w:top w:val="nil"/>
              <w:left w:val="nil"/>
              <w:right w:val="nil"/>
            </w:tcBorders>
            <w:tcMar>
              <w:top w:w="0" w:type="dxa"/>
              <w:left w:w="108" w:type="dxa"/>
              <w:bottom w:w="0" w:type="dxa"/>
              <w:right w:w="108" w:type="dxa"/>
            </w:tcMar>
            <w:vAlign w:val="center"/>
          </w:tcPr>
          <w:p w14:paraId="79DA2094"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4</w:t>
            </w:r>
          </w:p>
        </w:tc>
        <w:tc>
          <w:tcPr>
            <w:tcW w:w="2287" w:type="dxa"/>
            <w:tcBorders>
              <w:top w:val="nil"/>
              <w:left w:val="nil"/>
            </w:tcBorders>
            <w:tcMar>
              <w:top w:w="0" w:type="dxa"/>
              <w:left w:w="108" w:type="dxa"/>
              <w:bottom w:w="0" w:type="dxa"/>
              <w:right w:w="108" w:type="dxa"/>
            </w:tcMar>
            <w:vAlign w:val="center"/>
          </w:tcPr>
          <w:p w14:paraId="4020C08E" w14:textId="77777777" w:rsidR="00D72196" w:rsidRPr="00343740" w:rsidRDefault="00D72196" w:rsidP="00620E41">
            <w:pPr>
              <w:keepNext/>
              <w:keepLines/>
              <w:widowControl w:val="0"/>
              <w:spacing w:before="60" w:after="60" w:line="240" w:lineRule="atLeast"/>
              <w:jc w:val="center"/>
              <w:rPr>
                <w:rFonts w:ascii="Arial" w:hAnsi="Arial" w:cs="Arial"/>
                <w:sz w:val="20"/>
              </w:rPr>
            </w:pPr>
            <w:r w:rsidRPr="00343740">
              <w:rPr>
                <w:rFonts w:ascii="Arial" w:hAnsi="Arial" w:cs="Arial"/>
                <w:sz w:val="20"/>
              </w:rPr>
              <w:t>9.3</w:t>
            </w:r>
            <w:r>
              <w:rPr>
                <w:rFonts w:ascii="Arial" w:hAnsi="Arial" w:cs="Arial"/>
                <w:sz w:val="20"/>
              </w:rPr>
              <w:t> </w:t>
            </w:r>
            <w:r w:rsidRPr="00343740">
              <w:rPr>
                <w:rFonts w:ascii="Arial" w:hAnsi="Arial" w:cs="Arial"/>
                <w:sz w:val="20"/>
              </w:rPr>
              <w:t>mL</w:t>
            </w:r>
          </w:p>
        </w:tc>
      </w:tr>
    </w:tbl>
    <w:p w14:paraId="5072522A" w14:textId="77777777" w:rsidR="00D72196" w:rsidRPr="00343740" w:rsidRDefault="00D72196" w:rsidP="00D72196">
      <w:pPr>
        <w:pStyle w:val="FootnoteText0"/>
        <w:ind w:firstLine="140"/>
        <w:rPr>
          <w:rFonts w:ascii="Arial" w:hAnsi="Arial" w:cs="Arial"/>
        </w:rPr>
      </w:pPr>
      <w:r w:rsidRPr="00343740">
        <w:rPr>
          <w:rFonts w:ascii="Arial" w:hAnsi="Arial" w:cs="Arial"/>
        </w:rPr>
        <w:t>*Extractable amount per vial is 35</w:t>
      </w:r>
      <w:r>
        <w:rPr>
          <w:rFonts w:ascii="Arial" w:hAnsi="Arial" w:cs="Arial"/>
        </w:rPr>
        <w:t> </w:t>
      </w:r>
      <w:r w:rsidRPr="00343740">
        <w:rPr>
          <w:rFonts w:ascii="Arial" w:hAnsi="Arial" w:cs="Arial"/>
        </w:rPr>
        <w:t>micrograms in a volume of 2.8</w:t>
      </w:r>
      <w:r>
        <w:rPr>
          <w:rFonts w:ascii="Arial" w:hAnsi="Arial" w:cs="Arial"/>
        </w:rPr>
        <w:t> </w:t>
      </w:r>
      <w:r w:rsidRPr="00343740">
        <w:rPr>
          <w:rFonts w:ascii="Arial" w:hAnsi="Arial" w:cs="Arial"/>
        </w:rPr>
        <w:t>mL reconstituted solution.</w:t>
      </w:r>
    </w:p>
    <w:p w14:paraId="1A3EFDCF" w14:textId="4EA9CE13" w:rsidR="006F4DEE" w:rsidRPr="00024DA2" w:rsidRDefault="006F4DEE" w:rsidP="00BB029B">
      <w:pPr>
        <w:pStyle w:val="Caption"/>
        <w:rPr>
          <w:sz w:val="20"/>
        </w:rPr>
      </w:pPr>
      <w:r>
        <w:br w:type="page"/>
      </w:r>
      <w:r w:rsidRPr="00024DA2">
        <w:lastRenderedPageBreak/>
        <w:t>Table </w:t>
      </w:r>
      <w:r w:rsidR="00871C4D">
        <w:t>7</w:t>
      </w:r>
      <w:r w:rsidRPr="00024DA2">
        <w:t xml:space="preserve">.  For Patients Weighing Less Than 45 kg: Volume of </w:t>
      </w:r>
      <w:proofErr w:type="spellStart"/>
      <w:r w:rsidRPr="00024DA2">
        <w:t>Blincyto</w:t>
      </w:r>
      <w:proofErr w:type="spellEnd"/>
      <w:r w:rsidRPr="00024DA2">
        <w:t xml:space="preserve"> </w:t>
      </w:r>
      <w:r w:rsidR="00C51898">
        <w:t>R</w:t>
      </w:r>
      <w:r w:rsidR="00B91960" w:rsidRPr="00BB029B">
        <w:t>equired for 250</w:t>
      </w:r>
      <w:r w:rsidR="00B91960">
        <w:t> </w:t>
      </w:r>
      <w:r w:rsidR="00B91960" w:rsidRPr="00BB029B">
        <w:t xml:space="preserve">mL </w:t>
      </w:r>
      <w:r w:rsidR="00C51898">
        <w:t>C</w:t>
      </w:r>
      <w:r w:rsidR="00B91960" w:rsidRPr="00BB029B">
        <w:t xml:space="preserve">assette </w:t>
      </w:r>
      <w:r w:rsidRPr="00024DA2">
        <w:t>for 5 </w:t>
      </w:r>
      <w:r w:rsidR="00C51898">
        <w:t>microgram/</w:t>
      </w:r>
      <w:r w:rsidRPr="00024DA2">
        <w:t>m</w:t>
      </w:r>
      <w:r w:rsidRPr="00024DA2">
        <w:rPr>
          <w:vertAlign w:val="superscript"/>
        </w:rPr>
        <w:t>2</w:t>
      </w:r>
      <w:r w:rsidRPr="00024DA2">
        <w:t>/day Dose</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4"/>
        <w:gridCol w:w="1550"/>
        <w:gridCol w:w="2034"/>
        <w:gridCol w:w="2035"/>
        <w:gridCol w:w="2035"/>
      </w:tblGrid>
      <w:tr w:rsidR="006F4DEE" w:rsidRPr="00FF4079" w14:paraId="18DC3384" w14:textId="77777777" w:rsidTr="004114C0">
        <w:trPr>
          <w:trHeight w:val="841"/>
          <w:jc w:val="center"/>
        </w:trPr>
        <w:tc>
          <w:tcPr>
            <w:tcW w:w="1264" w:type="dxa"/>
            <w:vAlign w:val="center"/>
          </w:tcPr>
          <w:p w14:paraId="7D9BAF02" w14:textId="77777777" w:rsidR="006F4DEE" w:rsidRPr="00024DA2" w:rsidRDefault="006F4DEE" w:rsidP="002535D8">
            <w:pPr>
              <w:keepNext/>
              <w:keepLines/>
              <w:spacing w:before="60" w:after="60" w:line="240" w:lineRule="atLeast"/>
              <w:jc w:val="center"/>
              <w:rPr>
                <w:rFonts w:ascii="Arial" w:hAnsi="Arial" w:cs="Arial"/>
                <w:b/>
                <w:sz w:val="20"/>
                <w:szCs w:val="20"/>
              </w:rPr>
            </w:pPr>
            <w:bookmarkStart w:id="12" w:name="_Hlk475972709"/>
            <w:r w:rsidRPr="00024DA2">
              <w:rPr>
                <w:rFonts w:ascii="Arial" w:hAnsi="Arial" w:cs="Arial"/>
                <w:b/>
                <w:sz w:val="20"/>
                <w:szCs w:val="20"/>
              </w:rPr>
              <w:t>Dose</w:t>
            </w:r>
          </w:p>
        </w:tc>
        <w:tc>
          <w:tcPr>
            <w:tcW w:w="1550" w:type="dxa"/>
            <w:vAlign w:val="center"/>
          </w:tcPr>
          <w:p w14:paraId="5895E480" w14:textId="77777777" w:rsidR="006F4DEE" w:rsidRPr="00024DA2" w:rsidRDefault="006F4DEE" w:rsidP="002535D8">
            <w:pPr>
              <w:keepNext/>
              <w:keepLines/>
              <w:spacing w:before="60" w:after="60" w:line="240" w:lineRule="atLeast"/>
              <w:jc w:val="center"/>
              <w:rPr>
                <w:rFonts w:ascii="Arial" w:hAnsi="Arial" w:cs="Arial"/>
                <w:b/>
                <w:sz w:val="20"/>
                <w:szCs w:val="20"/>
              </w:rPr>
            </w:pPr>
            <w:r w:rsidRPr="00024DA2">
              <w:rPr>
                <w:rFonts w:ascii="Arial" w:hAnsi="Arial" w:cs="Arial"/>
                <w:b/>
                <w:bCs/>
                <w:sz w:val="20"/>
                <w:szCs w:val="20"/>
              </w:rPr>
              <w:t>Cassette Duration</w:t>
            </w:r>
          </w:p>
        </w:tc>
        <w:tc>
          <w:tcPr>
            <w:tcW w:w="2034" w:type="dxa"/>
          </w:tcPr>
          <w:p w14:paraId="096BD73F" w14:textId="77777777" w:rsidR="006F4DEE" w:rsidRPr="00024DA2" w:rsidRDefault="006F4DEE" w:rsidP="002535D8">
            <w:pPr>
              <w:keepNext/>
              <w:keepLines/>
              <w:spacing w:before="60" w:after="60" w:line="240" w:lineRule="atLeast"/>
              <w:jc w:val="center"/>
              <w:rPr>
                <w:rFonts w:ascii="Arial" w:hAnsi="Arial" w:cs="Arial"/>
                <w:b/>
                <w:sz w:val="20"/>
                <w:szCs w:val="20"/>
              </w:rPr>
            </w:pPr>
            <w:r w:rsidRPr="00024DA2">
              <w:rPr>
                <w:rFonts w:ascii="Arial" w:hAnsi="Arial" w:cs="Arial"/>
                <w:b/>
                <w:bCs/>
                <w:sz w:val="20"/>
                <w:szCs w:val="20"/>
              </w:rPr>
              <w:t xml:space="preserve">Expected Number of </w:t>
            </w:r>
            <w:proofErr w:type="spellStart"/>
            <w:r w:rsidRPr="00024DA2">
              <w:rPr>
                <w:rFonts w:ascii="Arial" w:hAnsi="Arial" w:cs="Arial"/>
                <w:b/>
                <w:bCs/>
                <w:sz w:val="20"/>
                <w:szCs w:val="20"/>
              </w:rPr>
              <w:t>Blincyto</w:t>
            </w:r>
            <w:proofErr w:type="spellEnd"/>
            <w:r w:rsidRPr="00024DA2">
              <w:rPr>
                <w:rFonts w:ascii="Arial" w:hAnsi="Arial" w:cs="Arial"/>
                <w:b/>
                <w:bCs/>
                <w:sz w:val="20"/>
                <w:szCs w:val="20"/>
              </w:rPr>
              <w:t xml:space="preserve"> vials required*</w:t>
            </w:r>
          </w:p>
        </w:tc>
        <w:tc>
          <w:tcPr>
            <w:tcW w:w="2035" w:type="dxa"/>
            <w:tcMar>
              <w:top w:w="0" w:type="dxa"/>
              <w:left w:w="108" w:type="dxa"/>
              <w:bottom w:w="0" w:type="dxa"/>
              <w:right w:w="108" w:type="dxa"/>
            </w:tcMar>
            <w:vAlign w:val="center"/>
            <w:hideMark/>
          </w:tcPr>
          <w:p w14:paraId="092D5013" w14:textId="77777777" w:rsidR="006F4DEE" w:rsidRPr="00024DA2" w:rsidRDefault="006F4DEE" w:rsidP="002535D8">
            <w:pPr>
              <w:keepNext/>
              <w:keepLines/>
              <w:spacing w:before="60" w:after="60" w:line="240" w:lineRule="atLeast"/>
              <w:jc w:val="center"/>
              <w:rPr>
                <w:rFonts w:ascii="Arial" w:eastAsia="Calibri" w:hAnsi="Arial" w:cs="Arial"/>
                <w:b/>
                <w:sz w:val="20"/>
                <w:szCs w:val="20"/>
              </w:rPr>
            </w:pPr>
            <w:r w:rsidRPr="00024DA2">
              <w:rPr>
                <w:rFonts w:ascii="Arial" w:hAnsi="Arial" w:cs="Arial"/>
                <w:b/>
                <w:sz w:val="20"/>
                <w:szCs w:val="20"/>
              </w:rPr>
              <w:t>BSA (m</w:t>
            </w:r>
            <w:r w:rsidRPr="00024DA2">
              <w:rPr>
                <w:rFonts w:ascii="Arial" w:hAnsi="Arial" w:cs="Arial"/>
                <w:b/>
                <w:sz w:val="20"/>
                <w:szCs w:val="20"/>
                <w:vertAlign w:val="superscript"/>
              </w:rPr>
              <w:t>2</w:t>
            </w:r>
            <w:r w:rsidRPr="00024DA2">
              <w:rPr>
                <w:rFonts w:ascii="Arial" w:hAnsi="Arial" w:cs="Arial"/>
                <w:b/>
                <w:sz w:val="20"/>
                <w:szCs w:val="20"/>
              </w:rPr>
              <w:t>)</w:t>
            </w:r>
          </w:p>
        </w:tc>
        <w:tc>
          <w:tcPr>
            <w:tcW w:w="2035" w:type="dxa"/>
            <w:tcMar>
              <w:top w:w="0" w:type="dxa"/>
              <w:left w:w="108" w:type="dxa"/>
              <w:bottom w:w="0" w:type="dxa"/>
              <w:right w:w="108" w:type="dxa"/>
            </w:tcMar>
            <w:vAlign w:val="center"/>
            <w:hideMark/>
          </w:tcPr>
          <w:p w14:paraId="2A65A79E" w14:textId="7835BE7A" w:rsidR="006F4DEE" w:rsidRPr="00C51898" w:rsidRDefault="006F4DEE" w:rsidP="00C51898">
            <w:pPr>
              <w:keepNext/>
              <w:keepLines/>
              <w:spacing w:before="60" w:after="60" w:line="240" w:lineRule="atLeast"/>
              <w:jc w:val="center"/>
              <w:rPr>
                <w:rFonts w:ascii="Arial" w:eastAsia="Calibri" w:hAnsi="Arial" w:cs="Arial"/>
                <w:b/>
                <w:color w:val="000000" w:themeColor="text1"/>
                <w:sz w:val="20"/>
                <w:szCs w:val="20"/>
                <w:u w:val="single"/>
              </w:rPr>
            </w:pPr>
            <w:r w:rsidRPr="00024DA2">
              <w:rPr>
                <w:rFonts w:ascii="Arial" w:hAnsi="Arial" w:cs="Arial"/>
                <w:b/>
                <w:sz w:val="20"/>
                <w:szCs w:val="20"/>
              </w:rPr>
              <w:t>Volume of</w:t>
            </w:r>
            <w:r>
              <w:rPr>
                <w:rFonts w:ascii="Arial" w:hAnsi="Arial" w:cs="Arial"/>
                <w:b/>
                <w:sz w:val="20"/>
                <w:szCs w:val="20"/>
              </w:rPr>
              <w:t xml:space="preserve"> </w:t>
            </w:r>
            <w:r w:rsidRPr="00024DA2">
              <w:rPr>
                <w:rFonts w:ascii="Arial" w:hAnsi="Arial" w:cs="Arial"/>
                <w:b/>
                <w:sz w:val="20"/>
                <w:szCs w:val="20"/>
              </w:rPr>
              <w:t xml:space="preserve">Reconstituted </w:t>
            </w:r>
            <w:proofErr w:type="spellStart"/>
            <w:r w:rsidR="00D72196" w:rsidRPr="00C51898">
              <w:rPr>
                <w:rFonts w:ascii="Arial" w:hAnsi="Arial" w:cs="Arial"/>
                <w:b/>
                <w:color w:val="000000" w:themeColor="text1"/>
                <w:sz w:val="20"/>
                <w:szCs w:val="20"/>
              </w:rPr>
              <w:t>Blincyto</w:t>
            </w:r>
            <w:proofErr w:type="spellEnd"/>
          </w:p>
        </w:tc>
      </w:tr>
      <w:tr w:rsidR="006F4DEE" w:rsidRPr="00FF4079" w14:paraId="3A57EB4E" w14:textId="77777777" w:rsidTr="004114C0">
        <w:trPr>
          <w:trHeight w:val="215"/>
          <w:jc w:val="center"/>
        </w:trPr>
        <w:tc>
          <w:tcPr>
            <w:tcW w:w="1264" w:type="dxa"/>
            <w:vMerge w:val="restart"/>
            <w:vAlign w:val="center"/>
          </w:tcPr>
          <w:p w14:paraId="6AFF0FE8" w14:textId="72B79831" w:rsidR="006F4DEE" w:rsidRPr="00024DA2" w:rsidRDefault="00D72196" w:rsidP="004C2286">
            <w:pPr>
              <w:keepNext/>
              <w:keepLines/>
              <w:autoSpaceDE w:val="0"/>
              <w:autoSpaceDN w:val="0"/>
              <w:adjustRightInd w:val="0"/>
              <w:spacing w:before="60" w:after="60" w:line="240" w:lineRule="atLeast"/>
              <w:jc w:val="center"/>
              <w:rPr>
                <w:rFonts w:ascii="Arial" w:hAnsi="Arial" w:cs="Arial"/>
                <w:sz w:val="20"/>
                <w:szCs w:val="20"/>
              </w:rPr>
            </w:pPr>
            <w:bookmarkStart w:id="13" w:name="_Hlk475972727"/>
            <w:bookmarkEnd w:id="12"/>
            <w:r w:rsidRPr="00570501">
              <w:rPr>
                <w:rFonts w:ascii="Arial" w:hAnsi="Arial" w:cs="Arial"/>
                <w:bCs/>
                <w:sz w:val="20"/>
                <w:szCs w:val="20"/>
              </w:rPr>
              <w:t>5 </w:t>
            </w:r>
            <w:r w:rsidR="004C2286">
              <w:rPr>
                <w:rFonts w:ascii="Arial" w:hAnsi="Arial" w:cs="Arial"/>
                <w:bCs/>
                <w:sz w:val="20"/>
                <w:szCs w:val="20"/>
              </w:rPr>
              <w:t>mcg</w:t>
            </w:r>
            <w:r w:rsidRPr="00C51898">
              <w:rPr>
                <w:rFonts w:ascii="Arial" w:hAnsi="Arial" w:cs="Arial"/>
                <w:bCs/>
                <w:color w:val="000000" w:themeColor="text1"/>
                <w:sz w:val="20"/>
                <w:szCs w:val="20"/>
              </w:rPr>
              <w:t>/</w:t>
            </w:r>
            <w:r w:rsidRPr="00024DA2">
              <w:rPr>
                <w:rFonts w:ascii="Arial" w:hAnsi="Arial" w:cs="Arial"/>
                <w:bCs/>
                <w:sz w:val="20"/>
                <w:szCs w:val="20"/>
              </w:rPr>
              <w:t>m</w:t>
            </w:r>
            <w:r w:rsidRPr="00024DA2">
              <w:rPr>
                <w:rFonts w:ascii="Arial" w:hAnsi="Arial" w:cs="Arial"/>
                <w:bCs/>
                <w:sz w:val="20"/>
                <w:szCs w:val="20"/>
                <w:vertAlign w:val="superscript"/>
              </w:rPr>
              <w:t>2</w:t>
            </w:r>
            <w:r w:rsidRPr="00024DA2">
              <w:rPr>
                <w:rFonts w:ascii="Arial" w:hAnsi="Arial" w:cs="Arial"/>
                <w:bCs/>
                <w:sz w:val="20"/>
                <w:szCs w:val="20"/>
              </w:rPr>
              <w:t>/day</w:t>
            </w:r>
            <w:bookmarkEnd w:id="13"/>
            <w:r w:rsidRPr="00024DA2">
              <w:rPr>
                <w:rFonts w:ascii="Arial" w:hAnsi="Arial" w:cs="Arial"/>
                <w:sz w:val="20"/>
                <w:szCs w:val="20"/>
              </w:rPr>
              <w:t xml:space="preserve"> </w:t>
            </w:r>
          </w:p>
        </w:tc>
        <w:tc>
          <w:tcPr>
            <w:tcW w:w="1550" w:type="dxa"/>
            <w:vMerge w:val="restart"/>
            <w:vAlign w:val="center"/>
          </w:tcPr>
          <w:p w14:paraId="5612323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24 hours</w:t>
            </w:r>
          </w:p>
        </w:tc>
        <w:tc>
          <w:tcPr>
            <w:tcW w:w="2034" w:type="dxa"/>
          </w:tcPr>
          <w:p w14:paraId="131E2AD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center"/>
            <w:hideMark/>
          </w:tcPr>
          <w:p w14:paraId="075E94C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1.5 – 1.59</w:t>
            </w:r>
          </w:p>
        </w:tc>
        <w:tc>
          <w:tcPr>
            <w:tcW w:w="2035" w:type="dxa"/>
            <w:tcMar>
              <w:top w:w="0" w:type="dxa"/>
              <w:left w:w="108" w:type="dxa"/>
              <w:bottom w:w="0" w:type="dxa"/>
              <w:right w:w="108" w:type="dxa"/>
            </w:tcMar>
            <w:vAlign w:val="center"/>
          </w:tcPr>
          <w:p w14:paraId="527DACB8" w14:textId="6FB119C0"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w:t>
            </w:r>
            <w:r w:rsidR="00D72196" w:rsidRPr="00C51898">
              <w:rPr>
                <w:rFonts w:ascii="Arial" w:hAnsi="Arial" w:cs="Arial"/>
                <w:color w:val="000000" w:themeColor="text1"/>
                <w:sz w:val="20"/>
                <w:szCs w:val="20"/>
              </w:rPr>
              <w:t>65</w:t>
            </w:r>
          </w:p>
        </w:tc>
      </w:tr>
      <w:tr w:rsidR="006F4DEE" w:rsidRPr="00FF4079" w14:paraId="763836BD" w14:textId="77777777" w:rsidTr="004114C0">
        <w:trPr>
          <w:jc w:val="center"/>
        </w:trPr>
        <w:tc>
          <w:tcPr>
            <w:tcW w:w="1264" w:type="dxa"/>
            <w:vMerge/>
          </w:tcPr>
          <w:p w14:paraId="59EAEEB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24D4EB7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1759761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5E15207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1.4 – 1.49</w:t>
            </w:r>
          </w:p>
        </w:tc>
        <w:tc>
          <w:tcPr>
            <w:tcW w:w="2035" w:type="dxa"/>
            <w:tcMar>
              <w:top w:w="0" w:type="dxa"/>
              <w:left w:w="108" w:type="dxa"/>
              <w:bottom w:w="0" w:type="dxa"/>
              <w:right w:w="108" w:type="dxa"/>
            </w:tcMar>
            <w:vAlign w:val="center"/>
          </w:tcPr>
          <w:p w14:paraId="6B8C08B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w:t>
            </w:r>
          </w:p>
        </w:tc>
      </w:tr>
      <w:tr w:rsidR="006F4DEE" w:rsidRPr="00FF4079" w14:paraId="2D20E6B4" w14:textId="77777777" w:rsidTr="004114C0">
        <w:trPr>
          <w:jc w:val="center"/>
        </w:trPr>
        <w:tc>
          <w:tcPr>
            <w:tcW w:w="1264" w:type="dxa"/>
            <w:vMerge/>
          </w:tcPr>
          <w:p w14:paraId="6598E91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6322D7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3E07AEA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47C36CB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1.3 – 1.39</w:t>
            </w:r>
          </w:p>
        </w:tc>
        <w:tc>
          <w:tcPr>
            <w:tcW w:w="2035" w:type="dxa"/>
            <w:tcMar>
              <w:top w:w="0" w:type="dxa"/>
              <w:left w:w="108" w:type="dxa"/>
              <w:bottom w:w="0" w:type="dxa"/>
              <w:right w:w="108" w:type="dxa"/>
            </w:tcMar>
            <w:vAlign w:val="center"/>
          </w:tcPr>
          <w:p w14:paraId="2F2EAFF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0.56</w:t>
            </w:r>
          </w:p>
        </w:tc>
      </w:tr>
      <w:tr w:rsidR="006F4DEE" w:rsidRPr="00FF4079" w14:paraId="6E428A4D" w14:textId="77777777" w:rsidTr="004114C0">
        <w:trPr>
          <w:jc w:val="center"/>
        </w:trPr>
        <w:tc>
          <w:tcPr>
            <w:tcW w:w="1264" w:type="dxa"/>
            <w:vMerge/>
          </w:tcPr>
          <w:p w14:paraId="623F50A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206A2B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439C095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541FFCF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1.2 – 1.29</w:t>
            </w:r>
          </w:p>
        </w:tc>
        <w:tc>
          <w:tcPr>
            <w:tcW w:w="2035" w:type="dxa"/>
            <w:tcMar>
              <w:top w:w="0" w:type="dxa"/>
              <w:left w:w="108" w:type="dxa"/>
              <w:bottom w:w="0" w:type="dxa"/>
              <w:right w:w="108" w:type="dxa"/>
            </w:tcMar>
            <w:vAlign w:val="center"/>
          </w:tcPr>
          <w:p w14:paraId="6A37805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0.52</w:t>
            </w:r>
          </w:p>
        </w:tc>
      </w:tr>
      <w:tr w:rsidR="006F4DEE" w:rsidRPr="00FF4079" w14:paraId="62871EC3" w14:textId="77777777" w:rsidTr="004114C0">
        <w:trPr>
          <w:jc w:val="center"/>
        </w:trPr>
        <w:tc>
          <w:tcPr>
            <w:tcW w:w="1264" w:type="dxa"/>
            <w:vMerge/>
          </w:tcPr>
          <w:p w14:paraId="09C094E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C1C143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1C41513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10D5516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1.1 – 1.19</w:t>
            </w:r>
          </w:p>
        </w:tc>
        <w:tc>
          <w:tcPr>
            <w:tcW w:w="2035" w:type="dxa"/>
            <w:tcMar>
              <w:top w:w="0" w:type="dxa"/>
              <w:left w:w="108" w:type="dxa"/>
              <w:bottom w:w="0" w:type="dxa"/>
              <w:right w:w="108" w:type="dxa"/>
            </w:tcMar>
            <w:vAlign w:val="center"/>
          </w:tcPr>
          <w:p w14:paraId="62A156A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0.48</w:t>
            </w:r>
          </w:p>
        </w:tc>
      </w:tr>
      <w:tr w:rsidR="006F4DEE" w:rsidRPr="00FF4079" w14:paraId="01C30364" w14:textId="77777777" w:rsidTr="004114C0">
        <w:trPr>
          <w:jc w:val="center"/>
        </w:trPr>
        <w:tc>
          <w:tcPr>
            <w:tcW w:w="1264" w:type="dxa"/>
            <w:vMerge/>
          </w:tcPr>
          <w:p w14:paraId="74B3F89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7551D0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5746D9A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541996A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 – 1.09</w:t>
            </w:r>
          </w:p>
        </w:tc>
        <w:tc>
          <w:tcPr>
            <w:tcW w:w="2035" w:type="dxa"/>
            <w:tcMar>
              <w:top w:w="0" w:type="dxa"/>
              <w:left w:w="108" w:type="dxa"/>
              <w:bottom w:w="0" w:type="dxa"/>
              <w:right w:w="108" w:type="dxa"/>
            </w:tcMar>
            <w:vAlign w:val="center"/>
          </w:tcPr>
          <w:p w14:paraId="74B5E94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0.44</w:t>
            </w:r>
          </w:p>
        </w:tc>
      </w:tr>
      <w:tr w:rsidR="006F4DEE" w:rsidRPr="00FF4079" w14:paraId="02B59D98" w14:textId="77777777" w:rsidTr="004114C0">
        <w:trPr>
          <w:jc w:val="center"/>
        </w:trPr>
        <w:tc>
          <w:tcPr>
            <w:tcW w:w="1264" w:type="dxa"/>
            <w:vMerge/>
          </w:tcPr>
          <w:p w14:paraId="3165C89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28CD9B6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72CFBEF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26DF0AC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0.9 – 0.99</w:t>
            </w:r>
          </w:p>
        </w:tc>
        <w:tc>
          <w:tcPr>
            <w:tcW w:w="2035" w:type="dxa"/>
            <w:tcMar>
              <w:top w:w="0" w:type="dxa"/>
              <w:left w:w="108" w:type="dxa"/>
              <w:bottom w:w="0" w:type="dxa"/>
              <w:right w:w="108" w:type="dxa"/>
            </w:tcMar>
            <w:vAlign w:val="center"/>
          </w:tcPr>
          <w:p w14:paraId="55ADAC3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0.39</w:t>
            </w:r>
          </w:p>
        </w:tc>
      </w:tr>
      <w:tr w:rsidR="006F4DEE" w:rsidRPr="00FF4079" w14:paraId="560E7D23" w14:textId="77777777" w:rsidTr="004114C0">
        <w:trPr>
          <w:jc w:val="center"/>
        </w:trPr>
        <w:tc>
          <w:tcPr>
            <w:tcW w:w="1264" w:type="dxa"/>
            <w:vMerge/>
          </w:tcPr>
          <w:p w14:paraId="0C6B863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1409D0F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57A184E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6A74A14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0.8 – 0.89</w:t>
            </w:r>
          </w:p>
        </w:tc>
        <w:tc>
          <w:tcPr>
            <w:tcW w:w="2035" w:type="dxa"/>
            <w:tcMar>
              <w:top w:w="0" w:type="dxa"/>
              <w:left w:w="108" w:type="dxa"/>
              <w:bottom w:w="0" w:type="dxa"/>
              <w:right w:w="108" w:type="dxa"/>
            </w:tcMar>
            <w:vAlign w:val="center"/>
          </w:tcPr>
          <w:p w14:paraId="175C96B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0.35</w:t>
            </w:r>
          </w:p>
        </w:tc>
      </w:tr>
      <w:tr w:rsidR="006F4DEE" w:rsidRPr="00FF4079" w14:paraId="2A62A164" w14:textId="77777777" w:rsidTr="004114C0">
        <w:trPr>
          <w:jc w:val="center"/>
        </w:trPr>
        <w:tc>
          <w:tcPr>
            <w:tcW w:w="1264" w:type="dxa"/>
            <w:vMerge/>
          </w:tcPr>
          <w:p w14:paraId="04E38A5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283E472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783B809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1DC05B1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0.7 – 0.79</w:t>
            </w:r>
          </w:p>
        </w:tc>
        <w:tc>
          <w:tcPr>
            <w:tcW w:w="2035" w:type="dxa"/>
            <w:tcMar>
              <w:top w:w="0" w:type="dxa"/>
              <w:left w:w="108" w:type="dxa"/>
              <w:bottom w:w="0" w:type="dxa"/>
              <w:right w:w="108" w:type="dxa"/>
            </w:tcMar>
            <w:vAlign w:val="center"/>
          </w:tcPr>
          <w:p w14:paraId="7773A3D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0.31</w:t>
            </w:r>
          </w:p>
        </w:tc>
      </w:tr>
      <w:tr w:rsidR="006F4DEE" w:rsidRPr="00FF4079" w14:paraId="43F04DEB" w14:textId="77777777" w:rsidTr="004114C0">
        <w:trPr>
          <w:jc w:val="center"/>
        </w:trPr>
        <w:tc>
          <w:tcPr>
            <w:tcW w:w="1264" w:type="dxa"/>
            <w:vMerge/>
          </w:tcPr>
          <w:p w14:paraId="24D64B1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4C0AF84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5BE2EC7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2B959D8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 – 0.69</w:t>
            </w:r>
          </w:p>
        </w:tc>
        <w:tc>
          <w:tcPr>
            <w:tcW w:w="2035" w:type="dxa"/>
            <w:tcMar>
              <w:top w:w="0" w:type="dxa"/>
              <w:left w:w="108" w:type="dxa"/>
              <w:bottom w:w="0" w:type="dxa"/>
              <w:right w:w="108" w:type="dxa"/>
            </w:tcMar>
            <w:vAlign w:val="center"/>
          </w:tcPr>
          <w:p w14:paraId="25C9A5F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0.27</w:t>
            </w:r>
          </w:p>
        </w:tc>
      </w:tr>
      <w:tr w:rsidR="006F4DEE" w:rsidRPr="00FF4079" w14:paraId="1DDB0B4E" w14:textId="77777777" w:rsidTr="004114C0">
        <w:trPr>
          <w:jc w:val="center"/>
        </w:trPr>
        <w:tc>
          <w:tcPr>
            <w:tcW w:w="1264" w:type="dxa"/>
            <w:vMerge/>
          </w:tcPr>
          <w:p w14:paraId="74EA06C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5112513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46C3684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hideMark/>
          </w:tcPr>
          <w:p w14:paraId="5185355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 – 0.59</w:t>
            </w:r>
          </w:p>
        </w:tc>
        <w:tc>
          <w:tcPr>
            <w:tcW w:w="2035" w:type="dxa"/>
            <w:tcMar>
              <w:top w:w="0" w:type="dxa"/>
              <w:left w:w="108" w:type="dxa"/>
              <w:bottom w:w="0" w:type="dxa"/>
              <w:right w:w="108" w:type="dxa"/>
            </w:tcMar>
            <w:vAlign w:val="center"/>
          </w:tcPr>
          <w:p w14:paraId="7E5BABC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0.23</w:t>
            </w:r>
          </w:p>
        </w:tc>
      </w:tr>
      <w:tr w:rsidR="006F4DEE" w:rsidRPr="00FF4079" w14:paraId="0607DCDC" w14:textId="77777777" w:rsidTr="004114C0">
        <w:trPr>
          <w:jc w:val="center"/>
        </w:trPr>
        <w:tc>
          <w:tcPr>
            <w:tcW w:w="1264" w:type="dxa"/>
            <w:vMerge/>
          </w:tcPr>
          <w:p w14:paraId="774D606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Borders>
              <w:bottom w:val="single" w:sz="4" w:space="0" w:color="auto"/>
            </w:tcBorders>
          </w:tcPr>
          <w:p w14:paraId="6E789B5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Borders>
              <w:bottom w:val="single" w:sz="4" w:space="0" w:color="auto"/>
            </w:tcBorders>
          </w:tcPr>
          <w:p w14:paraId="23ED75D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Borders>
              <w:bottom w:val="single" w:sz="4" w:space="0" w:color="auto"/>
            </w:tcBorders>
            <w:tcMar>
              <w:top w:w="0" w:type="dxa"/>
              <w:left w:w="108" w:type="dxa"/>
              <w:bottom w:w="0" w:type="dxa"/>
              <w:right w:w="108" w:type="dxa"/>
            </w:tcMar>
            <w:vAlign w:val="bottom"/>
            <w:hideMark/>
          </w:tcPr>
          <w:p w14:paraId="67CE62F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 – 0.49</w:t>
            </w:r>
          </w:p>
        </w:tc>
        <w:tc>
          <w:tcPr>
            <w:tcW w:w="2035" w:type="dxa"/>
            <w:tcBorders>
              <w:bottom w:val="single" w:sz="4" w:space="0" w:color="auto"/>
            </w:tcBorders>
            <w:tcMar>
              <w:top w:w="0" w:type="dxa"/>
              <w:left w:w="108" w:type="dxa"/>
              <w:bottom w:w="0" w:type="dxa"/>
              <w:right w:w="108" w:type="dxa"/>
            </w:tcMar>
            <w:vAlign w:val="center"/>
          </w:tcPr>
          <w:p w14:paraId="73B8725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0.19</w:t>
            </w:r>
          </w:p>
        </w:tc>
      </w:tr>
      <w:tr w:rsidR="006F4DEE" w:rsidRPr="00FF4079" w14:paraId="6C9EDCCF" w14:textId="77777777" w:rsidTr="004114C0">
        <w:trPr>
          <w:trHeight w:val="100"/>
          <w:jc w:val="center"/>
        </w:trPr>
        <w:tc>
          <w:tcPr>
            <w:tcW w:w="1264" w:type="dxa"/>
            <w:vMerge/>
            <w:vAlign w:val="center"/>
          </w:tcPr>
          <w:p w14:paraId="76B0A8A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bCs/>
                <w:sz w:val="20"/>
                <w:szCs w:val="20"/>
              </w:rPr>
            </w:pPr>
          </w:p>
        </w:tc>
        <w:tc>
          <w:tcPr>
            <w:tcW w:w="7654" w:type="dxa"/>
            <w:gridSpan w:val="4"/>
            <w:shd w:val="clear" w:color="auto" w:fill="BFBFBF" w:themeFill="background1" w:themeFillShade="BF"/>
            <w:vAlign w:val="center"/>
          </w:tcPr>
          <w:p w14:paraId="724217F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4"/>
                <w:szCs w:val="20"/>
              </w:rPr>
            </w:pPr>
          </w:p>
        </w:tc>
      </w:tr>
      <w:tr w:rsidR="006F4DEE" w:rsidRPr="00FF4079" w14:paraId="41CB9B59" w14:textId="77777777" w:rsidTr="004114C0">
        <w:trPr>
          <w:trHeight w:val="284"/>
          <w:jc w:val="center"/>
        </w:trPr>
        <w:tc>
          <w:tcPr>
            <w:tcW w:w="1264" w:type="dxa"/>
            <w:vMerge/>
            <w:vAlign w:val="center"/>
          </w:tcPr>
          <w:p w14:paraId="2589EF4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val="restart"/>
            <w:vAlign w:val="center"/>
          </w:tcPr>
          <w:p w14:paraId="37AE51C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48 hours</w:t>
            </w:r>
          </w:p>
        </w:tc>
        <w:tc>
          <w:tcPr>
            <w:tcW w:w="2034" w:type="dxa"/>
          </w:tcPr>
          <w:p w14:paraId="35846CA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tcPr>
          <w:p w14:paraId="344A0ED3" w14:textId="77777777" w:rsidR="006F4DEE" w:rsidRPr="00024DA2" w:rsidRDefault="006F4DEE" w:rsidP="002535D8">
            <w:pPr>
              <w:keepNext/>
              <w:keepLines/>
              <w:autoSpaceDE w:val="0"/>
              <w:autoSpaceDN w:val="0"/>
              <w:adjustRightInd w:val="0"/>
              <w:spacing w:before="60" w:after="60" w:line="240" w:lineRule="atLeast"/>
              <w:jc w:val="center"/>
              <w:rPr>
                <w:rFonts w:ascii="Arial" w:eastAsia="Calibri" w:hAnsi="Arial" w:cs="Arial"/>
                <w:b/>
                <w:sz w:val="20"/>
                <w:szCs w:val="20"/>
              </w:rPr>
            </w:pPr>
            <w:r w:rsidRPr="00024DA2">
              <w:rPr>
                <w:rFonts w:ascii="Arial" w:hAnsi="Arial" w:cs="Arial"/>
                <w:sz w:val="20"/>
                <w:szCs w:val="20"/>
              </w:rPr>
              <w:t>1.5 – 1.59</w:t>
            </w:r>
          </w:p>
        </w:tc>
        <w:tc>
          <w:tcPr>
            <w:tcW w:w="2035" w:type="dxa"/>
            <w:tcMar>
              <w:top w:w="0" w:type="dxa"/>
              <w:left w:w="108" w:type="dxa"/>
              <w:bottom w:w="0" w:type="dxa"/>
              <w:right w:w="108" w:type="dxa"/>
            </w:tcMar>
            <w:vAlign w:val="center"/>
          </w:tcPr>
          <w:p w14:paraId="182796A9"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1.3</w:t>
            </w:r>
          </w:p>
        </w:tc>
      </w:tr>
      <w:tr w:rsidR="006F4DEE" w:rsidRPr="00FF4079" w14:paraId="6CD7404E" w14:textId="77777777" w:rsidTr="004114C0">
        <w:trPr>
          <w:jc w:val="center"/>
        </w:trPr>
        <w:tc>
          <w:tcPr>
            <w:tcW w:w="1264" w:type="dxa"/>
            <w:vMerge/>
          </w:tcPr>
          <w:p w14:paraId="3B1389E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779D9A2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743008C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71CDE47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1.4 – 1.49</w:t>
            </w:r>
          </w:p>
        </w:tc>
        <w:tc>
          <w:tcPr>
            <w:tcW w:w="2035" w:type="dxa"/>
            <w:tcMar>
              <w:top w:w="0" w:type="dxa"/>
              <w:left w:w="108" w:type="dxa"/>
              <w:bottom w:w="0" w:type="dxa"/>
              <w:right w:w="108" w:type="dxa"/>
            </w:tcMar>
            <w:vAlign w:val="center"/>
          </w:tcPr>
          <w:p w14:paraId="02C22377"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1.2</w:t>
            </w:r>
          </w:p>
        </w:tc>
      </w:tr>
      <w:tr w:rsidR="006F4DEE" w:rsidRPr="00FF4079" w14:paraId="57CD6FCE" w14:textId="77777777" w:rsidTr="004114C0">
        <w:trPr>
          <w:jc w:val="center"/>
        </w:trPr>
        <w:tc>
          <w:tcPr>
            <w:tcW w:w="1264" w:type="dxa"/>
            <w:vMerge/>
          </w:tcPr>
          <w:p w14:paraId="18CAD36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81C993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3C2DBBE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418F45B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1.3 – 1.39</w:t>
            </w:r>
          </w:p>
        </w:tc>
        <w:tc>
          <w:tcPr>
            <w:tcW w:w="2035" w:type="dxa"/>
            <w:tcMar>
              <w:top w:w="0" w:type="dxa"/>
              <w:left w:w="108" w:type="dxa"/>
              <w:bottom w:w="0" w:type="dxa"/>
              <w:right w:w="108" w:type="dxa"/>
            </w:tcMar>
            <w:vAlign w:val="center"/>
          </w:tcPr>
          <w:p w14:paraId="30737147"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1.1</w:t>
            </w:r>
          </w:p>
        </w:tc>
      </w:tr>
      <w:tr w:rsidR="006F4DEE" w:rsidRPr="00FF4079" w14:paraId="41FACAF9" w14:textId="77777777" w:rsidTr="004114C0">
        <w:trPr>
          <w:jc w:val="center"/>
        </w:trPr>
        <w:tc>
          <w:tcPr>
            <w:tcW w:w="1264" w:type="dxa"/>
            <w:vMerge/>
          </w:tcPr>
          <w:p w14:paraId="7F4728D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67F5EB3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604D583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123F5CB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1.2 – 1.29</w:t>
            </w:r>
          </w:p>
        </w:tc>
        <w:tc>
          <w:tcPr>
            <w:tcW w:w="2035" w:type="dxa"/>
            <w:tcMar>
              <w:top w:w="0" w:type="dxa"/>
              <w:left w:w="108" w:type="dxa"/>
              <w:bottom w:w="0" w:type="dxa"/>
              <w:right w:w="108" w:type="dxa"/>
            </w:tcMar>
            <w:vAlign w:val="center"/>
          </w:tcPr>
          <w:p w14:paraId="23D51E5E"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w:t>
            </w:r>
          </w:p>
        </w:tc>
      </w:tr>
      <w:tr w:rsidR="006F4DEE" w:rsidRPr="00FF4079" w14:paraId="06B62740" w14:textId="77777777" w:rsidTr="004114C0">
        <w:trPr>
          <w:jc w:val="center"/>
        </w:trPr>
        <w:tc>
          <w:tcPr>
            <w:tcW w:w="1264" w:type="dxa"/>
            <w:vMerge/>
          </w:tcPr>
          <w:p w14:paraId="4D498F9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1A168B9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6DF603B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11FA220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1.1 – 1.19</w:t>
            </w:r>
          </w:p>
        </w:tc>
        <w:tc>
          <w:tcPr>
            <w:tcW w:w="2035" w:type="dxa"/>
            <w:tcMar>
              <w:top w:w="0" w:type="dxa"/>
              <w:left w:w="108" w:type="dxa"/>
              <w:bottom w:w="0" w:type="dxa"/>
              <w:right w:w="108" w:type="dxa"/>
            </w:tcMar>
            <w:vAlign w:val="center"/>
          </w:tcPr>
          <w:p w14:paraId="43F770FB"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0.95</w:t>
            </w:r>
          </w:p>
        </w:tc>
      </w:tr>
      <w:tr w:rsidR="006F4DEE" w:rsidRPr="00FF4079" w14:paraId="52ADF85E" w14:textId="77777777" w:rsidTr="004114C0">
        <w:trPr>
          <w:jc w:val="center"/>
        </w:trPr>
        <w:tc>
          <w:tcPr>
            <w:tcW w:w="1264" w:type="dxa"/>
            <w:vMerge/>
          </w:tcPr>
          <w:p w14:paraId="150C827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1BF5DC4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420F9F5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6C601AB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 – 1.09</w:t>
            </w:r>
          </w:p>
        </w:tc>
        <w:tc>
          <w:tcPr>
            <w:tcW w:w="2035" w:type="dxa"/>
            <w:tcMar>
              <w:top w:w="0" w:type="dxa"/>
              <w:left w:w="108" w:type="dxa"/>
              <w:bottom w:w="0" w:type="dxa"/>
              <w:right w:w="108" w:type="dxa"/>
            </w:tcMar>
            <w:vAlign w:val="center"/>
          </w:tcPr>
          <w:p w14:paraId="3DED4647"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0.87</w:t>
            </w:r>
          </w:p>
        </w:tc>
      </w:tr>
      <w:tr w:rsidR="006F4DEE" w:rsidRPr="00FF4079" w14:paraId="5080959A" w14:textId="77777777" w:rsidTr="004114C0">
        <w:trPr>
          <w:jc w:val="center"/>
        </w:trPr>
        <w:tc>
          <w:tcPr>
            <w:tcW w:w="1264" w:type="dxa"/>
            <w:vMerge/>
          </w:tcPr>
          <w:p w14:paraId="771E218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59F97A7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52DCA84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7631C08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0.9 – 0.99</w:t>
            </w:r>
          </w:p>
        </w:tc>
        <w:tc>
          <w:tcPr>
            <w:tcW w:w="2035" w:type="dxa"/>
            <w:tcMar>
              <w:top w:w="0" w:type="dxa"/>
              <w:left w:w="108" w:type="dxa"/>
              <w:bottom w:w="0" w:type="dxa"/>
              <w:right w:w="108" w:type="dxa"/>
            </w:tcMar>
            <w:vAlign w:val="center"/>
          </w:tcPr>
          <w:p w14:paraId="6DB4E9F7"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0.79</w:t>
            </w:r>
          </w:p>
        </w:tc>
      </w:tr>
      <w:tr w:rsidR="006F4DEE" w:rsidRPr="00FF4079" w14:paraId="07531276" w14:textId="77777777" w:rsidTr="004114C0">
        <w:trPr>
          <w:jc w:val="center"/>
        </w:trPr>
        <w:tc>
          <w:tcPr>
            <w:tcW w:w="1264" w:type="dxa"/>
            <w:vMerge/>
          </w:tcPr>
          <w:p w14:paraId="6FF80BE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19EECB9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7905D5D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6FE9A5D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0.8 – 0.89</w:t>
            </w:r>
          </w:p>
        </w:tc>
        <w:tc>
          <w:tcPr>
            <w:tcW w:w="2035" w:type="dxa"/>
            <w:tcMar>
              <w:top w:w="0" w:type="dxa"/>
              <w:left w:w="108" w:type="dxa"/>
              <w:bottom w:w="0" w:type="dxa"/>
              <w:right w:w="108" w:type="dxa"/>
            </w:tcMar>
            <w:vAlign w:val="center"/>
          </w:tcPr>
          <w:p w14:paraId="718B47EC"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0.7</w:t>
            </w:r>
          </w:p>
        </w:tc>
      </w:tr>
      <w:tr w:rsidR="006F4DEE" w:rsidRPr="00FF4079" w14:paraId="7340919B" w14:textId="77777777" w:rsidTr="004114C0">
        <w:trPr>
          <w:jc w:val="center"/>
        </w:trPr>
        <w:tc>
          <w:tcPr>
            <w:tcW w:w="1264" w:type="dxa"/>
            <w:vMerge/>
          </w:tcPr>
          <w:p w14:paraId="18F7F7B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7BE7A9F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0170F55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6581383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0.7 – 0.79</w:t>
            </w:r>
          </w:p>
        </w:tc>
        <w:tc>
          <w:tcPr>
            <w:tcW w:w="2035" w:type="dxa"/>
            <w:tcMar>
              <w:top w:w="0" w:type="dxa"/>
              <w:left w:w="108" w:type="dxa"/>
              <w:bottom w:w="0" w:type="dxa"/>
              <w:right w:w="108" w:type="dxa"/>
            </w:tcMar>
            <w:vAlign w:val="center"/>
          </w:tcPr>
          <w:p w14:paraId="29566A81"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0.62</w:t>
            </w:r>
          </w:p>
        </w:tc>
      </w:tr>
      <w:tr w:rsidR="006F4DEE" w:rsidRPr="00FF4079" w14:paraId="3A37E118" w14:textId="77777777" w:rsidTr="004114C0">
        <w:trPr>
          <w:jc w:val="center"/>
        </w:trPr>
        <w:tc>
          <w:tcPr>
            <w:tcW w:w="1264" w:type="dxa"/>
            <w:vMerge/>
          </w:tcPr>
          <w:p w14:paraId="0F1ED0B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2C3A85A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5C262AD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3F46456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 – 0.69</w:t>
            </w:r>
          </w:p>
        </w:tc>
        <w:tc>
          <w:tcPr>
            <w:tcW w:w="2035" w:type="dxa"/>
            <w:tcMar>
              <w:top w:w="0" w:type="dxa"/>
              <w:left w:w="108" w:type="dxa"/>
              <w:bottom w:w="0" w:type="dxa"/>
              <w:right w:w="108" w:type="dxa"/>
            </w:tcMar>
            <w:vAlign w:val="center"/>
          </w:tcPr>
          <w:p w14:paraId="05E195AE"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0.54</w:t>
            </w:r>
          </w:p>
        </w:tc>
      </w:tr>
      <w:tr w:rsidR="006F4DEE" w:rsidRPr="00FF4079" w14:paraId="16D59AD8" w14:textId="77777777" w:rsidTr="004114C0">
        <w:trPr>
          <w:jc w:val="center"/>
        </w:trPr>
        <w:tc>
          <w:tcPr>
            <w:tcW w:w="1264" w:type="dxa"/>
            <w:vMerge/>
          </w:tcPr>
          <w:p w14:paraId="0CC327F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Pr>
          <w:p w14:paraId="35E1FFA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Pr>
          <w:p w14:paraId="3A1AB03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Mar>
              <w:top w:w="0" w:type="dxa"/>
              <w:left w:w="108" w:type="dxa"/>
              <w:bottom w:w="0" w:type="dxa"/>
              <w:right w:w="108" w:type="dxa"/>
            </w:tcMar>
            <w:vAlign w:val="bottom"/>
          </w:tcPr>
          <w:p w14:paraId="2CE63CE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 – 0.59</w:t>
            </w:r>
          </w:p>
        </w:tc>
        <w:tc>
          <w:tcPr>
            <w:tcW w:w="2035" w:type="dxa"/>
            <w:tcMar>
              <w:top w:w="0" w:type="dxa"/>
              <w:left w:w="108" w:type="dxa"/>
              <w:bottom w:w="0" w:type="dxa"/>
              <w:right w:w="108" w:type="dxa"/>
            </w:tcMar>
            <w:vAlign w:val="center"/>
          </w:tcPr>
          <w:p w14:paraId="17BBB32E"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0.45</w:t>
            </w:r>
          </w:p>
        </w:tc>
      </w:tr>
      <w:tr w:rsidR="006F4DEE" w:rsidRPr="00FF4079" w14:paraId="09430AFA" w14:textId="77777777" w:rsidTr="004114C0">
        <w:trPr>
          <w:jc w:val="center"/>
        </w:trPr>
        <w:tc>
          <w:tcPr>
            <w:tcW w:w="1264" w:type="dxa"/>
            <w:vMerge/>
          </w:tcPr>
          <w:p w14:paraId="1BA20D9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550" w:type="dxa"/>
            <w:vMerge/>
            <w:tcBorders>
              <w:bottom w:val="single" w:sz="4" w:space="0" w:color="auto"/>
            </w:tcBorders>
          </w:tcPr>
          <w:p w14:paraId="32F0FBE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2034" w:type="dxa"/>
            <w:tcBorders>
              <w:bottom w:val="single" w:sz="4" w:space="0" w:color="auto"/>
            </w:tcBorders>
          </w:tcPr>
          <w:p w14:paraId="61FCABC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035" w:type="dxa"/>
            <w:tcBorders>
              <w:bottom w:val="single" w:sz="4" w:space="0" w:color="auto"/>
            </w:tcBorders>
            <w:tcMar>
              <w:top w:w="0" w:type="dxa"/>
              <w:left w:w="108" w:type="dxa"/>
              <w:bottom w:w="0" w:type="dxa"/>
              <w:right w:w="108" w:type="dxa"/>
            </w:tcMar>
            <w:vAlign w:val="bottom"/>
          </w:tcPr>
          <w:p w14:paraId="3556C97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 – 0.49</w:t>
            </w:r>
          </w:p>
        </w:tc>
        <w:tc>
          <w:tcPr>
            <w:tcW w:w="2035" w:type="dxa"/>
            <w:tcBorders>
              <w:bottom w:val="single" w:sz="4" w:space="0" w:color="auto"/>
            </w:tcBorders>
            <w:tcMar>
              <w:top w:w="0" w:type="dxa"/>
              <w:left w:w="108" w:type="dxa"/>
              <w:bottom w:w="0" w:type="dxa"/>
              <w:right w:w="108" w:type="dxa"/>
            </w:tcMar>
            <w:vAlign w:val="center"/>
          </w:tcPr>
          <w:p w14:paraId="5D7C6BDE"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0.37</w:t>
            </w:r>
          </w:p>
        </w:tc>
      </w:tr>
    </w:tbl>
    <w:p w14:paraId="4116B0E0" w14:textId="7D1F8E0E" w:rsidR="00D72196" w:rsidRPr="00C51898" w:rsidRDefault="00D72196" w:rsidP="00D72196">
      <w:pPr>
        <w:jc w:val="right"/>
        <w:rPr>
          <w:rFonts w:ascii="Arial" w:hAnsi="Arial" w:cs="Arial"/>
          <w:strike/>
          <w:color w:val="000000" w:themeColor="text1"/>
          <w:sz w:val="20"/>
        </w:rPr>
      </w:pPr>
      <w:bookmarkStart w:id="14" w:name="_Hlk475974643"/>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7"/>
        <w:gridCol w:w="1297"/>
        <w:gridCol w:w="1984"/>
        <w:gridCol w:w="2126"/>
        <w:gridCol w:w="2110"/>
      </w:tblGrid>
      <w:tr w:rsidR="006F4DEE" w:rsidRPr="00FF4079" w14:paraId="59D1D90F" w14:textId="77777777" w:rsidTr="004114C0">
        <w:trPr>
          <w:trHeight w:val="841"/>
          <w:jc w:val="center"/>
        </w:trPr>
        <w:tc>
          <w:tcPr>
            <w:tcW w:w="1397" w:type="dxa"/>
            <w:vAlign w:val="center"/>
          </w:tcPr>
          <w:bookmarkEnd w:id="14"/>
          <w:p w14:paraId="2B585157" w14:textId="77777777" w:rsidR="006F4DEE" w:rsidRPr="00024DA2" w:rsidRDefault="006F4DEE" w:rsidP="002535D8">
            <w:pPr>
              <w:keepNext/>
              <w:keepLines/>
              <w:spacing w:before="60" w:after="60" w:line="240" w:lineRule="atLeast"/>
              <w:jc w:val="center"/>
              <w:rPr>
                <w:rFonts w:ascii="Arial" w:hAnsi="Arial" w:cs="Arial"/>
                <w:b/>
                <w:sz w:val="20"/>
                <w:szCs w:val="20"/>
              </w:rPr>
            </w:pPr>
            <w:r w:rsidRPr="00024DA2">
              <w:rPr>
                <w:rFonts w:ascii="Arial" w:hAnsi="Arial" w:cs="Arial"/>
                <w:b/>
                <w:sz w:val="20"/>
                <w:szCs w:val="20"/>
              </w:rPr>
              <w:lastRenderedPageBreak/>
              <w:t>Dose</w:t>
            </w:r>
          </w:p>
        </w:tc>
        <w:tc>
          <w:tcPr>
            <w:tcW w:w="1297" w:type="dxa"/>
            <w:vAlign w:val="center"/>
          </w:tcPr>
          <w:p w14:paraId="76353B9D" w14:textId="77777777" w:rsidR="006F4DEE" w:rsidRPr="00024DA2" w:rsidRDefault="006F4DEE" w:rsidP="002535D8">
            <w:pPr>
              <w:keepNext/>
              <w:keepLines/>
              <w:spacing w:before="60" w:after="60" w:line="240" w:lineRule="atLeast"/>
              <w:jc w:val="center"/>
              <w:rPr>
                <w:rFonts w:ascii="Arial" w:hAnsi="Arial" w:cs="Arial"/>
                <w:b/>
                <w:sz w:val="20"/>
                <w:szCs w:val="20"/>
              </w:rPr>
            </w:pPr>
            <w:r w:rsidRPr="00024DA2">
              <w:rPr>
                <w:rFonts w:ascii="Arial" w:hAnsi="Arial" w:cs="Arial"/>
                <w:b/>
                <w:bCs/>
                <w:sz w:val="20"/>
                <w:szCs w:val="20"/>
              </w:rPr>
              <w:t>Cassette Duration</w:t>
            </w:r>
          </w:p>
        </w:tc>
        <w:tc>
          <w:tcPr>
            <w:tcW w:w="1984" w:type="dxa"/>
          </w:tcPr>
          <w:p w14:paraId="733CDB09" w14:textId="77777777" w:rsidR="006F4DEE" w:rsidRPr="00024DA2" w:rsidRDefault="006F4DEE" w:rsidP="002535D8">
            <w:pPr>
              <w:keepNext/>
              <w:keepLines/>
              <w:spacing w:before="60" w:after="60" w:line="240" w:lineRule="atLeast"/>
              <w:jc w:val="center"/>
              <w:rPr>
                <w:rFonts w:ascii="Arial" w:hAnsi="Arial" w:cs="Arial"/>
                <w:b/>
                <w:sz w:val="20"/>
                <w:szCs w:val="20"/>
              </w:rPr>
            </w:pPr>
            <w:r w:rsidRPr="00024DA2">
              <w:rPr>
                <w:rFonts w:ascii="Arial" w:hAnsi="Arial" w:cs="Arial"/>
                <w:b/>
                <w:bCs/>
                <w:sz w:val="20"/>
                <w:szCs w:val="20"/>
              </w:rPr>
              <w:t xml:space="preserve">Expected Number of </w:t>
            </w:r>
            <w:proofErr w:type="spellStart"/>
            <w:r w:rsidRPr="00024DA2">
              <w:rPr>
                <w:rFonts w:ascii="Arial" w:hAnsi="Arial" w:cs="Arial"/>
                <w:b/>
                <w:bCs/>
                <w:sz w:val="20"/>
                <w:szCs w:val="20"/>
              </w:rPr>
              <w:t>Blincyto</w:t>
            </w:r>
            <w:proofErr w:type="spellEnd"/>
            <w:r w:rsidRPr="00024DA2">
              <w:rPr>
                <w:rFonts w:ascii="Arial" w:hAnsi="Arial" w:cs="Arial"/>
                <w:b/>
                <w:bCs/>
                <w:sz w:val="20"/>
                <w:szCs w:val="20"/>
              </w:rPr>
              <w:t xml:space="preserve"> vials required*</w:t>
            </w:r>
          </w:p>
        </w:tc>
        <w:tc>
          <w:tcPr>
            <w:tcW w:w="2126" w:type="dxa"/>
            <w:tcMar>
              <w:top w:w="0" w:type="dxa"/>
              <w:left w:w="108" w:type="dxa"/>
              <w:bottom w:w="0" w:type="dxa"/>
              <w:right w:w="108" w:type="dxa"/>
            </w:tcMar>
            <w:vAlign w:val="center"/>
            <w:hideMark/>
          </w:tcPr>
          <w:p w14:paraId="00ABE2C8" w14:textId="77777777" w:rsidR="006F4DEE" w:rsidRPr="00024DA2" w:rsidRDefault="006F4DEE" w:rsidP="002535D8">
            <w:pPr>
              <w:keepNext/>
              <w:keepLines/>
              <w:spacing w:before="60" w:after="60" w:line="240" w:lineRule="atLeast"/>
              <w:jc w:val="center"/>
              <w:rPr>
                <w:rFonts w:ascii="Arial" w:eastAsia="Calibri" w:hAnsi="Arial" w:cs="Arial"/>
                <w:b/>
                <w:sz w:val="20"/>
                <w:szCs w:val="20"/>
              </w:rPr>
            </w:pPr>
            <w:r w:rsidRPr="00024DA2">
              <w:rPr>
                <w:rFonts w:ascii="Arial" w:hAnsi="Arial" w:cs="Arial"/>
                <w:b/>
                <w:sz w:val="20"/>
                <w:szCs w:val="20"/>
              </w:rPr>
              <w:t>BSA (m</w:t>
            </w:r>
            <w:r w:rsidRPr="00024DA2">
              <w:rPr>
                <w:rFonts w:ascii="Arial" w:hAnsi="Arial" w:cs="Arial"/>
                <w:b/>
                <w:sz w:val="20"/>
                <w:szCs w:val="20"/>
                <w:vertAlign w:val="superscript"/>
              </w:rPr>
              <w:t>2</w:t>
            </w:r>
            <w:r w:rsidRPr="00024DA2">
              <w:rPr>
                <w:rFonts w:ascii="Arial" w:hAnsi="Arial" w:cs="Arial"/>
                <w:b/>
                <w:sz w:val="20"/>
                <w:szCs w:val="20"/>
              </w:rPr>
              <w:t>)</w:t>
            </w:r>
          </w:p>
        </w:tc>
        <w:tc>
          <w:tcPr>
            <w:tcW w:w="2110" w:type="dxa"/>
            <w:tcMar>
              <w:top w:w="0" w:type="dxa"/>
              <w:left w:w="108" w:type="dxa"/>
              <w:bottom w:w="0" w:type="dxa"/>
              <w:right w:w="108" w:type="dxa"/>
            </w:tcMar>
            <w:vAlign w:val="center"/>
            <w:hideMark/>
          </w:tcPr>
          <w:p w14:paraId="5D27C588" w14:textId="25C2D663" w:rsidR="006F4DEE" w:rsidRPr="00024DA2" w:rsidRDefault="006F4DEE" w:rsidP="00C51898">
            <w:pPr>
              <w:keepNext/>
              <w:keepLines/>
              <w:spacing w:before="60" w:after="60" w:line="240" w:lineRule="atLeast"/>
              <w:jc w:val="center"/>
              <w:rPr>
                <w:rFonts w:ascii="Arial" w:eastAsia="Calibri" w:hAnsi="Arial" w:cs="Arial"/>
                <w:b/>
                <w:sz w:val="20"/>
                <w:szCs w:val="20"/>
              </w:rPr>
            </w:pPr>
            <w:r w:rsidRPr="00024DA2">
              <w:rPr>
                <w:rFonts w:ascii="Arial" w:hAnsi="Arial" w:cs="Arial"/>
                <w:b/>
                <w:sz w:val="20"/>
                <w:szCs w:val="20"/>
              </w:rPr>
              <w:t>Volume of</w:t>
            </w:r>
            <w:r>
              <w:rPr>
                <w:rFonts w:ascii="Arial" w:hAnsi="Arial" w:cs="Arial"/>
                <w:b/>
                <w:sz w:val="20"/>
                <w:szCs w:val="20"/>
              </w:rPr>
              <w:t xml:space="preserve"> </w:t>
            </w:r>
            <w:r w:rsidRPr="00024DA2">
              <w:rPr>
                <w:rFonts w:ascii="Arial" w:hAnsi="Arial" w:cs="Arial"/>
                <w:b/>
                <w:sz w:val="20"/>
                <w:szCs w:val="20"/>
              </w:rPr>
              <w:t xml:space="preserve">Reconstituted </w:t>
            </w:r>
            <w:proofErr w:type="spellStart"/>
            <w:r w:rsidR="00D72196" w:rsidRPr="00C51898">
              <w:rPr>
                <w:rFonts w:ascii="Arial" w:hAnsi="Arial" w:cs="Arial"/>
                <w:b/>
                <w:color w:val="000000" w:themeColor="text1"/>
                <w:sz w:val="20"/>
                <w:szCs w:val="20"/>
              </w:rPr>
              <w:t>Blincyto</w:t>
            </w:r>
            <w:proofErr w:type="spellEnd"/>
          </w:p>
        </w:tc>
      </w:tr>
      <w:tr w:rsidR="006F4DEE" w:rsidRPr="00FF4079" w14:paraId="33F8817F" w14:textId="77777777" w:rsidTr="004114C0">
        <w:trPr>
          <w:jc w:val="center"/>
        </w:trPr>
        <w:tc>
          <w:tcPr>
            <w:tcW w:w="1397" w:type="dxa"/>
            <w:vMerge w:val="restart"/>
            <w:vAlign w:val="center"/>
          </w:tcPr>
          <w:p w14:paraId="6280F3E8" w14:textId="31EB1CFA" w:rsidR="006F4DEE" w:rsidRPr="00024DA2" w:rsidRDefault="006F4DEE" w:rsidP="004C2286">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bCs/>
                <w:sz w:val="20"/>
                <w:szCs w:val="20"/>
              </w:rPr>
              <w:t>5 </w:t>
            </w:r>
            <w:r w:rsidR="004C2286">
              <w:rPr>
                <w:rFonts w:ascii="Arial" w:hAnsi="Arial" w:cs="Arial"/>
                <w:bCs/>
                <w:sz w:val="20"/>
                <w:szCs w:val="20"/>
              </w:rPr>
              <w:t>mcg</w:t>
            </w:r>
            <w:r w:rsidR="00C51898" w:rsidRPr="00C51898">
              <w:rPr>
                <w:rFonts w:ascii="Arial" w:hAnsi="Arial" w:cs="Arial"/>
                <w:bCs/>
                <w:color w:val="000000" w:themeColor="text1"/>
                <w:sz w:val="20"/>
                <w:szCs w:val="20"/>
              </w:rPr>
              <w:t>/</w:t>
            </w:r>
            <w:r w:rsidR="00D72196" w:rsidRPr="00024DA2">
              <w:rPr>
                <w:rFonts w:ascii="Arial" w:hAnsi="Arial" w:cs="Arial"/>
                <w:bCs/>
                <w:sz w:val="20"/>
                <w:szCs w:val="20"/>
              </w:rPr>
              <w:t>m</w:t>
            </w:r>
            <w:r w:rsidR="00D72196" w:rsidRPr="00024DA2">
              <w:rPr>
                <w:rFonts w:ascii="Arial" w:hAnsi="Arial" w:cs="Arial"/>
                <w:bCs/>
                <w:sz w:val="20"/>
                <w:szCs w:val="20"/>
                <w:vertAlign w:val="superscript"/>
              </w:rPr>
              <w:t>2</w:t>
            </w:r>
            <w:r w:rsidR="00D72196" w:rsidRPr="00024DA2">
              <w:rPr>
                <w:rFonts w:ascii="Arial" w:hAnsi="Arial" w:cs="Arial"/>
                <w:bCs/>
                <w:sz w:val="20"/>
                <w:szCs w:val="20"/>
              </w:rPr>
              <w:t>/day</w:t>
            </w:r>
          </w:p>
        </w:tc>
        <w:tc>
          <w:tcPr>
            <w:tcW w:w="1297" w:type="dxa"/>
            <w:vMerge w:val="restart"/>
            <w:vAlign w:val="center"/>
          </w:tcPr>
          <w:p w14:paraId="0819F4D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72 hours</w:t>
            </w:r>
          </w:p>
        </w:tc>
        <w:tc>
          <w:tcPr>
            <w:tcW w:w="1984" w:type="dxa"/>
          </w:tcPr>
          <w:p w14:paraId="66D34CC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tcPr>
          <w:p w14:paraId="5335324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1.5 – 1.59</w:t>
            </w:r>
          </w:p>
        </w:tc>
        <w:tc>
          <w:tcPr>
            <w:tcW w:w="2110" w:type="dxa"/>
            <w:tcMar>
              <w:top w:w="0" w:type="dxa"/>
              <w:left w:w="108" w:type="dxa"/>
              <w:bottom w:w="0" w:type="dxa"/>
              <w:right w:w="108" w:type="dxa"/>
            </w:tcMar>
            <w:vAlign w:val="center"/>
          </w:tcPr>
          <w:p w14:paraId="3AD5B7C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1.9</w:t>
            </w:r>
          </w:p>
        </w:tc>
      </w:tr>
      <w:tr w:rsidR="006F4DEE" w:rsidRPr="00FF4079" w14:paraId="1F45B4D8" w14:textId="77777777" w:rsidTr="004114C0">
        <w:trPr>
          <w:jc w:val="center"/>
        </w:trPr>
        <w:tc>
          <w:tcPr>
            <w:tcW w:w="1397" w:type="dxa"/>
            <w:vMerge/>
          </w:tcPr>
          <w:p w14:paraId="5F8CB90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34A438B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1B2063C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44A1867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1.4 – 1.49</w:t>
            </w:r>
          </w:p>
        </w:tc>
        <w:tc>
          <w:tcPr>
            <w:tcW w:w="2110" w:type="dxa"/>
            <w:tcMar>
              <w:top w:w="0" w:type="dxa"/>
              <w:left w:w="108" w:type="dxa"/>
              <w:bottom w:w="0" w:type="dxa"/>
              <w:right w:w="108" w:type="dxa"/>
            </w:tcMar>
            <w:vAlign w:val="center"/>
          </w:tcPr>
          <w:p w14:paraId="03B058A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1.8</w:t>
            </w:r>
          </w:p>
        </w:tc>
      </w:tr>
      <w:tr w:rsidR="006F4DEE" w:rsidRPr="00FF4079" w14:paraId="3286635E" w14:textId="77777777" w:rsidTr="004114C0">
        <w:trPr>
          <w:jc w:val="center"/>
        </w:trPr>
        <w:tc>
          <w:tcPr>
            <w:tcW w:w="1397" w:type="dxa"/>
            <w:vMerge/>
          </w:tcPr>
          <w:p w14:paraId="5037827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7C94A0F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6CF0E59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70A5EB3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1.3 – 1.39</w:t>
            </w:r>
          </w:p>
        </w:tc>
        <w:tc>
          <w:tcPr>
            <w:tcW w:w="2110" w:type="dxa"/>
            <w:tcMar>
              <w:top w:w="0" w:type="dxa"/>
              <w:left w:w="108" w:type="dxa"/>
              <w:bottom w:w="0" w:type="dxa"/>
              <w:right w:w="108" w:type="dxa"/>
            </w:tcMar>
            <w:vAlign w:val="center"/>
          </w:tcPr>
          <w:p w14:paraId="283C75F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1.7</w:t>
            </w:r>
          </w:p>
        </w:tc>
      </w:tr>
      <w:tr w:rsidR="006F4DEE" w:rsidRPr="00FF4079" w14:paraId="06D2EE64" w14:textId="77777777" w:rsidTr="004114C0">
        <w:trPr>
          <w:jc w:val="center"/>
        </w:trPr>
        <w:tc>
          <w:tcPr>
            <w:tcW w:w="1397" w:type="dxa"/>
            <w:vMerge/>
          </w:tcPr>
          <w:p w14:paraId="689ED06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2FAF108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6A19316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638A198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1.2 – 1.29</w:t>
            </w:r>
          </w:p>
        </w:tc>
        <w:tc>
          <w:tcPr>
            <w:tcW w:w="2110" w:type="dxa"/>
            <w:tcMar>
              <w:top w:w="0" w:type="dxa"/>
              <w:left w:w="108" w:type="dxa"/>
              <w:bottom w:w="0" w:type="dxa"/>
              <w:right w:w="108" w:type="dxa"/>
            </w:tcMar>
            <w:vAlign w:val="center"/>
          </w:tcPr>
          <w:p w14:paraId="4401742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1.6</w:t>
            </w:r>
          </w:p>
        </w:tc>
      </w:tr>
      <w:tr w:rsidR="006F4DEE" w:rsidRPr="00FF4079" w14:paraId="348D506C" w14:textId="77777777" w:rsidTr="004114C0">
        <w:trPr>
          <w:jc w:val="center"/>
        </w:trPr>
        <w:tc>
          <w:tcPr>
            <w:tcW w:w="1397" w:type="dxa"/>
            <w:vMerge/>
          </w:tcPr>
          <w:p w14:paraId="6510387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3A52E14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189A506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730AEB1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1.1 – 1.19</w:t>
            </w:r>
          </w:p>
        </w:tc>
        <w:tc>
          <w:tcPr>
            <w:tcW w:w="2110" w:type="dxa"/>
            <w:tcMar>
              <w:top w:w="0" w:type="dxa"/>
              <w:left w:w="108" w:type="dxa"/>
              <w:bottom w:w="0" w:type="dxa"/>
              <w:right w:w="108" w:type="dxa"/>
            </w:tcMar>
            <w:vAlign w:val="center"/>
          </w:tcPr>
          <w:p w14:paraId="04EA88C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1.4</w:t>
            </w:r>
          </w:p>
        </w:tc>
      </w:tr>
      <w:tr w:rsidR="006F4DEE" w:rsidRPr="00FF4079" w14:paraId="7C000C1F" w14:textId="77777777" w:rsidTr="004114C0">
        <w:trPr>
          <w:jc w:val="center"/>
        </w:trPr>
        <w:tc>
          <w:tcPr>
            <w:tcW w:w="1397" w:type="dxa"/>
            <w:vMerge/>
          </w:tcPr>
          <w:p w14:paraId="2C52FFD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072D0B2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6611DEA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5696FCA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 – 1.09</w:t>
            </w:r>
          </w:p>
        </w:tc>
        <w:tc>
          <w:tcPr>
            <w:tcW w:w="2110" w:type="dxa"/>
            <w:tcMar>
              <w:top w:w="0" w:type="dxa"/>
              <w:left w:w="108" w:type="dxa"/>
              <w:bottom w:w="0" w:type="dxa"/>
              <w:right w:w="108" w:type="dxa"/>
            </w:tcMar>
            <w:vAlign w:val="center"/>
          </w:tcPr>
          <w:p w14:paraId="7966E8D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1.3</w:t>
            </w:r>
          </w:p>
        </w:tc>
      </w:tr>
      <w:tr w:rsidR="006F4DEE" w:rsidRPr="00FF4079" w14:paraId="71597A73" w14:textId="77777777" w:rsidTr="004114C0">
        <w:trPr>
          <w:jc w:val="center"/>
        </w:trPr>
        <w:tc>
          <w:tcPr>
            <w:tcW w:w="1397" w:type="dxa"/>
            <w:vMerge/>
          </w:tcPr>
          <w:p w14:paraId="28DDF72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665E55D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4C0F594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03E068D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0.9 – 0.99</w:t>
            </w:r>
          </w:p>
        </w:tc>
        <w:tc>
          <w:tcPr>
            <w:tcW w:w="2110" w:type="dxa"/>
            <w:tcMar>
              <w:top w:w="0" w:type="dxa"/>
              <w:left w:w="108" w:type="dxa"/>
              <w:bottom w:w="0" w:type="dxa"/>
              <w:right w:w="108" w:type="dxa"/>
            </w:tcMar>
            <w:vAlign w:val="center"/>
          </w:tcPr>
          <w:p w14:paraId="5322992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1.2</w:t>
            </w:r>
          </w:p>
        </w:tc>
      </w:tr>
      <w:tr w:rsidR="006F4DEE" w:rsidRPr="00FF4079" w14:paraId="081671C7" w14:textId="77777777" w:rsidTr="004114C0">
        <w:trPr>
          <w:jc w:val="center"/>
        </w:trPr>
        <w:tc>
          <w:tcPr>
            <w:tcW w:w="1397" w:type="dxa"/>
            <w:vMerge/>
          </w:tcPr>
          <w:p w14:paraId="10BB8A7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05BB8DF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0740E51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5FA15FF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0.8 – 0.89</w:t>
            </w:r>
          </w:p>
        </w:tc>
        <w:tc>
          <w:tcPr>
            <w:tcW w:w="2110" w:type="dxa"/>
            <w:tcMar>
              <w:top w:w="0" w:type="dxa"/>
              <w:left w:w="108" w:type="dxa"/>
              <w:bottom w:w="0" w:type="dxa"/>
              <w:right w:w="108" w:type="dxa"/>
            </w:tcMar>
            <w:vAlign w:val="center"/>
          </w:tcPr>
          <w:p w14:paraId="4CEBAB4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1.1</w:t>
            </w:r>
          </w:p>
        </w:tc>
      </w:tr>
      <w:tr w:rsidR="006F4DEE" w:rsidRPr="00FF4079" w14:paraId="4E8B1403" w14:textId="77777777" w:rsidTr="004114C0">
        <w:trPr>
          <w:jc w:val="center"/>
        </w:trPr>
        <w:tc>
          <w:tcPr>
            <w:tcW w:w="1397" w:type="dxa"/>
            <w:vMerge/>
          </w:tcPr>
          <w:p w14:paraId="60178E7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02C2889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7BFFA6C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19AE25E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0.7 – 0.79</w:t>
            </w:r>
          </w:p>
        </w:tc>
        <w:tc>
          <w:tcPr>
            <w:tcW w:w="2110" w:type="dxa"/>
            <w:tcMar>
              <w:top w:w="0" w:type="dxa"/>
              <w:left w:w="108" w:type="dxa"/>
              <w:bottom w:w="0" w:type="dxa"/>
              <w:right w:w="108" w:type="dxa"/>
            </w:tcMar>
            <w:vAlign w:val="center"/>
          </w:tcPr>
          <w:p w14:paraId="48F0878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0.93</w:t>
            </w:r>
          </w:p>
        </w:tc>
      </w:tr>
      <w:tr w:rsidR="006F4DEE" w:rsidRPr="00FF4079" w14:paraId="0B0C5D23" w14:textId="77777777" w:rsidTr="004114C0">
        <w:trPr>
          <w:jc w:val="center"/>
        </w:trPr>
        <w:tc>
          <w:tcPr>
            <w:tcW w:w="1397" w:type="dxa"/>
            <w:vMerge/>
          </w:tcPr>
          <w:p w14:paraId="488BA11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2FB0B03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2864662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2EAEAC0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 – 0.69</w:t>
            </w:r>
          </w:p>
        </w:tc>
        <w:tc>
          <w:tcPr>
            <w:tcW w:w="2110" w:type="dxa"/>
            <w:tcMar>
              <w:top w:w="0" w:type="dxa"/>
              <w:left w:w="108" w:type="dxa"/>
              <w:bottom w:w="0" w:type="dxa"/>
              <w:right w:w="108" w:type="dxa"/>
            </w:tcMar>
            <w:vAlign w:val="center"/>
          </w:tcPr>
          <w:p w14:paraId="7E0B1AB4"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0.81</w:t>
            </w:r>
          </w:p>
        </w:tc>
      </w:tr>
      <w:tr w:rsidR="006F4DEE" w:rsidRPr="00FF4079" w14:paraId="2A33123E" w14:textId="77777777" w:rsidTr="004114C0">
        <w:trPr>
          <w:jc w:val="center"/>
        </w:trPr>
        <w:tc>
          <w:tcPr>
            <w:tcW w:w="1397" w:type="dxa"/>
            <w:vMerge/>
          </w:tcPr>
          <w:p w14:paraId="745DB0F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Pr>
          <w:p w14:paraId="495C2A1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6FC6725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2B1E4FB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 – 0.59</w:t>
            </w:r>
          </w:p>
        </w:tc>
        <w:tc>
          <w:tcPr>
            <w:tcW w:w="2110" w:type="dxa"/>
            <w:tcMar>
              <w:top w:w="0" w:type="dxa"/>
              <w:left w:w="108" w:type="dxa"/>
              <w:bottom w:w="0" w:type="dxa"/>
              <w:right w:w="108" w:type="dxa"/>
            </w:tcMar>
            <w:vAlign w:val="center"/>
          </w:tcPr>
          <w:p w14:paraId="44E54273"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0.68</w:t>
            </w:r>
          </w:p>
        </w:tc>
      </w:tr>
      <w:tr w:rsidR="006F4DEE" w:rsidRPr="00FF4079" w14:paraId="0EB29DFA" w14:textId="77777777" w:rsidTr="004114C0">
        <w:trPr>
          <w:jc w:val="center"/>
        </w:trPr>
        <w:tc>
          <w:tcPr>
            <w:tcW w:w="1397" w:type="dxa"/>
            <w:vMerge/>
          </w:tcPr>
          <w:p w14:paraId="044F8D8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297" w:type="dxa"/>
            <w:vMerge/>
            <w:tcBorders>
              <w:bottom w:val="single" w:sz="4" w:space="0" w:color="auto"/>
            </w:tcBorders>
          </w:tcPr>
          <w:p w14:paraId="7AF5F01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Borders>
              <w:bottom w:val="single" w:sz="4" w:space="0" w:color="auto"/>
            </w:tcBorders>
          </w:tcPr>
          <w:p w14:paraId="4808F0C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Borders>
              <w:bottom w:val="single" w:sz="4" w:space="0" w:color="auto"/>
            </w:tcBorders>
            <w:tcMar>
              <w:top w:w="0" w:type="dxa"/>
              <w:left w:w="108" w:type="dxa"/>
              <w:bottom w:w="0" w:type="dxa"/>
              <w:right w:w="108" w:type="dxa"/>
            </w:tcMar>
            <w:vAlign w:val="bottom"/>
          </w:tcPr>
          <w:p w14:paraId="1A0A12A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 – 0.49</w:t>
            </w:r>
          </w:p>
        </w:tc>
        <w:tc>
          <w:tcPr>
            <w:tcW w:w="2110" w:type="dxa"/>
            <w:tcBorders>
              <w:bottom w:val="single" w:sz="4" w:space="0" w:color="auto"/>
            </w:tcBorders>
            <w:tcMar>
              <w:top w:w="0" w:type="dxa"/>
              <w:left w:w="108" w:type="dxa"/>
              <w:bottom w:w="0" w:type="dxa"/>
              <w:right w:w="108" w:type="dxa"/>
            </w:tcMar>
            <w:vAlign w:val="center"/>
          </w:tcPr>
          <w:p w14:paraId="0F7B77E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0.56</w:t>
            </w:r>
          </w:p>
        </w:tc>
      </w:tr>
      <w:tr w:rsidR="006F4DEE" w:rsidRPr="00FF4079" w14:paraId="5A0FFC72" w14:textId="77777777" w:rsidTr="004114C0">
        <w:trPr>
          <w:trHeight w:val="156"/>
          <w:jc w:val="center"/>
        </w:trPr>
        <w:tc>
          <w:tcPr>
            <w:tcW w:w="1397" w:type="dxa"/>
            <w:vMerge/>
            <w:vAlign w:val="center"/>
          </w:tcPr>
          <w:p w14:paraId="75632BE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b/>
                <w:bCs/>
                <w:sz w:val="20"/>
                <w:szCs w:val="20"/>
              </w:rPr>
            </w:pPr>
          </w:p>
        </w:tc>
        <w:tc>
          <w:tcPr>
            <w:tcW w:w="7517" w:type="dxa"/>
            <w:gridSpan w:val="4"/>
            <w:shd w:val="clear" w:color="auto" w:fill="BFBFBF" w:themeFill="background1" w:themeFillShade="BF"/>
            <w:vAlign w:val="center"/>
          </w:tcPr>
          <w:p w14:paraId="78972915" w14:textId="77777777" w:rsidR="006F4DEE" w:rsidRPr="009A0836" w:rsidRDefault="006F4DEE" w:rsidP="002535D8">
            <w:pPr>
              <w:spacing w:before="60" w:after="60" w:line="240" w:lineRule="atLeast"/>
              <w:jc w:val="center"/>
              <w:rPr>
                <w:rFonts w:ascii="Arial" w:hAnsi="Arial" w:cs="Arial"/>
                <w:sz w:val="6"/>
                <w:szCs w:val="20"/>
              </w:rPr>
            </w:pPr>
          </w:p>
        </w:tc>
      </w:tr>
      <w:tr w:rsidR="006F4DEE" w:rsidRPr="00FF4079" w14:paraId="43F9960F" w14:textId="77777777" w:rsidTr="004114C0">
        <w:trPr>
          <w:jc w:val="center"/>
        </w:trPr>
        <w:tc>
          <w:tcPr>
            <w:tcW w:w="1397" w:type="dxa"/>
            <w:vMerge/>
            <w:vAlign w:val="center"/>
          </w:tcPr>
          <w:p w14:paraId="325477F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b/>
                <w:bCs/>
                <w:sz w:val="20"/>
                <w:szCs w:val="20"/>
              </w:rPr>
            </w:pPr>
          </w:p>
        </w:tc>
        <w:tc>
          <w:tcPr>
            <w:tcW w:w="1297" w:type="dxa"/>
            <w:vMerge w:val="restart"/>
            <w:vAlign w:val="center"/>
          </w:tcPr>
          <w:p w14:paraId="6D8AC3F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96 hours</w:t>
            </w:r>
          </w:p>
        </w:tc>
        <w:tc>
          <w:tcPr>
            <w:tcW w:w="1984" w:type="dxa"/>
          </w:tcPr>
          <w:p w14:paraId="7F8D1CB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tcPr>
          <w:p w14:paraId="6393A30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1.5 – 1.59</w:t>
            </w:r>
          </w:p>
        </w:tc>
        <w:tc>
          <w:tcPr>
            <w:tcW w:w="2110" w:type="dxa"/>
            <w:tcMar>
              <w:top w:w="0" w:type="dxa"/>
              <w:left w:w="108" w:type="dxa"/>
              <w:bottom w:w="0" w:type="dxa"/>
              <w:right w:w="108" w:type="dxa"/>
            </w:tcMar>
            <w:vAlign w:val="center"/>
          </w:tcPr>
          <w:p w14:paraId="31E1F17A"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2.6</w:t>
            </w:r>
          </w:p>
        </w:tc>
      </w:tr>
      <w:tr w:rsidR="006F4DEE" w:rsidRPr="00FF4079" w14:paraId="49ABFF82" w14:textId="77777777" w:rsidTr="004114C0">
        <w:trPr>
          <w:jc w:val="center"/>
        </w:trPr>
        <w:tc>
          <w:tcPr>
            <w:tcW w:w="1397" w:type="dxa"/>
            <w:vMerge/>
          </w:tcPr>
          <w:p w14:paraId="58FE94E4"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39A2C7B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4D3BB7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39CBF98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1.4 – 1.49</w:t>
            </w:r>
          </w:p>
        </w:tc>
        <w:tc>
          <w:tcPr>
            <w:tcW w:w="2110" w:type="dxa"/>
            <w:tcMar>
              <w:top w:w="0" w:type="dxa"/>
              <w:left w:w="108" w:type="dxa"/>
              <w:bottom w:w="0" w:type="dxa"/>
              <w:right w:w="108" w:type="dxa"/>
            </w:tcMar>
            <w:vAlign w:val="center"/>
          </w:tcPr>
          <w:p w14:paraId="6131AC4D"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2.4</w:t>
            </w:r>
          </w:p>
        </w:tc>
      </w:tr>
      <w:tr w:rsidR="006F4DEE" w:rsidRPr="00FF4079" w14:paraId="69CE64E4" w14:textId="77777777" w:rsidTr="004114C0">
        <w:trPr>
          <w:jc w:val="center"/>
        </w:trPr>
        <w:tc>
          <w:tcPr>
            <w:tcW w:w="1397" w:type="dxa"/>
            <w:vMerge/>
          </w:tcPr>
          <w:p w14:paraId="6675E987"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548CCEF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8EBA06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4276949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1.3 – 1.39</w:t>
            </w:r>
          </w:p>
        </w:tc>
        <w:tc>
          <w:tcPr>
            <w:tcW w:w="2110" w:type="dxa"/>
            <w:tcMar>
              <w:top w:w="0" w:type="dxa"/>
              <w:left w:w="108" w:type="dxa"/>
              <w:bottom w:w="0" w:type="dxa"/>
              <w:right w:w="108" w:type="dxa"/>
            </w:tcMar>
            <w:vAlign w:val="center"/>
          </w:tcPr>
          <w:p w14:paraId="5A2F75FE"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2.2</w:t>
            </w:r>
          </w:p>
        </w:tc>
      </w:tr>
      <w:tr w:rsidR="006F4DEE" w:rsidRPr="00FF4079" w14:paraId="1259C143" w14:textId="77777777" w:rsidTr="004114C0">
        <w:trPr>
          <w:jc w:val="center"/>
        </w:trPr>
        <w:tc>
          <w:tcPr>
            <w:tcW w:w="1397" w:type="dxa"/>
            <w:vMerge/>
          </w:tcPr>
          <w:p w14:paraId="2E0173F1"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08C9BAB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E0CFA56"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12EC98C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1.2 – 1.29</w:t>
            </w:r>
          </w:p>
        </w:tc>
        <w:tc>
          <w:tcPr>
            <w:tcW w:w="2110" w:type="dxa"/>
            <w:tcMar>
              <w:top w:w="0" w:type="dxa"/>
              <w:left w:w="108" w:type="dxa"/>
              <w:bottom w:w="0" w:type="dxa"/>
              <w:right w:w="108" w:type="dxa"/>
            </w:tcMar>
            <w:vAlign w:val="center"/>
          </w:tcPr>
          <w:p w14:paraId="19ACB99F"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2.1</w:t>
            </w:r>
          </w:p>
        </w:tc>
      </w:tr>
      <w:tr w:rsidR="006F4DEE" w:rsidRPr="00FF4079" w14:paraId="6BEDAE71" w14:textId="77777777" w:rsidTr="004114C0">
        <w:trPr>
          <w:jc w:val="center"/>
        </w:trPr>
        <w:tc>
          <w:tcPr>
            <w:tcW w:w="1397" w:type="dxa"/>
            <w:vMerge/>
          </w:tcPr>
          <w:p w14:paraId="1857D92B"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7D33187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2C3D8E61"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508BE54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1.1 – 1.19</w:t>
            </w:r>
          </w:p>
        </w:tc>
        <w:tc>
          <w:tcPr>
            <w:tcW w:w="2110" w:type="dxa"/>
            <w:tcMar>
              <w:top w:w="0" w:type="dxa"/>
              <w:left w:w="108" w:type="dxa"/>
              <w:bottom w:w="0" w:type="dxa"/>
              <w:right w:w="108" w:type="dxa"/>
            </w:tcMar>
            <w:vAlign w:val="center"/>
          </w:tcPr>
          <w:p w14:paraId="21E86815"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1.9</w:t>
            </w:r>
          </w:p>
        </w:tc>
      </w:tr>
      <w:tr w:rsidR="006F4DEE" w:rsidRPr="00FF4079" w14:paraId="14652F40" w14:textId="77777777" w:rsidTr="004114C0">
        <w:trPr>
          <w:jc w:val="center"/>
        </w:trPr>
        <w:tc>
          <w:tcPr>
            <w:tcW w:w="1397" w:type="dxa"/>
            <w:vMerge/>
          </w:tcPr>
          <w:p w14:paraId="184A0377"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6A739A9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6FFF3D38"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2DDC726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 – 1.09</w:t>
            </w:r>
          </w:p>
        </w:tc>
        <w:tc>
          <w:tcPr>
            <w:tcW w:w="2110" w:type="dxa"/>
            <w:tcMar>
              <w:top w:w="0" w:type="dxa"/>
              <w:left w:w="108" w:type="dxa"/>
              <w:bottom w:w="0" w:type="dxa"/>
              <w:right w:w="108" w:type="dxa"/>
            </w:tcMar>
            <w:vAlign w:val="center"/>
          </w:tcPr>
          <w:p w14:paraId="7D1E746B"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1.7</w:t>
            </w:r>
          </w:p>
        </w:tc>
      </w:tr>
      <w:tr w:rsidR="006F4DEE" w:rsidRPr="00FF4079" w14:paraId="5E8CA394" w14:textId="77777777" w:rsidTr="004114C0">
        <w:trPr>
          <w:jc w:val="center"/>
        </w:trPr>
        <w:tc>
          <w:tcPr>
            <w:tcW w:w="1397" w:type="dxa"/>
            <w:vMerge/>
          </w:tcPr>
          <w:p w14:paraId="08D25FD4"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09B2F6A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1AC0AD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302925E9"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0.9 – 0.99</w:t>
            </w:r>
          </w:p>
        </w:tc>
        <w:tc>
          <w:tcPr>
            <w:tcW w:w="2110" w:type="dxa"/>
            <w:tcMar>
              <w:top w:w="0" w:type="dxa"/>
              <w:left w:w="108" w:type="dxa"/>
              <w:bottom w:w="0" w:type="dxa"/>
              <w:right w:w="108" w:type="dxa"/>
            </w:tcMar>
            <w:vAlign w:val="center"/>
          </w:tcPr>
          <w:p w14:paraId="35A037E2"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1.6</w:t>
            </w:r>
          </w:p>
        </w:tc>
      </w:tr>
      <w:tr w:rsidR="006F4DEE" w:rsidRPr="00FF4079" w14:paraId="2C8B721E" w14:textId="77777777" w:rsidTr="004114C0">
        <w:trPr>
          <w:jc w:val="center"/>
        </w:trPr>
        <w:tc>
          <w:tcPr>
            <w:tcW w:w="1397" w:type="dxa"/>
            <w:vMerge/>
          </w:tcPr>
          <w:p w14:paraId="546C53BC"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5AD52D82"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F3FC8B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0D04E5D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0.8 – 0.89</w:t>
            </w:r>
          </w:p>
        </w:tc>
        <w:tc>
          <w:tcPr>
            <w:tcW w:w="2110" w:type="dxa"/>
            <w:tcMar>
              <w:top w:w="0" w:type="dxa"/>
              <w:left w:w="108" w:type="dxa"/>
              <w:bottom w:w="0" w:type="dxa"/>
              <w:right w:w="108" w:type="dxa"/>
            </w:tcMar>
            <w:vAlign w:val="center"/>
          </w:tcPr>
          <w:p w14:paraId="0FF1064D"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1.4</w:t>
            </w:r>
          </w:p>
        </w:tc>
      </w:tr>
      <w:tr w:rsidR="006F4DEE" w:rsidRPr="00FF4079" w14:paraId="0292CE86" w14:textId="77777777" w:rsidTr="004114C0">
        <w:trPr>
          <w:jc w:val="center"/>
        </w:trPr>
        <w:tc>
          <w:tcPr>
            <w:tcW w:w="1397" w:type="dxa"/>
            <w:vMerge/>
          </w:tcPr>
          <w:p w14:paraId="7CA5C0F0"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7DE7A16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A290F0B"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5432EC3E"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0.7 – 0.79</w:t>
            </w:r>
          </w:p>
        </w:tc>
        <w:tc>
          <w:tcPr>
            <w:tcW w:w="2110" w:type="dxa"/>
            <w:tcMar>
              <w:top w:w="0" w:type="dxa"/>
              <w:left w:w="108" w:type="dxa"/>
              <w:bottom w:w="0" w:type="dxa"/>
              <w:right w:w="108" w:type="dxa"/>
            </w:tcMar>
            <w:vAlign w:val="center"/>
          </w:tcPr>
          <w:p w14:paraId="409DD8CC"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1.2</w:t>
            </w:r>
          </w:p>
        </w:tc>
      </w:tr>
      <w:tr w:rsidR="006F4DEE" w:rsidRPr="00FF4079" w14:paraId="383BA6F1" w14:textId="77777777" w:rsidTr="004114C0">
        <w:trPr>
          <w:jc w:val="center"/>
        </w:trPr>
        <w:tc>
          <w:tcPr>
            <w:tcW w:w="1397" w:type="dxa"/>
            <w:vMerge/>
          </w:tcPr>
          <w:p w14:paraId="550997EF"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6C16A0F0"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3B29045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2F9909ED"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0.6 – 0.69</w:t>
            </w:r>
          </w:p>
        </w:tc>
        <w:tc>
          <w:tcPr>
            <w:tcW w:w="2110" w:type="dxa"/>
            <w:tcMar>
              <w:top w:w="0" w:type="dxa"/>
              <w:left w:w="108" w:type="dxa"/>
              <w:bottom w:w="0" w:type="dxa"/>
              <w:right w:w="108" w:type="dxa"/>
            </w:tcMar>
            <w:vAlign w:val="center"/>
          </w:tcPr>
          <w:p w14:paraId="1D1E8E09"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1.1</w:t>
            </w:r>
          </w:p>
        </w:tc>
      </w:tr>
      <w:tr w:rsidR="006F4DEE" w:rsidRPr="00FF4079" w14:paraId="4BA6258C" w14:textId="77777777" w:rsidTr="004114C0">
        <w:trPr>
          <w:jc w:val="center"/>
        </w:trPr>
        <w:tc>
          <w:tcPr>
            <w:tcW w:w="1397" w:type="dxa"/>
            <w:vMerge/>
          </w:tcPr>
          <w:p w14:paraId="638043D1"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4AB681B7"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569B2CA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1A0E224C"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0.5 – 0.59</w:t>
            </w:r>
          </w:p>
        </w:tc>
        <w:tc>
          <w:tcPr>
            <w:tcW w:w="2110" w:type="dxa"/>
            <w:tcMar>
              <w:top w:w="0" w:type="dxa"/>
              <w:left w:w="108" w:type="dxa"/>
              <w:bottom w:w="0" w:type="dxa"/>
              <w:right w:w="108" w:type="dxa"/>
            </w:tcMar>
            <w:vAlign w:val="center"/>
          </w:tcPr>
          <w:p w14:paraId="2B468697"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0.91</w:t>
            </w:r>
          </w:p>
        </w:tc>
      </w:tr>
      <w:tr w:rsidR="006F4DEE" w:rsidRPr="00FF4079" w14:paraId="5B32FB03" w14:textId="77777777" w:rsidTr="004114C0">
        <w:trPr>
          <w:jc w:val="center"/>
        </w:trPr>
        <w:tc>
          <w:tcPr>
            <w:tcW w:w="1397" w:type="dxa"/>
            <w:vMerge/>
          </w:tcPr>
          <w:p w14:paraId="3FFB4BC5" w14:textId="77777777" w:rsidR="006F4DEE" w:rsidRPr="00024DA2" w:rsidRDefault="006F4DEE" w:rsidP="002535D8">
            <w:pPr>
              <w:keepNext/>
              <w:keepLines/>
              <w:autoSpaceDE w:val="0"/>
              <w:autoSpaceDN w:val="0"/>
              <w:adjustRightInd w:val="0"/>
              <w:spacing w:before="60" w:after="60" w:line="240" w:lineRule="atLeast"/>
              <w:ind w:left="1208"/>
              <w:jc w:val="center"/>
              <w:rPr>
                <w:rFonts w:ascii="Arial" w:hAnsi="Arial" w:cs="Arial"/>
                <w:sz w:val="20"/>
                <w:szCs w:val="20"/>
              </w:rPr>
            </w:pPr>
          </w:p>
        </w:tc>
        <w:tc>
          <w:tcPr>
            <w:tcW w:w="1297" w:type="dxa"/>
            <w:vMerge/>
          </w:tcPr>
          <w:p w14:paraId="26968B3A"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p>
        </w:tc>
        <w:tc>
          <w:tcPr>
            <w:tcW w:w="1984" w:type="dxa"/>
          </w:tcPr>
          <w:p w14:paraId="7867EE8F"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1</w:t>
            </w:r>
          </w:p>
        </w:tc>
        <w:tc>
          <w:tcPr>
            <w:tcW w:w="2126" w:type="dxa"/>
            <w:tcMar>
              <w:top w:w="0" w:type="dxa"/>
              <w:left w:w="108" w:type="dxa"/>
              <w:bottom w:w="0" w:type="dxa"/>
              <w:right w:w="108" w:type="dxa"/>
            </w:tcMar>
            <w:vAlign w:val="bottom"/>
          </w:tcPr>
          <w:p w14:paraId="4637D085" w14:textId="77777777" w:rsidR="006F4DEE" w:rsidRPr="00024DA2" w:rsidRDefault="006F4DEE" w:rsidP="002535D8">
            <w:pPr>
              <w:keepNext/>
              <w:keepLines/>
              <w:autoSpaceDE w:val="0"/>
              <w:autoSpaceDN w:val="0"/>
              <w:adjustRightInd w:val="0"/>
              <w:spacing w:before="60" w:after="60" w:line="240" w:lineRule="atLeast"/>
              <w:jc w:val="center"/>
              <w:rPr>
                <w:rFonts w:ascii="Arial" w:hAnsi="Arial" w:cs="Arial"/>
                <w:sz w:val="20"/>
                <w:szCs w:val="20"/>
              </w:rPr>
            </w:pPr>
            <w:r w:rsidRPr="00024DA2">
              <w:rPr>
                <w:rFonts w:ascii="Arial" w:hAnsi="Arial" w:cs="Arial"/>
                <w:sz w:val="20"/>
                <w:szCs w:val="20"/>
              </w:rPr>
              <w:t>0.4 – 0.49</w:t>
            </w:r>
          </w:p>
        </w:tc>
        <w:tc>
          <w:tcPr>
            <w:tcW w:w="2110" w:type="dxa"/>
            <w:tcMar>
              <w:top w:w="0" w:type="dxa"/>
              <w:left w:w="108" w:type="dxa"/>
              <w:bottom w:w="0" w:type="dxa"/>
              <w:right w:w="108" w:type="dxa"/>
            </w:tcMar>
            <w:vAlign w:val="center"/>
          </w:tcPr>
          <w:p w14:paraId="66475FCC" w14:textId="77777777" w:rsidR="006F4DEE" w:rsidRPr="00024DA2" w:rsidRDefault="006F4DEE" w:rsidP="002535D8">
            <w:pPr>
              <w:spacing w:before="60" w:after="60" w:line="240" w:lineRule="atLeast"/>
              <w:jc w:val="center"/>
              <w:rPr>
                <w:rFonts w:ascii="Arial" w:hAnsi="Arial" w:cs="Arial"/>
                <w:sz w:val="20"/>
                <w:szCs w:val="20"/>
              </w:rPr>
            </w:pPr>
            <w:r w:rsidRPr="00024DA2">
              <w:rPr>
                <w:rFonts w:ascii="Arial" w:hAnsi="Arial" w:cs="Arial"/>
                <w:sz w:val="20"/>
                <w:szCs w:val="20"/>
              </w:rPr>
              <w:t>0.74</w:t>
            </w:r>
          </w:p>
        </w:tc>
      </w:tr>
    </w:tbl>
    <w:p w14:paraId="097B5C88" w14:textId="4CA5E5F5" w:rsidR="00D72196" w:rsidRPr="00C51898" w:rsidRDefault="00D72196" w:rsidP="00D72196">
      <w:pPr>
        <w:jc w:val="right"/>
        <w:rPr>
          <w:rFonts w:ascii="Arial" w:hAnsi="Arial" w:cs="Arial"/>
          <w:strike/>
          <w:color w:val="000000" w:themeColor="text1"/>
          <w:sz w:val="20"/>
        </w:rPr>
      </w:pPr>
      <w:bookmarkStart w:id="15" w:name="_Hlk475974844"/>
    </w:p>
    <w:bookmarkEnd w:id="15"/>
    <w:p w14:paraId="6BD12910" w14:textId="4F6EB266" w:rsidR="006F4DEE" w:rsidRPr="00BB029B" w:rsidRDefault="006F4DEE" w:rsidP="00BB029B">
      <w:pPr>
        <w:pStyle w:val="Caption"/>
      </w:pPr>
      <w:r w:rsidRPr="00BB029B">
        <w:lastRenderedPageBreak/>
        <w:t>Table </w:t>
      </w:r>
      <w:r w:rsidR="00871C4D" w:rsidRPr="00BB029B">
        <w:t>8</w:t>
      </w:r>
      <w:r w:rsidRPr="00BB029B">
        <w:t xml:space="preserve">.  For Patients Weighing Less Than 45 kg: Volume of </w:t>
      </w:r>
      <w:proofErr w:type="spellStart"/>
      <w:r w:rsidRPr="00BB029B">
        <w:t>Blincyto</w:t>
      </w:r>
      <w:proofErr w:type="spellEnd"/>
      <w:r w:rsidRPr="00BB029B">
        <w:t xml:space="preserve"> </w:t>
      </w:r>
      <w:r w:rsidR="00A22D80">
        <w:t>R</w:t>
      </w:r>
      <w:r w:rsidRPr="00BB029B">
        <w:t>equired for 250</w:t>
      </w:r>
      <w:r w:rsidR="002535D8">
        <w:t> </w:t>
      </w:r>
      <w:r w:rsidRPr="00BB029B">
        <w:t xml:space="preserve">mL </w:t>
      </w:r>
      <w:r w:rsidR="00A22D80">
        <w:t>C</w:t>
      </w:r>
      <w:r w:rsidRPr="00BB029B">
        <w:t>assette for 15 </w:t>
      </w:r>
      <w:r w:rsidR="00A22D80">
        <w:t>microgram</w:t>
      </w:r>
      <w:r w:rsidRPr="00BB029B">
        <w:t>/m</w:t>
      </w:r>
      <w:r w:rsidRPr="00F338DE">
        <w:rPr>
          <w:vertAlign w:val="superscript"/>
        </w:rPr>
        <w:t>2</w:t>
      </w:r>
      <w:r w:rsidRPr="00BB029B">
        <w:t>/day Dose</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2"/>
        <w:gridCol w:w="1559"/>
        <w:gridCol w:w="1990"/>
        <w:gridCol w:w="1991"/>
        <w:gridCol w:w="1991"/>
      </w:tblGrid>
      <w:tr w:rsidR="006F4DEE" w:rsidRPr="008442F8" w14:paraId="1B387012" w14:textId="77777777" w:rsidTr="004114C0">
        <w:trPr>
          <w:jc w:val="center"/>
        </w:trPr>
        <w:tc>
          <w:tcPr>
            <w:tcW w:w="1412" w:type="dxa"/>
            <w:vAlign w:val="center"/>
          </w:tcPr>
          <w:p w14:paraId="52212EFE" w14:textId="77777777" w:rsidR="006F4DEE" w:rsidRPr="008442F8" w:rsidRDefault="006F4DEE" w:rsidP="00F338DE">
            <w:pPr>
              <w:keepNext/>
              <w:keepLines/>
              <w:spacing w:before="60" w:after="60" w:line="240" w:lineRule="atLeast"/>
              <w:jc w:val="center"/>
              <w:rPr>
                <w:rFonts w:ascii="Arial" w:hAnsi="Arial" w:cs="Arial"/>
                <w:b/>
                <w:sz w:val="20"/>
                <w:szCs w:val="20"/>
              </w:rPr>
            </w:pPr>
            <w:bookmarkStart w:id="16" w:name="_Hlk475974885"/>
            <w:r w:rsidRPr="008442F8">
              <w:rPr>
                <w:rFonts w:ascii="Arial" w:hAnsi="Arial" w:cs="Arial"/>
                <w:b/>
                <w:sz w:val="20"/>
                <w:szCs w:val="20"/>
              </w:rPr>
              <w:t>Dose</w:t>
            </w:r>
          </w:p>
        </w:tc>
        <w:tc>
          <w:tcPr>
            <w:tcW w:w="1559" w:type="dxa"/>
            <w:vAlign w:val="center"/>
          </w:tcPr>
          <w:p w14:paraId="5E149A91" w14:textId="77777777" w:rsidR="006F4DEE" w:rsidRPr="008442F8" w:rsidRDefault="006F4DEE" w:rsidP="00F338DE">
            <w:pPr>
              <w:keepNext/>
              <w:keepLines/>
              <w:spacing w:before="60" w:after="60" w:line="240" w:lineRule="atLeast"/>
              <w:jc w:val="center"/>
              <w:rPr>
                <w:rFonts w:ascii="Arial" w:hAnsi="Arial" w:cs="Arial"/>
                <w:b/>
                <w:sz w:val="20"/>
                <w:szCs w:val="20"/>
              </w:rPr>
            </w:pPr>
            <w:r w:rsidRPr="008442F8">
              <w:rPr>
                <w:rFonts w:ascii="Arial" w:hAnsi="Arial" w:cs="Arial"/>
                <w:b/>
                <w:bCs/>
                <w:sz w:val="20"/>
                <w:szCs w:val="20"/>
              </w:rPr>
              <w:t>Cassette Duration</w:t>
            </w:r>
          </w:p>
        </w:tc>
        <w:tc>
          <w:tcPr>
            <w:tcW w:w="1990" w:type="dxa"/>
          </w:tcPr>
          <w:p w14:paraId="577A93C7" w14:textId="77777777" w:rsidR="006F4DEE" w:rsidRPr="008442F8" w:rsidRDefault="006F4DEE" w:rsidP="00F338DE">
            <w:pPr>
              <w:keepNext/>
              <w:keepLines/>
              <w:spacing w:before="60" w:after="60" w:line="240" w:lineRule="atLeast"/>
              <w:jc w:val="center"/>
              <w:rPr>
                <w:rFonts w:ascii="Arial" w:hAnsi="Arial" w:cs="Arial"/>
                <w:b/>
                <w:sz w:val="20"/>
                <w:szCs w:val="20"/>
              </w:rPr>
            </w:pPr>
            <w:r w:rsidRPr="008442F8">
              <w:rPr>
                <w:rFonts w:ascii="Arial" w:hAnsi="Arial" w:cs="Arial"/>
                <w:b/>
                <w:bCs/>
                <w:sz w:val="20"/>
                <w:szCs w:val="20"/>
              </w:rPr>
              <w:t xml:space="preserve">Expected Number of </w:t>
            </w:r>
            <w:proofErr w:type="spellStart"/>
            <w:r w:rsidRPr="008442F8">
              <w:rPr>
                <w:rFonts w:ascii="Arial" w:hAnsi="Arial" w:cs="Arial"/>
                <w:b/>
                <w:bCs/>
                <w:sz w:val="20"/>
                <w:szCs w:val="20"/>
              </w:rPr>
              <w:t>Blincyto</w:t>
            </w:r>
            <w:proofErr w:type="spellEnd"/>
            <w:r w:rsidRPr="008442F8">
              <w:rPr>
                <w:rFonts w:ascii="Arial" w:hAnsi="Arial" w:cs="Arial"/>
                <w:b/>
                <w:bCs/>
                <w:sz w:val="20"/>
                <w:szCs w:val="20"/>
              </w:rPr>
              <w:t xml:space="preserve"> vials required*</w:t>
            </w:r>
          </w:p>
        </w:tc>
        <w:tc>
          <w:tcPr>
            <w:tcW w:w="1991" w:type="dxa"/>
            <w:tcMar>
              <w:top w:w="0" w:type="dxa"/>
              <w:left w:w="108" w:type="dxa"/>
              <w:bottom w:w="0" w:type="dxa"/>
              <w:right w:w="108" w:type="dxa"/>
            </w:tcMar>
            <w:vAlign w:val="center"/>
            <w:hideMark/>
          </w:tcPr>
          <w:p w14:paraId="148410BD" w14:textId="77777777" w:rsidR="006F4DEE" w:rsidRPr="008442F8" w:rsidRDefault="006F4DEE" w:rsidP="00F338DE">
            <w:pPr>
              <w:keepNext/>
              <w:keepLines/>
              <w:spacing w:before="60" w:after="60" w:line="240" w:lineRule="atLeast"/>
              <w:jc w:val="center"/>
              <w:rPr>
                <w:rFonts w:ascii="Arial" w:eastAsia="Calibri" w:hAnsi="Arial" w:cs="Arial"/>
                <w:b/>
                <w:sz w:val="20"/>
                <w:szCs w:val="20"/>
              </w:rPr>
            </w:pPr>
            <w:r w:rsidRPr="008442F8">
              <w:rPr>
                <w:rFonts w:ascii="Arial" w:hAnsi="Arial" w:cs="Arial"/>
                <w:b/>
                <w:sz w:val="20"/>
                <w:szCs w:val="20"/>
              </w:rPr>
              <w:t>BSA (m</w:t>
            </w:r>
            <w:r w:rsidRPr="008442F8">
              <w:rPr>
                <w:rFonts w:ascii="Arial" w:hAnsi="Arial" w:cs="Arial"/>
                <w:b/>
                <w:sz w:val="20"/>
                <w:szCs w:val="20"/>
                <w:vertAlign w:val="superscript"/>
              </w:rPr>
              <w:t>2</w:t>
            </w:r>
            <w:r w:rsidRPr="008442F8">
              <w:rPr>
                <w:rFonts w:ascii="Arial" w:hAnsi="Arial" w:cs="Arial"/>
                <w:b/>
                <w:sz w:val="20"/>
                <w:szCs w:val="20"/>
              </w:rPr>
              <w:t>)</w:t>
            </w:r>
          </w:p>
        </w:tc>
        <w:tc>
          <w:tcPr>
            <w:tcW w:w="1991" w:type="dxa"/>
            <w:tcMar>
              <w:top w:w="0" w:type="dxa"/>
              <w:left w:w="108" w:type="dxa"/>
              <w:bottom w:w="0" w:type="dxa"/>
              <w:right w:w="108" w:type="dxa"/>
            </w:tcMar>
            <w:vAlign w:val="center"/>
            <w:hideMark/>
          </w:tcPr>
          <w:p w14:paraId="2982D52A" w14:textId="7153AA90" w:rsidR="006F4DEE" w:rsidRPr="008442F8" w:rsidRDefault="006F4DEE" w:rsidP="00A22D80">
            <w:pPr>
              <w:keepNext/>
              <w:keepLines/>
              <w:spacing w:before="60" w:after="60" w:line="240" w:lineRule="atLeast"/>
              <w:jc w:val="center"/>
              <w:rPr>
                <w:rFonts w:ascii="Arial" w:eastAsia="Calibri" w:hAnsi="Arial" w:cs="Arial"/>
                <w:b/>
                <w:sz w:val="20"/>
                <w:szCs w:val="20"/>
              </w:rPr>
            </w:pPr>
            <w:r w:rsidRPr="008442F8">
              <w:rPr>
                <w:rFonts w:ascii="Arial" w:hAnsi="Arial" w:cs="Arial"/>
                <w:b/>
                <w:sz w:val="20"/>
                <w:szCs w:val="20"/>
              </w:rPr>
              <w:t>Volume of</w:t>
            </w:r>
            <w:r>
              <w:rPr>
                <w:rFonts w:ascii="Arial" w:hAnsi="Arial" w:cs="Arial"/>
                <w:b/>
                <w:sz w:val="20"/>
                <w:szCs w:val="20"/>
              </w:rPr>
              <w:t xml:space="preserve"> </w:t>
            </w:r>
            <w:r w:rsidRPr="008442F8">
              <w:rPr>
                <w:rFonts w:ascii="Arial" w:hAnsi="Arial" w:cs="Arial"/>
                <w:b/>
                <w:sz w:val="20"/>
                <w:szCs w:val="20"/>
              </w:rPr>
              <w:t xml:space="preserve">Reconstituted </w:t>
            </w:r>
            <w:proofErr w:type="spellStart"/>
            <w:r w:rsidR="00A22D80">
              <w:rPr>
                <w:rFonts w:ascii="Arial" w:hAnsi="Arial" w:cs="Arial"/>
                <w:b/>
                <w:sz w:val="20"/>
                <w:szCs w:val="20"/>
              </w:rPr>
              <w:t>Blincyto</w:t>
            </w:r>
            <w:proofErr w:type="spellEnd"/>
          </w:p>
        </w:tc>
      </w:tr>
      <w:tr w:rsidR="006F4DEE" w:rsidRPr="008442F8" w14:paraId="7E77A325" w14:textId="77777777" w:rsidTr="004114C0">
        <w:trPr>
          <w:trHeight w:val="153"/>
          <w:jc w:val="center"/>
        </w:trPr>
        <w:tc>
          <w:tcPr>
            <w:tcW w:w="1412" w:type="dxa"/>
            <w:vMerge w:val="restart"/>
            <w:vAlign w:val="center"/>
          </w:tcPr>
          <w:p w14:paraId="5F3024C6" w14:textId="126418F9" w:rsidR="006F4DEE" w:rsidRPr="008442F8" w:rsidRDefault="006F4DEE" w:rsidP="004C2286">
            <w:pPr>
              <w:keepNext/>
              <w:keepLines/>
              <w:autoSpaceDE w:val="0"/>
              <w:autoSpaceDN w:val="0"/>
              <w:adjustRightInd w:val="0"/>
              <w:spacing w:before="60" w:after="60" w:line="240" w:lineRule="atLeast"/>
              <w:jc w:val="center"/>
              <w:rPr>
                <w:rFonts w:ascii="Arial" w:hAnsi="Arial" w:cs="Arial"/>
                <w:sz w:val="20"/>
                <w:szCs w:val="20"/>
              </w:rPr>
            </w:pPr>
            <w:bookmarkStart w:id="17" w:name="_Hlk475973014"/>
            <w:bookmarkEnd w:id="16"/>
            <w:r w:rsidRPr="008442F8">
              <w:rPr>
                <w:rFonts w:ascii="Arial" w:hAnsi="Arial" w:cs="Arial"/>
                <w:bCs/>
                <w:sz w:val="20"/>
                <w:szCs w:val="20"/>
              </w:rPr>
              <w:t>15 </w:t>
            </w:r>
            <w:r w:rsidR="004C2286">
              <w:rPr>
                <w:rFonts w:ascii="Arial" w:hAnsi="Arial" w:cs="Arial"/>
                <w:bCs/>
                <w:sz w:val="20"/>
                <w:szCs w:val="20"/>
              </w:rPr>
              <w:t>mcg</w:t>
            </w:r>
            <w:r w:rsidRPr="008442F8">
              <w:rPr>
                <w:rFonts w:ascii="Arial" w:hAnsi="Arial" w:cs="Arial"/>
                <w:bCs/>
                <w:sz w:val="20"/>
                <w:szCs w:val="20"/>
              </w:rPr>
              <w:t>/m</w:t>
            </w:r>
            <w:r w:rsidRPr="008442F8">
              <w:rPr>
                <w:rFonts w:ascii="Arial" w:hAnsi="Arial" w:cs="Arial"/>
                <w:bCs/>
                <w:sz w:val="20"/>
                <w:szCs w:val="20"/>
                <w:vertAlign w:val="superscript"/>
              </w:rPr>
              <w:t>2</w:t>
            </w:r>
            <w:r w:rsidRPr="008442F8">
              <w:rPr>
                <w:rFonts w:ascii="Arial" w:hAnsi="Arial" w:cs="Arial"/>
                <w:bCs/>
                <w:sz w:val="20"/>
                <w:szCs w:val="20"/>
              </w:rPr>
              <w:t>/day</w:t>
            </w:r>
            <w:bookmarkEnd w:id="17"/>
          </w:p>
        </w:tc>
        <w:tc>
          <w:tcPr>
            <w:tcW w:w="1559" w:type="dxa"/>
            <w:vMerge w:val="restart"/>
            <w:vAlign w:val="center"/>
          </w:tcPr>
          <w:p w14:paraId="54FFAFA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24 hours</w:t>
            </w:r>
          </w:p>
        </w:tc>
        <w:tc>
          <w:tcPr>
            <w:tcW w:w="1990" w:type="dxa"/>
          </w:tcPr>
          <w:p w14:paraId="7002467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center"/>
            <w:hideMark/>
          </w:tcPr>
          <w:p w14:paraId="225681A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1.5 – 1.59</w:t>
            </w:r>
          </w:p>
        </w:tc>
        <w:tc>
          <w:tcPr>
            <w:tcW w:w="1991" w:type="dxa"/>
            <w:tcMar>
              <w:top w:w="0" w:type="dxa"/>
              <w:left w:w="108" w:type="dxa"/>
              <w:bottom w:w="0" w:type="dxa"/>
              <w:right w:w="108" w:type="dxa"/>
            </w:tcMar>
            <w:vAlign w:val="center"/>
          </w:tcPr>
          <w:p w14:paraId="6BB79FB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1.9</w:t>
            </w:r>
          </w:p>
        </w:tc>
      </w:tr>
      <w:tr w:rsidR="006F4DEE" w:rsidRPr="008442F8" w14:paraId="5D363981" w14:textId="77777777" w:rsidTr="004114C0">
        <w:trPr>
          <w:jc w:val="center"/>
        </w:trPr>
        <w:tc>
          <w:tcPr>
            <w:tcW w:w="1412" w:type="dxa"/>
            <w:vMerge/>
          </w:tcPr>
          <w:p w14:paraId="4EBAB6F4"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6C0999D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47608A5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5DA87B3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1.4 – 1.49</w:t>
            </w:r>
          </w:p>
        </w:tc>
        <w:tc>
          <w:tcPr>
            <w:tcW w:w="1991" w:type="dxa"/>
            <w:tcMar>
              <w:top w:w="0" w:type="dxa"/>
              <w:left w:w="108" w:type="dxa"/>
              <w:bottom w:w="0" w:type="dxa"/>
              <w:right w:w="108" w:type="dxa"/>
            </w:tcMar>
            <w:vAlign w:val="center"/>
          </w:tcPr>
          <w:p w14:paraId="238C6CC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1.8</w:t>
            </w:r>
          </w:p>
        </w:tc>
      </w:tr>
      <w:tr w:rsidR="006F4DEE" w:rsidRPr="008442F8" w14:paraId="42F04F16" w14:textId="77777777" w:rsidTr="004114C0">
        <w:trPr>
          <w:jc w:val="center"/>
        </w:trPr>
        <w:tc>
          <w:tcPr>
            <w:tcW w:w="1412" w:type="dxa"/>
            <w:vMerge/>
          </w:tcPr>
          <w:p w14:paraId="0448E594"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7B9C1ED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2F57907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4D4E235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1.3 – 1.39</w:t>
            </w:r>
          </w:p>
        </w:tc>
        <w:tc>
          <w:tcPr>
            <w:tcW w:w="1991" w:type="dxa"/>
            <w:tcMar>
              <w:top w:w="0" w:type="dxa"/>
              <w:left w:w="108" w:type="dxa"/>
              <w:bottom w:w="0" w:type="dxa"/>
              <w:right w:w="108" w:type="dxa"/>
            </w:tcMar>
            <w:vAlign w:val="center"/>
          </w:tcPr>
          <w:p w14:paraId="49AE689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1.7</w:t>
            </w:r>
          </w:p>
        </w:tc>
      </w:tr>
      <w:tr w:rsidR="006F4DEE" w:rsidRPr="008442F8" w14:paraId="4633D4E5" w14:textId="77777777" w:rsidTr="004114C0">
        <w:trPr>
          <w:jc w:val="center"/>
        </w:trPr>
        <w:tc>
          <w:tcPr>
            <w:tcW w:w="1412" w:type="dxa"/>
            <w:vMerge/>
          </w:tcPr>
          <w:p w14:paraId="1816E91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41F8F8F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0774CF6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2744DBC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1.2 – 1.29</w:t>
            </w:r>
          </w:p>
        </w:tc>
        <w:tc>
          <w:tcPr>
            <w:tcW w:w="1991" w:type="dxa"/>
            <w:tcMar>
              <w:top w:w="0" w:type="dxa"/>
              <w:left w:w="108" w:type="dxa"/>
              <w:bottom w:w="0" w:type="dxa"/>
              <w:right w:w="108" w:type="dxa"/>
            </w:tcMar>
            <w:vAlign w:val="center"/>
          </w:tcPr>
          <w:p w14:paraId="17AF96A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1.6</w:t>
            </w:r>
          </w:p>
        </w:tc>
      </w:tr>
      <w:tr w:rsidR="006F4DEE" w:rsidRPr="008442F8" w14:paraId="193CD6FC" w14:textId="77777777" w:rsidTr="004114C0">
        <w:trPr>
          <w:jc w:val="center"/>
        </w:trPr>
        <w:tc>
          <w:tcPr>
            <w:tcW w:w="1412" w:type="dxa"/>
            <w:vMerge/>
          </w:tcPr>
          <w:p w14:paraId="4D7B2690"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0883463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2F28A48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453BFFD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1.1 – 1.19</w:t>
            </w:r>
          </w:p>
        </w:tc>
        <w:tc>
          <w:tcPr>
            <w:tcW w:w="1991" w:type="dxa"/>
            <w:tcMar>
              <w:top w:w="0" w:type="dxa"/>
              <w:left w:w="108" w:type="dxa"/>
              <w:bottom w:w="0" w:type="dxa"/>
              <w:right w:w="108" w:type="dxa"/>
            </w:tcMar>
            <w:vAlign w:val="center"/>
          </w:tcPr>
          <w:p w14:paraId="29D2DB8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1.4</w:t>
            </w:r>
          </w:p>
        </w:tc>
      </w:tr>
      <w:tr w:rsidR="006F4DEE" w:rsidRPr="008442F8" w14:paraId="099892A9" w14:textId="77777777" w:rsidTr="004114C0">
        <w:trPr>
          <w:jc w:val="center"/>
        </w:trPr>
        <w:tc>
          <w:tcPr>
            <w:tcW w:w="1412" w:type="dxa"/>
            <w:vMerge/>
          </w:tcPr>
          <w:p w14:paraId="4E104E93"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62A32CC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28F8A94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6683C9D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 – 1.09</w:t>
            </w:r>
          </w:p>
        </w:tc>
        <w:tc>
          <w:tcPr>
            <w:tcW w:w="1991" w:type="dxa"/>
            <w:tcMar>
              <w:top w:w="0" w:type="dxa"/>
              <w:left w:w="108" w:type="dxa"/>
              <w:bottom w:w="0" w:type="dxa"/>
              <w:right w:w="108" w:type="dxa"/>
            </w:tcMar>
            <w:vAlign w:val="center"/>
          </w:tcPr>
          <w:p w14:paraId="68E3E36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1.3</w:t>
            </w:r>
          </w:p>
        </w:tc>
      </w:tr>
      <w:tr w:rsidR="006F4DEE" w:rsidRPr="008442F8" w14:paraId="6DC02067" w14:textId="77777777" w:rsidTr="004114C0">
        <w:trPr>
          <w:jc w:val="center"/>
        </w:trPr>
        <w:tc>
          <w:tcPr>
            <w:tcW w:w="1412" w:type="dxa"/>
            <w:vMerge/>
          </w:tcPr>
          <w:p w14:paraId="3D3F0A80"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3682B7A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4FCD464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110D26B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0.9 – 0.99</w:t>
            </w:r>
          </w:p>
        </w:tc>
        <w:tc>
          <w:tcPr>
            <w:tcW w:w="1991" w:type="dxa"/>
            <w:tcMar>
              <w:top w:w="0" w:type="dxa"/>
              <w:left w:w="108" w:type="dxa"/>
              <w:bottom w:w="0" w:type="dxa"/>
              <w:right w:w="108" w:type="dxa"/>
            </w:tcMar>
            <w:vAlign w:val="center"/>
          </w:tcPr>
          <w:p w14:paraId="40934B6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1.2</w:t>
            </w:r>
          </w:p>
        </w:tc>
      </w:tr>
      <w:tr w:rsidR="006F4DEE" w:rsidRPr="008442F8" w14:paraId="5999B08E" w14:textId="77777777" w:rsidTr="004114C0">
        <w:trPr>
          <w:jc w:val="center"/>
        </w:trPr>
        <w:tc>
          <w:tcPr>
            <w:tcW w:w="1412" w:type="dxa"/>
            <w:vMerge/>
          </w:tcPr>
          <w:p w14:paraId="7EA810E4"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109CF63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709F3BE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27CAF50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0.8 – 0.89</w:t>
            </w:r>
          </w:p>
        </w:tc>
        <w:tc>
          <w:tcPr>
            <w:tcW w:w="1991" w:type="dxa"/>
            <w:tcMar>
              <w:top w:w="0" w:type="dxa"/>
              <w:left w:w="108" w:type="dxa"/>
              <w:bottom w:w="0" w:type="dxa"/>
              <w:right w:w="108" w:type="dxa"/>
            </w:tcMar>
            <w:vAlign w:val="center"/>
          </w:tcPr>
          <w:p w14:paraId="3026BFD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1.1</w:t>
            </w:r>
          </w:p>
        </w:tc>
      </w:tr>
      <w:tr w:rsidR="006F4DEE" w:rsidRPr="008442F8" w14:paraId="6133BF0B" w14:textId="77777777" w:rsidTr="004114C0">
        <w:trPr>
          <w:jc w:val="center"/>
        </w:trPr>
        <w:tc>
          <w:tcPr>
            <w:tcW w:w="1412" w:type="dxa"/>
            <w:vMerge/>
          </w:tcPr>
          <w:p w14:paraId="78172C8C"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2C14E57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38B370E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56FE242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0.7 – 0.79</w:t>
            </w:r>
          </w:p>
        </w:tc>
        <w:tc>
          <w:tcPr>
            <w:tcW w:w="1991" w:type="dxa"/>
            <w:tcMar>
              <w:top w:w="0" w:type="dxa"/>
              <w:left w:w="108" w:type="dxa"/>
              <w:bottom w:w="0" w:type="dxa"/>
              <w:right w:w="108" w:type="dxa"/>
            </w:tcMar>
            <w:vAlign w:val="center"/>
          </w:tcPr>
          <w:p w14:paraId="6EBCEF4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0.93</w:t>
            </w:r>
          </w:p>
        </w:tc>
      </w:tr>
      <w:tr w:rsidR="006F4DEE" w:rsidRPr="008442F8" w14:paraId="7D1E1BF4" w14:textId="77777777" w:rsidTr="004114C0">
        <w:trPr>
          <w:jc w:val="center"/>
        </w:trPr>
        <w:tc>
          <w:tcPr>
            <w:tcW w:w="1412" w:type="dxa"/>
            <w:vMerge/>
          </w:tcPr>
          <w:p w14:paraId="193503CE"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21DFC48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2082A4C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4EF8B2F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0.6 – 0.69</w:t>
            </w:r>
          </w:p>
        </w:tc>
        <w:tc>
          <w:tcPr>
            <w:tcW w:w="1991" w:type="dxa"/>
            <w:tcMar>
              <w:top w:w="0" w:type="dxa"/>
              <w:left w:w="108" w:type="dxa"/>
              <w:bottom w:w="0" w:type="dxa"/>
              <w:right w:w="108" w:type="dxa"/>
            </w:tcMar>
            <w:vAlign w:val="center"/>
          </w:tcPr>
          <w:p w14:paraId="35F7C3C5"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0.81</w:t>
            </w:r>
          </w:p>
        </w:tc>
      </w:tr>
      <w:tr w:rsidR="006F4DEE" w:rsidRPr="008442F8" w14:paraId="6306B965" w14:textId="77777777" w:rsidTr="004114C0">
        <w:trPr>
          <w:jc w:val="center"/>
        </w:trPr>
        <w:tc>
          <w:tcPr>
            <w:tcW w:w="1412" w:type="dxa"/>
            <w:vMerge/>
          </w:tcPr>
          <w:p w14:paraId="0723531C"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7138093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0DC5D3E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hideMark/>
          </w:tcPr>
          <w:p w14:paraId="7960023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0.5 – 0.59</w:t>
            </w:r>
          </w:p>
        </w:tc>
        <w:tc>
          <w:tcPr>
            <w:tcW w:w="1991" w:type="dxa"/>
            <w:tcMar>
              <w:top w:w="0" w:type="dxa"/>
              <w:left w:w="108" w:type="dxa"/>
              <w:bottom w:w="0" w:type="dxa"/>
              <w:right w:w="108" w:type="dxa"/>
            </w:tcMar>
            <w:vAlign w:val="center"/>
          </w:tcPr>
          <w:p w14:paraId="7342C18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0.68</w:t>
            </w:r>
          </w:p>
        </w:tc>
      </w:tr>
      <w:tr w:rsidR="006F4DEE" w:rsidRPr="008442F8" w14:paraId="6087D1DB" w14:textId="77777777" w:rsidTr="004114C0">
        <w:trPr>
          <w:jc w:val="center"/>
        </w:trPr>
        <w:tc>
          <w:tcPr>
            <w:tcW w:w="1412" w:type="dxa"/>
            <w:vMerge/>
            <w:tcBorders>
              <w:bottom w:val="single" w:sz="4" w:space="0" w:color="auto"/>
            </w:tcBorders>
          </w:tcPr>
          <w:p w14:paraId="14034CC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Borders>
              <w:bottom w:val="single" w:sz="4" w:space="0" w:color="auto"/>
            </w:tcBorders>
          </w:tcPr>
          <w:p w14:paraId="5DA6510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Borders>
              <w:bottom w:val="single" w:sz="4" w:space="0" w:color="auto"/>
            </w:tcBorders>
          </w:tcPr>
          <w:p w14:paraId="507E68D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Borders>
              <w:bottom w:val="single" w:sz="4" w:space="0" w:color="auto"/>
            </w:tcBorders>
            <w:tcMar>
              <w:top w:w="0" w:type="dxa"/>
              <w:left w:w="108" w:type="dxa"/>
              <w:bottom w:w="0" w:type="dxa"/>
              <w:right w:w="108" w:type="dxa"/>
            </w:tcMar>
            <w:vAlign w:val="bottom"/>
            <w:hideMark/>
          </w:tcPr>
          <w:p w14:paraId="1C897D1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0.4 – 0.49</w:t>
            </w:r>
          </w:p>
        </w:tc>
        <w:tc>
          <w:tcPr>
            <w:tcW w:w="1991" w:type="dxa"/>
            <w:tcBorders>
              <w:bottom w:val="single" w:sz="4" w:space="0" w:color="auto"/>
            </w:tcBorders>
            <w:tcMar>
              <w:top w:w="0" w:type="dxa"/>
              <w:left w:w="108" w:type="dxa"/>
              <w:bottom w:w="0" w:type="dxa"/>
              <w:right w:w="108" w:type="dxa"/>
            </w:tcMar>
            <w:vAlign w:val="center"/>
          </w:tcPr>
          <w:p w14:paraId="618FB10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0.56</w:t>
            </w:r>
          </w:p>
        </w:tc>
      </w:tr>
      <w:tr w:rsidR="006F4DEE" w:rsidRPr="008442F8" w14:paraId="0A36695E" w14:textId="77777777" w:rsidTr="004114C0">
        <w:trPr>
          <w:trHeight w:val="60"/>
          <w:jc w:val="center"/>
        </w:trPr>
        <w:tc>
          <w:tcPr>
            <w:tcW w:w="1412" w:type="dxa"/>
            <w:vMerge/>
            <w:vAlign w:val="center"/>
          </w:tcPr>
          <w:p w14:paraId="558A96C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7531" w:type="dxa"/>
            <w:gridSpan w:val="4"/>
            <w:shd w:val="clear" w:color="auto" w:fill="BFBFBF" w:themeFill="background1" w:themeFillShade="BF"/>
            <w:vAlign w:val="center"/>
          </w:tcPr>
          <w:p w14:paraId="40C61592" w14:textId="77777777" w:rsidR="006F4DEE" w:rsidRPr="005C2E0A" w:rsidRDefault="006F4DEE" w:rsidP="00F338DE">
            <w:pPr>
              <w:spacing w:before="60" w:after="60" w:line="240" w:lineRule="atLeast"/>
              <w:jc w:val="center"/>
              <w:rPr>
                <w:rFonts w:ascii="Arial" w:hAnsi="Arial" w:cs="Arial"/>
                <w:sz w:val="6"/>
                <w:szCs w:val="20"/>
              </w:rPr>
            </w:pPr>
          </w:p>
        </w:tc>
      </w:tr>
      <w:tr w:rsidR="006F4DEE" w:rsidRPr="008442F8" w14:paraId="6844ED05" w14:textId="77777777" w:rsidTr="004114C0">
        <w:trPr>
          <w:trHeight w:val="60"/>
          <w:jc w:val="center"/>
        </w:trPr>
        <w:tc>
          <w:tcPr>
            <w:tcW w:w="1412" w:type="dxa"/>
            <w:vMerge/>
            <w:vAlign w:val="center"/>
          </w:tcPr>
          <w:p w14:paraId="6475012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559" w:type="dxa"/>
            <w:vMerge w:val="restart"/>
            <w:vAlign w:val="center"/>
          </w:tcPr>
          <w:p w14:paraId="77B941D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48 hours</w:t>
            </w:r>
          </w:p>
        </w:tc>
        <w:tc>
          <w:tcPr>
            <w:tcW w:w="1990" w:type="dxa"/>
          </w:tcPr>
          <w:p w14:paraId="1920337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91" w:type="dxa"/>
            <w:tcMar>
              <w:top w:w="0" w:type="dxa"/>
              <w:left w:w="108" w:type="dxa"/>
              <w:bottom w:w="0" w:type="dxa"/>
              <w:right w:w="108" w:type="dxa"/>
            </w:tcMar>
          </w:tcPr>
          <w:p w14:paraId="036446D0" w14:textId="77777777" w:rsidR="006F4DEE" w:rsidRPr="008442F8" w:rsidRDefault="006F4DEE" w:rsidP="00F338DE">
            <w:pPr>
              <w:keepNext/>
              <w:keepLines/>
              <w:autoSpaceDE w:val="0"/>
              <w:autoSpaceDN w:val="0"/>
              <w:adjustRightInd w:val="0"/>
              <w:spacing w:before="60" w:after="60" w:line="240" w:lineRule="atLeast"/>
              <w:jc w:val="center"/>
              <w:rPr>
                <w:rFonts w:ascii="Arial" w:eastAsia="Calibri" w:hAnsi="Arial" w:cs="Arial"/>
                <w:b/>
                <w:sz w:val="20"/>
                <w:szCs w:val="20"/>
              </w:rPr>
            </w:pPr>
            <w:r w:rsidRPr="008442F8">
              <w:rPr>
                <w:rFonts w:ascii="Arial" w:hAnsi="Arial" w:cs="Arial"/>
                <w:sz w:val="20"/>
                <w:szCs w:val="20"/>
              </w:rPr>
              <w:t>1.5 – 1.59</w:t>
            </w:r>
          </w:p>
        </w:tc>
        <w:tc>
          <w:tcPr>
            <w:tcW w:w="1991" w:type="dxa"/>
            <w:tcMar>
              <w:top w:w="0" w:type="dxa"/>
              <w:left w:w="108" w:type="dxa"/>
              <w:bottom w:w="0" w:type="dxa"/>
              <w:right w:w="108" w:type="dxa"/>
            </w:tcMar>
            <w:vAlign w:val="center"/>
          </w:tcPr>
          <w:p w14:paraId="38FD4B77"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3.9</w:t>
            </w:r>
          </w:p>
        </w:tc>
      </w:tr>
      <w:tr w:rsidR="006F4DEE" w:rsidRPr="008442F8" w14:paraId="283465D8" w14:textId="77777777" w:rsidTr="004114C0">
        <w:trPr>
          <w:jc w:val="center"/>
        </w:trPr>
        <w:tc>
          <w:tcPr>
            <w:tcW w:w="1412" w:type="dxa"/>
            <w:vMerge/>
          </w:tcPr>
          <w:p w14:paraId="3745BC06"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094AF88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1C2D8F1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91" w:type="dxa"/>
            <w:tcMar>
              <w:top w:w="0" w:type="dxa"/>
              <w:left w:w="108" w:type="dxa"/>
              <w:bottom w:w="0" w:type="dxa"/>
              <w:right w:w="108" w:type="dxa"/>
            </w:tcMar>
            <w:vAlign w:val="bottom"/>
          </w:tcPr>
          <w:p w14:paraId="1AD8223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1.4 – 1.49</w:t>
            </w:r>
          </w:p>
        </w:tc>
        <w:tc>
          <w:tcPr>
            <w:tcW w:w="1991" w:type="dxa"/>
            <w:tcMar>
              <w:top w:w="0" w:type="dxa"/>
              <w:left w:w="108" w:type="dxa"/>
              <w:bottom w:w="0" w:type="dxa"/>
              <w:right w:w="108" w:type="dxa"/>
            </w:tcMar>
            <w:vAlign w:val="center"/>
          </w:tcPr>
          <w:p w14:paraId="70A5EAFA"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3.6</w:t>
            </w:r>
          </w:p>
        </w:tc>
      </w:tr>
      <w:tr w:rsidR="006F4DEE" w:rsidRPr="008442F8" w14:paraId="1DA4759B" w14:textId="77777777" w:rsidTr="004114C0">
        <w:trPr>
          <w:jc w:val="center"/>
        </w:trPr>
        <w:tc>
          <w:tcPr>
            <w:tcW w:w="1412" w:type="dxa"/>
            <w:vMerge/>
          </w:tcPr>
          <w:p w14:paraId="7D33CE0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4773FC7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47A87ED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91" w:type="dxa"/>
            <w:tcMar>
              <w:top w:w="0" w:type="dxa"/>
              <w:left w:w="108" w:type="dxa"/>
              <w:bottom w:w="0" w:type="dxa"/>
              <w:right w:w="108" w:type="dxa"/>
            </w:tcMar>
            <w:vAlign w:val="bottom"/>
          </w:tcPr>
          <w:p w14:paraId="2617381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1.3 – 1.39</w:t>
            </w:r>
          </w:p>
        </w:tc>
        <w:tc>
          <w:tcPr>
            <w:tcW w:w="1991" w:type="dxa"/>
            <w:tcMar>
              <w:top w:w="0" w:type="dxa"/>
              <w:left w:w="108" w:type="dxa"/>
              <w:bottom w:w="0" w:type="dxa"/>
              <w:right w:w="108" w:type="dxa"/>
            </w:tcMar>
            <w:vAlign w:val="center"/>
          </w:tcPr>
          <w:p w14:paraId="63CF2AA9"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3.4</w:t>
            </w:r>
          </w:p>
        </w:tc>
      </w:tr>
      <w:tr w:rsidR="006F4DEE" w:rsidRPr="008442F8" w14:paraId="2352723C" w14:textId="77777777" w:rsidTr="004114C0">
        <w:trPr>
          <w:jc w:val="center"/>
        </w:trPr>
        <w:tc>
          <w:tcPr>
            <w:tcW w:w="1412" w:type="dxa"/>
            <w:vMerge/>
          </w:tcPr>
          <w:p w14:paraId="4940777A"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493457B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7814E90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91" w:type="dxa"/>
            <w:tcMar>
              <w:top w:w="0" w:type="dxa"/>
              <w:left w:w="108" w:type="dxa"/>
              <w:bottom w:w="0" w:type="dxa"/>
              <w:right w:w="108" w:type="dxa"/>
            </w:tcMar>
            <w:vAlign w:val="bottom"/>
          </w:tcPr>
          <w:p w14:paraId="553BC50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1.2 – 1.29</w:t>
            </w:r>
          </w:p>
        </w:tc>
        <w:tc>
          <w:tcPr>
            <w:tcW w:w="1991" w:type="dxa"/>
            <w:tcMar>
              <w:top w:w="0" w:type="dxa"/>
              <w:left w:w="108" w:type="dxa"/>
              <w:bottom w:w="0" w:type="dxa"/>
              <w:right w:w="108" w:type="dxa"/>
            </w:tcMar>
            <w:vAlign w:val="center"/>
          </w:tcPr>
          <w:p w14:paraId="71033699"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3.1</w:t>
            </w:r>
          </w:p>
        </w:tc>
      </w:tr>
      <w:tr w:rsidR="006F4DEE" w:rsidRPr="008442F8" w14:paraId="1A0B9005" w14:textId="77777777" w:rsidTr="004114C0">
        <w:trPr>
          <w:jc w:val="center"/>
        </w:trPr>
        <w:tc>
          <w:tcPr>
            <w:tcW w:w="1412" w:type="dxa"/>
            <w:vMerge/>
          </w:tcPr>
          <w:p w14:paraId="2CF53BF1"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570965B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1E8FFD2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91" w:type="dxa"/>
            <w:tcMar>
              <w:top w:w="0" w:type="dxa"/>
              <w:left w:w="108" w:type="dxa"/>
              <w:bottom w:w="0" w:type="dxa"/>
              <w:right w:w="108" w:type="dxa"/>
            </w:tcMar>
            <w:vAlign w:val="bottom"/>
          </w:tcPr>
          <w:p w14:paraId="14F00C6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1.1 – 1.19</w:t>
            </w:r>
          </w:p>
        </w:tc>
        <w:tc>
          <w:tcPr>
            <w:tcW w:w="1991" w:type="dxa"/>
            <w:tcMar>
              <w:top w:w="0" w:type="dxa"/>
              <w:left w:w="108" w:type="dxa"/>
              <w:bottom w:w="0" w:type="dxa"/>
              <w:right w:w="108" w:type="dxa"/>
            </w:tcMar>
            <w:vAlign w:val="center"/>
          </w:tcPr>
          <w:p w14:paraId="581789BA"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2.9</w:t>
            </w:r>
          </w:p>
        </w:tc>
      </w:tr>
      <w:tr w:rsidR="006F4DEE" w:rsidRPr="008442F8" w14:paraId="6246D49D" w14:textId="77777777" w:rsidTr="004114C0">
        <w:trPr>
          <w:jc w:val="center"/>
        </w:trPr>
        <w:tc>
          <w:tcPr>
            <w:tcW w:w="1412" w:type="dxa"/>
            <w:vMerge/>
          </w:tcPr>
          <w:p w14:paraId="48A0D56D"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5D28869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76C15B4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72D8752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 – 1.09</w:t>
            </w:r>
          </w:p>
        </w:tc>
        <w:tc>
          <w:tcPr>
            <w:tcW w:w="1991" w:type="dxa"/>
            <w:tcMar>
              <w:top w:w="0" w:type="dxa"/>
              <w:left w:w="108" w:type="dxa"/>
              <w:bottom w:w="0" w:type="dxa"/>
              <w:right w:w="108" w:type="dxa"/>
            </w:tcMar>
            <w:vAlign w:val="center"/>
          </w:tcPr>
          <w:p w14:paraId="7512835F"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2.6</w:t>
            </w:r>
          </w:p>
        </w:tc>
      </w:tr>
      <w:tr w:rsidR="006F4DEE" w:rsidRPr="008442F8" w14:paraId="1E7B13C5" w14:textId="77777777" w:rsidTr="004114C0">
        <w:trPr>
          <w:jc w:val="center"/>
        </w:trPr>
        <w:tc>
          <w:tcPr>
            <w:tcW w:w="1412" w:type="dxa"/>
            <w:vMerge/>
          </w:tcPr>
          <w:p w14:paraId="525763AD"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7D97B91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40A5828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288C30C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0.9 – 0.99</w:t>
            </w:r>
          </w:p>
        </w:tc>
        <w:tc>
          <w:tcPr>
            <w:tcW w:w="1991" w:type="dxa"/>
            <w:tcMar>
              <w:top w:w="0" w:type="dxa"/>
              <w:left w:w="108" w:type="dxa"/>
              <w:bottom w:w="0" w:type="dxa"/>
              <w:right w:w="108" w:type="dxa"/>
            </w:tcMar>
            <w:vAlign w:val="center"/>
          </w:tcPr>
          <w:p w14:paraId="2539338B"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2.4</w:t>
            </w:r>
          </w:p>
        </w:tc>
      </w:tr>
      <w:tr w:rsidR="006F4DEE" w:rsidRPr="008442F8" w14:paraId="1DDB28A7" w14:textId="77777777" w:rsidTr="004114C0">
        <w:trPr>
          <w:jc w:val="center"/>
        </w:trPr>
        <w:tc>
          <w:tcPr>
            <w:tcW w:w="1412" w:type="dxa"/>
            <w:vMerge/>
          </w:tcPr>
          <w:p w14:paraId="72B22FD9"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38E29C6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68961B8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61AA6E7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0.8 – 0.89</w:t>
            </w:r>
          </w:p>
        </w:tc>
        <w:tc>
          <w:tcPr>
            <w:tcW w:w="1991" w:type="dxa"/>
            <w:tcMar>
              <w:top w:w="0" w:type="dxa"/>
              <w:left w:w="108" w:type="dxa"/>
              <w:bottom w:w="0" w:type="dxa"/>
              <w:right w:w="108" w:type="dxa"/>
            </w:tcMar>
            <w:vAlign w:val="center"/>
          </w:tcPr>
          <w:p w14:paraId="625CD16D"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2.1</w:t>
            </w:r>
          </w:p>
        </w:tc>
      </w:tr>
      <w:tr w:rsidR="006F4DEE" w:rsidRPr="008442F8" w14:paraId="01BA285D" w14:textId="77777777" w:rsidTr="004114C0">
        <w:trPr>
          <w:jc w:val="center"/>
        </w:trPr>
        <w:tc>
          <w:tcPr>
            <w:tcW w:w="1412" w:type="dxa"/>
            <w:vMerge/>
          </w:tcPr>
          <w:p w14:paraId="7BB35147"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2941FCF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63935AD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2710B74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0.7 – 0.79</w:t>
            </w:r>
          </w:p>
        </w:tc>
        <w:tc>
          <w:tcPr>
            <w:tcW w:w="1991" w:type="dxa"/>
            <w:tcMar>
              <w:top w:w="0" w:type="dxa"/>
              <w:left w:w="108" w:type="dxa"/>
              <w:bottom w:w="0" w:type="dxa"/>
              <w:right w:w="108" w:type="dxa"/>
            </w:tcMar>
            <w:vAlign w:val="center"/>
          </w:tcPr>
          <w:p w14:paraId="47542271"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1.9</w:t>
            </w:r>
          </w:p>
        </w:tc>
      </w:tr>
      <w:tr w:rsidR="006F4DEE" w:rsidRPr="008442F8" w14:paraId="713CAA09" w14:textId="77777777" w:rsidTr="004114C0">
        <w:trPr>
          <w:jc w:val="center"/>
        </w:trPr>
        <w:tc>
          <w:tcPr>
            <w:tcW w:w="1412" w:type="dxa"/>
            <w:vMerge/>
          </w:tcPr>
          <w:p w14:paraId="5DAB2D0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0AEC77E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2CC0FFD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0324691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0.6 – 0.69</w:t>
            </w:r>
          </w:p>
        </w:tc>
        <w:tc>
          <w:tcPr>
            <w:tcW w:w="1991" w:type="dxa"/>
            <w:tcMar>
              <w:top w:w="0" w:type="dxa"/>
              <w:left w:w="108" w:type="dxa"/>
              <w:bottom w:w="0" w:type="dxa"/>
              <w:right w:w="108" w:type="dxa"/>
            </w:tcMar>
            <w:vAlign w:val="center"/>
          </w:tcPr>
          <w:p w14:paraId="26DFC2B0"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1.6</w:t>
            </w:r>
          </w:p>
        </w:tc>
      </w:tr>
      <w:tr w:rsidR="006F4DEE" w:rsidRPr="008442F8" w14:paraId="5FEEC63F" w14:textId="77777777" w:rsidTr="004114C0">
        <w:trPr>
          <w:jc w:val="center"/>
        </w:trPr>
        <w:tc>
          <w:tcPr>
            <w:tcW w:w="1412" w:type="dxa"/>
            <w:vMerge/>
          </w:tcPr>
          <w:p w14:paraId="3F5412C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Pr>
          <w:p w14:paraId="176151B5"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Pr>
          <w:p w14:paraId="0B88586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Mar>
              <w:top w:w="0" w:type="dxa"/>
              <w:left w:w="108" w:type="dxa"/>
              <w:bottom w:w="0" w:type="dxa"/>
              <w:right w:w="108" w:type="dxa"/>
            </w:tcMar>
            <w:vAlign w:val="bottom"/>
          </w:tcPr>
          <w:p w14:paraId="08B55F5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0.5 – 0.59</w:t>
            </w:r>
          </w:p>
        </w:tc>
        <w:tc>
          <w:tcPr>
            <w:tcW w:w="1991" w:type="dxa"/>
            <w:tcMar>
              <w:top w:w="0" w:type="dxa"/>
              <w:left w:w="108" w:type="dxa"/>
              <w:bottom w:w="0" w:type="dxa"/>
              <w:right w:w="108" w:type="dxa"/>
            </w:tcMar>
            <w:vAlign w:val="center"/>
          </w:tcPr>
          <w:p w14:paraId="311724E2"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1.4</w:t>
            </w:r>
          </w:p>
        </w:tc>
      </w:tr>
      <w:tr w:rsidR="006F4DEE" w:rsidRPr="008442F8" w14:paraId="05E4B70C" w14:textId="77777777" w:rsidTr="004114C0">
        <w:trPr>
          <w:jc w:val="center"/>
        </w:trPr>
        <w:tc>
          <w:tcPr>
            <w:tcW w:w="1412" w:type="dxa"/>
            <w:vMerge/>
          </w:tcPr>
          <w:p w14:paraId="6638380D"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9" w:type="dxa"/>
            <w:vMerge/>
            <w:tcBorders>
              <w:bottom w:val="single" w:sz="4" w:space="0" w:color="auto"/>
            </w:tcBorders>
          </w:tcPr>
          <w:p w14:paraId="15CB2A6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90" w:type="dxa"/>
            <w:tcBorders>
              <w:bottom w:val="single" w:sz="4" w:space="0" w:color="auto"/>
            </w:tcBorders>
          </w:tcPr>
          <w:p w14:paraId="2E26AFE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91" w:type="dxa"/>
            <w:tcBorders>
              <w:bottom w:val="single" w:sz="4" w:space="0" w:color="auto"/>
            </w:tcBorders>
            <w:tcMar>
              <w:top w:w="0" w:type="dxa"/>
              <w:left w:w="108" w:type="dxa"/>
              <w:bottom w:w="0" w:type="dxa"/>
              <w:right w:w="108" w:type="dxa"/>
            </w:tcMar>
            <w:vAlign w:val="bottom"/>
          </w:tcPr>
          <w:p w14:paraId="1D36D56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0.4 – 0.49</w:t>
            </w:r>
          </w:p>
        </w:tc>
        <w:tc>
          <w:tcPr>
            <w:tcW w:w="1991" w:type="dxa"/>
            <w:tcBorders>
              <w:bottom w:val="single" w:sz="4" w:space="0" w:color="auto"/>
            </w:tcBorders>
            <w:tcMar>
              <w:top w:w="0" w:type="dxa"/>
              <w:left w:w="108" w:type="dxa"/>
              <w:bottom w:w="0" w:type="dxa"/>
              <w:right w:w="108" w:type="dxa"/>
            </w:tcMar>
            <w:vAlign w:val="center"/>
          </w:tcPr>
          <w:p w14:paraId="5BA5E23A"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1.1</w:t>
            </w:r>
          </w:p>
        </w:tc>
      </w:tr>
    </w:tbl>
    <w:p w14:paraId="64E140E8" w14:textId="1E60B429" w:rsidR="00B91960" w:rsidRPr="00A22D80" w:rsidRDefault="00B91960" w:rsidP="00B91960">
      <w:pPr>
        <w:jc w:val="right"/>
        <w:rPr>
          <w:rFonts w:ascii="Arial" w:hAnsi="Arial" w:cs="Arial"/>
          <w:strike/>
          <w:color w:val="000000" w:themeColor="text1"/>
          <w:sz w:val="20"/>
        </w:rPr>
      </w:pPr>
      <w:bookmarkStart w:id="18" w:name="_Hlk475974937"/>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1"/>
        <w:gridCol w:w="1558"/>
        <w:gridCol w:w="1989"/>
        <w:gridCol w:w="1982"/>
        <w:gridCol w:w="8"/>
        <w:gridCol w:w="1995"/>
      </w:tblGrid>
      <w:tr w:rsidR="006F4DEE" w:rsidRPr="008442F8" w14:paraId="1EE712FD" w14:textId="77777777" w:rsidTr="004114C0">
        <w:trPr>
          <w:jc w:val="center"/>
        </w:trPr>
        <w:tc>
          <w:tcPr>
            <w:tcW w:w="1411" w:type="dxa"/>
            <w:vAlign w:val="center"/>
          </w:tcPr>
          <w:bookmarkEnd w:id="18"/>
          <w:p w14:paraId="1981265C" w14:textId="77777777" w:rsidR="006F4DEE" w:rsidRPr="008442F8" w:rsidRDefault="006F4DEE" w:rsidP="00F338DE">
            <w:pPr>
              <w:keepNext/>
              <w:keepLines/>
              <w:spacing w:before="60" w:after="60" w:line="240" w:lineRule="atLeast"/>
              <w:jc w:val="center"/>
              <w:rPr>
                <w:rFonts w:ascii="Arial" w:hAnsi="Arial" w:cs="Arial"/>
                <w:b/>
                <w:sz w:val="20"/>
                <w:szCs w:val="20"/>
              </w:rPr>
            </w:pPr>
            <w:r w:rsidRPr="008442F8">
              <w:rPr>
                <w:rFonts w:ascii="Arial" w:hAnsi="Arial" w:cs="Arial"/>
                <w:b/>
                <w:sz w:val="20"/>
                <w:szCs w:val="20"/>
              </w:rPr>
              <w:lastRenderedPageBreak/>
              <w:t>Dose</w:t>
            </w:r>
          </w:p>
        </w:tc>
        <w:tc>
          <w:tcPr>
            <w:tcW w:w="1558" w:type="dxa"/>
            <w:vAlign w:val="center"/>
          </w:tcPr>
          <w:p w14:paraId="0AA94D39" w14:textId="77777777" w:rsidR="006F4DEE" w:rsidRPr="008442F8" w:rsidRDefault="006F4DEE" w:rsidP="00F338DE">
            <w:pPr>
              <w:keepNext/>
              <w:keepLines/>
              <w:spacing w:before="60" w:after="60" w:line="240" w:lineRule="atLeast"/>
              <w:jc w:val="center"/>
              <w:rPr>
                <w:rFonts w:ascii="Arial" w:hAnsi="Arial" w:cs="Arial"/>
                <w:b/>
                <w:sz w:val="20"/>
                <w:szCs w:val="20"/>
              </w:rPr>
            </w:pPr>
            <w:r w:rsidRPr="008442F8">
              <w:rPr>
                <w:rFonts w:ascii="Arial" w:hAnsi="Arial" w:cs="Arial"/>
                <w:b/>
                <w:bCs/>
                <w:sz w:val="20"/>
                <w:szCs w:val="20"/>
              </w:rPr>
              <w:t>Cassette Duration</w:t>
            </w:r>
          </w:p>
        </w:tc>
        <w:tc>
          <w:tcPr>
            <w:tcW w:w="1989" w:type="dxa"/>
          </w:tcPr>
          <w:p w14:paraId="1C044738" w14:textId="77777777" w:rsidR="006F4DEE" w:rsidRPr="008442F8" w:rsidRDefault="006F4DEE" w:rsidP="00F338DE">
            <w:pPr>
              <w:keepNext/>
              <w:keepLines/>
              <w:spacing w:before="60" w:after="60" w:line="240" w:lineRule="atLeast"/>
              <w:jc w:val="center"/>
              <w:rPr>
                <w:rFonts w:ascii="Arial" w:hAnsi="Arial" w:cs="Arial"/>
                <w:b/>
                <w:sz w:val="20"/>
                <w:szCs w:val="20"/>
              </w:rPr>
            </w:pPr>
            <w:r w:rsidRPr="008442F8">
              <w:rPr>
                <w:rFonts w:ascii="Arial" w:hAnsi="Arial" w:cs="Arial"/>
                <w:b/>
                <w:bCs/>
                <w:sz w:val="20"/>
                <w:szCs w:val="20"/>
              </w:rPr>
              <w:t xml:space="preserve">Expected Number of </w:t>
            </w:r>
            <w:proofErr w:type="spellStart"/>
            <w:r w:rsidRPr="008442F8">
              <w:rPr>
                <w:rFonts w:ascii="Arial" w:hAnsi="Arial" w:cs="Arial"/>
                <w:b/>
                <w:bCs/>
                <w:sz w:val="20"/>
                <w:szCs w:val="20"/>
              </w:rPr>
              <w:t>Blincyto</w:t>
            </w:r>
            <w:proofErr w:type="spellEnd"/>
            <w:r w:rsidRPr="008442F8">
              <w:rPr>
                <w:rFonts w:ascii="Arial" w:hAnsi="Arial" w:cs="Arial"/>
                <w:b/>
                <w:bCs/>
                <w:sz w:val="20"/>
                <w:szCs w:val="20"/>
              </w:rPr>
              <w:t xml:space="preserve"> vials required*</w:t>
            </w:r>
          </w:p>
        </w:tc>
        <w:tc>
          <w:tcPr>
            <w:tcW w:w="1990" w:type="dxa"/>
            <w:gridSpan w:val="2"/>
            <w:tcMar>
              <w:top w:w="0" w:type="dxa"/>
              <w:left w:w="108" w:type="dxa"/>
              <w:bottom w:w="0" w:type="dxa"/>
              <w:right w:w="108" w:type="dxa"/>
            </w:tcMar>
            <w:vAlign w:val="center"/>
            <w:hideMark/>
          </w:tcPr>
          <w:p w14:paraId="6B2CFC11" w14:textId="77777777" w:rsidR="006F4DEE" w:rsidRPr="008442F8" w:rsidRDefault="006F4DEE" w:rsidP="00F338DE">
            <w:pPr>
              <w:keepNext/>
              <w:keepLines/>
              <w:spacing w:before="60" w:after="60" w:line="240" w:lineRule="atLeast"/>
              <w:jc w:val="center"/>
              <w:rPr>
                <w:rFonts w:ascii="Arial" w:eastAsia="Calibri" w:hAnsi="Arial" w:cs="Arial"/>
                <w:b/>
                <w:sz w:val="20"/>
                <w:szCs w:val="20"/>
              </w:rPr>
            </w:pPr>
            <w:r w:rsidRPr="008442F8">
              <w:rPr>
                <w:rFonts w:ascii="Arial" w:hAnsi="Arial" w:cs="Arial"/>
                <w:b/>
                <w:sz w:val="20"/>
                <w:szCs w:val="20"/>
              </w:rPr>
              <w:t>BSA (m</w:t>
            </w:r>
            <w:r w:rsidRPr="008442F8">
              <w:rPr>
                <w:rFonts w:ascii="Arial" w:hAnsi="Arial" w:cs="Arial"/>
                <w:b/>
                <w:sz w:val="20"/>
                <w:szCs w:val="20"/>
                <w:vertAlign w:val="superscript"/>
              </w:rPr>
              <w:t>2</w:t>
            </w:r>
            <w:r w:rsidRPr="008442F8">
              <w:rPr>
                <w:rFonts w:ascii="Arial" w:hAnsi="Arial" w:cs="Arial"/>
                <w:b/>
                <w:sz w:val="20"/>
                <w:szCs w:val="20"/>
              </w:rPr>
              <w:t>)</w:t>
            </w:r>
          </w:p>
        </w:tc>
        <w:tc>
          <w:tcPr>
            <w:tcW w:w="1995" w:type="dxa"/>
            <w:tcMar>
              <w:top w:w="0" w:type="dxa"/>
              <w:left w:w="108" w:type="dxa"/>
              <w:bottom w:w="0" w:type="dxa"/>
              <w:right w:w="108" w:type="dxa"/>
            </w:tcMar>
            <w:vAlign w:val="center"/>
            <w:hideMark/>
          </w:tcPr>
          <w:p w14:paraId="37CF1861" w14:textId="5A6B99CE" w:rsidR="006F4DEE" w:rsidRPr="008442F8" w:rsidRDefault="006F4DEE" w:rsidP="00A22D80">
            <w:pPr>
              <w:keepNext/>
              <w:keepLines/>
              <w:spacing w:before="60" w:after="60" w:line="240" w:lineRule="atLeast"/>
              <w:jc w:val="center"/>
              <w:rPr>
                <w:rFonts w:ascii="Arial" w:eastAsia="Calibri" w:hAnsi="Arial" w:cs="Arial"/>
                <w:b/>
                <w:sz w:val="20"/>
                <w:szCs w:val="20"/>
              </w:rPr>
            </w:pPr>
            <w:r w:rsidRPr="008442F8">
              <w:rPr>
                <w:rFonts w:ascii="Arial" w:hAnsi="Arial" w:cs="Arial"/>
                <w:b/>
                <w:sz w:val="20"/>
                <w:szCs w:val="20"/>
              </w:rPr>
              <w:t>Volume of</w:t>
            </w:r>
            <w:r>
              <w:rPr>
                <w:rFonts w:ascii="Arial" w:hAnsi="Arial" w:cs="Arial"/>
                <w:b/>
                <w:sz w:val="20"/>
                <w:szCs w:val="20"/>
              </w:rPr>
              <w:t xml:space="preserve"> </w:t>
            </w:r>
            <w:r w:rsidRPr="008442F8">
              <w:rPr>
                <w:rFonts w:ascii="Arial" w:hAnsi="Arial" w:cs="Arial"/>
                <w:b/>
                <w:sz w:val="20"/>
                <w:szCs w:val="20"/>
              </w:rPr>
              <w:t xml:space="preserve">Reconstituted </w:t>
            </w:r>
            <w:proofErr w:type="spellStart"/>
            <w:r w:rsidR="00A22D80">
              <w:rPr>
                <w:rFonts w:ascii="Arial" w:hAnsi="Arial" w:cs="Arial"/>
                <w:b/>
                <w:sz w:val="20"/>
                <w:szCs w:val="20"/>
              </w:rPr>
              <w:t>Blincyto</w:t>
            </w:r>
            <w:proofErr w:type="spellEnd"/>
          </w:p>
        </w:tc>
      </w:tr>
      <w:tr w:rsidR="006F4DEE" w:rsidRPr="008442F8" w14:paraId="0B07DC85" w14:textId="77777777" w:rsidTr="004114C0">
        <w:trPr>
          <w:jc w:val="center"/>
        </w:trPr>
        <w:tc>
          <w:tcPr>
            <w:tcW w:w="1411" w:type="dxa"/>
            <w:vMerge w:val="restart"/>
            <w:vAlign w:val="center"/>
          </w:tcPr>
          <w:p w14:paraId="21D02DE8" w14:textId="12F2E308" w:rsidR="006F4DEE" w:rsidRPr="008442F8" w:rsidRDefault="006F4DEE" w:rsidP="004C2286">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bCs/>
                <w:sz w:val="20"/>
                <w:szCs w:val="20"/>
              </w:rPr>
              <w:t>15 </w:t>
            </w:r>
            <w:r w:rsidR="004C2286">
              <w:rPr>
                <w:rFonts w:ascii="Arial" w:hAnsi="Arial" w:cs="Arial"/>
                <w:bCs/>
                <w:sz w:val="20"/>
                <w:szCs w:val="20"/>
              </w:rPr>
              <w:t>mcg</w:t>
            </w:r>
            <w:r w:rsidRPr="008442F8">
              <w:rPr>
                <w:rFonts w:ascii="Arial" w:hAnsi="Arial" w:cs="Arial"/>
                <w:bCs/>
                <w:sz w:val="20"/>
                <w:szCs w:val="20"/>
              </w:rPr>
              <w:t>/m</w:t>
            </w:r>
            <w:r w:rsidRPr="008442F8">
              <w:rPr>
                <w:rFonts w:ascii="Arial" w:hAnsi="Arial" w:cs="Arial"/>
                <w:bCs/>
                <w:sz w:val="20"/>
                <w:szCs w:val="20"/>
                <w:vertAlign w:val="superscript"/>
              </w:rPr>
              <w:t>2</w:t>
            </w:r>
            <w:r w:rsidRPr="008442F8">
              <w:rPr>
                <w:rFonts w:ascii="Arial" w:hAnsi="Arial" w:cs="Arial"/>
                <w:bCs/>
                <w:sz w:val="20"/>
                <w:szCs w:val="20"/>
              </w:rPr>
              <w:t>/day</w:t>
            </w:r>
          </w:p>
        </w:tc>
        <w:tc>
          <w:tcPr>
            <w:tcW w:w="1558" w:type="dxa"/>
            <w:vMerge w:val="restart"/>
            <w:vAlign w:val="center"/>
          </w:tcPr>
          <w:p w14:paraId="4A7DE76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72 hours</w:t>
            </w:r>
          </w:p>
        </w:tc>
        <w:tc>
          <w:tcPr>
            <w:tcW w:w="1989" w:type="dxa"/>
          </w:tcPr>
          <w:p w14:paraId="5B228D1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tcPr>
          <w:p w14:paraId="578B9A2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1.5 – 1.59</w:t>
            </w:r>
          </w:p>
        </w:tc>
        <w:tc>
          <w:tcPr>
            <w:tcW w:w="2003" w:type="dxa"/>
            <w:gridSpan w:val="2"/>
            <w:tcMar>
              <w:top w:w="0" w:type="dxa"/>
              <w:left w:w="108" w:type="dxa"/>
              <w:bottom w:w="0" w:type="dxa"/>
              <w:right w:w="108" w:type="dxa"/>
            </w:tcMar>
            <w:vAlign w:val="center"/>
          </w:tcPr>
          <w:p w14:paraId="21A67CA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5.8</w:t>
            </w:r>
          </w:p>
        </w:tc>
      </w:tr>
      <w:tr w:rsidR="006F4DEE" w:rsidRPr="008442F8" w14:paraId="13B5E40C" w14:textId="77777777" w:rsidTr="004114C0">
        <w:trPr>
          <w:jc w:val="center"/>
        </w:trPr>
        <w:tc>
          <w:tcPr>
            <w:tcW w:w="1411" w:type="dxa"/>
            <w:vMerge/>
          </w:tcPr>
          <w:p w14:paraId="47A39E5A"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6AFEB9D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492C2A1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3E57D58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1.4 – 1.49</w:t>
            </w:r>
          </w:p>
        </w:tc>
        <w:tc>
          <w:tcPr>
            <w:tcW w:w="2003" w:type="dxa"/>
            <w:gridSpan w:val="2"/>
            <w:tcMar>
              <w:top w:w="0" w:type="dxa"/>
              <w:left w:w="108" w:type="dxa"/>
              <w:bottom w:w="0" w:type="dxa"/>
              <w:right w:w="108" w:type="dxa"/>
            </w:tcMar>
            <w:vAlign w:val="center"/>
          </w:tcPr>
          <w:p w14:paraId="4AA76AB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5.4</w:t>
            </w:r>
          </w:p>
        </w:tc>
      </w:tr>
      <w:tr w:rsidR="006F4DEE" w:rsidRPr="008442F8" w14:paraId="767DA50D" w14:textId="77777777" w:rsidTr="004114C0">
        <w:trPr>
          <w:jc w:val="center"/>
        </w:trPr>
        <w:tc>
          <w:tcPr>
            <w:tcW w:w="1411" w:type="dxa"/>
            <w:vMerge/>
          </w:tcPr>
          <w:p w14:paraId="43FA539C"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75666AC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751C203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530D1E5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1.3 – 1.39</w:t>
            </w:r>
          </w:p>
        </w:tc>
        <w:tc>
          <w:tcPr>
            <w:tcW w:w="2003" w:type="dxa"/>
            <w:gridSpan w:val="2"/>
            <w:tcMar>
              <w:top w:w="0" w:type="dxa"/>
              <w:left w:w="108" w:type="dxa"/>
              <w:bottom w:w="0" w:type="dxa"/>
              <w:right w:w="108" w:type="dxa"/>
            </w:tcMar>
            <w:vAlign w:val="center"/>
          </w:tcPr>
          <w:p w14:paraId="3951141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5</w:t>
            </w:r>
          </w:p>
        </w:tc>
      </w:tr>
      <w:tr w:rsidR="006F4DEE" w:rsidRPr="008442F8" w14:paraId="3C420F38" w14:textId="77777777" w:rsidTr="004114C0">
        <w:trPr>
          <w:jc w:val="center"/>
        </w:trPr>
        <w:tc>
          <w:tcPr>
            <w:tcW w:w="1411" w:type="dxa"/>
            <w:vMerge/>
          </w:tcPr>
          <w:p w14:paraId="4D31E1FA"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0DB7103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42F599A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63151BD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1.2 – 1.29</w:t>
            </w:r>
          </w:p>
        </w:tc>
        <w:tc>
          <w:tcPr>
            <w:tcW w:w="2003" w:type="dxa"/>
            <w:gridSpan w:val="2"/>
            <w:tcMar>
              <w:top w:w="0" w:type="dxa"/>
              <w:left w:w="108" w:type="dxa"/>
              <w:bottom w:w="0" w:type="dxa"/>
              <w:right w:w="108" w:type="dxa"/>
            </w:tcMar>
            <w:vAlign w:val="center"/>
          </w:tcPr>
          <w:p w14:paraId="3BDA2EC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4.7</w:t>
            </w:r>
          </w:p>
        </w:tc>
      </w:tr>
      <w:tr w:rsidR="006F4DEE" w:rsidRPr="008442F8" w14:paraId="5ED9225C" w14:textId="77777777" w:rsidTr="004114C0">
        <w:trPr>
          <w:jc w:val="center"/>
        </w:trPr>
        <w:tc>
          <w:tcPr>
            <w:tcW w:w="1411" w:type="dxa"/>
            <w:vMerge/>
          </w:tcPr>
          <w:p w14:paraId="4D4E994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5B5B330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54C06AA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74C878D5"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1.1 – 1.19</w:t>
            </w:r>
          </w:p>
        </w:tc>
        <w:tc>
          <w:tcPr>
            <w:tcW w:w="2003" w:type="dxa"/>
            <w:gridSpan w:val="2"/>
            <w:tcMar>
              <w:top w:w="0" w:type="dxa"/>
              <w:left w:w="108" w:type="dxa"/>
              <w:bottom w:w="0" w:type="dxa"/>
              <w:right w:w="108" w:type="dxa"/>
            </w:tcMar>
            <w:vAlign w:val="center"/>
          </w:tcPr>
          <w:p w14:paraId="49D0805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4.3</w:t>
            </w:r>
          </w:p>
        </w:tc>
      </w:tr>
      <w:tr w:rsidR="006F4DEE" w:rsidRPr="008442F8" w14:paraId="4C83E816" w14:textId="77777777" w:rsidTr="004114C0">
        <w:trPr>
          <w:jc w:val="center"/>
        </w:trPr>
        <w:tc>
          <w:tcPr>
            <w:tcW w:w="1411" w:type="dxa"/>
            <w:vMerge/>
          </w:tcPr>
          <w:p w14:paraId="4B081490"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1009BCC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609C817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6F1FF4F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 – 1.09</w:t>
            </w:r>
          </w:p>
        </w:tc>
        <w:tc>
          <w:tcPr>
            <w:tcW w:w="2003" w:type="dxa"/>
            <w:gridSpan w:val="2"/>
            <w:tcMar>
              <w:top w:w="0" w:type="dxa"/>
              <w:left w:w="108" w:type="dxa"/>
              <w:bottom w:w="0" w:type="dxa"/>
              <w:right w:w="108" w:type="dxa"/>
            </w:tcMar>
            <w:vAlign w:val="center"/>
          </w:tcPr>
          <w:p w14:paraId="3805AB2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3.9</w:t>
            </w:r>
          </w:p>
        </w:tc>
      </w:tr>
      <w:tr w:rsidR="006F4DEE" w:rsidRPr="008442F8" w14:paraId="04D1914C" w14:textId="77777777" w:rsidTr="004114C0">
        <w:trPr>
          <w:jc w:val="center"/>
        </w:trPr>
        <w:tc>
          <w:tcPr>
            <w:tcW w:w="1411" w:type="dxa"/>
            <w:vMerge/>
          </w:tcPr>
          <w:p w14:paraId="7B6B6390"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61D787C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24805F2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6BCFBCD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0.9 – 0.99</w:t>
            </w:r>
          </w:p>
        </w:tc>
        <w:tc>
          <w:tcPr>
            <w:tcW w:w="2003" w:type="dxa"/>
            <w:gridSpan w:val="2"/>
            <w:tcMar>
              <w:top w:w="0" w:type="dxa"/>
              <w:left w:w="108" w:type="dxa"/>
              <w:bottom w:w="0" w:type="dxa"/>
              <w:right w:w="108" w:type="dxa"/>
            </w:tcMar>
            <w:vAlign w:val="center"/>
          </w:tcPr>
          <w:p w14:paraId="1B8CD4E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3.5</w:t>
            </w:r>
          </w:p>
        </w:tc>
      </w:tr>
      <w:tr w:rsidR="006F4DEE" w:rsidRPr="008442F8" w14:paraId="440F4A81" w14:textId="77777777" w:rsidTr="004114C0">
        <w:trPr>
          <w:jc w:val="center"/>
        </w:trPr>
        <w:tc>
          <w:tcPr>
            <w:tcW w:w="1411" w:type="dxa"/>
            <w:vMerge/>
          </w:tcPr>
          <w:p w14:paraId="76BFB41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336E0D3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1FFDA58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60C364B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0.8 – 0.89</w:t>
            </w:r>
          </w:p>
        </w:tc>
        <w:tc>
          <w:tcPr>
            <w:tcW w:w="2003" w:type="dxa"/>
            <w:gridSpan w:val="2"/>
            <w:tcMar>
              <w:top w:w="0" w:type="dxa"/>
              <w:left w:w="108" w:type="dxa"/>
              <w:bottom w:w="0" w:type="dxa"/>
              <w:right w:w="108" w:type="dxa"/>
            </w:tcMar>
            <w:vAlign w:val="center"/>
          </w:tcPr>
          <w:p w14:paraId="42FB76F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3.2</w:t>
            </w:r>
          </w:p>
        </w:tc>
      </w:tr>
      <w:tr w:rsidR="006F4DEE" w:rsidRPr="008442F8" w14:paraId="6352102B" w14:textId="77777777" w:rsidTr="004114C0">
        <w:trPr>
          <w:jc w:val="center"/>
        </w:trPr>
        <w:tc>
          <w:tcPr>
            <w:tcW w:w="1411" w:type="dxa"/>
            <w:vMerge/>
          </w:tcPr>
          <w:p w14:paraId="19AA04DE"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2A896F7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75873379"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Mar>
              <w:top w:w="0" w:type="dxa"/>
              <w:left w:w="108" w:type="dxa"/>
              <w:bottom w:w="0" w:type="dxa"/>
              <w:right w:w="108" w:type="dxa"/>
            </w:tcMar>
            <w:vAlign w:val="bottom"/>
          </w:tcPr>
          <w:p w14:paraId="5ECEAF1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0.7 – 0.79</w:t>
            </w:r>
          </w:p>
        </w:tc>
        <w:tc>
          <w:tcPr>
            <w:tcW w:w="2003" w:type="dxa"/>
            <w:gridSpan w:val="2"/>
            <w:tcMar>
              <w:top w:w="0" w:type="dxa"/>
              <w:left w:w="108" w:type="dxa"/>
              <w:bottom w:w="0" w:type="dxa"/>
              <w:right w:w="108" w:type="dxa"/>
            </w:tcMar>
            <w:vAlign w:val="center"/>
          </w:tcPr>
          <w:p w14:paraId="3A1F718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2.8</w:t>
            </w:r>
          </w:p>
        </w:tc>
      </w:tr>
      <w:tr w:rsidR="006F4DEE" w:rsidRPr="008442F8" w14:paraId="4DC90329" w14:textId="77777777" w:rsidTr="004114C0">
        <w:trPr>
          <w:jc w:val="center"/>
        </w:trPr>
        <w:tc>
          <w:tcPr>
            <w:tcW w:w="1411" w:type="dxa"/>
            <w:vMerge/>
          </w:tcPr>
          <w:p w14:paraId="5E432533"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50F6FEB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2E97004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Mar>
              <w:top w:w="0" w:type="dxa"/>
              <w:left w:w="108" w:type="dxa"/>
              <w:bottom w:w="0" w:type="dxa"/>
              <w:right w:w="108" w:type="dxa"/>
            </w:tcMar>
            <w:vAlign w:val="bottom"/>
          </w:tcPr>
          <w:p w14:paraId="71F3AF4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0.6 – 0.69</w:t>
            </w:r>
          </w:p>
        </w:tc>
        <w:tc>
          <w:tcPr>
            <w:tcW w:w="2003" w:type="dxa"/>
            <w:gridSpan w:val="2"/>
            <w:tcMar>
              <w:top w:w="0" w:type="dxa"/>
              <w:left w:w="108" w:type="dxa"/>
              <w:bottom w:w="0" w:type="dxa"/>
              <w:right w:w="108" w:type="dxa"/>
            </w:tcMar>
            <w:vAlign w:val="center"/>
          </w:tcPr>
          <w:p w14:paraId="2C97920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2.4</w:t>
            </w:r>
          </w:p>
        </w:tc>
      </w:tr>
      <w:tr w:rsidR="006F4DEE" w:rsidRPr="008442F8" w14:paraId="04B18C97" w14:textId="77777777" w:rsidTr="004114C0">
        <w:trPr>
          <w:jc w:val="center"/>
        </w:trPr>
        <w:tc>
          <w:tcPr>
            <w:tcW w:w="1411" w:type="dxa"/>
            <w:vMerge/>
          </w:tcPr>
          <w:p w14:paraId="338B0AB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782711F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0DE99B8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Mar>
              <w:top w:w="0" w:type="dxa"/>
              <w:left w:w="108" w:type="dxa"/>
              <w:bottom w:w="0" w:type="dxa"/>
              <w:right w:w="108" w:type="dxa"/>
            </w:tcMar>
            <w:vAlign w:val="bottom"/>
          </w:tcPr>
          <w:p w14:paraId="56017A9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0.5 – 0.59</w:t>
            </w:r>
          </w:p>
        </w:tc>
        <w:tc>
          <w:tcPr>
            <w:tcW w:w="2003" w:type="dxa"/>
            <w:gridSpan w:val="2"/>
            <w:tcMar>
              <w:top w:w="0" w:type="dxa"/>
              <w:left w:w="108" w:type="dxa"/>
              <w:bottom w:w="0" w:type="dxa"/>
              <w:right w:w="108" w:type="dxa"/>
            </w:tcMar>
            <w:vAlign w:val="center"/>
          </w:tcPr>
          <w:p w14:paraId="11C9C5AF"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r>
      <w:tr w:rsidR="006F4DEE" w:rsidRPr="008442F8" w14:paraId="529A5943" w14:textId="77777777" w:rsidTr="004114C0">
        <w:trPr>
          <w:jc w:val="center"/>
        </w:trPr>
        <w:tc>
          <w:tcPr>
            <w:tcW w:w="1411" w:type="dxa"/>
            <w:vMerge/>
            <w:tcBorders>
              <w:bottom w:val="single" w:sz="4" w:space="0" w:color="auto"/>
            </w:tcBorders>
          </w:tcPr>
          <w:p w14:paraId="2A6B314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Borders>
              <w:bottom w:val="single" w:sz="4" w:space="0" w:color="auto"/>
            </w:tcBorders>
          </w:tcPr>
          <w:p w14:paraId="6D4F5CD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Borders>
              <w:bottom w:val="single" w:sz="4" w:space="0" w:color="auto"/>
            </w:tcBorders>
          </w:tcPr>
          <w:p w14:paraId="18AAA13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Borders>
              <w:bottom w:val="single" w:sz="4" w:space="0" w:color="auto"/>
            </w:tcBorders>
            <w:tcMar>
              <w:top w:w="0" w:type="dxa"/>
              <w:left w:w="108" w:type="dxa"/>
              <w:bottom w:w="0" w:type="dxa"/>
              <w:right w:w="108" w:type="dxa"/>
            </w:tcMar>
            <w:vAlign w:val="bottom"/>
          </w:tcPr>
          <w:p w14:paraId="64F6A80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0.4 – 0.49</w:t>
            </w:r>
          </w:p>
        </w:tc>
        <w:tc>
          <w:tcPr>
            <w:tcW w:w="2003" w:type="dxa"/>
            <w:gridSpan w:val="2"/>
            <w:tcBorders>
              <w:bottom w:val="single" w:sz="4" w:space="0" w:color="auto"/>
            </w:tcBorders>
            <w:tcMar>
              <w:top w:w="0" w:type="dxa"/>
              <w:left w:w="108" w:type="dxa"/>
              <w:bottom w:w="0" w:type="dxa"/>
              <w:right w:w="108" w:type="dxa"/>
            </w:tcMar>
            <w:vAlign w:val="center"/>
          </w:tcPr>
          <w:p w14:paraId="6599A6A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1.7</w:t>
            </w:r>
          </w:p>
        </w:tc>
      </w:tr>
      <w:tr w:rsidR="006F4DEE" w:rsidRPr="008442F8" w14:paraId="724D1310" w14:textId="77777777" w:rsidTr="004114C0">
        <w:trPr>
          <w:jc w:val="center"/>
        </w:trPr>
        <w:tc>
          <w:tcPr>
            <w:tcW w:w="1411" w:type="dxa"/>
            <w:vMerge/>
            <w:shd w:val="clear" w:color="auto" w:fill="BFBFBF" w:themeFill="background1" w:themeFillShade="BF"/>
          </w:tcPr>
          <w:p w14:paraId="065F32F7"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7532" w:type="dxa"/>
            <w:gridSpan w:val="5"/>
            <w:shd w:val="clear" w:color="auto" w:fill="BFBFBF" w:themeFill="background1" w:themeFillShade="BF"/>
            <w:vAlign w:val="center"/>
          </w:tcPr>
          <w:p w14:paraId="0D32D61F" w14:textId="77777777" w:rsidR="006F4DEE" w:rsidRPr="008442F8" w:rsidRDefault="006F4DEE" w:rsidP="00F338DE">
            <w:pPr>
              <w:spacing w:before="60" w:after="60" w:line="240" w:lineRule="atLeast"/>
              <w:jc w:val="center"/>
              <w:rPr>
                <w:rFonts w:ascii="Arial" w:hAnsi="Arial" w:cs="Arial"/>
                <w:sz w:val="20"/>
                <w:szCs w:val="20"/>
              </w:rPr>
            </w:pPr>
          </w:p>
        </w:tc>
      </w:tr>
      <w:tr w:rsidR="006F4DEE" w:rsidRPr="008442F8" w14:paraId="5BACE080" w14:textId="77777777" w:rsidTr="004114C0">
        <w:trPr>
          <w:jc w:val="center"/>
        </w:trPr>
        <w:tc>
          <w:tcPr>
            <w:tcW w:w="1411" w:type="dxa"/>
            <w:vMerge/>
          </w:tcPr>
          <w:p w14:paraId="11E148AC"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val="restart"/>
            <w:vAlign w:val="center"/>
          </w:tcPr>
          <w:p w14:paraId="0AADABB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96 hours</w:t>
            </w:r>
          </w:p>
        </w:tc>
        <w:tc>
          <w:tcPr>
            <w:tcW w:w="1989" w:type="dxa"/>
          </w:tcPr>
          <w:p w14:paraId="43A0DB3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tcPr>
          <w:p w14:paraId="0D071AD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1.5 – 1.59</w:t>
            </w:r>
          </w:p>
        </w:tc>
        <w:tc>
          <w:tcPr>
            <w:tcW w:w="2003" w:type="dxa"/>
            <w:gridSpan w:val="2"/>
            <w:tcMar>
              <w:top w:w="0" w:type="dxa"/>
              <w:left w:w="108" w:type="dxa"/>
              <w:bottom w:w="0" w:type="dxa"/>
              <w:right w:w="108" w:type="dxa"/>
            </w:tcMar>
            <w:vAlign w:val="center"/>
          </w:tcPr>
          <w:p w14:paraId="649C4FC3"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7.7</w:t>
            </w:r>
          </w:p>
        </w:tc>
      </w:tr>
      <w:tr w:rsidR="006F4DEE" w:rsidRPr="008442F8" w14:paraId="57474150" w14:textId="77777777" w:rsidTr="004114C0">
        <w:trPr>
          <w:jc w:val="center"/>
        </w:trPr>
        <w:tc>
          <w:tcPr>
            <w:tcW w:w="1411" w:type="dxa"/>
            <w:vMerge/>
          </w:tcPr>
          <w:p w14:paraId="122D8796"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77B74D58"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4E1F309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vAlign w:val="bottom"/>
          </w:tcPr>
          <w:p w14:paraId="1D97E20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1.4 – 1.49</w:t>
            </w:r>
          </w:p>
        </w:tc>
        <w:tc>
          <w:tcPr>
            <w:tcW w:w="2003" w:type="dxa"/>
            <w:gridSpan w:val="2"/>
            <w:tcMar>
              <w:top w:w="0" w:type="dxa"/>
              <w:left w:w="108" w:type="dxa"/>
              <w:bottom w:w="0" w:type="dxa"/>
              <w:right w:w="108" w:type="dxa"/>
            </w:tcMar>
            <w:vAlign w:val="center"/>
          </w:tcPr>
          <w:p w14:paraId="66C60F56"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7.2</w:t>
            </w:r>
          </w:p>
        </w:tc>
      </w:tr>
      <w:tr w:rsidR="006F4DEE" w:rsidRPr="008442F8" w14:paraId="54656DD2" w14:textId="77777777" w:rsidTr="004114C0">
        <w:trPr>
          <w:jc w:val="center"/>
        </w:trPr>
        <w:tc>
          <w:tcPr>
            <w:tcW w:w="1411" w:type="dxa"/>
            <w:vMerge/>
          </w:tcPr>
          <w:p w14:paraId="63A1898E"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4726F13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3C00A2A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vAlign w:val="bottom"/>
          </w:tcPr>
          <w:p w14:paraId="7F6C81B5"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1.3 – 1.39</w:t>
            </w:r>
          </w:p>
        </w:tc>
        <w:tc>
          <w:tcPr>
            <w:tcW w:w="2003" w:type="dxa"/>
            <w:gridSpan w:val="2"/>
            <w:tcMar>
              <w:top w:w="0" w:type="dxa"/>
              <w:left w:w="108" w:type="dxa"/>
              <w:bottom w:w="0" w:type="dxa"/>
              <w:right w:w="108" w:type="dxa"/>
            </w:tcMar>
            <w:vAlign w:val="center"/>
          </w:tcPr>
          <w:p w14:paraId="00B900EE"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6.7</w:t>
            </w:r>
          </w:p>
        </w:tc>
      </w:tr>
      <w:tr w:rsidR="006F4DEE" w:rsidRPr="008442F8" w14:paraId="370C0CF6" w14:textId="77777777" w:rsidTr="004114C0">
        <w:trPr>
          <w:jc w:val="center"/>
        </w:trPr>
        <w:tc>
          <w:tcPr>
            <w:tcW w:w="1411" w:type="dxa"/>
            <w:vMerge/>
          </w:tcPr>
          <w:p w14:paraId="5232F671"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08253A9A"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1745C87D"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vAlign w:val="bottom"/>
          </w:tcPr>
          <w:p w14:paraId="6B29332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1.2 – 1.29</w:t>
            </w:r>
          </w:p>
        </w:tc>
        <w:tc>
          <w:tcPr>
            <w:tcW w:w="2003" w:type="dxa"/>
            <w:gridSpan w:val="2"/>
            <w:tcMar>
              <w:top w:w="0" w:type="dxa"/>
              <w:left w:w="108" w:type="dxa"/>
              <w:bottom w:w="0" w:type="dxa"/>
              <w:right w:w="108" w:type="dxa"/>
            </w:tcMar>
            <w:vAlign w:val="center"/>
          </w:tcPr>
          <w:p w14:paraId="269B8362"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6.2</w:t>
            </w:r>
          </w:p>
        </w:tc>
      </w:tr>
      <w:tr w:rsidR="006F4DEE" w:rsidRPr="008442F8" w14:paraId="4BFFDB1F" w14:textId="77777777" w:rsidTr="004114C0">
        <w:trPr>
          <w:jc w:val="center"/>
        </w:trPr>
        <w:tc>
          <w:tcPr>
            <w:tcW w:w="1411" w:type="dxa"/>
            <w:vMerge/>
          </w:tcPr>
          <w:p w14:paraId="645A0258"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6C18E70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1263B117"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3</w:t>
            </w:r>
          </w:p>
        </w:tc>
        <w:tc>
          <w:tcPr>
            <w:tcW w:w="1982" w:type="dxa"/>
            <w:tcMar>
              <w:top w:w="0" w:type="dxa"/>
              <w:left w:w="108" w:type="dxa"/>
              <w:bottom w:w="0" w:type="dxa"/>
              <w:right w:w="108" w:type="dxa"/>
            </w:tcMar>
            <w:vAlign w:val="bottom"/>
          </w:tcPr>
          <w:p w14:paraId="158D8604"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1.1 – 1.19</w:t>
            </w:r>
          </w:p>
        </w:tc>
        <w:tc>
          <w:tcPr>
            <w:tcW w:w="2003" w:type="dxa"/>
            <w:gridSpan w:val="2"/>
            <w:tcMar>
              <w:top w:w="0" w:type="dxa"/>
              <w:left w:w="108" w:type="dxa"/>
              <w:bottom w:w="0" w:type="dxa"/>
              <w:right w:w="108" w:type="dxa"/>
            </w:tcMar>
            <w:vAlign w:val="center"/>
          </w:tcPr>
          <w:p w14:paraId="715B05F1"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5.7</w:t>
            </w:r>
          </w:p>
        </w:tc>
      </w:tr>
      <w:tr w:rsidR="006F4DEE" w:rsidRPr="008442F8" w14:paraId="1F832D6D" w14:textId="77777777" w:rsidTr="004114C0">
        <w:trPr>
          <w:jc w:val="center"/>
        </w:trPr>
        <w:tc>
          <w:tcPr>
            <w:tcW w:w="1411" w:type="dxa"/>
            <w:vMerge/>
          </w:tcPr>
          <w:p w14:paraId="318615B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7FFCFFE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27F3022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30A5C6DE"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 – 1.09</w:t>
            </w:r>
          </w:p>
        </w:tc>
        <w:tc>
          <w:tcPr>
            <w:tcW w:w="2003" w:type="dxa"/>
            <w:gridSpan w:val="2"/>
            <w:tcMar>
              <w:top w:w="0" w:type="dxa"/>
              <w:left w:w="108" w:type="dxa"/>
              <w:bottom w:w="0" w:type="dxa"/>
              <w:right w:w="108" w:type="dxa"/>
            </w:tcMar>
            <w:vAlign w:val="center"/>
          </w:tcPr>
          <w:p w14:paraId="62CAF76E"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5.2</w:t>
            </w:r>
          </w:p>
        </w:tc>
      </w:tr>
      <w:tr w:rsidR="006F4DEE" w:rsidRPr="008442F8" w14:paraId="594ACB0C" w14:textId="77777777" w:rsidTr="004114C0">
        <w:trPr>
          <w:jc w:val="center"/>
        </w:trPr>
        <w:tc>
          <w:tcPr>
            <w:tcW w:w="1411" w:type="dxa"/>
            <w:vMerge/>
          </w:tcPr>
          <w:p w14:paraId="067268BF"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6E29191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39B3651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3238E02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0.9 – 0.99</w:t>
            </w:r>
          </w:p>
        </w:tc>
        <w:tc>
          <w:tcPr>
            <w:tcW w:w="2003" w:type="dxa"/>
            <w:gridSpan w:val="2"/>
            <w:tcMar>
              <w:top w:w="0" w:type="dxa"/>
              <w:left w:w="108" w:type="dxa"/>
              <w:bottom w:w="0" w:type="dxa"/>
              <w:right w:w="108" w:type="dxa"/>
            </w:tcMar>
            <w:vAlign w:val="center"/>
          </w:tcPr>
          <w:p w14:paraId="4AFCA4CB"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4.7</w:t>
            </w:r>
          </w:p>
        </w:tc>
      </w:tr>
      <w:tr w:rsidR="006F4DEE" w:rsidRPr="008442F8" w14:paraId="022369CE" w14:textId="77777777" w:rsidTr="004114C0">
        <w:trPr>
          <w:jc w:val="center"/>
        </w:trPr>
        <w:tc>
          <w:tcPr>
            <w:tcW w:w="1411" w:type="dxa"/>
            <w:vMerge/>
          </w:tcPr>
          <w:p w14:paraId="255C7A41"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67CAE2D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6D6DE431"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2BD8169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0.8 – 0.89</w:t>
            </w:r>
          </w:p>
        </w:tc>
        <w:tc>
          <w:tcPr>
            <w:tcW w:w="2003" w:type="dxa"/>
            <w:gridSpan w:val="2"/>
            <w:tcMar>
              <w:top w:w="0" w:type="dxa"/>
              <w:left w:w="108" w:type="dxa"/>
              <w:bottom w:w="0" w:type="dxa"/>
              <w:right w:w="108" w:type="dxa"/>
            </w:tcMar>
            <w:vAlign w:val="center"/>
          </w:tcPr>
          <w:p w14:paraId="1BE6D91A"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4.2</w:t>
            </w:r>
          </w:p>
        </w:tc>
      </w:tr>
      <w:tr w:rsidR="006F4DEE" w:rsidRPr="008442F8" w14:paraId="5943810A" w14:textId="77777777" w:rsidTr="004114C0">
        <w:trPr>
          <w:jc w:val="center"/>
        </w:trPr>
        <w:tc>
          <w:tcPr>
            <w:tcW w:w="1411" w:type="dxa"/>
            <w:vMerge/>
          </w:tcPr>
          <w:p w14:paraId="239EAF85"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19C0573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02DD9D1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0ADF3360"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0.7 – 0.79</w:t>
            </w:r>
          </w:p>
        </w:tc>
        <w:tc>
          <w:tcPr>
            <w:tcW w:w="2003" w:type="dxa"/>
            <w:gridSpan w:val="2"/>
            <w:tcMar>
              <w:top w:w="0" w:type="dxa"/>
              <w:left w:w="108" w:type="dxa"/>
              <w:bottom w:w="0" w:type="dxa"/>
              <w:right w:w="108" w:type="dxa"/>
            </w:tcMar>
            <w:vAlign w:val="center"/>
          </w:tcPr>
          <w:p w14:paraId="2FC2A512"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3.7</w:t>
            </w:r>
          </w:p>
        </w:tc>
      </w:tr>
      <w:tr w:rsidR="006F4DEE" w:rsidRPr="008442F8" w14:paraId="0E00A2F3" w14:textId="77777777" w:rsidTr="004114C0">
        <w:trPr>
          <w:jc w:val="center"/>
        </w:trPr>
        <w:tc>
          <w:tcPr>
            <w:tcW w:w="1411" w:type="dxa"/>
            <w:vMerge/>
          </w:tcPr>
          <w:p w14:paraId="0DBA419A"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3D736E63"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105EA3B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2</w:t>
            </w:r>
          </w:p>
        </w:tc>
        <w:tc>
          <w:tcPr>
            <w:tcW w:w="1982" w:type="dxa"/>
            <w:tcMar>
              <w:top w:w="0" w:type="dxa"/>
              <w:left w:w="108" w:type="dxa"/>
              <w:bottom w:w="0" w:type="dxa"/>
              <w:right w:w="108" w:type="dxa"/>
            </w:tcMar>
            <w:vAlign w:val="bottom"/>
          </w:tcPr>
          <w:p w14:paraId="19BB2522"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0.6 – 0.69</w:t>
            </w:r>
          </w:p>
        </w:tc>
        <w:tc>
          <w:tcPr>
            <w:tcW w:w="2003" w:type="dxa"/>
            <w:gridSpan w:val="2"/>
            <w:tcMar>
              <w:top w:w="0" w:type="dxa"/>
              <w:left w:w="108" w:type="dxa"/>
              <w:bottom w:w="0" w:type="dxa"/>
              <w:right w:w="108" w:type="dxa"/>
            </w:tcMar>
            <w:vAlign w:val="center"/>
          </w:tcPr>
          <w:p w14:paraId="3B8C3CAE"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3.2</w:t>
            </w:r>
          </w:p>
        </w:tc>
      </w:tr>
      <w:tr w:rsidR="006F4DEE" w:rsidRPr="008442F8" w14:paraId="4B174874" w14:textId="77777777" w:rsidTr="004114C0">
        <w:trPr>
          <w:jc w:val="center"/>
        </w:trPr>
        <w:tc>
          <w:tcPr>
            <w:tcW w:w="1411" w:type="dxa"/>
            <w:vMerge/>
          </w:tcPr>
          <w:p w14:paraId="4977FF8C"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1B936B5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0189950B"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Mar>
              <w:top w:w="0" w:type="dxa"/>
              <w:left w:w="108" w:type="dxa"/>
              <w:bottom w:w="0" w:type="dxa"/>
              <w:right w:w="108" w:type="dxa"/>
            </w:tcMar>
            <w:vAlign w:val="bottom"/>
          </w:tcPr>
          <w:p w14:paraId="16276F76"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0.5 – 0.59</w:t>
            </w:r>
          </w:p>
        </w:tc>
        <w:tc>
          <w:tcPr>
            <w:tcW w:w="2003" w:type="dxa"/>
            <w:gridSpan w:val="2"/>
            <w:tcMar>
              <w:top w:w="0" w:type="dxa"/>
              <w:left w:w="108" w:type="dxa"/>
              <w:bottom w:w="0" w:type="dxa"/>
              <w:right w:w="108" w:type="dxa"/>
            </w:tcMar>
            <w:vAlign w:val="center"/>
          </w:tcPr>
          <w:p w14:paraId="01EBB8A5"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2.7</w:t>
            </w:r>
          </w:p>
        </w:tc>
      </w:tr>
      <w:tr w:rsidR="006F4DEE" w:rsidRPr="008442F8" w14:paraId="26710E30" w14:textId="77777777" w:rsidTr="004114C0">
        <w:trPr>
          <w:jc w:val="center"/>
        </w:trPr>
        <w:tc>
          <w:tcPr>
            <w:tcW w:w="1411" w:type="dxa"/>
            <w:vMerge/>
          </w:tcPr>
          <w:p w14:paraId="5743564E" w14:textId="77777777" w:rsidR="006F4DEE" w:rsidRPr="008442F8" w:rsidRDefault="006F4DEE" w:rsidP="00F338DE">
            <w:pPr>
              <w:keepNext/>
              <w:keepLines/>
              <w:autoSpaceDE w:val="0"/>
              <w:autoSpaceDN w:val="0"/>
              <w:adjustRightInd w:val="0"/>
              <w:spacing w:before="60" w:after="60" w:line="240" w:lineRule="atLeast"/>
              <w:ind w:left="1208"/>
              <w:jc w:val="center"/>
              <w:rPr>
                <w:rFonts w:ascii="Arial" w:hAnsi="Arial" w:cs="Arial"/>
                <w:sz w:val="20"/>
                <w:szCs w:val="20"/>
              </w:rPr>
            </w:pPr>
          </w:p>
        </w:tc>
        <w:tc>
          <w:tcPr>
            <w:tcW w:w="1558" w:type="dxa"/>
            <w:vMerge/>
          </w:tcPr>
          <w:p w14:paraId="4D52E46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p>
        </w:tc>
        <w:tc>
          <w:tcPr>
            <w:tcW w:w="1989" w:type="dxa"/>
          </w:tcPr>
          <w:p w14:paraId="0011E745"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1</w:t>
            </w:r>
          </w:p>
        </w:tc>
        <w:tc>
          <w:tcPr>
            <w:tcW w:w="1982" w:type="dxa"/>
            <w:tcMar>
              <w:top w:w="0" w:type="dxa"/>
              <w:left w:w="108" w:type="dxa"/>
              <w:bottom w:w="0" w:type="dxa"/>
              <w:right w:w="108" w:type="dxa"/>
            </w:tcMar>
            <w:vAlign w:val="bottom"/>
          </w:tcPr>
          <w:p w14:paraId="49E1E1FC" w14:textId="77777777" w:rsidR="006F4DEE" w:rsidRPr="008442F8" w:rsidRDefault="006F4DEE" w:rsidP="00F338DE">
            <w:pPr>
              <w:keepNext/>
              <w:keepLines/>
              <w:autoSpaceDE w:val="0"/>
              <w:autoSpaceDN w:val="0"/>
              <w:adjustRightInd w:val="0"/>
              <w:spacing w:before="60" w:after="60" w:line="240" w:lineRule="atLeast"/>
              <w:jc w:val="center"/>
              <w:rPr>
                <w:rFonts w:ascii="Arial" w:hAnsi="Arial" w:cs="Arial"/>
                <w:sz w:val="20"/>
                <w:szCs w:val="20"/>
              </w:rPr>
            </w:pPr>
            <w:r w:rsidRPr="008442F8">
              <w:rPr>
                <w:rFonts w:ascii="Arial" w:hAnsi="Arial" w:cs="Arial"/>
                <w:sz w:val="20"/>
                <w:szCs w:val="20"/>
              </w:rPr>
              <w:t>0.4 – 0.49</w:t>
            </w:r>
          </w:p>
        </w:tc>
        <w:tc>
          <w:tcPr>
            <w:tcW w:w="2003" w:type="dxa"/>
            <w:gridSpan w:val="2"/>
            <w:tcMar>
              <w:top w:w="0" w:type="dxa"/>
              <w:left w:w="108" w:type="dxa"/>
              <w:bottom w:w="0" w:type="dxa"/>
              <w:right w:w="108" w:type="dxa"/>
            </w:tcMar>
            <w:vAlign w:val="center"/>
          </w:tcPr>
          <w:p w14:paraId="79A768EC" w14:textId="77777777" w:rsidR="006F4DEE" w:rsidRPr="008442F8" w:rsidRDefault="006F4DEE" w:rsidP="00F338DE">
            <w:pPr>
              <w:spacing w:before="60" w:after="60" w:line="240" w:lineRule="atLeast"/>
              <w:jc w:val="center"/>
              <w:rPr>
                <w:rFonts w:ascii="Arial" w:hAnsi="Arial" w:cs="Arial"/>
                <w:sz w:val="20"/>
                <w:szCs w:val="20"/>
              </w:rPr>
            </w:pPr>
            <w:r w:rsidRPr="008442F8">
              <w:rPr>
                <w:rFonts w:ascii="Arial" w:hAnsi="Arial" w:cs="Arial"/>
                <w:sz w:val="20"/>
                <w:szCs w:val="20"/>
              </w:rPr>
              <w:t>2.2</w:t>
            </w:r>
          </w:p>
        </w:tc>
      </w:tr>
    </w:tbl>
    <w:p w14:paraId="7D4D38AD" w14:textId="3008F989" w:rsidR="00B91960" w:rsidRPr="00A22D80" w:rsidRDefault="00B91960" w:rsidP="00B91960">
      <w:pPr>
        <w:jc w:val="right"/>
        <w:rPr>
          <w:rFonts w:ascii="Arial" w:hAnsi="Arial" w:cs="Arial"/>
          <w:strike/>
          <w:color w:val="000000" w:themeColor="text1"/>
          <w:sz w:val="20"/>
          <w:lang w:val="en-GB"/>
        </w:rPr>
      </w:pPr>
    </w:p>
    <w:p w14:paraId="778AA2E8" w14:textId="77777777" w:rsidR="00792B8A" w:rsidRPr="00FF4079" w:rsidRDefault="00792B8A" w:rsidP="00792B8A">
      <w:pPr>
        <w:pStyle w:val="Heading3"/>
      </w:pPr>
      <w:r w:rsidRPr="00FF4079">
        <w:t xml:space="preserve">Dosage </w:t>
      </w:r>
      <w:r>
        <w:t>a</w:t>
      </w:r>
      <w:r w:rsidRPr="00FF4079">
        <w:t>djustment</w:t>
      </w:r>
    </w:p>
    <w:p w14:paraId="1C989160" w14:textId="56EE0F09" w:rsidR="007E0C29" w:rsidRDefault="00792B8A" w:rsidP="00792B8A">
      <w:pPr>
        <w:pStyle w:val="PI-Text"/>
      </w:pPr>
      <w:r w:rsidRPr="00FF4079">
        <w:t>If the interruption after an adverse event is no longer than 7 days, continue the same cycle to a total of 28 days of infusion inclusive of days before and after the interruption in that cycle.  If an interruption due to an adverse event is longer than 7 days, start a new cycle.</w:t>
      </w:r>
    </w:p>
    <w:p w14:paraId="05C3A1FE" w14:textId="77777777" w:rsidR="007E0C29" w:rsidRDefault="007E0C29">
      <w:pPr>
        <w:rPr>
          <w:rFonts w:ascii="Arial" w:hAnsi="Arial" w:cs="Arial"/>
          <w:lang w:val="en-GB"/>
        </w:rPr>
      </w:pPr>
      <w:r>
        <w:br w:type="page"/>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963"/>
        <w:gridCol w:w="3492"/>
        <w:gridCol w:w="2887"/>
      </w:tblGrid>
      <w:tr w:rsidR="00792B8A" w:rsidRPr="004C4D30" w14:paraId="216A012D" w14:textId="77777777" w:rsidTr="00A34510">
        <w:tc>
          <w:tcPr>
            <w:tcW w:w="1305" w:type="dxa"/>
            <w:tcBorders>
              <w:top w:val="single" w:sz="4" w:space="0" w:color="auto"/>
              <w:left w:val="single" w:sz="4" w:space="0" w:color="auto"/>
              <w:bottom w:val="single" w:sz="4" w:space="0" w:color="auto"/>
              <w:right w:val="nil"/>
            </w:tcBorders>
            <w:shd w:val="clear" w:color="auto" w:fill="auto"/>
          </w:tcPr>
          <w:p w14:paraId="240DC35A" w14:textId="77777777" w:rsidR="00792B8A" w:rsidRPr="004C4D30" w:rsidRDefault="00792B8A" w:rsidP="00A34510">
            <w:pPr>
              <w:pStyle w:val="PI-TableText"/>
              <w:spacing w:before="60" w:after="60" w:line="240" w:lineRule="atLeast"/>
              <w:rPr>
                <w:b/>
                <w:szCs w:val="18"/>
              </w:rPr>
            </w:pPr>
            <w:r>
              <w:lastRenderedPageBreak/>
              <w:br w:type="page"/>
            </w:r>
            <w:r w:rsidRPr="004C4D30">
              <w:rPr>
                <w:b/>
                <w:szCs w:val="18"/>
              </w:rPr>
              <w:t>Toxicity</w:t>
            </w:r>
          </w:p>
        </w:tc>
        <w:tc>
          <w:tcPr>
            <w:tcW w:w="963" w:type="dxa"/>
            <w:tcBorders>
              <w:top w:val="single" w:sz="4" w:space="0" w:color="auto"/>
              <w:left w:val="nil"/>
              <w:bottom w:val="single" w:sz="4" w:space="0" w:color="auto"/>
              <w:right w:val="nil"/>
            </w:tcBorders>
            <w:shd w:val="clear" w:color="auto" w:fill="auto"/>
          </w:tcPr>
          <w:p w14:paraId="3F0C255E" w14:textId="77777777" w:rsidR="00792B8A" w:rsidRPr="004C4D30" w:rsidRDefault="00792B8A" w:rsidP="00A34510">
            <w:pPr>
              <w:pStyle w:val="PI-TableText"/>
              <w:spacing w:before="60" w:after="60" w:line="240" w:lineRule="atLeast"/>
              <w:jc w:val="center"/>
              <w:rPr>
                <w:b/>
                <w:szCs w:val="18"/>
              </w:rPr>
            </w:pPr>
            <w:r w:rsidRPr="004C4D30">
              <w:rPr>
                <w:b/>
                <w:szCs w:val="18"/>
              </w:rPr>
              <w:t>Grade*</w:t>
            </w:r>
          </w:p>
        </w:tc>
        <w:tc>
          <w:tcPr>
            <w:tcW w:w="3492" w:type="dxa"/>
            <w:tcBorders>
              <w:top w:val="single" w:sz="4" w:space="0" w:color="auto"/>
              <w:left w:val="nil"/>
              <w:bottom w:val="single" w:sz="4" w:space="0" w:color="auto"/>
              <w:right w:val="nil"/>
            </w:tcBorders>
            <w:shd w:val="clear" w:color="auto" w:fill="auto"/>
          </w:tcPr>
          <w:p w14:paraId="5002608A" w14:textId="77777777" w:rsidR="00792B8A" w:rsidRPr="004C4D30" w:rsidRDefault="00792B8A" w:rsidP="00A34510">
            <w:pPr>
              <w:pStyle w:val="PI-TableText"/>
              <w:spacing w:before="60" w:after="60" w:line="240" w:lineRule="atLeast"/>
              <w:jc w:val="center"/>
              <w:rPr>
                <w:b/>
                <w:szCs w:val="18"/>
              </w:rPr>
            </w:pPr>
            <w:r w:rsidRPr="004C4D30">
              <w:rPr>
                <w:b/>
                <w:szCs w:val="18"/>
              </w:rPr>
              <w:t xml:space="preserve">Patients </w:t>
            </w:r>
            <w:r w:rsidRPr="004C4D30">
              <w:rPr>
                <w:rFonts w:eastAsia="Calibri"/>
                <w:b/>
                <w:szCs w:val="18"/>
              </w:rPr>
              <w:t xml:space="preserve">Greater Than or </w:t>
            </w:r>
            <w:r w:rsidRPr="004C4D30">
              <w:rPr>
                <w:rFonts w:eastAsia="Calibri"/>
                <w:b/>
                <w:szCs w:val="18"/>
              </w:rPr>
              <w:br/>
              <w:t xml:space="preserve">Equal to </w:t>
            </w:r>
            <w:r w:rsidRPr="004C4D30">
              <w:rPr>
                <w:b/>
                <w:szCs w:val="18"/>
              </w:rPr>
              <w:t>45 kg</w:t>
            </w:r>
          </w:p>
        </w:tc>
        <w:tc>
          <w:tcPr>
            <w:tcW w:w="2887" w:type="dxa"/>
            <w:tcBorders>
              <w:top w:val="single" w:sz="4" w:space="0" w:color="auto"/>
              <w:left w:val="nil"/>
              <w:bottom w:val="single" w:sz="4" w:space="0" w:color="auto"/>
              <w:right w:val="single" w:sz="4" w:space="0" w:color="auto"/>
            </w:tcBorders>
          </w:tcPr>
          <w:p w14:paraId="063E5C5D" w14:textId="77777777" w:rsidR="00792B8A" w:rsidRPr="004C4D30" w:rsidRDefault="00792B8A" w:rsidP="00A34510">
            <w:pPr>
              <w:pStyle w:val="PI-TableText"/>
              <w:spacing w:before="60" w:after="60" w:line="240" w:lineRule="atLeast"/>
              <w:jc w:val="center"/>
              <w:rPr>
                <w:b/>
                <w:szCs w:val="18"/>
              </w:rPr>
            </w:pPr>
            <w:r w:rsidRPr="004C4D30">
              <w:rPr>
                <w:b/>
                <w:szCs w:val="18"/>
              </w:rPr>
              <w:t>Patients</w:t>
            </w:r>
            <w:r w:rsidRPr="004C4D30">
              <w:rPr>
                <w:rFonts w:eastAsia="Calibri"/>
                <w:b/>
                <w:szCs w:val="18"/>
              </w:rPr>
              <w:t xml:space="preserve"> Less Than </w:t>
            </w:r>
            <w:r w:rsidRPr="004C4D30">
              <w:rPr>
                <w:b/>
                <w:szCs w:val="18"/>
              </w:rPr>
              <w:t>45 kg</w:t>
            </w:r>
          </w:p>
        </w:tc>
      </w:tr>
      <w:tr w:rsidR="00792B8A" w:rsidRPr="004C4D30" w14:paraId="55789183" w14:textId="77777777" w:rsidTr="00A34510">
        <w:tc>
          <w:tcPr>
            <w:tcW w:w="1305" w:type="dxa"/>
            <w:vMerge w:val="restart"/>
            <w:tcBorders>
              <w:top w:val="single" w:sz="4" w:space="0" w:color="auto"/>
              <w:left w:val="single" w:sz="4" w:space="0" w:color="auto"/>
              <w:right w:val="nil"/>
            </w:tcBorders>
            <w:shd w:val="clear" w:color="auto" w:fill="auto"/>
          </w:tcPr>
          <w:p w14:paraId="7ABBE752" w14:textId="77777777" w:rsidR="00792B8A" w:rsidRPr="004C4D30" w:rsidRDefault="00792B8A" w:rsidP="00A34510">
            <w:pPr>
              <w:pStyle w:val="PI-TableText"/>
              <w:spacing w:before="60" w:after="60" w:line="240" w:lineRule="atLeast"/>
              <w:rPr>
                <w:szCs w:val="18"/>
              </w:rPr>
            </w:pPr>
            <w:r w:rsidRPr="004C4D30">
              <w:rPr>
                <w:szCs w:val="18"/>
              </w:rPr>
              <w:t>Cytokine Release Syndrome (CRS)</w:t>
            </w:r>
          </w:p>
        </w:tc>
        <w:tc>
          <w:tcPr>
            <w:tcW w:w="963" w:type="dxa"/>
            <w:tcBorders>
              <w:top w:val="single" w:sz="4" w:space="0" w:color="auto"/>
              <w:left w:val="nil"/>
              <w:bottom w:val="single" w:sz="4" w:space="0" w:color="auto"/>
              <w:right w:val="nil"/>
            </w:tcBorders>
            <w:shd w:val="clear" w:color="auto" w:fill="auto"/>
          </w:tcPr>
          <w:p w14:paraId="15A63C0A" w14:textId="77777777" w:rsidR="00792B8A" w:rsidRPr="004C4D30" w:rsidRDefault="00792B8A" w:rsidP="00A34510">
            <w:pPr>
              <w:pStyle w:val="PI-TableText"/>
              <w:spacing w:before="60" w:after="60" w:line="240" w:lineRule="atLeast"/>
              <w:rPr>
                <w:szCs w:val="18"/>
              </w:rPr>
            </w:pPr>
            <w:r w:rsidRPr="004C4D30">
              <w:rPr>
                <w:szCs w:val="18"/>
              </w:rPr>
              <w:t xml:space="preserve">Grade 3 </w:t>
            </w:r>
          </w:p>
        </w:tc>
        <w:tc>
          <w:tcPr>
            <w:tcW w:w="3492" w:type="dxa"/>
            <w:tcBorders>
              <w:top w:val="single" w:sz="4" w:space="0" w:color="auto"/>
              <w:left w:val="nil"/>
              <w:bottom w:val="single" w:sz="4" w:space="0" w:color="auto"/>
              <w:right w:val="nil"/>
            </w:tcBorders>
            <w:shd w:val="clear" w:color="auto" w:fill="auto"/>
          </w:tcPr>
          <w:p w14:paraId="2559F9DE"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resolved, then restart </w:t>
            </w:r>
            <w:proofErr w:type="spellStart"/>
            <w:r w:rsidRPr="004C4D30">
              <w:rPr>
                <w:szCs w:val="18"/>
              </w:rPr>
              <w:t>Blincyto</w:t>
            </w:r>
            <w:proofErr w:type="spellEnd"/>
            <w:r w:rsidRPr="004C4D30">
              <w:rPr>
                <w:szCs w:val="18"/>
              </w:rPr>
              <w:t xml:space="preserve"> at 9 micrograms/day.  Escalate to 28 micrograms/day after 7 days if the toxicity does not recur.</w:t>
            </w:r>
          </w:p>
        </w:tc>
        <w:tc>
          <w:tcPr>
            <w:tcW w:w="2887" w:type="dxa"/>
            <w:tcBorders>
              <w:top w:val="single" w:sz="4" w:space="0" w:color="auto"/>
              <w:left w:val="nil"/>
              <w:bottom w:val="single" w:sz="4" w:space="0" w:color="auto"/>
              <w:right w:val="single" w:sz="4" w:space="0" w:color="auto"/>
            </w:tcBorders>
          </w:tcPr>
          <w:p w14:paraId="07D36FE6"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resolved, then restart </w:t>
            </w:r>
            <w:proofErr w:type="spellStart"/>
            <w:r w:rsidRPr="004C4D30">
              <w:rPr>
                <w:szCs w:val="18"/>
              </w:rPr>
              <w:t>Blincyto</w:t>
            </w:r>
            <w:proofErr w:type="spellEnd"/>
            <w:r w:rsidRPr="004C4D30">
              <w:rPr>
                <w:szCs w:val="18"/>
              </w:rPr>
              <w:t xml:space="preserve"> at 5 micrograms/m</w:t>
            </w:r>
            <w:r w:rsidRPr="004C4D30">
              <w:rPr>
                <w:szCs w:val="18"/>
                <w:vertAlign w:val="superscript"/>
              </w:rPr>
              <w:t>2</w:t>
            </w:r>
            <w:r w:rsidRPr="004C4D30">
              <w:rPr>
                <w:szCs w:val="18"/>
              </w:rPr>
              <w:t>/day.  Escalate to 15 micrograms/m</w:t>
            </w:r>
            <w:r w:rsidRPr="004C4D30">
              <w:rPr>
                <w:szCs w:val="18"/>
                <w:vertAlign w:val="superscript"/>
              </w:rPr>
              <w:t>2</w:t>
            </w:r>
            <w:r w:rsidRPr="004C4D30">
              <w:rPr>
                <w:szCs w:val="18"/>
              </w:rPr>
              <w:t>/day after 7 days if the toxicity does not recur.</w:t>
            </w:r>
          </w:p>
        </w:tc>
      </w:tr>
      <w:tr w:rsidR="00792B8A" w:rsidRPr="004C4D30" w14:paraId="22C3272C" w14:textId="77777777" w:rsidTr="00A34510">
        <w:tc>
          <w:tcPr>
            <w:tcW w:w="1305" w:type="dxa"/>
            <w:vMerge/>
            <w:tcBorders>
              <w:left w:val="single" w:sz="4" w:space="0" w:color="auto"/>
              <w:bottom w:val="single" w:sz="4" w:space="0" w:color="auto"/>
              <w:right w:val="nil"/>
            </w:tcBorders>
            <w:shd w:val="clear" w:color="auto" w:fill="auto"/>
          </w:tcPr>
          <w:p w14:paraId="0D7328F5" w14:textId="77777777" w:rsidR="00792B8A" w:rsidRPr="004C4D30" w:rsidRDefault="00792B8A" w:rsidP="00A34510">
            <w:pPr>
              <w:pStyle w:val="PI-TableText"/>
              <w:spacing w:before="60" w:after="60" w:line="240" w:lineRule="atLeast"/>
              <w:rPr>
                <w:szCs w:val="18"/>
              </w:rPr>
            </w:pPr>
          </w:p>
        </w:tc>
        <w:tc>
          <w:tcPr>
            <w:tcW w:w="963" w:type="dxa"/>
            <w:tcBorders>
              <w:top w:val="single" w:sz="4" w:space="0" w:color="auto"/>
              <w:left w:val="nil"/>
              <w:bottom w:val="single" w:sz="4" w:space="0" w:color="auto"/>
              <w:right w:val="nil"/>
            </w:tcBorders>
            <w:shd w:val="clear" w:color="auto" w:fill="auto"/>
          </w:tcPr>
          <w:p w14:paraId="15F6F4BB" w14:textId="77777777" w:rsidR="00792B8A" w:rsidRPr="004C4D30" w:rsidRDefault="00792B8A" w:rsidP="00A34510">
            <w:pPr>
              <w:pStyle w:val="PI-TableText"/>
              <w:spacing w:before="60" w:after="60" w:line="240" w:lineRule="atLeast"/>
              <w:rPr>
                <w:szCs w:val="18"/>
              </w:rPr>
            </w:pPr>
            <w:r w:rsidRPr="004C4D30">
              <w:rPr>
                <w:szCs w:val="18"/>
              </w:rPr>
              <w:t xml:space="preserve">Grade 4 </w:t>
            </w:r>
          </w:p>
        </w:tc>
        <w:tc>
          <w:tcPr>
            <w:tcW w:w="6379" w:type="dxa"/>
            <w:gridSpan w:val="2"/>
            <w:tcBorders>
              <w:top w:val="single" w:sz="4" w:space="0" w:color="auto"/>
              <w:left w:val="nil"/>
              <w:bottom w:val="single" w:sz="4" w:space="0" w:color="auto"/>
              <w:right w:val="single" w:sz="4" w:space="0" w:color="auto"/>
            </w:tcBorders>
            <w:shd w:val="clear" w:color="auto" w:fill="auto"/>
          </w:tcPr>
          <w:p w14:paraId="3E17667A" w14:textId="77777777" w:rsidR="00792B8A" w:rsidRPr="004C4D30" w:rsidRDefault="00792B8A" w:rsidP="00A34510">
            <w:pPr>
              <w:pStyle w:val="PI-TableText"/>
              <w:spacing w:before="60" w:after="60" w:line="240" w:lineRule="atLeast"/>
              <w:rPr>
                <w:szCs w:val="18"/>
              </w:rPr>
            </w:pPr>
            <w:r w:rsidRPr="004C4D30">
              <w:rPr>
                <w:szCs w:val="18"/>
              </w:rPr>
              <w:t xml:space="preserve">Discontinue </w:t>
            </w:r>
            <w:proofErr w:type="spellStart"/>
            <w:r w:rsidRPr="004C4D30">
              <w:rPr>
                <w:szCs w:val="18"/>
              </w:rPr>
              <w:t>Blincyto</w:t>
            </w:r>
            <w:proofErr w:type="spellEnd"/>
            <w:r w:rsidRPr="004C4D30">
              <w:rPr>
                <w:szCs w:val="18"/>
              </w:rPr>
              <w:t xml:space="preserve"> permanently.</w:t>
            </w:r>
            <w:r w:rsidRPr="004C4D30" w:rsidDel="00EC16FC">
              <w:rPr>
                <w:szCs w:val="18"/>
              </w:rPr>
              <w:t xml:space="preserve"> </w:t>
            </w:r>
          </w:p>
        </w:tc>
      </w:tr>
      <w:tr w:rsidR="00792B8A" w:rsidRPr="004C4D30" w14:paraId="604A2AE4" w14:textId="77777777" w:rsidTr="00A34510">
        <w:tc>
          <w:tcPr>
            <w:tcW w:w="1305" w:type="dxa"/>
            <w:vMerge w:val="restart"/>
            <w:tcBorders>
              <w:top w:val="single" w:sz="4" w:space="0" w:color="auto"/>
              <w:left w:val="single" w:sz="4" w:space="0" w:color="auto"/>
              <w:right w:val="nil"/>
            </w:tcBorders>
            <w:shd w:val="clear" w:color="auto" w:fill="auto"/>
          </w:tcPr>
          <w:p w14:paraId="33C27616" w14:textId="77777777" w:rsidR="00792B8A" w:rsidRPr="004C4D30" w:rsidRDefault="00792B8A" w:rsidP="00A34510">
            <w:pPr>
              <w:pStyle w:val="PI-TableText"/>
              <w:spacing w:before="60" w:after="60" w:line="240" w:lineRule="atLeast"/>
              <w:rPr>
                <w:szCs w:val="18"/>
              </w:rPr>
            </w:pPr>
            <w:r w:rsidRPr="00E46FA3">
              <w:rPr>
                <w:szCs w:val="18"/>
              </w:rPr>
              <w:t>Neurologic Events</w:t>
            </w:r>
          </w:p>
        </w:tc>
        <w:tc>
          <w:tcPr>
            <w:tcW w:w="963" w:type="dxa"/>
            <w:tcBorders>
              <w:top w:val="single" w:sz="4" w:space="0" w:color="auto"/>
              <w:left w:val="nil"/>
              <w:bottom w:val="single" w:sz="4" w:space="0" w:color="auto"/>
              <w:right w:val="nil"/>
            </w:tcBorders>
            <w:shd w:val="clear" w:color="auto" w:fill="auto"/>
          </w:tcPr>
          <w:p w14:paraId="4638FF30" w14:textId="77777777" w:rsidR="00792B8A" w:rsidRPr="004C4D30" w:rsidRDefault="00792B8A" w:rsidP="00A34510">
            <w:pPr>
              <w:pStyle w:val="PI-TableText"/>
              <w:spacing w:before="60" w:after="60" w:line="240" w:lineRule="atLeast"/>
              <w:rPr>
                <w:szCs w:val="18"/>
              </w:rPr>
            </w:pPr>
            <w:r w:rsidRPr="004C4D30">
              <w:rPr>
                <w:szCs w:val="18"/>
              </w:rPr>
              <w:t xml:space="preserve">Seizure </w:t>
            </w:r>
          </w:p>
        </w:tc>
        <w:tc>
          <w:tcPr>
            <w:tcW w:w="6379" w:type="dxa"/>
            <w:gridSpan w:val="2"/>
            <w:tcBorders>
              <w:top w:val="single" w:sz="4" w:space="0" w:color="auto"/>
              <w:left w:val="nil"/>
              <w:bottom w:val="single" w:sz="4" w:space="0" w:color="auto"/>
              <w:right w:val="single" w:sz="4" w:space="0" w:color="auto"/>
            </w:tcBorders>
            <w:shd w:val="clear" w:color="auto" w:fill="auto"/>
          </w:tcPr>
          <w:p w14:paraId="13A29C12" w14:textId="77777777" w:rsidR="00792B8A" w:rsidRPr="004C4D30" w:rsidRDefault="00792B8A" w:rsidP="00A34510">
            <w:pPr>
              <w:pStyle w:val="PI-TableText"/>
              <w:spacing w:before="60" w:after="60" w:line="240" w:lineRule="atLeast"/>
              <w:rPr>
                <w:szCs w:val="18"/>
              </w:rPr>
            </w:pPr>
            <w:r w:rsidRPr="004C4D30">
              <w:rPr>
                <w:szCs w:val="18"/>
              </w:rPr>
              <w:t xml:space="preserve">Discontinue </w:t>
            </w:r>
            <w:proofErr w:type="spellStart"/>
            <w:r w:rsidRPr="004C4D30">
              <w:rPr>
                <w:szCs w:val="18"/>
              </w:rPr>
              <w:t>Blincyto</w:t>
            </w:r>
            <w:proofErr w:type="spellEnd"/>
            <w:r w:rsidRPr="004C4D30">
              <w:rPr>
                <w:szCs w:val="18"/>
              </w:rPr>
              <w:t xml:space="preserve"> permanently if more than one seizure occurs.</w:t>
            </w:r>
          </w:p>
        </w:tc>
      </w:tr>
      <w:tr w:rsidR="00792B8A" w:rsidRPr="004C4D30" w14:paraId="0E8057A6" w14:textId="77777777" w:rsidTr="00A3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vMerge/>
            <w:tcBorders>
              <w:left w:val="single" w:sz="4" w:space="0" w:color="auto"/>
            </w:tcBorders>
            <w:shd w:val="clear" w:color="auto" w:fill="auto"/>
          </w:tcPr>
          <w:p w14:paraId="185C4A31" w14:textId="77777777" w:rsidR="00792B8A" w:rsidRPr="004C4D30" w:rsidRDefault="00792B8A" w:rsidP="00A34510">
            <w:pPr>
              <w:pStyle w:val="PI-TableText"/>
              <w:spacing w:before="60" w:after="60" w:line="240" w:lineRule="atLeast"/>
              <w:rPr>
                <w:szCs w:val="18"/>
              </w:rPr>
            </w:pPr>
          </w:p>
        </w:tc>
        <w:tc>
          <w:tcPr>
            <w:tcW w:w="963" w:type="dxa"/>
            <w:tcBorders>
              <w:top w:val="single" w:sz="4" w:space="0" w:color="auto"/>
              <w:bottom w:val="single" w:sz="4" w:space="0" w:color="auto"/>
            </w:tcBorders>
            <w:shd w:val="clear" w:color="auto" w:fill="auto"/>
          </w:tcPr>
          <w:p w14:paraId="2796F9B7" w14:textId="77777777" w:rsidR="00792B8A" w:rsidRPr="004C4D30" w:rsidRDefault="00792B8A" w:rsidP="00A34510">
            <w:pPr>
              <w:pStyle w:val="PI-TableText"/>
              <w:spacing w:before="60" w:after="60" w:line="240" w:lineRule="atLeast"/>
              <w:rPr>
                <w:szCs w:val="18"/>
              </w:rPr>
            </w:pPr>
            <w:r w:rsidRPr="004C4D30">
              <w:rPr>
                <w:szCs w:val="18"/>
              </w:rPr>
              <w:t xml:space="preserve">Grade 3 </w:t>
            </w:r>
          </w:p>
        </w:tc>
        <w:tc>
          <w:tcPr>
            <w:tcW w:w="3492" w:type="dxa"/>
            <w:tcBorders>
              <w:top w:val="single" w:sz="4" w:space="0" w:color="auto"/>
              <w:bottom w:val="single" w:sz="4" w:space="0" w:color="auto"/>
            </w:tcBorders>
            <w:shd w:val="clear" w:color="auto" w:fill="auto"/>
          </w:tcPr>
          <w:p w14:paraId="65F6B8FF"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no more than Grade 1 (mild) and for at least 3 days, then restart </w:t>
            </w:r>
            <w:proofErr w:type="spellStart"/>
            <w:r w:rsidRPr="004C4D30">
              <w:rPr>
                <w:szCs w:val="18"/>
              </w:rPr>
              <w:t>Blincyto</w:t>
            </w:r>
            <w:proofErr w:type="spellEnd"/>
            <w:r w:rsidRPr="004C4D30">
              <w:rPr>
                <w:szCs w:val="18"/>
              </w:rPr>
              <w:t xml:space="preserve"> at 9 micrograms/day.  Escalate to 28 micrograms/day after 7 days if the toxicity does not recur.  For </w:t>
            </w:r>
            <w:proofErr w:type="spellStart"/>
            <w:r w:rsidRPr="004C4D30">
              <w:rPr>
                <w:szCs w:val="18"/>
              </w:rPr>
              <w:t>reinitiation</w:t>
            </w:r>
            <w:proofErr w:type="spellEnd"/>
            <w:r w:rsidRPr="004C4D30">
              <w:rPr>
                <w:szCs w:val="18"/>
              </w:rPr>
              <w:t xml:space="preserve">, </w:t>
            </w:r>
            <w:proofErr w:type="spellStart"/>
            <w:r w:rsidRPr="004C4D30">
              <w:rPr>
                <w:szCs w:val="18"/>
              </w:rPr>
              <w:t>premedicate</w:t>
            </w:r>
            <w:proofErr w:type="spellEnd"/>
            <w:r w:rsidRPr="004C4D30">
              <w:rPr>
                <w:szCs w:val="18"/>
              </w:rPr>
              <w:t xml:space="preserve"> with 24 mg dexamethasone with a 4-day taper. As secondary prophylaxis, consider appropriate anticonvulsant medication.  If the toxicity occurred at 9 micrograms/day, or if the toxicity takes more than 7 days to resolve, discontinue </w:t>
            </w:r>
            <w:proofErr w:type="spellStart"/>
            <w:r w:rsidRPr="004C4D30">
              <w:rPr>
                <w:szCs w:val="18"/>
              </w:rPr>
              <w:t>Blincyto</w:t>
            </w:r>
            <w:proofErr w:type="spellEnd"/>
            <w:r w:rsidRPr="004C4D30">
              <w:rPr>
                <w:szCs w:val="18"/>
              </w:rPr>
              <w:t xml:space="preserve"> permanently. </w:t>
            </w:r>
          </w:p>
        </w:tc>
        <w:tc>
          <w:tcPr>
            <w:tcW w:w="2887" w:type="dxa"/>
            <w:tcBorders>
              <w:top w:val="single" w:sz="4" w:space="0" w:color="auto"/>
              <w:bottom w:val="single" w:sz="4" w:space="0" w:color="auto"/>
              <w:right w:val="single" w:sz="4" w:space="0" w:color="auto"/>
            </w:tcBorders>
          </w:tcPr>
          <w:p w14:paraId="4523EE78"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no more than Grade 1 (mild) and for at least 3 days, then restart </w:t>
            </w:r>
            <w:proofErr w:type="spellStart"/>
            <w:r w:rsidRPr="004C4D30">
              <w:rPr>
                <w:szCs w:val="18"/>
              </w:rPr>
              <w:t>Blincyto</w:t>
            </w:r>
            <w:proofErr w:type="spellEnd"/>
            <w:r w:rsidRPr="004C4D30">
              <w:rPr>
                <w:szCs w:val="18"/>
              </w:rPr>
              <w:t xml:space="preserve"> at 5 micrograms/m</w:t>
            </w:r>
            <w:r w:rsidRPr="004C4D30">
              <w:rPr>
                <w:szCs w:val="18"/>
                <w:vertAlign w:val="superscript"/>
              </w:rPr>
              <w:t>2</w:t>
            </w:r>
            <w:r w:rsidRPr="004C4D30">
              <w:rPr>
                <w:szCs w:val="18"/>
              </w:rPr>
              <w:t>/day.  Escalate to 15 micrograms/m</w:t>
            </w:r>
            <w:r w:rsidRPr="004C4D30">
              <w:rPr>
                <w:szCs w:val="18"/>
                <w:vertAlign w:val="superscript"/>
              </w:rPr>
              <w:t>2</w:t>
            </w:r>
            <w:r w:rsidRPr="004C4D30">
              <w:rPr>
                <w:szCs w:val="18"/>
              </w:rPr>
              <w:t>/day after 7 days if the toxicity does not recur.  Consider appropriate anticonvulsant medication.  If the toxicity occurred at 5 micrograms/m</w:t>
            </w:r>
            <w:r w:rsidRPr="004C4D30">
              <w:rPr>
                <w:szCs w:val="18"/>
                <w:vertAlign w:val="superscript"/>
              </w:rPr>
              <w:t>2</w:t>
            </w:r>
            <w:r w:rsidRPr="004C4D30">
              <w:rPr>
                <w:szCs w:val="18"/>
              </w:rPr>
              <w:t xml:space="preserve">/day, or if the toxicity takes more than 7 days to resolve, discontinue </w:t>
            </w:r>
            <w:proofErr w:type="spellStart"/>
            <w:r w:rsidRPr="004C4D30">
              <w:rPr>
                <w:szCs w:val="18"/>
              </w:rPr>
              <w:t>Blincyto</w:t>
            </w:r>
            <w:proofErr w:type="spellEnd"/>
            <w:r w:rsidRPr="004C4D30">
              <w:rPr>
                <w:szCs w:val="18"/>
              </w:rPr>
              <w:t xml:space="preserve"> permanently. </w:t>
            </w:r>
          </w:p>
        </w:tc>
      </w:tr>
      <w:tr w:rsidR="00792B8A" w:rsidRPr="004C4D30" w14:paraId="5B34AE77" w14:textId="77777777" w:rsidTr="00A34510">
        <w:tc>
          <w:tcPr>
            <w:tcW w:w="1305" w:type="dxa"/>
            <w:vMerge/>
            <w:tcBorders>
              <w:left w:val="single" w:sz="4" w:space="0" w:color="auto"/>
              <w:bottom w:val="single" w:sz="4" w:space="0" w:color="auto"/>
              <w:right w:val="nil"/>
            </w:tcBorders>
            <w:shd w:val="clear" w:color="auto" w:fill="auto"/>
          </w:tcPr>
          <w:p w14:paraId="6CAF3DEA" w14:textId="77777777" w:rsidR="00792B8A" w:rsidRPr="004C4D30" w:rsidRDefault="00792B8A" w:rsidP="00A34510">
            <w:pPr>
              <w:pStyle w:val="PI-TableText"/>
              <w:spacing w:before="60" w:after="60" w:line="240" w:lineRule="atLeast"/>
              <w:rPr>
                <w:szCs w:val="18"/>
              </w:rPr>
            </w:pPr>
          </w:p>
        </w:tc>
        <w:tc>
          <w:tcPr>
            <w:tcW w:w="963" w:type="dxa"/>
            <w:tcBorders>
              <w:top w:val="single" w:sz="4" w:space="0" w:color="auto"/>
              <w:left w:val="nil"/>
              <w:bottom w:val="single" w:sz="4" w:space="0" w:color="auto"/>
              <w:right w:val="nil"/>
            </w:tcBorders>
            <w:shd w:val="clear" w:color="auto" w:fill="auto"/>
          </w:tcPr>
          <w:p w14:paraId="19E72635" w14:textId="77777777" w:rsidR="00792B8A" w:rsidRPr="004C4D30" w:rsidRDefault="00792B8A" w:rsidP="00A34510">
            <w:pPr>
              <w:pStyle w:val="PI-TableText"/>
              <w:spacing w:before="60" w:after="60" w:line="240" w:lineRule="atLeast"/>
              <w:rPr>
                <w:szCs w:val="18"/>
              </w:rPr>
            </w:pPr>
            <w:r w:rsidRPr="004C4D30">
              <w:rPr>
                <w:szCs w:val="18"/>
              </w:rPr>
              <w:t xml:space="preserve">Grade 4 </w:t>
            </w:r>
          </w:p>
        </w:tc>
        <w:tc>
          <w:tcPr>
            <w:tcW w:w="6379" w:type="dxa"/>
            <w:gridSpan w:val="2"/>
            <w:tcBorders>
              <w:top w:val="single" w:sz="4" w:space="0" w:color="auto"/>
              <w:left w:val="nil"/>
              <w:bottom w:val="single" w:sz="4" w:space="0" w:color="auto"/>
              <w:right w:val="single" w:sz="4" w:space="0" w:color="auto"/>
            </w:tcBorders>
            <w:shd w:val="clear" w:color="auto" w:fill="auto"/>
          </w:tcPr>
          <w:p w14:paraId="53B17DD1" w14:textId="77777777" w:rsidR="00792B8A" w:rsidRPr="004C4D30" w:rsidRDefault="00792B8A" w:rsidP="00A34510">
            <w:pPr>
              <w:pStyle w:val="PI-TableText"/>
              <w:spacing w:before="60" w:after="60" w:line="240" w:lineRule="atLeast"/>
              <w:rPr>
                <w:szCs w:val="18"/>
              </w:rPr>
            </w:pPr>
            <w:r w:rsidRPr="004C4D30">
              <w:rPr>
                <w:szCs w:val="18"/>
              </w:rPr>
              <w:t xml:space="preserve">Discontinue </w:t>
            </w:r>
            <w:proofErr w:type="spellStart"/>
            <w:r w:rsidRPr="004C4D30">
              <w:rPr>
                <w:szCs w:val="18"/>
              </w:rPr>
              <w:t>Blincyto</w:t>
            </w:r>
            <w:proofErr w:type="spellEnd"/>
            <w:r w:rsidRPr="004C4D30">
              <w:rPr>
                <w:szCs w:val="18"/>
              </w:rPr>
              <w:t xml:space="preserve"> permanently.</w:t>
            </w:r>
          </w:p>
        </w:tc>
      </w:tr>
      <w:tr w:rsidR="00792B8A" w:rsidRPr="004C4D30" w14:paraId="4C854384" w14:textId="77777777" w:rsidTr="00A34510">
        <w:tc>
          <w:tcPr>
            <w:tcW w:w="1305" w:type="dxa"/>
            <w:tcBorders>
              <w:top w:val="single" w:sz="4" w:space="0" w:color="auto"/>
              <w:left w:val="single" w:sz="4" w:space="0" w:color="auto"/>
              <w:bottom w:val="nil"/>
              <w:right w:val="nil"/>
            </w:tcBorders>
            <w:shd w:val="clear" w:color="auto" w:fill="auto"/>
          </w:tcPr>
          <w:p w14:paraId="0F15E885" w14:textId="77777777" w:rsidR="00792B8A" w:rsidRPr="004C4D30" w:rsidRDefault="00792B8A" w:rsidP="00A34510">
            <w:pPr>
              <w:pStyle w:val="PI-TableText"/>
              <w:spacing w:before="60" w:after="60" w:line="240" w:lineRule="atLeast"/>
              <w:rPr>
                <w:szCs w:val="18"/>
              </w:rPr>
            </w:pPr>
            <w:r w:rsidRPr="004C4D30">
              <w:rPr>
                <w:szCs w:val="18"/>
              </w:rPr>
              <w:t>Other Clinically Relevant Adverse Reactions</w:t>
            </w:r>
          </w:p>
        </w:tc>
        <w:tc>
          <w:tcPr>
            <w:tcW w:w="963" w:type="dxa"/>
            <w:tcBorders>
              <w:top w:val="single" w:sz="4" w:space="0" w:color="auto"/>
              <w:left w:val="nil"/>
              <w:bottom w:val="single" w:sz="4" w:space="0" w:color="auto"/>
              <w:right w:val="nil"/>
            </w:tcBorders>
            <w:shd w:val="clear" w:color="auto" w:fill="auto"/>
          </w:tcPr>
          <w:p w14:paraId="5685EF43" w14:textId="77777777" w:rsidR="00792B8A" w:rsidRPr="004C4D30" w:rsidRDefault="00792B8A" w:rsidP="00A34510">
            <w:pPr>
              <w:pStyle w:val="PI-TableText"/>
              <w:spacing w:before="60" w:after="60" w:line="240" w:lineRule="atLeast"/>
              <w:rPr>
                <w:szCs w:val="18"/>
              </w:rPr>
            </w:pPr>
            <w:r w:rsidRPr="004C4D30">
              <w:rPr>
                <w:szCs w:val="18"/>
              </w:rPr>
              <w:t xml:space="preserve">Grade 3 </w:t>
            </w:r>
          </w:p>
        </w:tc>
        <w:tc>
          <w:tcPr>
            <w:tcW w:w="3492" w:type="dxa"/>
            <w:tcBorders>
              <w:top w:val="single" w:sz="4" w:space="0" w:color="auto"/>
              <w:left w:val="nil"/>
              <w:bottom w:val="single" w:sz="4" w:space="0" w:color="auto"/>
              <w:right w:val="nil"/>
            </w:tcBorders>
            <w:shd w:val="clear" w:color="auto" w:fill="auto"/>
          </w:tcPr>
          <w:p w14:paraId="6B38B8FA"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no more than Grade 1 (mild), then restart </w:t>
            </w:r>
            <w:proofErr w:type="spellStart"/>
            <w:r w:rsidRPr="004C4D30">
              <w:rPr>
                <w:szCs w:val="18"/>
              </w:rPr>
              <w:t>Blincyto</w:t>
            </w:r>
            <w:proofErr w:type="spellEnd"/>
            <w:r w:rsidRPr="004C4D30">
              <w:rPr>
                <w:szCs w:val="18"/>
              </w:rPr>
              <w:t xml:space="preserve"> at 9 micrograms/day.  Escalate to 28 micrograms/day after 7 days if the toxicity does not recur.  </w:t>
            </w:r>
          </w:p>
        </w:tc>
        <w:tc>
          <w:tcPr>
            <w:tcW w:w="2887" w:type="dxa"/>
            <w:tcBorders>
              <w:top w:val="single" w:sz="4" w:space="0" w:color="auto"/>
              <w:left w:val="nil"/>
              <w:bottom w:val="single" w:sz="4" w:space="0" w:color="auto"/>
              <w:right w:val="single" w:sz="4" w:space="0" w:color="auto"/>
            </w:tcBorders>
          </w:tcPr>
          <w:p w14:paraId="7A1D2E47" w14:textId="77777777" w:rsidR="00792B8A" w:rsidRPr="004C4D30" w:rsidRDefault="00792B8A" w:rsidP="00A34510">
            <w:pPr>
              <w:pStyle w:val="PI-TableText"/>
              <w:spacing w:before="60" w:after="60" w:line="240" w:lineRule="atLeast"/>
              <w:rPr>
                <w:szCs w:val="18"/>
              </w:rPr>
            </w:pPr>
            <w:r w:rsidRPr="004C4D30">
              <w:rPr>
                <w:szCs w:val="18"/>
              </w:rPr>
              <w:t xml:space="preserve">Interrupt </w:t>
            </w:r>
            <w:proofErr w:type="spellStart"/>
            <w:r w:rsidRPr="004C4D30">
              <w:rPr>
                <w:szCs w:val="18"/>
              </w:rPr>
              <w:t>Blincyto</w:t>
            </w:r>
            <w:proofErr w:type="spellEnd"/>
            <w:r w:rsidRPr="004C4D30">
              <w:rPr>
                <w:szCs w:val="18"/>
              </w:rPr>
              <w:t xml:space="preserve"> until no more than Grade 1 (mild), then restart </w:t>
            </w:r>
            <w:proofErr w:type="spellStart"/>
            <w:r w:rsidRPr="004C4D30">
              <w:rPr>
                <w:szCs w:val="18"/>
              </w:rPr>
              <w:t>Blincyto</w:t>
            </w:r>
            <w:proofErr w:type="spellEnd"/>
            <w:r w:rsidRPr="004C4D30">
              <w:rPr>
                <w:szCs w:val="18"/>
              </w:rPr>
              <w:t xml:space="preserve"> at 5 micrograms/m</w:t>
            </w:r>
            <w:r w:rsidRPr="004C4D30">
              <w:rPr>
                <w:szCs w:val="18"/>
                <w:vertAlign w:val="superscript"/>
              </w:rPr>
              <w:t>2</w:t>
            </w:r>
            <w:r w:rsidRPr="004C4D30">
              <w:rPr>
                <w:szCs w:val="18"/>
              </w:rPr>
              <w:t>/day.  Escalate to 15 micrograms/m</w:t>
            </w:r>
            <w:r w:rsidRPr="004C4D30">
              <w:rPr>
                <w:szCs w:val="18"/>
                <w:vertAlign w:val="superscript"/>
              </w:rPr>
              <w:t>2</w:t>
            </w:r>
            <w:r w:rsidRPr="004C4D30">
              <w:rPr>
                <w:szCs w:val="18"/>
              </w:rPr>
              <w:t xml:space="preserve">/day after 7 days if the toxicity does not recur.  </w:t>
            </w:r>
          </w:p>
        </w:tc>
      </w:tr>
      <w:tr w:rsidR="00792B8A" w:rsidRPr="004C4D30" w14:paraId="26984E63" w14:textId="77777777" w:rsidTr="00A3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left w:val="single" w:sz="4" w:space="0" w:color="auto"/>
              <w:bottom w:val="single" w:sz="4" w:space="0" w:color="auto"/>
            </w:tcBorders>
            <w:shd w:val="clear" w:color="auto" w:fill="auto"/>
          </w:tcPr>
          <w:p w14:paraId="2F7C042F" w14:textId="77777777" w:rsidR="00792B8A" w:rsidRPr="004C4D30" w:rsidRDefault="00792B8A" w:rsidP="00A34510">
            <w:pPr>
              <w:pStyle w:val="PI-TableText"/>
              <w:spacing w:before="60" w:after="60" w:line="240" w:lineRule="atLeast"/>
              <w:rPr>
                <w:szCs w:val="18"/>
              </w:rPr>
            </w:pPr>
          </w:p>
        </w:tc>
        <w:tc>
          <w:tcPr>
            <w:tcW w:w="963" w:type="dxa"/>
            <w:tcBorders>
              <w:top w:val="single" w:sz="4" w:space="0" w:color="auto"/>
              <w:bottom w:val="single" w:sz="4" w:space="0" w:color="auto"/>
            </w:tcBorders>
            <w:shd w:val="clear" w:color="auto" w:fill="auto"/>
          </w:tcPr>
          <w:p w14:paraId="43B941C3" w14:textId="77777777" w:rsidR="00792B8A" w:rsidRPr="004C4D30" w:rsidRDefault="00792B8A" w:rsidP="00A34510">
            <w:pPr>
              <w:pStyle w:val="PI-TableText"/>
              <w:spacing w:before="60" w:after="60" w:line="240" w:lineRule="atLeast"/>
              <w:rPr>
                <w:szCs w:val="18"/>
              </w:rPr>
            </w:pPr>
            <w:r w:rsidRPr="004C4D30">
              <w:rPr>
                <w:szCs w:val="18"/>
              </w:rPr>
              <w:t xml:space="preserve">Grade 4 </w:t>
            </w:r>
          </w:p>
        </w:tc>
        <w:tc>
          <w:tcPr>
            <w:tcW w:w="6379" w:type="dxa"/>
            <w:gridSpan w:val="2"/>
            <w:tcBorders>
              <w:top w:val="single" w:sz="4" w:space="0" w:color="auto"/>
              <w:bottom w:val="single" w:sz="4" w:space="0" w:color="auto"/>
              <w:right w:val="single" w:sz="4" w:space="0" w:color="auto"/>
            </w:tcBorders>
            <w:shd w:val="clear" w:color="auto" w:fill="auto"/>
          </w:tcPr>
          <w:p w14:paraId="351CA2A4" w14:textId="77777777" w:rsidR="00792B8A" w:rsidRPr="004C4D30" w:rsidRDefault="00792B8A" w:rsidP="00A34510">
            <w:pPr>
              <w:pStyle w:val="PI-TableText"/>
              <w:spacing w:before="60" w:after="60" w:line="240" w:lineRule="atLeast"/>
              <w:rPr>
                <w:szCs w:val="18"/>
              </w:rPr>
            </w:pPr>
            <w:r w:rsidRPr="004C4D30">
              <w:rPr>
                <w:szCs w:val="18"/>
              </w:rPr>
              <w:t xml:space="preserve">Consider discontinuing </w:t>
            </w:r>
            <w:proofErr w:type="spellStart"/>
            <w:r w:rsidRPr="004C4D30">
              <w:rPr>
                <w:szCs w:val="18"/>
              </w:rPr>
              <w:t>Blincyto</w:t>
            </w:r>
            <w:proofErr w:type="spellEnd"/>
            <w:r w:rsidRPr="004C4D30">
              <w:rPr>
                <w:szCs w:val="18"/>
              </w:rPr>
              <w:t xml:space="preserve"> permanently.</w:t>
            </w:r>
            <w:r w:rsidRPr="004C4D30" w:rsidDel="005B0F84">
              <w:rPr>
                <w:szCs w:val="18"/>
              </w:rPr>
              <w:t xml:space="preserve"> </w:t>
            </w:r>
          </w:p>
        </w:tc>
      </w:tr>
      <w:tr w:rsidR="00792B8A" w:rsidRPr="004C4D30" w14:paraId="22DC5B8D" w14:textId="77777777" w:rsidTr="00A3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7" w:type="dxa"/>
            <w:gridSpan w:val="4"/>
            <w:tcBorders>
              <w:top w:val="single" w:sz="4" w:space="0" w:color="auto"/>
            </w:tcBorders>
            <w:shd w:val="clear" w:color="auto" w:fill="auto"/>
          </w:tcPr>
          <w:p w14:paraId="3C03F984" w14:textId="77777777" w:rsidR="00792B8A" w:rsidRDefault="00792B8A" w:rsidP="00A34510">
            <w:pPr>
              <w:pStyle w:val="PI-TableText"/>
              <w:spacing w:before="60" w:after="60" w:line="240" w:lineRule="atLeast"/>
              <w:rPr>
                <w:sz w:val="18"/>
                <w:szCs w:val="18"/>
              </w:rPr>
            </w:pPr>
            <w:r w:rsidRPr="004C4D30">
              <w:rPr>
                <w:sz w:val="18"/>
                <w:szCs w:val="18"/>
              </w:rPr>
              <w:t xml:space="preserve">*Based on the Common Terminology Criteria for Adverse Events (CTCAE).  Grade 3 is severe, and Grade 4 is life-threatening.  </w:t>
            </w:r>
          </w:p>
          <w:p w14:paraId="7F8816B7" w14:textId="77777777" w:rsidR="00792B8A" w:rsidRPr="004C4D30" w:rsidRDefault="00792B8A" w:rsidP="00A34510">
            <w:pPr>
              <w:pStyle w:val="PI-TableText"/>
              <w:spacing w:before="60" w:after="60" w:line="240" w:lineRule="atLeast"/>
              <w:rPr>
                <w:sz w:val="18"/>
                <w:szCs w:val="18"/>
              </w:rPr>
            </w:pPr>
          </w:p>
        </w:tc>
      </w:tr>
    </w:tbl>
    <w:p w14:paraId="7AB0E771" w14:textId="77777777" w:rsidR="00792B8A" w:rsidRPr="006F0829" w:rsidRDefault="00792B8A" w:rsidP="00792B8A">
      <w:pPr>
        <w:pStyle w:val="Heading4"/>
      </w:pPr>
      <w:r w:rsidRPr="006F0829">
        <w:t xml:space="preserve">Special </w:t>
      </w:r>
      <w:r>
        <w:t>p</w:t>
      </w:r>
      <w:r w:rsidRPr="006F0829">
        <w:t>opulations</w:t>
      </w:r>
    </w:p>
    <w:p w14:paraId="6FABD53B" w14:textId="77777777" w:rsidR="00792B8A" w:rsidRPr="006F0829" w:rsidRDefault="00792B8A" w:rsidP="00792B8A">
      <w:pPr>
        <w:pStyle w:val="Heading5"/>
        <w:rPr>
          <w:lang w:val="en-GB"/>
        </w:rPr>
      </w:pPr>
      <w:r w:rsidRPr="00C9791F">
        <w:t>Use</w:t>
      </w:r>
      <w:r w:rsidRPr="006F0829">
        <w:rPr>
          <w:lang w:val="en-GB"/>
        </w:rPr>
        <w:t xml:space="preserve"> in </w:t>
      </w:r>
      <w:r>
        <w:rPr>
          <w:lang w:val="en-GB"/>
        </w:rPr>
        <w:t>e</w:t>
      </w:r>
      <w:r w:rsidRPr="006F0829">
        <w:rPr>
          <w:lang w:val="en-GB"/>
        </w:rPr>
        <w:t>lderly</w:t>
      </w:r>
    </w:p>
    <w:p w14:paraId="2E2029F4" w14:textId="77777777" w:rsidR="00792B8A" w:rsidRPr="00A8610E" w:rsidRDefault="00792B8A" w:rsidP="00792B8A">
      <w:pPr>
        <w:pStyle w:val="Text"/>
        <w:rPr>
          <w:rFonts w:ascii="Arial" w:eastAsia="Times New Roman" w:hAnsi="Arial" w:cs="Arial"/>
          <w:szCs w:val="20"/>
          <w:lang w:val="en-GB" w:eastAsia="en-AU"/>
        </w:rPr>
      </w:pPr>
      <w:r w:rsidRPr="00A8610E">
        <w:rPr>
          <w:rFonts w:ascii="Arial" w:eastAsia="Times New Roman" w:hAnsi="Arial" w:cs="Arial"/>
          <w:szCs w:val="20"/>
          <w:lang w:val="en-GB" w:eastAsia="en-AU"/>
        </w:rPr>
        <w:t>No dose adjustment is necessary in elderly patients (≥ 65 years of age).</w:t>
      </w:r>
    </w:p>
    <w:p w14:paraId="22F63050" w14:textId="77777777" w:rsidR="00792B8A" w:rsidRPr="006F0829" w:rsidRDefault="00792B8A" w:rsidP="00792B8A">
      <w:pPr>
        <w:pStyle w:val="Heading5"/>
        <w:rPr>
          <w:lang w:val="en-GB"/>
        </w:rPr>
      </w:pPr>
      <w:r w:rsidRPr="006F0829">
        <w:rPr>
          <w:lang w:val="en-GB"/>
        </w:rPr>
        <w:lastRenderedPageBreak/>
        <w:t>Renal impairment</w:t>
      </w:r>
    </w:p>
    <w:p w14:paraId="59A82927" w14:textId="77777777" w:rsidR="00792B8A" w:rsidRPr="00A8610E" w:rsidRDefault="00792B8A" w:rsidP="00792B8A">
      <w:pPr>
        <w:pStyle w:val="Text"/>
        <w:rPr>
          <w:rFonts w:ascii="Arial" w:eastAsia="Times New Roman" w:hAnsi="Arial" w:cs="Arial"/>
          <w:szCs w:val="20"/>
          <w:lang w:val="en-GB" w:eastAsia="en-AU"/>
        </w:rPr>
      </w:pPr>
      <w:r w:rsidRPr="00A8610E">
        <w:rPr>
          <w:rFonts w:ascii="Arial" w:eastAsia="Times New Roman" w:hAnsi="Arial" w:cs="Arial"/>
          <w:szCs w:val="20"/>
          <w:lang w:val="en-GB" w:eastAsia="en-AU"/>
        </w:rPr>
        <w:t xml:space="preserve">No formal pharmacokinetic studies using </w:t>
      </w:r>
      <w:proofErr w:type="spellStart"/>
      <w:r w:rsidRPr="00A8610E">
        <w:rPr>
          <w:rFonts w:ascii="Arial" w:eastAsia="Times New Roman" w:hAnsi="Arial" w:cs="Arial"/>
          <w:szCs w:val="20"/>
          <w:lang w:val="en-GB" w:eastAsia="en-AU"/>
        </w:rPr>
        <w:t>Blincyto</w:t>
      </w:r>
      <w:proofErr w:type="spellEnd"/>
      <w:r w:rsidRPr="00A8610E">
        <w:rPr>
          <w:rFonts w:ascii="Arial" w:eastAsia="Times New Roman" w:hAnsi="Arial" w:cs="Arial"/>
          <w:szCs w:val="20"/>
          <w:lang w:val="en-GB" w:eastAsia="en-AU"/>
        </w:rPr>
        <w:t xml:space="preserve"> have been conducted in patients with renal impairment.  Based on pharmacokinetic analyses, dose adjustment is not necessary in patients with mild to moderate renal dysfunction (see </w:t>
      </w:r>
      <w:r>
        <w:rPr>
          <w:rFonts w:ascii="Arial" w:eastAsia="Times New Roman" w:hAnsi="Arial" w:cs="Arial"/>
          <w:szCs w:val="20"/>
          <w:lang w:val="en-GB" w:eastAsia="en-AU"/>
        </w:rPr>
        <w:t>Section 5.2 Pharmacokinetic properties</w:t>
      </w:r>
      <w:r w:rsidRPr="00A8610E">
        <w:rPr>
          <w:rFonts w:ascii="Arial" w:eastAsia="Times New Roman" w:hAnsi="Arial" w:cs="Arial"/>
          <w:szCs w:val="20"/>
          <w:lang w:val="en-GB" w:eastAsia="en-AU"/>
        </w:rPr>
        <w:t>).</w:t>
      </w:r>
    </w:p>
    <w:p w14:paraId="233FB0EF" w14:textId="77777777" w:rsidR="00792B8A" w:rsidRPr="006F0829" w:rsidRDefault="00792B8A" w:rsidP="00792B8A">
      <w:pPr>
        <w:pStyle w:val="Heading5"/>
        <w:rPr>
          <w:lang w:val="en-GB"/>
        </w:rPr>
      </w:pPr>
      <w:r w:rsidRPr="006F0829">
        <w:rPr>
          <w:lang w:val="en-GB"/>
        </w:rPr>
        <w:t>Hepatic impairment</w:t>
      </w:r>
    </w:p>
    <w:p w14:paraId="18F7DA9E" w14:textId="34E7B59D" w:rsidR="00792B8A" w:rsidRPr="00792B8A" w:rsidRDefault="00792B8A" w:rsidP="00792B8A">
      <w:pPr>
        <w:pStyle w:val="Text"/>
        <w:rPr>
          <w:lang w:val="en-GB"/>
        </w:rPr>
      </w:pPr>
      <w:r w:rsidRPr="00A8610E">
        <w:rPr>
          <w:rFonts w:ascii="Arial" w:eastAsia="Times New Roman" w:hAnsi="Arial" w:cs="Arial"/>
          <w:szCs w:val="20"/>
          <w:lang w:val="en-GB" w:eastAsia="en-AU"/>
        </w:rPr>
        <w:t xml:space="preserve">No formal pharmacokinetic studies using </w:t>
      </w:r>
      <w:proofErr w:type="spellStart"/>
      <w:r w:rsidRPr="00A8610E">
        <w:rPr>
          <w:rFonts w:ascii="Arial" w:eastAsia="Times New Roman" w:hAnsi="Arial" w:cs="Arial"/>
          <w:szCs w:val="20"/>
          <w:lang w:val="en-GB" w:eastAsia="en-AU"/>
        </w:rPr>
        <w:t>Blincyto</w:t>
      </w:r>
      <w:proofErr w:type="spellEnd"/>
      <w:r w:rsidRPr="00A8610E">
        <w:rPr>
          <w:rFonts w:ascii="Arial" w:eastAsia="Times New Roman" w:hAnsi="Arial" w:cs="Arial"/>
          <w:szCs w:val="20"/>
          <w:lang w:val="en-GB" w:eastAsia="en-AU"/>
        </w:rPr>
        <w:t xml:space="preserve"> have been conducted in patients with hepatic impairment.</w:t>
      </w:r>
      <w:r>
        <w:rPr>
          <w:rFonts w:ascii="Arial" w:eastAsia="Times New Roman" w:hAnsi="Arial" w:cs="Arial"/>
          <w:szCs w:val="20"/>
          <w:lang w:val="en-GB" w:eastAsia="en-AU"/>
        </w:rPr>
        <w:t xml:space="preserve"> </w:t>
      </w:r>
      <w:r w:rsidRPr="00A8610E">
        <w:rPr>
          <w:rFonts w:ascii="Arial" w:eastAsia="Times New Roman" w:hAnsi="Arial" w:cs="Arial"/>
          <w:szCs w:val="20"/>
          <w:lang w:val="en-GB" w:eastAsia="en-AU"/>
        </w:rPr>
        <w:t xml:space="preserve"> Since </w:t>
      </w:r>
      <w:proofErr w:type="spellStart"/>
      <w:r w:rsidRPr="00A8610E">
        <w:rPr>
          <w:rFonts w:ascii="Arial" w:eastAsia="Times New Roman" w:hAnsi="Arial" w:cs="Arial"/>
          <w:szCs w:val="20"/>
          <w:lang w:val="en-GB" w:eastAsia="en-AU"/>
        </w:rPr>
        <w:t>Blincyto</w:t>
      </w:r>
      <w:proofErr w:type="spellEnd"/>
      <w:r w:rsidRPr="00A8610E">
        <w:rPr>
          <w:rFonts w:ascii="Arial" w:eastAsia="Times New Roman" w:hAnsi="Arial" w:cs="Arial"/>
          <w:szCs w:val="20"/>
          <w:lang w:val="en-GB" w:eastAsia="en-AU"/>
        </w:rPr>
        <w:t xml:space="preserve"> is a protein and not metabolised via the hepatic pathway, the effect of liver dysfunction on drug exposure is not expected and dose adjustment is not necessary (see </w:t>
      </w:r>
      <w:r>
        <w:rPr>
          <w:rFonts w:ascii="Arial" w:eastAsia="Times New Roman" w:hAnsi="Arial" w:cs="Arial"/>
          <w:szCs w:val="20"/>
          <w:lang w:val="en-GB" w:eastAsia="en-AU"/>
        </w:rPr>
        <w:t>Section 5.2 Pharmacokinetic properties</w:t>
      </w:r>
      <w:r w:rsidRPr="00A8610E">
        <w:rPr>
          <w:rFonts w:ascii="Arial" w:eastAsia="Times New Roman" w:hAnsi="Arial" w:cs="Arial"/>
          <w:szCs w:val="20"/>
          <w:lang w:val="en-GB" w:eastAsia="en-AU"/>
        </w:rPr>
        <w:t>).</w:t>
      </w:r>
    </w:p>
    <w:p w14:paraId="7E9226B5" w14:textId="77777777" w:rsidR="001A3992" w:rsidRDefault="001A3992" w:rsidP="001A3992">
      <w:pPr>
        <w:pStyle w:val="Heading2"/>
        <w:spacing w:before="0" w:after="120"/>
      </w:pPr>
      <w:r>
        <w:t>Contraindications</w:t>
      </w:r>
    </w:p>
    <w:p w14:paraId="47E3FCCB" w14:textId="17D7E4E0" w:rsidR="007D43DB" w:rsidRPr="00FF4079" w:rsidRDefault="007D43DB" w:rsidP="007D43DB">
      <w:pPr>
        <w:pStyle w:val="PI-Text"/>
      </w:pPr>
      <w:proofErr w:type="spellStart"/>
      <w:r w:rsidRPr="00FF4079">
        <w:t>Blincyto</w:t>
      </w:r>
      <w:proofErr w:type="spellEnd"/>
      <w:r w:rsidRPr="00FF4079">
        <w:rPr>
          <w:vertAlign w:val="superscript"/>
        </w:rPr>
        <w:t xml:space="preserve"> </w:t>
      </w:r>
      <w:r w:rsidRPr="00FF4079">
        <w:t xml:space="preserve">is contraindicated in patients with known hypersensitivity to CHO-cell derived proteins, </w:t>
      </w:r>
      <w:proofErr w:type="spellStart"/>
      <w:r w:rsidRPr="00FF4079">
        <w:t>blinatumomab</w:t>
      </w:r>
      <w:proofErr w:type="spellEnd"/>
      <w:r w:rsidRPr="00FF4079">
        <w:t xml:space="preserve"> or any of the excipients (see </w:t>
      </w:r>
      <w:r w:rsidR="00FA34EF">
        <w:t>Section</w:t>
      </w:r>
      <w:r w:rsidR="00871C4D">
        <w:t> </w:t>
      </w:r>
      <w:r w:rsidR="00FA34EF">
        <w:t xml:space="preserve">6.1 </w:t>
      </w:r>
      <w:r w:rsidR="00006DE6">
        <w:t xml:space="preserve">List of </w:t>
      </w:r>
      <w:r w:rsidR="007E0C29">
        <w:t>e</w:t>
      </w:r>
      <w:r w:rsidR="00006DE6">
        <w:t>xcipients</w:t>
      </w:r>
      <w:r w:rsidRPr="00FF4079">
        <w:t>).</w:t>
      </w:r>
    </w:p>
    <w:p w14:paraId="1065C826" w14:textId="77777777" w:rsidR="001A3992" w:rsidRDefault="00E74A56" w:rsidP="001A3992">
      <w:pPr>
        <w:pStyle w:val="Heading2"/>
        <w:spacing w:before="0" w:after="120"/>
      </w:pPr>
      <w:r>
        <w:t>Special warnings and p</w:t>
      </w:r>
      <w:r w:rsidR="001A3992">
        <w:t xml:space="preserve">recautions </w:t>
      </w:r>
      <w:r>
        <w:t>for use</w:t>
      </w:r>
    </w:p>
    <w:p w14:paraId="2BBC0976" w14:textId="6FA2DD0B" w:rsidR="007D43DB" w:rsidRPr="00FF4079" w:rsidRDefault="007D43DB" w:rsidP="007D43DB">
      <w:pPr>
        <w:pStyle w:val="Heading3"/>
      </w:pPr>
      <w:r w:rsidRPr="00FF4079">
        <w:t xml:space="preserve">Neurologic </w:t>
      </w:r>
      <w:r w:rsidR="001F412F">
        <w:t>e</w:t>
      </w:r>
      <w:r w:rsidRPr="00FF4079">
        <w:t>vents</w:t>
      </w:r>
    </w:p>
    <w:p w14:paraId="67C3BB6C" w14:textId="77777777" w:rsidR="007D43DB" w:rsidRPr="00FF4079" w:rsidRDefault="007D43DB" w:rsidP="007D43DB">
      <w:pPr>
        <w:pStyle w:val="PI-Text"/>
      </w:pPr>
      <w:r w:rsidRPr="00FF4079">
        <w:t xml:space="preserve">Neurologic events have been observed in patients receiving </w:t>
      </w:r>
      <w:proofErr w:type="spellStart"/>
      <w:r w:rsidRPr="00FF4079">
        <w:t>Blincyto</w:t>
      </w:r>
      <w:proofErr w:type="spellEnd"/>
      <w:r w:rsidRPr="00104C9D">
        <w:t xml:space="preserve">. </w:t>
      </w:r>
      <w:r w:rsidR="000B7270">
        <w:t xml:space="preserve"> </w:t>
      </w:r>
      <w:r w:rsidRPr="00104C9D">
        <w:t>Among patients that experienced a neurologic event, the median time to the first event was within the first 2</w:t>
      </w:r>
      <w:r w:rsidR="000B7270">
        <w:t> </w:t>
      </w:r>
      <w:r w:rsidRPr="00104C9D">
        <w:t xml:space="preserve">weeks of </w:t>
      </w:r>
      <w:proofErr w:type="spellStart"/>
      <w:r w:rsidRPr="00104C9D">
        <w:t>Blincyto</w:t>
      </w:r>
      <w:proofErr w:type="spellEnd"/>
      <w:r w:rsidRPr="00104C9D">
        <w:t xml:space="preserve"> treatment and the majority of events resolved.  Infrequently, a neurologic event led to treatment discontinuation.</w:t>
      </w:r>
      <w:r>
        <w:rPr>
          <w:sz w:val="20"/>
        </w:rPr>
        <w:t xml:space="preserve"> </w:t>
      </w:r>
      <w:r w:rsidR="000B7270">
        <w:rPr>
          <w:sz w:val="20"/>
        </w:rPr>
        <w:t xml:space="preserve"> </w:t>
      </w:r>
      <w:r w:rsidRPr="00FF4079">
        <w:t>Grade</w:t>
      </w:r>
      <w:r w:rsidR="000B7270">
        <w:t> </w:t>
      </w:r>
      <w:r w:rsidRPr="00FF4079">
        <w:t xml:space="preserve">3 or higher (severe or life-threatening) neurologic events following initiation of </w:t>
      </w:r>
      <w:proofErr w:type="spellStart"/>
      <w:r w:rsidRPr="00FF4079">
        <w:t>Blincyto</w:t>
      </w:r>
      <w:proofErr w:type="spellEnd"/>
      <w:r w:rsidRPr="00FF4079">
        <w:t xml:space="preserve"> administration included encephalopathy, </w:t>
      </w:r>
      <w:r>
        <w:t>seizures</w:t>
      </w:r>
      <w:r w:rsidRPr="00FF4079">
        <w:t xml:space="preserve">, speech disorders, disturbances in consciousness, confusion and disorientation, and coordination and balance disorders. </w:t>
      </w:r>
      <w:r>
        <w:t xml:space="preserve"> </w:t>
      </w:r>
      <w:r w:rsidRPr="00FF4079">
        <w:t>Some events were reported with a fatal outcome.</w:t>
      </w:r>
    </w:p>
    <w:p w14:paraId="5AFA09FB" w14:textId="6C7AB8C2" w:rsidR="007D43DB" w:rsidRPr="00FF4079" w:rsidRDefault="007D43DB" w:rsidP="007D43DB">
      <w:pPr>
        <w:pStyle w:val="PI-Text"/>
        <w:rPr>
          <w:iCs/>
        </w:rPr>
      </w:pPr>
      <w:r w:rsidRPr="00FF4079">
        <w:t xml:space="preserve">There is limited experience with </w:t>
      </w:r>
      <w:proofErr w:type="spellStart"/>
      <w:r w:rsidRPr="00FF4079">
        <w:t>Blincyto</w:t>
      </w:r>
      <w:proofErr w:type="spellEnd"/>
      <w:r w:rsidRPr="00FF4079">
        <w:t xml:space="preserve"> in patients with active ALL in the central nervous system (CNS) or a history of neurologic events. </w:t>
      </w:r>
      <w:r w:rsidR="000B7270">
        <w:t xml:space="preserve"> </w:t>
      </w:r>
      <w:r w:rsidRPr="00FF4079">
        <w:t xml:space="preserve">Patients with a history or presence of clinically relevant CNS pathology were excluded from clinical trials. </w:t>
      </w:r>
      <w:r w:rsidR="000B7270">
        <w:t xml:space="preserve"> </w:t>
      </w:r>
      <w:r w:rsidRPr="00FF4079">
        <w:t xml:space="preserve">Patients receiving </w:t>
      </w:r>
      <w:proofErr w:type="spellStart"/>
      <w:r w:rsidRPr="00FF4079">
        <w:t>Blincyto</w:t>
      </w:r>
      <w:proofErr w:type="spellEnd"/>
      <w:r w:rsidRPr="00FF4079">
        <w:t xml:space="preserve"> should be clinically monitored for signs and symptoms of neurologic events. </w:t>
      </w:r>
      <w:r w:rsidR="000B7270">
        <w:t xml:space="preserve"> </w:t>
      </w:r>
      <w:r w:rsidRPr="00FF4079">
        <w:t xml:space="preserve">Management of these signs and symptoms may require either temporary interruption or discontinuation of </w:t>
      </w:r>
      <w:proofErr w:type="spellStart"/>
      <w:r w:rsidRPr="00FF4079">
        <w:t>Blincyto</w:t>
      </w:r>
      <w:proofErr w:type="spellEnd"/>
      <w:r w:rsidRPr="00FF4079">
        <w:t xml:space="preserve"> </w:t>
      </w:r>
      <w:r w:rsidRPr="00FF4079">
        <w:rPr>
          <w:iCs/>
        </w:rPr>
        <w:t xml:space="preserve">(see </w:t>
      </w:r>
      <w:r w:rsidR="00FA34EF">
        <w:rPr>
          <w:iCs/>
        </w:rPr>
        <w:t>Section</w:t>
      </w:r>
      <w:r w:rsidR="000B7270">
        <w:rPr>
          <w:iCs/>
        </w:rPr>
        <w:t> </w:t>
      </w:r>
      <w:r w:rsidR="00FA34EF">
        <w:rPr>
          <w:iCs/>
        </w:rPr>
        <w:t xml:space="preserve">4.2 </w:t>
      </w:r>
      <w:r w:rsidR="001F412F">
        <w:rPr>
          <w:iCs/>
        </w:rPr>
        <w:t>Dose and method of administration</w:t>
      </w:r>
      <w:r w:rsidRPr="00FF4079">
        <w:rPr>
          <w:iCs/>
        </w:rPr>
        <w:t xml:space="preserve">, </w:t>
      </w:r>
      <w:r w:rsidR="00136780">
        <w:rPr>
          <w:iCs/>
        </w:rPr>
        <w:t>Dosage adjustment</w:t>
      </w:r>
      <w:r w:rsidRPr="00FF4079">
        <w:rPr>
          <w:iCs/>
        </w:rPr>
        <w:t>).</w:t>
      </w:r>
    </w:p>
    <w:p w14:paraId="455DC3AA" w14:textId="77777777" w:rsidR="007D43DB" w:rsidRPr="00FF4079" w:rsidRDefault="007D43DB" w:rsidP="007D43DB">
      <w:pPr>
        <w:pStyle w:val="Heading3"/>
      </w:pPr>
      <w:r w:rsidRPr="00FF4079">
        <w:lastRenderedPageBreak/>
        <w:t>Infections</w:t>
      </w:r>
    </w:p>
    <w:p w14:paraId="392836A9" w14:textId="77777777" w:rsidR="007D43DB" w:rsidRPr="00FF4079" w:rsidRDefault="007D43DB" w:rsidP="007D43DB">
      <w:pPr>
        <w:pStyle w:val="PI-Text"/>
      </w:pPr>
      <w:r w:rsidRPr="00FF4079">
        <w:t xml:space="preserve">Patients with ALL are immunocompromised and consequently at increased risk for serious infections. </w:t>
      </w:r>
      <w:r w:rsidR="000B7270">
        <w:t xml:space="preserve"> </w:t>
      </w:r>
      <w:r w:rsidRPr="00FF4079">
        <w:t xml:space="preserve">In patients receiving </w:t>
      </w:r>
      <w:proofErr w:type="spellStart"/>
      <w:r w:rsidRPr="00FF4079">
        <w:t>Blincyto</w:t>
      </w:r>
      <w:proofErr w:type="spellEnd"/>
      <w:r w:rsidRPr="00FF4079">
        <w:t xml:space="preserve">, serious infections, including sepsis, pneumonia, bacteraemia, opportunistic infections, and catheter site infections have been observed, some of which were life-threatening or fatal. </w:t>
      </w:r>
      <w:r w:rsidR="000B7270">
        <w:t xml:space="preserve"> </w:t>
      </w:r>
      <w:r w:rsidRPr="00FF4079">
        <w:t xml:space="preserve">There is limited experience with </w:t>
      </w:r>
      <w:proofErr w:type="spellStart"/>
      <w:r w:rsidRPr="00FF4079">
        <w:t>Blincyto</w:t>
      </w:r>
      <w:proofErr w:type="spellEnd"/>
      <w:r w:rsidRPr="00FF4079">
        <w:t xml:space="preserve"> in patients with an active uncontrolled infection.</w:t>
      </w:r>
    </w:p>
    <w:p w14:paraId="56C5CC6E" w14:textId="46620621" w:rsidR="007D43DB" w:rsidRPr="00FF4079" w:rsidRDefault="007D43DB" w:rsidP="007D43DB">
      <w:pPr>
        <w:pStyle w:val="PI-Text"/>
      </w:pPr>
      <w:r w:rsidRPr="00FF4079">
        <w:t>Monitor patients for signs and symptoms of infection and treat appropriately.</w:t>
      </w:r>
      <w:r w:rsidR="000B7270">
        <w:t xml:space="preserve"> </w:t>
      </w:r>
      <w:r w:rsidRPr="00FF4079">
        <w:t xml:space="preserve"> Management of infections may require either temporary interruption or discontinuation of </w:t>
      </w:r>
      <w:proofErr w:type="spellStart"/>
      <w:r w:rsidRPr="00FF4079">
        <w:t>Blincyto</w:t>
      </w:r>
      <w:proofErr w:type="spellEnd"/>
      <w:r w:rsidRPr="00FF4079">
        <w:t xml:space="preserve"> </w:t>
      </w:r>
      <w:r w:rsidRPr="00FF4079">
        <w:rPr>
          <w:iCs/>
        </w:rPr>
        <w:t xml:space="preserve">(see </w:t>
      </w:r>
      <w:r w:rsidR="00FA34EF">
        <w:rPr>
          <w:iCs/>
        </w:rPr>
        <w:t>Section</w:t>
      </w:r>
      <w:r w:rsidR="000B7270">
        <w:rPr>
          <w:iCs/>
        </w:rPr>
        <w:t> </w:t>
      </w:r>
      <w:r w:rsidR="00FA34EF">
        <w:rPr>
          <w:iCs/>
        </w:rPr>
        <w:t xml:space="preserve">4.2 </w:t>
      </w:r>
      <w:r w:rsidR="001F412F">
        <w:rPr>
          <w:iCs/>
        </w:rPr>
        <w:t>Dose and method of administration</w:t>
      </w:r>
      <w:r w:rsidRPr="00FF4079">
        <w:rPr>
          <w:iCs/>
        </w:rPr>
        <w:t xml:space="preserve">, </w:t>
      </w:r>
      <w:r w:rsidR="00136780">
        <w:rPr>
          <w:iCs/>
        </w:rPr>
        <w:t>Dosage adjustment</w:t>
      </w:r>
      <w:r w:rsidRPr="00FF4079">
        <w:rPr>
          <w:iCs/>
        </w:rPr>
        <w:t>).</w:t>
      </w:r>
      <w:r w:rsidRPr="00FF4079">
        <w:rPr>
          <w:noProof/>
        </w:rPr>
        <w:t xml:space="preserve"> </w:t>
      </w:r>
    </w:p>
    <w:p w14:paraId="7D408C65" w14:textId="537158E4" w:rsidR="007D43DB" w:rsidRPr="00FF4079" w:rsidRDefault="007D43DB" w:rsidP="007D43DB">
      <w:pPr>
        <w:pStyle w:val="PI-Text"/>
      </w:pPr>
      <w:proofErr w:type="spellStart"/>
      <w:r w:rsidRPr="00FF4079">
        <w:t>Blincyto</w:t>
      </w:r>
      <w:proofErr w:type="spellEnd"/>
      <w:r w:rsidRPr="00FF4079">
        <w:t xml:space="preserve"> should be prepared by personnel appropriately trained in aseptic preparation of oncology drugs. </w:t>
      </w:r>
      <w:r w:rsidR="000B7270">
        <w:t xml:space="preserve"> </w:t>
      </w:r>
      <w:r w:rsidRPr="00FF4079">
        <w:t xml:space="preserve">Aseptic technique must be strictly observed when preparing the solution for infusion and when performing routine catheter care </w:t>
      </w:r>
      <w:r w:rsidRPr="00FF4079">
        <w:rPr>
          <w:iCs/>
        </w:rPr>
        <w:t xml:space="preserve">(see </w:t>
      </w:r>
      <w:r w:rsidR="00FA34EF">
        <w:t>Section</w:t>
      </w:r>
      <w:r w:rsidR="000B7270">
        <w:t> </w:t>
      </w:r>
      <w:r w:rsidR="00FA34EF">
        <w:t xml:space="preserve">4.2 </w:t>
      </w:r>
      <w:r w:rsidR="001F412F">
        <w:t>Dose and method of administration</w:t>
      </w:r>
      <w:r w:rsidRPr="00FF4079">
        <w:t xml:space="preserve">, </w:t>
      </w:r>
      <w:r w:rsidR="001F412F">
        <w:t>Reconstitution and preparation of solution for infusion</w:t>
      </w:r>
      <w:r w:rsidRPr="00FF4079">
        <w:t>).</w:t>
      </w:r>
    </w:p>
    <w:p w14:paraId="3057093C" w14:textId="3ED1D8F7" w:rsidR="007D43DB" w:rsidRPr="00FF4079" w:rsidRDefault="007D43DB" w:rsidP="007D43DB">
      <w:pPr>
        <w:pStyle w:val="Heading3"/>
      </w:pPr>
      <w:r w:rsidRPr="00FF4079">
        <w:t xml:space="preserve">Cytokine </w:t>
      </w:r>
      <w:r w:rsidR="001F412F">
        <w:t>r</w:t>
      </w:r>
      <w:r w:rsidRPr="00FF4079">
        <w:t xml:space="preserve">elease </w:t>
      </w:r>
      <w:r w:rsidR="001F412F">
        <w:t>s</w:t>
      </w:r>
      <w:r w:rsidRPr="00FF4079">
        <w:t xml:space="preserve">yndrome </w:t>
      </w:r>
    </w:p>
    <w:p w14:paraId="160A1718" w14:textId="0EF94A0D" w:rsidR="007D43DB" w:rsidRPr="00FF4079" w:rsidRDefault="007D43DB" w:rsidP="007D43DB">
      <w:pPr>
        <w:pStyle w:val="PI-Text"/>
      </w:pPr>
      <w:r w:rsidRPr="00FF4079">
        <w:t xml:space="preserve">Cytokine Release Syndrome (CRS) which may be life-threatening or fatal has been reported in patients receiving </w:t>
      </w:r>
      <w:proofErr w:type="spellStart"/>
      <w:r w:rsidRPr="00FF4079">
        <w:t>Blincyto</w:t>
      </w:r>
      <w:proofErr w:type="spellEnd"/>
      <w:r w:rsidRPr="00FF4079">
        <w:t xml:space="preserve"> </w:t>
      </w:r>
      <w:r w:rsidRPr="00A22D80">
        <w:rPr>
          <w:color w:val="000000" w:themeColor="text1"/>
        </w:rPr>
        <w:t>(</w:t>
      </w:r>
      <w:r w:rsidR="00791E2D" w:rsidRPr="00A22D80">
        <w:rPr>
          <w:color w:val="000000" w:themeColor="text1"/>
        </w:rPr>
        <w:t>see Section</w:t>
      </w:r>
      <w:r w:rsidR="000B7270" w:rsidRPr="00A22D80">
        <w:rPr>
          <w:color w:val="000000" w:themeColor="text1"/>
        </w:rPr>
        <w:t> </w:t>
      </w:r>
      <w:r w:rsidR="00791E2D" w:rsidRPr="00A22D80">
        <w:rPr>
          <w:color w:val="000000" w:themeColor="text1"/>
        </w:rPr>
        <w:t xml:space="preserve">4.8 </w:t>
      </w:r>
      <w:r w:rsidR="00006DE6" w:rsidRPr="00A22D80">
        <w:rPr>
          <w:color w:val="000000" w:themeColor="text1"/>
        </w:rPr>
        <w:t xml:space="preserve">Adverse </w:t>
      </w:r>
      <w:r w:rsidR="001F412F" w:rsidRPr="00A22D80">
        <w:rPr>
          <w:color w:val="000000" w:themeColor="text1"/>
        </w:rPr>
        <w:t>e</w:t>
      </w:r>
      <w:r w:rsidR="00006DE6" w:rsidRPr="00A22D80">
        <w:rPr>
          <w:color w:val="000000" w:themeColor="text1"/>
        </w:rPr>
        <w:t xml:space="preserve">ffects (Undesirable </w:t>
      </w:r>
      <w:r w:rsidR="001F412F" w:rsidRPr="00A22D80">
        <w:rPr>
          <w:color w:val="000000" w:themeColor="text1"/>
        </w:rPr>
        <w:t>e</w:t>
      </w:r>
      <w:r w:rsidR="00006DE6" w:rsidRPr="00A22D80">
        <w:rPr>
          <w:color w:val="000000" w:themeColor="text1"/>
        </w:rPr>
        <w:t>ffects)</w:t>
      </w:r>
      <w:r w:rsidRPr="00A22D80">
        <w:rPr>
          <w:color w:val="000000" w:themeColor="text1"/>
        </w:rPr>
        <w:t xml:space="preserve">).  </w:t>
      </w:r>
    </w:p>
    <w:p w14:paraId="1C24B476" w14:textId="77777777" w:rsidR="007D43DB" w:rsidRPr="00FF4079" w:rsidRDefault="007D43DB" w:rsidP="007D43DB">
      <w:pPr>
        <w:pStyle w:val="PI-Text"/>
      </w:pPr>
      <w:r w:rsidRPr="00FF4079">
        <w:t xml:space="preserve">Serious adverse events that may be associated with CRS included pyrexia, asthenia, headache, hypotension, total bilirubin increased, and nausea; these events infrequently led to </w:t>
      </w:r>
      <w:proofErr w:type="spellStart"/>
      <w:r w:rsidRPr="00FF4079">
        <w:t>Blincyto</w:t>
      </w:r>
      <w:proofErr w:type="spellEnd"/>
      <w:r w:rsidRPr="00FF4079">
        <w:t xml:space="preserve"> discontinuation.  In some cases, disseminated intravascular coagulation, capillary leak syndrome, and </w:t>
      </w:r>
      <w:proofErr w:type="spellStart"/>
      <w:r w:rsidRPr="00FF4079">
        <w:t>haemophagocytic</w:t>
      </w:r>
      <w:proofErr w:type="spellEnd"/>
      <w:r w:rsidRPr="00FF4079">
        <w:t xml:space="preserve"> </w:t>
      </w:r>
      <w:proofErr w:type="spellStart"/>
      <w:r w:rsidRPr="00FF4079">
        <w:t>histiocytosis</w:t>
      </w:r>
      <w:proofErr w:type="spellEnd"/>
      <w:r w:rsidRPr="00FF4079">
        <w:t>/macrophage activation syndrome have been reported in the setting of CRS. Patients should be closely monitored for signs or symptoms of these events.</w:t>
      </w:r>
    </w:p>
    <w:p w14:paraId="472BC3F2" w14:textId="36D4832D" w:rsidR="007D43DB" w:rsidRPr="00FF4079" w:rsidRDefault="007D43DB" w:rsidP="007D43DB">
      <w:pPr>
        <w:pStyle w:val="PI-Text"/>
        <w:rPr>
          <w:iCs/>
        </w:rPr>
      </w:pPr>
      <w:r w:rsidRPr="00FF4079">
        <w:t xml:space="preserve">To mitigate the risk of CRS, it is important to initiate </w:t>
      </w:r>
      <w:proofErr w:type="spellStart"/>
      <w:r w:rsidRPr="00FF4079">
        <w:t>Blincyto</w:t>
      </w:r>
      <w:proofErr w:type="spellEnd"/>
      <w:r w:rsidRPr="00FF4079">
        <w:t xml:space="preserve"> (Cycle</w:t>
      </w:r>
      <w:r w:rsidR="009702E0">
        <w:t> </w:t>
      </w:r>
      <w:r w:rsidRPr="00FF4079">
        <w:t>1, Days</w:t>
      </w:r>
      <w:r w:rsidR="009702E0">
        <w:t> </w:t>
      </w:r>
      <w:r w:rsidRPr="00FF4079">
        <w:t>1-7) at the recommended starting dose in Table</w:t>
      </w:r>
      <w:r w:rsidR="009702E0">
        <w:t> 1</w:t>
      </w:r>
      <w:r w:rsidRPr="007A2BC3">
        <w:t xml:space="preserve"> and Table</w:t>
      </w:r>
      <w:r w:rsidR="009702E0">
        <w:t> 2</w:t>
      </w:r>
      <w:r w:rsidRPr="007A2BC3">
        <w:t xml:space="preserve">. </w:t>
      </w:r>
      <w:r w:rsidR="009702E0">
        <w:t xml:space="preserve"> </w:t>
      </w:r>
      <w:r w:rsidRPr="007A2BC3">
        <w:rPr>
          <w:rFonts w:eastAsia="Arial,Italic"/>
          <w:iCs/>
        </w:rPr>
        <w:t>Ma</w:t>
      </w:r>
      <w:r w:rsidRPr="00FF4079">
        <w:rPr>
          <w:rFonts w:eastAsia="Arial,Italic"/>
          <w:iCs/>
        </w:rPr>
        <w:t xml:space="preserve">nagement of CRS events may require either temporary interruption or discontinuation of </w:t>
      </w:r>
      <w:proofErr w:type="spellStart"/>
      <w:r w:rsidRPr="00FF4079">
        <w:rPr>
          <w:rFonts w:eastAsia="Arial,Italic"/>
          <w:iCs/>
        </w:rPr>
        <w:t>Blincyto</w:t>
      </w:r>
      <w:proofErr w:type="spellEnd"/>
      <w:r w:rsidRPr="00FF4079">
        <w:rPr>
          <w:rFonts w:eastAsia="Arial,Italic"/>
          <w:iCs/>
        </w:rPr>
        <w:t xml:space="preserve"> </w:t>
      </w:r>
      <w:r w:rsidRPr="00FF4079">
        <w:rPr>
          <w:iCs/>
        </w:rPr>
        <w:t>(</w:t>
      </w:r>
      <w:r w:rsidRPr="00FF4079">
        <w:t xml:space="preserve">see </w:t>
      </w:r>
      <w:r w:rsidR="00FA34EF">
        <w:t>Section</w:t>
      </w:r>
      <w:r w:rsidR="009702E0">
        <w:t> </w:t>
      </w:r>
      <w:r w:rsidR="00FA34EF">
        <w:t xml:space="preserve">4.2 </w:t>
      </w:r>
      <w:r w:rsidR="001F412F">
        <w:t>Dose and method of administration</w:t>
      </w:r>
      <w:r w:rsidRPr="00FF4079">
        <w:rPr>
          <w:iCs/>
        </w:rPr>
        <w:t xml:space="preserve">, </w:t>
      </w:r>
      <w:r w:rsidR="00136780">
        <w:rPr>
          <w:iCs/>
        </w:rPr>
        <w:t>Dosage adjustment</w:t>
      </w:r>
      <w:r w:rsidRPr="00FF4079">
        <w:rPr>
          <w:iCs/>
        </w:rPr>
        <w:t>).</w:t>
      </w:r>
    </w:p>
    <w:p w14:paraId="7508F3C7" w14:textId="4A797183" w:rsidR="007D43DB" w:rsidRPr="00FF4079" w:rsidRDefault="007D43DB" w:rsidP="007D43DB">
      <w:pPr>
        <w:pStyle w:val="Heading3"/>
      </w:pPr>
      <w:r w:rsidRPr="00FF4079">
        <w:t xml:space="preserve">Infusion </w:t>
      </w:r>
      <w:r w:rsidR="001F412F">
        <w:t>r</w:t>
      </w:r>
      <w:r w:rsidRPr="00FF4079">
        <w:t>eactions</w:t>
      </w:r>
    </w:p>
    <w:p w14:paraId="737D0377" w14:textId="77777777" w:rsidR="007D43DB" w:rsidRPr="00FF4079" w:rsidRDefault="007D43DB" w:rsidP="007D43DB">
      <w:pPr>
        <w:pStyle w:val="PI-Text"/>
      </w:pPr>
      <w:r w:rsidRPr="00FF4079">
        <w:t>Infusion reactions may be clinically indistinguishable from manifestations of CRS.</w:t>
      </w:r>
    </w:p>
    <w:p w14:paraId="1DFAD4E8" w14:textId="052C5A74" w:rsidR="007D43DB" w:rsidRPr="00FF4079" w:rsidRDefault="007D43DB" w:rsidP="007D43DB">
      <w:pPr>
        <w:pStyle w:val="PI-Text"/>
      </w:pPr>
      <w:r w:rsidRPr="00FF4079">
        <w:t xml:space="preserve">Patients should be observed closely for infusion reactions, especially during the first infusion of the first cycle and treated appropriately.  </w:t>
      </w:r>
      <w:r w:rsidRPr="00FF4079">
        <w:rPr>
          <w:rFonts w:eastAsia="Arial,Italic"/>
          <w:iCs/>
        </w:rPr>
        <w:t xml:space="preserve">Management of infusion reactions may require </w:t>
      </w:r>
      <w:r w:rsidRPr="00FF4079">
        <w:rPr>
          <w:rFonts w:eastAsia="Arial,Italic"/>
          <w:iCs/>
        </w:rPr>
        <w:lastRenderedPageBreak/>
        <w:t xml:space="preserve">either temporary interruption or discontinuation of </w:t>
      </w:r>
      <w:proofErr w:type="spellStart"/>
      <w:r w:rsidRPr="00FF4079">
        <w:rPr>
          <w:rFonts w:eastAsia="Arial,Italic"/>
          <w:iCs/>
        </w:rPr>
        <w:t>Blincyto</w:t>
      </w:r>
      <w:proofErr w:type="spellEnd"/>
      <w:r w:rsidRPr="00FF4079">
        <w:rPr>
          <w:rFonts w:eastAsia="Arial,Italic"/>
          <w:iCs/>
        </w:rPr>
        <w:t xml:space="preserve"> </w:t>
      </w:r>
      <w:r w:rsidRPr="00FF4079">
        <w:rPr>
          <w:iCs/>
        </w:rPr>
        <w:t xml:space="preserve">(see </w:t>
      </w:r>
      <w:r w:rsidR="00FA34EF">
        <w:t>Section</w:t>
      </w:r>
      <w:r w:rsidR="009702E0">
        <w:t> </w:t>
      </w:r>
      <w:r w:rsidR="00FA34EF">
        <w:t xml:space="preserve">4.2 </w:t>
      </w:r>
      <w:r w:rsidR="001F412F">
        <w:t>Dose and method of administration</w:t>
      </w:r>
      <w:r w:rsidRPr="00FF4079">
        <w:t xml:space="preserve">, </w:t>
      </w:r>
      <w:r w:rsidR="00136780">
        <w:t>Dosage adjustment</w:t>
      </w:r>
      <w:r w:rsidRPr="00FF4079">
        <w:rPr>
          <w:iCs/>
        </w:rPr>
        <w:t>)</w:t>
      </w:r>
      <w:r>
        <w:t>.</w:t>
      </w:r>
    </w:p>
    <w:p w14:paraId="3AC698AE" w14:textId="7D41D693" w:rsidR="007D43DB" w:rsidRPr="00FF4079" w:rsidRDefault="007D43DB" w:rsidP="007D43DB">
      <w:pPr>
        <w:pStyle w:val="Heading3"/>
      </w:pPr>
      <w:r w:rsidRPr="00FF4079">
        <w:t xml:space="preserve">Tumour </w:t>
      </w:r>
      <w:r w:rsidR="001F412F">
        <w:t>l</w:t>
      </w:r>
      <w:r w:rsidRPr="00FF4079">
        <w:t xml:space="preserve">ysis </w:t>
      </w:r>
      <w:r w:rsidR="001F412F">
        <w:t>s</w:t>
      </w:r>
      <w:r w:rsidRPr="00FF4079">
        <w:t xml:space="preserve">yndrome </w:t>
      </w:r>
    </w:p>
    <w:p w14:paraId="6FDC213A" w14:textId="77777777" w:rsidR="007D43DB" w:rsidRPr="00FF4079" w:rsidRDefault="007D43DB" w:rsidP="007D43DB">
      <w:pPr>
        <w:pStyle w:val="PI-Text"/>
      </w:pPr>
      <w:r w:rsidRPr="00FF4079">
        <w:t xml:space="preserve">Tumour Lysis Syndrome (TLS), which may be life-threatening or fatal has been observed in patients receiving </w:t>
      </w:r>
      <w:proofErr w:type="spellStart"/>
      <w:r w:rsidRPr="00FF4079">
        <w:t>Blincyto</w:t>
      </w:r>
      <w:proofErr w:type="spellEnd"/>
      <w:r w:rsidRPr="00FF4079">
        <w:t xml:space="preserve">.  </w:t>
      </w:r>
    </w:p>
    <w:p w14:paraId="6AF39BFD" w14:textId="61749E8F" w:rsidR="007D43DB" w:rsidRPr="00FF4079" w:rsidRDefault="007D43DB" w:rsidP="007D43DB">
      <w:pPr>
        <w:pStyle w:val="PI-Text"/>
      </w:pPr>
      <w:r w:rsidRPr="00FF4079">
        <w:t xml:space="preserve">Appropriate prophylactic measures including hydration should be used for the prevention of TLS during </w:t>
      </w:r>
      <w:proofErr w:type="spellStart"/>
      <w:r w:rsidRPr="00FF4079">
        <w:t>Blincyto</w:t>
      </w:r>
      <w:proofErr w:type="spellEnd"/>
      <w:r w:rsidRPr="00FF4079">
        <w:t xml:space="preserve"> treatment.  Patients should be closely monitored for signs or symptoms of TLS.  </w:t>
      </w:r>
      <w:r w:rsidRPr="00D8389E">
        <w:t xml:space="preserve">Management of these events may require either temporary interruption or discontinuation of </w:t>
      </w:r>
      <w:proofErr w:type="spellStart"/>
      <w:r w:rsidRPr="00D8389E">
        <w:t>Blincyto</w:t>
      </w:r>
      <w:proofErr w:type="spellEnd"/>
      <w:r w:rsidRPr="00D8389E">
        <w:t xml:space="preserve"> (see </w:t>
      </w:r>
      <w:r w:rsidR="00FA34EF">
        <w:t>Section</w:t>
      </w:r>
      <w:r w:rsidR="009702E0">
        <w:t> </w:t>
      </w:r>
      <w:r w:rsidR="00FA34EF">
        <w:t xml:space="preserve">4.2 </w:t>
      </w:r>
      <w:r w:rsidR="001F412F">
        <w:t>Dose and method of administration</w:t>
      </w:r>
      <w:r w:rsidRPr="00FF4079">
        <w:t xml:space="preserve">, </w:t>
      </w:r>
      <w:r w:rsidR="00136780">
        <w:t>Dosage adjustment</w:t>
      </w:r>
      <w:r w:rsidRPr="00D8389E">
        <w:t>)</w:t>
      </w:r>
      <w:r w:rsidRPr="00FF4079">
        <w:t xml:space="preserve">. </w:t>
      </w:r>
    </w:p>
    <w:p w14:paraId="1EB424BC" w14:textId="380B34D4" w:rsidR="007D43DB" w:rsidRPr="00FF4079" w:rsidRDefault="007D43DB" w:rsidP="007D43DB">
      <w:pPr>
        <w:pStyle w:val="Heading3"/>
      </w:pPr>
      <w:r w:rsidRPr="00FF4079">
        <w:t xml:space="preserve">Neutropenia and </w:t>
      </w:r>
      <w:r w:rsidR="001F412F">
        <w:t>f</w:t>
      </w:r>
      <w:r w:rsidRPr="00FF4079">
        <w:t xml:space="preserve">ebrile </w:t>
      </w:r>
      <w:r w:rsidR="001F412F">
        <w:t>n</w:t>
      </w:r>
      <w:r w:rsidRPr="00FF4079">
        <w:t>eutropenia</w:t>
      </w:r>
    </w:p>
    <w:p w14:paraId="7FF20274" w14:textId="77777777" w:rsidR="007D43DB" w:rsidRPr="00FF4079" w:rsidRDefault="007D43DB" w:rsidP="007D43DB">
      <w:pPr>
        <w:pStyle w:val="PI-Text"/>
      </w:pPr>
      <w:r w:rsidRPr="00FF4079">
        <w:t xml:space="preserve">Neutropenia and febrile neutropenia, including life threatening cases, have been observed in patients receiving </w:t>
      </w:r>
      <w:proofErr w:type="spellStart"/>
      <w:r w:rsidRPr="00FF4079">
        <w:t>Blincyto</w:t>
      </w:r>
      <w:proofErr w:type="spellEnd"/>
      <w:r w:rsidRPr="00FF4079">
        <w:t xml:space="preserve">.  </w:t>
      </w:r>
      <w:r w:rsidRPr="00D8389E">
        <w:t xml:space="preserve">Monitor laboratory parameters </w:t>
      </w:r>
      <w:r w:rsidRPr="00FF4079">
        <w:t xml:space="preserve">(including, but not limited to white blood cell count and absolute neutrophil count) during </w:t>
      </w:r>
      <w:proofErr w:type="spellStart"/>
      <w:r w:rsidRPr="00FF4079">
        <w:t>Blincyto</w:t>
      </w:r>
      <w:proofErr w:type="spellEnd"/>
      <w:r w:rsidRPr="00FF4079">
        <w:t xml:space="preserve"> infusion and treat appropriately.  </w:t>
      </w:r>
    </w:p>
    <w:p w14:paraId="02552B42" w14:textId="2C181C75" w:rsidR="007D43DB" w:rsidRPr="00FF4079" w:rsidRDefault="007D43DB" w:rsidP="007D43DB">
      <w:pPr>
        <w:pStyle w:val="Heading3"/>
      </w:pPr>
      <w:r w:rsidRPr="00FF4079">
        <w:t xml:space="preserve">Medication </w:t>
      </w:r>
      <w:r w:rsidR="001F412F">
        <w:t>e</w:t>
      </w:r>
      <w:r w:rsidRPr="00FF4079">
        <w:t>rrors</w:t>
      </w:r>
    </w:p>
    <w:p w14:paraId="1869340F" w14:textId="121BB5EA" w:rsidR="007D43DB" w:rsidRPr="00FF4079" w:rsidRDefault="007D43DB" w:rsidP="007D43DB">
      <w:pPr>
        <w:pStyle w:val="PI-Text"/>
        <w:rPr>
          <w:iCs/>
        </w:rPr>
      </w:pPr>
      <w:r w:rsidRPr="00D8389E">
        <w:t xml:space="preserve">Medication errors have been observed with </w:t>
      </w:r>
      <w:proofErr w:type="spellStart"/>
      <w:r w:rsidRPr="00D8389E">
        <w:t>Blincyto</w:t>
      </w:r>
      <w:proofErr w:type="spellEnd"/>
      <w:r w:rsidRPr="00D8389E">
        <w:t xml:space="preserve"> treatment.  It is very important that the instructions for preparation (including reconstitution and dilution) and administration ar</w:t>
      </w:r>
      <w:r w:rsidR="009702E0">
        <w:t xml:space="preserve">e strictly followed to minimise medication errors </w:t>
      </w:r>
      <w:r w:rsidRPr="00D8389E">
        <w:t xml:space="preserve">(including </w:t>
      </w:r>
      <w:proofErr w:type="spellStart"/>
      <w:r w:rsidRPr="00D8389E">
        <w:t>underdose</w:t>
      </w:r>
      <w:proofErr w:type="spellEnd"/>
      <w:r w:rsidRPr="00D8389E">
        <w:t xml:space="preserve"> and overdose) (see </w:t>
      </w:r>
      <w:r w:rsidR="00FA34EF">
        <w:t>Section</w:t>
      </w:r>
      <w:r w:rsidR="009702E0">
        <w:t> </w:t>
      </w:r>
      <w:r w:rsidR="00FA34EF">
        <w:t xml:space="preserve">4.2 </w:t>
      </w:r>
      <w:r w:rsidR="001F412F">
        <w:t>Dose and method of administration</w:t>
      </w:r>
      <w:r w:rsidRPr="00FF4079">
        <w:t xml:space="preserve">, </w:t>
      </w:r>
      <w:r w:rsidR="001F412F">
        <w:t>Preparation and administration</w:t>
      </w:r>
      <w:r w:rsidRPr="00FF4079">
        <w:t xml:space="preserve">, and Reconstitution and </w:t>
      </w:r>
      <w:r w:rsidR="001F412F">
        <w:t>p</w:t>
      </w:r>
      <w:r w:rsidRPr="00FF4079">
        <w:t xml:space="preserve">reparation of </w:t>
      </w:r>
      <w:r w:rsidR="001F412F">
        <w:t>s</w:t>
      </w:r>
      <w:r w:rsidRPr="00FF4079">
        <w:t xml:space="preserve">olution for </w:t>
      </w:r>
      <w:r w:rsidR="001F412F">
        <w:t>i</w:t>
      </w:r>
      <w:r w:rsidRPr="00FF4079">
        <w:t>nfusion</w:t>
      </w:r>
      <w:r w:rsidRPr="00D8389E">
        <w:t>).</w:t>
      </w:r>
    </w:p>
    <w:p w14:paraId="16FED5F5" w14:textId="27EB7F31" w:rsidR="007D43DB" w:rsidRPr="00FF4079" w:rsidRDefault="007D43DB" w:rsidP="007D43DB">
      <w:pPr>
        <w:pStyle w:val="Heading3"/>
      </w:pPr>
      <w:r w:rsidRPr="00FF4079">
        <w:t xml:space="preserve">Elevated </w:t>
      </w:r>
      <w:r w:rsidR="001F412F">
        <w:t>l</w:t>
      </w:r>
      <w:r w:rsidRPr="00FF4079">
        <w:t xml:space="preserve">iver </w:t>
      </w:r>
      <w:r w:rsidR="001F412F">
        <w:t>e</w:t>
      </w:r>
      <w:r w:rsidRPr="00FF4079">
        <w:t>nzymes</w:t>
      </w:r>
    </w:p>
    <w:p w14:paraId="4962CC74" w14:textId="77777777" w:rsidR="007D43DB" w:rsidRPr="00D8389E" w:rsidRDefault="007D43DB" w:rsidP="007D43DB">
      <w:pPr>
        <w:pStyle w:val="PI-Text"/>
      </w:pPr>
      <w:r w:rsidRPr="00FF4079">
        <w:t xml:space="preserve">Treatment with </w:t>
      </w:r>
      <w:proofErr w:type="spellStart"/>
      <w:r w:rsidRPr="00FF4079">
        <w:t>Blincyto</w:t>
      </w:r>
      <w:proofErr w:type="spellEnd"/>
      <w:r w:rsidRPr="00FF4079">
        <w:t xml:space="preserve"> was associated with transient elevations in liver enzymes.  The majority of the events were observed within the first week of </w:t>
      </w:r>
      <w:proofErr w:type="spellStart"/>
      <w:r w:rsidRPr="00FF4079">
        <w:t>Blincyto</w:t>
      </w:r>
      <w:proofErr w:type="spellEnd"/>
      <w:r w:rsidRPr="00FF4079">
        <w:t xml:space="preserve"> initiation and did not require interruption or discontinuation of </w:t>
      </w:r>
      <w:proofErr w:type="spellStart"/>
      <w:r w:rsidRPr="00FF4079">
        <w:t>Blincyto</w:t>
      </w:r>
      <w:proofErr w:type="spellEnd"/>
      <w:r w:rsidRPr="00FF4079">
        <w:t>.</w:t>
      </w:r>
    </w:p>
    <w:p w14:paraId="6E4A5DAC" w14:textId="77777777" w:rsidR="007D43DB" w:rsidRPr="00FF4079" w:rsidRDefault="007D43DB" w:rsidP="007D43DB">
      <w:pPr>
        <w:pStyle w:val="PI-Text"/>
      </w:pPr>
      <w:r w:rsidRPr="00FF4079">
        <w:t>Monitor alanine aminotransferase (ALT), aspartate aminotransferase (AST), gamma-</w:t>
      </w:r>
      <w:proofErr w:type="spellStart"/>
      <w:r w:rsidRPr="00FF4079">
        <w:t>glutamyl</w:t>
      </w:r>
      <w:proofErr w:type="spellEnd"/>
      <w:r w:rsidRPr="00FF4079">
        <w:t xml:space="preserve"> transferase (GGT), and total blood bilirubin prior to the start of and during </w:t>
      </w:r>
      <w:proofErr w:type="spellStart"/>
      <w:r w:rsidRPr="00FF4079">
        <w:t>Blincyto</w:t>
      </w:r>
      <w:proofErr w:type="spellEnd"/>
      <w:r w:rsidRPr="00FF4079">
        <w:t xml:space="preserve"> treatment.</w:t>
      </w:r>
    </w:p>
    <w:p w14:paraId="35F88007" w14:textId="77777777" w:rsidR="007D43DB" w:rsidRPr="00D8389E" w:rsidRDefault="007D43DB" w:rsidP="007D43DB">
      <w:pPr>
        <w:pStyle w:val="Heading3"/>
      </w:pPr>
      <w:r w:rsidRPr="00D8389E">
        <w:lastRenderedPageBreak/>
        <w:t>Pancreatitis</w:t>
      </w:r>
    </w:p>
    <w:p w14:paraId="19545FCA" w14:textId="77777777" w:rsidR="007D43DB" w:rsidRPr="00FF4079" w:rsidRDefault="007D43DB" w:rsidP="007D43DB">
      <w:pPr>
        <w:pStyle w:val="PI-Text"/>
      </w:pPr>
      <w:r w:rsidRPr="00FF4079">
        <w:t xml:space="preserve">Pancreatitis, life-threatening or fatal, has been reported in patients receiving </w:t>
      </w:r>
      <w:proofErr w:type="spellStart"/>
      <w:r w:rsidRPr="00FF4079">
        <w:t>Blincyto</w:t>
      </w:r>
      <w:proofErr w:type="spellEnd"/>
      <w:r w:rsidRPr="00FF4079">
        <w:t xml:space="preserve"> in clinical trials and the post marketing setting.</w:t>
      </w:r>
      <w:r>
        <w:t xml:space="preserve"> </w:t>
      </w:r>
      <w:r w:rsidRPr="00FF4079">
        <w:t xml:space="preserve"> High-dose steroid therapy may have contributed, in some cases, to the pancreatitis.</w:t>
      </w:r>
    </w:p>
    <w:p w14:paraId="54EB9AA7" w14:textId="577C0CF3" w:rsidR="007D43DB" w:rsidRPr="00FF4079" w:rsidRDefault="007D43DB" w:rsidP="007D43DB">
      <w:pPr>
        <w:pStyle w:val="PI-Text"/>
      </w:pPr>
      <w:r w:rsidRPr="00FF4079">
        <w:t xml:space="preserve">Evaluate patients who develop signs and symptoms of pancreatitis. </w:t>
      </w:r>
      <w:r>
        <w:t xml:space="preserve"> </w:t>
      </w:r>
      <w:r w:rsidRPr="00FF4079">
        <w:t xml:space="preserve">Management of pancreatitis may require either temporary interruption or discontinuation of </w:t>
      </w:r>
      <w:proofErr w:type="spellStart"/>
      <w:r w:rsidRPr="00FF4079">
        <w:t>Blincyto</w:t>
      </w:r>
      <w:proofErr w:type="spellEnd"/>
      <w:r w:rsidRPr="00FF4079">
        <w:t xml:space="preserve"> (see </w:t>
      </w:r>
      <w:r w:rsidR="00FA34EF">
        <w:t>Section</w:t>
      </w:r>
      <w:r w:rsidR="00D807E3">
        <w:t> </w:t>
      </w:r>
      <w:r w:rsidR="00FA34EF">
        <w:t xml:space="preserve">4.2 </w:t>
      </w:r>
      <w:r w:rsidR="001F412F">
        <w:t>Dose and method of administration</w:t>
      </w:r>
      <w:r w:rsidRPr="00FF4079">
        <w:t xml:space="preserve">, </w:t>
      </w:r>
      <w:r w:rsidR="00136780">
        <w:t>Dosage adjustment</w:t>
      </w:r>
      <w:r w:rsidRPr="00FF4079">
        <w:t>).</w:t>
      </w:r>
    </w:p>
    <w:p w14:paraId="6D98E370" w14:textId="77777777" w:rsidR="007D43DB" w:rsidRPr="00FF4079" w:rsidRDefault="007D43DB" w:rsidP="007D43DB">
      <w:pPr>
        <w:pStyle w:val="Heading3"/>
      </w:pPr>
      <w:r w:rsidRPr="00FF4079">
        <w:t>Leukoencephalopathy</w:t>
      </w:r>
    </w:p>
    <w:p w14:paraId="1D5A39AC" w14:textId="77777777" w:rsidR="007D43DB" w:rsidRPr="00FF4079" w:rsidRDefault="007D43DB" w:rsidP="007D43DB">
      <w:pPr>
        <w:pStyle w:val="PI-Text"/>
      </w:pPr>
      <w:r w:rsidRPr="00FF4079">
        <w:t xml:space="preserve">Cranial magnetic resonance imaging (MRI) changes showing leukoencephalopathy have been observed in patients receiving </w:t>
      </w:r>
      <w:proofErr w:type="spellStart"/>
      <w:r w:rsidRPr="00FF4079">
        <w:t>Blincyto</w:t>
      </w:r>
      <w:proofErr w:type="spellEnd"/>
      <w:r w:rsidRPr="00FF4079">
        <w:t>, especially in patients with prior treatment with cranial irradiation and anti-</w:t>
      </w:r>
      <w:proofErr w:type="spellStart"/>
      <w:r w:rsidRPr="00FF4079">
        <w:t>leukaemic</w:t>
      </w:r>
      <w:proofErr w:type="spellEnd"/>
      <w:r w:rsidRPr="00FF4079">
        <w:t xml:space="preserve"> chemotherapy (including systemic high dose methotrexate or intrathecal </w:t>
      </w:r>
      <w:proofErr w:type="spellStart"/>
      <w:r w:rsidRPr="00FF4079">
        <w:t>cytarabine</w:t>
      </w:r>
      <w:proofErr w:type="spellEnd"/>
      <w:r w:rsidRPr="00FF4079">
        <w:t>).  The clinical significance of these imaging changes is unknown.</w:t>
      </w:r>
    </w:p>
    <w:p w14:paraId="29634A3C" w14:textId="77777777" w:rsidR="007D43DB" w:rsidRPr="00FF4079" w:rsidRDefault="007D43DB" w:rsidP="007D43DB">
      <w:pPr>
        <w:pStyle w:val="Heading3"/>
      </w:pPr>
      <w:r w:rsidRPr="00FF4079">
        <w:t>Immunogenicity</w:t>
      </w:r>
    </w:p>
    <w:p w14:paraId="6123B5F6" w14:textId="6359DC87" w:rsidR="007D43DB" w:rsidRDefault="007D43DB" w:rsidP="00D807E3">
      <w:pPr>
        <w:pStyle w:val="PI-Text"/>
        <w:rPr>
          <w:lang w:eastAsia="en-AU"/>
        </w:rPr>
      </w:pPr>
      <w:r w:rsidRPr="00A277D7">
        <w:rPr>
          <w:lang w:eastAsia="en-AU"/>
        </w:rPr>
        <w:t>As with all therapeutic proteins, there is potential for immunogenicity.  The</w:t>
      </w:r>
      <w:r>
        <w:rPr>
          <w:lang w:eastAsia="en-AU"/>
        </w:rPr>
        <w:t xml:space="preserve"> i</w:t>
      </w:r>
      <w:r w:rsidRPr="00A277D7">
        <w:rPr>
          <w:lang w:eastAsia="en-AU"/>
        </w:rPr>
        <w:t xml:space="preserve">mmunogenicity of </w:t>
      </w:r>
      <w:proofErr w:type="spellStart"/>
      <w:r w:rsidRPr="00A277D7">
        <w:rPr>
          <w:lang w:eastAsia="en-AU"/>
        </w:rPr>
        <w:t>Blincyto</w:t>
      </w:r>
      <w:proofErr w:type="spellEnd"/>
      <w:r w:rsidRPr="00A277D7">
        <w:rPr>
          <w:lang w:eastAsia="en-AU"/>
        </w:rPr>
        <w:t xml:space="preserve"> has been evaluated using an </w:t>
      </w:r>
      <w:proofErr w:type="spellStart"/>
      <w:r w:rsidRPr="00A277D7">
        <w:rPr>
          <w:lang w:eastAsia="en-AU"/>
        </w:rPr>
        <w:t>electrochemiluminescence</w:t>
      </w:r>
      <w:proofErr w:type="spellEnd"/>
      <w:r w:rsidRPr="00A277D7">
        <w:rPr>
          <w:lang w:eastAsia="en-AU"/>
        </w:rPr>
        <w:t xml:space="preserve"> detection technology (ECL) screening immunoassay for the detection of binding anti-</w:t>
      </w:r>
      <w:proofErr w:type="spellStart"/>
      <w:r w:rsidRPr="00A277D7">
        <w:rPr>
          <w:lang w:eastAsia="en-AU"/>
        </w:rPr>
        <w:t>blinatumomab</w:t>
      </w:r>
      <w:proofErr w:type="spellEnd"/>
      <w:r w:rsidRPr="00A277D7">
        <w:rPr>
          <w:lang w:eastAsia="en-AU"/>
        </w:rPr>
        <w:t xml:space="preserve"> antibodies.  For patients whose sera tested positive in the screening immunoassay, an in vitro biological assay was performed to detect neutrali</w:t>
      </w:r>
      <w:r>
        <w:rPr>
          <w:lang w:eastAsia="en-AU"/>
        </w:rPr>
        <w:t>s</w:t>
      </w:r>
      <w:r w:rsidRPr="00A22D80">
        <w:rPr>
          <w:color w:val="000000" w:themeColor="text1"/>
          <w:lang w:eastAsia="en-AU"/>
        </w:rPr>
        <w:t>i</w:t>
      </w:r>
      <w:r w:rsidRPr="00A277D7">
        <w:rPr>
          <w:lang w:eastAsia="en-AU"/>
        </w:rPr>
        <w:t>ng antibodies.</w:t>
      </w:r>
    </w:p>
    <w:p w14:paraId="32089A3A"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In clinical studies</w:t>
      </w:r>
      <w:r>
        <w:rPr>
          <w:rFonts w:ascii="Arial" w:eastAsia="Times New Roman" w:hAnsi="Arial" w:cs="Arial"/>
          <w:szCs w:val="20"/>
          <w:lang w:val="en-GB" w:eastAsia="en-AU"/>
        </w:rPr>
        <w:t xml:space="preserve"> of adult patients treated with </w:t>
      </w:r>
      <w:proofErr w:type="spellStart"/>
      <w:r>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less than 2% </w:t>
      </w:r>
      <w:r w:rsidRPr="00D8389E">
        <w:rPr>
          <w:rFonts w:ascii="Arial" w:eastAsia="Times New Roman" w:hAnsi="Arial" w:cs="Arial"/>
          <w:szCs w:val="20"/>
          <w:lang w:val="en-GB" w:eastAsia="en-AU"/>
        </w:rPr>
        <w:t>tested positive for anti-</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antibodies. </w:t>
      </w:r>
      <w:r>
        <w:rPr>
          <w:rFonts w:ascii="Arial" w:eastAsia="Times New Roman" w:hAnsi="Arial" w:cs="Arial"/>
          <w:szCs w:val="20"/>
          <w:lang w:val="en-GB" w:eastAsia="en-AU"/>
        </w:rPr>
        <w:t xml:space="preserve"> Of patients who developed anti-</w:t>
      </w:r>
      <w:proofErr w:type="spellStart"/>
      <w:r>
        <w:rPr>
          <w:rFonts w:ascii="Arial" w:eastAsia="Times New Roman" w:hAnsi="Arial" w:cs="Arial"/>
          <w:szCs w:val="20"/>
          <w:lang w:val="en-GB" w:eastAsia="en-AU"/>
        </w:rPr>
        <w:t>blinatumomab</w:t>
      </w:r>
      <w:proofErr w:type="spellEnd"/>
      <w:r>
        <w:rPr>
          <w:rFonts w:ascii="Arial" w:eastAsia="Times New Roman" w:hAnsi="Arial" w:cs="Arial"/>
          <w:szCs w:val="20"/>
          <w:lang w:val="en-GB" w:eastAsia="en-AU"/>
        </w:rPr>
        <w:t xml:space="preserve"> antibodies, the majority had </w:t>
      </w:r>
      <w:r w:rsidRPr="008F316C">
        <w:rPr>
          <w:rFonts w:ascii="Arial" w:eastAsia="Times New Roman" w:hAnsi="Arial" w:cs="Arial"/>
          <w:i/>
          <w:szCs w:val="20"/>
          <w:lang w:val="en-GB" w:eastAsia="en-AU"/>
        </w:rPr>
        <w:t>in vitro</w:t>
      </w:r>
      <w:r>
        <w:rPr>
          <w:rFonts w:ascii="Arial" w:eastAsia="Times New Roman" w:hAnsi="Arial" w:cs="Arial"/>
          <w:szCs w:val="20"/>
          <w:lang w:val="en-GB" w:eastAsia="en-AU"/>
        </w:rPr>
        <w:t xml:space="preserve"> neutralising activity. </w:t>
      </w:r>
      <w:r w:rsidR="00D807E3">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Anti-</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antibody formation might affect pharmacokinetics of </w:t>
      </w:r>
      <w:proofErr w:type="spellStart"/>
      <w:r w:rsidRPr="00D8389E">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w:t>
      </w:r>
    </w:p>
    <w:p w14:paraId="1E54FB7F" w14:textId="77777777" w:rsidR="00FA16D1" w:rsidRPr="00BD7E9A" w:rsidRDefault="00FA16D1" w:rsidP="00FA16D1">
      <w:pPr>
        <w:pStyle w:val="Text"/>
        <w:rPr>
          <w:rFonts w:ascii="Arial" w:eastAsia="Times New Roman" w:hAnsi="Arial" w:cs="Arial"/>
          <w:color w:val="000000" w:themeColor="text1"/>
          <w:szCs w:val="20"/>
          <w:lang w:val="en-GB" w:eastAsia="en-AU"/>
        </w:rPr>
      </w:pPr>
      <w:r w:rsidRPr="00D8389E">
        <w:rPr>
          <w:rFonts w:ascii="Arial" w:eastAsia="Times New Roman" w:hAnsi="Arial" w:cs="Arial"/>
          <w:szCs w:val="20"/>
          <w:lang w:val="en-GB" w:eastAsia="en-AU"/>
        </w:rPr>
        <w:t>No anti-</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w:t>
      </w:r>
      <w:r w:rsidRPr="00BD7E9A">
        <w:rPr>
          <w:rFonts w:ascii="Arial" w:eastAsia="Times New Roman" w:hAnsi="Arial" w:cs="Arial"/>
          <w:color w:val="000000" w:themeColor="text1"/>
          <w:szCs w:val="20"/>
          <w:lang w:val="en-GB" w:eastAsia="en-AU"/>
        </w:rPr>
        <w:t xml:space="preserve">antibodies (0 out of 70) were detected in clinical studies of paediatric patients with relapsed or refractory ALL treated with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Given the low patient numbers in clinical trials, the possibility of anti-</w:t>
      </w:r>
      <w:proofErr w:type="spellStart"/>
      <w:r w:rsidRPr="00BD7E9A">
        <w:rPr>
          <w:rFonts w:ascii="Arial" w:eastAsia="Times New Roman" w:hAnsi="Arial" w:cs="Arial"/>
          <w:color w:val="000000" w:themeColor="text1"/>
          <w:szCs w:val="20"/>
          <w:lang w:val="en-GB" w:eastAsia="en-AU"/>
        </w:rPr>
        <w:t>blinatumomab</w:t>
      </w:r>
      <w:proofErr w:type="spellEnd"/>
      <w:r w:rsidRPr="00BD7E9A">
        <w:rPr>
          <w:rFonts w:ascii="Arial" w:eastAsia="Times New Roman" w:hAnsi="Arial" w:cs="Arial"/>
          <w:color w:val="000000" w:themeColor="text1"/>
          <w:szCs w:val="20"/>
          <w:lang w:val="en-GB" w:eastAsia="en-AU"/>
        </w:rPr>
        <w:t xml:space="preserve"> antibody formation cannot be excluded.</w:t>
      </w:r>
    </w:p>
    <w:p w14:paraId="28A4D9DA"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If formation of anti-</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antibodies with a clinically significant effect is suspected, contact Amgen’s Medical Information line on 1800</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803</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638 (</w:t>
      </w:r>
      <w:proofErr w:type="spellStart"/>
      <w:r w:rsidRPr="00D8389E">
        <w:rPr>
          <w:rFonts w:ascii="Arial" w:eastAsia="Times New Roman" w:hAnsi="Arial" w:cs="Arial"/>
          <w:szCs w:val="20"/>
          <w:lang w:val="en-GB" w:eastAsia="en-AU"/>
        </w:rPr>
        <w:t>freecall</w:t>
      </w:r>
      <w:proofErr w:type="spellEnd"/>
      <w:r w:rsidRPr="00D8389E">
        <w:rPr>
          <w:rFonts w:ascii="Arial" w:eastAsia="Times New Roman" w:hAnsi="Arial" w:cs="Arial"/>
          <w:szCs w:val="20"/>
          <w:lang w:val="en-GB" w:eastAsia="en-AU"/>
        </w:rPr>
        <w:t xml:space="preserve"> within Australia) to discuss antibody testing.</w:t>
      </w:r>
    </w:p>
    <w:p w14:paraId="574638B1"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The detection of anti-</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antibody formation is highly dependent on the sensitivity and specificity of the assay. </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 xml:space="preserve">Additionally, the observed incidence of antibody (including </w:t>
      </w:r>
      <w:r w:rsidRPr="00D8389E">
        <w:rPr>
          <w:rFonts w:ascii="Arial" w:eastAsia="Times New Roman" w:hAnsi="Arial" w:cs="Arial"/>
          <w:szCs w:val="20"/>
          <w:lang w:val="en-GB" w:eastAsia="en-AU"/>
        </w:rPr>
        <w:lastRenderedPageBreak/>
        <w:t>neutralising antibody) positivity in an assay may be influenced by several factors, including assay methodology, sample handling, timing of sample collection, concomitant medications, and underlying disease.</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 xml:space="preserve"> For these reasons, comparison of the incidence of antibodies to </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with the incidence of antibodies to other products may be misleading.</w:t>
      </w:r>
    </w:p>
    <w:p w14:paraId="3BF9B67E" w14:textId="77777777" w:rsidR="001A3992" w:rsidRDefault="001A3992" w:rsidP="001A3992">
      <w:pPr>
        <w:pStyle w:val="Heading3"/>
        <w:spacing w:before="0" w:after="120"/>
      </w:pPr>
      <w:r w:rsidRPr="00B878CC">
        <w:t>Use in the elderly</w:t>
      </w:r>
    </w:p>
    <w:p w14:paraId="75DAD198"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Generally, safety and efficacy were similar between elderly patients (≥</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65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years of age) and patients less than 65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 xml:space="preserve">years of age treated with </w:t>
      </w:r>
      <w:proofErr w:type="spellStart"/>
      <w:r w:rsidRPr="00D8389E">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However, elderly patients may be more susceptible to serious neurologic events such as cognitive disorder, encephalopathy, and confusion.</w:t>
      </w:r>
    </w:p>
    <w:p w14:paraId="66A79B8B" w14:textId="77777777" w:rsidR="001A3992" w:rsidRDefault="001A3992" w:rsidP="001A3992">
      <w:pPr>
        <w:pStyle w:val="Heading3"/>
        <w:spacing w:before="0" w:after="120"/>
      </w:pPr>
      <w:r w:rsidRPr="00B878CC">
        <w:t>Paediatric use</w:t>
      </w:r>
    </w:p>
    <w:p w14:paraId="4B70E1CD" w14:textId="7F384315" w:rsidR="00FA16D1" w:rsidRPr="00BD7E9A" w:rsidRDefault="00FA16D1" w:rsidP="00FA16D1">
      <w:pPr>
        <w:pStyle w:val="Text"/>
        <w:rPr>
          <w:rFonts w:ascii="Arial" w:eastAsia="Times New Roman" w:hAnsi="Arial" w:cs="Arial"/>
          <w:color w:val="000000" w:themeColor="text1"/>
          <w:szCs w:val="20"/>
          <w:lang w:eastAsia="en-AU"/>
        </w:rPr>
      </w:pPr>
      <w:r w:rsidRPr="00D8389E">
        <w:rPr>
          <w:rFonts w:ascii="Arial" w:eastAsia="Times New Roman" w:hAnsi="Arial" w:cs="Arial"/>
          <w:szCs w:val="20"/>
          <w:lang w:val="en-GB" w:eastAsia="en-AU"/>
        </w:rPr>
        <w:t xml:space="preserve">The safety </w:t>
      </w:r>
      <w:r w:rsidRPr="00BD7E9A">
        <w:rPr>
          <w:rFonts w:ascii="Arial" w:eastAsia="Times New Roman" w:hAnsi="Arial" w:cs="Arial"/>
          <w:color w:val="000000" w:themeColor="text1"/>
          <w:szCs w:val="20"/>
          <w:lang w:val="en-GB" w:eastAsia="en-AU"/>
        </w:rPr>
        <w:t>and effectiveness</w:t>
      </w:r>
      <w:r w:rsidR="00BD7E9A" w:rsidRPr="00BD7E9A">
        <w:rPr>
          <w:rFonts w:ascii="Arial" w:eastAsia="Times New Roman" w:hAnsi="Arial" w:cs="Arial"/>
          <w:color w:val="000000" w:themeColor="text1"/>
          <w:szCs w:val="20"/>
          <w:lang w:val="en-GB" w:eastAsia="en-AU"/>
        </w:rPr>
        <w:t xml:space="preserve"> </w:t>
      </w:r>
      <w:r w:rsidRPr="00BD7E9A">
        <w:rPr>
          <w:rFonts w:ascii="Arial" w:eastAsia="Times New Roman" w:hAnsi="Arial" w:cs="Arial"/>
          <w:color w:val="000000" w:themeColor="text1"/>
          <w:szCs w:val="20"/>
          <w:lang w:val="en-GB" w:eastAsia="en-AU"/>
        </w:rPr>
        <w:t xml:space="preserve">of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are supported by an open-label, single arm study of 93 paediatric patients with relapsed or refractory B-cell precursor ALL.  No data exists for the treatment of ALL in patients aged less than 28 days.</w:t>
      </w:r>
    </w:p>
    <w:p w14:paraId="74FA7DD7"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 xml:space="preserve">For each cycle of treatment, </w:t>
      </w:r>
      <w:proofErr w:type="spellStart"/>
      <w:r w:rsidRPr="00D8389E">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 xml:space="preserve"> was administered as a continuous intravenous infusion for 28</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days (4</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 xml:space="preserve">weeks) followed by a 14-day (2-week) treatment-free interval. </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In total, 70</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patients (aged 7</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months to 17</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 xml:space="preserve">years) received </w:t>
      </w:r>
      <w:proofErr w:type="spellStart"/>
      <w:r w:rsidRPr="00D8389E">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 xml:space="preserve"> at the recommended dose: 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61619B">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/day on Days</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1-7 (week</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1) and 15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61619B">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/day on Days</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8-28 (weeks</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2 through 4) of cycle</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1; then 15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61619B">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/day on Days</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 xml:space="preserve">1-28 of subsequent cycles. </w:t>
      </w:r>
    </w:p>
    <w:p w14:paraId="48BA8848" w14:textId="246015AB" w:rsidR="007D43DB" w:rsidRPr="00D807E3" w:rsidRDefault="007D43DB" w:rsidP="00D807E3">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In the dose evaluation phase of the study, one patient experienced a fatal cardiac failure event in the setting of life-threatening cytokine release syndrome (CRS) and tumour lysis syndrome (TLS) at a dose of 30</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D807E3">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 xml:space="preserve">/day (higher than the maximum recommended dose). </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 xml:space="preserve">A fatal case of respiratory failure with </w:t>
      </w:r>
      <w:proofErr w:type="spellStart"/>
      <w:r w:rsidRPr="00D8389E">
        <w:rPr>
          <w:rFonts w:ascii="Arial" w:eastAsia="Times New Roman" w:hAnsi="Arial" w:cs="Arial"/>
          <w:szCs w:val="20"/>
          <w:lang w:val="en-GB" w:eastAsia="en-AU"/>
        </w:rPr>
        <w:t>hypotonia</w:t>
      </w:r>
      <w:proofErr w:type="spellEnd"/>
      <w:r w:rsidRPr="00D8389E">
        <w:rPr>
          <w:rFonts w:ascii="Arial" w:eastAsia="Times New Roman" w:hAnsi="Arial" w:cs="Arial"/>
          <w:szCs w:val="20"/>
          <w:lang w:val="en-GB" w:eastAsia="en-AU"/>
        </w:rPr>
        <w:t>, muscle weakness and cardiac arrest with ascending neuropathy was also seen in one patient treated with a dose of 15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D807E3">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/day in the first week of treatment, which is higher than the recommended dose of 5</w:t>
      </w:r>
      <w:r w:rsidR="00D807E3">
        <w:rPr>
          <w:rFonts w:ascii="Arial" w:eastAsia="Times New Roman" w:hAnsi="Arial" w:cs="Arial"/>
          <w:szCs w:val="20"/>
          <w:lang w:val="en-GB" w:eastAsia="en-AU"/>
        </w:rPr>
        <w:t> </w:t>
      </w:r>
      <w:r w:rsidRPr="00D8389E">
        <w:rPr>
          <w:rFonts w:ascii="Arial" w:eastAsia="Times New Roman" w:hAnsi="Arial" w:cs="Arial"/>
          <w:szCs w:val="20"/>
          <w:lang w:val="en-GB" w:eastAsia="en-AU"/>
        </w:rPr>
        <w:t>micrograms/m</w:t>
      </w:r>
      <w:r w:rsidRPr="00D807E3">
        <w:rPr>
          <w:rFonts w:ascii="Arial" w:eastAsia="Times New Roman" w:hAnsi="Arial" w:cs="Arial"/>
          <w:szCs w:val="20"/>
          <w:vertAlign w:val="superscript"/>
          <w:lang w:val="en-GB" w:eastAsia="en-AU"/>
        </w:rPr>
        <w:t>2</w:t>
      </w:r>
      <w:r w:rsidRPr="00D8389E">
        <w:rPr>
          <w:rFonts w:ascii="Arial" w:eastAsia="Times New Roman" w:hAnsi="Arial" w:cs="Arial"/>
          <w:szCs w:val="20"/>
          <w:lang w:val="en-GB" w:eastAsia="en-AU"/>
        </w:rPr>
        <w:t>/day for the first week of treatment.</w:t>
      </w:r>
      <w:r>
        <w:rPr>
          <w:rFonts w:ascii="Arial" w:eastAsia="Times New Roman" w:hAnsi="Arial" w:cs="Arial"/>
          <w:szCs w:val="20"/>
          <w:lang w:val="en-GB" w:eastAsia="en-AU"/>
        </w:rPr>
        <w:t xml:space="preserve"> </w:t>
      </w:r>
      <w:r w:rsidRPr="00D8389E">
        <w:rPr>
          <w:rFonts w:ascii="Arial" w:eastAsia="Times New Roman" w:hAnsi="Arial" w:cs="Arial"/>
          <w:szCs w:val="20"/>
          <w:lang w:val="en-GB" w:eastAsia="en-AU"/>
        </w:rPr>
        <w:t xml:space="preserve"> In this case, febrile neutropenia and a serious viral illness with positive viral blood cultures preceded </w:t>
      </w:r>
      <w:proofErr w:type="spellStart"/>
      <w:r w:rsidRPr="00D8389E">
        <w:rPr>
          <w:rFonts w:ascii="Arial" w:eastAsia="Times New Roman" w:hAnsi="Arial" w:cs="Arial"/>
          <w:szCs w:val="20"/>
          <w:lang w:val="en-GB" w:eastAsia="en-AU"/>
        </w:rPr>
        <w:t>Blincyto</w:t>
      </w:r>
      <w:proofErr w:type="spellEnd"/>
      <w:r w:rsidRPr="00D8389E">
        <w:rPr>
          <w:rFonts w:ascii="Arial" w:eastAsia="Times New Roman" w:hAnsi="Arial" w:cs="Arial"/>
          <w:szCs w:val="20"/>
          <w:lang w:val="en-GB" w:eastAsia="en-AU"/>
        </w:rPr>
        <w:t xml:space="preserve"> treatment, suggesting a differential diagnosis of Guillain-Barre </w:t>
      </w:r>
      <w:r w:rsidRPr="00BD7E9A">
        <w:rPr>
          <w:rFonts w:ascii="Arial" w:eastAsia="Times New Roman" w:hAnsi="Arial" w:cs="Arial"/>
          <w:color w:val="000000" w:themeColor="text1"/>
          <w:szCs w:val="20"/>
          <w:lang w:val="en-GB" w:eastAsia="en-AU"/>
        </w:rPr>
        <w:t>Syndrome</w:t>
      </w:r>
      <w:r w:rsidR="00FA16D1" w:rsidRPr="00BD7E9A">
        <w:rPr>
          <w:rFonts w:ascii="Arial" w:eastAsia="Times New Roman" w:hAnsi="Arial" w:cs="Arial"/>
          <w:color w:val="000000" w:themeColor="text1"/>
          <w:szCs w:val="20"/>
          <w:lang w:val="en-GB" w:eastAsia="en-AU"/>
        </w:rPr>
        <w:t xml:space="preserve"> (</w:t>
      </w:r>
      <w:r w:rsidR="00BD7E9A" w:rsidRPr="00BD7E9A">
        <w:rPr>
          <w:rFonts w:ascii="Arial" w:eastAsia="Times New Roman" w:hAnsi="Arial" w:cs="Arial"/>
          <w:color w:val="000000" w:themeColor="text1"/>
          <w:szCs w:val="20"/>
          <w:lang w:val="en-GB" w:eastAsia="en-AU"/>
        </w:rPr>
        <w:t>s</w:t>
      </w:r>
      <w:r w:rsidR="00FA16D1" w:rsidRPr="00BD7E9A">
        <w:rPr>
          <w:rFonts w:ascii="Arial" w:eastAsia="Times New Roman" w:hAnsi="Arial" w:cs="Arial"/>
          <w:color w:val="000000" w:themeColor="text1"/>
          <w:szCs w:val="20"/>
          <w:lang w:val="en-GB" w:eastAsia="en-AU"/>
        </w:rPr>
        <w:t xml:space="preserve">ee </w:t>
      </w:r>
      <w:r w:rsidR="00D83F8E">
        <w:rPr>
          <w:rFonts w:ascii="Arial" w:eastAsia="Times New Roman" w:hAnsi="Arial" w:cs="Arial"/>
          <w:szCs w:val="20"/>
          <w:lang w:val="en-GB" w:eastAsia="en-AU"/>
        </w:rPr>
        <w:t>Section </w:t>
      </w:r>
      <w:r w:rsidR="00FA34EF">
        <w:rPr>
          <w:rFonts w:ascii="Arial" w:eastAsia="Times New Roman" w:hAnsi="Arial" w:cs="Arial"/>
          <w:szCs w:val="20"/>
          <w:lang w:val="en-GB" w:eastAsia="en-AU"/>
        </w:rPr>
        <w:t>4.4</w:t>
      </w:r>
      <w:r w:rsidR="00D83F8E">
        <w:rPr>
          <w:rFonts w:ascii="Arial" w:eastAsia="Times New Roman" w:hAnsi="Arial" w:cs="Arial"/>
          <w:szCs w:val="20"/>
          <w:lang w:val="en-GB" w:eastAsia="en-AU"/>
        </w:rPr>
        <w:t xml:space="preserve"> </w:t>
      </w:r>
      <w:r w:rsidR="001F412F">
        <w:rPr>
          <w:rFonts w:ascii="Arial" w:eastAsia="Times New Roman" w:hAnsi="Arial" w:cs="Arial"/>
          <w:szCs w:val="20"/>
          <w:lang w:val="en-GB" w:eastAsia="en-AU"/>
        </w:rPr>
        <w:t xml:space="preserve">Special warnings and precautions for use </w:t>
      </w:r>
      <w:r w:rsidRPr="00D8389E">
        <w:rPr>
          <w:rFonts w:ascii="Arial" w:eastAsia="Times New Roman" w:hAnsi="Arial" w:cs="Arial"/>
          <w:szCs w:val="20"/>
          <w:lang w:val="en-GB" w:eastAsia="en-AU"/>
        </w:rPr>
        <w:t xml:space="preserve">and </w:t>
      </w:r>
      <w:r w:rsidR="00791E2D">
        <w:rPr>
          <w:rFonts w:ascii="Arial" w:eastAsia="Times New Roman" w:hAnsi="Arial" w:cs="Arial"/>
          <w:szCs w:val="20"/>
          <w:lang w:val="en-GB" w:eastAsia="en-AU"/>
        </w:rPr>
        <w:t>S</w:t>
      </w:r>
      <w:r w:rsidR="00F338DE">
        <w:rPr>
          <w:rFonts w:ascii="Arial" w:eastAsia="Times New Roman" w:hAnsi="Arial" w:cs="Arial"/>
          <w:szCs w:val="20"/>
          <w:lang w:val="en-GB" w:eastAsia="en-AU"/>
        </w:rPr>
        <w:t>ection</w:t>
      </w:r>
      <w:r w:rsidR="00D807E3">
        <w:rPr>
          <w:rFonts w:ascii="Arial" w:eastAsia="Times New Roman" w:hAnsi="Arial" w:cs="Arial"/>
          <w:szCs w:val="20"/>
          <w:lang w:val="en-GB" w:eastAsia="en-AU"/>
        </w:rPr>
        <w:t> </w:t>
      </w:r>
      <w:r w:rsidR="00791E2D">
        <w:rPr>
          <w:rFonts w:ascii="Arial" w:eastAsia="Times New Roman" w:hAnsi="Arial" w:cs="Arial"/>
          <w:szCs w:val="20"/>
          <w:lang w:val="en-GB" w:eastAsia="en-AU"/>
        </w:rPr>
        <w:t xml:space="preserve">4.8 </w:t>
      </w:r>
      <w:r w:rsidR="001F412F">
        <w:rPr>
          <w:rFonts w:ascii="Arial" w:eastAsia="Times New Roman" w:hAnsi="Arial" w:cs="Arial"/>
          <w:szCs w:val="20"/>
          <w:lang w:val="en-GB" w:eastAsia="en-AU"/>
        </w:rPr>
        <w:t>Adverse effects (Undesirable effects</w:t>
      </w:r>
      <w:r w:rsidR="00006DE6">
        <w:rPr>
          <w:rFonts w:ascii="Arial" w:eastAsia="Times New Roman" w:hAnsi="Arial" w:cs="Arial"/>
          <w:szCs w:val="20"/>
          <w:lang w:val="en-GB" w:eastAsia="en-AU"/>
        </w:rPr>
        <w:t>)</w:t>
      </w:r>
      <w:r w:rsidR="00FA16D1" w:rsidRPr="009865A8">
        <w:rPr>
          <w:rFonts w:ascii="Arial" w:eastAsia="Times New Roman" w:hAnsi="Arial" w:cs="Arial"/>
          <w:color w:val="000000" w:themeColor="text1"/>
          <w:szCs w:val="20"/>
          <w:lang w:val="en-GB" w:eastAsia="en-AU"/>
        </w:rPr>
        <w:t>)</w:t>
      </w:r>
      <w:r w:rsidRPr="00D8389E">
        <w:rPr>
          <w:rFonts w:ascii="Arial" w:eastAsia="Times New Roman" w:hAnsi="Arial" w:cs="Arial"/>
          <w:szCs w:val="20"/>
          <w:lang w:val="en-GB" w:eastAsia="en-AU"/>
        </w:rPr>
        <w:t>.</w:t>
      </w:r>
    </w:p>
    <w:p w14:paraId="370B10A4" w14:textId="77777777" w:rsidR="001A3992" w:rsidRDefault="001A3992" w:rsidP="001A3992">
      <w:pPr>
        <w:pStyle w:val="Heading3"/>
        <w:spacing w:before="0" w:after="120"/>
      </w:pPr>
      <w:r w:rsidRPr="00B878CC">
        <w:t>Effects on</w:t>
      </w:r>
      <w:r w:rsidRPr="00CC0D90">
        <w:t xml:space="preserve"> laboratory tests</w:t>
      </w:r>
    </w:p>
    <w:p w14:paraId="3E8A3F4A" w14:textId="77777777" w:rsidR="00C565C1" w:rsidRPr="00D8389E" w:rsidRDefault="00C565C1" w:rsidP="00C565C1">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No interactions with laboratory and diagnostic tests have been identified.</w:t>
      </w:r>
    </w:p>
    <w:p w14:paraId="58AAE04F" w14:textId="77777777" w:rsidR="001A3992" w:rsidRDefault="001A3992" w:rsidP="001A3992">
      <w:pPr>
        <w:pStyle w:val="Heading2"/>
        <w:keepNext/>
        <w:keepLines/>
        <w:spacing w:before="0" w:after="120"/>
      </w:pPr>
      <w:r>
        <w:lastRenderedPageBreak/>
        <w:t>Interactions with other medicines and other forms of interactions</w:t>
      </w:r>
    </w:p>
    <w:p w14:paraId="2E6C1C27" w14:textId="77777777" w:rsidR="00C565C1" w:rsidRPr="0087020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No formal drug interaction studies have been conducted with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is not expected to affect CYP450 enzyme activities.</w:t>
      </w:r>
    </w:p>
    <w:p w14:paraId="0480DBC3" w14:textId="77777777" w:rsidR="00C565C1" w:rsidRPr="0087020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Transient elevation of cytokines may affect CYP450 enzyme activities.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Based on physiologically based pharmacokinetic modelling, the effect of transient cytokine elevation on activities of CYP450 enzymes is less than 30%, lasting for less than a week; the effect on exposures to sensitive CYP450 substrates are less than 2-fold.</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 xml:space="preserve"> Hence,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-mediated cytokine elevation appears to have a low potential of clinically meaningful drug interaction.</w:t>
      </w:r>
    </w:p>
    <w:p w14:paraId="5E7B8847" w14:textId="77777777" w:rsidR="00C565C1" w:rsidRPr="00C4299B" w:rsidRDefault="00C565C1" w:rsidP="00C565C1">
      <w:pPr>
        <w:pStyle w:val="Heading3"/>
        <w:rPr>
          <w:lang w:val="en-GB"/>
        </w:rPr>
      </w:pPr>
      <w:r w:rsidRPr="00C565C1">
        <w:rPr>
          <w:lang w:val="en-GB"/>
        </w:rPr>
        <w:t>Immunisation</w:t>
      </w:r>
    </w:p>
    <w:p w14:paraId="4427EDB9" w14:textId="436A09DC" w:rsidR="00C565C1" w:rsidRPr="0087020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The safety of immunisation with live viral vaccines during or following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therapy has not been studied.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Vaccination with live virus vaccines is not recommended for at least 2</w:t>
      </w:r>
      <w:r w:rsidR="004252CC">
        <w:rPr>
          <w:rFonts w:ascii="Arial" w:eastAsia="Times New Roman" w:hAnsi="Arial" w:cs="Arial"/>
          <w:szCs w:val="20"/>
          <w:lang w:val="en-GB" w:eastAsia="en-AU"/>
        </w:rPr>
        <w:t> </w:t>
      </w:r>
      <w:r w:rsidRPr="00870201">
        <w:rPr>
          <w:rFonts w:ascii="Arial" w:eastAsia="Times New Roman" w:hAnsi="Arial" w:cs="Arial"/>
          <w:szCs w:val="20"/>
          <w:lang w:val="en-GB" w:eastAsia="en-AU"/>
        </w:rPr>
        <w:t xml:space="preserve">weeks prior to the start of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treatment, during treatment, and until recovery of B</w:t>
      </w:r>
      <w:r w:rsidR="004252CC">
        <w:rPr>
          <w:rFonts w:ascii="Arial" w:eastAsia="Times New Roman" w:hAnsi="Arial" w:cs="Arial"/>
          <w:szCs w:val="20"/>
          <w:lang w:val="en-GB" w:eastAsia="en-AU"/>
        </w:rPr>
        <w:t> </w:t>
      </w:r>
      <w:r w:rsidRPr="00870201">
        <w:rPr>
          <w:rFonts w:ascii="Arial" w:eastAsia="Times New Roman" w:hAnsi="Arial" w:cs="Arial"/>
          <w:szCs w:val="20"/>
          <w:lang w:val="en-GB" w:eastAsia="en-AU"/>
        </w:rPr>
        <w:t xml:space="preserve">lymphocytes to normal range following last cycle of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w:t>
      </w:r>
    </w:p>
    <w:p w14:paraId="4AD7BB8E" w14:textId="77777777" w:rsidR="001A3992" w:rsidRDefault="001A3992" w:rsidP="001A3992">
      <w:pPr>
        <w:pStyle w:val="Heading2"/>
        <w:spacing w:before="0" w:after="120"/>
      </w:pPr>
      <w:r>
        <w:t xml:space="preserve">Fertility, pregnancy and lactation </w:t>
      </w:r>
    </w:p>
    <w:p w14:paraId="51431F43" w14:textId="77777777" w:rsidR="001A3992" w:rsidRDefault="001A3992" w:rsidP="001A3992">
      <w:pPr>
        <w:pStyle w:val="Heading3"/>
        <w:spacing w:before="0" w:after="120"/>
      </w:pPr>
      <w:r w:rsidRPr="00B878CC">
        <w:t>Effects on fertility</w:t>
      </w:r>
    </w:p>
    <w:p w14:paraId="17131DAA" w14:textId="77777777" w:rsidR="007D43DB" w:rsidRPr="00FF4079" w:rsidRDefault="007D43DB" w:rsidP="007D43DB">
      <w:pPr>
        <w:pStyle w:val="PI-Text"/>
      </w:pPr>
      <w:r w:rsidRPr="00FF4079">
        <w:t xml:space="preserve">No studies have been conducted to evaluate the effects of </w:t>
      </w:r>
      <w:proofErr w:type="spellStart"/>
      <w:r w:rsidRPr="00FF4079">
        <w:t>Blincyto</w:t>
      </w:r>
      <w:proofErr w:type="spellEnd"/>
      <w:r w:rsidRPr="00FF4079">
        <w:t xml:space="preserve"> on fertility. </w:t>
      </w:r>
      <w:r>
        <w:t xml:space="preserve"> </w:t>
      </w:r>
      <w:r w:rsidRPr="00FF4079">
        <w:t>There were no effects on male or female mouse reproductive organs in 13-week toxicity studies with the murine surrogate molecule.</w:t>
      </w:r>
    </w:p>
    <w:p w14:paraId="5365D1CE" w14:textId="425D721A" w:rsidR="001A3992" w:rsidRDefault="007E0C29" w:rsidP="001A3992">
      <w:pPr>
        <w:pStyle w:val="Heading3"/>
        <w:spacing w:before="0" w:after="120"/>
      </w:pPr>
      <w:r>
        <w:t>Use in pregnancy</w:t>
      </w:r>
    </w:p>
    <w:p w14:paraId="042EBDE1" w14:textId="11E1D4C6" w:rsidR="00D807E3" w:rsidRPr="00D807E3" w:rsidRDefault="007E0C29" w:rsidP="007D43DB">
      <w:pPr>
        <w:pStyle w:val="PI-Text"/>
        <w:rPr>
          <w:b/>
        </w:rPr>
      </w:pPr>
      <w:r>
        <w:rPr>
          <w:b/>
        </w:rPr>
        <w:t>Pregnancy Category: C</w:t>
      </w:r>
    </w:p>
    <w:p w14:paraId="103725C0" w14:textId="69865A3C" w:rsidR="007D43DB" w:rsidRPr="00FF4079" w:rsidRDefault="007D43DB" w:rsidP="007D43DB">
      <w:pPr>
        <w:pStyle w:val="PI-Text"/>
      </w:pPr>
      <w:r w:rsidRPr="00FF4079">
        <w:t xml:space="preserve">The safety and efficacy of </w:t>
      </w:r>
      <w:proofErr w:type="spellStart"/>
      <w:r w:rsidRPr="00FF4079">
        <w:t>blinatumomab</w:t>
      </w:r>
      <w:proofErr w:type="spellEnd"/>
      <w:r w:rsidRPr="00FF4079">
        <w:t xml:space="preserve"> in pregnant women has not been established. </w:t>
      </w:r>
      <w:r w:rsidR="008F7554">
        <w:t xml:space="preserve"> </w:t>
      </w:r>
      <w:r w:rsidRPr="00FF4079">
        <w:t xml:space="preserve">In a developmental toxicity study conducted in mice using a murine surrogate molecule, there was no indication of maternal toxicity, </w:t>
      </w:r>
      <w:proofErr w:type="spellStart"/>
      <w:r w:rsidR="004252CC" w:rsidRPr="00BD7E9A">
        <w:rPr>
          <w:color w:val="000000" w:themeColor="text1"/>
        </w:rPr>
        <w:t>embryofetal</w:t>
      </w:r>
      <w:proofErr w:type="spellEnd"/>
      <w:r w:rsidR="004252CC">
        <w:rPr>
          <w:color w:val="7030A0"/>
        </w:rPr>
        <w:t xml:space="preserve"> </w:t>
      </w:r>
      <w:r w:rsidRPr="00FF4079">
        <w:t>toxicity, or teratogenicity.</w:t>
      </w:r>
      <w:r>
        <w:t xml:space="preserve"> </w:t>
      </w:r>
      <w:r w:rsidRPr="00FF4079">
        <w:t xml:space="preserve"> The expected depletions of B and T</w:t>
      </w:r>
      <w:r w:rsidR="008F7554">
        <w:t> </w:t>
      </w:r>
      <w:r w:rsidRPr="00FF4079">
        <w:t>cells were observed in the pregnant mice but haematological effects were not assessed in foetuses.</w:t>
      </w:r>
    </w:p>
    <w:p w14:paraId="2EAFF564" w14:textId="5F61F73E" w:rsidR="007D43DB" w:rsidRPr="00BD7E9A" w:rsidRDefault="007D43DB" w:rsidP="007D43DB">
      <w:pPr>
        <w:pStyle w:val="PI-Text"/>
        <w:rPr>
          <w:color w:val="000000" w:themeColor="text1"/>
        </w:rPr>
      </w:pPr>
      <w:r w:rsidRPr="00BD7E9A">
        <w:rPr>
          <w:color w:val="000000" w:themeColor="text1"/>
        </w:rPr>
        <w:t xml:space="preserve">Treatment of pregnant women with </w:t>
      </w:r>
      <w:proofErr w:type="spellStart"/>
      <w:r w:rsidRPr="00BD7E9A">
        <w:rPr>
          <w:color w:val="000000" w:themeColor="text1"/>
        </w:rPr>
        <w:t>blinatumomab</w:t>
      </w:r>
      <w:proofErr w:type="spellEnd"/>
      <w:r w:rsidRPr="00BD7E9A">
        <w:rPr>
          <w:color w:val="000000" w:themeColor="text1"/>
        </w:rPr>
        <w:t xml:space="preserve"> may compromise the immunity of the </w:t>
      </w:r>
      <w:proofErr w:type="spellStart"/>
      <w:r w:rsidR="004252CC" w:rsidRPr="00BD7E9A">
        <w:rPr>
          <w:color w:val="000000" w:themeColor="text1"/>
        </w:rPr>
        <w:t>fetus</w:t>
      </w:r>
      <w:proofErr w:type="spellEnd"/>
      <w:r w:rsidRPr="00BD7E9A">
        <w:rPr>
          <w:color w:val="000000" w:themeColor="text1"/>
        </w:rPr>
        <w:t xml:space="preserve">.  </w:t>
      </w:r>
      <w:proofErr w:type="spellStart"/>
      <w:r w:rsidRPr="00BD7E9A">
        <w:rPr>
          <w:color w:val="000000" w:themeColor="text1"/>
        </w:rPr>
        <w:t>Blincyto</w:t>
      </w:r>
      <w:proofErr w:type="spellEnd"/>
      <w:r w:rsidRPr="00BD7E9A">
        <w:rPr>
          <w:color w:val="000000" w:themeColor="text1"/>
        </w:rPr>
        <w:t xml:space="preserve"> should be used during pregnancy only if the potential benefit outweighs the potential risk to the </w:t>
      </w:r>
      <w:proofErr w:type="spellStart"/>
      <w:r w:rsidR="004252CC" w:rsidRPr="00BD7E9A">
        <w:rPr>
          <w:color w:val="000000" w:themeColor="text1"/>
        </w:rPr>
        <w:t>fetus</w:t>
      </w:r>
      <w:proofErr w:type="spellEnd"/>
      <w:r w:rsidRPr="00BD7E9A">
        <w:rPr>
          <w:color w:val="000000" w:themeColor="text1"/>
        </w:rPr>
        <w:t>.</w:t>
      </w:r>
    </w:p>
    <w:p w14:paraId="2F65D179" w14:textId="634215C1" w:rsidR="007D43DB" w:rsidRPr="00BD7E9A" w:rsidRDefault="007D43DB" w:rsidP="007D43DB">
      <w:pPr>
        <w:pStyle w:val="PI-Text"/>
        <w:rPr>
          <w:color w:val="000000" w:themeColor="text1"/>
        </w:rPr>
      </w:pPr>
      <w:r w:rsidRPr="00BD7E9A">
        <w:rPr>
          <w:color w:val="000000" w:themeColor="text1"/>
        </w:rPr>
        <w:t>Women of childbearing potential should use contraception during and for at least 48</w:t>
      </w:r>
      <w:r w:rsidR="004252CC" w:rsidRPr="00BD7E9A">
        <w:rPr>
          <w:color w:val="000000" w:themeColor="text1"/>
        </w:rPr>
        <w:t> </w:t>
      </w:r>
      <w:r w:rsidRPr="00BD7E9A">
        <w:rPr>
          <w:color w:val="000000" w:themeColor="text1"/>
        </w:rPr>
        <w:t xml:space="preserve">hours after treatment with </w:t>
      </w:r>
      <w:proofErr w:type="spellStart"/>
      <w:r w:rsidRPr="00BD7E9A">
        <w:rPr>
          <w:color w:val="000000" w:themeColor="text1"/>
        </w:rPr>
        <w:t>Blincyto</w:t>
      </w:r>
      <w:proofErr w:type="spellEnd"/>
      <w:r w:rsidRPr="00BD7E9A">
        <w:rPr>
          <w:color w:val="000000" w:themeColor="text1"/>
        </w:rPr>
        <w:t>.</w:t>
      </w:r>
    </w:p>
    <w:p w14:paraId="7021E81E" w14:textId="1E26075A" w:rsidR="007D43DB" w:rsidRPr="00BD7E9A" w:rsidRDefault="007D43DB" w:rsidP="007D43DB">
      <w:pPr>
        <w:pStyle w:val="PI-Text"/>
        <w:rPr>
          <w:color w:val="000000" w:themeColor="text1"/>
        </w:rPr>
      </w:pPr>
      <w:r w:rsidRPr="00BD7E9A">
        <w:rPr>
          <w:color w:val="000000" w:themeColor="text1"/>
        </w:rPr>
        <w:lastRenderedPageBreak/>
        <w:t>Due to the potential for depletion of B</w:t>
      </w:r>
      <w:r w:rsidR="008F7554" w:rsidRPr="00BD7E9A">
        <w:rPr>
          <w:color w:val="000000" w:themeColor="text1"/>
        </w:rPr>
        <w:t> </w:t>
      </w:r>
      <w:r w:rsidRPr="00BD7E9A">
        <w:rPr>
          <w:color w:val="000000" w:themeColor="text1"/>
        </w:rPr>
        <w:t xml:space="preserve">lymphocytes in infants following exposure to </w:t>
      </w:r>
      <w:proofErr w:type="spellStart"/>
      <w:r w:rsidR="00FA16D1" w:rsidRPr="00BD7E9A">
        <w:rPr>
          <w:color w:val="000000" w:themeColor="text1"/>
        </w:rPr>
        <w:t>Blincyto</w:t>
      </w:r>
      <w:proofErr w:type="spellEnd"/>
      <w:r w:rsidRPr="00BD7E9A">
        <w:rPr>
          <w:color w:val="000000" w:themeColor="text1"/>
        </w:rPr>
        <w:t xml:space="preserve"> during pregnancy, the infant’s B</w:t>
      </w:r>
      <w:r w:rsidR="008F7554" w:rsidRPr="00BD7E9A">
        <w:rPr>
          <w:color w:val="000000" w:themeColor="text1"/>
        </w:rPr>
        <w:t> </w:t>
      </w:r>
      <w:r w:rsidRPr="00BD7E9A">
        <w:rPr>
          <w:color w:val="000000" w:themeColor="text1"/>
        </w:rPr>
        <w:t>lymphocytes should be monitored before the initiation of live virus vaccination.  Live virus vaccines can be administered when the B</w:t>
      </w:r>
      <w:r w:rsidR="008F7554" w:rsidRPr="00BD7E9A">
        <w:rPr>
          <w:color w:val="000000" w:themeColor="text1"/>
        </w:rPr>
        <w:t> </w:t>
      </w:r>
      <w:r w:rsidRPr="00BD7E9A">
        <w:rPr>
          <w:color w:val="000000" w:themeColor="text1"/>
        </w:rPr>
        <w:t>lymphocytes are within the normal range.</w:t>
      </w:r>
    </w:p>
    <w:p w14:paraId="5FD2CCF2" w14:textId="77777777" w:rsidR="001A3992" w:rsidRPr="00BD7E9A" w:rsidRDefault="001A3992" w:rsidP="001A3992">
      <w:pPr>
        <w:pStyle w:val="Heading3"/>
        <w:spacing w:before="0" w:after="120"/>
        <w:rPr>
          <w:color w:val="000000" w:themeColor="text1"/>
          <w:u w:val="none"/>
        </w:rPr>
      </w:pPr>
      <w:r w:rsidRPr="00BD7E9A">
        <w:rPr>
          <w:color w:val="000000" w:themeColor="text1"/>
          <w:u w:val="none"/>
        </w:rPr>
        <w:t>Use in</w:t>
      </w:r>
      <w:r w:rsidR="007D43DB" w:rsidRPr="00BD7E9A">
        <w:rPr>
          <w:color w:val="000000" w:themeColor="text1"/>
          <w:u w:val="none"/>
        </w:rPr>
        <w:t xml:space="preserve"> lactation</w:t>
      </w:r>
    </w:p>
    <w:p w14:paraId="350D381B" w14:textId="77777777" w:rsidR="007D43DB" w:rsidRPr="00BD7E9A" w:rsidRDefault="007D43DB" w:rsidP="007D43DB">
      <w:pPr>
        <w:pStyle w:val="Text"/>
        <w:rPr>
          <w:rFonts w:ascii="Arial" w:eastAsia="Times New Roman" w:hAnsi="Arial" w:cs="Arial"/>
          <w:color w:val="000000" w:themeColor="text1"/>
          <w:szCs w:val="20"/>
          <w:lang w:val="en-GB" w:eastAsia="en-AU"/>
        </w:rPr>
      </w:pPr>
      <w:r w:rsidRPr="00BD7E9A">
        <w:rPr>
          <w:rFonts w:ascii="Arial" w:eastAsia="Times New Roman" w:hAnsi="Arial" w:cs="Arial"/>
          <w:color w:val="000000" w:themeColor="text1"/>
          <w:szCs w:val="20"/>
          <w:lang w:val="en-GB" w:eastAsia="en-AU"/>
        </w:rPr>
        <w:t xml:space="preserve">It is unknown whether </w:t>
      </w:r>
      <w:proofErr w:type="spellStart"/>
      <w:r w:rsidRPr="00BD7E9A">
        <w:rPr>
          <w:rFonts w:ascii="Arial" w:eastAsia="Times New Roman" w:hAnsi="Arial" w:cs="Arial"/>
          <w:color w:val="000000" w:themeColor="text1"/>
          <w:szCs w:val="20"/>
          <w:lang w:val="en-GB" w:eastAsia="en-AU"/>
        </w:rPr>
        <w:t>blinatumomab</w:t>
      </w:r>
      <w:proofErr w:type="spellEnd"/>
      <w:r w:rsidRPr="00BD7E9A">
        <w:rPr>
          <w:rFonts w:ascii="Arial" w:eastAsia="Times New Roman" w:hAnsi="Arial" w:cs="Arial"/>
          <w:color w:val="000000" w:themeColor="text1"/>
          <w:szCs w:val="20"/>
          <w:lang w:val="en-GB" w:eastAsia="en-AU"/>
        </w:rPr>
        <w:t xml:space="preserve"> or metabolites are excreted in human milk. </w:t>
      </w:r>
    </w:p>
    <w:p w14:paraId="572E35A1" w14:textId="77777777" w:rsidR="007D43DB" w:rsidRPr="00BD7E9A" w:rsidRDefault="007D43DB" w:rsidP="007D43DB">
      <w:pPr>
        <w:pStyle w:val="Text"/>
        <w:rPr>
          <w:rFonts w:ascii="Arial" w:eastAsia="Times New Roman" w:hAnsi="Arial" w:cs="Arial"/>
          <w:color w:val="000000" w:themeColor="text1"/>
          <w:szCs w:val="20"/>
          <w:lang w:val="en-GB" w:eastAsia="en-AU"/>
        </w:rPr>
      </w:pPr>
      <w:r w:rsidRPr="00BD7E9A">
        <w:rPr>
          <w:rFonts w:ascii="Arial" w:eastAsia="Times New Roman" w:hAnsi="Arial" w:cs="Arial"/>
          <w:color w:val="000000" w:themeColor="text1"/>
          <w:szCs w:val="20"/>
          <w:lang w:val="en-GB" w:eastAsia="en-AU"/>
        </w:rPr>
        <w:t xml:space="preserve">A risk to </w:t>
      </w:r>
      <w:proofErr w:type="spellStart"/>
      <w:r w:rsidRPr="00BD7E9A">
        <w:rPr>
          <w:rFonts w:ascii="Arial" w:eastAsia="Times New Roman" w:hAnsi="Arial" w:cs="Arial"/>
          <w:color w:val="000000" w:themeColor="text1"/>
          <w:szCs w:val="20"/>
          <w:lang w:val="en-GB" w:eastAsia="en-AU"/>
        </w:rPr>
        <w:t>newborns</w:t>
      </w:r>
      <w:proofErr w:type="spellEnd"/>
      <w:r w:rsidRPr="00BD7E9A">
        <w:rPr>
          <w:rFonts w:ascii="Arial" w:eastAsia="Times New Roman" w:hAnsi="Arial" w:cs="Arial"/>
          <w:color w:val="000000" w:themeColor="text1"/>
          <w:szCs w:val="20"/>
          <w:lang w:val="en-GB" w:eastAsia="en-AU"/>
        </w:rPr>
        <w:t xml:space="preserve"> or infants cannot be excluded.  Because of the potential for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to cause adverse effects in infants, nursing should be discontinued during and for at least 48</w:t>
      </w:r>
      <w:r w:rsidR="008F7554" w:rsidRPr="00BD7E9A">
        <w:rPr>
          <w:rFonts w:ascii="Arial" w:eastAsia="Times New Roman" w:hAnsi="Arial" w:cs="Arial"/>
          <w:color w:val="000000" w:themeColor="text1"/>
          <w:szCs w:val="20"/>
          <w:lang w:val="en-GB" w:eastAsia="en-AU"/>
        </w:rPr>
        <w:t> </w:t>
      </w:r>
      <w:r w:rsidRPr="00BD7E9A">
        <w:rPr>
          <w:rFonts w:ascii="Arial" w:eastAsia="Times New Roman" w:hAnsi="Arial" w:cs="Arial"/>
          <w:color w:val="000000" w:themeColor="text1"/>
          <w:szCs w:val="20"/>
          <w:lang w:val="en-GB" w:eastAsia="en-AU"/>
        </w:rPr>
        <w:t xml:space="preserve">hours after treatment with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w:t>
      </w:r>
    </w:p>
    <w:p w14:paraId="22CC48D1" w14:textId="77777777" w:rsidR="001A3992" w:rsidRPr="00BD7E9A" w:rsidRDefault="001A3992" w:rsidP="001A3992">
      <w:pPr>
        <w:pStyle w:val="Heading2"/>
        <w:spacing w:before="0" w:after="120"/>
        <w:rPr>
          <w:color w:val="000000" w:themeColor="text1"/>
        </w:rPr>
      </w:pPr>
      <w:r w:rsidRPr="00BD7E9A">
        <w:rPr>
          <w:color w:val="000000" w:themeColor="text1"/>
        </w:rPr>
        <w:t xml:space="preserve">Effects on ability to drive and use machines </w:t>
      </w:r>
    </w:p>
    <w:p w14:paraId="12123FE9" w14:textId="77777777" w:rsidR="00C565C1" w:rsidRPr="00BD7E9A" w:rsidRDefault="00C565C1" w:rsidP="00C565C1">
      <w:pPr>
        <w:pStyle w:val="Text"/>
        <w:rPr>
          <w:rFonts w:ascii="Arial" w:eastAsia="Times New Roman" w:hAnsi="Arial" w:cs="Arial"/>
          <w:color w:val="000000" w:themeColor="text1"/>
          <w:szCs w:val="20"/>
          <w:lang w:val="en-GB" w:eastAsia="en-AU"/>
        </w:rPr>
      </w:pPr>
      <w:r w:rsidRPr="00BD7E9A">
        <w:rPr>
          <w:rFonts w:ascii="Arial" w:eastAsia="Times New Roman" w:hAnsi="Arial" w:cs="Arial"/>
          <w:color w:val="000000" w:themeColor="text1"/>
          <w:szCs w:val="20"/>
          <w:lang w:val="en-GB" w:eastAsia="en-AU"/>
        </w:rPr>
        <w:t xml:space="preserve">No studies on effects of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on the ability to drive and use machines have been performed.  However, due to the potential for neurologic events, patients receiving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should refrain from driving, engaging in hazardous occupations or activities such as driving or operating heavy or potentially dangerous machinery while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is being administered.  Patients should be advised that they may experience neurologic events.</w:t>
      </w:r>
    </w:p>
    <w:p w14:paraId="612A9A25" w14:textId="77777777" w:rsidR="001A3992" w:rsidRPr="00BD7E9A" w:rsidRDefault="001A3992" w:rsidP="001A3992">
      <w:pPr>
        <w:pStyle w:val="Heading2"/>
        <w:keepNext/>
        <w:keepLines/>
        <w:spacing w:before="0" w:after="120"/>
        <w:rPr>
          <w:color w:val="000000" w:themeColor="text1"/>
        </w:rPr>
      </w:pPr>
      <w:r w:rsidRPr="00BD7E9A">
        <w:rPr>
          <w:color w:val="000000" w:themeColor="text1"/>
        </w:rPr>
        <w:t>Adverse effects (Undesirable effects)</w:t>
      </w:r>
    </w:p>
    <w:p w14:paraId="5C96FA1C" w14:textId="77777777" w:rsidR="00C44651" w:rsidRPr="00BD7E9A" w:rsidRDefault="00C44651" w:rsidP="00C44651">
      <w:pPr>
        <w:pStyle w:val="Heading3"/>
        <w:rPr>
          <w:color w:val="000000" w:themeColor="text1"/>
          <w:u w:val="none"/>
        </w:rPr>
      </w:pPr>
      <w:r w:rsidRPr="00BD7E9A">
        <w:rPr>
          <w:color w:val="000000" w:themeColor="text1"/>
          <w:u w:val="none"/>
        </w:rPr>
        <w:t>Acute Lymphoblastic Leukaemia in Adult Patients</w:t>
      </w:r>
    </w:p>
    <w:p w14:paraId="2705D9AB" w14:textId="044A2D2B" w:rsidR="004C2286" w:rsidRDefault="00C44651" w:rsidP="00C44651">
      <w:pPr>
        <w:pStyle w:val="Text"/>
        <w:rPr>
          <w:rFonts w:ascii="Arial" w:eastAsia="Times New Roman" w:hAnsi="Arial" w:cs="Arial"/>
          <w:color w:val="000000" w:themeColor="text1"/>
          <w:szCs w:val="20"/>
          <w:lang w:val="en-GB" w:eastAsia="en-AU"/>
        </w:rPr>
      </w:pPr>
      <w:r w:rsidRPr="00BD7E9A">
        <w:rPr>
          <w:rFonts w:ascii="Arial" w:eastAsia="Times New Roman" w:hAnsi="Arial" w:cs="Arial"/>
          <w:color w:val="000000" w:themeColor="text1"/>
          <w:szCs w:val="20"/>
          <w:lang w:val="en-GB" w:eastAsia="en-AU"/>
        </w:rPr>
        <w:t>The adverse reactions described in this section were identified in the randomised phase III clinical study (N = 267) of adult patients with Philadelphia chromosome-negative relapsed or refractory B-cell precursor ALL.</w:t>
      </w:r>
    </w:p>
    <w:p w14:paraId="2CB38CB6" w14:textId="77777777" w:rsidR="004C2286" w:rsidRDefault="004C2286">
      <w:pPr>
        <w:rPr>
          <w:rFonts w:ascii="Arial" w:eastAsia="Times New Roman" w:hAnsi="Arial" w:cs="Arial"/>
          <w:color w:val="000000" w:themeColor="text1"/>
          <w:szCs w:val="20"/>
          <w:lang w:val="en-GB" w:eastAsia="en-AU"/>
        </w:rPr>
      </w:pPr>
      <w:r>
        <w:rPr>
          <w:rFonts w:ascii="Arial" w:eastAsia="Times New Roman" w:hAnsi="Arial" w:cs="Arial"/>
          <w:color w:val="000000" w:themeColor="text1"/>
          <w:szCs w:val="20"/>
          <w:lang w:val="en-GB" w:eastAsia="en-AU"/>
        </w:rPr>
        <w:br w:type="page"/>
      </w:r>
    </w:p>
    <w:p w14:paraId="5286F8B2" w14:textId="77777777" w:rsidR="00C565C1" w:rsidRPr="00124550" w:rsidRDefault="00C565C1" w:rsidP="00C565C1">
      <w:pPr>
        <w:pStyle w:val="Text"/>
        <w:rPr>
          <w:rFonts w:ascii="Arial" w:eastAsia="Times New Roman" w:hAnsi="Arial" w:cs="Arial"/>
          <w:szCs w:val="20"/>
          <w:lang w:val="en-GB" w:eastAsia="en-AU"/>
        </w:rPr>
      </w:pPr>
      <w:r w:rsidRPr="00124550">
        <w:rPr>
          <w:rFonts w:ascii="Arial" w:eastAsia="Times New Roman" w:hAnsi="Arial" w:cs="Arial"/>
          <w:szCs w:val="20"/>
          <w:lang w:val="en-GB" w:eastAsia="en-AU"/>
        </w:rPr>
        <w:lastRenderedPageBreak/>
        <w:t xml:space="preserve">The most serious adverse reactions that may occur during </w:t>
      </w:r>
      <w:proofErr w:type="spellStart"/>
      <w:r w:rsidRPr="00124550">
        <w:rPr>
          <w:rFonts w:ascii="Arial" w:eastAsia="Times New Roman" w:hAnsi="Arial" w:cs="Arial"/>
          <w:szCs w:val="20"/>
          <w:lang w:val="en-GB" w:eastAsia="en-AU"/>
        </w:rPr>
        <w:t>Blincyto</w:t>
      </w:r>
      <w:proofErr w:type="spellEnd"/>
      <w:r w:rsidRPr="00124550">
        <w:rPr>
          <w:rFonts w:ascii="Arial" w:eastAsia="Times New Roman" w:hAnsi="Arial" w:cs="Arial"/>
          <w:szCs w:val="20"/>
          <w:lang w:val="en-GB" w:eastAsia="en-AU"/>
        </w:rPr>
        <w:t xml:space="preserve"> treatment include:</w:t>
      </w:r>
    </w:p>
    <w:p w14:paraId="1EFF9CEF" w14:textId="77777777" w:rsidR="00C565C1" w:rsidRPr="00124550" w:rsidRDefault="00C565C1" w:rsidP="008F7554">
      <w:pPr>
        <w:pStyle w:val="PI-Text"/>
      </w:pPr>
      <w:r w:rsidRPr="00124550">
        <w:t>infections (28.1%), neutropenia/febrile neutropenia (10.5%), neurologic events (6.7%), cytokine release syndrome (3.7%), and tumour lysis syndrome (1.1%).</w:t>
      </w:r>
    </w:p>
    <w:p w14:paraId="4F342F40" w14:textId="77777777" w:rsidR="00C565C1" w:rsidRPr="00124550"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The most common adverse reactions were: </w:t>
      </w:r>
      <w:r w:rsidRPr="00124550">
        <w:rPr>
          <w:rFonts w:ascii="Arial" w:hAnsi="Arial" w:cs="Arial"/>
        </w:rPr>
        <w:t xml:space="preserve"> infections (64.0%), pyrexia (60.3%), infusion-related reactions (34.1%), headache (28.8%), anaemia (27.3%), febrile neutropenia (24.0%), thrombocytopenia (24.0%), neutropenia (23.2%), oedema (17.2%), and increased liver enzymes (16.9%).  </w:t>
      </w:r>
    </w:p>
    <w:p w14:paraId="68C52F40" w14:textId="1BF0E88C" w:rsidR="00C44651" w:rsidRPr="00124550" w:rsidRDefault="00C565C1" w:rsidP="00695792">
      <w:pPr>
        <w:pStyle w:val="Text"/>
        <w:rPr>
          <w:rFonts w:ascii="Arial" w:eastAsia="Times New Roman" w:hAnsi="Arial" w:cs="Arial"/>
          <w:szCs w:val="20"/>
          <w:lang w:eastAsia="en-AU"/>
        </w:rPr>
      </w:pPr>
      <w:r w:rsidRPr="00870201">
        <w:rPr>
          <w:rFonts w:ascii="Arial" w:eastAsia="Times New Roman" w:hAnsi="Arial" w:cs="Arial"/>
          <w:szCs w:val="20"/>
          <w:lang w:val="en-GB" w:eastAsia="en-AU"/>
        </w:rPr>
        <w:t xml:space="preserve">Adverse reactions are presented below by system organ class and frequency category. Frequency categories were determined from the crude incidence rate reported for each adverse reaction in </w:t>
      </w:r>
      <w:r>
        <w:rPr>
          <w:rFonts w:ascii="Arial" w:eastAsia="Times New Roman" w:hAnsi="Arial" w:cs="Arial"/>
          <w:szCs w:val="20"/>
          <w:lang w:val="en-GB" w:eastAsia="en-AU"/>
        </w:rPr>
        <w:t>the phase</w:t>
      </w:r>
      <w:r w:rsidR="00F338DE">
        <w:rPr>
          <w:rFonts w:ascii="Arial" w:eastAsia="Times New Roman" w:hAnsi="Arial" w:cs="Arial"/>
          <w:szCs w:val="20"/>
          <w:lang w:val="en-GB" w:eastAsia="en-AU"/>
        </w:rPr>
        <w:t> </w:t>
      </w:r>
      <w:r>
        <w:rPr>
          <w:rFonts w:ascii="Arial" w:eastAsia="Times New Roman" w:hAnsi="Arial" w:cs="Arial"/>
          <w:szCs w:val="20"/>
          <w:lang w:val="en-GB" w:eastAsia="en-AU"/>
        </w:rPr>
        <w:t>III clinical study</w:t>
      </w:r>
      <w:r w:rsidRPr="00870201">
        <w:rPr>
          <w:rFonts w:ascii="Arial" w:eastAsia="Times New Roman" w:hAnsi="Arial" w:cs="Arial"/>
          <w:szCs w:val="20"/>
          <w:lang w:val="en-GB" w:eastAsia="en-AU"/>
        </w:rPr>
        <w:t xml:space="preserve"> (</w:t>
      </w:r>
      <w:r w:rsidR="00BD7E9A">
        <w:rPr>
          <w:rFonts w:ascii="Arial" w:eastAsia="Times New Roman" w:hAnsi="Arial" w:cs="Arial"/>
          <w:szCs w:val="20"/>
          <w:lang w:val="en-GB" w:eastAsia="en-AU"/>
        </w:rPr>
        <w:t>N</w:t>
      </w:r>
      <w:r w:rsidR="00C44651">
        <w:rPr>
          <w:rFonts w:ascii="Arial" w:eastAsia="Times New Roman" w:hAnsi="Arial" w:cs="Arial"/>
          <w:szCs w:val="20"/>
          <w:lang w:val="en-GB" w:eastAsia="en-AU"/>
        </w:rPr>
        <w:t> </w:t>
      </w:r>
      <w:r w:rsidR="00C44651" w:rsidRPr="00870201">
        <w:rPr>
          <w:rFonts w:ascii="Arial" w:eastAsia="Times New Roman" w:hAnsi="Arial" w:cs="Arial"/>
          <w:szCs w:val="20"/>
          <w:lang w:val="en-GB" w:eastAsia="en-AU"/>
        </w:rPr>
        <w:t>=</w:t>
      </w:r>
      <w:r w:rsidR="00C44651">
        <w:rPr>
          <w:rFonts w:ascii="Arial" w:eastAsia="Times New Roman" w:hAnsi="Arial" w:cs="Arial"/>
          <w:szCs w:val="20"/>
          <w:lang w:val="en-GB" w:eastAsia="en-AU"/>
        </w:rPr>
        <w:t> 267</w:t>
      </w:r>
      <w:r w:rsidR="00C44651" w:rsidRPr="00870201">
        <w:rPr>
          <w:rFonts w:ascii="Arial" w:eastAsia="Times New Roman" w:hAnsi="Arial" w:cs="Arial"/>
          <w:szCs w:val="20"/>
          <w:lang w:val="en-GB" w:eastAsia="en-AU"/>
        </w:rPr>
        <w:t>).</w:t>
      </w:r>
      <w:r w:rsidR="00C44651">
        <w:rPr>
          <w:rFonts w:ascii="Arial" w:eastAsia="Times New Roman" w:hAnsi="Arial" w:cs="Arial"/>
          <w:szCs w:val="20"/>
          <w:lang w:val="en-GB" w:eastAsia="en-AU"/>
        </w:rPr>
        <w:t xml:space="preserve"> </w:t>
      </w:r>
      <w:r w:rsidR="00C44651" w:rsidRPr="00870201">
        <w:rPr>
          <w:rFonts w:ascii="Arial" w:eastAsia="Times New Roman" w:hAnsi="Arial" w:cs="Arial"/>
          <w:szCs w:val="20"/>
          <w:lang w:val="en-GB" w:eastAsia="en-AU"/>
        </w:rPr>
        <w:t xml:space="preserve"> Within each system organ class, </w:t>
      </w:r>
      <w:r w:rsidR="00C44651" w:rsidRPr="00561994">
        <w:rPr>
          <w:rFonts w:ascii="Arial" w:eastAsia="Times New Roman" w:hAnsi="Arial" w:cs="Arial"/>
          <w:szCs w:val="20"/>
          <w:lang w:val="en-GB" w:eastAsia="en-AU"/>
        </w:rPr>
        <w:t>adverse reactions are:</w:t>
      </w:r>
      <w:r w:rsidR="00C44651" w:rsidRPr="00870201">
        <w:rPr>
          <w:rFonts w:ascii="Arial" w:eastAsia="Times New Roman" w:hAnsi="Arial" w:cs="Arial"/>
          <w:szCs w:val="20"/>
          <w:lang w:val="en-GB" w:eastAsia="en-AU"/>
        </w:rPr>
        <w:t xml:space="preserve"> </w:t>
      </w:r>
    </w:p>
    <w:tbl>
      <w:tblPr>
        <w:tblStyle w:val="TableGrid"/>
        <w:tblW w:w="8647" w:type="dxa"/>
        <w:tblInd w:w="108" w:type="dxa"/>
        <w:tblLayout w:type="fixed"/>
        <w:tblLook w:val="04A0" w:firstRow="1" w:lastRow="0" w:firstColumn="1" w:lastColumn="0" w:noHBand="0" w:noVBand="1"/>
      </w:tblPr>
      <w:tblGrid>
        <w:gridCol w:w="2161"/>
        <w:gridCol w:w="2162"/>
        <w:gridCol w:w="2162"/>
        <w:gridCol w:w="2162"/>
      </w:tblGrid>
      <w:tr w:rsidR="00C44651" w:rsidRPr="005E3CA5" w14:paraId="7F1C10A3" w14:textId="77777777" w:rsidTr="007E0C29">
        <w:trPr>
          <w:cantSplit/>
          <w:tblHeader/>
        </w:trPr>
        <w:tc>
          <w:tcPr>
            <w:tcW w:w="2161" w:type="dxa"/>
            <w:tcBorders>
              <w:top w:val="single" w:sz="4" w:space="0" w:color="auto"/>
              <w:left w:val="single" w:sz="4" w:space="0" w:color="auto"/>
              <w:bottom w:val="single" w:sz="4" w:space="0" w:color="auto"/>
            </w:tcBorders>
          </w:tcPr>
          <w:p w14:paraId="4F79AEDF" w14:textId="77777777" w:rsidR="00C44651" w:rsidRPr="005E3CA5" w:rsidRDefault="00C44651" w:rsidP="00695792">
            <w:pPr>
              <w:pStyle w:val="PI-TableText"/>
              <w:spacing w:before="60" w:after="60" w:line="240" w:lineRule="atLeast"/>
              <w:rPr>
                <w:b/>
              </w:rPr>
            </w:pPr>
            <w:proofErr w:type="spellStart"/>
            <w:r w:rsidRPr="005E3CA5">
              <w:rPr>
                <w:b/>
              </w:rPr>
              <w:t>MedDRA</w:t>
            </w:r>
            <w:proofErr w:type="spellEnd"/>
            <w:r w:rsidRPr="005E3CA5">
              <w:rPr>
                <w:b/>
              </w:rPr>
              <w:t xml:space="preserve"> system organ class</w:t>
            </w:r>
          </w:p>
        </w:tc>
        <w:tc>
          <w:tcPr>
            <w:tcW w:w="2162" w:type="dxa"/>
            <w:tcBorders>
              <w:top w:val="single" w:sz="4" w:space="0" w:color="auto"/>
              <w:bottom w:val="single" w:sz="4" w:space="0" w:color="auto"/>
            </w:tcBorders>
          </w:tcPr>
          <w:p w14:paraId="0A367A68" w14:textId="77777777" w:rsidR="00C44651" w:rsidRPr="005E3CA5" w:rsidRDefault="00C44651" w:rsidP="00695792">
            <w:pPr>
              <w:pStyle w:val="PI-TableText"/>
              <w:spacing w:before="60" w:after="60" w:line="240" w:lineRule="atLeast"/>
              <w:jc w:val="center"/>
              <w:rPr>
                <w:b/>
              </w:rPr>
            </w:pPr>
            <w:r w:rsidRPr="005E3CA5">
              <w:rPr>
                <w:b/>
              </w:rPr>
              <w:t>Very common</w:t>
            </w:r>
            <w:r w:rsidRPr="005E3CA5">
              <w:rPr>
                <w:b/>
              </w:rPr>
              <w:br/>
              <w:t>(≥ 1/10)</w:t>
            </w:r>
          </w:p>
        </w:tc>
        <w:tc>
          <w:tcPr>
            <w:tcW w:w="2162" w:type="dxa"/>
            <w:tcBorders>
              <w:top w:val="single" w:sz="4" w:space="0" w:color="auto"/>
              <w:bottom w:val="single" w:sz="4" w:space="0" w:color="auto"/>
            </w:tcBorders>
          </w:tcPr>
          <w:p w14:paraId="67028FA4" w14:textId="77777777" w:rsidR="00C44651" w:rsidRPr="005E3CA5" w:rsidRDefault="00C44651" w:rsidP="00695792">
            <w:pPr>
              <w:pStyle w:val="PI-TableText"/>
              <w:spacing w:before="60" w:after="60" w:line="240" w:lineRule="atLeast"/>
              <w:jc w:val="center"/>
              <w:rPr>
                <w:b/>
              </w:rPr>
            </w:pPr>
            <w:r w:rsidRPr="005E3CA5">
              <w:rPr>
                <w:b/>
              </w:rPr>
              <w:t>Common</w:t>
            </w:r>
            <w:r w:rsidRPr="005E3CA5">
              <w:rPr>
                <w:b/>
              </w:rPr>
              <w:br/>
              <w:t>(≥ 1/100 to &lt; 1/10)</w:t>
            </w:r>
          </w:p>
        </w:tc>
        <w:tc>
          <w:tcPr>
            <w:tcW w:w="2162" w:type="dxa"/>
            <w:tcBorders>
              <w:top w:val="single" w:sz="4" w:space="0" w:color="auto"/>
              <w:bottom w:val="single" w:sz="4" w:space="0" w:color="auto"/>
              <w:right w:val="single" w:sz="4" w:space="0" w:color="auto"/>
            </w:tcBorders>
          </w:tcPr>
          <w:p w14:paraId="684D78B1" w14:textId="77777777" w:rsidR="00C44651" w:rsidRPr="005E3CA5" w:rsidRDefault="00C44651" w:rsidP="00695792">
            <w:pPr>
              <w:pStyle w:val="PI-TableText"/>
              <w:spacing w:before="60" w:after="60" w:line="240" w:lineRule="atLeast"/>
              <w:jc w:val="center"/>
              <w:rPr>
                <w:b/>
              </w:rPr>
            </w:pPr>
            <w:r w:rsidRPr="005E3CA5">
              <w:rPr>
                <w:b/>
              </w:rPr>
              <w:t>Uncommon</w:t>
            </w:r>
            <w:r w:rsidRPr="005E3CA5">
              <w:rPr>
                <w:b/>
              </w:rPr>
              <w:br/>
              <w:t>(≥ 1/1000 to &lt; 1/100)</w:t>
            </w:r>
          </w:p>
        </w:tc>
      </w:tr>
      <w:tr w:rsidR="00C44651" w:rsidRPr="00117C78" w14:paraId="4D282EB4" w14:textId="77777777" w:rsidTr="00695792">
        <w:trPr>
          <w:cantSplit/>
        </w:trPr>
        <w:tc>
          <w:tcPr>
            <w:tcW w:w="2161" w:type="dxa"/>
            <w:tcBorders>
              <w:top w:val="single" w:sz="4" w:space="0" w:color="auto"/>
            </w:tcBorders>
          </w:tcPr>
          <w:p w14:paraId="72B74475" w14:textId="77777777" w:rsidR="00C44651" w:rsidRPr="00117C78" w:rsidRDefault="00C44651" w:rsidP="00695792">
            <w:pPr>
              <w:pStyle w:val="PI-TableText"/>
              <w:spacing w:before="60" w:after="60" w:line="240" w:lineRule="atLeast"/>
            </w:pPr>
            <w:r w:rsidRPr="00117C78">
              <w:t>Infections and infestations</w:t>
            </w:r>
          </w:p>
        </w:tc>
        <w:tc>
          <w:tcPr>
            <w:tcW w:w="2162" w:type="dxa"/>
            <w:tcBorders>
              <w:top w:val="single" w:sz="4" w:space="0" w:color="auto"/>
            </w:tcBorders>
          </w:tcPr>
          <w:p w14:paraId="7BCA3775" w14:textId="77777777" w:rsidR="00C44651" w:rsidRPr="00117C78" w:rsidRDefault="00C44651" w:rsidP="00695792">
            <w:pPr>
              <w:pStyle w:val="PI-TableText"/>
              <w:spacing w:before="60" w:after="60" w:line="240" w:lineRule="atLeast"/>
            </w:pPr>
            <w:r w:rsidRPr="00117C78">
              <w:t xml:space="preserve">Fungal </w:t>
            </w:r>
            <w:proofErr w:type="spellStart"/>
            <w:r w:rsidRPr="00117C78">
              <w:t>infections</w:t>
            </w:r>
            <w:r w:rsidRPr="003100DD">
              <w:rPr>
                <w:vertAlign w:val="superscript"/>
              </w:rPr>
              <w:t>a,b</w:t>
            </w:r>
            <w:proofErr w:type="spellEnd"/>
            <w:r w:rsidRPr="003100DD">
              <w:rPr>
                <w:vertAlign w:val="superscript"/>
              </w:rPr>
              <w:br/>
            </w:r>
            <w:r w:rsidRPr="00117C78">
              <w:t xml:space="preserve">Bacterial </w:t>
            </w:r>
            <w:proofErr w:type="spellStart"/>
            <w:r w:rsidRPr="00117C78">
              <w:t>infections</w:t>
            </w:r>
            <w:r w:rsidRPr="003100DD">
              <w:rPr>
                <w:vertAlign w:val="superscript"/>
              </w:rPr>
              <w:t>a,b</w:t>
            </w:r>
            <w:proofErr w:type="spellEnd"/>
            <w:r w:rsidRPr="00117C78">
              <w:br/>
              <w:t xml:space="preserve">Viral </w:t>
            </w:r>
            <w:proofErr w:type="spellStart"/>
            <w:r w:rsidRPr="00117C78">
              <w:t>infections</w:t>
            </w:r>
            <w:r w:rsidRPr="003100DD">
              <w:rPr>
                <w:vertAlign w:val="superscript"/>
              </w:rPr>
              <w:t>a,b</w:t>
            </w:r>
            <w:proofErr w:type="spellEnd"/>
            <w:r w:rsidRPr="00117C78">
              <w:br/>
            </w:r>
            <w:r>
              <w:t>I</w:t>
            </w:r>
            <w:r w:rsidRPr="00117C78">
              <w:t>nfections</w:t>
            </w:r>
            <w:r>
              <w:t xml:space="preserve"> – pathogen </w:t>
            </w:r>
            <w:proofErr w:type="spellStart"/>
            <w:r>
              <w:t>unspecified</w:t>
            </w:r>
            <w:r w:rsidRPr="00AF3D71">
              <w:rPr>
                <w:vertAlign w:val="superscript"/>
              </w:rPr>
              <w:t>b</w:t>
            </w:r>
            <w:proofErr w:type="spellEnd"/>
          </w:p>
        </w:tc>
        <w:tc>
          <w:tcPr>
            <w:tcW w:w="2162" w:type="dxa"/>
            <w:tcBorders>
              <w:top w:val="single" w:sz="4" w:space="0" w:color="auto"/>
            </w:tcBorders>
          </w:tcPr>
          <w:p w14:paraId="17BE868E" w14:textId="77777777" w:rsidR="00C44651" w:rsidRPr="00117C78" w:rsidRDefault="00C44651" w:rsidP="00695792">
            <w:pPr>
              <w:pStyle w:val="PI-TableText"/>
              <w:spacing w:before="60" w:after="60" w:line="240" w:lineRule="atLeast"/>
            </w:pPr>
          </w:p>
        </w:tc>
        <w:tc>
          <w:tcPr>
            <w:tcW w:w="2162" w:type="dxa"/>
            <w:tcBorders>
              <w:top w:val="single" w:sz="4" w:space="0" w:color="auto"/>
            </w:tcBorders>
          </w:tcPr>
          <w:p w14:paraId="033CC397" w14:textId="77777777" w:rsidR="00C44651" w:rsidRPr="00117C78" w:rsidRDefault="00C44651" w:rsidP="00695792">
            <w:pPr>
              <w:pStyle w:val="PI-TableText"/>
              <w:spacing w:before="60" w:after="60" w:line="240" w:lineRule="atLeast"/>
            </w:pPr>
          </w:p>
        </w:tc>
      </w:tr>
      <w:tr w:rsidR="00C44651" w:rsidRPr="00117C78" w14:paraId="02A26FBD" w14:textId="77777777" w:rsidTr="00695792">
        <w:trPr>
          <w:cantSplit/>
        </w:trPr>
        <w:tc>
          <w:tcPr>
            <w:tcW w:w="2161" w:type="dxa"/>
          </w:tcPr>
          <w:p w14:paraId="199487BC" w14:textId="77777777" w:rsidR="00C44651" w:rsidRPr="00117C78" w:rsidRDefault="00C44651" w:rsidP="00695792">
            <w:pPr>
              <w:pStyle w:val="PI-TableText"/>
              <w:spacing w:before="60" w:after="60" w:line="240" w:lineRule="atLeast"/>
            </w:pPr>
            <w:r w:rsidRPr="00117C78">
              <w:t>Blood and lymphatic system disorders</w:t>
            </w:r>
          </w:p>
        </w:tc>
        <w:tc>
          <w:tcPr>
            <w:tcW w:w="2162" w:type="dxa"/>
          </w:tcPr>
          <w:p w14:paraId="722807B1" w14:textId="77777777" w:rsidR="00C44651" w:rsidRPr="00117C78" w:rsidRDefault="00C44651" w:rsidP="00695792">
            <w:pPr>
              <w:pStyle w:val="PI-TableText"/>
              <w:spacing w:before="60" w:after="60" w:line="240" w:lineRule="atLeast"/>
            </w:pPr>
            <w:r w:rsidRPr="00117C78">
              <w:t>Febrile neutropenia</w:t>
            </w:r>
            <w:r w:rsidRPr="003100DD">
              <w:rPr>
                <w:vertAlign w:val="superscript"/>
              </w:rPr>
              <w:t>12</w:t>
            </w:r>
            <w:r w:rsidRPr="00117C78">
              <w:br/>
              <w:t>Neutr</w:t>
            </w:r>
            <w:r>
              <w:t>openia</w:t>
            </w:r>
            <w:r>
              <w:br/>
              <w:t>Thrombocytopenia</w:t>
            </w:r>
            <w:r w:rsidRPr="003100DD">
              <w:rPr>
                <w:vertAlign w:val="superscript"/>
              </w:rPr>
              <w:t>17</w:t>
            </w:r>
            <w:r>
              <w:br/>
              <w:t>Anaemia</w:t>
            </w:r>
            <w:r w:rsidRPr="003100DD">
              <w:rPr>
                <w:vertAlign w:val="superscript"/>
              </w:rPr>
              <w:t>1</w:t>
            </w:r>
          </w:p>
        </w:tc>
        <w:tc>
          <w:tcPr>
            <w:tcW w:w="2162" w:type="dxa"/>
          </w:tcPr>
          <w:p w14:paraId="04BC0DB0" w14:textId="77777777" w:rsidR="00C44651" w:rsidRPr="00117C78" w:rsidRDefault="00C44651" w:rsidP="00695792">
            <w:pPr>
              <w:pStyle w:val="PI-TableText"/>
              <w:spacing w:before="60" w:after="60" w:line="240" w:lineRule="atLeast"/>
            </w:pPr>
            <w:proofErr w:type="spellStart"/>
            <w:r w:rsidRPr="00117C78">
              <w:t>Haemophagocytic</w:t>
            </w:r>
            <w:proofErr w:type="spellEnd"/>
            <w:r w:rsidRPr="00117C78">
              <w:t xml:space="preserve"> </w:t>
            </w:r>
            <w:proofErr w:type="spellStart"/>
            <w:r w:rsidRPr="00117C78">
              <w:t>histiocytosis</w:t>
            </w:r>
            <w:proofErr w:type="spellEnd"/>
            <w:r>
              <w:br/>
              <w:t>Leukopenia</w:t>
            </w:r>
            <w:r w:rsidRPr="003100DD">
              <w:rPr>
                <w:vertAlign w:val="superscript"/>
              </w:rPr>
              <w:t>10</w:t>
            </w:r>
            <w:r>
              <w:br/>
            </w:r>
            <w:r w:rsidRPr="00117C78">
              <w:t>Leukocytosis</w:t>
            </w:r>
            <w:r w:rsidRPr="003100DD">
              <w:rPr>
                <w:vertAlign w:val="superscript"/>
              </w:rPr>
              <w:t>2</w:t>
            </w:r>
            <w:r>
              <w:br/>
            </w:r>
            <w:r w:rsidRPr="00117C78">
              <w:t>Lymphopenia</w:t>
            </w:r>
            <w:r w:rsidRPr="003100DD">
              <w:rPr>
                <w:vertAlign w:val="superscript"/>
              </w:rPr>
              <w:t>11</w:t>
            </w:r>
            <w:r>
              <w:br/>
              <w:t>Lymphadenopathy</w:t>
            </w:r>
          </w:p>
        </w:tc>
        <w:tc>
          <w:tcPr>
            <w:tcW w:w="2162" w:type="dxa"/>
          </w:tcPr>
          <w:p w14:paraId="3D65BA22" w14:textId="77777777" w:rsidR="00C44651" w:rsidRPr="00117C78" w:rsidRDefault="00C44651" w:rsidP="00695792">
            <w:pPr>
              <w:pStyle w:val="PI-TableText"/>
              <w:spacing w:before="60" w:after="60" w:line="240" w:lineRule="atLeast"/>
            </w:pPr>
          </w:p>
        </w:tc>
      </w:tr>
      <w:tr w:rsidR="00C44651" w:rsidRPr="00117C78" w14:paraId="7A95F557" w14:textId="77777777" w:rsidTr="00695792">
        <w:trPr>
          <w:cantSplit/>
        </w:trPr>
        <w:tc>
          <w:tcPr>
            <w:tcW w:w="2161" w:type="dxa"/>
          </w:tcPr>
          <w:p w14:paraId="2CA560C8" w14:textId="77777777" w:rsidR="00C44651" w:rsidRPr="00117C78" w:rsidRDefault="00C44651" w:rsidP="00695792">
            <w:pPr>
              <w:pStyle w:val="PI-TableText"/>
              <w:spacing w:before="60" w:after="60" w:line="240" w:lineRule="atLeast"/>
            </w:pPr>
            <w:r w:rsidRPr="00117C78">
              <w:t>Immune system disorders</w:t>
            </w:r>
          </w:p>
        </w:tc>
        <w:tc>
          <w:tcPr>
            <w:tcW w:w="2162" w:type="dxa"/>
          </w:tcPr>
          <w:p w14:paraId="5F7E9832" w14:textId="77777777" w:rsidR="00C44651" w:rsidRPr="00117C78" w:rsidRDefault="00C44651" w:rsidP="00695792">
            <w:pPr>
              <w:pStyle w:val="PI-TableText"/>
              <w:spacing w:before="60" w:after="60" w:line="240" w:lineRule="atLeast"/>
            </w:pPr>
            <w:r w:rsidRPr="00117C78">
              <w:t xml:space="preserve">Cytokine release </w:t>
            </w:r>
            <w:proofErr w:type="spellStart"/>
            <w:r w:rsidRPr="00117C78">
              <w:t>syndrome</w:t>
            </w:r>
            <w:r w:rsidRPr="003100DD">
              <w:rPr>
                <w:vertAlign w:val="superscript"/>
              </w:rPr>
              <w:t>a</w:t>
            </w:r>
            <w:proofErr w:type="spellEnd"/>
          </w:p>
        </w:tc>
        <w:tc>
          <w:tcPr>
            <w:tcW w:w="2162" w:type="dxa"/>
          </w:tcPr>
          <w:p w14:paraId="16A1A835" w14:textId="77777777" w:rsidR="00C44651" w:rsidRPr="00117C78" w:rsidRDefault="00C44651" w:rsidP="00695792">
            <w:pPr>
              <w:pStyle w:val="PI-TableText"/>
              <w:spacing w:before="60" w:after="60" w:line="240" w:lineRule="atLeast"/>
            </w:pPr>
            <w:r w:rsidRPr="00117C78">
              <w:t>Hypersensitivity</w:t>
            </w:r>
          </w:p>
        </w:tc>
        <w:tc>
          <w:tcPr>
            <w:tcW w:w="2162" w:type="dxa"/>
          </w:tcPr>
          <w:p w14:paraId="52BEBE43" w14:textId="77777777" w:rsidR="00C44651" w:rsidRPr="00117C78" w:rsidRDefault="00C44651" w:rsidP="00695792">
            <w:pPr>
              <w:pStyle w:val="PI-TableText"/>
              <w:spacing w:before="60" w:after="60" w:line="240" w:lineRule="atLeast"/>
            </w:pPr>
            <w:r w:rsidRPr="00117C78">
              <w:t>Cytokine storm</w:t>
            </w:r>
          </w:p>
        </w:tc>
      </w:tr>
      <w:tr w:rsidR="00C44651" w:rsidRPr="00117C78" w14:paraId="7234CAED" w14:textId="77777777" w:rsidTr="00695792">
        <w:trPr>
          <w:cantSplit/>
        </w:trPr>
        <w:tc>
          <w:tcPr>
            <w:tcW w:w="2161" w:type="dxa"/>
          </w:tcPr>
          <w:p w14:paraId="65F2051C" w14:textId="77777777" w:rsidR="00C44651" w:rsidRPr="00117C78" w:rsidRDefault="00C44651" w:rsidP="00695792">
            <w:pPr>
              <w:pStyle w:val="PI-TableText"/>
              <w:spacing w:before="60" w:after="60" w:line="240" w:lineRule="atLeast"/>
            </w:pPr>
            <w:r w:rsidRPr="00117C78">
              <w:t>Metabolism and nutrition disorders</w:t>
            </w:r>
          </w:p>
        </w:tc>
        <w:tc>
          <w:tcPr>
            <w:tcW w:w="2162" w:type="dxa"/>
          </w:tcPr>
          <w:p w14:paraId="10BB02C7" w14:textId="77777777" w:rsidR="00C44651" w:rsidRPr="00117C78" w:rsidRDefault="00C44651" w:rsidP="00695792">
            <w:pPr>
              <w:pStyle w:val="PI-TableText"/>
              <w:spacing w:before="60" w:after="60" w:line="240" w:lineRule="atLeast"/>
            </w:pPr>
          </w:p>
        </w:tc>
        <w:tc>
          <w:tcPr>
            <w:tcW w:w="2162" w:type="dxa"/>
          </w:tcPr>
          <w:p w14:paraId="71664C94" w14:textId="77777777" w:rsidR="00C44651" w:rsidRPr="00117C78" w:rsidRDefault="00C44651" w:rsidP="00695792">
            <w:pPr>
              <w:pStyle w:val="PI-TableText"/>
              <w:spacing w:before="60" w:after="60" w:line="240" w:lineRule="atLeast"/>
              <w:rPr>
                <w:lang w:val="fr-FR"/>
              </w:rPr>
            </w:pPr>
            <w:proofErr w:type="spellStart"/>
            <w:r w:rsidRPr="00117C78">
              <w:rPr>
                <w:lang w:val="fr-FR"/>
              </w:rPr>
              <w:t>Tumour</w:t>
            </w:r>
            <w:proofErr w:type="spellEnd"/>
            <w:r w:rsidRPr="00117C78">
              <w:rPr>
                <w:lang w:val="fr-FR"/>
              </w:rPr>
              <w:t xml:space="preserve"> </w:t>
            </w:r>
            <w:proofErr w:type="spellStart"/>
            <w:r w:rsidRPr="00117C78">
              <w:rPr>
                <w:lang w:val="fr-FR"/>
              </w:rPr>
              <w:t>lysis</w:t>
            </w:r>
            <w:proofErr w:type="spellEnd"/>
            <w:r w:rsidRPr="00117C78">
              <w:rPr>
                <w:lang w:val="fr-FR"/>
              </w:rPr>
              <w:t xml:space="preserve"> syndrome</w:t>
            </w:r>
          </w:p>
        </w:tc>
        <w:tc>
          <w:tcPr>
            <w:tcW w:w="2162" w:type="dxa"/>
          </w:tcPr>
          <w:p w14:paraId="7C94C41F" w14:textId="77777777" w:rsidR="00C44651" w:rsidRPr="00117C78" w:rsidRDefault="00C44651" w:rsidP="00695792">
            <w:pPr>
              <w:pStyle w:val="PI-TableText"/>
              <w:spacing w:before="60" w:after="60" w:line="240" w:lineRule="atLeast"/>
              <w:rPr>
                <w:lang w:val="fr-FR"/>
              </w:rPr>
            </w:pPr>
          </w:p>
        </w:tc>
      </w:tr>
      <w:tr w:rsidR="00C44651" w:rsidRPr="00117C78" w14:paraId="089389CA" w14:textId="77777777" w:rsidTr="00695792">
        <w:trPr>
          <w:cantSplit/>
        </w:trPr>
        <w:tc>
          <w:tcPr>
            <w:tcW w:w="2161" w:type="dxa"/>
          </w:tcPr>
          <w:p w14:paraId="6E59D510" w14:textId="77777777" w:rsidR="00C44651" w:rsidRPr="00117C78" w:rsidRDefault="00C44651" w:rsidP="00695792">
            <w:pPr>
              <w:pStyle w:val="PI-TableText"/>
              <w:spacing w:before="60" w:after="60" w:line="240" w:lineRule="atLeast"/>
            </w:pPr>
            <w:r w:rsidRPr="00117C78">
              <w:t>Psychiatric disorders</w:t>
            </w:r>
          </w:p>
        </w:tc>
        <w:tc>
          <w:tcPr>
            <w:tcW w:w="2162" w:type="dxa"/>
          </w:tcPr>
          <w:p w14:paraId="074FC778" w14:textId="77777777" w:rsidR="00C44651" w:rsidRPr="00117C78" w:rsidRDefault="00C44651" w:rsidP="00695792">
            <w:pPr>
              <w:pStyle w:val="PI-TableText"/>
              <w:spacing w:before="60" w:after="60" w:line="240" w:lineRule="atLeast"/>
            </w:pPr>
            <w:r w:rsidRPr="00117C78">
              <w:t>Insomnia</w:t>
            </w:r>
          </w:p>
        </w:tc>
        <w:tc>
          <w:tcPr>
            <w:tcW w:w="2162" w:type="dxa"/>
          </w:tcPr>
          <w:p w14:paraId="1AA3F56D" w14:textId="77777777" w:rsidR="00C44651" w:rsidRPr="00117C78" w:rsidRDefault="00C44651" w:rsidP="00695792">
            <w:pPr>
              <w:pStyle w:val="PI-TableText"/>
              <w:spacing w:before="60" w:after="60" w:line="240" w:lineRule="atLeast"/>
            </w:pPr>
            <w:proofErr w:type="spellStart"/>
            <w:r w:rsidRPr="00117C78">
              <w:t>Confusion</w:t>
            </w:r>
            <w:r>
              <w:t>al</w:t>
            </w:r>
            <w:proofErr w:type="spellEnd"/>
            <w:r>
              <w:t xml:space="preserve"> </w:t>
            </w:r>
            <w:proofErr w:type="spellStart"/>
            <w:r>
              <w:t>state</w:t>
            </w:r>
            <w:r w:rsidRPr="00281D84">
              <w:rPr>
                <w:vertAlign w:val="superscript"/>
              </w:rPr>
              <w:t>a</w:t>
            </w:r>
            <w:proofErr w:type="spellEnd"/>
            <w:r w:rsidRPr="00117C78">
              <w:br/>
              <w:t>Disorientation</w:t>
            </w:r>
          </w:p>
        </w:tc>
        <w:tc>
          <w:tcPr>
            <w:tcW w:w="2162" w:type="dxa"/>
          </w:tcPr>
          <w:p w14:paraId="1F0B1E3B" w14:textId="77777777" w:rsidR="00C44651" w:rsidRPr="00117C78" w:rsidRDefault="00C44651" w:rsidP="00695792">
            <w:pPr>
              <w:pStyle w:val="PI-TableText"/>
              <w:spacing w:before="60" w:after="60" w:line="240" w:lineRule="atLeast"/>
              <w:rPr>
                <w:lang w:val="fr-FR"/>
              </w:rPr>
            </w:pPr>
          </w:p>
        </w:tc>
      </w:tr>
      <w:tr w:rsidR="00C44651" w:rsidRPr="00117C78" w14:paraId="41EF723A" w14:textId="77777777" w:rsidTr="00695792">
        <w:trPr>
          <w:cantSplit/>
        </w:trPr>
        <w:tc>
          <w:tcPr>
            <w:tcW w:w="2161" w:type="dxa"/>
          </w:tcPr>
          <w:p w14:paraId="1F19C162" w14:textId="77777777" w:rsidR="00C44651" w:rsidRPr="00117C78" w:rsidRDefault="00C44651" w:rsidP="00695792">
            <w:pPr>
              <w:pStyle w:val="PI-TableText"/>
              <w:spacing w:before="60" w:after="60" w:line="240" w:lineRule="atLeast"/>
            </w:pPr>
            <w:r w:rsidRPr="00117C78">
              <w:t>Nervous system disorders</w:t>
            </w:r>
          </w:p>
        </w:tc>
        <w:tc>
          <w:tcPr>
            <w:tcW w:w="2162" w:type="dxa"/>
          </w:tcPr>
          <w:p w14:paraId="3A1C8C84" w14:textId="77777777" w:rsidR="00C44651" w:rsidRPr="00117C78" w:rsidRDefault="00C44651" w:rsidP="00695792">
            <w:pPr>
              <w:pStyle w:val="PI-TableText"/>
              <w:spacing w:before="60" w:after="60" w:line="240" w:lineRule="atLeast"/>
            </w:pPr>
            <w:r w:rsidRPr="00117C78">
              <w:t>Headache</w:t>
            </w:r>
          </w:p>
        </w:tc>
        <w:tc>
          <w:tcPr>
            <w:tcW w:w="2162" w:type="dxa"/>
          </w:tcPr>
          <w:p w14:paraId="74477B77" w14:textId="0404BBA1" w:rsidR="00C44651" w:rsidRDefault="00C44651" w:rsidP="00695792">
            <w:pPr>
              <w:pStyle w:val="PI-TableText"/>
              <w:spacing w:before="60" w:after="60" w:line="240" w:lineRule="atLeast"/>
              <w:rPr>
                <w:vertAlign w:val="superscript"/>
              </w:rPr>
            </w:pPr>
            <w:proofErr w:type="spellStart"/>
            <w:r w:rsidRPr="00117C78">
              <w:t>Encephalopathy</w:t>
            </w:r>
            <w:r w:rsidRPr="004D44E7">
              <w:rPr>
                <w:vertAlign w:val="superscript"/>
              </w:rPr>
              <w:t>a</w:t>
            </w:r>
            <w:proofErr w:type="spellEnd"/>
            <w:r w:rsidRPr="004D44E7">
              <w:t xml:space="preserve"> </w:t>
            </w:r>
            <w:r>
              <w:t>Seizure</w:t>
            </w:r>
            <w:r w:rsidRPr="00117C78">
              <w:br/>
              <w:t>Aphasia</w:t>
            </w:r>
            <w:r w:rsidRPr="00117C78">
              <w:br/>
              <w:t xml:space="preserve">Paraesthesia </w:t>
            </w:r>
            <w:r>
              <w:br/>
            </w:r>
            <w:r w:rsidRPr="00117C78">
              <w:t>Memory impairment</w:t>
            </w:r>
            <w:r w:rsidRPr="00117C78">
              <w:br/>
              <w:t>Cognitive disorder</w:t>
            </w:r>
            <w:r>
              <w:br/>
            </w:r>
            <w:proofErr w:type="spellStart"/>
            <w:r>
              <w:t>Tremor</w:t>
            </w:r>
            <w:r w:rsidRPr="00CD3EB9">
              <w:rPr>
                <w:vertAlign w:val="superscript"/>
              </w:rPr>
              <w:t>a</w:t>
            </w:r>
            <w:proofErr w:type="spellEnd"/>
          </w:p>
          <w:p w14:paraId="75588A6D" w14:textId="77777777" w:rsidR="00C44651" w:rsidRPr="00CD3EB9" w:rsidRDefault="00C44651" w:rsidP="00695792">
            <w:pPr>
              <w:pStyle w:val="PI-TableText"/>
              <w:spacing w:before="60" w:after="60" w:line="240" w:lineRule="atLeast"/>
            </w:pPr>
            <w:r w:rsidRPr="00CD3EB9">
              <w:t>Som</w:t>
            </w:r>
            <w:r>
              <w:t>n</w:t>
            </w:r>
            <w:r w:rsidRPr="00CD3EB9">
              <w:t>olence</w:t>
            </w:r>
            <w:r>
              <w:br/>
            </w:r>
            <w:proofErr w:type="spellStart"/>
            <w:r>
              <w:t>Hypoaesthesia</w:t>
            </w:r>
            <w:proofErr w:type="spellEnd"/>
            <w:r>
              <w:br/>
              <w:t>Dizziness</w:t>
            </w:r>
          </w:p>
        </w:tc>
        <w:tc>
          <w:tcPr>
            <w:tcW w:w="2162" w:type="dxa"/>
          </w:tcPr>
          <w:p w14:paraId="60C35DB9" w14:textId="77777777" w:rsidR="00C44651" w:rsidRPr="00117C78" w:rsidRDefault="00C44651" w:rsidP="00695792">
            <w:pPr>
              <w:pStyle w:val="PI-TableText"/>
              <w:spacing w:before="60" w:after="60" w:line="240" w:lineRule="atLeast"/>
            </w:pPr>
            <w:r>
              <w:t>Speech disorder</w:t>
            </w:r>
          </w:p>
        </w:tc>
      </w:tr>
      <w:tr w:rsidR="00C44651" w:rsidRPr="00117C78" w14:paraId="01F2586D" w14:textId="77777777" w:rsidTr="00695792">
        <w:trPr>
          <w:cantSplit/>
        </w:trPr>
        <w:tc>
          <w:tcPr>
            <w:tcW w:w="2161" w:type="dxa"/>
          </w:tcPr>
          <w:p w14:paraId="19FDE3C1" w14:textId="77777777" w:rsidR="00C44651" w:rsidRPr="00117C78" w:rsidRDefault="00C44651" w:rsidP="00695792">
            <w:pPr>
              <w:spacing w:before="60" w:after="60" w:line="240" w:lineRule="atLeast"/>
              <w:rPr>
                <w:rFonts w:ascii="Arial" w:hAnsi="Arial" w:cs="Arial"/>
                <w:sz w:val="20"/>
                <w:szCs w:val="20"/>
              </w:rPr>
            </w:pPr>
            <w:r w:rsidRPr="00117C78">
              <w:rPr>
                <w:rFonts w:ascii="Arial" w:hAnsi="Arial" w:cs="Arial"/>
                <w:sz w:val="20"/>
                <w:szCs w:val="20"/>
              </w:rPr>
              <w:lastRenderedPageBreak/>
              <w:t>Cardiac disorders</w:t>
            </w:r>
          </w:p>
        </w:tc>
        <w:tc>
          <w:tcPr>
            <w:tcW w:w="2162" w:type="dxa"/>
          </w:tcPr>
          <w:p w14:paraId="3C171DEF" w14:textId="77777777" w:rsidR="00C44651" w:rsidRPr="00117C78" w:rsidRDefault="00C44651" w:rsidP="00695792">
            <w:pPr>
              <w:spacing w:before="60" w:after="60" w:line="240" w:lineRule="atLeast"/>
              <w:rPr>
                <w:rFonts w:ascii="Arial" w:hAnsi="Arial" w:cs="Arial"/>
                <w:sz w:val="20"/>
                <w:szCs w:val="20"/>
              </w:rPr>
            </w:pPr>
            <w:r w:rsidRPr="00117C78">
              <w:rPr>
                <w:rFonts w:ascii="Arial" w:hAnsi="Arial" w:cs="Arial"/>
                <w:sz w:val="20"/>
                <w:szCs w:val="20"/>
              </w:rPr>
              <w:t>Tachycardia</w:t>
            </w:r>
            <w:r w:rsidRPr="00CD3EB9">
              <w:rPr>
                <w:rFonts w:ascii="Arial" w:hAnsi="Arial" w:cs="Arial"/>
                <w:sz w:val="20"/>
                <w:szCs w:val="20"/>
                <w:vertAlign w:val="superscript"/>
              </w:rPr>
              <w:t>16</w:t>
            </w:r>
          </w:p>
        </w:tc>
        <w:tc>
          <w:tcPr>
            <w:tcW w:w="2162" w:type="dxa"/>
          </w:tcPr>
          <w:p w14:paraId="5DE423DA" w14:textId="77777777" w:rsidR="00C44651" w:rsidRPr="00117C78" w:rsidRDefault="00C44651" w:rsidP="00695792">
            <w:pPr>
              <w:spacing w:before="60" w:after="60" w:line="240" w:lineRule="atLeast"/>
              <w:rPr>
                <w:rFonts w:ascii="Arial" w:hAnsi="Arial" w:cs="Arial"/>
                <w:sz w:val="20"/>
                <w:szCs w:val="20"/>
              </w:rPr>
            </w:pPr>
          </w:p>
        </w:tc>
        <w:tc>
          <w:tcPr>
            <w:tcW w:w="2162" w:type="dxa"/>
          </w:tcPr>
          <w:p w14:paraId="14404DB8" w14:textId="77777777" w:rsidR="00C44651" w:rsidRPr="00117C78" w:rsidRDefault="00C44651" w:rsidP="00695792">
            <w:pPr>
              <w:spacing w:before="60" w:after="60" w:line="240" w:lineRule="atLeast"/>
              <w:rPr>
                <w:rFonts w:ascii="Arial" w:hAnsi="Arial" w:cs="Arial"/>
                <w:sz w:val="20"/>
                <w:szCs w:val="20"/>
              </w:rPr>
            </w:pPr>
          </w:p>
        </w:tc>
      </w:tr>
      <w:tr w:rsidR="00C44651" w:rsidRPr="00117C78" w14:paraId="691F5615" w14:textId="77777777" w:rsidTr="00695792">
        <w:trPr>
          <w:cantSplit/>
        </w:trPr>
        <w:tc>
          <w:tcPr>
            <w:tcW w:w="2161" w:type="dxa"/>
          </w:tcPr>
          <w:p w14:paraId="4936F323" w14:textId="77777777" w:rsidR="00C44651" w:rsidRPr="00117C78" w:rsidRDefault="00C44651" w:rsidP="00695792">
            <w:pPr>
              <w:pStyle w:val="PI-TableText"/>
              <w:spacing w:before="60" w:after="60" w:line="240" w:lineRule="atLeast"/>
            </w:pPr>
            <w:r w:rsidRPr="00117C78">
              <w:t>Vascular disorders</w:t>
            </w:r>
          </w:p>
        </w:tc>
        <w:tc>
          <w:tcPr>
            <w:tcW w:w="2162" w:type="dxa"/>
          </w:tcPr>
          <w:p w14:paraId="5C1A5FA1" w14:textId="77777777" w:rsidR="00C44651" w:rsidRPr="00117C78" w:rsidRDefault="00C44651" w:rsidP="00695792">
            <w:pPr>
              <w:pStyle w:val="PI-TableText"/>
              <w:spacing w:before="60" w:after="60" w:line="240" w:lineRule="atLeast"/>
            </w:pPr>
            <w:r w:rsidRPr="00117C78">
              <w:t>Hypotension</w:t>
            </w:r>
            <w:r w:rsidRPr="00CD3EB9">
              <w:rPr>
                <w:vertAlign w:val="superscript"/>
              </w:rPr>
              <w:t>8</w:t>
            </w:r>
          </w:p>
        </w:tc>
        <w:tc>
          <w:tcPr>
            <w:tcW w:w="2162" w:type="dxa"/>
          </w:tcPr>
          <w:p w14:paraId="7AD39321" w14:textId="77777777" w:rsidR="00C44651" w:rsidRPr="00117C78" w:rsidRDefault="00C44651" w:rsidP="00695792">
            <w:pPr>
              <w:pStyle w:val="PI-TableText"/>
              <w:spacing w:before="60" w:after="60" w:line="240" w:lineRule="atLeast"/>
            </w:pPr>
            <w:r>
              <w:t>Hypertension</w:t>
            </w:r>
            <w:r w:rsidRPr="004D44E7">
              <w:rPr>
                <w:vertAlign w:val="superscript"/>
              </w:rPr>
              <w:t>7</w:t>
            </w:r>
            <w:r>
              <w:rPr>
                <w:vertAlign w:val="superscript"/>
              </w:rPr>
              <w:br/>
            </w:r>
            <w:r>
              <w:t>Flushing</w:t>
            </w:r>
          </w:p>
        </w:tc>
        <w:tc>
          <w:tcPr>
            <w:tcW w:w="2162" w:type="dxa"/>
          </w:tcPr>
          <w:p w14:paraId="21C04B8E" w14:textId="77777777" w:rsidR="00C44651" w:rsidRPr="00117C78" w:rsidRDefault="00C44651" w:rsidP="00695792">
            <w:pPr>
              <w:pStyle w:val="PI-TableText"/>
              <w:spacing w:before="60" w:after="60" w:line="240" w:lineRule="atLeast"/>
            </w:pPr>
          </w:p>
        </w:tc>
      </w:tr>
      <w:tr w:rsidR="00C44651" w:rsidRPr="00A0300D" w14:paraId="58749EB7" w14:textId="77777777" w:rsidTr="00695792">
        <w:trPr>
          <w:cantSplit/>
        </w:trPr>
        <w:tc>
          <w:tcPr>
            <w:tcW w:w="2161" w:type="dxa"/>
          </w:tcPr>
          <w:p w14:paraId="7236591D" w14:textId="77777777" w:rsidR="00C44651" w:rsidRPr="00A0300D" w:rsidRDefault="00C44651" w:rsidP="00695792">
            <w:pPr>
              <w:pStyle w:val="PI-TableText"/>
              <w:spacing w:before="60" w:after="60" w:line="240" w:lineRule="atLeast"/>
            </w:pPr>
            <w:r w:rsidRPr="00A0300D">
              <w:t>Respiratory, thoracic and mediastinal disorders</w:t>
            </w:r>
          </w:p>
        </w:tc>
        <w:tc>
          <w:tcPr>
            <w:tcW w:w="2162" w:type="dxa"/>
          </w:tcPr>
          <w:p w14:paraId="2A05A68C" w14:textId="77777777" w:rsidR="00C44651" w:rsidRPr="00A0300D" w:rsidRDefault="00C44651" w:rsidP="00695792">
            <w:pPr>
              <w:pStyle w:val="PI-TableText"/>
              <w:spacing w:before="60" w:after="60" w:line="240" w:lineRule="atLeast"/>
            </w:pPr>
            <w:r w:rsidRPr="00A0300D">
              <w:t>Cough</w:t>
            </w:r>
          </w:p>
        </w:tc>
        <w:tc>
          <w:tcPr>
            <w:tcW w:w="2162" w:type="dxa"/>
          </w:tcPr>
          <w:p w14:paraId="35D309D3" w14:textId="77777777" w:rsidR="00C44651" w:rsidRPr="00A0300D" w:rsidRDefault="00C44651" w:rsidP="00695792">
            <w:pPr>
              <w:pStyle w:val="PI-TableText"/>
              <w:spacing w:before="60" w:after="60" w:line="240" w:lineRule="atLeast"/>
            </w:pPr>
            <w:r>
              <w:t>Dyspnoea</w:t>
            </w:r>
            <w:r w:rsidRPr="00CD3EB9">
              <w:rPr>
                <w:vertAlign w:val="superscript"/>
              </w:rPr>
              <w:t>4</w:t>
            </w:r>
            <w:r>
              <w:rPr>
                <w:vertAlign w:val="superscript"/>
              </w:rPr>
              <w:br/>
            </w:r>
            <w:r>
              <w:t>Productive cough</w:t>
            </w:r>
          </w:p>
        </w:tc>
        <w:tc>
          <w:tcPr>
            <w:tcW w:w="2162" w:type="dxa"/>
          </w:tcPr>
          <w:p w14:paraId="7C2CA9A2" w14:textId="77777777" w:rsidR="00C44651" w:rsidRPr="00A0300D" w:rsidRDefault="00C44651" w:rsidP="00695792">
            <w:pPr>
              <w:pStyle w:val="PI-TableText"/>
              <w:spacing w:before="60" w:after="60" w:line="240" w:lineRule="atLeast"/>
            </w:pPr>
          </w:p>
        </w:tc>
      </w:tr>
      <w:tr w:rsidR="00C44651" w:rsidRPr="00A0300D" w14:paraId="1EC3D7FE" w14:textId="77777777" w:rsidTr="00695792">
        <w:trPr>
          <w:cantSplit/>
        </w:trPr>
        <w:tc>
          <w:tcPr>
            <w:tcW w:w="2161" w:type="dxa"/>
          </w:tcPr>
          <w:p w14:paraId="0CF9BDDB" w14:textId="77777777" w:rsidR="00C44651" w:rsidRPr="00A0300D" w:rsidRDefault="00C44651" w:rsidP="00695792">
            <w:pPr>
              <w:pStyle w:val="PI-TableText"/>
              <w:spacing w:before="60" w:after="60" w:line="240" w:lineRule="atLeast"/>
            </w:pPr>
            <w:r w:rsidRPr="00A0300D">
              <w:t>Gastrointestinal disorders</w:t>
            </w:r>
          </w:p>
        </w:tc>
        <w:tc>
          <w:tcPr>
            <w:tcW w:w="2162" w:type="dxa"/>
          </w:tcPr>
          <w:p w14:paraId="63F53932" w14:textId="77777777" w:rsidR="00C44651" w:rsidRPr="00A0300D" w:rsidRDefault="00C44651" w:rsidP="00695792">
            <w:pPr>
              <w:pStyle w:val="PI-TableText"/>
              <w:spacing w:before="60" w:after="60" w:line="240" w:lineRule="atLeast"/>
            </w:pPr>
          </w:p>
        </w:tc>
        <w:tc>
          <w:tcPr>
            <w:tcW w:w="2162" w:type="dxa"/>
          </w:tcPr>
          <w:p w14:paraId="51A02DAC" w14:textId="77777777" w:rsidR="00C44651" w:rsidRPr="00A0300D" w:rsidRDefault="00C44651" w:rsidP="00695792">
            <w:pPr>
              <w:pStyle w:val="PI-TableText"/>
              <w:spacing w:before="60" w:after="60" w:line="240" w:lineRule="atLeast"/>
            </w:pPr>
          </w:p>
        </w:tc>
        <w:tc>
          <w:tcPr>
            <w:tcW w:w="2162" w:type="dxa"/>
          </w:tcPr>
          <w:p w14:paraId="0904F8A7" w14:textId="77777777" w:rsidR="00C44651" w:rsidRPr="00A0300D" w:rsidRDefault="00C44651" w:rsidP="00695792">
            <w:pPr>
              <w:pStyle w:val="PI-TableText"/>
              <w:spacing w:before="60" w:after="60" w:line="240" w:lineRule="atLeast"/>
            </w:pPr>
            <w:proofErr w:type="spellStart"/>
            <w:r>
              <w:t>Pancreatitis</w:t>
            </w:r>
            <w:r w:rsidRPr="000871BF">
              <w:rPr>
                <w:vertAlign w:val="superscript"/>
              </w:rPr>
              <w:t>a</w:t>
            </w:r>
            <w:proofErr w:type="spellEnd"/>
          </w:p>
        </w:tc>
      </w:tr>
      <w:tr w:rsidR="00C44651" w:rsidRPr="00A0300D" w14:paraId="70470FF5" w14:textId="77777777" w:rsidTr="00695792">
        <w:trPr>
          <w:cantSplit/>
        </w:trPr>
        <w:tc>
          <w:tcPr>
            <w:tcW w:w="2161" w:type="dxa"/>
          </w:tcPr>
          <w:p w14:paraId="5A41DD06" w14:textId="77777777" w:rsidR="00C44651" w:rsidRPr="00A0300D" w:rsidRDefault="00C44651" w:rsidP="00695792">
            <w:pPr>
              <w:pStyle w:val="PI-TableText"/>
              <w:spacing w:before="60" w:after="60" w:line="240" w:lineRule="atLeast"/>
            </w:pPr>
            <w:r w:rsidRPr="00A0300D">
              <w:t>Hepatobiliary disorders</w:t>
            </w:r>
          </w:p>
        </w:tc>
        <w:tc>
          <w:tcPr>
            <w:tcW w:w="2162" w:type="dxa"/>
          </w:tcPr>
          <w:p w14:paraId="2BC92066" w14:textId="77777777" w:rsidR="00C44651" w:rsidRPr="00A0300D" w:rsidRDefault="00C44651" w:rsidP="00695792">
            <w:pPr>
              <w:pStyle w:val="PI-TableText"/>
              <w:spacing w:before="60" w:after="60" w:line="240" w:lineRule="atLeast"/>
            </w:pPr>
          </w:p>
        </w:tc>
        <w:tc>
          <w:tcPr>
            <w:tcW w:w="2162" w:type="dxa"/>
          </w:tcPr>
          <w:p w14:paraId="5DECAE23" w14:textId="77777777" w:rsidR="00C44651" w:rsidRPr="00A0300D" w:rsidRDefault="00C44651" w:rsidP="00695792">
            <w:pPr>
              <w:pStyle w:val="PI-TableText"/>
              <w:spacing w:before="60" w:after="60" w:line="240" w:lineRule="atLeast"/>
            </w:pPr>
            <w:r w:rsidRPr="00A0300D">
              <w:t>Increased blood bilirubin</w:t>
            </w:r>
            <w:r w:rsidRPr="00E9295B">
              <w:rPr>
                <w:vertAlign w:val="superscript"/>
              </w:rPr>
              <w:t>6</w:t>
            </w:r>
          </w:p>
        </w:tc>
        <w:tc>
          <w:tcPr>
            <w:tcW w:w="2162" w:type="dxa"/>
          </w:tcPr>
          <w:p w14:paraId="5BE160AF" w14:textId="77777777" w:rsidR="00C44651" w:rsidRPr="00A0300D" w:rsidRDefault="00C44651" w:rsidP="00695792">
            <w:pPr>
              <w:pStyle w:val="PI-TableText"/>
              <w:spacing w:before="60" w:after="60" w:line="240" w:lineRule="atLeast"/>
            </w:pPr>
          </w:p>
        </w:tc>
      </w:tr>
      <w:tr w:rsidR="00C44651" w:rsidRPr="00A0300D" w14:paraId="779D73BB" w14:textId="77777777" w:rsidTr="00695792">
        <w:trPr>
          <w:cantSplit/>
        </w:trPr>
        <w:tc>
          <w:tcPr>
            <w:tcW w:w="2161" w:type="dxa"/>
          </w:tcPr>
          <w:p w14:paraId="713C29E7" w14:textId="77777777" w:rsidR="00C44651" w:rsidRPr="00A0300D" w:rsidRDefault="00C44651" w:rsidP="00695792">
            <w:pPr>
              <w:pStyle w:val="PI-TableText"/>
              <w:spacing w:before="60" w:after="60" w:line="240" w:lineRule="atLeast"/>
            </w:pPr>
            <w:r w:rsidRPr="00A0300D">
              <w:t>Skin and subcutaneous tissue disorders</w:t>
            </w:r>
          </w:p>
        </w:tc>
        <w:tc>
          <w:tcPr>
            <w:tcW w:w="2162" w:type="dxa"/>
          </w:tcPr>
          <w:p w14:paraId="2C208585" w14:textId="77777777" w:rsidR="00C44651" w:rsidRPr="00A0300D" w:rsidRDefault="00C44651" w:rsidP="00695792">
            <w:pPr>
              <w:pStyle w:val="PI-TableText"/>
              <w:spacing w:before="60" w:after="60" w:line="240" w:lineRule="atLeast"/>
            </w:pPr>
            <w:r w:rsidRPr="00A0300D">
              <w:t>Rash</w:t>
            </w:r>
            <w:r w:rsidRPr="00E9295B">
              <w:rPr>
                <w:vertAlign w:val="superscript"/>
              </w:rPr>
              <w:t>15</w:t>
            </w:r>
          </w:p>
        </w:tc>
        <w:tc>
          <w:tcPr>
            <w:tcW w:w="2162" w:type="dxa"/>
          </w:tcPr>
          <w:p w14:paraId="76AF09DE" w14:textId="77777777" w:rsidR="00C44651" w:rsidRPr="00A0300D" w:rsidRDefault="00C44651" w:rsidP="00695792">
            <w:pPr>
              <w:pStyle w:val="PI-TableText"/>
              <w:spacing w:before="60" w:after="60" w:line="240" w:lineRule="atLeast"/>
            </w:pPr>
          </w:p>
        </w:tc>
        <w:tc>
          <w:tcPr>
            <w:tcW w:w="2162" w:type="dxa"/>
          </w:tcPr>
          <w:p w14:paraId="341A7F96" w14:textId="77777777" w:rsidR="00C44651" w:rsidRPr="00A0300D" w:rsidRDefault="00C44651" w:rsidP="00695792">
            <w:pPr>
              <w:pStyle w:val="PI-TableText"/>
              <w:spacing w:before="60" w:after="60" w:line="240" w:lineRule="atLeast"/>
            </w:pPr>
          </w:p>
        </w:tc>
      </w:tr>
      <w:tr w:rsidR="00C44651" w:rsidRPr="00A0300D" w14:paraId="503E597B" w14:textId="77777777" w:rsidTr="00695792">
        <w:trPr>
          <w:cantSplit/>
        </w:trPr>
        <w:tc>
          <w:tcPr>
            <w:tcW w:w="2161" w:type="dxa"/>
          </w:tcPr>
          <w:p w14:paraId="6E6DCFC2" w14:textId="77777777" w:rsidR="00C44651" w:rsidRPr="00A0300D" w:rsidRDefault="00C44651" w:rsidP="00695792">
            <w:pPr>
              <w:pStyle w:val="PI-TableText"/>
              <w:spacing w:before="60" w:after="60" w:line="240" w:lineRule="atLeast"/>
            </w:pPr>
            <w:r w:rsidRPr="00A0300D">
              <w:t>Musculoskeletal and connective tissue disorders</w:t>
            </w:r>
          </w:p>
        </w:tc>
        <w:tc>
          <w:tcPr>
            <w:tcW w:w="2162" w:type="dxa"/>
          </w:tcPr>
          <w:p w14:paraId="05C82504" w14:textId="77777777" w:rsidR="00C44651" w:rsidRPr="00A0300D" w:rsidRDefault="00C44651" w:rsidP="00695792">
            <w:pPr>
              <w:pStyle w:val="PI-TableText"/>
              <w:spacing w:before="60" w:after="60" w:line="240" w:lineRule="atLeast"/>
            </w:pPr>
            <w:r w:rsidRPr="00A0300D">
              <w:t>Back pain</w:t>
            </w:r>
            <w:r w:rsidRPr="00A0300D">
              <w:br/>
            </w:r>
            <w:r>
              <w:t>Bone pain</w:t>
            </w:r>
          </w:p>
        </w:tc>
        <w:tc>
          <w:tcPr>
            <w:tcW w:w="2162" w:type="dxa"/>
          </w:tcPr>
          <w:p w14:paraId="6A40AE57" w14:textId="77777777" w:rsidR="00C44651" w:rsidRPr="00A0300D" w:rsidRDefault="00C44651" w:rsidP="00695792">
            <w:pPr>
              <w:pStyle w:val="PI-TableText"/>
              <w:spacing w:before="60" w:after="60" w:line="240" w:lineRule="atLeast"/>
            </w:pPr>
            <w:r>
              <w:t>Pain in extremity</w:t>
            </w:r>
          </w:p>
        </w:tc>
        <w:tc>
          <w:tcPr>
            <w:tcW w:w="2162" w:type="dxa"/>
          </w:tcPr>
          <w:p w14:paraId="4E6D4008" w14:textId="77777777" w:rsidR="00C44651" w:rsidRPr="00A0300D" w:rsidRDefault="00C44651" w:rsidP="00695792">
            <w:pPr>
              <w:pStyle w:val="PI-TableText"/>
              <w:spacing w:before="60" w:after="60" w:line="240" w:lineRule="atLeast"/>
            </w:pPr>
          </w:p>
        </w:tc>
      </w:tr>
      <w:tr w:rsidR="00C44651" w:rsidRPr="00A0300D" w14:paraId="27922C39" w14:textId="77777777" w:rsidTr="00695792">
        <w:trPr>
          <w:cantSplit/>
        </w:trPr>
        <w:tc>
          <w:tcPr>
            <w:tcW w:w="2161" w:type="dxa"/>
          </w:tcPr>
          <w:p w14:paraId="02FBB714" w14:textId="77777777" w:rsidR="00C44651" w:rsidRPr="00A0300D" w:rsidRDefault="00C44651" w:rsidP="00695792">
            <w:pPr>
              <w:pStyle w:val="PI-TableText"/>
              <w:spacing w:before="60" w:after="60" w:line="240" w:lineRule="atLeast"/>
            </w:pPr>
            <w:r w:rsidRPr="00A0300D">
              <w:t>General disorders and administration site conditions</w:t>
            </w:r>
          </w:p>
        </w:tc>
        <w:tc>
          <w:tcPr>
            <w:tcW w:w="2162" w:type="dxa"/>
          </w:tcPr>
          <w:p w14:paraId="0DAB2341" w14:textId="77777777" w:rsidR="00C44651" w:rsidRPr="00A0300D" w:rsidRDefault="00C44651" w:rsidP="00695792">
            <w:pPr>
              <w:pStyle w:val="PI-TableText"/>
              <w:spacing w:before="60" w:after="60" w:line="240" w:lineRule="atLeast"/>
            </w:pPr>
            <w:r w:rsidRPr="00A0300D">
              <w:t>Pyrexia</w:t>
            </w:r>
            <w:r w:rsidRPr="00B627E5">
              <w:rPr>
                <w:vertAlign w:val="superscript"/>
              </w:rPr>
              <w:t>14</w:t>
            </w:r>
            <w:r w:rsidRPr="00A0300D">
              <w:br/>
            </w:r>
            <w:r>
              <w:t>O</w:t>
            </w:r>
            <w:r w:rsidRPr="00A0300D">
              <w:t>edema</w:t>
            </w:r>
            <w:r w:rsidRPr="00B627E5">
              <w:rPr>
                <w:vertAlign w:val="superscript"/>
              </w:rPr>
              <w:t>13</w:t>
            </w:r>
          </w:p>
        </w:tc>
        <w:tc>
          <w:tcPr>
            <w:tcW w:w="2162" w:type="dxa"/>
          </w:tcPr>
          <w:p w14:paraId="797435CD" w14:textId="77777777" w:rsidR="00C44651" w:rsidRPr="00A0300D" w:rsidRDefault="00C44651" w:rsidP="00695792">
            <w:pPr>
              <w:pStyle w:val="PI-TableText"/>
              <w:spacing w:before="60" w:after="60" w:line="240" w:lineRule="atLeast"/>
            </w:pPr>
            <w:r w:rsidRPr="00A0300D">
              <w:t>Chest pain</w:t>
            </w:r>
            <w:r w:rsidRPr="00B627E5">
              <w:rPr>
                <w:vertAlign w:val="superscript"/>
              </w:rPr>
              <w:t>2</w:t>
            </w:r>
            <w:r w:rsidRPr="00A0300D">
              <w:br/>
            </w:r>
            <w:r>
              <w:t>Chills</w:t>
            </w:r>
            <w:r>
              <w:br/>
              <w:t>Pain</w:t>
            </w:r>
          </w:p>
        </w:tc>
        <w:tc>
          <w:tcPr>
            <w:tcW w:w="2162" w:type="dxa"/>
          </w:tcPr>
          <w:p w14:paraId="7A40EB5C" w14:textId="77777777" w:rsidR="00C44651" w:rsidRPr="00A0300D" w:rsidRDefault="00C44651" w:rsidP="00695792">
            <w:pPr>
              <w:pStyle w:val="PI-TableText"/>
              <w:spacing w:before="60" w:after="60" w:line="240" w:lineRule="atLeast"/>
            </w:pPr>
          </w:p>
        </w:tc>
      </w:tr>
      <w:tr w:rsidR="00C44651" w:rsidRPr="00A0300D" w14:paraId="2C1153E1" w14:textId="77777777" w:rsidTr="00695792">
        <w:trPr>
          <w:cantSplit/>
        </w:trPr>
        <w:tc>
          <w:tcPr>
            <w:tcW w:w="2161" w:type="dxa"/>
          </w:tcPr>
          <w:p w14:paraId="2DB74DAA" w14:textId="77777777" w:rsidR="00C44651" w:rsidRPr="00A0300D" w:rsidRDefault="00C44651" w:rsidP="00695792">
            <w:pPr>
              <w:pStyle w:val="PI-TableText"/>
              <w:spacing w:before="60" w:after="60" w:line="240" w:lineRule="atLeast"/>
            </w:pPr>
            <w:r w:rsidRPr="00A0300D">
              <w:t>Investigations</w:t>
            </w:r>
          </w:p>
        </w:tc>
        <w:tc>
          <w:tcPr>
            <w:tcW w:w="2162" w:type="dxa"/>
          </w:tcPr>
          <w:p w14:paraId="6C2B4D1E" w14:textId="77777777" w:rsidR="00C44651" w:rsidRPr="00A0300D" w:rsidRDefault="00C44651" w:rsidP="00695792">
            <w:pPr>
              <w:pStyle w:val="PI-TableText"/>
              <w:spacing w:before="60" w:after="60" w:line="240" w:lineRule="atLeast"/>
            </w:pPr>
            <w:r>
              <w:t xml:space="preserve">Hepatic enzyme </w:t>
            </w:r>
            <w:proofErr w:type="spellStart"/>
            <w:r>
              <w:t>increased</w:t>
            </w:r>
            <w:r w:rsidRPr="00B627E5">
              <w:rPr>
                <w:vertAlign w:val="superscript"/>
              </w:rPr>
              <w:t>a</w:t>
            </w:r>
            <w:proofErr w:type="spellEnd"/>
            <w:r w:rsidRPr="00B627E5">
              <w:rPr>
                <w:vertAlign w:val="superscript"/>
              </w:rPr>
              <w:t>, 5</w:t>
            </w:r>
          </w:p>
        </w:tc>
        <w:tc>
          <w:tcPr>
            <w:tcW w:w="2162" w:type="dxa"/>
          </w:tcPr>
          <w:p w14:paraId="543A7A59" w14:textId="77777777" w:rsidR="00C44651" w:rsidRPr="00A0300D" w:rsidRDefault="00C44651" w:rsidP="00695792">
            <w:pPr>
              <w:pStyle w:val="PI-TableText"/>
              <w:spacing w:before="60" w:after="60" w:line="240" w:lineRule="atLeast"/>
            </w:pPr>
            <w:r w:rsidRPr="00A0300D">
              <w:t>Decreased immunoglobulins</w:t>
            </w:r>
            <w:r w:rsidRPr="00B627E5">
              <w:rPr>
                <w:vertAlign w:val="superscript"/>
              </w:rPr>
              <w:t>3</w:t>
            </w:r>
            <w:r>
              <w:rPr>
                <w:vertAlign w:val="superscript"/>
              </w:rPr>
              <w:br/>
            </w:r>
            <w:r>
              <w:t>Blood alkaline phosphatase increased</w:t>
            </w:r>
            <w:r>
              <w:br/>
              <w:t>Weight increased</w:t>
            </w:r>
          </w:p>
        </w:tc>
        <w:tc>
          <w:tcPr>
            <w:tcW w:w="2162" w:type="dxa"/>
          </w:tcPr>
          <w:p w14:paraId="62748B4F" w14:textId="77777777" w:rsidR="00C44651" w:rsidRPr="00A0300D" w:rsidRDefault="00C44651" w:rsidP="00695792">
            <w:pPr>
              <w:pStyle w:val="PI-TableText"/>
              <w:spacing w:before="60" w:after="60" w:line="240" w:lineRule="atLeast"/>
            </w:pPr>
          </w:p>
        </w:tc>
      </w:tr>
      <w:tr w:rsidR="00C44651" w:rsidRPr="00A0300D" w14:paraId="4BB71163" w14:textId="77777777" w:rsidTr="00695792">
        <w:trPr>
          <w:cantSplit/>
          <w:trHeight w:val="823"/>
        </w:trPr>
        <w:tc>
          <w:tcPr>
            <w:tcW w:w="2161" w:type="dxa"/>
          </w:tcPr>
          <w:p w14:paraId="2FCBB415" w14:textId="77777777" w:rsidR="00C44651" w:rsidRPr="00A0300D" w:rsidRDefault="00C44651" w:rsidP="00695792">
            <w:pPr>
              <w:pStyle w:val="PI-TableText"/>
              <w:spacing w:before="60" w:after="60" w:line="240" w:lineRule="atLeast"/>
            </w:pPr>
            <w:r w:rsidRPr="00A0300D">
              <w:t>Injury, poisoning and procedural complications</w:t>
            </w:r>
          </w:p>
        </w:tc>
        <w:tc>
          <w:tcPr>
            <w:tcW w:w="2162" w:type="dxa"/>
          </w:tcPr>
          <w:p w14:paraId="34C85F33" w14:textId="77777777" w:rsidR="00C44651" w:rsidRPr="00A0300D" w:rsidRDefault="00C44651" w:rsidP="00695792">
            <w:pPr>
              <w:pStyle w:val="PI-TableText"/>
              <w:spacing w:before="60" w:after="60" w:line="240" w:lineRule="atLeast"/>
            </w:pPr>
            <w:r w:rsidRPr="00A0300D">
              <w:t>Infusion-related reactions</w:t>
            </w:r>
            <w:r w:rsidRPr="00B627E5">
              <w:rPr>
                <w:vertAlign w:val="superscript"/>
              </w:rPr>
              <w:t>18</w:t>
            </w:r>
            <w:r>
              <w:t xml:space="preserve"> </w:t>
            </w:r>
          </w:p>
        </w:tc>
        <w:tc>
          <w:tcPr>
            <w:tcW w:w="2162" w:type="dxa"/>
          </w:tcPr>
          <w:p w14:paraId="05F8EBA4" w14:textId="77777777" w:rsidR="00C44651" w:rsidRPr="00A0300D" w:rsidRDefault="00C44651" w:rsidP="00695792">
            <w:pPr>
              <w:pStyle w:val="PI-TableText"/>
              <w:spacing w:before="60" w:after="60" w:line="240" w:lineRule="atLeast"/>
            </w:pPr>
            <w:r>
              <w:t>Overdose</w:t>
            </w:r>
            <w:r>
              <w:br/>
              <w:t>Accidental overdose</w:t>
            </w:r>
          </w:p>
        </w:tc>
        <w:tc>
          <w:tcPr>
            <w:tcW w:w="2162" w:type="dxa"/>
          </w:tcPr>
          <w:p w14:paraId="3974AA53" w14:textId="77777777" w:rsidR="00C44651" w:rsidRPr="00A0300D" w:rsidRDefault="00C44651" w:rsidP="00695792">
            <w:pPr>
              <w:pStyle w:val="PI-TableText"/>
              <w:spacing w:before="60" w:after="60" w:line="240" w:lineRule="atLeast"/>
            </w:pPr>
          </w:p>
        </w:tc>
      </w:tr>
    </w:tbl>
    <w:p w14:paraId="0B8A5521" w14:textId="77777777" w:rsidR="00C565C1" w:rsidRPr="007E0C29" w:rsidRDefault="00C565C1" w:rsidP="00C565C1">
      <w:pPr>
        <w:spacing w:after="0" w:line="240" w:lineRule="auto"/>
        <w:rPr>
          <w:rFonts w:ascii="Arial" w:hAnsi="Arial" w:cs="Arial"/>
          <w:bCs/>
          <w:color w:val="000000"/>
          <w:sz w:val="19"/>
          <w:szCs w:val="19"/>
        </w:rPr>
      </w:pPr>
      <w:proofErr w:type="spellStart"/>
      <w:r w:rsidRPr="007E0C29">
        <w:rPr>
          <w:rFonts w:ascii="Arial" w:hAnsi="Arial" w:cs="Arial"/>
          <w:bCs/>
          <w:color w:val="000000"/>
          <w:sz w:val="19"/>
          <w:szCs w:val="19"/>
          <w:vertAlign w:val="superscript"/>
        </w:rPr>
        <w:t>a</w:t>
      </w:r>
      <w:proofErr w:type="spellEnd"/>
      <w:r w:rsidRPr="007E0C29">
        <w:rPr>
          <w:rFonts w:ascii="Arial" w:hAnsi="Arial" w:cs="Arial"/>
          <w:bCs/>
          <w:color w:val="000000"/>
          <w:sz w:val="19"/>
          <w:szCs w:val="19"/>
        </w:rPr>
        <w:t xml:space="preserve"> Additional information is provided in “Description of selected adverse reactions”.</w:t>
      </w:r>
    </w:p>
    <w:p w14:paraId="54F08D35" w14:textId="77777777" w:rsidR="00C565C1" w:rsidRPr="007E0C29" w:rsidRDefault="00C565C1" w:rsidP="00C565C1">
      <w:pPr>
        <w:suppressLineNumbers/>
        <w:autoSpaceDE w:val="0"/>
        <w:autoSpaceDN w:val="0"/>
        <w:adjustRightInd w:val="0"/>
        <w:spacing w:after="0" w:line="240" w:lineRule="auto"/>
        <w:rPr>
          <w:rFonts w:ascii="Arial" w:hAnsi="Arial" w:cs="Arial"/>
          <w:sz w:val="19"/>
          <w:szCs w:val="19"/>
        </w:rPr>
      </w:pPr>
      <w:r w:rsidRPr="007E0C29">
        <w:rPr>
          <w:rFonts w:ascii="Arial" w:hAnsi="Arial" w:cs="Arial"/>
          <w:sz w:val="19"/>
          <w:szCs w:val="19"/>
          <w:vertAlign w:val="superscript"/>
        </w:rPr>
        <w:t>b</w:t>
      </w:r>
      <w:r w:rsidRPr="007E0C29">
        <w:rPr>
          <w:rFonts w:ascii="Arial" w:hAnsi="Arial" w:cs="Arial"/>
          <w:sz w:val="19"/>
          <w:szCs w:val="19"/>
        </w:rPr>
        <w:t xml:space="preserve"> </w:t>
      </w:r>
      <w:proofErr w:type="spellStart"/>
      <w:r w:rsidRPr="007E0C29">
        <w:rPr>
          <w:rFonts w:ascii="Arial" w:hAnsi="Arial" w:cs="Arial"/>
          <w:sz w:val="19"/>
          <w:szCs w:val="19"/>
        </w:rPr>
        <w:t>MedDRA</w:t>
      </w:r>
      <w:proofErr w:type="spellEnd"/>
      <w:r w:rsidRPr="007E0C29">
        <w:rPr>
          <w:rFonts w:ascii="Arial" w:hAnsi="Arial" w:cs="Arial"/>
          <w:sz w:val="19"/>
          <w:szCs w:val="19"/>
        </w:rPr>
        <w:t xml:space="preserve"> high level group terms (</w:t>
      </w:r>
      <w:proofErr w:type="spellStart"/>
      <w:r w:rsidRPr="007E0C29">
        <w:rPr>
          <w:rFonts w:ascii="Arial" w:hAnsi="Arial" w:cs="Arial"/>
          <w:sz w:val="19"/>
          <w:szCs w:val="19"/>
        </w:rPr>
        <w:t>MedDRA</w:t>
      </w:r>
      <w:proofErr w:type="spellEnd"/>
      <w:r w:rsidRPr="007E0C29">
        <w:rPr>
          <w:rFonts w:ascii="Arial" w:hAnsi="Arial" w:cs="Arial"/>
          <w:sz w:val="19"/>
          <w:szCs w:val="19"/>
        </w:rPr>
        <w:t xml:space="preserve"> version 18.1).</w:t>
      </w:r>
    </w:p>
    <w:p w14:paraId="2B660944" w14:textId="5B1138A1" w:rsidR="00C565C1" w:rsidRPr="007E0C29" w:rsidRDefault="00C565C1" w:rsidP="00A909B7">
      <w:pPr>
        <w:suppressLineNumbers/>
        <w:autoSpaceDE w:val="0"/>
        <w:autoSpaceDN w:val="0"/>
        <w:adjustRightInd w:val="0"/>
        <w:spacing w:after="60" w:line="240" w:lineRule="auto"/>
        <w:rPr>
          <w:rFonts w:ascii="Arial" w:hAnsi="Arial" w:cs="Arial"/>
          <w:sz w:val="19"/>
          <w:szCs w:val="19"/>
        </w:rPr>
      </w:pPr>
      <w:r w:rsidRPr="007E0C29">
        <w:rPr>
          <w:rFonts w:ascii="Arial" w:hAnsi="Arial" w:cs="Arial"/>
          <w:sz w:val="19"/>
          <w:szCs w:val="19"/>
        </w:rPr>
        <w:t xml:space="preserve">Event terms that represent the same medical concept or condition were grouped together and reported as a single adverse reaction in the table above. </w:t>
      </w:r>
      <w:r w:rsidR="00A909B7" w:rsidRPr="007E0C29">
        <w:rPr>
          <w:rFonts w:ascii="Arial" w:hAnsi="Arial" w:cs="Arial"/>
          <w:sz w:val="19"/>
          <w:szCs w:val="19"/>
        </w:rPr>
        <w:t xml:space="preserve"> </w:t>
      </w:r>
      <w:r w:rsidRPr="007E0C29">
        <w:rPr>
          <w:rFonts w:ascii="Arial" w:hAnsi="Arial" w:cs="Arial"/>
          <w:sz w:val="19"/>
          <w:szCs w:val="19"/>
        </w:rPr>
        <w:t>The terms contributing to the relevant adverse reaction are indicated below:</w:t>
      </w:r>
    </w:p>
    <w:p w14:paraId="047E3579"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w:t>
      </w:r>
      <w:r w:rsidRPr="007E0C29">
        <w:rPr>
          <w:rFonts w:ascii="Arial" w:hAnsi="Arial" w:cs="Arial"/>
          <w:sz w:val="19"/>
          <w:szCs w:val="19"/>
        </w:rPr>
        <w:t xml:space="preserve"> Anaemia includes anaemia and haemoglobin decreased. </w:t>
      </w:r>
    </w:p>
    <w:p w14:paraId="78D6062C"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2</w:t>
      </w:r>
      <w:r w:rsidRPr="007E0C29">
        <w:rPr>
          <w:rFonts w:ascii="Arial" w:hAnsi="Arial" w:cs="Arial"/>
          <w:sz w:val="19"/>
          <w:szCs w:val="19"/>
        </w:rPr>
        <w:t xml:space="preserve"> Chest pain includes chest discomfort, chest pain, musculoskeletal chest pain and non-cardiac chest pain </w:t>
      </w:r>
    </w:p>
    <w:p w14:paraId="45B7AE0F" w14:textId="77777777" w:rsidR="00C565C1" w:rsidRPr="007E0C29" w:rsidRDefault="00C565C1" w:rsidP="00C565C1">
      <w:pPr>
        <w:tabs>
          <w:tab w:val="left" w:pos="142"/>
        </w:tabs>
        <w:spacing w:after="0" w:line="240" w:lineRule="auto"/>
        <w:ind w:left="142" w:hanging="142"/>
        <w:rPr>
          <w:rFonts w:ascii="Arial" w:hAnsi="Arial" w:cs="Arial"/>
          <w:sz w:val="19"/>
          <w:szCs w:val="19"/>
        </w:rPr>
      </w:pPr>
      <w:r w:rsidRPr="007E0C29">
        <w:rPr>
          <w:rFonts w:ascii="Arial" w:hAnsi="Arial" w:cs="Arial"/>
          <w:sz w:val="19"/>
          <w:szCs w:val="19"/>
          <w:vertAlign w:val="superscript"/>
        </w:rPr>
        <w:t>3</w:t>
      </w:r>
      <w:r w:rsidRPr="007E0C29">
        <w:rPr>
          <w:rFonts w:ascii="Arial" w:hAnsi="Arial" w:cs="Arial"/>
          <w:sz w:val="19"/>
          <w:szCs w:val="19"/>
        </w:rPr>
        <w:t xml:space="preserve"> Decreased immunoglobulins includes blood immunoglobulin G decreased, globulins decreased, </w:t>
      </w:r>
      <w:proofErr w:type="spellStart"/>
      <w:r w:rsidRPr="007E0C29">
        <w:rPr>
          <w:rFonts w:ascii="Arial" w:hAnsi="Arial" w:cs="Arial"/>
          <w:sz w:val="19"/>
          <w:szCs w:val="19"/>
        </w:rPr>
        <w:t>hypogammaglobulinaemia</w:t>
      </w:r>
      <w:proofErr w:type="spellEnd"/>
      <w:r w:rsidRPr="007E0C29">
        <w:rPr>
          <w:rFonts w:ascii="Arial" w:hAnsi="Arial" w:cs="Arial"/>
          <w:sz w:val="19"/>
          <w:szCs w:val="19"/>
        </w:rPr>
        <w:t xml:space="preserve">, </w:t>
      </w:r>
      <w:proofErr w:type="spellStart"/>
      <w:r w:rsidRPr="007E0C29">
        <w:rPr>
          <w:rFonts w:ascii="Arial" w:hAnsi="Arial" w:cs="Arial"/>
          <w:sz w:val="19"/>
          <w:szCs w:val="19"/>
        </w:rPr>
        <w:t>hypoglobulinaemia</w:t>
      </w:r>
      <w:proofErr w:type="spellEnd"/>
      <w:r w:rsidRPr="007E0C29">
        <w:rPr>
          <w:rFonts w:ascii="Arial" w:hAnsi="Arial" w:cs="Arial"/>
          <w:sz w:val="19"/>
          <w:szCs w:val="19"/>
        </w:rPr>
        <w:t xml:space="preserve"> and immunoglobulins decreased. </w:t>
      </w:r>
    </w:p>
    <w:p w14:paraId="329D5AD4"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4</w:t>
      </w:r>
      <w:r w:rsidRPr="007E0C29">
        <w:rPr>
          <w:rFonts w:ascii="Arial" w:hAnsi="Arial" w:cs="Arial"/>
          <w:sz w:val="19"/>
          <w:szCs w:val="19"/>
        </w:rPr>
        <w:t xml:space="preserve"> Dyspnoea includes acute respiratory failure, dyspnoea, dyspnoea exertional, respiratory failure and wheezing. </w:t>
      </w:r>
    </w:p>
    <w:p w14:paraId="59B247A3" w14:textId="77777777" w:rsidR="00C565C1" w:rsidRPr="007E0C29" w:rsidRDefault="00C565C1" w:rsidP="00C565C1">
      <w:pPr>
        <w:spacing w:after="0" w:line="240" w:lineRule="auto"/>
        <w:ind w:left="142" w:hanging="142"/>
        <w:rPr>
          <w:rFonts w:ascii="Arial" w:hAnsi="Arial" w:cs="Arial"/>
          <w:sz w:val="19"/>
          <w:szCs w:val="19"/>
        </w:rPr>
      </w:pPr>
      <w:r w:rsidRPr="007E0C29">
        <w:rPr>
          <w:rFonts w:ascii="Arial" w:hAnsi="Arial" w:cs="Arial"/>
          <w:sz w:val="19"/>
          <w:szCs w:val="19"/>
          <w:vertAlign w:val="superscript"/>
        </w:rPr>
        <w:t>5</w:t>
      </w:r>
      <w:r w:rsidRPr="007E0C29">
        <w:rPr>
          <w:rFonts w:ascii="Arial" w:hAnsi="Arial" w:cs="Arial"/>
          <w:sz w:val="19"/>
          <w:szCs w:val="19"/>
        </w:rPr>
        <w:t xml:space="preserve"> Hepatic enzyme increased includes alanine aminotransferase increased, aspartate aminotransferase increased, gamma-</w:t>
      </w:r>
      <w:proofErr w:type="spellStart"/>
      <w:r w:rsidRPr="007E0C29">
        <w:rPr>
          <w:rFonts w:ascii="Arial" w:hAnsi="Arial" w:cs="Arial"/>
          <w:sz w:val="19"/>
          <w:szCs w:val="19"/>
        </w:rPr>
        <w:t>glutamyltransferase</w:t>
      </w:r>
      <w:proofErr w:type="spellEnd"/>
      <w:r w:rsidRPr="007E0C29">
        <w:rPr>
          <w:rFonts w:ascii="Arial" w:hAnsi="Arial" w:cs="Arial"/>
          <w:sz w:val="19"/>
          <w:szCs w:val="19"/>
        </w:rPr>
        <w:t xml:space="preserve"> increased, hepatic enzyme increased and transaminases increased. </w:t>
      </w:r>
    </w:p>
    <w:p w14:paraId="27732324"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6</w:t>
      </w:r>
      <w:r w:rsidRPr="007E0C29">
        <w:rPr>
          <w:rFonts w:ascii="Arial" w:hAnsi="Arial" w:cs="Arial"/>
          <w:sz w:val="19"/>
          <w:szCs w:val="19"/>
        </w:rPr>
        <w:t xml:space="preserve"> </w:t>
      </w:r>
      <w:proofErr w:type="spellStart"/>
      <w:r w:rsidRPr="007E0C29">
        <w:rPr>
          <w:rFonts w:ascii="Arial" w:hAnsi="Arial" w:cs="Arial"/>
          <w:sz w:val="19"/>
          <w:szCs w:val="19"/>
        </w:rPr>
        <w:t>Hyperbilirubinaemia</w:t>
      </w:r>
      <w:proofErr w:type="spellEnd"/>
      <w:r w:rsidRPr="007E0C29">
        <w:rPr>
          <w:rFonts w:ascii="Arial" w:hAnsi="Arial" w:cs="Arial"/>
          <w:sz w:val="19"/>
          <w:szCs w:val="19"/>
        </w:rPr>
        <w:t xml:space="preserve"> includes blood bilirubin increased and </w:t>
      </w:r>
      <w:proofErr w:type="spellStart"/>
      <w:r w:rsidRPr="007E0C29">
        <w:rPr>
          <w:rFonts w:ascii="Arial" w:hAnsi="Arial" w:cs="Arial"/>
          <w:sz w:val="19"/>
          <w:szCs w:val="19"/>
        </w:rPr>
        <w:t>hyperbilirubinaemia</w:t>
      </w:r>
      <w:proofErr w:type="spellEnd"/>
      <w:r w:rsidRPr="007E0C29">
        <w:rPr>
          <w:rFonts w:ascii="Arial" w:hAnsi="Arial" w:cs="Arial"/>
          <w:sz w:val="19"/>
          <w:szCs w:val="19"/>
        </w:rPr>
        <w:t xml:space="preserve">. </w:t>
      </w:r>
    </w:p>
    <w:p w14:paraId="0717D746"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7</w:t>
      </w:r>
      <w:r w:rsidRPr="007E0C29">
        <w:rPr>
          <w:rFonts w:ascii="Arial" w:hAnsi="Arial" w:cs="Arial"/>
          <w:sz w:val="19"/>
          <w:szCs w:val="19"/>
        </w:rPr>
        <w:t xml:space="preserve"> Hypertension includes blood pressure increased and hypertension. </w:t>
      </w:r>
    </w:p>
    <w:p w14:paraId="38AA5EF0"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8</w:t>
      </w:r>
      <w:r w:rsidRPr="007E0C29">
        <w:rPr>
          <w:rFonts w:ascii="Arial" w:hAnsi="Arial" w:cs="Arial"/>
          <w:sz w:val="19"/>
          <w:szCs w:val="19"/>
        </w:rPr>
        <w:t xml:space="preserve"> Hypotension includes blood pressure decreased and hypotension. </w:t>
      </w:r>
    </w:p>
    <w:p w14:paraId="7B08F41A"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9</w:t>
      </w:r>
      <w:r w:rsidRPr="007E0C29">
        <w:rPr>
          <w:rFonts w:ascii="Arial" w:hAnsi="Arial" w:cs="Arial"/>
          <w:sz w:val="19"/>
          <w:szCs w:val="19"/>
        </w:rPr>
        <w:t xml:space="preserve"> </w:t>
      </w:r>
      <w:proofErr w:type="spellStart"/>
      <w:r w:rsidRPr="007E0C29">
        <w:rPr>
          <w:rFonts w:ascii="Arial" w:hAnsi="Arial" w:cs="Arial"/>
          <w:sz w:val="19"/>
          <w:szCs w:val="19"/>
        </w:rPr>
        <w:t>Leukocytosis</w:t>
      </w:r>
      <w:proofErr w:type="spellEnd"/>
      <w:r w:rsidRPr="007E0C29">
        <w:rPr>
          <w:rFonts w:ascii="Arial" w:hAnsi="Arial" w:cs="Arial"/>
          <w:sz w:val="19"/>
          <w:szCs w:val="19"/>
        </w:rPr>
        <w:t xml:space="preserve"> includes </w:t>
      </w:r>
      <w:proofErr w:type="spellStart"/>
      <w:r w:rsidRPr="007E0C29">
        <w:rPr>
          <w:rFonts w:ascii="Arial" w:hAnsi="Arial" w:cs="Arial"/>
          <w:sz w:val="19"/>
          <w:szCs w:val="19"/>
        </w:rPr>
        <w:t>leukocytosis</w:t>
      </w:r>
      <w:proofErr w:type="spellEnd"/>
      <w:r w:rsidRPr="007E0C29">
        <w:rPr>
          <w:rFonts w:ascii="Arial" w:hAnsi="Arial" w:cs="Arial"/>
          <w:sz w:val="19"/>
          <w:szCs w:val="19"/>
        </w:rPr>
        <w:t xml:space="preserve"> and white blood cell count increased. </w:t>
      </w:r>
    </w:p>
    <w:p w14:paraId="21897E43"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10</w:t>
      </w:r>
      <w:r w:rsidRPr="007E0C29">
        <w:rPr>
          <w:rFonts w:ascii="Arial" w:hAnsi="Arial" w:cs="Arial"/>
          <w:sz w:val="19"/>
          <w:szCs w:val="19"/>
        </w:rPr>
        <w:t xml:space="preserve"> Leukopenia includes leukopenia and white blood cell count decreased. </w:t>
      </w:r>
    </w:p>
    <w:p w14:paraId="32BD8AB6"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lastRenderedPageBreak/>
        <w:t>11</w:t>
      </w:r>
      <w:r w:rsidRPr="007E0C29">
        <w:rPr>
          <w:rFonts w:ascii="Arial" w:hAnsi="Arial" w:cs="Arial"/>
          <w:sz w:val="19"/>
          <w:szCs w:val="19"/>
        </w:rPr>
        <w:t xml:space="preserve"> </w:t>
      </w:r>
      <w:proofErr w:type="spellStart"/>
      <w:r w:rsidRPr="007E0C29">
        <w:rPr>
          <w:rFonts w:ascii="Arial" w:hAnsi="Arial" w:cs="Arial"/>
          <w:sz w:val="19"/>
          <w:szCs w:val="19"/>
        </w:rPr>
        <w:t>Lymphopenia</w:t>
      </w:r>
      <w:proofErr w:type="spellEnd"/>
      <w:r w:rsidRPr="007E0C29">
        <w:rPr>
          <w:rFonts w:ascii="Arial" w:hAnsi="Arial" w:cs="Arial"/>
          <w:sz w:val="19"/>
          <w:szCs w:val="19"/>
        </w:rPr>
        <w:t xml:space="preserve"> includes lymphocyte count decreased and </w:t>
      </w:r>
      <w:proofErr w:type="spellStart"/>
      <w:r w:rsidRPr="007E0C29">
        <w:rPr>
          <w:rFonts w:ascii="Arial" w:hAnsi="Arial" w:cs="Arial"/>
          <w:sz w:val="19"/>
          <w:szCs w:val="19"/>
        </w:rPr>
        <w:t>lymphopenia</w:t>
      </w:r>
      <w:proofErr w:type="spellEnd"/>
      <w:r w:rsidRPr="007E0C29">
        <w:rPr>
          <w:rFonts w:ascii="Arial" w:hAnsi="Arial" w:cs="Arial"/>
          <w:sz w:val="19"/>
          <w:szCs w:val="19"/>
        </w:rPr>
        <w:t xml:space="preserve">. </w:t>
      </w:r>
    </w:p>
    <w:p w14:paraId="2C7F2EB3"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12</w:t>
      </w:r>
      <w:r w:rsidRPr="007E0C29">
        <w:rPr>
          <w:rFonts w:ascii="Arial" w:hAnsi="Arial" w:cs="Arial"/>
          <w:sz w:val="19"/>
          <w:szCs w:val="19"/>
        </w:rPr>
        <w:t xml:space="preserve"> Neutropenia includes neutropenia and neutrophil count decreased. </w:t>
      </w:r>
    </w:p>
    <w:p w14:paraId="262F66EA"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13</w:t>
      </w:r>
      <w:r w:rsidRPr="007E0C29">
        <w:rPr>
          <w:rFonts w:ascii="Arial" w:hAnsi="Arial" w:cs="Arial"/>
          <w:sz w:val="19"/>
          <w:szCs w:val="19"/>
        </w:rPr>
        <w:t xml:space="preserve"> Oedema includes face oedema, generalised oedema, oedema and oedema peripheral. </w:t>
      </w:r>
    </w:p>
    <w:p w14:paraId="038BE957"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14</w:t>
      </w:r>
      <w:r w:rsidRPr="007E0C29">
        <w:rPr>
          <w:rFonts w:ascii="Arial" w:hAnsi="Arial" w:cs="Arial"/>
          <w:sz w:val="19"/>
          <w:szCs w:val="19"/>
        </w:rPr>
        <w:t xml:space="preserve"> Pyrexia includes body temperature increased and pyrexia. </w:t>
      </w:r>
    </w:p>
    <w:p w14:paraId="29836947" w14:textId="77777777" w:rsidR="00C565C1" w:rsidRPr="007E0C29" w:rsidRDefault="00C565C1" w:rsidP="00C565C1">
      <w:pPr>
        <w:spacing w:after="0" w:line="240" w:lineRule="auto"/>
        <w:ind w:left="142" w:hanging="142"/>
        <w:rPr>
          <w:rFonts w:ascii="Arial" w:hAnsi="Arial" w:cs="Arial"/>
          <w:sz w:val="19"/>
          <w:szCs w:val="19"/>
        </w:rPr>
      </w:pPr>
      <w:r w:rsidRPr="007E0C29">
        <w:rPr>
          <w:rFonts w:ascii="Arial" w:hAnsi="Arial" w:cs="Arial"/>
          <w:sz w:val="19"/>
          <w:szCs w:val="19"/>
          <w:vertAlign w:val="superscript"/>
        </w:rPr>
        <w:t>15</w:t>
      </w:r>
      <w:r w:rsidRPr="007E0C29">
        <w:rPr>
          <w:rFonts w:ascii="Arial" w:hAnsi="Arial" w:cs="Arial"/>
          <w:sz w:val="19"/>
          <w:szCs w:val="19"/>
        </w:rPr>
        <w:t xml:space="preserve"> Rash includes erythema, rash, rash erythematous, rash generalised, rash macular, rash </w:t>
      </w:r>
      <w:proofErr w:type="spellStart"/>
      <w:r w:rsidRPr="007E0C29">
        <w:rPr>
          <w:rFonts w:ascii="Arial" w:hAnsi="Arial" w:cs="Arial"/>
          <w:sz w:val="19"/>
          <w:szCs w:val="19"/>
        </w:rPr>
        <w:t>maculo-papular</w:t>
      </w:r>
      <w:proofErr w:type="spellEnd"/>
      <w:r w:rsidRPr="007E0C29">
        <w:rPr>
          <w:rFonts w:ascii="Arial" w:hAnsi="Arial" w:cs="Arial"/>
          <w:sz w:val="19"/>
          <w:szCs w:val="19"/>
        </w:rPr>
        <w:t xml:space="preserve"> and rash pruritic. </w:t>
      </w:r>
    </w:p>
    <w:p w14:paraId="316A84E3"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16</w:t>
      </w:r>
      <w:r w:rsidRPr="007E0C29">
        <w:rPr>
          <w:rFonts w:ascii="Arial" w:hAnsi="Arial" w:cs="Arial"/>
          <w:sz w:val="19"/>
          <w:szCs w:val="19"/>
        </w:rPr>
        <w:t xml:space="preserve"> Tachycardia includes sinus tachycardia, supraventricular tachycardia and tachycardia. </w:t>
      </w:r>
    </w:p>
    <w:p w14:paraId="5E78C5DD" w14:textId="77777777" w:rsidR="00C565C1" w:rsidRPr="007E0C29" w:rsidRDefault="00C565C1" w:rsidP="00C565C1">
      <w:pPr>
        <w:spacing w:after="0" w:line="240" w:lineRule="auto"/>
        <w:rPr>
          <w:rFonts w:ascii="Arial" w:hAnsi="Arial" w:cs="Arial"/>
          <w:sz w:val="19"/>
          <w:szCs w:val="19"/>
        </w:rPr>
      </w:pPr>
      <w:r w:rsidRPr="007E0C29">
        <w:rPr>
          <w:rFonts w:ascii="Arial" w:hAnsi="Arial" w:cs="Arial"/>
          <w:sz w:val="19"/>
          <w:szCs w:val="19"/>
          <w:vertAlign w:val="superscript"/>
        </w:rPr>
        <w:t>17</w:t>
      </w:r>
      <w:r w:rsidRPr="007E0C29">
        <w:rPr>
          <w:rFonts w:ascii="Arial" w:hAnsi="Arial" w:cs="Arial"/>
          <w:sz w:val="19"/>
          <w:szCs w:val="19"/>
        </w:rPr>
        <w:t xml:space="preserve"> Thrombocytopenia includes platelet count decreased and thrombocytopenia. </w:t>
      </w:r>
    </w:p>
    <w:p w14:paraId="5A4BA179" w14:textId="77777777" w:rsidR="00C565C1" w:rsidRPr="007E0C29" w:rsidRDefault="00C565C1" w:rsidP="00C565C1">
      <w:pPr>
        <w:suppressLineNumbers/>
        <w:autoSpaceDE w:val="0"/>
        <w:autoSpaceDN w:val="0"/>
        <w:adjustRightInd w:val="0"/>
        <w:spacing w:after="0" w:line="240" w:lineRule="auto"/>
        <w:ind w:left="142" w:hanging="142"/>
        <w:rPr>
          <w:rFonts w:ascii="Arial" w:hAnsi="Arial" w:cs="Arial"/>
          <w:sz w:val="19"/>
          <w:szCs w:val="19"/>
          <w:u w:val="single"/>
        </w:rPr>
      </w:pPr>
      <w:r w:rsidRPr="007E0C29">
        <w:rPr>
          <w:rFonts w:ascii="Arial" w:hAnsi="Arial" w:cs="Arial"/>
          <w:sz w:val="19"/>
          <w:szCs w:val="19"/>
          <w:vertAlign w:val="superscript"/>
        </w:rPr>
        <w:t>18</w:t>
      </w:r>
      <w:r w:rsidRPr="007E0C29">
        <w:rPr>
          <w:rFonts w:ascii="Arial" w:hAnsi="Arial" w:cs="Arial"/>
          <w:sz w:val="19"/>
          <w:szCs w:val="19"/>
        </w:rPr>
        <w:t xml:space="preserve"> Infusion-related reactions is a composite term that includes the term infusion-related reaction and the following events occurring with the first 48</w:t>
      </w:r>
      <w:r w:rsidR="008F6561" w:rsidRPr="007E0C29">
        <w:rPr>
          <w:rFonts w:ascii="Arial" w:hAnsi="Arial" w:cs="Arial"/>
          <w:sz w:val="19"/>
          <w:szCs w:val="19"/>
        </w:rPr>
        <w:t> </w:t>
      </w:r>
      <w:r w:rsidRPr="007E0C29">
        <w:rPr>
          <w:rFonts w:ascii="Arial" w:hAnsi="Arial" w:cs="Arial"/>
          <w:sz w:val="19"/>
          <w:szCs w:val="19"/>
        </w:rPr>
        <w:t>hours of infusion and event lasted &lt;=2 days: pyrexia, cytokine release syndrome, hypotension, myalgia, acute kidney injury, hypertension, and rash erythematous.</w:t>
      </w:r>
    </w:p>
    <w:p w14:paraId="227E9845" w14:textId="77777777" w:rsidR="00C565C1" w:rsidRDefault="00C565C1" w:rsidP="00C565C1">
      <w:pPr>
        <w:suppressLineNumbers/>
        <w:autoSpaceDE w:val="0"/>
        <w:autoSpaceDN w:val="0"/>
        <w:adjustRightInd w:val="0"/>
        <w:spacing w:line="240" w:lineRule="auto"/>
        <w:rPr>
          <w:u w:val="single"/>
        </w:rPr>
      </w:pPr>
    </w:p>
    <w:p w14:paraId="5DE8DA3F" w14:textId="0C7CB81D" w:rsidR="00A909B7" w:rsidRPr="008A1044" w:rsidRDefault="00A909B7" w:rsidP="00A909B7">
      <w:pPr>
        <w:pStyle w:val="Text"/>
        <w:rPr>
          <w:rFonts w:ascii="Arial" w:eastAsia="Times New Roman" w:hAnsi="Arial" w:cs="Arial"/>
          <w:szCs w:val="20"/>
          <w:lang w:val="en-GB" w:eastAsia="en-AU"/>
        </w:rPr>
      </w:pPr>
      <w:r w:rsidRPr="008A1044">
        <w:rPr>
          <w:rFonts w:ascii="Arial" w:eastAsia="Times New Roman" w:hAnsi="Arial" w:cs="Arial"/>
          <w:szCs w:val="20"/>
          <w:lang w:val="en-GB" w:eastAsia="en-AU"/>
        </w:rPr>
        <w:t xml:space="preserve">The adverse reaction profile in </w:t>
      </w:r>
      <w:proofErr w:type="spellStart"/>
      <w:r w:rsidRPr="008A1044">
        <w:rPr>
          <w:rFonts w:ascii="Arial" w:eastAsia="Times New Roman" w:hAnsi="Arial" w:cs="Arial"/>
          <w:szCs w:val="20"/>
          <w:lang w:val="en-GB" w:eastAsia="en-AU"/>
        </w:rPr>
        <w:t>Blincyto</w:t>
      </w:r>
      <w:proofErr w:type="spellEnd"/>
      <w:r w:rsidRPr="008A1044">
        <w:rPr>
          <w:rFonts w:ascii="Arial" w:eastAsia="Times New Roman" w:hAnsi="Arial" w:cs="Arial"/>
          <w:szCs w:val="20"/>
          <w:lang w:val="en-GB" w:eastAsia="en-AU"/>
        </w:rPr>
        <w:t xml:space="preserve">-treated patients in this study was similar in type to those seen in the </w:t>
      </w:r>
      <w:r w:rsidR="00BD7E9A">
        <w:rPr>
          <w:rFonts w:ascii="Arial" w:eastAsia="Times New Roman" w:hAnsi="Arial" w:cs="Arial"/>
          <w:szCs w:val="20"/>
          <w:lang w:val="en-GB" w:eastAsia="en-AU"/>
        </w:rPr>
        <w:t>p</w:t>
      </w:r>
      <w:r w:rsidRPr="008A1044">
        <w:rPr>
          <w:rFonts w:ascii="Arial" w:eastAsia="Times New Roman" w:hAnsi="Arial" w:cs="Arial"/>
          <w:szCs w:val="20"/>
          <w:lang w:val="en-GB" w:eastAsia="en-AU"/>
        </w:rPr>
        <w:t xml:space="preserve">hase I/II single-arm studies; Capillary Leak Syndrome was observed in one patient in the </w:t>
      </w:r>
      <w:r w:rsidR="00BD7E9A">
        <w:rPr>
          <w:rFonts w:ascii="Arial" w:eastAsia="Times New Roman" w:hAnsi="Arial" w:cs="Arial"/>
          <w:szCs w:val="20"/>
          <w:lang w:val="en-GB" w:eastAsia="en-AU"/>
        </w:rPr>
        <w:t>p</w:t>
      </w:r>
      <w:r w:rsidRPr="008A1044">
        <w:rPr>
          <w:rFonts w:ascii="Arial" w:eastAsia="Times New Roman" w:hAnsi="Arial" w:cs="Arial"/>
          <w:szCs w:val="20"/>
          <w:lang w:val="en-GB" w:eastAsia="en-AU"/>
        </w:rPr>
        <w:t xml:space="preserve">hase II single-arm study (Study 2). </w:t>
      </w:r>
    </w:p>
    <w:p w14:paraId="5209BB20" w14:textId="77777777" w:rsidR="00C565C1" w:rsidRPr="00870201" w:rsidRDefault="00C565C1" w:rsidP="008F6561">
      <w:pPr>
        <w:pStyle w:val="Heading3"/>
      </w:pPr>
      <w:r w:rsidRPr="00870201">
        <w:t>Acute Lymphoblastic Leukaemia in Paediatric Patients</w:t>
      </w:r>
    </w:p>
    <w:p w14:paraId="59A73784" w14:textId="32AB9BCF" w:rsidR="003C2F1F" w:rsidRPr="00BD7E9A" w:rsidRDefault="005A4B40" w:rsidP="003C2F1F">
      <w:pPr>
        <w:pStyle w:val="Text"/>
        <w:rPr>
          <w:rFonts w:ascii="Arial" w:eastAsia="Times New Roman" w:hAnsi="Arial" w:cs="Arial"/>
          <w:strike/>
          <w:color w:val="000000" w:themeColor="text1"/>
          <w:szCs w:val="20"/>
          <w:lang w:val="en-GB" w:eastAsia="en-AU"/>
        </w:rPr>
      </w:pPr>
      <w:r w:rsidRPr="004C2286">
        <w:rPr>
          <w:rFonts w:ascii="Arial" w:eastAsia="Times New Roman" w:hAnsi="Arial" w:cs="Arial"/>
          <w:color w:val="000000" w:themeColor="text1"/>
          <w:szCs w:val="20"/>
          <w:lang w:val="en-GB" w:eastAsia="en-AU"/>
        </w:rPr>
        <w:t xml:space="preserve">The adverse reactions in </w:t>
      </w:r>
      <w:proofErr w:type="spellStart"/>
      <w:r w:rsidRPr="004C2286">
        <w:rPr>
          <w:rFonts w:ascii="Arial" w:eastAsia="Times New Roman" w:hAnsi="Arial" w:cs="Arial"/>
          <w:color w:val="000000" w:themeColor="text1"/>
          <w:szCs w:val="20"/>
          <w:lang w:val="en-GB" w:eastAsia="en-AU"/>
        </w:rPr>
        <w:t>Blincyto</w:t>
      </w:r>
      <w:proofErr w:type="spellEnd"/>
      <w:r w:rsidRPr="004C2286">
        <w:rPr>
          <w:rFonts w:ascii="Arial" w:eastAsia="Times New Roman" w:hAnsi="Arial" w:cs="Arial"/>
          <w:color w:val="000000" w:themeColor="text1"/>
          <w:szCs w:val="20"/>
          <w:lang w:val="en-GB" w:eastAsia="en-AU"/>
        </w:rPr>
        <w:t xml:space="preserve">-treated paediatric patients were similar in type to those seen in adult patients.  </w:t>
      </w:r>
      <w:r w:rsidR="00F81CF2" w:rsidRPr="00F81CF2">
        <w:rPr>
          <w:rFonts w:ascii="Arial" w:eastAsia="Times New Roman" w:hAnsi="Arial" w:cs="Arial"/>
          <w:color w:val="000000" w:themeColor="text1"/>
          <w:szCs w:val="20"/>
          <w:lang w:val="en-GB" w:eastAsia="en-AU"/>
        </w:rPr>
        <w:t xml:space="preserve">Adverse reactions that were observed more frequently (≥ 10% difference) in the paediatric population compared to the </w:t>
      </w:r>
      <w:r w:rsidR="00F81CF2">
        <w:rPr>
          <w:rFonts w:ascii="Arial" w:eastAsia="Times New Roman" w:hAnsi="Arial" w:cs="Arial"/>
          <w:color w:val="000000" w:themeColor="text1"/>
          <w:szCs w:val="20"/>
          <w:lang w:val="en-GB" w:eastAsia="en-AU"/>
        </w:rPr>
        <w:t>adult population (Study 1) were</w:t>
      </w:r>
      <w:r w:rsidR="003C2F1F" w:rsidRPr="00BD7E9A">
        <w:rPr>
          <w:rFonts w:ascii="Arial" w:eastAsia="Times New Roman" w:hAnsi="Arial" w:cs="Arial"/>
          <w:color w:val="000000" w:themeColor="text1"/>
          <w:szCs w:val="20"/>
          <w:lang w:val="en-GB" w:eastAsia="en-AU"/>
        </w:rPr>
        <w:t>:</w:t>
      </w:r>
      <w:r w:rsidR="00BD7E9A" w:rsidRPr="00BD7E9A">
        <w:rPr>
          <w:rFonts w:ascii="Arial" w:eastAsia="Times New Roman" w:hAnsi="Arial" w:cs="Arial"/>
          <w:strike/>
          <w:color w:val="000000" w:themeColor="text1"/>
          <w:szCs w:val="20"/>
          <w:lang w:val="en-GB" w:eastAsia="en-AU"/>
        </w:rPr>
        <w:t xml:space="preserve"> </w:t>
      </w:r>
    </w:p>
    <w:tbl>
      <w:tblPr>
        <w:tblStyle w:val="TableGrid"/>
        <w:tblW w:w="8789" w:type="dxa"/>
        <w:tblInd w:w="108" w:type="dxa"/>
        <w:tblLayout w:type="fixed"/>
        <w:tblLook w:val="04A0" w:firstRow="1" w:lastRow="0" w:firstColumn="1" w:lastColumn="0" w:noHBand="0" w:noVBand="1"/>
      </w:tblPr>
      <w:tblGrid>
        <w:gridCol w:w="2127"/>
        <w:gridCol w:w="2220"/>
        <w:gridCol w:w="2221"/>
        <w:gridCol w:w="2221"/>
      </w:tblGrid>
      <w:tr w:rsidR="003C2F1F" w:rsidRPr="00FF4079" w14:paraId="50A3B6A9" w14:textId="77777777" w:rsidTr="003C2F1F">
        <w:trPr>
          <w:tblHeader/>
        </w:trPr>
        <w:tc>
          <w:tcPr>
            <w:tcW w:w="2127" w:type="dxa"/>
          </w:tcPr>
          <w:p w14:paraId="0B7677B8" w14:textId="77777777" w:rsidR="003C2F1F" w:rsidRPr="00A95A46" w:rsidRDefault="003C2F1F" w:rsidP="00695792">
            <w:pPr>
              <w:pStyle w:val="PI-TableText"/>
              <w:spacing w:before="60" w:after="60" w:line="240" w:lineRule="atLeast"/>
              <w:rPr>
                <w:b/>
              </w:rPr>
            </w:pPr>
            <w:bookmarkStart w:id="19" w:name="_Hlk479758697"/>
            <w:proofErr w:type="spellStart"/>
            <w:r w:rsidRPr="00A95A46">
              <w:rPr>
                <w:b/>
              </w:rPr>
              <w:t>MedDRA</w:t>
            </w:r>
            <w:proofErr w:type="spellEnd"/>
            <w:r w:rsidRPr="00A95A46">
              <w:rPr>
                <w:b/>
              </w:rPr>
              <w:t xml:space="preserve"> system organ class</w:t>
            </w:r>
          </w:p>
        </w:tc>
        <w:tc>
          <w:tcPr>
            <w:tcW w:w="2220" w:type="dxa"/>
          </w:tcPr>
          <w:p w14:paraId="5ADB82F7" w14:textId="77777777" w:rsidR="003C2F1F" w:rsidRPr="00A95A46" w:rsidRDefault="003C2F1F" w:rsidP="00695792">
            <w:pPr>
              <w:pStyle w:val="PI-TableText"/>
              <w:spacing w:before="60" w:after="60" w:line="240" w:lineRule="atLeast"/>
              <w:jc w:val="center"/>
              <w:rPr>
                <w:b/>
              </w:rPr>
            </w:pPr>
            <w:r w:rsidRPr="00A95A46">
              <w:rPr>
                <w:b/>
              </w:rPr>
              <w:t>Very common</w:t>
            </w:r>
            <w:r w:rsidRPr="00A95A46">
              <w:rPr>
                <w:b/>
              </w:rPr>
              <w:br/>
              <w:t>(≥ 1/10)</w:t>
            </w:r>
          </w:p>
        </w:tc>
        <w:tc>
          <w:tcPr>
            <w:tcW w:w="2221" w:type="dxa"/>
          </w:tcPr>
          <w:p w14:paraId="323C359E" w14:textId="77777777" w:rsidR="003C2F1F" w:rsidRPr="00A95A46" w:rsidRDefault="003C2F1F" w:rsidP="00695792">
            <w:pPr>
              <w:pStyle w:val="PI-TableText"/>
              <w:spacing w:before="60" w:after="60" w:line="240" w:lineRule="atLeast"/>
              <w:jc w:val="center"/>
              <w:rPr>
                <w:b/>
              </w:rPr>
            </w:pPr>
            <w:r w:rsidRPr="00A95A46">
              <w:rPr>
                <w:b/>
              </w:rPr>
              <w:t>Common</w:t>
            </w:r>
            <w:r w:rsidRPr="00A95A46">
              <w:rPr>
                <w:b/>
              </w:rPr>
              <w:br/>
              <w:t>(≥ 1/100 to &lt; 1/10)</w:t>
            </w:r>
          </w:p>
        </w:tc>
        <w:tc>
          <w:tcPr>
            <w:tcW w:w="2221" w:type="dxa"/>
          </w:tcPr>
          <w:p w14:paraId="4AE1B9DA" w14:textId="77777777" w:rsidR="003C2F1F" w:rsidRPr="00A95A46" w:rsidRDefault="003C2F1F" w:rsidP="00695792">
            <w:pPr>
              <w:pStyle w:val="PI-TableText"/>
              <w:spacing w:before="60" w:after="60" w:line="240" w:lineRule="atLeast"/>
              <w:jc w:val="center"/>
              <w:rPr>
                <w:b/>
              </w:rPr>
            </w:pPr>
            <w:r w:rsidRPr="00A95A46">
              <w:rPr>
                <w:b/>
              </w:rPr>
              <w:t>Uncommon</w:t>
            </w:r>
            <w:r w:rsidRPr="00A95A46">
              <w:rPr>
                <w:b/>
              </w:rPr>
              <w:br/>
              <w:t>(≥ 1/1000 to &lt; 1/100)</w:t>
            </w:r>
          </w:p>
        </w:tc>
      </w:tr>
      <w:bookmarkEnd w:id="19"/>
      <w:tr w:rsidR="00F81CF2" w:rsidRPr="00F81CF2" w14:paraId="42B208B2" w14:textId="77777777" w:rsidTr="003C2F1F">
        <w:trPr>
          <w:tblHeader/>
        </w:trPr>
        <w:tc>
          <w:tcPr>
            <w:tcW w:w="2127" w:type="dxa"/>
          </w:tcPr>
          <w:p w14:paraId="33A362C3" w14:textId="22F0C1B4" w:rsidR="00F81CF2" w:rsidRPr="00F81CF2" w:rsidRDefault="00F81CF2" w:rsidP="00F81CF2">
            <w:pPr>
              <w:pStyle w:val="PI-TableText"/>
              <w:spacing w:before="60" w:after="60" w:line="240" w:lineRule="atLeast"/>
            </w:pPr>
            <w:r w:rsidRPr="00F81CF2">
              <w:rPr>
                <w:color w:val="000000" w:themeColor="text1"/>
              </w:rPr>
              <w:t>Blood and lymphatic system disorders</w:t>
            </w:r>
          </w:p>
        </w:tc>
        <w:tc>
          <w:tcPr>
            <w:tcW w:w="2220" w:type="dxa"/>
          </w:tcPr>
          <w:p w14:paraId="1E10A5DD" w14:textId="76C95187" w:rsidR="00F81CF2" w:rsidRPr="00F81CF2" w:rsidRDefault="00F81CF2" w:rsidP="00F81CF2">
            <w:pPr>
              <w:pStyle w:val="PI-TableText"/>
              <w:spacing w:before="60" w:after="60" w:line="240" w:lineRule="atLeast"/>
            </w:pPr>
            <w:r w:rsidRPr="00F81CF2">
              <w:rPr>
                <w:color w:val="000000" w:themeColor="text1"/>
              </w:rPr>
              <w:t>Anaemia</w:t>
            </w:r>
            <w:r w:rsidRPr="00F81CF2">
              <w:rPr>
                <w:color w:val="000000" w:themeColor="text1"/>
              </w:rPr>
              <w:br/>
              <w:t>Thrombocytopenia</w:t>
            </w:r>
            <w:r w:rsidRPr="00F81CF2">
              <w:rPr>
                <w:color w:val="000000" w:themeColor="text1"/>
              </w:rPr>
              <w:br/>
              <w:t>Leukopenia</w:t>
            </w:r>
          </w:p>
        </w:tc>
        <w:tc>
          <w:tcPr>
            <w:tcW w:w="2221" w:type="dxa"/>
          </w:tcPr>
          <w:p w14:paraId="7FB7CCA6" w14:textId="77777777" w:rsidR="00F81CF2" w:rsidRPr="00F81CF2" w:rsidRDefault="00F81CF2" w:rsidP="00F81CF2">
            <w:pPr>
              <w:pStyle w:val="PI-TableText"/>
              <w:spacing w:before="60" w:after="60" w:line="240" w:lineRule="atLeast"/>
            </w:pPr>
          </w:p>
        </w:tc>
        <w:tc>
          <w:tcPr>
            <w:tcW w:w="2221" w:type="dxa"/>
          </w:tcPr>
          <w:p w14:paraId="4932F371" w14:textId="77777777" w:rsidR="00F81CF2" w:rsidRPr="00F81CF2" w:rsidRDefault="00F81CF2" w:rsidP="00F81CF2">
            <w:pPr>
              <w:pStyle w:val="PI-TableText"/>
              <w:spacing w:before="60" w:after="60" w:line="240" w:lineRule="atLeast"/>
            </w:pPr>
          </w:p>
        </w:tc>
      </w:tr>
      <w:tr w:rsidR="00F81CF2" w:rsidRPr="00FF4079" w14:paraId="6A7F0410" w14:textId="77777777" w:rsidTr="003C2F1F">
        <w:trPr>
          <w:tblHeader/>
        </w:trPr>
        <w:tc>
          <w:tcPr>
            <w:tcW w:w="2127" w:type="dxa"/>
          </w:tcPr>
          <w:p w14:paraId="43047BEA" w14:textId="3C307B1B" w:rsidR="00F81CF2" w:rsidRPr="00F81CF2" w:rsidRDefault="00F81CF2" w:rsidP="00F81CF2">
            <w:pPr>
              <w:pStyle w:val="PI-TableText"/>
              <w:spacing w:before="60" w:after="60" w:line="240" w:lineRule="atLeast"/>
            </w:pPr>
            <w:r w:rsidRPr="00F81CF2">
              <w:rPr>
                <w:color w:val="000000" w:themeColor="text1"/>
              </w:rPr>
              <w:t>General disorders and administration site conditions</w:t>
            </w:r>
          </w:p>
        </w:tc>
        <w:tc>
          <w:tcPr>
            <w:tcW w:w="2220" w:type="dxa"/>
          </w:tcPr>
          <w:p w14:paraId="1E12A563" w14:textId="326C6F84" w:rsidR="00F81CF2" w:rsidRPr="00F81CF2" w:rsidRDefault="00F81CF2" w:rsidP="00F81CF2">
            <w:pPr>
              <w:pStyle w:val="PI-TableText"/>
              <w:spacing w:before="60" w:after="60" w:line="240" w:lineRule="atLeast"/>
            </w:pPr>
            <w:r w:rsidRPr="00F81CF2">
              <w:rPr>
                <w:color w:val="000000" w:themeColor="text1"/>
              </w:rPr>
              <w:t>Pyrexia</w:t>
            </w:r>
          </w:p>
        </w:tc>
        <w:tc>
          <w:tcPr>
            <w:tcW w:w="2221" w:type="dxa"/>
          </w:tcPr>
          <w:p w14:paraId="4C5F9796" w14:textId="77777777" w:rsidR="00F81CF2" w:rsidRPr="00A0300D" w:rsidRDefault="00F81CF2" w:rsidP="00F81CF2">
            <w:pPr>
              <w:pStyle w:val="PI-TableText"/>
              <w:spacing w:before="60" w:after="60" w:line="240" w:lineRule="atLeast"/>
            </w:pPr>
          </w:p>
        </w:tc>
        <w:tc>
          <w:tcPr>
            <w:tcW w:w="2221" w:type="dxa"/>
          </w:tcPr>
          <w:p w14:paraId="0A47406B" w14:textId="77777777" w:rsidR="00F81CF2" w:rsidRPr="00A0300D" w:rsidRDefault="00F81CF2" w:rsidP="00F81CF2">
            <w:pPr>
              <w:pStyle w:val="PI-TableText"/>
              <w:spacing w:before="60" w:after="60" w:line="240" w:lineRule="atLeast"/>
            </w:pPr>
          </w:p>
        </w:tc>
      </w:tr>
      <w:tr w:rsidR="003C2F1F" w:rsidRPr="00FF4079" w14:paraId="74DFDAC2" w14:textId="77777777" w:rsidTr="003C2F1F">
        <w:trPr>
          <w:tblHeader/>
        </w:trPr>
        <w:tc>
          <w:tcPr>
            <w:tcW w:w="2127" w:type="dxa"/>
          </w:tcPr>
          <w:p w14:paraId="25CBC6AF" w14:textId="24190B31" w:rsidR="003C2F1F" w:rsidRPr="002F7250" w:rsidRDefault="002F7250" w:rsidP="00695792">
            <w:pPr>
              <w:pStyle w:val="PI-TableText"/>
              <w:spacing w:before="60" w:after="60" w:line="240" w:lineRule="atLeast"/>
            </w:pPr>
            <w:r w:rsidRPr="002F7250">
              <w:rPr>
                <w:color w:val="000000" w:themeColor="text1"/>
              </w:rPr>
              <w:t>Injury, poisoning and procedural complications</w:t>
            </w:r>
          </w:p>
        </w:tc>
        <w:tc>
          <w:tcPr>
            <w:tcW w:w="2220" w:type="dxa"/>
          </w:tcPr>
          <w:p w14:paraId="1591FE7E" w14:textId="3783AD42" w:rsidR="003C2F1F" w:rsidRPr="002F7250" w:rsidRDefault="002F7250" w:rsidP="00695792">
            <w:pPr>
              <w:pStyle w:val="PI-TableText"/>
              <w:spacing w:before="60" w:after="60" w:line="240" w:lineRule="atLeast"/>
            </w:pPr>
            <w:r w:rsidRPr="002F7250">
              <w:rPr>
                <w:color w:val="000000" w:themeColor="text1"/>
              </w:rPr>
              <w:t>Infusion-related reaction</w:t>
            </w:r>
          </w:p>
        </w:tc>
        <w:tc>
          <w:tcPr>
            <w:tcW w:w="2221" w:type="dxa"/>
          </w:tcPr>
          <w:p w14:paraId="1CDCF63A" w14:textId="77777777" w:rsidR="003C2F1F" w:rsidRPr="00A0300D" w:rsidRDefault="003C2F1F" w:rsidP="00695792">
            <w:pPr>
              <w:pStyle w:val="PI-TableText"/>
              <w:spacing w:before="60" w:after="60" w:line="240" w:lineRule="atLeast"/>
            </w:pPr>
          </w:p>
        </w:tc>
        <w:tc>
          <w:tcPr>
            <w:tcW w:w="2221" w:type="dxa"/>
          </w:tcPr>
          <w:p w14:paraId="63DEC95D" w14:textId="77777777" w:rsidR="003C2F1F" w:rsidRPr="00A0300D" w:rsidRDefault="003C2F1F" w:rsidP="00695792">
            <w:pPr>
              <w:pStyle w:val="PI-TableText"/>
              <w:spacing w:before="60" w:after="60" w:line="240" w:lineRule="atLeast"/>
            </w:pPr>
          </w:p>
        </w:tc>
      </w:tr>
      <w:tr w:rsidR="002F7250" w:rsidRPr="00FF4079" w14:paraId="4DC215F9" w14:textId="77777777" w:rsidTr="003C2F1F">
        <w:trPr>
          <w:tblHeader/>
        </w:trPr>
        <w:tc>
          <w:tcPr>
            <w:tcW w:w="2127" w:type="dxa"/>
          </w:tcPr>
          <w:p w14:paraId="4AD84CD9" w14:textId="17898EE7" w:rsidR="002F7250" w:rsidRPr="00A0300D" w:rsidRDefault="002F7250" w:rsidP="002F7250">
            <w:pPr>
              <w:pStyle w:val="PI-TableText"/>
              <w:spacing w:before="60" w:after="60" w:line="240" w:lineRule="atLeast"/>
            </w:pPr>
            <w:r w:rsidRPr="00A0300D">
              <w:t>Vascular disorders</w:t>
            </w:r>
          </w:p>
        </w:tc>
        <w:tc>
          <w:tcPr>
            <w:tcW w:w="2220" w:type="dxa"/>
          </w:tcPr>
          <w:p w14:paraId="6708EAC9" w14:textId="7C905AB4" w:rsidR="002F7250" w:rsidRPr="00A0300D" w:rsidRDefault="002F7250" w:rsidP="002F7250">
            <w:pPr>
              <w:pStyle w:val="PI-TableText"/>
              <w:spacing w:before="60" w:after="60" w:line="240" w:lineRule="atLeast"/>
            </w:pPr>
            <w:r w:rsidRPr="00A0300D">
              <w:t>Hypertension</w:t>
            </w:r>
          </w:p>
        </w:tc>
        <w:tc>
          <w:tcPr>
            <w:tcW w:w="2221" w:type="dxa"/>
          </w:tcPr>
          <w:p w14:paraId="5C240592" w14:textId="77777777" w:rsidR="002F7250" w:rsidRPr="00A0300D" w:rsidRDefault="002F7250" w:rsidP="002F7250">
            <w:pPr>
              <w:pStyle w:val="PI-TableText"/>
              <w:spacing w:before="60" w:after="60" w:line="240" w:lineRule="atLeast"/>
            </w:pPr>
          </w:p>
        </w:tc>
        <w:tc>
          <w:tcPr>
            <w:tcW w:w="2221" w:type="dxa"/>
          </w:tcPr>
          <w:p w14:paraId="6CF6A919" w14:textId="77777777" w:rsidR="002F7250" w:rsidRPr="00A0300D" w:rsidRDefault="002F7250" w:rsidP="002F7250">
            <w:pPr>
              <w:pStyle w:val="PI-TableText"/>
              <w:spacing w:before="60" w:after="60" w:line="240" w:lineRule="atLeast"/>
            </w:pPr>
          </w:p>
        </w:tc>
      </w:tr>
      <w:tr w:rsidR="003C2F1F" w:rsidRPr="00FF4079" w14:paraId="1B121D54" w14:textId="77777777" w:rsidTr="003C2F1F">
        <w:trPr>
          <w:tblHeader/>
        </w:trPr>
        <w:tc>
          <w:tcPr>
            <w:tcW w:w="2127" w:type="dxa"/>
          </w:tcPr>
          <w:p w14:paraId="29D1CEE5" w14:textId="77777777" w:rsidR="003C2F1F" w:rsidRPr="00A0300D" w:rsidRDefault="003C2F1F" w:rsidP="00695792">
            <w:pPr>
              <w:pStyle w:val="PI-TableText"/>
              <w:spacing w:before="60" w:after="60" w:line="240" w:lineRule="atLeast"/>
            </w:pPr>
            <w:r w:rsidRPr="00A0300D">
              <w:t>Investigations</w:t>
            </w:r>
          </w:p>
        </w:tc>
        <w:tc>
          <w:tcPr>
            <w:tcW w:w="2220" w:type="dxa"/>
          </w:tcPr>
          <w:p w14:paraId="70FAEE12" w14:textId="0EAF249E" w:rsidR="003C2F1F" w:rsidRPr="00A0300D" w:rsidRDefault="002F7250" w:rsidP="00695792">
            <w:pPr>
              <w:pStyle w:val="PI-TableText"/>
              <w:spacing w:before="60" w:after="60" w:line="240" w:lineRule="atLeast"/>
            </w:pPr>
            <w:r>
              <w:t>Weight increased</w:t>
            </w:r>
          </w:p>
        </w:tc>
        <w:tc>
          <w:tcPr>
            <w:tcW w:w="2221" w:type="dxa"/>
          </w:tcPr>
          <w:p w14:paraId="658C224C" w14:textId="77777777" w:rsidR="003C2F1F" w:rsidRPr="00A0300D" w:rsidRDefault="003C2F1F" w:rsidP="00695792">
            <w:pPr>
              <w:pStyle w:val="PI-TableText"/>
              <w:spacing w:before="60" w:after="60" w:line="240" w:lineRule="atLeast"/>
            </w:pPr>
          </w:p>
        </w:tc>
        <w:tc>
          <w:tcPr>
            <w:tcW w:w="2221" w:type="dxa"/>
          </w:tcPr>
          <w:p w14:paraId="4C0C9DE4" w14:textId="77777777" w:rsidR="003C2F1F" w:rsidRPr="00A0300D" w:rsidRDefault="003C2F1F" w:rsidP="00695792">
            <w:pPr>
              <w:pStyle w:val="PI-TableText"/>
              <w:spacing w:before="60" w:after="60" w:line="240" w:lineRule="atLeast"/>
            </w:pPr>
          </w:p>
        </w:tc>
      </w:tr>
    </w:tbl>
    <w:p w14:paraId="20FBEFC4" w14:textId="77777777" w:rsidR="003C2F1F" w:rsidRDefault="003C2F1F" w:rsidP="003C2F1F">
      <w:pPr>
        <w:rPr>
          <w:bCs/>
          <w:u w:val="single"/>
        </w:rPr>
      </w:pPr>
    </w:p>
    <w:p w14:paraId="0A3E7227" w14:textId="47CBCD55" w:rsidR="00C565C1" w:rsidRPr="007739EA" w:rsidRDefault="00C565C1" w:rsidP="008F6561">
      <w:pPr>
        <w:pStyle w:val="Heading3"/>
      </w:pPr>
      <w:r w:rsidRPr="00BD7E9A">
        <w:rPr>
          <w:color w:val="000000" w:themeColor="text1"/>
        </w:rPr>
        <w:t xml:space="preserve">Relapsed or Refractory </w:t>
      </w:r>
      <w:r w:rsidR="006267B0" w:rsidRPr="00BD7E9A">
        <w:rPr>
          <w:color w:val="000000" w:themeColor="text1"/>
        </w:rPr>
        <w:t xml:space="preserve">Philadelphia Chromosome-positive B-cell Precursor ALL </w:t>
      </w:r>
      <w:r w:rsidRPr="00BD7E9A">
        <w:rPr>
          <w:color w:val="000000" w:themeColor="text1"/>
        </w:rPr>
        <w:t xml:space="preserve">and </w:t>
      </w:r>
      <w:r w:rsidRPr="007739EA">
        <w:t>MRD-positive B-cell Precursor ALL in Adult Patients</w:t>
      </w:r>
    </w:p>
    <w:p w14:paraId="18ADF499" w14:textId="6409B624" w:rsidR="00C565C1" w:rsidRPr="007739EA" w:rsidRDefault="00C565C1" w:rsidP="006267B0">
      <w:pPr>
        <w:pStyle w:val="PI-Text"/>
      </w:pPr>
      <w:r w:rsidRPr="007739EA">
        <w:t xml:space="preserve">The adverse reaction profile in </w:t>
      </w:r>
      <w:proofErr w:type="spellStart"/>
      <w:r w:rsidRPr="007739EA">
        <w:t>B</w:t>
      </w:r>
      <w:r>
        <w:t>lincyto</w:t>
      </w:r>
      <w:proofErr w:type="spellEnd"/>
      <w:r w:rsidRPr="007739EA">
        <w:t xml:space="preserve">-treated </w:t>
      </w:r>
      <w:r w:rsidR="006267B0" w:rsidRPr="00BD7E9A">
        <w:rPr>
          <w:color w:val="000000" w:themeColor="text1"/>
        </w:rPr>
        <w:t>Philadelphia chromosome-positive relapsed or</w:t>
      </w:r>
      <w:r w:rsidR="00A45FF5" w:rsidRPr="00BD7E9A">
        <w:rPr>
          <w:color w:val="000000" w:themeColor="text1"/>
        </w:rPr>
        <w:t xml:space="preserve"> </w:t>
      </w:r>
      <w:r w:rsidR="006267B0" w:rsidRPr="00BD7E9A">
        <w:rPr>
          <w:color w:val="000000" w:themeColor="text1"/>
        </w:rPr>
        <w:t xml:space="preserve">refractory B-cell precursor ALL patients and </w:t>
      </w:r>
      <w:r w:rsidRPr="00BD7E9A">
        <w:rPr>
          <w:color w:val="000000" w:themeColor="text1"/>
        </w:rPr>
        <w:t>M</w:t>
      </w:r>
      <w:r w:rsidRPr="007739EA">
        <w:t>RD positive B-precursor ALL adult patients was similar in type to those seen in the randomised phase</w:t>
      </w:r>
      <w:r w:rsidR="00D960E8">
        <w:t> </w:t>
      </w:r>
      <w:r w:rsidRPr="007739EA">
        <w:t>III clinical study in Philadelphia chromosome</w:t>
      </w:r>
      <w:r w:rsidRPr="007739EA">
        <w:noBreakHyphen/>
        <w:t xml:space="preserve">negative relapsed or refractory B-precursor ALL.  </w:t>
      </w:r>
    </w:p>
    <w:p w14:paraId="648D4E6C" w14:textId="77777777" w:rsidR="00C565C1" w:rsidRPr="007739EA" w:rsidRDefault="00C565C1" w:rsidP="008F6561">
      <w:pPr>
        <w:pStyle w:val="PI-Text"/>
      </w:pPr>
      <w:r w:rsidRPr="007739EA">
        <w:lastRenderedPageBreak/>
        <w:t>The most common adverse reactions among adult patients were pyrexia (90.5%), headache (39.4%), tremor (29.2%), chills (28.5%), fatigue (26.3%), nausea (23.4%), vomiting (21.2%), hypokalaemia (20.4%), and diarrhoea (20.4%).</w:t>
      </w:r>
    </w:p>
    <w:p w14:paraId="1C0671F5" w14:textId="77777777" w:rsidR="00C565C1" w:rsidRDefault="00C565C1" w:rsidP="008F6561">
      <w:pPr>
        <w:pStyle w:val="PI-Text"/>
      </w:pPr>
      <w:r w:rsidRPr="007739EA">
        <w:t xml:space="preserve">The most common serious adverse reaction during </w:t>
      </w:r>
      <w:proofErr w:type="spellStart"/>
      <w:r w:rsidRPr="007739EA">
        <w:t>blinatumomab</w:t>
      </w:r>
      <w:proofErr w:type="spellEnd"/>
      <w:r w:rsidRPr="007739EA">
        <w:t xml:space="preserve"> treatment among adult patients was pyrexia (12.4%). </w:t>
      </w:r>
    </w:p>
    <w:p w14:paraId="3E4E8CFC" w14:textId="58DC1C60" w:rsidR="00C565C1" w:rsidRPr="00BA7534" w:rsidRDefault="00C565C1" w:rsidP="008F6561">
      <w:pPr>
        <w:pStyle w:val="Heading3"/>
      </w:pPr>
      <w:r w:rsidRPr="00BA7534">
        <w:t xml:space="preserve">Description of selected </w:t>
      </w:r>
      <w:r w:rsidR="00F15285">
        <w:t>a</w:t>
      </w:r>
      <w:r w:rsidRPr="00BA7534">
        <w:t xml:space="preserve">dverse </w:t>
      </w:r>
      <w:r w:rsidR="00F15285">
        <w:t>r</w:t>
      </w:r>
      <w:r w:rsidRPr="00BA7534">
        <w:t>eactions</w:t>
      </w:r>
    </w:p>
    <w:p w14:paraId="6683763D" w14:textId="77777777" w:rsidR="00C565C1" w:rsidRPr="00870201" w:rsidRDefault="00C565C1" w:rsidP="008F6561">
      <w:pPr>
        <w:pStyle w:val="Heading4"/>
      </w:pPr>
      <w:r w:rsidRPr="00870201">
        <w:t>Neurologic events</w:t>
      </w:r>
    </w:p>
    <w:p w14:paraId="4580D4D8" w14:textId="44615922" w:rsidR="00695792" w:rsidRDefault="00695792" w:rsidP="00695792">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In </w:t>
      </w:r>
      <w:r>
        <w:rPr>
          <w:rFonts w:ascii="Arial" w:eastAsia="Times New Roman" w:hAnsi="Arial" w:cs="Arial"/>
          <w:szCs w:val="20"/>
          <w:lang w:val="en-GB" w:eastAsia="en-AU"/>
        </w:rPr>
        <w:t xml:space="preserve">the phase III </w:t>
      </w:r>
      <w:r w:rsidRPr="00870201">
        <w:rPr>
          <w:rFonts w:ascii="Arial" w:eastAsia="Times New Roman" w:hAnsi="Arial" w:cs="Arial"/>
          <w:szCs w:val="20"/>
          <w:lang w:val="en-GB" w:eastAsia="en-AU"/>
        </w:rPr>
        <w:t>clinical stud</w:t>
      </w:r>
      <w:r>
        <w:rPr>
          <w:rFonts w:ascii="Arial" w:eastAsia="Times New Roman" w:hAnsi="Arial" w:cs="Arial"/>
          <w:szCs w:val="20"/>
          <w:lang w:val="en-GB" w:eastAsia="en-AU"/>
        </w:rPr>
        <w:t>y</w:t>
      </w:r>
      <w:r w:rsidRPr="00870201">
        <w:rPr>
          <w:rFonts w:ascii="Arial" w:eastAsia="Times New Roman" w:hAnsi="Arial" w:cs="Arial"/>
          <w:szCs w:val="20"/>
          <w:lang w:val="en-GB" w:eastAsia="en-AU"/>
        </w:rPr>
        <w:t xml:space="preserve"> with </w:t>
      </w:r>
      <w:proofErr w:type="spellStart"/>
      <w:r w:rsidRPr="00870201">
        <w:rPr>
          <w:rFonts w:ascii="Arial" w:eastAsia="Times New Roman" w:hAnsi="Arial" w:cs="Arial"/>
          <w:szCs w:val="20"/>
          <w:lang w:val="en-GB" w:eastAsia="en-AU"/>
        </w:rPr>
        <w:t>Blincyto</w:t>
      </w:r>
      <w:proofErr w:type="spellEnd"/>
      <w:r>
        <w:rPr>
          <w:rFonts w:ascii="Arial" w:eastAsia="Times New Roman" w:hAnsi="Arial" w:cs="Arial"/>
          <w:szCs w:val="20"/>
          <w:lang w:val="en-GB" w:eastAsia="en-AU"/>
        </w:rPr>
        <w:t xml:space="preserve"> (</w:t>
      </w:r>
      <w:r w:rsidR="00BD7E9A">
        <w:rPr>
          <w:rFonts w:ascii="Arial" w:eastAsia="Times New Roman" w:hAnsi="Arial" w:cs="Arial"/>
          <w:szCs w:val="20"/>
          <w:lang w:val="en-GB" w:eastAsia="en-AU"/>
        </w:rPr>
        <w:t>N</w:t>
      </w:r>
      <w:r>
        <w:rPr>
          <w:rFonts w:ascii="Arial" w:eastAsia="Times New Roman" w:hAnsi="Arial" w:cs="Arial"/>
          <w:szCs w:val="20"/>
          <w:lang w:val="en-GB" w:eastAsia="en-AU"/>
        </w:rPr>
        <w:t> = 267)</w:t>
      </w:r>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61.0</w:t>
      </w:r>
      <w:r w:rsidRPr="00870201">
        <w:rPr>
          <w:rFonts w:ascii="Arial" w:eastAsia="Times New Roman" w:hAnsi="Arial" w:cs="Arial"/>
          <w:szCs w:val="20"/>
          <w:lang w:val="en-GB" w:eastAsia="en-AU"/>
        </w:rPr>
        <w:t xml:space="preserve">% of patients experienced one or more neurologic adverse reactions (including psychiatric disorders), primarily involving the central nervous system.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Serious</w:t>
      </w:r>
      <w:r>
        <w:rPr>
          <w:rFonts w:ascii="Arial" w:eastAsia="Times New Roman" w:hAnsi="Arial" w:cs="Arial"/>
          <w:szCs w:val="20"/>
          <w:lang w:val="en-GB" w:eastAsia="en-AU"/>
        </w:rPr>
        <w:t xml:space="preserve"> and grade ≥ 3</w:t>
      </w:r>
      <w:r w:rsidRPr="00870201">
        <w:rPr>
          <w:rFonts w:ascii="Arial" w:eastAsia="Times New Roman" w:hAnsi="Arial" w:cs="Arial"/>
          <w:szCs w:val="20"/>
          <w:lang w:val="en-GB" w:eastAsia="en-AU"/>
        </w:rPr>
        <w:t xml:space="preserve"> neurologic adverse reactions were observed in </w:t>
      </w:r>
      <w:r>
        <w:rPr>
          <w:rFonts w:ascii="Arial" w:eastAsia="Times New Roman" w:hAnsi="Arial" w:cs="Arial"/>
          <w:szCs w:val="20"/>
          <w:lang w:val="en-GB" w:eastAsia="en-AU"/>
        </w:rPr>
        <w:t>6.7</w:t>
      </w:r>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and 9.4% </w:t>
      </w:r>
      <w:r w:rsidRPr="00870201">
        <w:rPr>
          <w:rFonts w:ascii="Arial" w:eastAsia="Times New Roman" w:hAnsi="Arial" w:cs="Arial"/>
          <w:szCs w:val="20"/>
          <w:lang w:val="en-GB" w:eastAsia="en-AU"/>
        </w:rPr>
        <w:t>of patients</w:t>
      </w:r>
      <w:r>
        <w:rPr>
          <w:rFonts w:ascii="Arial" w:eastAsia="Times New Roman" w:hAnsi="Arial" w:cs="Arial"/>
          <w:szCs w:val="20"/>
          <w:lang w:val="en-GB" w:eastAsia="en-AU"/>
        </w:rPr>
        <w:t xml:space="preserve"> respectively</w:t>
      </w:r>
      <w:r w:rsidRPr="00870201">
        <w:rPr>
          <w:rFonts w:ascii="Arial" w:eastAsia="Times New Roman" w:hAnsi="Arial" w:cs="Arial"/>
          <w:szCs w:val="20"/>
          <w:lang w:val="en-GB" w:eastAsia="en-AU"/>
        </w:rPr>
        <w:t xml:space="preserve">, of which the most common were encephalopathy, </w:t>
      </w:r>
      <w:r w:rsidRPr="00BD7E9A">
        <w:rPr>
          <w:rFonts w:ascii="Arial" w:eastAsia="Times New Roman" w:hAnsi="Arial" w:cs="Arial"/>
          <w:color w:val="000000" w:themeColor="text1"/>
          <w:szCs w:val="20"/>
          <w:lang w:val="en-GB" w:eastAsia="en-AU"/>
        </w:rPr>
        <w:t xml:space="preserve">aphasia, </w:t>
      </w:r>
      <w:proofErr w:type="spellStart"/>
      <w:r w:rsidRPr="00870201">
        <w:rPr>
          <w:rFonts w:ascii="Arial" w:eastAsia="Times New Roman" w:hAnsi="Arial" w:cs="Arial"/>
          <w:szCs w:val="20"/>
          <w:lang w:val="en-GB" w:eastAsia="en-AU"/>
        </w:rPr>
        <w:t>confusional</w:t>
      </w:r>
      <w:proofErr w:type="spellEnd"/>
      <w:r w:rsidRPr="00870201">
        <w:rPr>
          <w:rFonts w:ascii="Arial" w:eastAsia="Times New Roman" w:hAnsi="Arial" w:cs="Arial"/>
          <w:szCs w:val="20"/>
          <w:lang w:val="en-GB" w:eastAsia="en-AU"/>
        </w:rPr>
        <w:t xml:space="preserve"> state</w:t>
      </w:r>
      <w:r>
        <w:rPr>
          <w:rFonts w:ascii="Arial" w:eastAsia="Times New Roman" w:hAnsi="Arial" w:cs="Arial"/>
          <w:szCs w:val="20"/>
          <w:lang w:val="en-GB" w:eastAsia="en-AU"/>
        </w:rPr>
        <w:t>, and somnolence</w:t>
      </w:r>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T</w:t>
      </w:r>
      <w:r w:rsidRPr="00870201">
        <w:rPr>
          <w:rFonts w:ascii="Arial" w:eastAsia="Times New Roman" w:hAnsi="Arial" w:cs="Arial"/>
          <w:szCs w:val="20"/>
          <w:lang w:val="en-GB" w:eastAsia="en-AU"/>
        </w:rPr>
        <w:t>he majority of neurologic events (</w:t>
      </w:r>
      <w:r>
        <w:rPr>
          <w:rFonts w:ascii="Arial" w:eastAsia="Times New Roman" w:hAnsi="Arial" w:cs="Arial"/>
          <w:szCs w:val="20"/>
          <w:lang w:val="en-GB" w:eastAsia="en-AU"/>
        </w:rPr>
        <w:t>80.7</w:t>
      </w:r>
      <w:r w:rsidRPr="00870201">
        <w:rPr>
          <w:rFonts w:ascii="Arial" w:eastAsia="Times New Roman" w:hAnsi="Arial" w:cs="Arial"/>
          <w:szCs w:val="20"/>
          <w:lang w:val="en-GB" w:eastAsia="en-AU"/>
        </w:rPr>
        <w:t>%) were clinically reversible.</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 xml:space="preserve"> The median time to </w:t>
      </w:r>
      <w:r>
        <w:rPr>
          <w:rFonts w:ascii="Arial" w:eastAsia="Times New Roman" w:hAnsi="Arial" w:cs="Arial"/>
          <w:szCs w:val="20"/>
          <w:lang w:val="en-GB" w:eastAsia="en-AU"/>
        </w:rPr>
        <w:t>the first event was within the first two weeks of treatment</w:t>
      </w:r>
      <w:r w:rsidRPr="00870201">
        <w:rPr>
          <w:rFonts w:ascii="Arial" w:eastAsia="Times New Roman" w:hAnsi="Arial" w:cs="Arial"/>
          <w:szCs w:val="20"/>
          <w:lang w:val="en-GB" w:eastAsia="en-AU"/>
        </w:rPr>
        <w:t>.</w:t>
      </w:r>
      <w:r>
        <w:rPr>
          <w:rFonts w:ascii="Arial" w:eastAsia="Times New Roman" w:hAnsi="Arial" w:cs="Arial"/>
          <w:szCs w:val="20"/>
          <w:lang w:val="en-GB" w:eastAsia="en-AU"/>
        </w:rPr>
        <w:t xml:space="preserve">  One case of fatal encephalopathy has been reported in an earlier phase II clinical single-arm study.</w:t>
      </w:r>
    </w:p>
    <w:p w14:paraId="4BFC9332" w14:textId="77777777" w:rsidR="00C565C1" w:rsidRPr="00AE1A97" w:rsidRDefault="00C565C1" w:rsidP="00C565C1">
      <w:pPr>
        <w:pStyle w:val="Text"/>
        <w:rPr>
          <w:rFonts w:ascii="Arial" w:eastAsia="Times New Roman" w:hAnsi="Arial" w:cs="Arial"/>
          <w:szCs w:val="20"/>
          <w:lang w:val="en-GB" w:eastAsia="en-AU"/>
        </w:rPr>
      </w:pPr>
      <w:r w:rsidRPr="00AE1A97">
        <w:rPr>
          <w:rFonts w:ascii="Arial" w:hAnsi="Arial" w:cs="Arial"/>
        </w:rPr>
        <w:t xml:space="preserve">Neurologic events were reported for 71.5% of adult patients with MRD positive B-precursor ALL of which </w:t>
      </w:r>
      <w:r w:rsidRPr="00AE1A97">
        <w:rPr>
          <w:rFonts w:ascii="Arial" w:hAnsi="Arial" w:cs="Arial"/>
          <w:bCs/>
        </w:rPr>
        <w:t xml:space="preserve">22.6% were considered serious. Grade ≥ 3 and grade ≥ 4 events, respectively, were reported for 16.1% and 2.2% of adult patients with MRD positive </w:t>
      </w:r>
      <w:r w:rsidRPr="00AE1A97">
        <w:rPr>
          <w:rFonts w:ascii="Arial" w:hAnsi="Arial" w:cs="Arial"/>
        </w:rPr>
        <w:t xml:space="preserve">B-cell precursor </w:t>
      </w:r>
      <w:r w:rsidRPr="00AE1A97">
        <w:rPr>
          <w:rFonts w:ascii="Arial" w:hAnsi="Arial" w:cs="Arial"/>
          <w:bCs/>
        </w:rPr>
        <w:t>ALL.</w:t>
      </w:r>
    </w:p>
    <w:p w14:paraId="33A7CA05" w14:textId="50F935E7" w:rsidR="00C565C1" w:rsidRPr="00FF4079" w:rsidRDefault="00C565C1" w:rsidP="00C565C1">
      <w:pPr>
        <w:pStyle w:val="Text"/>
      </w:pPr>
      <w:r w:rsidRPr="00AE1A97">
        <w:rPr>
          <w:rFonts w:ascii="Arial" w:eastAsia="Times New Roman" w:hAnsi="Arial" w:cs="Arial"/>
          <w:szCs w:val="20"/>
          <w:lang w:val="en-GB" w:eastAsia="en-AU"/>
        </w:rPr>
        <w:t>For clinical</w:t>
      </w:r>
      <w:r w:rsidRPr="00870201">
        <w:rPr>
          <w:rFonts w:ascii="Arial" w:eastAsia="Times New Roman" w:hAnsi="Arial" w:cs="Arial"/>
          <w:szCs w:val="20"/>
          <w:lang w:val="en-GB" w:eastAsia="en-AU"/>
        </w:rPr>
        <w:t xml:space="preserve"> management of neurologic events, see </w:t>
      </w:r>
      <w:r w:rsidR="00FA34EF">
        <w:rPr>
          <w:rFonts w:ascii="Arial" w:eastAsia="Times New Roman" w:hAnsi="Arial" w:cs="Arial"/>
          <w:szCs w:val="20"/>
          <w:lang w:val="en-GB" w:eastAsia="en-AU"/>
        </w:rPr>
        <w:t>Section</w:t>
      </w:r>
      <w:r w:rsidR="00F338DE">
        <w:rPr>
          <w:rFonts w:ascii="Arial" w:eastAsia="Times New Roman" w:hAnsi="Arial" w:cs="Arial"/>
          <w:szCs w:val="20"/>
          <w:lang w:val="en-GB" w:eastAsia="en-AU"/>
        </w:rPr>
        <w:t> </w:t>
      </w:r>
      <w:r w:rsidR="00FA34EF">
        <w:rPr>
          <w:rFonts w:ascii="Arial" w:eastAsia="Times New Roman" w:hAnsi="Arial" w:cs="Arial"/>
          <w:szCs w:val="20"/>
          <w:lang w:val="en-GB" w:eastAsia="en-AU"/>
        </w:rPr>
        <w:t xml:space="preserve">4.4 </w:t>
      </w:r>
      <w:r w:rsidR="001F412F">
        <w:rPr>
          <w:rFonts w:ascii="Arial" w:eastAsia="Times New Roman" w:hAnsi="Arial" w:cs="Arial"/>
          <w:szCs w:val="20"/>
          <w:lang w:val="en-GB" w:eastAsia="en-AU"/>
        </w:rPr>
        <w:t>Special warnings and precautions for use</w:t>
      </w:r>
      <w:r w:rsidR="00FE381F">
        <w:rPr>
          <w:rFonts w:ascii="Arial" w:eastAsia="Times New Roman" w:hAnsi="Arial" w:cs="Arial"/>
          <w:szCs w:val="20"/>
          <w:lang w:val="en-GB" w:eastAsia="en-AU"/>
        </w:rPr>
        <w:t>, Neurological e</w:t>
      </w:r>
      <w:r w:rsidRPr="00870201">
        <w:rPr>
          <w:rFonts w:ascii="Arial" w:eastAsia="Times New Roman" w:hAnsi="Arial" w:cs="Arial"/>
          <w:szCs w:val="20"/>
          <w:lang w:val="en-GB" w:eastAsia="en-AU"/>
        </w:rPr>
        <w:t xml:space="preserve">vents and </w:t>
      </w:r>
      <w:r w:rsidR="00FA34EF">
        <w:rPr>
          <w:rFonts w:ascii="Arial" w:eastAsia="Times New Roman" w:hAnsi="Arial" w:cs="Arial"/>
          <w:szCs w:val="20"/>
          <w:lang w:val="en-GB" w:eastAsia="en-AU"/>
        </w:rPr>
        <w:t>Section</w:t>
      </w:r>
      <w:r w:rsidR="00F338DE">
        <w:rPr>
          <w:rFonts w:ascii="Arial" w:eastAsia="Times New Roman" w:hAnsi="Arial" w:cs="Arial"/>
          <w:szCs w:val="20"/>
          <w:lang w:val="en-GB" w:eastAsia="en-AU"/>
        </w:rPr>
        <w:t> </w:t>
      </w:r>
      <w:r w:rsidR="00FA34EF">
        <w:rPr>
          <w:rFonts w:ascii="Arial" w:eastAsia="Times New Roman" w:hAnsi="Arial" w:cs="Arial"/>
          <w:szCs w:val="20"/>
          <w:lang w:val="en-GB" w:eastAsia="en-AU"/>
        </w:rPr>
        <w:t xml:space="preserve">4.2 </w:t>
      </w:r>
      <w:r w:rsidR="001F412F">
        <w:rPr>
          <w:rFonts w:ascii="Arial" w:eastAsia="Times New Roman" w:hAnsi="Arial" w:cs="Arial"/>
          <w:szCs w:val="20"/>
          <w:lang w:val="en-GB" w:eastAsia="en-AU"/>
        </w:rPr>
        <w:t>Dose and method of administration</w:t>
      </w:r>
      <w:r w:rsidRPr="00870201">
        <w:rPr>
          <w:rFonts w:ascii="Arial" w:eastAsia="Times New Roman" w:hAnsi="Arial" w:cs="Arial"/>
          <w:szCs w:val="20"/>
          <w:lang w:val="en-GB" w:eastAsia="en-AU"/>
        </w:rPr>
        <w:t xml:space="preserve">, </w:t>
      </w:r>
      <w:r w:rsidR="00136780">
        <w:rPr>
          <w:rFonts w:ascii="Arial" w:eastAsia="Times New Roman" w:hAnsi="Arial" w:cs="Arial"/>
          <w:szCs w:val="20"/>
          <w:lang w:val="en-GB" w:eastAsia="en-AU"/>
        </w:rPr>
        <w:t>Dosage adjustment</w:t>
      </w:r>
      <w:r w:rsidRPr="00870201">
        <w:rPr>
          <w:rFonts w:ascii="Arial" w:eastAsia="Times New Roman" w:hAnsi="Arial" w:cs="Arial"/>
          <w:szCs w:val="20"/>
          <w:lang w:val="en-GB" w:eastAsia="en-AU"/>
        </w:rPr>
        <w:t>.</w:t>
      </w:r>
    </w:p>
    <w:p w14:paraId="46FDE806" w14:textId="77777777" w:rsidR="00C565C1" w:rsidRPr="00870201" w:rsidRDefault="00C565C1" w:rsidP="008F6561">
      <w:pPr>
        <w:pStyle w:val="Heading4"/>
      </w:pPr>
      <w:r w:rsidRPr="00870201">
        <w:t>Infections</w:t>
      </w:r>
    </w:p>
    <w:p w14:paraId="7C23A308" w14:textId="0BDBBF60" w:rsidR="00695792" w:rsidRPr="00BD7E9A" w:rsidRDefault="00695792" w:rsidP="00695792">
      <w:pPr>
        <w:pStyle w:val="Text"/>
        <w:rPr>
          <w:rFonts w:ascii="Arial" w:eastAsia="Times New Roman" w:hAnsi="Arial" w:cs="Arial"/>
          <w:color w:val="000000" w:themeColor="text1"/>
          <w:szCs w:val="20"/>
          <w:lang w:val="en-GB" w:eastAsia="en-AU"/>
        </w:rPr>
      </w:pPr>
      <w:r w:rsidRPr="00870201">
        <w:rPr>
          <w:rFonts w:ascii="Arial" w:eastAsia="Times New Roman" w:hAnsi="Arial" w:cs="Arial"/>
          <w:szCs w:val="20"/>
          <w:lang w:val="en-GB" w:eastAsia="en-AU"/>
        </w:rPr>
        <w:t xml:space="preserve">Life-threatening or fatal viral, bacterial, and fungal infections have been reported in patients treated with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 xml:space="preserve">In addition, reactivation of JC and BK viral infections has been </w:t>
      </w:r>
      <w:r w:rsidRPr="002F1FE5">
        <w:rPr>
          <w:rFonts w:ascii="Arial" w:eastAsia="Times New Roman" w:hAnsi="Arial" w:cs="Arial"/>
          <w:szCs w:val="20"/>
          <w:lang w:val="en-GB" w:eastAsia="en-AU"/>
        </w:rPr>
        <w:t>observed</w:t>
      </w:r>
      <w:r w:rsidRPr="002F1FE5">
        <w:rPr>
          <w:rFonts w:ascii="Arial" w:hAnsi="Arial" w:cs="Arial"/>
        </w:rPr>
        <w:t xml:space="preserve"> in the phase II clinical study in adults with Philadelphia chromosome-negative relapsed or refractory B-precursor ALL</w:t>
      </w:r>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Patients with ECOG performance status ≥</w:t>
      </w:r>
      <w:r>
        <w:rPr>
          <w:rFonts w:ascii="Arial" w:eastAsia="Times New Roman" w:hAnsi="Arial" w:cs="Arial"/>
          <w:szCs w:val="20"/>
          <w:lang w:val="en-GB" w:eastAsia="en-AU"/>
        </w:rPr>
        <w:t> </w:t>
      </w:r>
      <w:r w:rsidRPr="00870201">
        <w:rPr>
          <w:rFonts w:ascii="Arial" w:eastAsia="Times New Roman" w:hAnsi="Arial" w:cs="Arial"/>
          <w:szCs w:val="20"/>
          <w:lang w:val="en-GB" w:eastAsia="en-AU"/>
        </w:rPr>
        <w:t>2 experienced a higher incidence of serious infections compared to patients wi</w:t>
      </w:r>
      <w:r>
        <w:rPr>
          <w:rFonts w:ascii="Arial" w:eastAsia="Times New Roman" w:hAnsi="Arial" w:cs="Arial"/>
          <w:szCs w:val="20"/>
          <w:lang w:val="en-GB" w:eastAsia="en-AU"/>
        </w:rPr>
        <w:t>th ECOG performance status of &lt; </w:t>
      </w:r>
      <w:r w:rsidRPr="00870201">
        <w:rPr>
          <w:rFonts w:ascii="Arial" w:eastAsia="Times New Roman" w:hAnsi="Arial" w:cs="Arial"/>
          <w:szCs w:val="20"/>
          <w:lang w:val="en-GB" w:eastAsia="en-AU"/>
        </w:rPr>
        <w:t>2.</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 xml:space="preserve"> </w:t>
      </w:r>
      <w:r w:rsidR="009C4DAC" w:rsidRPr="00870201">
        <w:rPr>
          <w:rFonts w:ascii="Arial" w:eastAsia="Times New Roman" w:hAnsi="Arial" w:cs="Arial"/>
          <w:szCs w:val="20"/>
          <w:lang w:val="en-GB" w:eastAsia="en-AU"/>
        </w:rPr>
        <w:t xml:space="preserve">For clinical management of infections, see </w:t>
      </w:r>
      <w:r w:rsidR="009C4DAC">
        <w:rPr>
          <w:rFonts w:ascii="Arial" w:eastAsia="Times New Roman" w:hAnsi="Arial" w:cs="Arial"/>
          <w:szCs w:val="20"/>
          <w:lang w:val="en-GB" w:eastAsia="en-AU"/>
        </w:rPr>
        <w:t>Section 4.4 Special warnings and precautions for use</w:t>
      </w:r>
      <w:r w:rsidR="009C4DAC" w:rsidRPr="00870201">
        <w:rPr>
          <w:rFonts w:ascii="Arial" w:eastAsia="Times New Roman" w:hAnsi="Arial" w:cs="Arial"/>
          <w:szCs w:val="20"/>
          <w:lang w:val="en-GB" w:eastAsia="en-AU"/>
        </w:rPr>
        <w:t>, Infections</w:t>
      </w:r>
      <w:r w:rsidRPr="00870201">
        <w:rPr>
          <w:rFonts w:ascii="Arial" w:eastAsia="Times New Roman" w:hAnsi="Arial" w:cs="Arial"/>
          <w:szCs w:val="20"/>
          <w:lang w:val="en-GB" w:eastAsia="en-AU"/>
        </w:rPr>
        <w:t>.</w:t>
      </w:r>
      <w:r>
        <w:rPr>
          <w:rFonts w:ascii="Arial" w:eastAsia="Times New Roman" w:hAnsi="Arial" w:cs="Arial"/>
          <w:szCs w:val="20"/>
          <w:lang w:val="en-GB" w:eastAsia="en-AU"/>
        </w:rPr>
        <w:t xml:space="preserve">  </w:t>
      </w:r>
      <w:r w:rsidRPr="00BD7E9A">
        <w:rPr>
          <w:rFonts w:ascii="Arial" w:eastAsia="Times New Roman" w:hAnsi="Arial" w:cs="Arial"/>
          <w:color w:val="000000" w:themeColor="text1"/>
          <w:szCs w:val="20"/>
          <w:lang w:val="en-GB" w:eastAsia="en-AU"/>
        </w:rPr>
        <w:t xml:space="preserve">In paediatric clinical trials, the incidence of herpes simplex virus in patients receiving the recommended dose of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xml:space="preserve"> was 4.3%.</w:t>
      </w:r>
    </w:p>
    <w:p w14:paraId="4451CC6D" w14:textId="77777777" w:rsidR="00C565C1" w:rsidRPr="00BD7E9A" w:rsidRDefault="00C565C1" w:rsidP="008F6561">
      <w:pPr>
        <w:pStyle w:val="Heading4"/>
      </w:pPr>
      <w:r w:rsidRPr="00BD7E9A">
        <w:lastRenderedPageBreak/>
        <w:t>Cytokine release syndrome (CRS)</w:t>
      </w:r>
    </w:p>
    <w:p w14:paraId="111C50C3" w14:textId="4C045413" w:rsidR="00C565C1" w:rsidRDefault="00695792" w:rsidP="00C565C1">
      <w:pPr>
        <w:pStyle w:val="Text"/>
        <w:rPr>
          <w:rFonts w:ascii="Arial" w:hAnsi="Arial" w:cs="Arial"/>
        </w:rPr>
      </w:pPr>
      <w:r w:rsidRPr="00BD7E9A">
        <w:rPr>
          <w:rFonts w:ascii="Arial" w:eastAsia="Times New Roman" w:hAnsi="Arial" w:cs="Arial"/>
          <w:color w:val="000000" w:themeColor="text1"/>
          <w:szCs w:val="20"/>
          <w:lang w:val="en-GB" w:eastAsia="en-AU"/>
        </w:rPr>
        <w:t xml:space="preserve">In the phase III clinical </w:t>
      </w:r>
      <w:r w:rsidRPr="00CE4391">
        <w:rPr>
          <w:rFonts w:ascii="Arial" w:eastAsia="Times New Roman" w:hAnsi="Arial" w:cs="Arial"/>
          <w:color w:val="000000" w:themeColor="text1"/>
          <w:szCs w:val="20"/>
          <w:lang w:val="en-GB" w:eastAsia="en-AU"/>
        </w:rPr>
        <w:t>study (</w:t>
      </w:r>
      <w:r w:rsidR="00BD7E9A">
        <w:rPr>
          <w:rFonts w:ascii="Arial" w:eastAsia="Times New Roman" w:hAnsi="Arial" w:cs="Arial"/>
          <w:color w:val="000000" w:themeColor="text1"/>
          <w:szCs w:val="20"/>
          <w:lang w:val="en-GB" w:eastAsia="en-AU"/>
        </w:rPr>
        <w:t>N</w:t>
      </w:r>
      <w:r w:rsidRPr="00BD7E9A">
        <w:rPr>
          <w:rFonts w:ascii="Arial" w:eastAsia="Times New Roman" w:hAnsi="Arial" w:cs="Arial"/>
          <w:color w:val="000000" w:themeColor="text1"/>
          <w:szCs w:val="20"/>
          <w:lang w:val="en-GB" w:eastAsia="en-AU"/>
        </w:rPr>
        <w:t xml:space="preserve"> = 267) with </w:t>
      </w:r>
      <w:proofErr w:type="spellStart"/>
      <w:r w:rsidRPr="00BD7E9A">
        <w:rPr>
          <w:rFonts w:ascii="Arial" w:eastAsia="Times New Roman" w:hAnsi="Arial" w:cs="Arial"/>
          <w:color w:val="000000" w:themeColor="text1"/>
          <w:szCs w:val="20"/>
          <w:lang w:val="en-GB" w:eastAsia="en-AU"/>
        </w:rPr>
        <w:t>Blincyto</w:t>
      </w:r>
      <w:proofErr w:type="spellEnd"/>
      <w:r w:rsidRPr="00BD7E9A">
        <w:rPr>
          <w:rFonts w:ascii="Arial" w:eastAsia="Times New Roman" w:hAnsi="Arial" w:cs="Arial"/>
          <w:color w:val="000000" w:themeColor="text1"/>
          <w:szCs w:val="20"/>
          <w:lang w:val="en-GB" w:eastAsia="en-AU"/>
        </w:rPr>
        <w:t>, CRS was reported in 16.1% of patients with a median time to onset of 2 days</w:t>
      </w:r>
      <w:r w:rsidRPr="00BD7E9A">
        <w:rPr>
          <w:rFonts w:ascii="Arial" w:eastAsia="Times New Roman" w:hAnsi="Arial" w:cs="Arial"/>
          <w:color w:val="000000" w:themeColor="text1"/>
          <w:szCs w:val="20"/>
          <w:lang w:eastAsia="en-AU"/>
        </w:rPr>
        <w:t xml:space="preserve">.  </w:t>
      </w:r>
      <w:r w:rsidR="00BD7E9A" w:rsidRPr="00BD7E9A">
        <w:rPr>
          <w:rFonts w:ascii="Arial" w:eastAsia="Times New Roman" w:hAnsi="Arial" w:cs="Arial"/>
          <w:color w:val="000000" w:themeColor="text1"/>
          <w:szCs w:val="20"/>
          <w:lang w:eastAsia="en-AU"/>
        </w:rPr>
        <w:t>S</w:t>
      </w:r>
      <w:proofErr w:type="spellStart"/>
      <w:r w:rsidRPr="00BD7E9A">
        <w:rPr>
          <w:rFonts w:ascii="Arial" w:eastAsia="Times New Roman" w:hAnsi="Arial" w:cs="Arial"/>
          <w:color w:val="000000" w:themeColor="text1"/>
          <w:szCs w:val="20"/>
          <w:lang w:val="en-GB" w:eastAsia="en-AU"/>
        </w:rPr>
        <w:t>erious</w:t>
      </w:r>
      <w:proofErr w:type="spellEnd"/>
      <w:r w:rsidRPr="00BD7E9A">
        <w:rPr>
          <w:rFonts w:ascii="Arial" w:eastAsia="Times New Roman" w:hAnsi="Arial" w:cs="Arial"/>
          <w:color w:val="000000" w:themeColor="text1"/>
          <w:szCs w:val="20"/>
          <w:lang w:val="en-GB" w:eastAsia="en-AU"/>
        </w:rPr>
        <w:t xml:space="preserve"> CRS reactions were reported in 3.7% of patients with a median time to onset of </w:t>
      </w:r>
      <w:r w:rsidR="00BD7E9A" w:rsidRPr="00BD7E9A">
        <w:rPr>
          <w:rFonts w:ascii="Arial" w:eastAsia="Times New Roman" w:hAnsi="Arial" w:cs="Arial"/>
          <w:color w:val="000000" w:themeColor="text1"/>
          <w:szCs w:val="20"/>
          <w:lang w:val="en-GB" w:eastAsia="en-AU"/>
        </w:rPr>
        <w:t>4</w:t>
      </w:r>
      <w:r w:rsidRPr="00BD7E9A">
        <w:rPr>
          <w:rFonts w:ascii="Arial" w:eastAsia="Times New Roman" w:hAnsi="Arial" w:cs="Arial"/>
          <w:color w:val="000000" w:themeColor="text1"/>
          <w:szCs w:val="20"/>
          <w:lang w:val="en-GB" w:eastAsia="en-AU"/>
        </w:rPr>
        <w:t> days</w:t>
      </w:r>
      <w:r w:rsidR="00623550" w:rsidRPr="00BD7E9A">
        <w:rPr>
          <w:rFonts w:ascii="Arial" w:eastAsia="Times New Roman" w:hAnsi="Arial" w:cs="Arial"/>
          <w:color w:val="000000" w:themeColor="text1"/>
          <w:szCs w:val="20"/>
          <w:lang w:eastAsia="en-AU"/>
        </w:rPr>
        <w:t xml:space="preserve">.  </w:t>
      </w:r>
      <w:r w:rsidR="00C565C1" w:rsidRPr="00BD7E9A">
        <w:rPr>
          <w:rFonts w:ascii="Arial" w:hAnsi="Arial" w:cs="Arial"/>
          <w:color w:val="000000" w:themeColor="text1"/>
        </w:rPr>
        <w:t xml:space="preserve">Capillary </w:t>
      </w:r>
      <w:r w:rsidR="00C565C1" w:rsidRPr="002F1FE5">
        <w:rPr>
          <w:rFonts w:ascii="Arial" w:hAnsi="Arial" w:cs="Arial"/>
        </w:rPr>
        <w:t>leak syndrome was observed in 1</w:t>
      </w:r>
      <w:r w:rsidR="008F6561">
        <w:rPr>
          <w:rFonts w:ascii="Arial" w:hAnsi="Arial" w:cs="Arial"/>
        </w:rPr>
        <w:t> </w:t>
      </w:r>
      <w:r w:rsidR="00C565C1" w:rsidRPr="002F1FE5">
        <w:rPr>
          <w:rFonts w:ascii="Arial" w:hAnsi="Arial" w:cs="Arial"/>
        </w:rPr>
        <w:t>patient in the phase</w:t>
      </w:r>
      <w:r w:rsidR="008F6561">
        <w:rPr>
          <w:rFonts w:ascii="Arial" w:hAnsi="Arial" w:cs="Arial"/>
        </w:rPr>
        <w:t> </w:t>
      </w:r>
      <w:r w:rsidR="00C565C1" w:rsidRPr="002F1FE5">
        <w:rPr>
          <w:rFonts w:ascii="Arial" w:hAnsi="Arial" w:cs="Arial"/>
        </w:rPr>
        <w:t>II clinical study.</w:t>
      </w:r>
    </w:p>
    <w:p w14:paraId="0652F02E" w14:textId="77777777" w:rsidR="00C565C1" w:rsidRPr="002F1FE5" w:rsidRDefault="00C565C1" w:rsidP="00C565C1">
      <w:pPr>
        <w:pStyle w:val="CommentText"/>
        <w:spacing w:before="120" w:after="120" w:line="360" w:lineRule="auto"/>
        <w:rPr>
          <w:rFonts w:ascii="Arial" w:hAnsi="Arial" w:cs="Arial"/>
          <w:sz w:val="22"/>
        </w:rPr>
      </w:pPr>
      <w:r w:rsidRPr="002F1FE5">
        <w:rPr>
          <w:rFonts w:ascii="Arial" w:hAnsi="Arial" w:cs="Arial"/>
          <w:sz w:val="22"/>
        </w:rPr>
        <w:t>Cytokine release syndrome was reported in 2.9% of adult patients with MRD positive B-precursor ALL. Grade</w:t>
      </w:r>
      <w:r w:rsidR="008F6561">
        <w:rPr>
          <w:rFonts w:ascii="Arial" w:hAnsi="Arial" w:cs="Arial"/>
          <w:sz w:val="22"/>
        </w:rPr>
        <w:t> </w:t>
      </w:r>
      <w:r w:rsidRPr="002F1FE5">
        <w:rPr>
          <w:rFonts w:ascii="Arial" w:hAnsi="Arial" w:cs="Arial"/>
          <w:sz w:val="22"/>
        </w:rPr>
        <w:t>3 events were reported for 1.5% of adult patients with MRD positive B-precursor ALL; no grade ≥ 4 events were reported.</w:t>
      </w:r>
    </w:p>
    <w:p w14:paraId="36D4D60D" w14:textId="404DE551" w:rsidR="00C565C1" w:rsidRPr="0087020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For clinical management of CRS, see </w:t>
      </w:r>
      <w:r w:rsidR="00FA34EF">
        <w:rPr>
          <w:rFonts w:ascii="Arial" w:eastAsia="Times New Roman" w:hAnsi="Arial" w:cs="Arial"/>
          <w:szCs w:val="20"/>
          <w:lang w:val="en-GB" w:eastAsia="en-AU"/>
        </w:rPr>
        <w:t>Section</w:t>
      </w:r>
      <w:r w:rsidR="008F6561">
        <w:rPr>
          <w:rFonts w:ascii="Arial" w:eastAsia="Times New Roman" w:hAnsi="Arial" w:cs="Arial"/>
          <w:szCs w:val="20"/>
          <w:lang w:val="en-GB" w:eastAsia="en-AU"/>
        </w:rPr>
        <w:t> </w:t>
      </w:r>
      <w:r w:rsidR="00FA34EF">
        <w:rPr>
          <w:rFonts w:ascii="Arial" w:eastAsia="Times New Roman" w:hAnsi="Arial" w:cs="Arial"/>
          <w:szCs w:val="20"/>
          <w:lang w:val="en-GB" w:eastAsia="en-AU"/>
        </w:rPr>
        <w:t xml:space="preserve">4.4 </w:t>
      </w:r>
      <w:r w:rsidR="001F412F">
        <w:rPr>
          <w:rFonts w:ascii="Arial" w:eastAsia="Times New Roman" w:hAnsi="Arial" w:cs="Arial"/>
          <w:szCs w:val="20"/>
          <w:lang w:val="en-GB" w:eastAsia="en-AU"/>
        </w:rPr>
        <w:t>Special warnings and precautions for use</w:t>
      </w:r>
      <w:r w:rsidR="00FE381F">
        <w:rPr>
          <w:rFonts w:ascii="Arial" w:eastAsia="Times New Roman" w:hAnsi="Arial" w:cs="Arial"/>
          <w:szCs w:val="20"/>
          <w:lang w:val="en-GB" w:eastAsia="en-AU"/>
        </w:rPr>
        <w:t>, Cytokine release s</w:t>
      </w:r>
      <w:r w:rsidRPr="00870201">
        <w:rPr>
          <w:rFonts w:ascii="Arial" w:eastAsia="Times New Roman" w:hAnsi="Arial" w:cs="Arial"/>
          <w:szCs w:val="20"/>
          <w:lang w:val="en-GB" w:eastAsia="en-AU"/>
        </w:rPr>
        <w:t>yndrome.</w:t>
      </w:r>
    </w:p>
    <w:p w14:paraId="1E247330" w14:textId="77777777" w:rsidR="00C565C1" w:rsidRPr="00870201" w:rsidRDefault="00C565C1" w:rsidP="008F6561">
      <w:pPr>
        <w:pStyle w:val="Heading4"/>
      </w:pPr>
      <w:r w:rsidRPr="00870201">
        <w:t>Elevated liver enzymes</w:t>
      </w:r>
    </w:p>
    <w:p w14:paraId="7763B055" w14:textId="2B49368C" w:rsidR="00C565C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In </w:t>
      </w:r>
      <w:r>
        <w:rPr>
          <w:rFonts w:ascii="Arial" w:eastAsia="Times New Roman" w:hAnsi="Arial" w:cs="Arial"/>
          <w:szCs w:val="20"/>
          <w:lang w:val="en-GB" w:eastAsia="en-AU"/>
        </w:rPr>
        <w:t xml:space="preserve">the pivotal </w:t>
      </w:r>
      <w:r w:rsidRPr="00870201">
        <w:rPr>
          <w:rFonts w:ascii="Arial" w:eastAsia="Times New Roman" w:hAnsi="Arial" w:cs="Arial"/>
          <w:szCs w:val="20"/>
          <w:lang w:val="en-GB" w:eastAsia="en-AU"/>
        </w:rPr>
        <w:t>clinical stud</w:t>
      </w:r>
      <w:r>
        <w:rPr>
          <w:rFonts w:ascii="Arial" w:eastAsia="Times New Roman" w:hAnsi="Arial" w:cs="Arial"/>
          <w:szCs w:val="20"/>
          <w:lang w:val="en-GB" w:eastAsia="en-AU"/>
        </w:rPr>
        <w:t>y</w:t>
      </w:r>
      <w:r w:rsidRPr="00870201">
        <w:rPr>
          <w:rFonts w:ascii="Arial" w:eastAsia="Times New Roman" w:hAnsi="Arial" w:cs="Arial"/>
          <w:szCs w:val="20"/>
          <w:lang w:val="en-GB" w:eastAsia="en-AU"/>
        </w:rPr>
        <w:t xml:space="preserve"> with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w:t>
      </w:r>
      <w:r w:rsidR="00BD7E9A">
        <w:rPr>
          <w:rFonts w:ascii="Arial" w:eastAsia="Times New Roman" w:hAnsi="Arial" w:cs="Arial"/>
          <w:szCs w:val="20"/>
          <w:lang w:val="en-GB" w:eastAsia="en-AU"/>
        </w:rPr>
        <w:t>N</w:t>
      </w:r>
      <w:r w:rsidR="008F6561">
        <w:rPr>
          <w:rFonts w:ascii="Arial" w:eastAsia="Times New Roman" w:hAnsi="Arial" w:cs="Arial"/>
          <w:szCs w:val="20"/>
          <w:lang w:val="en-GB" w:eastAsia="en-AU"/>
        </w:rPr>
        <w:t> </w:t>
      </w:r>
      <w:r>
        <w:rPr>
          <w:rFonts w:ascii="Arial" w:eastAsia="Times New Roman" w:hAnsi="Arial" w:cs="Arial"/>
          <w:szCs w:val="20"/>
          <w:lang w:val="en-GB" w:eastAsia="en-AU"/>
        </w:rPr>
        <w:t>=</w:t>
      </w:r>
      <w:r w:rsidR="008F6561">
        <w:rPr>
          <w:rFonts w:ascii="Arial" w:eastAsia="Times New Roman" w:hAnsi="Arial" w:cs="Arial"/>
          <w:szCs w:val="20"/>
          <w:lang w:val="en-GB" w:eastAsia="en-AU"/>
        </w:rPr>
        <w:t> </w:t>
      </w:r>
      <w:r>
        <w:rPr>
          <w:rFonts w:ascii="Arial" w:eastAsia="Times New Roman" w:hAnsi="Arial" w:cs="Arial"/>
          <w:szCs w:val="20"/>
          <w:lang w:val="en-GB" w:eastAsia="en-AU"/>
        </w:rPr>
        <w:t>267), 21.7</w:t>
      </w:r>
      <w:r w:rsidRPr="00870201">
        <w:rPr>
          <w:rFonts w:ascii="Arial" w:eastAsia="Times New Roman" w:hAnsi="Arial" w:cs="Arial"/>
          <w:szCs w:val="20"/>
          <w:lang w:val="en-GB" w:eastAsia="en-AU"/>
        </w:rPr>
        <w:t xml:space="preserve">% of patients reported elevated liver enzymes. </w:t>
      </w:r>
      <w:r>
        <w:rPr>
          <w:rFonts w:ascii="Arial" w:eastAsia="Times New Roman" w:hAnsi="Arial" w:cs="Arial"/>
          <w:szCs w:val="20"/>
          <w:lang w:val="en-GB" w:eastAsia="en-AU"/>
        </w:rPr>
        <w:t xml:space="preserve"> </w:t>
      </w:r>
      <w:r w:rsidRPr="003268AB">
        <w:rPr>
          <w:rFonts w:ascii="Arial" w:hAnsi="Arial" w:cs="Arial"/>
        </w:rPr>
        <w:t>Serious and grade ≥ 3 adverse reactions</w:t>
      </w:r>
      <w:r w:rsidRPr="003268AB">
        <w:rPr>
          <w:rFonts w:ascii="Arial" w:eastAsia="Times New Roman" w:hAnsi="Arial" w:cs="Arial"/>
          <w:szCs w:val="20"/>
          <w:lang w:val="en-GB" w:eastAsia="en-AU"/>
        </w:rPr>
        <w:t xml:space="preserve"> such as ALT increased, AST increased, and blood bilirubin increased</w:t>
      </w:r>
      <w:r w:rsidRPr="003268AB">
        <w:rPr>
          <w:rFonts w:ascii="Arial" w:hAnsi="Arial" w:cs="Arial"/>
        </w:rPr>
        <w:t xml:space="preserve"> were observed in 1.1% and 12.7% of patients respectively</w:t>
      </w:r>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r w:rsidRPr="00870201">
        <w:rPr>
          <w:rFonts w:ascii="Arial" w:eastAsia="Times New Roman" w:hAnsi="Arial" w:cs="Arial"/>
          <w:szCs w:val="20"/>
          <w:lang w:val="en-GB" w:eastAsia="en-AU"/>
        </w:rPr>
        <w:t xml:space="preserve">The median time to onset to the first event was 3 days from the start of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treatment initiation and did not require interruption or discontinuation of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w:t>
      </w:r>
      <w:r>
        <w:rPr>
          <w:rFonts w:ascii="Arial" w:eastAsia="Times New Roman" w:hAnsi="Arial" w:cs="Arial"/>
          <w:szCs w:val="20"/>
          <w:lang w:val="en-GB" w:eastAsia="en-AU"/>
        </w:rPr>
        <w:t xml:space="preserve"> </w:t>
      </w:r>
    </w:p>
    <w:p w14:paraId="46709A0D" w14:textId="77777777" w:rsidR="00C565C1" w:rsidRPr="003268AB" w:rsidRDefault="00C565C1" w:rsidP="00C565C1">
      <w:pPr>
        <w:keepNext/>
        <w:keepLines/>
        <w:autoSpaceDE w:val="0"/>
        <w:autoSpaceDN w:val="0"/>
        <w:spacing w:before="120" w:after="120" w:line="360" w:lineRule="auto"/>
        <w:rPr>
          <w:rFonts w:ascii="Arial" w:hAnsi="Arial" w:cs="Arial"/>
        </w:rPr>
      </w:pPr>
      <w:r w:rsidRPr="003268AB">
        <w:rPr>
          <w:rFonts w:ascii="Arial" w:hAnsi="Arial" w:cs="Arial"/>
        </w:rPr>
        <w:t>Elevated liver enzyme events were reported for 12.4% of adult patients with MRD positive B-cell precursor ALL. Grade ≥ 3 and grade ≥ 4 events, respectively, were reported for 8.0% and 4.4% of adult patients with MRD positive B-precursor ALL.</w:t>
      </w:r>
    </w:p>
    <w:p w14:paraId="68D2B139" w14:textId="77777777" w:rsidR="00C565C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The duration of hepatic adverse reactions has generally been brief and with rapid resolution, often when continuing uninterrupted treatment with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w:t>
      </w:r>
    </w:p>
    <w:p w14:paraId="75E5C300" w14:textId="7FFE6349" w:rsidR="00C565C1" w:rsidRPr="0087020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For clinical management of elevated liver enzymes, see </w:t>
      </w:r>
      <w:r w:rsidR="00FA34EF">
        <w:rPr>
          <w:rFonts w:ascii="Arial" w:eastAsia="Times New Roman" w:hAnsi="Arial" w:cs="Arial"/>
          <w:szCs w:val="20"/>
          <w:lang w:val="en-GB" w:eastAsia="en-AU"/>
        </w:rPr>
        <w:t>Section</w:t>
      </w:r>
      <w:r w:rsidR="008F6561">
        <w:rPr>
          <w:rFonts w:ascii="Arial" w:eastAsia="Times New Roman" w:hAnsi="Arial" w:cs="Arial"/>
          <w:szCs w:val="20"/>
          <w:lang w:val="en-GB" w:eastAsia="en-AU"/>
        </w:rPr>
        <w:t> </w:t>
      </w:r>
      <w:r w:rsidR="00FA34EF">
        <w:rPr>
          <w:rFonts w:ascii="Arial" w:eastAsia="Times New Roman" w:hAnsi="Arial" w:cs="Arial"/>
          <w:szCs w:val="20"/>
          <w:lang w:val="en-GB" w:eastAsia="en-AU"/>
        </w:rPr>
        <w:t xml:space="preserve">4.4 </w:t>
      </w:r>
      <w:r w:rsidR="001F412F">
        <w:rPr>
          <w:rFonts w:ascii="Arial" w:eastAsia="Times New Roman" w:hAnsi="Arial" w:cs="Arial"/>
          <w:szCs w:val="20"/>
          <w:lang w:val="en-GB" w:eastAsia="en-AU"/>
        </w:rPr>
        <w:t>Special warnings and precautions for use</w:t>
      </w:r>
      <w:r w:rsidR="00FE381F">
        <w:rPr>
          <w:rFonts w:ascii="Arial" w:eastAsia="Times New Roman" w:hAnsi="Arial" w:cs="Arial"/>
          <w:szCs w:val="20"/>
          <w:lang w:val="en-GB" w:eastAsia="en-AU"/>
        </w:rPr>
        <w:t>, Elevated liver e</w:t>
      </w:r>
      <w:r w:rsidRPr="00870201">
        <w:rPr>
          <w:rFonts w:ascii="Arial" w:eastAsia="Times New Roman" w:hAnsi="Arial" w:cs="Arial"/>
          <w:szCs w:val="20"/>
          <w:lang w:val="en-GB" w:eastAsia="en-AU"/>
        </w:rPr>
        <w:t>nzymes.</w:t>
      </w:r>
    </w:p>
    <w:p w14:paraId="7D3AF272" w14:textId="77777777" w:rsidR="00C565C1" w:rsidRPr="00870201" w:rsidRDefault="00C565C1" w:rsidP="00F15285">
      <w:pPr>
        <w:pStyle w:val="Heading3"/>
      </w:pPr>
      <w:r w:rsidRPr="00870201">
        <w:t>Post-marketing experience</w:t>
      </w:r>
    </w:p>
    <w:p w14:paraId="597404DC" w14:textId="15CE61FB" w:rsidR="00C565C1" w:rsidRDefault="00C565C1" w:rsidP="00C565C1">
      <w:pPr>
        <w:pStyle w:val="Text"/>
        <w:rPr>
          <w:rFonts w:ascii="Arial" w:eastAsia="Times New Roman" w:hAnsi="Arial" w:cs="Arial"/>
          <w:szCs w:val="20"/>
          <w:lang w:val="en-GB" w:eastAsia="en-AU"/>
        </w:rPr>
      </w:pPr>
      <w:r w:rsidRPr="00870201">
        <w:rPr>
          <w:rFonts w:ascii="Arial" w:eastAsia="Times New Roman" w:hAnsi="Arial" w:cs="Arial"/>
          <w:szCs w:val="20"/>
          <w:lang w:val="en-GB" w:eastAsia="en-AU"/>
        </w:rPr>
        <w:t xml:space="preserve">Pancreatitis, life threatening or fatal, has been reported in patients receiving </w:t>
      </w:r>
      <w:proofErr w:type="spellStart"/>
      <w:r w:rsidRPr="00870201">
        <w:rPr>
          <w:rFonts w:ascii="Arial" w:eastAsia="Times New Roman" w:hAnsi="Arial" w:cs="Arial"/>
          <w:szCs w:val="20"/>
          <w:lang w:val="en-GB" w:eastAsia="en-AU"/>
        </w:rPr>
        <w:t>Blincyto</w:t>
      </w:r>
      <w:proofErr w:type="spellEnd"/>
      <w:r w:rsidRPr="00870201">
        <w:rPr>
          <w:rFonts w:ascii="Arial" w:eastAsia="Times New Roman" w:hAnsi="Arial" w:cs="Arial"/>
          <w:szCs w:val="20"/>
          <w:lang w:val="en-GB" w:eastAsia="en-AU"/>
        </w:rPr>
        <w:t xml:space="preserve"> (see </w:t>
      </w:r>
      <w:r w:rsidR="00FA34EF">
        <w:rPr>
          <w:rFonts w:ascii="Arial" w:eastAsia="Times New Roman" w:hAnsi="Arial" w:cs="Arial"/>
          <w:szCs w:val="20"/>
          <w:lang w:val="en-GB" w:eastAsia="en-AU"/>
        </w:rPr>
        <w:t>Section</w:t>
      </w:r>
      <w:r w:rsidR="008F6561">
        <w:rPr>
          <w:rFonts w:ascii="Arial" w:eastAsia="Times New Roman" w:hAnsi="Arial" w:cs="Arial"/>
          <w:szCs w:val="20"/>
          <w:lang w:val="en-GB" w:eastAsia="en-AU"/>
        </w:rPr>
        <w:t> </w:t>
      </w:r>
      <w:r w:rsidR="00FA34EF">
        <w:rPr>
          <w:rFonts w:ascii="Arial" w:eastAsia="Times New Roman" w:hAnsi="Arial" w:cs="Arial"/>
          <w:szCs w:val="20"/>
          <w:lang w:val="en-GB" w:eastAsia="en-AU"/>
        </w:rPr>
        <w:t xml:space="preserve">4.4 </w:t>
      </w:r>
      <w:r w:rsidR="001F412F">
        <w:rPr>
          <w:rFonts w:ascii="Arial" w:eastAsia="Times New Roman" w:hAnsi="Arial" w:cs="Arial"/>
          <w:szCs w:val="20"/>
          <w:lang w:val="en-GB" w:eastAsia="en-AU"/>
        </w:rPr>
        <w:t>Special warnings and precautions for use</w:t>
      </w:r>
      <w:r w:rsidRPr="00870201">
        <w:rPr>
          <w:rFonts w:ascii="Arial" w:eastAsia="Times New Roman" w:hAnsi="Arial" w:cs="Arial"/>
          <w:szCs w:val="20"/>
          <w:lang w:val="en-GB" w:eastAsia="en-AU"/>
        </w:rPr>
        <w:t>).</w:t>
      </w:r>
    </w:p>
    <w:p w14:paraId="0934FF20" w14:textId="77777777" w:rsidR="00623550" w:rsidRPr="00E42047" w:rsidRDefault="00623550" w:rsidP="00623550">
      <w:pPr>
        <w:pStyle w:val="Text"/>
        <w:rPr>
          <w:rFonts w:ascii="Arial" w:eastAsia="Times New Roman" w:hAnsi="Arial" w:cs="Arial"/>
          <w:color w:val="000000" w:themeColor="text1"/>
          <w:szCs w:val="20"/>
          <w:lang w:val="en-GB" w:eastAsia="en-AU"/>
        </w:rPr>
      </w:pPr>
      <w:r w:rsidRPr="00E42047">
        <w:rPr>
          <w:rFonts w:ascii="Arial" w:eastAsia="Times New Roman" w:hAnsi="Arial" w:cs="Arial"/>
          <w:color w:val="000000" w:themeColor="text1"/>
          <w:szCs w:val="20"/>
          <w:lang w:val="en-GB" w:eastAsia="en-AU"/>
        </w:rPr>
        <w:t>Serious events of cranial nerve disorder have been reported.</w:t>
      </w:r>
    </w:p>
    <w:p w14:paraId="52EB5917" w14:textId="77777777" w:rsidR="00800C19" w:rsidRDefault="00800C19" w:rsidP="00C565C1">
      <w:pPr>
        <w:pStyle w:val="Text"/>
        <w:rPr>
          <w:rFonts w:ascii="Arial" w:eastAsia="Times New Roman" w:hAnsi="Arial" w:cs="Arial"/>
          <w:szCs w:val="20"/>
          <w:lang w:val="en-GB" w:eastAsia="en-AU"/>
        </w:rPr>
      </w:pPr>
      <w:r w:rsidRPr="008F6561">
        <w:rPr>
          <w:rFonts w:ascii="Arial" w:eastAsia="Times New Roman" w:hAnsi="Arial" w:cs="Arial"/>
          <w:szCs w:val="20"/>
          <w:lang w:val="en-GB" w:eastAsia="en-AU"/>
        </w:rPr>
        <w:t xml:space="preserve">Reporting suspected adverse reactions after registration of the medicinal product is important. </w:t>
      </w:r>
      <w:r w:rsidR="006F4DEE" w:rsidRPr="008F6561">
        <w:rPr>
          <w:rFonts w:ascii="Arial" w:eastAsia="Times New Roman" w:hAnsi="Arial" w:cs="Arial"/>
          <w:szCs w:val="20"/>
          <w:lang w:val="en-GB" w:eastAsia="en-AU"/>
        </w:rPr>
        <w:t xml:space="preserve"> </w:t>
      </w:r>
      <w:r w:rsidRPr="008F6561">
        <w:rPr>
          <w:rFonts w:ascii="Arial" w:eastAsia="Times New Roman" w:hAnsi="Arial" w:cs="Arial"/>
          <w:szCs w:val="20"/>
          <w:lang w:val="en-GB" w:eastAsia="en-AU"/>
        </w:rPr>
        <w:t xml:space="preserve">It allows continued monitoring of the benefit-risk balance of the medicinal </w:t>
      </w:r>
      <w:r w:rsidRPr="008F6561">
        <w:rPr>
          <w:rFonts w:ascii="Arial" w:eastAsia="Times New Roman" w:hAnsi="Arial" w:cs="Arial"/>
          <w:szCs w:val="20"/>
          <w:lang w:val="en-GB" w:eastAsia="en-AU"/>
        </w:rPr>
        <w:lastRenderedPageBreak/>
        <w:t>product.</w:t>
      </w:r>
      <w:r w:rsidR="006F4DEE" w:rsidRPr="008F6561">
        <w:rPr>
          <w:rFonts w:ascii="Arial" w:eastAsia="Times New Roman" w:hAnsi="Arial" w:cs="Arial"/>
          <w:szCs w:val="20"/>
          <w:lang w:val="en-GB" w:eastAsia="en-AU"/>
        </w:rPr>
        <w:t xml:space="preserve"> </w:t>
      </w:r>
      <w:r w:rsidRPr="008F6561">
        <w:rPr>
          <w:rFonts w:ascii="Arial" w:eastAsia="Times New Roman" w:hAnsi="Arial" w:cs="Arial"/>
          <w:szCs w:val="20"/>
          <w:lang w:val="en-GB" w:eastAsia="en-AU"/>
        </w:rPr>
        <w:t xml:space="preserve"> Healthcare professionals are asked to report any suspected adverse reactions at </w:t>
      </w:r>
      <w:hyperlink r:id="rId9" w:history="1">
        <w:r w:rsidR="008F6561" w:rsidRPr="006F7F6A">
          <w:rPr>
            <w:rStyle w:val="Hyperlink"/>
            <w:rFonts w:ascii="Arial" w:eastAsia="Times New Roman" w:hAnsi="Arial" w:cs="Arial"/>
            <w:szCs w:val="20"/>
            <w:lang w:val="en-GB" w:eastAsia="en-AU"/>
          </w:rPr>
          <w:t>http://www.tga.gov.au/reporting-problems</w:t>
        </w:r>
      </w:hyperlink>
      <w:r w:rsidRPr="008F6561">
        <w:rPr>
          <w:rFonts w:ascii="Arial" w:eastAsia="Times New Roman" w:hAnsi="Arial" w:cs="Arial"/>
          <w:szCs w:val="20"/>
          <w:lang w:val="en-GB" w:eastAsia="en-AU"/>
        </w:rPr>
        <w:t>.</w:t>
      </w:r>
      <w:r w:rsidR="006F4DEE" w:rsidRPr="008F6561">
        <w:rPr>
          <w:rFonts w:ascii="Arial" w:eastAsia="Times New Roman" w:hAnsi="Arial" w:cs="Arial"/>
          <w:szCs w:val="20"/>
          <w:lang w:val="en-GB" w:eastAsia="en-AU"/>
        </w:rPr>
        <w:t xml:space="preserve"> </w:t>
      </w:r>
    </w:p>
    <w:p w14:paraId="29C5BA26" w14:textId="77777777" w:rsidR="001A3992" w:rsidRDefault="001A3992" w:rsidP="001A3992">
      <w:pPr>
        <w:pStyle w:val="Heading2"/>
        <w:keepNext/>
        <w:keepLines/>
        <w:spacing w:before="0" w:after="120"/>
      </w:pPr>
      <w:r>
        <w:t>Overdose</w:t>
      </w:r>
    </w:p>
    <w:p w14:paraId="218301C6" w14:textId="1A7673E6" w:rsidR="00C565C1" w:rsidRDefault="00C565C1" w:rsidP="00C565C1">
      <w:pPr>
        <w:pStyle w:val="PI-Text"/>
      </w:pPr>
      <w:r w:rsidRPr="00FF4079">
        <w:t xml:space="preserve">Overdoses have been observed including one patient who received 133-fold the recommended therapeutic dose of </w:t>
      </w:r>
      <w:proofErr w:type="spellStart"/>
      <w:r w:rsidRPr="00FF4079">
        <w:t>Blincyto</w:t>
      </w:r>
      <w:proofErr w:type="spellEnd"/>
      <w:r w:rsidRPr="00FF4079">
        <w:t xml:space="preserve"> delivered over a short duration.  Overdoses resulted in adverse reactions </w:t>
      </w:r>
      <w:r>
        <w:t>that</w:t>
      </w:r>
      <w:r w:rsidRPr="00FF4079">
        <w:t xml:space="preserve"> were consistent with the reactions observed at the recommended therapeutic dose and included fever, tremors, and headache.  In the event of overdose, the infusion should be temporarily interrupted and patients should be monitored.  Consider re</w:t>
      </w:r>
      <w:r w:rsidR="00E42047">
        <w:t>-</w:t>
      </w:r>
      <w:r w:rsidRPr="00FF4079">
        <w:t xml:space="preserve">initiation of </w:t>
      </w:r>
      <w:proofErr w:type="spellStart"/>
      <w:r w:rsidRPr="00FF4079">
        <w:t>Blincyto</w:t>
      </w:r>
      <w:proofErr w:type="spellEnd"/>
      <w:r w:rsidRPr="00FF4079">
        <w:t xml:space="preserve"> at the correct therapeutic dose (see </w:t>
      </w:r>
      <w:r w:rsidR="00FA34EF">
        <w:t>Section</w:t>
      </w:r>
      <w:r w:rsidR="00997997">
        <w:t> </w:t>
      </w:r>
      <w:r w:rsidR="00FA34EF">
        <w:t xml:space="preserve">4.2 </w:t>
      </w:r>
      <w:r w:rsidR="001F412F">
        <w:t>Dose and method of administration</w:t>
      </w:r>
      <w:r w:rsidRPr="00FF4079">
        <w:t>).</w:t>
      </w:r>
    </w:p>
    <w:p w14:paraId="39E7C4B9" w14:textId="77777777" w:rsidR="006F4DEE" w:rsidRPr="00FF4079" w:rsidRDefault="006F4DEE" w:rsidP="00C565C1">
      <w:pPr>
        <w:pStyle w:val="PI-Text"/>
      </w:pPr>
      <w:r w:rsidRPr="00997997">
        <w:t>For information on the management of overdose, contact the Poison Information Centre on 131126 (Australia).</w:t>
      </w:r>
    </w:p>
    <w:p w14:paraId="0B72C51A"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4D002C65" w14:textId="77777777" w:rsidR="001A3992" w:rsidRPr="00EC3C40" w:rsidRDefault="001A3992" w:rsidP="001A3992">
      <w:pPr>
        <w:pStyle w:val="Heading2"/>
        <w:spacing w:before="0" w:after="120"/>
        <w:rPr>
          <w:lang w:val="en-US"/>
        </w:rPr>
      </w:pPr>
      <w:proofErr w:type="spellStart"/>
      <w:r w:rsidRPr="00EC3C40">
        <w:rPr>
          <w:lang w:val="en-US"/>
        </w:rPr>
        <w:t>Pharmacodynamic</w:t>
      </w:r>
      <w:proofErr w:type="spellEnd"/>
      <w:r w:rsidRPr="00EC3C40">
        <w:rPr>
          <w:lang w:val="en-US"/>
        </w:rPr>
        <w:t xml:space="preserve"> properties </w:t>
      </w:r>
    </w:p>
    <w:p w14:paraId="1AB3F024" w14:textId="77777777" w:rsidR="001A3992" w:rsidRDefault="001A3992" w:rsidP="001A3992">
      <w:pPr>
        <w:pStyle w:val="Heading3"/>
        <w:spacing w:before="0" w:after="120"/>
      </w:pPr>
      <w:r w:rsidRPr="00B878CC">
        <w:t>Mechanism of action</w:t>
      </w:r>
    </w:p>
    <w:p w14:paraId="04105991" w14:textId="77777777" w:rsidR="00AE521B" w:rsidRPr="00FF4079" w:rsidRDefault="00AE521B" w:rsidP="00AE521B">
      <w:pPr>
        <w:pStyle w:val="PI-Text"/>
      </w:pPr>
      <w:proofErr w:type="spellStart"/>
      <w:r w:rsidRPr="00FF4079">
        <w:t>Blinatumomab</w:t>
      </w:r>
      <w:proofErr w:type="spellEnd"/>
      <w:r w:rsidRPr="00FF4079">
        <w:t xml:space="preserve"> is a bispecific </w:t>
      </w:r>
      <w:r>
        <w:t>T </w:t>
      </w:r>
      <w:r w:rsidRPr="00FF4079">
        <w:t>cell engager (</w:t>
      </w:r>
      <w:proofErr w:type="spellStart"/>
      <w:r w:rsidRPr="00FF4079">
        <w:t>BiTE</w:t>
      </w:r>
      <w:proofErr w:type="spellEnd"/>
      <w:r w:rsidRPr="00FF4079">
        <w:rPr>
          <w:vertAlign w:val="superscript"/>
        </w:rPr>
        <w:t>®</w:t>
      </w:r>
      <w:r w:rsidRPr="00FF4079">
        <w:t>) antibody construct that binds specifically to CD19 expressed on the surface of cells of B-lineage origin and CD3 expre</w:t>
      </w:r>
      <w:r>
        <w:t>ssed on the surface of T </w:t>
      </w:r>
      <w:r w:rsidRPr="00FF4079">
        <w:t>cells.</w:t>
      </w:r>
      <w:r>
        <w:t xml:space="preserve">  It activates endogenous T </w:t>
      </w:r>
      <w:r w:rsidRPr="00FF4079">
        <w:t>cells by connecting CD3 in the T</w:t>
      </w:r>
      <w:r>
        <w:t> </w:t>
      </w:r>
      <w:r w:rsidRPr="00FF4079">
        <w:t xml:space="preserve">cell receptor (TCR) complex with CD19 on benign and malignant B cells. </w:t>
      </w:r>
      <w:r>
        <w:t xml:space="preserve"> The anti</w:t>
      </w:r>
      <w:r>
        <w:noBreakHyphen/>
      </w:r>
      <w:r w:rsidRPr="00FF4079">
        <w:t xml:space="preserve">tumour activity of </w:t>
      </w:r>
      <w:proofErr w:type="spellStart"/>
      <w:r w:rsidRPr="00FF4079">
        <w:t>blinatumomab</w:t>
      </w:r>
      <w:proofErr w:type="spellEnd"/>
      <w:r w:rsidRPr="00FF4079">
        <w:t xml:space="preserve"> immu</w:t>
      </w:r>
      <w:r>
        <w:t>notherapy is not dependent on T </w:t>
      </w:r>
      <w:r w:rsidRPr="00FF4079">
        <w:t xml:space="preserve">cells bearing a specific TCR or on peptide antigens presented by cancer cells, but is polyclonal in nature and independent of human leukocyte antigen (HLA) molecules on target cells. </w:t>
      </w:r>
      <w:r>
        <w:t xml:space="preserve"> </w:t>
      </w:r>
      <w:proofErr w:type="spellStart"/>
      <w:r w:rsidRPr="00FF4079">
        <w:t>Blinatumomab</w:t>
      </w:r>
      <w:proofErr w:type="spellEnd"/>
      <w:r w:rsidRPr="00FF4079">
        <w:t xml:space="preserve"> mediates the formation of a </w:t>
      </w:r>
      <w:proofErr w:type="spellStart"/>
      <w:r w:rsidRPr="00FF4079">
        <w:t>cytolytic</w:t>
      </w:r>
      <w:proofErr w:type="spellEnd"/>
      <w:r w:rsidRPr="00FF4079">
        <w:t xml:space="preserve"> synapse between the T</w:t>
      </w:r>
      <w:r w:rsidR="00D960E8">
        <w:t> </w:t>
      </w:r>
      <w:r w:rsidRPr="00FF4079">
        <w:t>cell and the B</w:t>
      </w:r>
      <w:r w:rsidR="00D960E8">
        <w:t> </w:t>
      </w:r>
      <w:r w:rsidRPr="00FF4079">
        <w:t xml:space="preserve">cell, releasing proteolytic enzymes to kill both proliferating and resting target cells. </w:t>
      </w:r>
      <w:r>
        <w:t xml:space="preserve"> </w:t>
      </w:r>
      <w:proofErr w:type="spellStart"/>
      <w:r w:rsidRPr="00FF4079">
        <w:t>Blinatumomab</w:t>
      </w:r>
      <w:proofErr w:type="spellEnd"/>
      <w:r w:rsidRPr="00FF4079">
        <w:t xml:space="preserve"> is associated with transient upregulation of cell adhesion molecules, production of </w:t>
      </w:r>
      <w:proofErr w:type="spellStart"/>
      <w:r w:rsidRPr="00FF4079">
        <w:t>cytolytic</w:t>
      </w:r>
      <w:proofErr w:type="spellEnd"/>
      <w:r w:rsidRPr="00FF4079">
        <w:t xml:space="preserve"> proteins, release of inflammatory cytokines, and proliferat</w:t>
      </w:r>
      <w:r>
        <w:t>ion of T </w:t>
      </w:r>
      <w:r w:rsidRPr="00FF4079">
        <w:t>cells, and results in elimination of CD19+ cells.</w:t>
      </w:r>
    </w:p>
    <w:p w14:paraId="0248C3E8" w14:textId="77777777" w:rsidR="00AE521B" w:rsidRPr="00997997" w:rsidRDefault="00AE521B" w:rsidP="00997997">
      <w:pPr>
        <w:pStyle w:val="Heading3"/>
      </w:pPr>
      <w:r w:rsidRPr="00997997">
        <w:t>Pharmacodynamics</w:t>
      </w:r>
    </w:p>
    <w:p w14:paraId="3C903F8C" w14:textId="77777777" w:rsidR="00AE521B" w:rsidRPr="00FF4079" w:rsidRDefault="00AE521B" w:rsidP="00AE521B">
      <w:pPr>
        <w:pStyle w:val="PI-Text"/>
      </w:pPr>
      <w:r w:rsidRPr="00997997">
        <w:t>Consistent immune</w:t>
      </w:r>
      <w:r w:rsidRPr="00997997">
        <w:noBreakHyphen/>
      </w:r>
      <w:proofErr w:type="spellStart"/>
      <w:r w:rsidRPr="00997997">
        <w:t>pharmacodynamic</w:t>
      </w:r>
      <w:proofErr w:type="spellEnd"/>
      <w:r w:rsidRPr="00997997">
        <w:t xml:space="preserve"> responses</w:t>
      </w:r>
      <w:r w:rsidRPr="00FF4079">
        <w:t xml:space="preserve"> were observed in the patients studied. </w:t>
      </w:r>
      <w:r>
        <w:t xml:space="preserve"> </w:t>
      </w:r>
      <w:r w:rsidRPr="00FF4079">
        <w:t xml:space="preserve">During the continuous intravenous infusion over 4 weeks, the </w:t>
      </w:r>
      <w:proofErr w:type="spellStart"/>
      <w:r w:rsidRPr="00FF4079">
        <w:t>pharmacodynamic</w:t>
      </w:r>
      <w:proofErr w:type="spellEnd"/>
      <w:r w:rsidRPr="00FF4079">
        <w:t xml:space="preserve"> response was characterised by T</w:t>
      </w:r>
      <w:r>
        <w:t> </w:t>
      </w:r>
      <w:r w:rsidRPr="00FF4079">
        <w:t xml:space="preserve">cell activation and initial redistribution, rapid peripheral </w:t>
      </w:r>
      <w:r>
        <w:t>B </w:t>
      </w:r>
      <w:r w:rsidRPr="00FF4079">
        <w:t>cell depletion, and transient cytokine elevation.</w:t>
      </w:r>
    </w:p>
    <w:p w14:paraId="04E2B468" w14:textId="4D48F70D" w:rsidR="00AE521B" w:rsidRPr="00FF4079" w:rsidRDefault="00AE521B" w:rsidP="00AE521B">
      <w:pPr>
        <w:pStyle w:val="PI-Text"/>
      </w:pPr>
      <w:r>
        <w:lastRenderedPageBreak/>
        <w:t>Peripheral T </w:t>
      </w:r>
      <w:r w:rsidRPr="00FF4079">
        <w:t>cell redistribution (</w:t>
      </w:r>
      <w:r w:rsidR="000006D2" w:rsidRPr="00E42047">
        <w:rPr>
          <w:color w:val="000000" w:themeColor="text1"/>
        </w:rPr>
        <w:t>i.e.,</w:t>
      </w:r>
      <w:r w:rsidRPr="00E42047">
        <w:rPr>
          <w:color w:val="000000" w:themeColor="text1"/>
        </w:rPr>
        <w:t xml:space="preserve"> </w:t>
      </w:r>
      <w:r w:rsidR="000006D2">
        <w:t>T</w:t>
      </w:r>
      <w:r w:rsidR="00D960E8">
        <w:t> </w:t>
      </w:r>
      <w:r w:rsidR="000006D2">
        <w:t>c</w:t>
      </w:r>
      <w:r w:rsidRPr="00FF4079">
        <w:t xml:space="preserve">ell adhesion to blood vessel endothelium and/or transmigration into tissue) occurred after </w:t>
      </w:r>
      <w:r>
        <w:t xml:space="preserve">the </w:t>
      </w:r>
      <w:r w:rsidRPr="00FF4079">
        <w:t xml:space="preserve">start of </w:t>
      </w:r>
      <w:proofErr w:type="spellStart"/>
      <w:r w:rsidRPr="00FF4079">
        <w:t>Blincyto</w:t>
      </w:r>
      <w:proofErr w:type="spellEnd"/>
      <w:r w:rsidRPr="00FF4079">
        <w:t xml:space="preserve"> infusion or dose escalation.</w:t>
      </w:r>
      <w:r>
        <w:t xml:space="preserve">  T </w:t>
      </w:r>
      <w:r w:rsidRPr="00FF4079">
        <w:t>cell counts i</w:t>
      </w:r>
      <w:r>
        <w:t>nitially declined within 1 to 2 </w:t>
      </w:r>
      <w:r w:rsidRPr="00FF4079">
        <w:t>days and then returned to</w:t>
      </w:r>
      <w:r>
        <w:t xml:space="preserve"> baseline levels within 7 to 14 </w:t>
      </w:r>
      <w:r w:rsidRPr="00FF4079">
        <w:t>days in</w:t>
      </w:r>
      <w:r>
        <w:t xml:space="preserve"> the</w:t>
      </w:r>
      <w:r w:rsidRPr="00FF4079">
        <w:t xml:space="preserve"> majority </w:t>
      </w:r>
      <w:r>
        <w:t xml:space="preserve">of </w:t>
      </w:r>
      <w:r w:rsidRPr="00FF4079">
        <w:t>patients.</w:t>
      </w:r>
      <w:r>
        <w:t xml:space="preserve">  An increase of T </w:t>
      </w:r>
      <w:r w:rsidRPr="00FF4079">
        <w:t>cell counts above baseline (T</w:t>
      </w:r>
      <w:r>
        <w:t> </w:t>
      </w:r>
      <w:r w:rsidRPr="00FF4079">
        <w:t>cell expansion) was observed in few patients.</w:t>
      </w:r>
    </w:p>
    <w:p w14:paraId="082FBC65" w14:textId="77777777" w:rsidR="00AE521B" w:rsidRPr="00FF4079" w:rsidRDefault="00AE521B" w:rsidP="00AE521B">
      <w:pPr>
        <w:pStyle w:val="PI-Text"/>
      </w:pPr>
      <w:r w:rsidRPr="00523057">
        <w:t>Peripheral B</w:t>
      </w:r>
      <w:r w:rsidR="00F338DE">
        <w:t> </w:t>
      </w:r>
      <w:r w:rsidRPr="00523057">
        <w:t>cell counts decreased rapidly to an undetectable le</w:t>
      </w:r>
      <w:r>
        <w:t>vel during treatment at doses ≥ </w:t>
      </w:r>
      <w:r w:rsidRPr="00523057">
        <w:t>5</w:t>
      </w:r>
      <w:r>
        <w:t> </w:t>
      </w:r>
      <w:r w:rsidRPr="00FF4079">
        <w:t>micrograms/m</w:t>
      </w:r>
      <w:r w:rsidRPr="00FF4079">
        <w:rPr>
          <w:vertAlign w:val="superscript"/>
        </w:rPr>
        <w:t>2</w:t>
      </w:r>
      <w:r>
        <w:t>/day or ≥ 9 </w:t>
      </w:r>
      <w:r w:rsidRPr="00FF4079">
        <w:t xml:space="preserve">micrograms/day in the majority of patients. </w:t>
      </w:r>
      <w:r>
        <w:t xml:space="preserve"> </w:t>
      </w:r>
      <w:r w:rsidRPr="00FF4079">
        <w:t>No recovery of peripheral B</w:t>
      </w:r>
      <w:r w:rsidR="00D960E8">
        <w:t> </w:t>
      </w:r>
      <w:r w:rsidRPr="00FF4079">
        <w:t xml:space="preserve">cell counts was observed during the 2-week </w:t>
      </w:r>
      <w:proofErr w:type="spellStart"/>
      <w:r w:rsidRPr="00FF4079">
        <w:t>Blincyto</w:t>
      </w:r>
      <w:proofErr w:type="spellEnd"/>
      <w:r w:rsidRPr="00FF4079">
        <w:t>-free period between treatment cycles.</w:t>
      </w:r>
      <w:r>
        <w:t xml:space="preserve">  Incomplete depletion of B </w:t>
      </w:r>
      <w:r w:rsidRPr="00FF4079">
        <w:t>cells occurred at doses of 0.5 micrograms/m</w:t>
      </w:r>
      <w:r w:rsidRPr="00FF4079">
        <w:rPr>
          <w:vertAlign w:val="superscript"/>
        </w:rPr>
        <w:t>2</w:t>
      </w:r>
      <w:r>
        <w:t>/day and 1.5 </w:t>
      </w:r>
      <w:r w:rsidRPr="00FF4079">
        <w:t>micrograms/m</w:t>
      </w:r>
      <w:r w:rsidRPr="00FF4079">
        <w:rPr>
          <w:vertAlign w:val="superscript"/>
        </w:rPr>
        <w:t>2</w:t>
      </w:r>
      <w:r w:rsidRPr="00FF4079">
        <w:t>/day and in a few non-responders at higher doses.</w:t>
      </w:r>
    </w:p>
    <w:p w14:paraId="2A5B3487" w14:textId="77777777" w:rsidR="00AE521B" w:rsidRPr="00FF4079" w:rsidRDefault="00AE521B" w:rsidP="00AE521B">
      <w:pPr>
        <w:pStyle w:val="PI-Text"/>
      </w:pPr>
      <w:r>
        <w:t>Cytokines including IL</w:t>
      </w:r>
      <w:r>
        <w:noBreakHyphen/>
        <w:t>2, IL</w:t>
      </w:r>
      <w:r>
        <w:noBreakHyphen/>
        <w:t>4, IL</w:t>
      </w:r>
      <w:r>
        <w:noBreakHyphen/>
        <w:t>6, IL</w:t>
      </w:r>
      <w:r>
        <w:noBreakHyphen/>
        <w:t>8, IL</w:t>
      </w:r>
      <w:r>
        <w:noBreakHyphen/>
        <w:t>10, IL</w:t>
      </w:r>
      <w:r>
        <w:noBreakHyphen/>
        <w:t>12, TNF</w:t>
      </w:r>
      <w:r>
        <w:noBreakHyphen/>
        <w:t>α, and IFN</w:t>
      </w:r>
      <w:r>
        <w:noBreakHyphen/>
        <w:t>γ were measured, and IL</w:t>
      </w:r>
      <w:r>
        <w:noBreakHyphen/>
        <w:t>6, IL</w:t>
      </w:r>
      <w:r>
        <w:noBreakHyphen/>
        <w:t>10, and IFN</w:t>
      </w:r>
      <w:r>
        <w:noBreakHyphen/>
      </w:r>
      <w:r w:rsidRPr="00FF4079">
        <w:t xml:space="preserve">γ were most elevated. </w:t>
      </w:r>
      <w:r>
        <w:t xml:space="preserve"> </w:t>
      </w:r>
      <w:r w:rsidRPr="00FF4079">
        <w:t>Transient elevation of cytoki</w:t>
      </w:r>
      <w:r>
        <w:t>nes was observed in the first 2 </w:t>
      </w:r>
      <w:r w:rsidRPr="00FF4079">
        <w:t xml:space="preserve">days following </w:t>
      </w:r>
      <w:r>
        <w:t xml:space="preserve">the </w:t>
      </w:r>
      <w:r w:rsidRPr="00FF4079">
        <w:t xml:space="preserve">start of </w:t>
      </w:r>
      <w:proofErr w:type="spellStart"/>
      <w:r w:rsidRPr="00FF4079">
        <w:t>Blincyto</w:t>
      </w:r>
      <w:proofErr w:type="spellEnd"/>
      <w:r w:rsidRPr="00FF4079">
        <w:t xml:space="preserve"> infusion. </w:t>
      </w:r>
      <w:r>
        <w:t xml:space="preserve"> </w:t>
      </w:r>
      <w:r w:rsidRPr="00FF4079">
        <w:t>The elevated cytokine levels retur</w:t>
      </w:r>
      <w:r>
        <w:t>ned to baseline within 24 to 48 </w:t>
      </w:r>
      <w:r w:rsidRPr="00FF4079">
        <w:t xml:space="preserve">hours during the infusion. </w:t>
      </w:r>
      <w:r>
        <w:t xml:space="preserve"> </w:t>
      </w:r>
      <w:r w:rsidRPr="00FF4079">
        <w:t>In subsequent treatment cycles, cytokine elevation occurred in fewer patients with lesser inten</w:t>
      </w:r>
      <w:r>
        <w:t xml:space="preserve">sity compared to the initial 48 </w:t>
      </w:r>
      <w:r w:rsidRPr="00FF4079">
        <w:t>hours of the first treatment cycle.</w:t>
      </w:r>
    </w:p>
    <w:p w14:paraId="07FADD9D" w14:textId="77777777" w:rsidR="001A3992" w:rsidRDefault="001A3992" w:rsidP="001A3992">
      <w:pPr>
        <w:pStyle w:val="Heading3"/>
        <w:spacing w:before="0" w:after="120"/>
        <w:rPr>
          <w:lang w:val="en-US"/>
        </w:rPr>
      </w:pPr>
      <w:r w:rsidRPr="00B878CC">
        <w:t>Clinical</w:t>
      </w:r>
      <w:r w:rsidRPr="00B878CC">
        <w:rPr>
          <w:lang w:val="en-US"/>
        </w:rPr>
        <w:t xml:space="preserve"> trials</w:t>
      </w:r>
    </w:p>
    <w:p w14:paraId="3E1476D9" w14:textId="77777777" w:rsidR="007D43DB" w:rsidRPr="00FF4079" w:rsidRDefault="007D43DB" w:rsidP="009A1DB7">
      <w:pPr>
        <w:pStyle w:val="Heading4"/>
      </w:pPr>
      <w:r w:rsidRPr="009A1DB7">
        <w:t>Acute Lymphoblastic Leukaemia in Adult Patients</w:t>
      </w:r>
    </w:p>
    <w:p w14:paraId="3220401E" w14:textId="051F0611" w:rsidR="007D43DB" w:rsidRDefault="007D43DB" w:rsidP="007D43DB">
      <w:pPr>
        <w:autoSpaceDE w:val="0"/>
        <w:autoSpaceDN w:val="0"/>
        <w:adjustRightInd w:val="0"/>
        <w:spacing w:line="360" w:lineRule="auto"/>
        <w:rPr>
          <w:rFonts w:ascii="Arial" w:hAnsi="Arial" w:cs="Arial"/>
          <w:color w:val="000000"/>
        </w:rPr>
      </w:pPr>
      <w:r>
        <w:rPr>
          <w:rFonts w:ascii="Arial" w:hAnsi="Arial" w:cs="Arial"/>
          <w:color w:val="000000"/>
        </w:rPr>
        <w:t xml:space="preserve">A total of </w:t>
      </w:r>
      <w:r w:rsidR="00E03BBE" w:rsidRPr="00E42047">
        <w:rPr>
          <w:rFonts w:ascii="Arial" w:hAnsi="Arial" w:cs="Arial"/>
          <w:color w:val="000000" w:themeColor="text1"/>
        </w:rPr>
        <w:t>706</w:t>
      </w:r>
      <w:r w:rsidR="00F338DE">
        <w:rPr>
          <w:rFonts w:ascii="Arial" w:hAnsi="Arial" w:cs="Arial"/>
          <w:color w:val="000000"/>
        </w:rPr>
        <w:t> </w:t>
      </w:r>
      <w:r>
        <w:rPr>
          <w:rFonts w:ascii="Arial" w:hAnsi="Arial" w:cs="Arial"/>
          <w:color w:val="000000"/>
        </w:rPr>
        <w:t>patients aged ≥</w:t>
      </w:r>
      <w:r w:rsidR="00F338DE">
        <w:rPr>
          <w:rFonts w:ascii="Arial" w:hAnsi="Arial" w:cs="Arial"/>
          <w:color w:val="000000"/>
        </w:rPr>
        <w:t> </w:t>
      </w:r>
      <w:r>
        <w:rPr>
          <w:rFonts w:ascii="Arial" w:hAnsi="Arial" w:cs="Arial"/>
          <w:color w:val="000000"/>
        </w:rPr>
        <w:t>18</w:t>
      </w:r>
      <w:r w:rsidR="00F338DE">
        <w:rPr>
          <w:rFonts w:ascii="Arial" w:hAnsi="Arial" w:cs="Arial"/>
          <w:color w:val="000000"/>
        </w:rPr>
        <w:t> </w:t>
      </w:r>
      <w:r>
        <w:rPr>
          <w:rFonts w:ascii="Arial" w:hAnsi="Arial" w:cs="Arial"/>
          <w:color w:val="000000"/>
        </w:rPr>
        <w:t xml:space="preserve">years of age with relapsed or refractory B-precursor ALL were exposed to </w:t>
      </w:r>
      <w:proofErr w:type="spellStart"/>
      <w:r>
        <w:rPr>
          <w:rFonts w:ascii="Arial" w:hAnsi="Arial" w:cs="Arial"/>
          <w:color w:val="000000"/>
        </w:rPr>
        <w:t>Blincyto</w:t>
      </w:r>
      <w:proofErr w:type="spellEnd"/>
      <w:r>
        <w:rPr>
          <w:rFonts w:ascii="Arial" w:hAnsi="Arial" w:cs="Arial"/>
          <w:color w:val="000000"/>
        </w:rPr>
        <w:t xml:space="preserve"> during the phase</w:t>
      </w:r>
      <w:r w:rsidR="00F338DE">
        <w:rPr>
          <w:rFonts w:ascii="Arial" w:hAnsi="Arial" w:cs="Arial"/>
          <w:color w:val="000000"/>
        </w:rPr>
        <w:t> </w:t>
      </w:r>
      <w:r>
        <w:rPr>
          <w:rFonts w:ascii="Arial" w:hAnsi="Arial" w:cs="Arial"/>
          <w:color w:val="000000"/>
        </w:rPr>
        <w:t>II and phase</w:t>
      </w:r>
      <w:r w:rsidR="00F338DE">
        <w:rPr>
          <w:rFonts w:ascii="Arial" w:hAnsi="Arial" w:cs="Arial"/>
          <w:color w:val="000000"/>
        </w:rPr>
        <w:t> </w:t>
      </w:r>
      <w:r>
        <w:rPr>
          <w:rFonts w:ascii="Arial" w:hAnsi="Arial" w:cs="Arial"/>
          <w:color w:val="000000"/>
        </w:rPr>
        <w:t>III clinical studies described below.</w:t>
      </w:r>
    </w:p>
    <w:p w14:paraId="1A489E36" w14:textId="69C634B9" w:rsidR="007D43DB" w:rsidRPr="00E42047" w:rsidRDefault="007D43DB" w:rsidP="007D43DB">
      <w:pPr>
        <w:autoSpaceDE w:val="0"/>
        <w:autoSpaceDN w:val="0"/>
        <w:adjustRightInd w:val="0"/>
        <w:spacing w:line="360" w:lineRule="auto"/>
        <w:rPr>
          <w:rFonts w:ascii="Arial" w:hAnsi="Arial" w:cs="Arial"/>
          <w:color w:val="000000" w:themeColor="text1"/>
        </w:rPr>
      </w:pPr>
      <w:r w:rsidRPr="009A1F5F">
        <w:rPr>
          <w:rFonts w:ascii="Arial" w:hAnsi="Arial" w:cs="Arial"/>
          <w:color w:val="000000"/>
        </w:rPr>
        <w:t>In Study</w:t>
      </w:r>
      <w:r w:rsidR="00F338DE">
        <w:rPr>
          <w:rFonts w:ascii="Arial" w:hAnsi="Arial" w:cs="Arial"/>
          <w:color w:val="000000"/>
        </w:rPr>
        <w:t> </w:t>
      </w:r>
      <w:r w:rsidRPr="009A1F5F">
        <w:rPr>
          <w:rFonts w:ascii="Arial" w:hAnsi="Arial" w:cs="Arial"/>
          <w:color w:val="000000"/>
        </w:rPr>
        <w:t xml:space="preserve">1, the safety and efficacy of </w:t>
      </w:r>
      <w:proofErr w:type="spellStart"/>
      <w:r w:rsidRPr="009A1F5F">
        <w:rPr>
          <w:rFonts w:ascii="Arial" w:hAnsi="Arial" w:cs="Arial"/>
        </w:rPr>
        <w:t>Blincyto</w:t>
      </w:r>
      <w:proofErr w:type="spellEnd"/>
      <w:r w:rsidRPr="009A1F5F">
        <w:rPr>
          <w:rFonts w:ascii="Arial" w:hAnsi="Arial" w:cs="Arial"/>
        </w:rPr>
        <w:t xml:space="preserve"> compared to </w:t>
      </w:r>
      <w:r w:rsidRPr="009A1F5F">
        <w:rPr>
          <w:rFonts w:ascii="Arial" w:hAnsi="Arial" w:cs="Arial"/>
          <w:color w:val="000000"/>
        </w:rPr>
        <w:t>standard of care (SOC) chemotherapy were evaluated in a randomi</w:t>
      </w:r>
      <w:r>
        <w:rPr>
          <w:rFonts w:ascii="Arial" w:hAnsi="Arial" w:cs="Arial"/>
          <w:color w:val="000000"/>
        </w:rPr>
        <w:t>s</w:t>
      </w:r>
      <w:r w:rsidRPr="009A1F5F">
        <w:rPr>
          <w:rFonts w:ascii="Arial" w:hAnsi="Arial" w:cs="Arial"/>
          <w:color w:val="000000"/>
        </w:rPr>
        <w:t xml:space="preserve">ed, open-label, multicentre study.  Eligible patients were </w:t>
      </w:r>
      <w:r w:rsidRPr="009A1F5F">
        <w:rPr>
          <w:rFonts w:ascii="Arial" w:hAnsi="Arial" w:cs="Arial"/>
        </w:rPr>
        <w:t xml:space="preserve">≥ 18 years of age </w:t>
      </w:r>
      <w:r w:rsidRPr="00E42047">
        <w:rPr>
          <w:rFonts w:ascii="Arial" w:hAnsi="Arial" w:cs="Arial"/>
          <w:color w:val="000000" w:themeColor="text1"/>
        </w:rPr>
        <w:t xml:space="preserve">with </w:t>
      </w:r>
      <w:r w:rsidR="00E03BBE" w:rsidRPr="00E42047">
        <w:rPr>
          <w:rFonts w:ascii="Arial" w:hAnsi="Arial" w:cs="Arial"/>
          <w:color w:val="000000" w:themeColor="text1"/>
          <w:lang w:eastAsia="en-AU"/>
        </w:rPr>
        <w:t>Philadelphia chromosome-negative</w:t>
      </w:r>
      <w:r w:rsidR="00E03BBE" w:rsidRPr="00E42047">
        <w:rPr>
          <w:rFonts w:ascii="Arial" w:hAnsi="Arial" w:cs="Arial"/>
          <w:color w:val="000000" w:themeColor="text1"/>
        </w:rPr>
        <w:t xml:space="preserve"> </w:t>
      </w:r>
      <w:r w:rsidRPr="00E42047">
        <w:rPr>
          <w:rFonts w:ascii="Arial" w:hAnsi="Arial" w:cs="Arial"/>
          <w:color w:val="000000" w:themeColor="text1"/>
        </w:rPr>
        <w:t>relapsed or refractory B-cell precursor ALL</w:t>
      </w:r>
      <w:r w:rsidR="00992303">
        <w:rPr>
          <w:rFonts w:ascii="Arial" w:hAnsi="Arial" w:cs="Arial"/>
          <w:color w:val="000000" w:themeColor="text1"/>
        </w:rPr>
        <w:t xml:space="preserve"> </w:t>
      </w:r>
      <w:r w:rsidR="00E03BBE" w:rsidRPr="00E42047">
        <w:rPr>
          <w:rFonts w:ascii="Arial" w:hAnsi="Arial" w:cs="Arial"/>
          <w:color w:val="000000" w:themeColor="text1"/>
        </w:rPr>
        <w:t>(had &gt; 5% blasts in the bone marrow and either relapse at any time after allogeneic haematopoietic stem cell transplantation [</w:t>
      </w:r>
      <w:proofErr w:type="spellStart"/>
      <w:r w:rsidR="00E03BBE" w:rsidRPr="00E42047">
        <w:rPr>
          <w:rFonts w:ascii="Arial" w:hAnsi="Arial" w:cs="Arial"/>
          <w:color w:val="000000" w:themeColor="text1"/>
        </w:rPr>
        <w:t>alloHSCT</w:t>
      </w:r>
      <w:proofErr w:type="spellEnd"/>
      <w:r w:rsidR="00E03BBE" w:rsidRPr="00E42047">
        <w:rPr>
          <w:rFonts w:ascii="Arial" w:hAnsi="Arial" w:cs="Arial"/>
          <w:color w:val="000000" w:themeColor="text1"/>
        </w:rPr>
        <w:t>], untreated first relapse with first remission duration &lt; 12 months, or refractory to last therapy)</w:t>
      </w:r>
      <w:r w:rsidRPr="00E42047">
        <w:rPr>
          <w:rFonts w:ascii="Arial" w:hAnsi="Arial" w:cs="Arial"/>
          <w:color w:val="000000" w:themeColor="text1"/>
        </w:rPr>
        <w:t>.</w:t>
      </w:r>
    </w:p>
    <w:p w14:paraId="6EEA32E3" w14:textId="77777777" w:rsidR="007D43DB" w:rsidRDefault="007D43DB" w:rsidP="007D43DB">
      <w:pPr>
        <w:autoSpaceDE w:val="0"/>
        <w:autoSpaceDN w:val="0"/>
        <w:adjustRightInd w:val="0"/>
        <w:spacing w:line="360" w:lineRule="auto"/>
        <w:rPr>
          <w:rFonts w:ascii="Arial" w:hAnsi="Arial" w:cs="Arial"/>
        </w:rPr>
      </w:pPr>
      <w:r w:rsidRPr="009A1F5F">
        <w:rPr>
          <w:rFonts w:ascii="Arial" w:hAnsi="Arial" w:cs="Arial"/>
        </w:rPr>
        <w:t>Patients were randomi</w:t>
      </w:r>
      <w:r>
        <w:rPr>
          <w:rFonts w:ascii="Arial" w:hAnsi="Arial" w:cs="Arial"/>
        </w:rPr>
        <w:t>s</w:t>
      </w:r>
      <w:r w:rsidRPr="009A1F5F">
        <w:rPr>
          <w:rFonts w:ascii="Arial" w:hAnsi="Arial" w:cs="Arial"/>
        </w:rPr>
        <w:t xml:space="preserve">ed 2:1 to receive </w:t>
      </w:r>
      <w:proofErr w:type="spellStart"/>
      <w:r w:rsidRPr="009A1F5F">
        <w:rPr>
          <w:rFonts w:ascii="Arial" w:hAnsi="Arial" w:cs="Arial"/>
        </w:rPr>
        <w:t>Blincyto</w:t>
      </w:r>
      <w:proofErr w:type="spellEnd"/>
      <w:r w:rsidRPr="009A1F5F">
        <w:rPr>
          <w:rFonts w:ascii="Arial" w:hAnsi="Arial" w:cs="Arial"/>
        </w:rPr>
        <w:t xml:space="preserve"> or 1 of 4</w:t>
      </w:r>
      <w:r w:rsidR="00F338DE">
        <w:rPr>
          <w:rFonts w:ascii="Arial" w:hAnsi="Arial" w:cs="Arial"/>
        </w:rPr>
        <w:t> </w:t>
      </w:r>
      <w:proofErr w:type="spellStart"/>
      <w:r w:rsidRPr="009A1F5F">
        <w:rPr>
          <w:rFonts w:ascii="Arial" w:hAnsi="Arial" w:cs="Arial"/>
        </w:rPr>
        <w:t>prespecified</w:t>
      </w:r>
      <w:proofErr w:type="spellEnd"/>
      <w:r w:rsidRPr="009A1F5F">
        <w:rPr>
          <w:rFonts w:ascii="Arial" w:hAnsi="Arial" w:cs="Arial"/>
        </w:rPr>
        <w:t>, investigator-selected, SOC chemotherapy regimens.  Randomi</w:t>
      </w:r>
      <w:r>
        <w:rPr>
          <w:rFonts w:ascii="Arial" w:hAnsi="Arial" w:cs="Arial"/>
        </w:rPr>
        <w:t>s</w:t>
      </w:r>
      <w:r w:rsidRPr="009A1F5F">
        <w:rPr>
          <w:rFonts w:ascii="Arial" w:hAnsi="Arial" w:cs="Arial"/>
        </w:rPr>
        <w:t>ation was stratified by age (&lt;</w:t>
      </w:r>
      <w:r w:rsidR="00476D6F">
        <w:rPr>
          <w:rFonts w:ascii="Arial" w:hAnsi="Arial" w:cs="Arial"/>
        </w:rPr>
        <w:t> </w:t>
      </w:r>
      <w:r w:rsidRPr="009A1F5F">
        <w:rPr>
          <w:rFonts w:ascii="Arial" w:hAnsi="Arial" w:cs="Arial"/>
        </w:rPr>
        <w:t>35</w:t>
      </w:r>
      <w:r w:rsidR="00F338DE">
        <w:rPr>
          <w:rFonts w:ascii="Arial" w:hAnsi="Arial" w:cs="Arial"/>
        </w:rPr>
        <w:t> </w:t>
      </w:r>
      <w:r w:rsidRPr="009A1F5F">
        <w:rPr>
          <w:rFonts w:ascii="Arial" w:hAnsi="Arial" w:cs="Arial"/>
        </w:rPr>
        <w:t>years versus ≥</w:t>
      </w:r>
      <w:r w:rsidR="00476D6F">
        <w:rPr>
          <w:rFonts w:ascii="Arial" w:hAnsi="Arial" w:cs="Arial"/>
        </w:rPr>
        <w:t> </w:t>
      </w:r>
      <w:r w:rsidRPr="009A1F5F">
        <w:rPr>
          <w:rFonts w:ascii="Arial" w:hAnsi="Arial" w:cs="Arial"/>
        </w:rPr>
        <w:t xml:space="preserve">35 years of age), prior salvage therapy (yes versus no), and prior </w:t>
      </w:r>
      <w:proofErr w:type="spellStart"/>
      <w:r w:rsidRPr="009A1F5F">
        <w:rPr>
          <w:rFonts w:ascii="Arial" w:hAnsi="Arial" w:cs="Arial"/>
        </w:rPr>
        <w:t>alloHSCT</w:t>
      </w:r>
      <w:proofErr w:type="spellEnd"/>
      <w:r w:rsidRPr="009A1F5F">
        <w:rPr>
          <w:rFonts w:ascii="Arial" w:hAnsi="Arial" w:cs="Arial"/>
        </w:rPr>
        <w:t xml:space="preserve"> (yes versus no) as assessed at the time of consent.  The demographics and baseline characteristics were well</w:t>
      </w:r>
      <w:r w:rsidRPr="009A1F5F">
        <w:rPr>
          <w:rFonts w:ascii="Arial" w:hAnsi="Arial" w:cs="Arial"/>
        </w:rPr>
        <w:noBreakHyphen/>
        <w:t xml:space="preserve">balanced between the two </w:t>
      </w:r>
      <w:r w:rsidRPr="008B6F57">
        <w:rPr>
          <w:rFonts w:ascii="Arial" w:hAnsi="Arial" w:cs="Arial"/>
        </w:rPr>
        <w:t>arms (see Table</w:t>
      </w:r>
      <w:r w:rsidR="00476D6F">
        <w:rPr>
          <w:rFonts w:ascii="Arial" w:hAnsi="Arial" w:cs="Arial"/>
        </w:rPr>
        <w:t> 9</w:t>
      </w:r>
      <w:r w:rsidRPr="008B6F57">
        <w:rPr>
          <w:rFonts w:ascii="Arial" w:hAnsi="Arial" w:cs="Arial"/>
        </w:rPr>
        <w:t>).</w:t>
      </w:r>
    </w:p>
    <w:p w14:paraId="63C87BC4" w14:textId="3B4AD4A7" w:rsidR="005774DA" w:rsidRDefault="007D43DB" w:rsidP="005774DA">
      <w:pPr>
        <w:pStyle w:val="Caption"/>
      </w:pPr>
      <w:bookmarkStart w:id="20" w:name="_Ref438548492"/>
      <w:r w:rsidRPr="008B6F57">
        <w:lastRenderedPageBreak/>
        <w:t>Table</w:t>
      </w:r>
      <w:bookmarkEnd w:id="20"/>
      <w:r w:rsidR="005774DA">
        <w:t> </w:t>
      </w:r>
      <w:r w:rsidR="009A1DB7">
        <w:t>9</w:t>
      </w:r>
      <w:r w:rsidRPr="008B6F57">
        <w:t>.</w:t>
      </w:r>
      <w:r w:rsidRPr="00C97471">
        <w:t xml:space="preserve"> </w:t>
      </w:r>
      <w:r w:rsidR="005774DA">
        <w:t xml:space="preserve"> </w:t>
      </w:r>
      <w:r w:rsidRPr="00C97471">
        <w:t xml:space="preserve">Demographics and </w:t>
      </w:r>
      <w:r w:rsidR="00E42047">
        <w:t>B</w:t>
      </w:r>
      <w:r w:rsidRPr="00C97471">
        <w:t xml:space="preserve">aseline </w:t>
      </w:r>
      <w:r w:rsidR="00E42047">
        <w:t>C</w:t>
      </w:r>
      <w:r w:rsidRPr="00C97471">
        <w:t xml:space="preserve">haracteristics in </w:t>
      </w:r>
      <w:r w:rsidR="00E42047">
        <w:t>P</w:t>
      </w:r>
      <w:r w:rsidRPr="00C97471">
        <w:t>hase</w:t>
      </w:r>
      <w:r w:rsidR="005774DA">
        <w:t> </w:t>
      </w:r>
      <w:r w:rsidRPr="00C97471">
        <w:t xml:space="preserve">III </w:t>
      </w:r>
      <w:r w:rsidR="00E42047">
        <w:t>S</w:t>
      </w:r>
      <w:r w:rsidRPr="00C97471">
        <w:t>tudy</w:t>
      </w:r>
    </w:p>
    <w:tbl>
      <w:tblPr>
        <w:tblW w:w="4716" w:type="pct"/>
        <w:jc w:val="center"/>
        <w:tblLayout w:type="fixed"/>
        <w:tblLook w:val="01E0" w:firstRow="1" w:lastRow="1" w:firstColumn="1" w:lastColumn="1" w:noHBand="0" w:noVBand="0"/>
      </w:tblPr>
      <w:tblGrid>
        <w:gridCol w:w="4119"/>
        <w:gridCol w:w="2046"/>
        <w:gridCol w:w="2329"/>
      </w:tblGrid>
      <w:tr w:rsidR="00207F17" w:rsidRPr="001F33C1" w14:paraId="6D254BAA" w14:textId="77777777" w:rsidTr="00B520AC">
        <w:trPr>
          <w:cantSplit/>
          <w:trHeight w:val="50"/>
          <w:tblHeader/>
          <w:jc w:val="center"/>
        </w:trPr>
        <w:tc>
          <w:tcPr>
            <w:tcW w:w="4119" w:type="dxa"/>
            <w:tcBorders>
              <w:top w:val="single" w:sz="8" w:space="0" w:color="auto"/>
              <w:left w:val="single" w:sz="8" w:space="0" w:color="auto"/>
              <w:bottom w:val="single" w:sz="8" w:space="0" w:color="auto"/>
            </w:tcBorders>
            <w:vAlign w:val="center"/>
          </w:tcPr>
          <w:p w14:paraId="1D40F9BA" w14:textId="77777777" w:rsidR="00207F17" w:rsidRPr="00FF11C4" w:rsidRDefault="00207F17" w:rsidP="00695792">
            <w:pPr>
              <w:pStyle w:val="TableColumnHead"/>
              <w:widowControl/>
              <w:spacing w:after="40"/>
              <w:rPr>
                <w:rFonts w:ascii="Arial" w:hAnsi="Arial" w:cs="Arial"/>
              </w:rPr>
            </w:pPr>
            <w:bookmarkStart w:id="21" w:name="_Hlk479757259"/>
            <w:r w:rsidRPr="00FF11C4">
              <w:rPr>
                <w:rFonts w:ascii="Arial" w:hAnsi="Arial" w:cs="Arial"/>
              </w:rPr>
              <w:t>Characteristic</w:t>
            </w:r>
          </w:p>
        </w:tc>
        <w:tc>
          <w:tcPr>
            <w:tcW w:w="2046" w:type="dxa"/>
            <w:tcBorders>
              <w:top w:val="single" w:sz="8" w:space="0" w:color="auto"/>
              <w:bottom w:val="single" w:sz="8" w:space="0" w:color="auto"/>
            </w:tcBorders>
            <w:vAlign w:val="bottom"/>
          </w:tcPr>
          <w:p w14:paraId="60B92125" w14:textId="40ABEC3E" w:rsidR="00207F17" w:rsidRPr="00FF11C4" w:rsidRDefault="00207F17" w:rsidP="00695792">
            <w:pPr>
              <w:pStyle w:val="TableColumnHead"/>
              <w:widowControl/>
              <w:spacing w:after="40"/>
              <w:rPr>
                <w:rFonts w:ascii="Arial" w:hAnsi="Arial" w:cs="Arial"/>
              </w:rPr>
            </w:pPr>
            <w:proofErr w:type="spellStart"/>
            <w:r w:rsidRPr="00FF11C4">
              <w:rPr>
                <w:rFonts w:ascii="Arial" w:hAnsi="Arial" w:cs="Arial"/>
              </w:rPr>
              <w:t>Blincyto</w:t>
            </w:r>
            <w:proofErr w:type="spellEnd"/>
            <w:r w:rsidRPr="00FF11C4">
              <w:rPr>
                <w:rFonts w:ascii="Arial" w:hAnsi="Arial" w:cs="Arial"/>
              </w:rPr>
              <w:br/>
              <w:t>(N = 271)</w:t>
            </w:r>
          </w:p>
        </w:tc>
        <w:tc>
          <w:tcPr>
            <w:tcW w:w="2329" w:type="dxa"/>
            <w:tcBorders>
              <w:top w:val="single" w:sz="8" w:space="0" w:color="auto"/>
              <w:bottom w:val="single" w:sz="8" w:space="0" w:color="auto"/>
              <w:right w:val="single" w:sz="8" w:space="0" w:color="auto"/>
            </w:tcBorders>
            <w:vAlign w:val="bottom"/>
          </w:tcPr>
          <w:p w14:paraId="39397AB5" w14:textId="4ECCF885" w:rsidR="00207F17" w:rsidRPr="00FF11C4" w:rsidRDefault="00207F17" w:rsidP="00695792">
            <w:pPr>
              <w:pStyle w:val="TableColumnHead"/>
              <w:widowControl/>
              <w:spacing w:after="40"/>
              <w:rPr>
                <w:rFonts w:ascii="Arial" w:hAnsi="Arial" w:cs="Arial"/>
              </w:rPr>
            </w:pPr>
            <w:r w:rsidRPr="00FF11C4">
              <w:rPr>
                <w:rFonts w:ascii="Arial" w:hAnsi="Arial" w:cs="Arial"/>
              </w:rPr>
              <w:t xml:space="preserve">SOC </w:t>
            </w:r>
            <w:proofErr w:type="spellStart"/>
            <w:r w:rsidRPr="00FF11C4">
              <w:rPr>
                <w:rFonts w:ascii="Arial" w:hAnsi="Arial" w:cs="Arial"/>
              </w:rPr>
              <w:t>Chemotherapy</w:t>
            </w:r>
            <w:r w:rsidRPr="00FF11C4">
              <w:rPr>
                <w:rFonts w:ascii="Arial" w:hAnsi="Arial" w:cs="Arial"/>
                <w:b w:val="0"/>
                <w:vertAlign w:val="superscript"/>
              </w:rPr>
              <w:t>a</w:t>
            </w:r>
            <w:proofErr w:type="spellEnd"/>
            <w:r w:rsidRPr="00FF11C4">
              <w:rPr>
                <w:rFonts w:ascii="Arial" w:hAnsi="Arial" w:cs="Arial"/>
              </w:rPr>
              <w:br/>
              <w:t>(N = 134)</w:t>
            </w:r>
          </w:p>
        </w:tc>
      </w:tr>
      <w:bookmarkEnd w:id="21"/>
      <w:tr w:rsidR="00207F17" w:rsidRPr="001F33C1" w14:paraId="5D9A892F" w14:textId="77777777" w:rsidTr="00B520AC">
        <w:trPr>
          <w:trHeight w:val="20"/>
          <w:tblHeader/>
          <w:jc w:val="center"/>
        </w:trPr>
        <w:tc>
          <w:tcPr>
            <w:tcW w:w="8494" w:type="dxa"/>
            <w:gridSpan w:val="3"/>
            <w:tcBorders>
              <w:top w:val="single" w:sz="8" w:space="0" w:color="auto"/>
              <w:left w:val="single" w:sz="8" w:space="0" w:color="auto"/>
              <w:right w:val="single" w:sz="8" w:space="0" w:color="auto"/>
            </w:tcBorders>
          </w:tcPr>
          <w:p w14:paraId="4AD4B7C3" w14:textId="4987AA83" w:rsidR="00207F17" w:rsidRPr="00FF11C4" w:rsidRDefault="00207F17" w:rsidP="00695792">
            <w:pPr>
              <w:pStyle w:val="TableTextCenter"/>
              <w:keepLines/>
              <w:spacing w:before="40" w:after="40"/>
              <w:jc w:val="left"/>
              <w:rPr>
                <w:rFonts w:ascii="Arial" w:hAnsi="Arial" w:cs="Arial"/>
                <w:szCs w:val="20"/>
              </w:rPr>
            </w:pPr>
            <w:r w:rsidRPr="00FF11C4">
              <w:rPr>
                <w:rFonts w:ascii="Arial" w:hAnsi="Arial" w:cs="Arial"/>
                <w:szCs w:val="20"/>
              </w:rPr>
              <w:t>Age</w:t>
            </w:r>
          </w:p>
        </w:tc>
      </w:tr>
      <w:tr w:rsidR="00207F17" w:rsidRPr="001F33C1" w14:paraId="0990819E" w14:textId="77777777" w:rsidTr="00B520AC">
        <w:trPr>
          <w:trHeight w:val="20"/>
          <w:tblHeader/>
          <w:jc w:val="center"/>
        </w:trPr>
        <w:tc>
          <w:tcPr>
            <w:tcW w:w="4119" w:type="dxa"/>
            <w:tcBorders>
              <w:left w:val="single" w:sz="8" w:space="0" w:color="auto"/>
            </w:tcBorders>
          </w:tcPr>
          <w:p w14:paraId="0C8DA5A5"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Median, years (min, max)</w:t>
            </w:r>
          </w:p>
        </w:tc>
        <w:tc>
          <w:tcPr>
            <w:tcW w:w="2046" w:type="dxa"/>
          </w:tcPr>
          <w:p w14:paraId="289AB462" w14:textId="1723F62A"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37 (18, 80)</w:t>
            </w:r>
          </w:p>
        </w:tc>
        <w:tc>
          <w:tcPr>
            <w:tcW w:w="2329" w:type="dxa"/>
            <w:tcBorders>
              <w:right w:val="single" w:sz="8" w:space="0" w:color="auto"/>
            </w:tcBorders>
          </w:tcPr>
          <w:p w14:paraId="116923D6"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37 (18, 78)</w:t>
            </w:r>
          </w:p>
        </w:tc>
      </w:tr>
      <w:tr w:rsidR="00207F17" w:rsidRPr="001F33C1" w14:paraId="5180D2FC" w14:textId="77777777" w:rsidTr="00B520AC">
        <w:trPr>
          <w:trHeight w:val="161"/>
          <w:tblHeader/>
          <w:jc w:val="center"/>
        </w:trPr>
        <w:tc>
          <w:tcPr>
            <w:tcW w:w="4119" w:type="dxa"/>
            <w:tcBorders>
              <w:left w:val="single" w:sz="8" w:space="0" w:color="auto"/>
            </w:tcBorders>
          </w:tcPr>
          <w:p w14:paraId="07C938B5" w14:textId="77777777" w:rsidR="00207F17" w:rsidRPr="00FF11C4" w:rsidRDefault="00207F17" w:rsidP="00207F17">
            <w:pPr>
              <w:keepNext/>
              <w:keepLines/>
              <w:tabs>
                <w:tab w:val="left" w:pos="308"/>
              </w:tabs>
              <w:autoSpaceDE w:val="0"/>
              <w:autoSpaceDN w:val="0"/>
              <w:adjustRightInd w:val="0"/>
              <w:spacing w:before="40" w:after="40" w:line="240" w:lineRule="auto"/>
              <w:ind w:left="720" w:hanging="412"/>
              <w:rPr>
                <w:rFonts w:ascii="Arial" w:hAnsi="Arial" w:cs="Arial"/>
                <w:sz w:val="20"/>
                <w:szCs w:val="20"/>
              </w:rPr>
            </w:pPr>
            <w:r w:rsidRPr="00FF11C4">
              <w:rPr>
                <w:rFonts w:ascii="Arial" w:hAnsi="Arial" w:cs="Arial"/>
                <w:sz w:val="20"/>
                <w:szCs w:val="20"/>
              </w:rPr>
              <w:t>Mean, years (SD)</w:t>
            </w:r>
          </w:p>
        </w:tc>
        <w:tc>
          <w:tcPr>
            <w:tcW w:w="2046" w:type="dxa"/>
          </w:tcPr>
          <w:p w14:paraId="6B0CE50B" w14:textId="59A7762C" w:rsidR="00207F17" w:rsidRPr="00FF11C4" w:rsidRDefault="00207F17" w:rsidP="00207F17">
            <w:pPr>
              <w:pStyle w:val="TableTextCenter"/>
              <w:keepLines/>
              <w:spacing w:before="40" w:after="40"/>
              <w:rPr>
                <w:rFonts w:ascii="Arial" w:hAnsi="Arial" w:cs="Arial"/>
                <w:szCs w:val="20"/>
                <w:lang w:val="en-GB"/>
              </w:rPr>
            </w:pPr>
            <w:r w:rsidRPr="00FF11C4">
              <w:rPr>
                <w:rFonts w:ascii="Arial" w:hAnsi="Arial" w:cs="Arial"/>
                <w:szCs w:val="20"/>
                <w:lang w:val="en-GB"/>
              </w:rPr>
              <w:t>40.8 (17.1)</w:t>
            </w:r>
          </w:p>
        </w:tc>
        <w:tc>
          <w:tcPr>
            <w:tcW w:w="2329" w:type="dxa"/>
            <w:tcBorders>
              <w:right w:val="single" w:sz="8" w:space="0" w:color="auto"/>
            </w:tcBorders>
          </w:tcPr>
          <w:p w14:paraId="56A9F74B"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lang w:val="en-GB"/>
              </w:rPr>
              <w:t>41.1 (17.3)</w:t>
            </w:r>
          </w:p>
        </w:tc>
      </w:tr>
      <w:tr w:rsidR="00207F17" w:rsidRPr="001F33C1" w14:paraId="2C50C517" w14:textId="77777777" w:rsidTr="00B520AC">
        <w:trPr>
          <w:trHeight w:val="161"/>
          <w:tblHeader/>
          <w:jc w:val="center"/>
        </w:trPr>
        <w:tc>
          <w:tcPr>
            <w:tcW w:w="4119" w:type="dxa"/>
            <w:tcBorders>
              <w:left w:val="single" w:sz="4" w:space="0" w:color="auto"/>
            </w:tcBorders>
          </w:tcPr>
          <w:p w14:paraId="562AE61C"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&lt; 35 years, n (%)</w:t>
            </w:r>
          </w:p>
        </w:tc>
        <w:tc>
          <w:tcPr>
            <w:tcW w:w="2046" w:type="dxa"/>
          </w:tcPr>
          <w:p w14:paraId="09163309" w14:textId="086D4E11"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123 (45.4)</w:t>
            </w:r>
          </w:p>
        </w:tc>
        <w:tc>
          <w:tcPr>
            <w:tcW w:w="2329" w:type="dxa"/>
            <w:tcBorders>
              <w:right w:val="single" w:sz="4" w:space="0" w:color="auto"/>
            </w:tcBorders>
          </w:tcPr>
          <w:p w14:paraId="69884876"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60 (44.8)</w:t>
            </w:r>
          </w:p>
        </w:tc>
      </w:tr>
      <w:tr w:rsidR="00207F17" w:rsidRPr="001F33C1" w14:paraId="395239D6" w14:textId="77777777" w:rsidTr="00B520AC">
        <w:trPr>
          <w:trHeight w:val="161"/>
          <w:tblHeader/>
          <w:jc w:val="center"/>
        </w:trPr>
        <w:tc>
          <w:tcPr>
            <w:tcW w:w="4119" w:type="dxa"/>
            <w:tcBorders>
              <w:left w:val="single" w:sz="4" w:space="0" w:color="auto"/>
            </w:tcBorders>
          </w:tcPr>
          <w:p w14:paraId="31A5BE40"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 35 years, n (%)</w:t>
            </w:r>
          </w:p>
        </w:tc>
        <w:tc>
          <w:tcPr>
            <w:tcW w:w="2046" w:type="dxa"/>
          </w:tcPr>
          <w:p w14:paraId="16AE08BF" w14:textId="64589653"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148 (54.6)</w:t>
            </w:r>
          </w:p>
        </w:tc>
        <w:tc>
          <w:tcPr>
            <w:tcW w:w="2329" w:type="dxa"/>
            <w:tcBorders>
              <w:right w:val="single" w:sz="4" w:space="0" w:color="auto"/>
            </w:tcBorders>
          </w:tcPr>
          <w:p w14:paraId="60124E49"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74 (55.2)</w:t>
            </w:r>
          </w:p>
        </w:tc>
      </w:tr>
      <w:tr w:rsidR="00207F17" w:rsidRPr="001F33C1" w14:paraId="1E83C745" w14:textId="77777777" w:rsidTr="00B520AC">
        <w:trPr>
          <w:trHeight w:val="161"/>
          <w:tblHeader/>
          <w:jc w:val="center"/>
        </w:trPr>
        <w:tc>
          <w:tcPr>
            <w:tcW w:w="4119" w:type="dxa"/>
            <w:tcBorders>
              <w:left w:val="single" w:sz="4" w:space="0" w:color="auto"/>
            </w:tcBorders>
          </w:tcPr>
          <w:p w14:paraId="22818F20" w14:textId="41B0B920" w:rsidR="00207F17" w:rsidRPr="00945C42"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945C42">
              <w:rPr>
                <w:rFonts w:ascii="Arial" w:hAnsi="Arial" w:cs="Arial"/>
                <w:sz w:val="20"/>
                <w:szCs w:val="20"/>
              </w:rPr>
              <w:tab/>
              <w:t>≥ 65 </w:t>
            </w:r>
            <w:r>
              <w:rPr>
                <w:rFonts w:ascii="Arial" w:hAnsi="Arial" w:cs="Arial"/>
                <w:sz w:val="20"/>
                <w:szCs w:val="20"/>
              </w:rPr>
              <w:t>y</w:t>
            </w:r>
            <w:r w:rsidRPr="00945C42">
              <w:rPr>
                <w:rFonts w:ascii="Arial" w:hAnsi="Arial" w:cs="Arial"/>
                <w:color w:val="000000" w:themeColor="text1"/>
                <w:sz w:val="20"/>
                <w:szCs w:val="20"/>
              </w:rPr>
              <w:t>ears</w:t>
            </w:r>
            <w:r w:rsidRPr="00945C42">
              <w:rPr>
                <w:rFonts w:ascii="Arial" w:hAnsi="Arial" w:cs="Arial"/>
                <w:sz w:val="20"/>
                <w:szCs w:val="20"/>
              </w:rPr>
              <w:t>, n (%)</w:t>
            </w:r>
          </w:p>
        </w:tc>
        <w:tc>
          <w:tcPr>
            <w:tcW w:w="2046" w:type="dxa"/>
          </w:tcPr>
          <w:p w14:paraId="5D05EC2C" w14:textId="358BD82D"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33 (12.2)</w:t>
            </w:r>
          </w:p>
        </w:tc>
        <w:tc>
          <w:tcPr>
            <w:tcW w:w="2329" w:type="dxa"/>
            <w:tcBorders>
              <w:right w:val="single" w:sz="4" w:space="0" w:color="auto"/>
            </w:tcBorders>
          </w:tcPr>
          <w:p w14:paraId="7B3E4256"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15 (11.2)</w:t>
            </w:r>
          </w:p>
        </w:tc>
      </w:tr>
      <w:tr w:rsidR="00207F17" w:rsidRPr="001F33C1" w14:paraId="08A841C0" w14:textId="77777777" w:rsidTr="00B520AC">
        <w:trPr>
          <w:trHeight w:val="161"/>
          <w:tblHeader/>
          <w:jc w:val="center"/>
        </w:trPr>
        <w:tc>
          <w:tcPr>
            <w:tcW w:w="4119" w:type="dxa"/>
            <w:tcBorders>
              <w:left w:val="single" w:sz="4" w:space="0" w:color="auto"/>
            </w:tcBorders>
          </w:tcPr>
          <w:p w14:paraId="40805671" w14:textId="4A184B34" w:rsidR="00207F17" w:rsidRPr="00945C42"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945C42">
              <w:rPr>
                <w:rFonts w:ascii="Arial" w:hAnsi="Arial" w:cs="Arial"/>
                <w:sz w:val="20"/>
                <w:szCs w:val="20"/>
              </w:rPr>
              <w:tab/>
              <w:t>≥ 75 </w:t>
            </w:r>
            <w:r>
              <w:rPr>
                <w:rFonts w:ascii="Arial" w:hAnsi="Arial" w:cs="Arial"/>
                <w:sz w:val="20"/>
                <w:szCs w:val="20"/>
              </w:rPr>
              <w:t>y</w:t>
            </w:r>
            <w:r w:rsidRPr="00945C42">
              <w:rPr>
                <w:rFonts w:ascii="Arial" w:hAnsi="Arial" w:cs="Arial"/>
                <w:sz w:val="20"/>
                <w:szCs w:val="20"/>
              </w:rPr>
              <w:t>ears, n (%)</w:t>
            </w:r>
          </w:p>
        </w:tc>
        <w:tc>
          <w:tcPr>
            <w:tcW w:w="2046" w:type="dxa"/>
          </w:tcPr>
          <w:p w14:paraId="539F49E6" w14:textId="50F11103"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10 (3.7)</w:t>
            </w:r>
          </w:p>
        </w:tc>
        <w:tc>
          <w:tcPr>
            <w:tcW w:w="2329" w:type="dxa"/>
            <w:tcBorders>
              <w:right w:val="single" w:sz="4" w:space="0" w:color="auto"/>
            </w:tcBorders>
          </w:tcPr>
          <w:p w14:paraId="6EC14CB2" w14:textId="77777777" w:rsidR="00207F17" w:rsidRPr="00FF11C4" w:rsidRDefault="00207F17" w:rsidP="00207F17">
            <w:pPr>
              <w:pStyle w:val="TableTextCenter"/>
              <w:keepLines/>
              <w:spacing w:before="40" w:after="40"/>
              <w:rPr>
                <w:rFonts w:ascii="Arial" w:hAnsi="Arial" w:cs="Arial"/>
                <w:szCs w:val="20"/>
              </w:rPr>
            </w:pPr>
            <w:r w:rsidRPr="00FF11C4">
              <w:rPr>
                <w:rFonts w:ascii="Arial" w:hAnsi="Arial" w:cs="Arial"/>
                <w:szCs w:val="20"/>
              </w:rPr>
              <w:t>2 (1.5)</w:t>
            </w:r>
          </w:p>
        </w:tc>
      </w:tr>
      <w:tr w:rsidR="00207F17" w:rsidRPr="001F33C1" w14:paraId="4C1931E3" w14:textId="77777777" w:rsidTr="00B520AC">
        <w:trPr>
          <w:trHeight w:val="258"/>
          <w:tblHeader/>
          <w:jc w:val="center"/>
        </w:trPr>
        <w:tc>
          <w:tcPr>
            <w:tcW w:w="4119" w:type="dxa"/>
            <w:tcBorders>
              <w:left w:val="single" w:sz="8" w:space="0" w:color="auto"/>
            </w:tcBorders>
          </w:tcPr>
          <w:p w14:paraId="39EF2A9B" w14:textId="77777777" w:rsidR="00207F17" w:rsidRPr="00FF11C4" w:rsidRDefault="00207F17" w:rsidP="00207F17">
            <w:pPr>
              <w:tabs>
                <w:tab w:val="left" w:pos="308"/>
              </w:tabs>
              <w:autoSpaceDE w:val="0"/>
              <w:autoSpaceDN w:val="0"/>
              <w:adjustRightInd w:val="0"/>
              <w:spacing w:before="40" w:after="40" w:line="240" w:lineRule="auto"/>
              <w:ind w:left="102" w:hanging="78"/>
              <w:rPr>
                <w:rFonts w:ascii="Arial" w:hAnsi="Arial" w:cs="Arial"/>
                <w:sz w:val="20"/>
                <w:szCs w:val="20"/>
              </w:rPr>
            </w:pPr>
            <w:r w:rsidRPr="00FF11C4">
              <w:rPr>
                <w:rFonts w:ascii="Arial" w:hAnsi="Arial" w:cs="Arial"/>
                <w:sz w:val="20"/>
                <w:szCs w:val="20"/>
              </w:rPr>
              <w:t>Males, n (%)</w:t>
            </w:r>
          </w:p>
        </w:tc>
        <w:tc>
          <w:tcPr>
            <w:tcW w:w="2046" w:type="dxa"/>
          </w:tcPr>
          <w:p w14:paraId="389E19FF" w14:textId="4B2671B0"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162 (59.8)</w:t>
            </w:r>
          </w:p>
        </w:tc>
        <w:tc>
          <w:tcPr>
            <w:tcW w:w="2329" w:type="dxa"/>
            <w:tcBorders>
              <w:right w:val="single" w:sz="8" w:space="0" w:color="auto"/>
            </w:tcBorders>
          </w:tcPr>
          <w:p w14:paraId="380C54AD" w14:textId="77777777"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77 (57.5)</w:t>
            </w:r>
          </w:p>
        </w:tc>
      </w:tr>
      <w:tr w:rsidR="00207F17" w:rsidRPr="001F33C1" w14:paraId="56193740" w14:textId="77777777" w:rsidTr="00B520AC">
        <w:trPr>
          <w:trHeight w:val="20"/>
          <w:tblHeader/>
          <w:jc w:val="center"/>
        </w:trPr>
        <w:tc>
          <w:tcPr>
            <w:tcW w:w="8494" w:type="dxa"/>
            <w:gridSpan w:val="3"/>
            <w:tcBorders>
              <w:left w:val="single" w:sz="8" w:space="0" w:color="auto"/>
              <w:right w:val="single" w:sz="8" w:space="0" w:color="auto"/>
            </w:tcBorders>
          </w:tcPr>
          <w:p w14:paraId="7D9B9E6A" w14:textId="63253B42" w:rsidR="00207F17" w:rsidRPr="00FF11C4" w:rsidRDefault="00207F17" w:rsidP="00207F17">
            <w:pPr>
              <w:tabs>
                <w:tab w:val="left" w:pos="308"/>
              </w:tabs>
              <w:autoSpaceDE w:val="0"/>
              <w:autoSpaceDN w:val="0"/>
              <w:adjustRightInd w:val="0"/>
              <w:spacing w:before="40" w:after="40" w:line="240" w:lineRule="auto"/>
              <w:ind w:left="102" w:hanging="78"/>
              <w:rPr>
                <w:rFonts w:ascii="Arial" w:hAnsi="Arial" w:cs="Arial"/>
                <w:sz w:val="20"/>
                <w:szCs w:val="20"/>
              </w:rPr>
            </w:pPr>
            <w:r w:rsidRPr="00FF11C4">
              <w:rPr>
                <w:rFonts w:ascii="Arial" w:hAnsi="Arial" w:cs="Arial"/>
                <w:sz w:val="20"/>
                <w:szCs w:val="20"/>
              </w:rPr>
              <w:t>Race, n (%)</w:t>
            </w:r>
          </w:p>
        </w:tc>
      </w:tr>
      <w:tr w:rsidR="00207F17" w:rsidRPr="001F33C1" w14:paraId="172E80B7" w14:textId="77777777" w:rsidTr="00B520AC">
        <w:trPr>
          <w:trHeight w:val="20"/>
          <w:tblHeader/>
          <w:jc w:val="center"/>
        </w:trPr>
        <w:tc>
          <w:tcPr>
            <w:tcW w:w="4119" w:type="dxa"/>
            <w:tcBorders>
              <w:left w:val="single" w:sz="8" w:space="0" w:color="auto"/>
            </w:tcBorders>
            <w:vAlign w:val="center"/>
          </w:tcPr>
          <w:p w14:paraId="20697E13"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American Indian or Alaska Native</w:t>
            </w:r>
          </w:p>
        </w:tc>
        <w:tc>
          <w:tcPr>
            <w:tcW w:w="2046" w:type="dxa"/>
          </w:tcPr>
          <w:p w14:paraId="12E33108" w14:textId="2C0DDD12"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4 (1.5)</w:t>
            </w:r>
          </w:p>
        </w:tc>
        <w:tc>
          <w:tcPr>
            <w:tcW w:w="2329" w:type="dxa"/>
            <w:tcBorders>
              <w:right w:val="single" w:sz="8" w:space="0" w:color="auto"/>
            </w:tcBorders>
          </w:tcPr>
          <w:p w14:paraId="1793ABB2" w14:textId="77777777"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1 (0.7)</w:t>
            </w:r>
          </w:p>
        </w:tc>
      </w:tr>
      <w:tr w:rsidR="00207F17" w:rsidRPr="001F33C1" w14:paraId="242901A8" w14:textId="77777777" w:rsidTr="00B520AC">
        <w:trPr>
          <w:trHeight w:val="20"/>
          <w:tblHeader/>
          <w:jc w:val="center"/>
        </w:trPr>
        <w:tc>
          <w:tcPr>
            <w:tcW w:w="4119" w:type="dxa"/>
            <w:tcBorders>
              <w:left w:val="single" w:sz="8" w:space="0" w:color="auto"/>
            </w:tcBorders>
            <w:vAlign w:val="center"/>
          </w:tcPr>
          <w:p w14:paraId="6E0CB708"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Asian</w:t>
            </w:r>
          </w:p>
        </w:tc>
        <w:tc>
          <w:tcPr>
            <w:tcW w:w="2046" w:type="dxa"/>
          </w:tcPr>
          <w:p w14:paraId="1F98143B" w14:textId="2AE6D21F"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19 (7.0)</w:t>
            </w:r>
          </w:p>
        </w:tc>
        <w:tc>
          <w:tcPr>
            <w:tcW w:w="2329" w:type="dxa"/>
            <w:tcBorders>
              <w:right w:val="single" w:sz="8" w:space="0" w:color="auto"/>
            </w:tcBorders>
          </w:tcPr>
          <w:p w14:paraId="5D586BB6" w14:textId="77777777"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9 (6.7)</w:t>
            </w:r>
          </w:p>
        </w:tc>
      </w:tr>
      <w:tr w:rsidR="00207F17" w:rsidRPr="001F33C1" w14:paraId="641F5100" w14:textId="77777777" w:rsidTr="00B520AC">
        <w:trPr>
          <w:trHeight w:val="20"/>
          <w:tblHeader/>
          <w:jc w:val="center"/>
        </w:trPr>
        <w:tc>
          <w:tcPr>
            <w:tcW w:w="4119" w:type="dxa"/>
            <w:tcBorders>
              <w:left w:val="single" w:sz="8" w:space="0" w:color="auto"/>
            </w:tcBorders>
            <w:vAlign w:val="center"/>
          </w:tcPr>
          <w:p w14:paraId="54314A05"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Black (or African American)</w:t>
            </w:r>
          </w:p>
        </w:tc>
        <w:tc>
          <w:tcPr>
            <w:tcW w:w="2046" w:type="dxa"/>
          </w:tcPr>
          <w:p w14:paraId="279BDBF2" w14:textId="7417B188"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5 (1.8)</w:t>
            </w:r>
          </w:p>
        </w:tc>
        <w:tc>
          <w:tcPr>
            <w:tcW w:w="2329" w:type="dxa"/>
            <w:tcBorders>
              <w:right w:val="single" w:sz="8" w:space="0" w:color="auto"/>
            </w:tcBorders>
          </w:tcPr>
          <w:p w14:paraId="28D3E5B0" w14:textId="77777777"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3 (2.2)</w:t>
            </w:r>
          </w:p>
        </w:tc>
      </w:tr>
      <w:tr w:rsidR="00207F17" w:rsidRPr="001F33C1" w14:paraId="72B3537A" w14:textId="77777777" w:rsidTr="00B520AC">
        <w:trPr>
          <w:trHeight w:val="20"/>
          <w:tblHeader/>
          <w:jc w:val="center"/>
        </w:trPr>
        <w:tc>
          <w:tcPr>
            <w:tcW w:w="4119" w:type="dxa"/>
            <w:tcBorders>
              <w:left w:val="single" w:sz="8" w:space="0" w:color="auto"/>
            </w:tcBorders>
            <w:vAlign w:val="center"/>
          </w:tcPr>
          <w:p w14:paraId="20736975" w14:textId="77777777" w:rsidR="00207F17" w:rsidRPr="00FF11C4" w:rsidRDefault="00207F17" w:rsidP="00207F17">
            <w:pPr>
              <w:keepNext/>
              <w:keepLines/>
              <w:tabs>
                <w:tab w:val="left" w:pos="308"/>
              </w:tabs>
              <w:autoSpaceDE w:val="0"/>
              <w:autoSpaceDN w:val="0"/>
              <w:adjustRightInd w:val="0"/>
              <w:spacing w:before="40" w:after="40" w:line="240" w:lineRule="auto"/>
              <w:ind w:left="102"/>
              <w:rPr>
                <w:rFonts w:ascii="Arial" w:hAnsi="Arial" w:cs="Arial"/>
                <w:sz w:val="20"/>
                <w:szCs w:val="20"/>
              </w:rPr>
            </w:pPr>
            <w:r w:rsidRPr="00FF11C4">
              <w:rPr>
                <w:rFonts w:ascii="Arial" w:hAnsi="Arial" w:cs="Arial"/>
                <w:sz w:val="20"/>
                <w:szCs w:val="20"/>
              </w:rPr>
              <w:tab/>
              <w:t>Multiple</w:t>
            </w:r>
          </w:p>
        </w:tc>
        <w:tc>
          <w:tcPr>
            <w:tcW w:w="2046" w:type="dxa"/>
          </w:tcPr>
          <w:p w14:paraId="51F0813B" w14:textId="4C02B4CA"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2 (0.7)</w:t>
            </w:r>
          </w:p>
        </w:tc>
        <w:tc>
          <w:tcPr>
            <w:tcW w:w="2329" w:type="dxa"/>
            <w:tcBorders>
              <w:right w:val="single" w:sz="8" w:space="0" w:color="auto"/>
            </w:tcBorders>
          </w:tcPr>
          <w:p w14:paraId="7C20002A" w14:textId="77777777" w:rsidR="00207F17" w:rsidRPr="00FF11C4" w:rsidRDefault="00207F17" w:rsidP="00207F17">
            <w:pPr>
              <w:pStyle w:val="TableTextCenter"/>
              <w:keepNext w:val="0"/>
              <w:spacing w:before="40" w:after="40"/>
              <w:rPr>
                <w:rFonts w:ascii="Arial" w:hAnsi="Arial" w:cs="Arial"/>
                <w:szCs w:val="20"/>
              </w:rPr>
            </w:pPr>
            <w:r w:rsidRPr="00FF11C4">
              <w:rPr>
                <w:rFonts w:ascii="Arial" w:hAnsi="Arial" w:cs="Arial"/>
                <w:szCs w:val="20"/>
              </w:rPr>
              <w:t>0</w:t>
            </w:r>
          </w:p>
        </w:tc>
      </w:tr>
      <w:tr w:rsidR="00207F17" w:rsidRPr="001F33C1" w14:paraId="5BEA72F6" w14:textId="77777777" w:rsidTr="00B520AC">
        <w:trPr>
          <w:trHeight w:val="20"/>
          <w:tblHeader/>
          <w:jc w:val="center"/>
        </w:trPr>
        <w:tc>
          <w:tcPr>
            <w:tcW w:w="4119" w:type="dxa"/>
            <w:tcBorders>
              <w:left w:val="single" w:sz="8" w:space="0" w:color="auto"/>
            </w:tcBorders>
            <w:vAlign w:val="center"/>
          </w:tcPr>
          <w:p w14:paraId="649651D9" w14:textId="77777777" w:rsidR="00207F17" w:rsidRPr="00E42047" w:rsidRDefault="00207F17" w:rsidP="00207F17">
            <w:pPr>
              <w:keepNext/>
              <w:keepLines/>
              <w:tabs>
                <w:tab w:val="left" w:pos="308"/>
              </w:tabs>
              <w:autoSpaceDE w:val="0"/>
              <w:autoSpaceDN w:val="0"/>
              <w:adjustRightInd w:val="0"/>
              <w:spacing w:before="40" w:after="40" w:line="240" w:lineRule="auto"/>
              <w:ind w:left="308" w:hanging="206"/>
              <w:rPr>
                <w:rFonts w:ascii="Arial" w:hAnsi="Arial" w:cs="Arial"/>
                <w:color w:val="000000" w:themeColor="text1"/>
                <w:sz w:val="20"/>
                <w:szCs w:val="20"/>
              </w:rPr>
            </w:pPr>
            <w:r w:rsidRPr="00E42047">
              <w:rPr>
                <w:rFonts w:ascii="Arial" w:hAnsi="Arial" w:cs="Arial"/>
                <w:color w:val="000000" w:themeColor="text1"/>
                <w:sz w:val="20"/>
                <w:szCs w:val="20"/>
              </w:rPr>
              <w:tab/>
              <w:t>Native Hawaiian or Other Pacific Islander</w:t>
            </w:r>
          </w:p>
        </w:tc>
        <w:tc>
          <w:tcPr>
            <w:tcW w:w="2046" w:type="dxa"/>
          </w:tcPr>
          <w:p w14:paraId="4CE3D587" w14:textId="1EDE8DB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 (0.4)</w:t>
            </w:r>
          </w:p>
        </w:tc>
        <w:tc>
          <w:tcPr>
            <w:tcW w:w="2329" w:type="dxa"/>
            <w:tcBorders>
              <w:right w:val="single" w:sz="8" w:space="0" w:color="auto"/>
            </w:tcBorders>
          </w:tcPr>
          <w:p w14:paraId="1E591E41" w14:textId="7A2DB46F"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0 (0.0)</w:t>
            </w:r>
          </w:p>
        </w:tc>
      </w:tr>
      <w:tr w:rsidR="00207F17" w:rsidRPr="001F33C1" w14:paraId="2BC89EBE" w14:textId="77777777" w:rsidTr="00B520AC">
        <w:trPr>
          <w:trHeight w:val="20"/>
          <w:tblHeader/>
          <w:jc w:val="center"/>
        </w:trPr>
        <w:tc>
          <w:tcPr>
            <w:tcW w:w="4119" w:type="dxa"/>
            <w:tcBorders>
              <w:left w:val="single" w:sz="8" w:space="0" w:color="auto"/>
            </w:tcBorders>
            <w:vAlign w:val="center"/>
          </w:tcPr>
          <w:p w14:paraId="4C492EEB" w14:textId="77777777" w:rsidR="00207F17" w:rsidRPr="00E42047" w:rsidRDefault="00207F17" w:rsidP="00207F17">
            <w:pPr>
              <w:pStyle w:val="TableTextLeft"/>
              <w:keepNext w:val="0"/>
              <w:tabs>
                <w:tab w:val="left" w:pos="308"/>
                <w:tab w:val="left" w:pos="372"/>
              </w:tabs>
              <w:spacing w:before="40" w:after="40"/>
              <w:ind w:left="372" w:hanging="206"/>
              <w:rPr>
                <w:rFonts w:ascii="Arial" w:hAnsi="Arial" w:cs="Arial"/>
                <w:color w:val="000000" w:themeColor="text1"/>
                <w:szCs w:val="20"/>
              </w:rPr>
            </w:pPr>
            <w:r w:rsidRPr="00E42047">
              <w:rPr>
                <w:rFonts w:ascii="Arial" w:hAnsi="Arial" w:cs="Arial"/>
                <w:color w:val="000000" w:themeColor="text1"/>
                <w:szCs w:val="20"/>
              </w:rPr>
              <w:tab/>
              <w:t>Other</w:t>
            </w:r>
          </w:p>
        </w:tc>
        <w:tc>
          <w:tcPr>
            <w:tcW w:w="2046" w:type="dxa"/>
          </w:tcPr>
          <w:p w14:paraId="5B2EE937" w14:textId="5AEF6146"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12 (4.4)</w:t>
            </w:r>
          </w:p>
        </w:tc>
        <w:tc>
          <w:tcPr>
            <w:tcW w:w="2329" w:type="dxa"/>
            <w:tcBorders>
              <w:right w:val="single" w:sz="8" w:space="0" w:color="auto"/>
            </w:tcBorders>
          </w:tcPr>
          <w:p w14:paraId="5CA4727A"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8 (6.0)</w:t>
            </w:r>
          </w:p>
        </w:tc>
      </w:tr>
      <w:tr w:rsidR="00207F17" w:rsidRPr="001F33C1" w14:paraId="6CE3DEAE" w14:textId="77777777" w:rsidTr="00B520AC">
        <w:trPr>
          <w:trHeight w:val="20"/>
          <w:tblHeader/>
          <w:jc w:val="center"/>
        </w:trPr>
        <w:tc>
          <w:tcPr>
            <w:tcW w:w="4119" w:type="dxa"/>
            <w:tcBorders>
              <w:left w:val="single" w:sz="8" w:space="0" w:color="auto"/>
            </w:tcBorders>
            <w:vAlign w:val="center"/>
          </w:tcPr>
          <w:p w14:paraId="4A7EB27E" w14:textId="77777777" w:rsidR="00207F17" w:rsidRPr="00E42047" w:rsidRDefault="00207F17" w:rsidP="00207F17">
            <w:pPr>
              <w:pStyle w:val="TableTextLeft"/>
              <w:keepNext w:val="0"/>
              <w:tabs>
                <w:tab w:val="left" w:pos="308"/>
                <w:tab w:val="left" w:pos="372"/>
              </w:tabs>
              <w:spacing w:before="40" w:after="40"/>
              <w:ind w:left="372" w:hanging="206"/>
              <w:rPr>
                <w:rFonts w:ascii="Arial" w:hAnsi="Arial" w:cs="Arial"/>
                <w:color w:val="000000" w:themeColor="text1"/>
                <w:szCs w:val="20"/>
              </w:rPr>
            </w:pPr>
            <w:r w:rsidRPr="00E42047">
              <w:rPr>
                <w:rFonts w:ascii="Arial" w:hAnsi="Arial" w:cs="Arial"/>
                <w:color w:val="000000" w:themeColor="text1"/>
                <w:szCs w:val="20"/>
              </w:rPr>
              <w:tab/>
              <w:t>White</w:t>
            </w:r>
          </w:p>
        </w:tc>
        <w:tc>
          <w:tcPr>
            <w:tcW w:w="2046" w:type="dxa"/>
          </w:tcPr>
          <w:p w14:paraId="25C5E2B1" w14:textId="2C739252"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228 (84.1)</w:t>
            </w:r>
          </w:p>
        </w:tc>
        <w:tc>
          <w:tcPr>
            <w:tcW w:w="2329" w:type="dxa"/>
            <w:tcBorders>
              <w:right w:val="single" w:sz="8" w:space="0" w:color="auto"/>
            </w:tcBorders>
          </w:tcPr>
          <w:p w14:paraId="0250B2B1"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112 (83.6)</w:t>
            </w:r>
          </w:p>
        </w:tc>
      </w:tr>
      <w:tr w:rsidR="00207F17" w:rsidRPr="001F33C1" w14:paraId="25676645" w14:textId="77777777" w:rsidTr="00B520AC">
        <w:trPr>
          <w:trHeight w:val="20"/>
          <w:tblHeader/>
          <w:jc w:val="center"/>
        </w:trPr>
        <w:tc>
          <w:tcPr>
            <w:tcW w:w="4119" w:type="dxa"/>
            <w:tcBorders>
              <w:left w:val="single" w:sz="8" w:space="0" w:color="auto"/>
            </w:tcBorders>
          </w:tcPr>
          <w:p w14:paraId="7CE2A3C2" w14:textId="77777777" w:rsidR="00207F17" w:rsidRPr="00E42047" w:rsidRDefault="00207F17" w:rsidP="00207F17">
            <w:pPr>
              <w:pStyle w:val="TableTextLeft"/>
              <w:keepNext w:val="0"/>
              <w:tabs>
                <w:tab w:val="left" w:pos="308"/>
                <w:tab w:val="left" w:pos="372"/>
              </w:tabs>
              <w:spacing w:before="40" w:after="40"/>
              <w:rPr>
                <w:rFonts w:ascii="Arial" w:hAnsi="Arial" w:cs="Arial"/>
                <w:color w:val="000000" w:themeColor="text1"/>
                <w:szCs w:val="20"/>
              </w:rPr>
            </w:pPr>
            <w:r w:rsidRPr="00E42047">
              <w:rPr>
                <w:rFonts w:ascii="Arial" w:hAnsi="Arial" w:cs="Arial"/>
                <w:color w:val="000000" w:themeColor="text1"/>
                <w:szCs w:val="20"/>
              </w:rPr>
              <w:t>Prior salvage therapy</w:t>
            </w:r>
          </w:p>
        </w:tc>
        <w:tc>
          <w:tcPr>
            <w:tcW w:w="2046" w:type="dxa"/>
            <w:vAlign w:val="center"/>
          </w:tcPr>
          <w:p w14:paraId="2EBEA9EA" w14:textId="68C13019"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164 (60.5)</w:t>
            </w:r>
          </w:p>
        </w:tc>
        <w:tc>
          <w:tcPr>
            <w:tcW w:w="2329" w:type="dxa"/>
            <w:tcBorders>
              <w:right w:val="single" w:sz="8" w:space="0" w:color="auto"/>
            </w:tcBorders>
            <w:vAlign w:val="center"/>
          </w:tcPr>
          <w:p w14:paraId="34C930F1"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80 (59.7)</w:t>
            </w:r>
          </w:p>
        </w:tc>
      </w:tr>
      <w:tr w:rsidR="00207F17" w:rsidRPr="001F33C1" w14:paraId="5F6C54CD" w14:textId="77777777" w:rsidTr="00B520AC">
        <w:trPr>
          <w:trHeight w:val="20"/>
          <w:tblHeader/>
          <w:jc w:val="center"/>
        </w:trPr>
        <w:tc>
          <w:tcPr>
            <w:tcW w:w="4119" w:type="dxa"/>
            <w:tcBorders>
              <w:left w:val="single" w:sz="8" w:space="0" w:color="auto"/>
            </w:tcBorders>
          </w:tcPr>
          <w:p w14:paraId="0ACB1AF2" w14:textId="77777777" w:rsidR="00207F17" w:rsidRPr="00E42047" w:rsidRDefault="00207F17" w:rsidP="00207F17">
            <w:pPr>
              <w:pStyle w:val="TableTextLeft"/>
              <w:keepNext w:val="0"/>
              <w:tabs>
                <w:tab w:val="left" w:pos="308"/>
                <w:tab w:val="left" w:pos="372"/>
              </w:tabs>
              <w:spacing w:before="40" w:after="40"/>
              <w:rPr>
                <w:rFonts w:ascii="Arial" w:hAnsi="Arial" w:cs="Arial"/>
                <w:color w:val="000000" w:themeColor="text1"/>
                <w:szCs w:val="20"/>
              </w:rPr>
            </w:pPr>
            <w:r w:rsidRPr="00E42047">
              <w:rPr>
                <w:rFonts w:ascii="Arial" w:hAnsi="Arial" w:cs="Arial"/>
                <w:color w:val="000000" w:themeColor="text1"/>
                <w:szCs w:val="20"/>
              </w:rPr>
              <w:t xml:space="preserve">Prior </w:t>
            </w:r>
            <w:proofErr w:type="spellStart"/>
            <w:r w:rsidRPr="00E42047">
              <w:rPr>
                <w:rFonts w:ascii="Arial" w:hAnsi="Arial" w:cs="Arial"/>
                <w:color w:val="000000" w:themeColor="text1"/>
                <w:szCs w:val="20"/>
              </w:rPr>
              <w:t>alloHSCT</w:t>
            </w:r>
            <w:r w:rsidRPr="00E42047">
              <w:rPr>
                <w:rFonts w:ascii="Arial" w:hAnsi="Arial" w:cs="Arial"/>
                <w:color w:val="000000" w:themeColor="text1"/>
                <w:szCs w:val="20"/>
                <w:vertAlign w:val="superscript"/>
              </w:rPr>
              <w:t>b</w:t>
            </w:r>
            <w:proofErr w:type="spellEnd"/>
            <w:r w:rsidRPr="00E42047">
              <w:rPr>
                <w:rFonts w:ascii="Arial" w:hAnsi="Arial" w:cs="Arial"/>
                <w:color w:val="000000" w:themeColor="text1"/>
                <w:szCs w:val="20"/>
              </w:rPr>
              <w:t xml:space="preserve"> </w:t>
            </w:r>
          </w:p>
        </w:tc>
        <w:tc>
          <w:tcPr>
            <w:tcW w:w="2046" w:type="dxa"/>
            <w:vAlign w:val="center"/>
          </w:tcPr>
          <w:p w14:paraId="2586EC7B" w14:textId="565F26E4"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94 (34.7)</w:t>
            </w:r>
          </w:p>
        </w:tc>
        <w:tc>
          <w:tcPr>
            <w:tcW w:w="2329" w:type="dxa"/>
            <w:tcBorders>
              <w:right w:val="single" w:sz="8" w:space="0" w:color="auto"/>
            </w:tcBorders>
            <w:vAlign w:val="center"/>
          </w:tcPr>
          <w:p w14:paraId="0FEBAD84"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46 (34.3)</w:t>
            </w:r>
          </w:p>
        </w:tc>
      </w:tr>
      <w:tr w:rsidR="00207F17" w:rsidRPr="001F33C1" w14:paraId="07AA1EB3" w14:textId="77777777" w:rsidTr="00B520AC">
        <w:trPr>
          <w:trHeight w:val="20"/>
          <w:tblHeader/>
          <w:jc w:val="center"/>
        </w:trPr>
        <w:tc>
          <w:tcPr>
            <w:tcW w:w="8494" w:type="dxa"/>
            <w:gridSpan w:val="3"/>
            <w:tcBorders>
              <w:left w:val="single" w:sz="8" w:space="0" w:color="auto"/>
              <w:right w:val="single" w:sz="8" w:space="0" w:color="auto"/>
            </w:tcBorders>
          </w:tcPr>
          <w:p w14:paraId="59FE30FC" w14:textId="354D5662" w:rsidR="00207F17" w:rsidRPr="00992303" w:rsidRDefault="00207F17" w:rsidP="00207F17">
            <w:pPr>
              <w:pStyle w:val="TableTextCenter"/>
              <w:keepNext w:val="0"/>
              <w:spacing w:before="40" w:after="40"/>
              <w:jc w:val="left"/>
              <w:rPr>
                <w:rFonts w:ascii="Arial" w:hAnsi="Arial" w:cs="Arial"/>
                <w:color w:val="000000" w:themeColor="text1"/>
                <w:szCs w:val="20"/>
                <w:u w:val="single"/>
              </w:rPr>
            </w:pPr>
            <w:r w:rsidRPr="00E42047">
              <w:rPr>
                <w:rFonts w:ascii="Arial" w:hAnsi="Arial" w:cs="Arial"/>
                <w:color w:val="000000" w:themeColor="text1"/>
                <w:szCs w:val="20"/>
              </w:rPr>
              <w:t>Eastern Cooperative Group Status - n (%)</w:t>
            </w:r>
          </w:p>
        </w:tc>
      </w:tr>
      <w:tr w:rsidR="00207F17" w:rsidRPr="001F33C1" w14:paraId="6E8E67C2" w14:textId="77777777" w:rsidTr="00B520AC">
        <w:trPr>
          <w:trHeight w:val="20"/>
          <w:tblHeader/>
          <w:jc w:val="center"/>
        </w:trPr>
        <w:tc>
          <w:tcPr>
            <w:tcW w:w="4119" w:type="dxa"/>
            <w:tcBorders>
              <w:left w:val="single" w:sz="8" w:space="0" w:color="auto"/>
            </w:tcBorders>
          </w:tcPr>
          <w:p w14:paraId="246862C4"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0</w:t>
            </w:r>
          </w:p>
        </w:tc>
        <w:tc>
          <w:tcPr>
            <w:tcW w:w="2046" w:type="dxa"/>
            <w:vAlign w:val="center"/>
          </w:tcPr>
          <w:p w14:paraId="376C3A0D" w14:textId="542A3F69"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96 (35.4)</w:t>
            </w:r>
          </w:p>
        </w:tc>
        <w:tc>
          <w:tcPr>
            <w:tcW w:w="2329" w:type="dxa"/>
            <w:tcBorders>
              <w:right w:val="single" w:sz="8" w:space="0" w:color="auto"/>
            </w:tcBorders>
            <w:vAlign w:val="center"/>
          </w:tcPr>
          <w:p w14:paraId="7D6A355F"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52 (38.8)</w:t>
            </w:r>
          </w:p>
        </w:tc>
      </w:tr>
      <w:tr w:rsidR="00207F17" w:rsidRPr="001F33C1" w14:paraId="50661D6E" w14:textId="77777777" w:rsidTr="00B520AC">
        <w:trPr>
          <w:trHeight w:val="20"/>
          <w:tblHeader/>
          <w:jc w:val="center"/>
        </w:trPr>
        <w:tc>
          <w:tcPr>
            <w:tcW w:w="4119" w:type="dxa"/>
            <w:tcBorders>
              <w:left w:val="single" w:sz="8" w:space="0" w:color="auto"/>
            </w:tcBorders>
          </w:tcPr>
          <w:p w14:paraId="682F6D31"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1</w:t>
            </w:r>
          </w:p>
        </w:tc>
        <w:tc>
          <w:tcPr>
            <w:tcW w:w="2046" w:type="dxa"/>
            <w:vAlign w:val="center"/>
          </w:tcPr>
          <w:p w14:paraId="52EF27F9" w14:textId="73CF77C8"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134 (49.4)</w:t>
            </w:r>
          </w:p>
        </w:tc>
        <w:tc>
          <w:tcPr>
            <w:tcW w:w="2329" w:type="dxa"/>
            <w:tcBorders>
              <w:right w:val="single" w:sz="8" w:space="0" w:color="auto"/>
            </w:tcBorders>
            <w:vAlign w:val="center"/>
          </w:tcPr>
          <w:p w14:paraId="1939906B"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61 (45.5)</w:t>
            </w:r>
          </w:p>
        </w:tc>
      </w:tr>
      <w:tr w:rsidR="00207F17" w:rsidRPr="001F33C1" w14:paraId="497EE26F" w14:textId="77777777" w:rsidTr="00B520AC">
        <w:trPr>
          <w:trHeight w:val="20"/>
          <w:tblHeader/>
          <w:jc w:val="center"/>
        </w:trPr>
        <w:tc>
          <w:tcPr>
            <w:tcW w:w="4119" w:type="dxa"/>
            <w:tcBorders>
              <w:left w:val="single" w:sz="8" w:space="0" w:color="auto"/>
            </w:tcBorders>
          </w:tcPr>
          <w:p w14:paraId="7883E684"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2</w:t>
            </w:r>
          </w:p>
        </w:tc>
        <w:tc>
          <w:tcPr>
            <w:tcW w:w="2046" w:type="dxa"/>
            <w:vAlign w:val="center"/>
          </w:tcPr>
          <w:p w14:paraId="38E6CAB3" w14:textId="79332F49"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41 (15.1)</w:t>
            </w:r>
          </w:p>
        </w:tc>
        <w:tc>
          <w:tcPr>
            <w:tcW w:w="2329" w:type="dxa"/>
            <w:tcBorders>
              <w:right w:val="single" w:sz="8" w:space="0" w:color="auto"/>
            </w:tcBorders>
            <w:vAlign w:val="center"/>
          </w:tcPr>
          <w:p w14:paraId="6B236FA4"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20 (14.9)</w:t>
            </w:r>
          </w:p>
        </w:tc>
      </w:tr>
      <w:tr w:rsidR="00207F17" w:rsidRPr="001F33C1" w14:paraId="2FA4B4C8" w14:textId="77777777" w:rsidTr="00B520AC">
        <w:trPr>
          <w:trHeight w:val="20"/>
          <w:tblHeader/>
          <w:jc w:val="center"/>
        </w:trPr>
        <w:tc>
          <w:tcPr>
            <w:tcW w:w="4119" w:type="dxa"/>
            <w:tcBorders>
              <w:left w:val="single" w:sz="8" w:space="0" w:color="auto"/>
            </w:tcBorders>
          </w:tcPr>
          <w:p w14:paraId="23C19FE8"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Unknown</w:t>
            </w:r>
          </w:p>
        </w:tc>
        <w:tc>
          <w:tcPr>
            <w:tcW w:w="2046" w:type="dxa"/>
            <w:vAlign w:val="center"/>
          </w:tcPr>
          <w:p w14:paraId="213CDA6B" w14:textId="3BA9F8A2"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0</w:t>
            </w:r>
          </w:p>
        </w:tc>
        <w:tc>
          <w:tcPr>
            <w:tcW w:w="2329" w:type="dxa"/>
            <w:tcBorders>
              <w:right w:val="single" w:sz="8" w:space="0" w:color="auto"/>
            </w:tcBorders>
            <w:vAlign w:val="center"/>
          </w:tcPr>
          <w:p w14:paraId="2FC83BA3"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 (0.7)</w:t>
            </w:r>
          </w:p>
        </w:tc>
      </w:tr>
      <w:tr w:rsidR="005A4B40" w:rsidRPr="001F33C1" w14:paraId="42E7ABA4" w14:textId="77777777" w:rsidTr="005A4B40">
        <w:trPr>
          <w:trHeight w:val="20"/>
          <w:tblHeader/>
          <w:jc w:val="center"/>
        </w:trPr>
        <w:tc>
          <w:tcPr>
            <w:tcW w:w="8494" w:type="dxa"/>
            <w:gridSpan w:val="3"/>
            <w:tcBorders>
              <w:left w:val="single" w:sz="8" w:space="0" w:color="auto"/>
              <w:right w:val="single" w:sz="8" w:space="0" w:color="auto"/>
            </w:tcBorders>
          </w:tcPr>
          <w:p w14:paraId="6614B16E" w14:textId="14CCF071" w:rsidR="005A4B40" w:rsidRPr="00992303" w:rsidRDefault="005A4B40" w:rsidP="005A4B40">
            <w:pPr>
              <w:pStyle w:val="TableTextCenter"/>
              <w:keepNext w:val="0"/>
              <w:spacing w:before="40" w:after="40"/>
              <w:jc w:val="left"/>
              <w:rPr>
                <w:rFonts w:ascii="Arial" w:hAnsi="Arial" w:cs="Arial"/>
                <w:color w:val="000000" w:themeColor="text1"/>
                <w:szCs w:val="20"/>
              </w:rPr>
            </w:pPr>
            <w:r w:rsidRPr="00992303">
              <w:rPr>
                <w:rFonts w:ascii="Arial" w:hAnsi="Arial" w:cs="Arial"/>
                <w:color w:val="000000" w:themeColor="text1"/>
                <w:szCs w:val="20"/>
              </w:rPr>
              <w:t>Maximum of central/local bone marrow blasts - n (%)</w:t>
            </w:r>
          </w:p>
        </w:tc>
      </w:tr>
      <w:tr w:rsidR="00207F17" w:rsidRPr="001F33C1" w14:paraId="37BF2CCE" w14:textId="77777777" w:rsidTr="00B520AC">
        <w:trPr>
          <w:trHeight w:val="20"/>
          <w:tblHeader/>
          <w:jc w:val="center"/>
        </w:trPr>
        <w:tc>
          <w:tcPr>
            <w:tcW w:w="4119" w:type="dxa"/>
            <w:tcBorders>
              <w:left w:val="single" w:sz="8" w:space="0" w:color="auto"/>
            </w:tcBorders>
          </w:tcPr>
          <w:p w14:paraId="7018666D" w14:textId="77777777" w:rsidR="00207F17" w:rsidRPr="00E42047" w:rsidRDefault="00207F17" w:rsidP="00207F17">
            <w:pPr>
              <w:tabs>
                <w:tab w:val="left" w:pos="308"/>
                <w:tab w:val="left" w:pos="743"/>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Yes</w:t>
            </w:r>
          </w:p>
        </w:tc>
        <w:tc>
          <w:tcPr>
            <w:tcW w:w="2046" w:type="dxa"/>
            <w:vAlign w:val="center"/>
          </w:tcPr>
          <w:p w14:paraId="320D43BA" w14:textId="29994CDA"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87 (32.1)</w:t>
            </w:r>
          </w:p>
        </w:tc>
        <w:tc>
          <w:tcPr>
            <w:tcW w:w="2329" w:type="dxa"/>
            <w:tcBorders>
              <w:right w:val="single" w:sz="8" w:space="0" w:color="auto"/>
            </w:tcBorders>
            <w:vAlign w:val="center"/>
          </w:tcPr>
          <w:p w14:paraId="6B4456B4"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34 (25.4)</w:t>
            </w:r>
          </w:p>
        </w:tc>
      </w:tr>
      <w:tr w:rsidR="00207F17" w:rsidRPr="001F33C1" w14:paraId="5AA204DC" w14:textId="77777777" w:rsidTr="00B520AC">
        <w:trPr>
          <w:trHeight w:val="20"/>
          <w:tblHeader/>
          <w:jc w:val="center"/>
        </w:trPr>
        <w:tc>
          <w:tcPr>
            <w:tcW w:w="4119" w:type="dxa"/>
            <w:tcBorders>
              <w:left w:val="single" w:sz="8" w:space="0" w:color="auto"/>
            </w:tcBorders>
          </w:tcPr>
          <w:p w14:paraId="3C26A697"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No</w:t>
            </w:r>
          </w:p>
        </w:tc>
        <w:tc>
          <w:tcPr>
            <w:tcW w:w="2046" w:type="dxa"/>
            <w:vAlign w:val="center"/>
          </w:tcPr>
          <w:p w14:paraId="17724700" w14:textId="792613B2"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182 (67.2)</w:t>
            </w:r>
          </w:p>
        </w:tc>
        <w:tc>
          <w:tcPr>
            <w:tcW w:w="2329" w:type="dxa"/>
            <w:tcBorders>
              <w:right w:val="single" w:sz="8" w:space="0" w:color="auto"/>
            </w:tcBorders>
            <w:vAlign w:val="center"/>
          </w:tcPr>
          <w:p w14:paraId="55F95E43"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99 (73.9)</w:t>
            </w:r>
          </w:p>
        </w:tc>
      </w:tr>
      <w:tr w:rsidR="00207F17" w:rsidRPr="001F33C1" w14:paraId="26DB650E" w14:textId="77777777" w:rsidTr="00B520AC">
        <w:trPr>
          <w:trHeight w:val="20"/>
          <w:tblHeader/>
          <w:jc w:val="center"/>
        </w:trPr>
        <w:tc>
          <w:tcPr>
            <w:tcW w:w="4119" w:type="dxa"/>
            <w:tcBorders>
              <w:left w:val="single" w:sz="8" w:space="0" w:color="auto"/>
            </w:tcBorders>
          </w:tcPr>
          <w:p w14:paraId="14A14191"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Unknown</w:t>
            </w:r>
          </w:p>
        </w:tc>
        <w:tc>
          <w:tcPr>
            <w:tcW w:w="2046" w:type="dxa"/>
            <w:vAlign w:val="center"/>
          </w:tcPr>
          <w:p w14:paraId="14FC5742" w14:textId="44CE7EF6"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2 (0.7)</w:t>
            </w:r>
          </w:p>
        </w:tc>
        <w:tc>
          <w:tcPr>
            <w:tcW w:w="2329" w:type="dxa"/>
            <w:tcBorders>
              <w:right w:val="single" w:sz="8" w:space="0" w:color="auto"/>
            </w:tcBorders>
            <w:vAlign w:val="center"/>
          </w:tcPr>
          <w:p w14:paraId="550B201A"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 (0.7)</w:t>
            </w:r>
          </w:p>
        </w:tc>
      </w:tr>
      <w:tr w:rsidR="00207F17" w:rsidRPr="001F33C1" w14:paraId="7D101BC5" w14:textId="77777777" w:rsidTr="00B520AC">
        <w:trPr>
          <w:trHeight w:val="20"/>
          <w:tblHeader/>
          <w:jc w:val="center"/>
        </w:trPr>
        <w:tc>
          <w:tcPr>
            <w:tcW w:w="8494" w:type="dxa"/>
            <w:gridSpan w:val="3"/>
            <w:tcBorders>
              <w:left w:val="single" w:sz="8" w:space="0" w:color="auto"/>
              <w:right w:val="single" w:sz="8" w:space="0" w:color="auto"/>
            </w:tcBorders>
          </w:tcPr>
          <w:p w14:paraId="49C09B3C" w14:textId="1588FE83" w:rsidR="00207F17" w:rsidRPr="00E42047" w:rsidRDefault="00207F17" w:rsidP="00207F17">
            <w:pPr>
              <w:pStyle w:val="TableTextCenter"/>
              <w:keepNext w:val="0"/>
              <w:spacing w:before="40" w:after="40"/>
              <w:jc w:val="left"/>
              <w:rPr>
                <w:rFonts w:ascii="Arial" w:hAnsi="Arial" w:cs="Arial"/>
                <w:color w:val="000000" w:themeColor="text1"/>
                <w:szCs w:val="20"/>
              </w:rPr>
            </w:pPr>
            <w:r w:rsidRPr="00E42047">
              <w:rPr>
                <w:rFonts w:ascii="Arial" w:hAnsi="Arial" w:cs="Arial"/>
                <w:color w:val="000000" w:themeColor="text1"/>
                <w:szCs w:val="20"/>
              </w:rPr>
              <w:t>Maximum of central/local bone marrow blasts - n (%)</w:t>
            </w:r>
          </w:p>
        </w:tc>
      </w:tr>
      <w:tr w:rsidR="00207F17" w:rsidRPr="001F33C1" w14:paraId="551EBC07" w14:textId="77777777" w:rsidTr="00B520AC">
        <w:trPr>
          <w:trHeight w:val="20"/>
          <w:tblHeader/>
          <w:jc w:val="center"/>
        </w:trPr>
        <w:tc>
          <w:tcPr>
            <w:tcW w:w="4119" w:type="dxa"/>
            <w:tcBorders>
              <w:left w:val="single" w:sz="8" w:space="0" w:color="auto"/>
            </w:tcBorders>
          </w:tcPr>
          <w:p w14:paraId="6E063FA3"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 5%</w:t>
            </w:r>
          </w:p>
        </w:tc>
        <w:tc>
          <w:tcPr>
            <w:tcW w:w="2046" w:type="dxa"/>
            <w:vAlign w:val="center"/>
          </w:tcPr>
          <w:p w14:paraId="4F84F7A1" w14:textId="2E88307A"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0</w:t>
            </w:r>
          </w:p>
        </w:tc>
        <w:tc>
          <w:tcPr>
            <w:tcW w:w="2329" w:type="dxa"/>
            <w:tcBorders>
              <w:right w:val="single" w:sz="8" w:space="0" w:color="auto"/>
            </w:tcBorders>
            <w:vAlign w:val="center"/>
          </w:tcPr>
          <w:p w14:paraId="03CFC755"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0</w:t>
            </w:r>
          </w:p>
        </w:tc>
      </w:tr>
      <w:tr w:rsidR="00207F17" w:rsidRPr="001F33C1" w14:paraId="4CD7C684" w14:textId="77777777" w:rsidTr="00B520AC">
        <w:trPr>
          <w:trHeight w:val="20"/>
          <w:tblHeader/>
          <w:jc w:val="center"/>
        </w:trPr>
        <w:tc>
          <w:tcPr>
            <w:tcW w:w="4119" w:type="dxa"/>
            <w:tcBorders>
              <w:left w:val="single" w:sz="8" w:space="0" w:color="auto"/>
            </w:tcBorders>
          </w:tcPr>
          <w:p w14:paraId="17204E11"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&gt; 5 to &lt; 10%</w:t>
            </w:r>
          </w:p>
        </w:tc>
        <w:tc>
          <w:tcPr>
            <w:tcW w:w="2046" w:type="dxa"/>
            <w:vAlign w:val="center"/>
          </w:tcPr>
          <w:p w14:paraId="56FDADD8" w14:textId="39B8717E"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9 (3.3)</w:t>
            </w:r>
          </w:p>
        </w:tc>
        <w:tc>
          <w:tcPr>
            <w:tcW w:w="2329" w:type="dxa"/>
            <w:tcBorders>
              <w:right w:val="single" w:sz="8" w:space="0" w:color="auto"/>
            </w:tcBorders>
            <w:vAlign w:val="center"/>
          </w:tcPr>
          <w:p w14:paraId="682ACBC2"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7 (5.2)</w:t>
            </w:r>
          </w:p>
        </w:tc>
      </w:tr>
      <w:tr w:rsidR="00207F17" w:rsidRPr="001F33C1" w14:paraId="330625C6" w14:textId="77777777" w:rsidTr="00B520AC">
        <w:trPr>
          <w:trHeight w:val="20"/>
          <w:tblHeader/>
          <w:jc w:val="center"/>
        </w:trPr>
        <w:tc>
          <w:tcPr>
            <w:tcW w:w="4119" w:type="dxa"/>
            <w:tcBorders>
              <w:left w:val="single" w:sz="8" w:space="0" w:color="auto"/>
            </w:tcBorders>
          </w:tcPr>
          <w:p w14:paraId="0CE78528"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10 to &lt; 50%</w:t>
            </w:r>
          </w:p>
        </w:tc>
        <w:tc>
          <w:tcPr>
            <w:tcW w:w="2046" w:type="dxa"/>
            <w:vAlign w:val="center"/>
          </w:tcPr>
          <w:p w14:paraId="58E71EF1" w14:textId="73E6B8F3"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60 (22.1)</w:t>
            </w:r>
          </w:p>
        </w:tc>
        <w:tc>
          <w:tcPr>
            <w:tcW w:w="2329" w:type="dxa"/>
            <w:tcBorders>
              <w:right w:val="single" w:sz="8" w:space="0" w:color="auto"/>
            </w:tcBorders>
            <w:vAlign w:val="center"/>
          </w:tcPr>
          <w:p w14:paraId="013395CA"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23 (17.2)</w:t>
            </w:r>
          </w:p>
        </w:tc>
      </w:tr>
      <w:tr w:rsidR="00207F17" w:rsidRPr="001F33C1" w14:paraId="4355314F" w14:textId="77777777" w:rsidTr="00B520AC">
        <w:trPr>
          <w:trHeight w:val="20"/>
          <w:tblHeader/>
          <w:jc w:val="center"/>
        </w:trPr>
        <w:tc>
          <w:tcPr>
            <w:tcW w:w="4119" w:type="dxa"/>
            <w:tcBorders>
              <w:left w:val="single" w:sz="8" w:space="0" w:color="auto"/>
            </w:tcBorders>
          </w:tcPr>
          <w:p w14:paraId="0DE3EA09"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 50%</w:t>
            </w:r>
          </w:p>
        </w:tc>
        <w:tc>
          <w:tcPr>
            <w:tcW w:w="2046" w:type="dxa"/>
            <w:vAlign w:val="center"/>
          </w:tcPr>
          <w:p w14:paraId="10D01B24" w14:textId="75523BBC"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201 (74.2)</w:t>
            </w:r>
          </w:p>
        </w:tc>
        <w:tc>
          <w:tcPr>
            <w:tcW w:w="2329" w:type="dxa"/>
            <w:tcBorders>
              <w:right w:val="single" w:sz="8" w:space="0" w:color="auto"/>
            </w:tcBorders>
            <w:vAlign w:val="center"/>
          </w:tcPr>
          <w:p w14:paraId="47F2A949"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104 (77.6)</w:t>
            </w:r>
          </w:p>
        </w:tc>
      </w:tr>
      <w:tr w:rsidR="00207F17" w:rsidRPr="001F33C1" w14:paraId="44C3DC8D" w14:textId="77777777" w:rsidTr="00B520AC">
        <w:trPr>
          <w:trHeight w:val="20"/>
          <w:tblHeader/>
          <w:jc w:val="center"/>
        </w:trPr>
        <w:tc>
          <w:tcPr>
            <w:tcW w:w="4119" w:type="dxa"/>
            <w:tcBorders>
              <w:left w:val="single" w:sz="8" w:space="0" w:color="auto"/>
              <w:bottom w:val="single" w:sz="8" w:space="0" w:color="auto"/>
            </w:tcBorders>
          </w:tcPr>
          <w:p w14:paraId="36516ABB" w14:textId="77777777" w:rsidR="00207F17" w:rsidRPr="00E42047" w:rsidRDefault="00207F17" w:rsidP="00207F17">
            <w:pPr>
              <w:tabs>
                <w:tab w:val="left" w:pos="308"/>
              </w:tabs>
              <w:autoSpaceDE w:val="0"/>
              <w:autoSpaceDN w:val="0"/>
              <w:adjustRightInd w:val="0"/>
              <w:spacing w:before="40" w:after="40" w:line="240" w:lineRule="auto"/>
              <w:ind w:left="102"/>
              <w:rPr>
                <w:rFonts w:ascii="Arial" w:hAnsi="Arial" w:cs="Arial"/>
                <w:color w:val="000000" w:themeColor="text1"/>
                <w:sz w:val="20"/>
                <w:szCs w:val="20"/>
              </w:rPr>
            </w:pPr>
            <w:r w:rsidRPr="00E42047">
              <w:rPr>
                <w:rFonts w:ascii="Arial" w:hAnsi="Arial" w:cs="Arial"/>
                <w:color w:val="000000" w:themeColor="text1"/>
                <w:sz w:val="20"/>
                <w:szCs w:val="20"/>
              </w:rPr>
              <w:tab/>
              <w:t>Unknown</w:t>
            </w:r>
          </w:p>
        </w:tc>
        <w:tc>
          <w:tcPr>
            <w:tcW w:w="2046" w:type="dxa"/>
            <w:tcBorders>
              <w:bottom w:val="single" w:sz="8" w:space="0" w:color="auto"/>
            </w:tcBorders>
            <w:vAlign w:val="center"/>
          </w:tcPr>
          <w:p w14:paraId="1F0BA811" w14:textId="6ECA8611"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1 (0.4)</w:t>
            </w:r>
          </w:p>
        </w:tc>
        <w:tc>
          <w:tcPr>
            <w:tcW w:w="2329" w:type="dxa"/>
            <w:tcBorders>
              <w:bottom w:val="single" w:sz="8" w:space="0" w:color="auto"/>
              <w:right w:val="single" w:sz="8" w:space="0" w:color="auto"/>
            </w:tcBorders>
            <w:vAlign w:val="center"/>
          </w:tcPr>
          <w:p w14:paraId="626B2DAB" w14:textId="77777777" w:rsidR="00207F17" w:rsidRPr="00E42047" w:rsidRDefault="00207F17" w:rsidP="00207F17">
            <w:pPr>
              <w:pStyle w:val="TableTextCenter"/>
              <w:keepNext w:val="0"/>
              <w:spacing w:before="40" w:after="40"/>
              <w:rPr>
                <w:rFonts w:ascii="Arial" w:hAnsi="Arial" w:cs="Arial"/>
                <w:color w:val="000000" w:themeColor="text1"/>
                <w:szCs w:val="20"/>
              </w:rPr>
            </w:pPr>
            <w:r w:rsidRPr="00E42047">
              <w:rPr>
                <w:rFonts w:ascii="Arial" w:hAnsi="Arial" w:cs="Arial"/>
                <w:color w:val="000000" w:themeColor="text1"/>
                <w:szCs w:val="20"/>
              </w:rPr>
              <w:t>0</w:t>
            </w:r>
          </w:p>
        </w:tc>
      </w:tr>
      <w:tr w:rsidR="00B520AC" w:rsidRPr="001F33C1" w14:paraId="6AC96CF8" w14:textId="77777777" w:rsidTr="00B520AC">
        <w:trPr>
          <w:trHeight w:val="20"/>
          <w:tblHeader/>
          <w:jc w:val="center"/>
        </w:trPr>
        <w:tc>
          <w:tcPr>
            <w:tcW w:w="8494" w:type="dxa"/>
            <w:gridSpan w:val="3"/>
            <w:tcBorders>
              <w:top w:val="single" w:sz="8" w:space="0" w:color="auto"/>
            </w:tcBorders>
          </w:tcPr>
          <w:p w14:paraId="4431FC2D" w14:textId="77777777" w:rsidR="00B520AC" w:rsidRPr="005774DA" w:rsidRDefault="00B520AC" w:rsidP="00B520AC">
            <w:pPr>
              <w:pStyle w:val="TableFigureNote"/>
              <w:numPr>
                <w:ilvl w:val="0"/>
                <w:numId w:val="27"/>
              </w:numPr>
              <w:spacing w:after="40" w:line="240" w:lineRule="auto"/>
              <w:ind w:left="315" w:right="11" w:hanging="315"/>
              <w:rPr>
                <w:rFonts w:ascii="Arial" w:hAnsi="Arial" w:cs="Arial"/>
                <w:sz w:val="18"/>
                <w:szCs w:val="18"/>
              </w:rPr>
            </w:pPr>
            <w:r w:rsidRPr="005774DA">
              <w:rPr>
                <w:rFonts w:ascii="Arial" w:hAnsi="Arial" w:cs="Arial"/>
                <w:sz w:val="18"/>
                <w:szCs w:val="18"/>
              </w:rPr>
              <w:t xml:space="preserve">SOC = standard of care </w:t>
            </w:r>
          </w:p>
          <w:p w14:paraId="4CA42084" w14:textId="77777777" w:rsidR="00B520AC" w:rsidRPr="005774DA" w:rsidRDefault="00B520AC" w:rsidP="00B520AC">
            <w:pPr>
              <w:pStyle w:val="TableFigureNote"/>
              <w:numPr>
                <w:ilvl w:val="0"/>
                <w:numId w:val="27"/>
              </w:numPr>
              <w:spacing w:after="40" w:line="240" w:lineRule="auto"/>
              <w:ind w:left="315" w:right="11" w:hanging="315"/>
              <w:rPr>
                <w:rFonts w:ascii="Arial" w:hAnsi="Arial" w:cs="Arial"/>
                <w:sz w:val="18"/>
                <w:szCs w:val="18"/>
              </w:rPr>
            </w:pPr>
            <w:proofErr w:type="spellStart"/>
            <w:r w:rsidRPr="005774DA">
              <w:rPr>
                <w:rFonts w:ascii="Arial" w:hAnsi="Arial" w:cs="Arial"/>
                <w:sz w:val="18"/>
                <w:szCs w:val="18"/>
              </w:rPr>
              <w:t>alloHSCT</w:t>
            </w:r>
            <w:proofErr w:type="spellEnd"/>
            <w:r w:rsidRPr="005774DA">
              <w:rPr>
                <w:rFonts w:ascii="Arial" w:hAnsi="Arial" w:cs="Arial"/>
                <w:sz w:val="18"/>
                <w:szCs w:val="18"/>
              </w:rPr>
              <w:t xml:space="preserve"> = allogeneic h</w:t>
            </w:r>
            <w:r w:rsidRPr="00B520AC">
              <w:rPr>
                <w:rFonts w:ascii="Arial" w:hAnsi="Arial" w:cs="Arial"/>
                <w:color w:val="000000" w:themeColor="text1"/>
                <w:sz w:val="18"/>
                <w:szCs w:val="18"/>
              </w:rPr>
              <w:t>a</w:t>
            </w:r>
            <w:r w:rsidRPr="005774DA">
              <w:rPr>
                <w:rFonts w:ascii="Arial" w:hAnsi="Arial" w:cs="Arial"/>
                <w:sz w:val="18"/>
                <w:szCs w:val="18"/>
              </w:rPr>
              <w:t>ematopoietic stem cell transplantation</w:t>
            </w:r>
          </w:p>
          <w:p w14:paraId="12FF64C4" w14:textId="77777777" w:rsidR="00B520AC" w:rsidRPr="00E42047" w:rsidRDefault="00B520AC" w:rsidP="00B520AC">
            <w:pPr>
              <w:pStyle w:val="TableTextCenter"/>
              <w:keepNext w:val="0"/>
              <w:spacing w:before="40" w:after="40"/>
              <w:jc w:val="left"/>
              <w:rPr>
                <w:rFonts w:ascii="Arial" w:hAnsi="Arial" w:cs="Arial"/>
                <w:color w:val="000000" w:themeColor="text1"/>
                <w:szCs w:val="20"/>
              </w:rPr>
            </w:pPr>
          </w:p>
        </w:tc>
      </w:tr>
    </w:tbl>
    <w:p w14:paraId="11496DE9" w14:textId="77777777" w:rsidR="007D43DB" w:rsidRPr="009A1F5F" w:rsidRDefault="007D43DB" w:rsidP="00F338DE">
      <w:pPr>
        <w:pStyle w:val="PI-Text"/>
        <w:rPr>
          <w:bCs/>
        </w:rPr>
      </w:pPr>
      <w:proofErr w:type="spellStart"/>
      <w:r w:rsidRPr="009A1F5F">
        <w:lastRenderedPageBreak/>
        <w:t>Blincyto</w:t>
      </w:r>
      <w:proofErr w:type="spellEnd"/>
      <w:r w:rsidRPr="009A1F5F">
        <w:t xml:space="preserve"> </w:t>
      </w:r>
      <w:r w:rsidRPr="009A1F5F">
        <w:rPr>
          <w:bCs/>
        </w:rPr>
        <w:t>was administered as a continuous intravenous infusion.  In the first cycle, the initial dose was 9 </w:t>
      </w:r>
      <w:r>
        <w:rPr>
          <w:bCs/>
        </w:rPr>
        <w:t>micrograms</w:t>
      </w:r>
      <w:r w:rsidRPr="009A1F5F">
        <w:rPr>
          <w:bCs/>
        </w:rPr>
        <w:t>/day for week 1, then 28 </w:t>
      </w:r>
      <w:r>
        <w:rPr>
          <w:bCs/>
        </w:rPr>
        <w:t>micrograms</w:t>
      </w:r>
      <w:r w:rsidRPr="009A1F5F">
        <w:rPr>
          <w:bCs/>
        </w:rPr>
        <w:t>/day for the remaining 3</w:t>
      </w:r>
      <w:r w:rsidR="009A1DB7">
        <w:rPr>
          <w:bCs/>
        </w:rPr>
        <w:t> </w:t>
      </w:r>
      <w:r w:rsidRPr="009A1F5F">
        <w:rPr>
          <w:bCs/>
        </w:rPr>
        <w:t>weeks.  The target dose of 28</w:t>
      </w:r>
      <w:r w:rsidR="009A1DB7">
        <w:rPr>
          <w:bCs/>
        </w:rPr>
        <w:t> </w:t>
      </w:r>
      <w:r>
        <w:rPr>
          <w:bCs/>
        </w:rPr>
        <w:t>micrograms</w:t>
      </w:r>
      <w:r w:rsidRPr="009A1F5F">
        <w:rPr>
          <w:bCs/>
        </w:rPr>
        <w:t>/day was administered in cycle</w:t>
      </w:r>
      <w:r w:rsidR="009A1DB7">
        <w:rPr>
          <w:bCs/>
        </w:rPr>
        <w:t> </w:t>
      </w:r>
      <w:r w:rsidRPr="009A1F5F">
        <w:rPr>
          <w:bCs/>
        </w:rPr>
        <w:t>2 and subsequent cycles starting on day</w:t>
      </w:r>
      <w:r w:rsidR="009A1DB7">
        <w:rPr>
          <w:bCs/>
        </w:rPr>
        <w:t> </w:t>
      </w:r>
      <w:r w:rsidRPr="009A1F5F">
        <w:rPr>
          <w:bCs/>
        </w:rPr>
        <w:t xml:space="preserve">1 of each cycle.  Dose adjustment was possible in case of adverse events.  </w:t>
      </w:r>
      <w:r w:rsidRPr="009A1F5F">
        <w:t>Of the 267</w:t>
      </w:r>
      <w:r w:rsidR="009A1DB7">
        <w:t> </w:t>
      </w:r>
      <w:r w:rsidRPr="009A1F5F">
        <w:t xml:space="preserve">patients who received </w:t>
      </w:r>
      <w:proofErr w:type="spellStart"/>
      <w:r w:rsidRPr="009A1F5F">
        <w:t>Blincyto</w:t>
      </w:r>
      <w:proofErr w:type="spellEnd"/>
      <w:r w:rsidRPr="009A1F5F">
        <w:t>, the median number of treatment cycles was two (range: 0 to 9</w:t>
      </w:r>
      <w:r w:rsidR="009A1DB7">
        <w:t> </w:t>
      </w:r>
      <w:r w:rsidRPr="009A1F5F">
        <w:t>cycles); of the 109</w:t>
      </w:r>
      <w:r w:rsidR="009A1DB7">
        <w:t> </w:t>
      </w:r>
      <w:r w:rsidRPr="009A1F5F">
        <w:t>patients who received SOC chemotherapy, the median number of treatment cycles wa</w:t>
      </w:r>
      <w:r>
        <w:t>s one (range: 1 to 4 cycles).</w:t>
      </w:r>
    </w:p>
    <w:p w14:paraId="490A31BA" w14:textId="3797A560" w:rsidR="007D43DB" w:rsidRPr="00AB7B31" w:rsidRDefault="007D43DB" w:rsidP="007D43DB">
      <w:pPr>
        <w:autoSpaceDE w:val="0"/>
        <w:autoSpaceDN w:val="0"/>
        <w:adjustRightInd w:val="0"/>
        <w:spacing w:before="120" w:afterLines="120" w:after="288" w:line="360" w:lineRule="auto"/>
        <w:ind w:right="-23"/>
        <w:rPr>
          <w:rFonts w:ascii="Arial" w:hAnsi="Arial" w:cs="Arial"/>
          <w:bCs/>
        </w:rPr>
      </w:pPr>
      <w:r w:rsidRPr="00366F41">
        <w:rPr>
          <w:rFonts w:ascii="Arial" w:hAnsi="Arial" w:cs="Arial"/>
          <w:bCs/>
        </w:rPr>
        <w:t xml:space="preserve">The primary endpoint was overall survival (OS).  The study demonstrated statistically significant improvement in OS for patients treated with </w:t>
      </w:r>
      <w:proofErr w:type="spellStart"/>
      <w:r w:rsidRPr="00366F41">
        <w:rPr>
          <w:rFonts w:ascii="Arial" w:hAnsi="Arial" w:cs="Arial"/>
          <w:bCs/>
        </w:rPr>
        <w:t>Blincyto</w:t>
      </w:r>
      <w:proofErr w:type="spellEnd"/>
      <w:r w:rsidRPr="00366F41">
        <w:rPr>
          <w:rFonts w:ascii="Arial" w:hAnsi="Arial" w:cs="Arial"/>
          <w:bCs/>
        </w:rPr>
        <w:t xml:space="preserve"> as compared to SOC chemotherapy.  </w:t>
      </w:r>
      <w:r w:rsidR="005774DA" w:rsidRPr="00366F41">
        <w:rPr>
          <w:rFonts w:ascii="Arial" w:hAnsi="Arial" w:cs="Arial"/>
          <w:bCs/>
        </w:rPr>
        <w:t>In patients with 0</w:t>
      </w:r>
      <w:r w:rsidR="005774DA">
        <w:rPr>
          <w:rFonts w:ascii="Arial" w:hAnsi="Arial" w:cs="Arial"/>
          <w:bCs/>
        </w:rPr>
        <w:t> </w:t>
      </w:r>
      <w:r w:rsidR="005774DA" w:rsidRPr="00366F41">
        <w:rPr>
          <w:rFonts w:ascii="Arial" w:hAnsi="Arial" w:cs="Arial"/>
          <w:bCs/>
        </w:rPr>
        <w:t xml:space="preserve">prior salvage therapies the hazard ratio for OS was </w:t>
      </w:r>
      <w:r w:rsidR="005774DA" w:rsidRPr="00E42047">
        <w:rPr>
          <w:rFonts w:ascii="Arial" w:hAnsi="Arial" w:cs="Arial"/>
          <w:bCs/>
          <w:color w:val="000000" w:themeColor="text1"/>
        </w:rPr>
        <w:t>0.64 (0.41, 0.99), in patients with one prior salvage therapy the hazard ratio for OS was 0.59 (0.38, 0.91), and in patients with more than two prior salvage therapies the hazard ratio for OS was 1.13 (0.64, 1.99).  OS benefit was independent of trans</w:t>
      </w:r>
      <w:r w:rsidR="005774DA" w:rsidRPr="00366F41">
        <w:rPr>
          <w:rFonts w:ascii="Arial" w:hAnsi="Arial" w:cs="Arial"/>
          <w:bCs/>
        </w:rPr>
        <w:t>plant; consistent results were observed after censoring at the time of HSCT</w:t>
      </w:r>
      <w:r w:rsidRPr="00366F41">
        <w:rPr>
          <w:rFonts w:ascii="Arial" w:hAnsi="Arial" w:cs="Arial"/>
          <w:bCs/>
        </w:rPr>
        <w:t xml:space="preserve">.  </w:t>
      </w:r>
      <w:r w:rsidRPr="007A2BC3">
        <w:rPr>
          <w:rFonts w:ascii="Arial" w:hAnsi="Arial" w:cs="Arial"/>
          <w:bCs/>
        </w:rPr>
        <w:t>See Figures</w:t>
      </w:r>
      <w:r w:rsidR="009A1DB7">
        <w:rPr>
          <w:rFonts w:ascii="Arial" w:hAnsi="Arial" w:cs="Arial"/>
          <w:bCs/>
        </w:rPr>
        <w:t> </w:t>
      </w:r>
      <w:r w:rsidRPr="007A2BC3">
        <w:rPr>
          <w:rFonts w:ascii="Arial" w:hAnsi="Arial" w:cs="Arial"/>
          <w:bCs/>
        </w:rPr>
        <w:t>1 and 2 and Table</w:t>
      </w:r>
      <w:r w:rsidR="009A1DB7">
        <w:rPr>
          <w:rFonts w:ascii="Arial" w:hAnsi="Arial" w:cs="Arial"/>
          <w:bCs/>
        </w:rPr>
        <w:t> 10</w:t>
      </w:r>
      <w:r w:rsidRPr="007A2BC3">
        <w:rPr>
          <w:rFonts w:ascii="Arial" w:hAnsi="Arial" w:cs="Arial"/>
          <w:bCs/>
        </w:rPr>
        <w:t xml:space="preserve"> below for efficacy results from Study</w:t>
      </w:r>
      <w:r w:rsidR="009A1DB7">
        <w:rPr>
          <w:rFonts w:ascii="Arial" w:hAnsi="Arial" w:cs="Arial"/>
          <w:bCs/>
        </w:rPr>
        <w:t> </w:t>
      </w:r>
      <w:r w:rsidRPr="007A2BC3">
        <w:rPr>
          <w:rFonts w:ascii="Arial" w:hAnsi="Arial" w:cs="Arial"/>
          <w:bCs/>
        </w:rPr>
        <w:t>1.</w:t>
      </w:r>
      <w:r w:rsidRPr="00366F41">
        <w:rPr>
          <w:rFonts w:ascii="Arial" w:hAnsi="Arial" w:cs="Arial"/>
          <w:bCs/>
        </w:rPr>
        <w:t xml:space="preserve">  </w:t>
      </w:r>
    </w:p>
    <w:p w14:paraId="27227B3F" w14:textId="7E346A93" w:rsidR="007D43DB" w:rsidRPr="002E33C9" w:rsidRDefault="007D43DB" w:rsidP="00BB029B">
      <w:pPr>
        <w:pStyle w:val="Caption"/>
      </w:pPr>
      <w:r w:rsidRPr="002E33C9">
        <w:t>Figure</w:t>
      </w:r>
      <w:r w:rsidR="009A1DB7">
        <w:rPr>
          <w:spacing w:val="-5"/>
        </w:rPr>
        <w:t> </w:t>
      </w:r>
      <w:r w:rsidRPr="002E33C9">
        <w:rPr>
          <w:spacing w:val="-5"/>
        </w:rPr>
        <w:t>1</w:t>
      </w:r>
      <w:r w:rsidRPr="002E33C9">
        <w:t>.</w:t>
      </w:r>
      <w:r w:rsidRPr="002E33C9">
        <w:rPr>
          <w:spacing w:val="55"/>
        </w:rPr>
        <w:t xml:space="preserve"> </w:t>
      </w:r>
      <w:r w:rsidR="00C12E72">
        <w:rPr>
          <w:spacing w:val="55"/>
        </w:rPr>
        <w:t xml:space="preserve"> </w:t>
      </w:r>
      <w:r w:rsidRPr="002E33C9">
        <w:t>Kapla</w:t>
      </w:r>
      <w:r w:rsidRPr="002E33C9">
        <w:rPr>
          <w:spacing w:val="1"/>
        </w:rPr>
        <w:t>n</w:t>
      </w:r>
      <w:r w:rsidRPr="002E33C9">
        <w:rPr>
          <w:spacing w:val="-1"/>
        </w:rPr>
        <w:t>-</w:t>
      </w:r>
      <w:r w:rsidRPr="002E33C9">
        <w:t>Meier</w:t>
      </w:r>
      <w:r w:rsidRPr="002E33C9">
        <w:rPr>
          <w:spacing w:val="-14"/>
        </w:rPr>
        <w:t xml:space="preserve"> </w:t>
      </w:r>
      <w:r w:rsidRPr="002E33C9">
        <w:t>Curve</w:t>
      </w:r>
      <w:r w:rsidRPr="002E33C9">
        <w:rPr>
          <w:spacing w:val="-6"/>
        </w:rPr>
        <w:t xml:space="preserve"> </w:t>
      </w:r>
      <w:r w:rsidRPr="002E33C9">
        <w:t>of Overall</w:t>
      </w:r>
      <w:r w:rsidRPr="002E33C9">
        <w:rPr>
          <w:spacing w:val="-7"/>
        </w:rPr>
        <w:t xml:space="preserve"> </w:t>
      </w:r>
      <w:r w:rsidRPr="002E33C9">
        <w:t>Survival</w:t>
      </w:r>
    </w:p>
    <w:p w14:paraId="70DEEF15" w14:textId="2851789B" w:rsidR="007D43DB" w:rsidRDefault="003B1086" w:rsidP="007D43DB">
      <w:pPr>
        <w:autoSpaceDE w:val="0"/>
        <w:autoSpaceDN w:val="0"/>
        <w:adjustRightInd w:val="0"/>
        <w:spacing w:before="100"/>
        <w:ind w:right="-20"/>
        <w:jc w:val="center"/>
        <w:rPr>
          <w:rFonts w:ascii="Times New Roman" w:hAnsi="Times New Roman"/>
          <w:sz w:val="20"/>
        </w:rPr>
      </w:pPr>
      <w:r>
        <w:rPr>
          <w:rFonts w:ascii="Times New Roman" w:hAnsi="Times New Roman"/>
          <w:noProof/>
          <w:sz w:val="20"/>
          <w:lang w:eastAsia="en-AU"/>
        </w:rPr>
        <w:drawing>
          <wp:inline distT="0" distB="0" distL="0" distR="0" wp14:anchorId="588C961E" wp14:editId="1ACAF5BF">
            <wp:extent cx="5310589" cy="2634018"/>
            <wp:effectExtent l="0" t="0" r="4445" b="0"/>
            <wp:docPr id="7" name="Picture 7" descr="GRH0358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H0358 GRAPH MISC N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2767" cy="2640058"/>
                    </a:xfrm>
                    <a:prstGeom prst="rect">
                      <a:avLst/>
                    </a:prstGeom>
                  </pic:spPr>
                </pic:pic>
              </a:graphicData>
            </a:graphic>
          </wp:inline>
        </w:drawing>
      </w:r>
    </w:p>
    <w:p w14:paraId="373091BC" w14:textId="77777777" w:rsidR="00E42047" w:rsidRDefault="00E42047">
      <w:pPr>
        <w:rPr>
          <w:rFonts w:ascii="Arial" w:eastAsiaTheme="minorEastAsia" w:hAnsi="Arial"/>
          <w:b/>
          <w:lang w:eastAsia="ja-JP"/>
        </w:rPr>
      </w:pPr>
      <w:r>
        <w:br w:type="page"/>
      </w:r>
    </w:p>
    <w:p w14:paraId="3386F89C" w14:textId="05BCCDD2" w:rsidR="007D43DB" w:rsidRDefault="003B1086" w:rsidP="00BB029B">
      <w:pPr>
        <w:pStyle w:val="Caption"/>
      </w:pPr>
      <w:r>
        <w:lastRenderedPageBreak/>
        <w:t>Figure </w:t>
      </w:r>
      <w:r w:rsidR="007D43DB" w:rsidRPr="002E33C9">
        <w:t xml:space="preserve">2. </w:t>
      </w:r>
      <w:r>
        <w:t xml:space="preserve"> </w:t>
      </w:r>
      <w:r w:rsidRPr="00E42047">
        <w:rPr>
          <w:color w:val="000000" w:themeColor="text1"/>
        </w:rPr>
        <w:t>Forest Plot of Overall Survival Across Randomisation Factors</w:t>
      </w:r>
    </w:p>
    <w:p w14:paraId="40BF8B9B" w14:textId="2BC2EE9B" w:rsidR="00C12E72" w:rsidRPr="002E33C9" w:rsidRDefault="00C12E72" w:rsidP="007D43DB">
      <w:pPr>
        <w:autoSpaceDE w:val="0"/>
        <w:autoSpaceDN w:val="0"/>
        <w:adjustRightInd w:val="0"/>
        <w:spacing w:line="240" w:lineRule="auto"/>
        <w:ind w:right="-20"/>
        <w:rPr>
          <w:rFonts w:ascii="Arial" w:hAnsi="Arial" w:cs="Arial"/>
          <w:b/>
          <w:sz w:val="20"/>
          <w:szCs w:val="20"/>
        </w:rPr>
      </w:pPr>
      <w:r>
        <w:rPr>
          <w:rFonts w:ascii="Arial" w:hAnsi="Arial" w:cs="Arial"/>
          <w:b/>
          <w:noProof/>
          <w:sz w:val="20"/>
          <w:szCs w:val="20"/>
          <w:lang w:eastAsia="en-AU"/>
        </w:rPr>
        <w:drawing>
          <wp:inline distT="0" distB="0" distL="0" distR="0" wp14:anchorId="7048826D" wp14:editId="4DB1DC33">
            <wp:extent cx="5652655" cy="2869747"/>
            <wp:effectExtent l="0" t="0" r="5715" b="6985"/>
            <wp:docPr id="11" name="Picture 11" descr="GRH0359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H0359 GRAPH MISC 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6708" cy="2881958"/>
                    </a:xfrm>
                    <a:prstGeom prst="rect">
                      <a:avLst/>
                    </a:prstGeom>
                  </pic:spPr>
                </pic:pic>
              </a:graphicData>
            </a:graphic>
          </wp:inline>
        </w:drawing>
      </w:r>
    </w:p>
    <w:p w14:paraId="53E08F27" w14:textId="0D5C2663" w:rsidR="007D43DB" w:rsidRPr="00DD17E7" w:rsidRDefault="007D43DB" w:rsidP="007D43DB">
      <w:pPr>
        <w:pStyle w:val="TableFigureNote"/>
        <w:spacing w:before="0" w:line="240" w:lineRule="auto"/>
        <w:ind w:left="0" w:right="11" w:firstLine="0"/>
        <w:rPr>
          <w:rFonts w:ascii="Arial" w:hAnsi="Arial" w:cs="Arial"/>
          <w:sz w:val="18"/>
          <w:szCs w:val="18"/>
          <w:lang w:val="en-GB"/>
        </w:rPr>
      </w:pPr>
      <w:proofErr w:type="spellStart"/>
      <w:r w:rsidRPr="00DD17E7">
        <w:rPr>
          <w:rFonts w:ascii="Arial" w:hAnsi="Arial" w:cs="Arial"/>
          <w:sz w:val="18"/>
          <w:szCs w:val="18"/>
          <w:lang w:val="en-GB"/>
        </w:rPr>
        <w:t>AlloHSCT</w:t>
      </w:r>
      <w:proofErr w:type="spellEnd"/>
      <w:r w:rsidR="00C12E72">
        <w:rPr>
          <w:rFonts w:ascii="Arial" w:hAnsi="Arial" w:cs="Arial"/>
          <w:sz w:val="18"/>
          <w:szCs w:val="18"/>
          <w:lang w:val="en-GB"/>
        </w:rPr>
        <w:t> </w:t>
      </w:r>
      <w:r w:rsidRPr="00DD17E7">
        <w:rPr>
          <w:rFonts w:ascii="Arial" w:hAnsi="Arial" w:cs="Arial"/>
          <w:sz w:val="18"/>
          <w:szCs w:val="18"/>
          <w:lang w:val="en-GB"/>
        </w:rPr>
        <w:t>=</w:t>
      </w:r>
      <w:r w:rsidR="00C12E72">
        <w:rPr>
          <w:rFonts w:ascii="Arial" w:hAnsi="Arial" w:cs="Arial"/>
          <w:sz w:val="18"/>
          <w:szCs w:val="18"/>
          <w:lang w:val="en-GB"/>
        </w:rPr>
        <w:t> </w:t>
      </w:r>
      <w:r w:rsidRPr="00DD17E7">
        <w:rPr>
          <w:rFonts w:ascii="Arial" w:hAnsi="Arial" w:cs="Arial"/>
          <w:sz w:val="18"/>
          <w:szCs w:val="18"/>
          <w:lang w:val="en-GB"/>
        </w:rPr>
        <w:t>allogeneic haematopoietic stem cell transplantation; SOC</w:t>
      </w:r>
      <w:r w:rsidR="00C12E72">
        <w:rPr>
          <w:rFonts w:ascii="Arial" w:hAnsi="Arial" w:cs="Arial"/>
          <w:sz w:val="18"/>
          <w:szCs w:val="18"/>
          <w:lang w:val="en-GB"/>
        </w:rPr>
        <w:t> </w:t>
      </w:r>
      <w:r w:rsidRPr="00DD17E7">
        <w:rPr>
          <w:rFonts w:ascii="Arial" w:hAnsi="Arial" w:cs="Arial"/>
          <w:sz w:val="18"/>
          <w:szCs w:val="18"/>
          <w:lang w:val="en-GB"/>
        </w:rPr>
        <w:t>=</w:t>
      </w:r>
      <w:r w:rsidR="00C12E72">
        <w:rPr>
          <w:rFonts w:ascii="Arial" w:hAnsi="Arial" w:cs="Arial"/>
          <w:sz w:val="18"/>
          <w:szCs w:val="18"/>
          <w:lang w:val="en-GB"/>
        </w:rPr>
        <w:t> </w:t>
      </w:r>
      <w:r w:rsidRPr="00DD17E7">
        <w:rPr>
          <w:rFonts w:ascii="Arial" w:hAnsi="Arial" w:cs="Arial"/>
          <w:sz w:val="18"/>
          <w:szCs w:val="18"/>
          <w:lang w:val="en-GB"/>
        </w:rPr>
        <w:t>standard of care; Blin</w:t>
      </w:r>
      <w:r w:rsidR="00C12E72">
        <w:rPr>
          <w:rFonts w:ascii="Arial" w:hAnsi="Arial" w:cs="Arial"/>
          <w:sz w:val="18"/>
          <w:szCs w:val="18"/>
          <w:lang w:val="en-GB"/>
        </w:rPr>
        <w:t> </w:t>
      </w:r>
      <w:r w:rsidRPr="00DD17E7">
        <w:rPr>
          <w:rFonts w:ascii="Arial" w:hAnsi="Arial" w:cs="Arial"/>
          <w:sz w:val="18"/>
          <w:szCs w:val="18"/>
          <w:lang w:val="en-GB"/>
        </w:rPr>
        <w:t>=</w:t>
      </w:r>
      <w:r w:rsidR="00C12E72">
        <w:rPr>
          <w:rFonts w:ascii="Arial" w:hAnsi="Arial" w:cs="Arial"/>
          <w:sz w:val="18"/>
          <w:szCs w:val="18"/>
          <w:lang w:val="en-GB"/>
        </w:rPr>
        <w:t> </w:t>
      </w:r>
      <w:proofErr w:type="spellStart"/>
      <w:r w:rsidRPr="00DD17E7">
        <w:rPr>
          <w:rFonts w:ascii="Arial" w:hAnsi="Arial" w:cs="Arial"/>
          <w:sz w:val="18"/>
          <w:szCs w:val="18"/>
          <w:lang w:val="en-GB"/>
        </w:rPr>
        <w:t>blinatumomab</w:t>
      </w:r>
      <w:proofErr w:type="spellEnd"/>
    </w:p>
    <w:p w14:paraId="68E0A18F" w14:textId="77777777" w:rsidR="007D43DB" w:rsidRPr="009A1F5F" w:rsidRDefault="007D43DB" w:rsidP="00BB029B">
      <w:pPr>
        <w:pStyle w:val="Caption"/>
        <w:rPr>
          <w:bCs/>
        </w:rPr>
      </w:pPr>
      <w:r w:rsidRPr="006373D8">
        <w:lastRenderedPageBreak/>
        <w:t xml:space="preserve">Table </w:t>
      </w:r>
      <w:r w:rsidR="009A1DB7">
        <w:t>10</w:t>
      </w:r>
      <w:r w:rsidRPr="006373D8">
        <w:t>.</w:t>
      </w:r>
      <w:r w:rsidRPr="009A1F5F">
        <w:t xml:space="preserve">  </w:t>
      </w:r>
      <w:r w:rsidRPr="009A1F5F">
        <w:rPr>
          <w:bCs/>
        </w:rPr>
        <w:t xml:space="preserve">Efficacy Results in Patients </w:t>
      </w:r>
      <w:r w:rsidRPr="009A1F5F">
        <w:t>≥ 18 Years</w:t>
      </w:r>
      <w:r w:rsidRPr="009A1F5F">
        <w:rPr>
          <w:bCs/>
        </w:rPr>
        <w:t xml:space="preserve"> of Age With </w:t>
      </w:r>
      <w:r w:rsidRPr="009A1F5F">
        <w:rPr>
          <w:color w:val="000000"/>
        </w:rPr>
        <w:t xml:space="preserve">Philadelphia Chromosome-negative Relapsed or Refractory B-cell Precursor </w:t>
      </w:r>
      <w:r w:rsidRPr="009A1F5F">
        <w:t>Acute Lymphoblastic Leuk</w:t>
      </w:r>
      <w:r>
        <w:t>a</w:t>
      </w:r>
      <w:r w:rsidRPr="009A1F5F">
        <w:t>emia (</w:t>
      </w:r>
      <w:r>
        <w:rPr>
          <w:color w:val="000000"/>
        </w:rPr>
        <w:t>ALL)</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268"/>
      </w:tblGrid>
      <w:tr w:rsidR="00C12E72" w:rsidRPr="00ED2A36" w14:paraId="3BA4E483" w14:textId="77777777" w:rsidTr="00695792">
        <w:trPr>
          <w:trHeight w:val="348"/>
        </w:trPr>
        <w:tc>
          <w:tcPr>
            <w:tcW w:w="4111" w:type="dxa"/>
            <w:tcBorders>
              <w:bottom w:val="single" w:sz="4" w:space="0" w:color="auto"/>
              <w:right w:val="nil"/>
            </w:tcBorders>
          </w:tcPr>
          <w:p w14:paraId="5D645719" w14:textId="77777777" w:rsidR="00C12E72" w:rsidRPr="00550752" w:rsidRDefault="00C12E72" w:rsidP="00695792">
            <w:pPr>
              <w:keepNext/>
              <w:keepLines/>
              <w:spacing w:before="60" w:after="60"/>
              <w:rPr>
                <w:rFonts w:ascii="Arial" w:hAnsi="Arial" w:cs="Arial"/>
                <w:b/>
                <w:sz w:val="18"/>
                <w:szCs w:val="18"/>
              </w:rPr>
            </w:pPr>
          </w:p>
        </w:tc>
        <w:tc>
          <w:tcPr>
            <w:tcW w:w="2268" w:type="dxa"/>
            <w:tcBorders>
              <w:left w:val="nil"/>
              <w:bottom w:val="single" w:sz="4" w:space="0" w:color="auto"/>
              <w:right w:val="nil"/>
            </w:tcBorders>
          </w:tcPr>
          <w:p w14:paraId="6D6E35CB" w14:textId="77777777" w:rsidR="00C12E72" w:rsidRPr="00ED2A36" w:rsidRDefault="00C12E72" w:rsidP="00695792">
            <w:pPr>
              <w:keepNext/>
              <w:keepLines/>
              <w:spacing w:before="60" w:after="60"/>
              <w:jc w:val="center"/>
              <w:rPr>
                <w:rFonts w:ascii="Arial" w:hAnsi="Arial" w:cs="Arial"/>
                <w:b/>
                <w:sz w:val="18"/>
                <w:szCs w:val="18"/>
              </w:rPr>
            </w:pPr>
            <w:proofErr w:type="spellStart"/>
            <w:r w:rsidRPr="00ED2A36">
              <w:rPr>
                <w:rFonts w:ascii="Arial" w:hAnsi="Arial" w:cs="Arial"/>
                <w:b/>
                <w:sz w:val="18"/>
                <w:szCs w:val="18"/>
              </w:rPr>
              <w:t>Blincyto</w:t>
            </w:r>
            <w:proofErr w:type="spellEnd"/>
            <w:r w:rsidRPr="00ED2A36">
              <w:rPr>
                <w:rFonts w:ascii="Arial" w:hAnsi="Arial" w:cs="Arial"/>
                <w:b/>
                <w:sz w:val="18"/>
                <w:szCs w:val="18"/>
              </w:rPr>
              <w:br/>
              <w:t>(N = 271)</w:t>
            </w:r>
          </w:p>
        </w:tc>
        <w:tc>
          <w:tcPr>
            <w:tcW w:w="2268" w:type="dxa"/>
            <w:tcBorders>
              <w:left w:val="nil"/>
              <w:bottom w:val="single" w:sz="4" w:space="0" w:color="auto"/>
            </w:tcBorders>
          </w:tcPr>
          <w:p w14:paraId="3812932D" w14:textId="77777777" w:rsidR="00C12E72" w:rsidRPr="00ED2A36" w:rsidRDefault="00C12E72" w:rsidP="00695792">
            <w:pPr>
              <w:keepNext/>
              <w:keepLines/>
              <w:spacing w:before="60" w:after="60"/>
              <w:jc w:val="center"/>
              <w:rPr>
                <w:rFonts w:ascii="Arial" w:hAnsi="Arial" w:cs="Arial"/>
                <w:b/>
                <w:sz w:val="18"/>
                <w:szCs w:val="18"/>
              </w:rPr>
            </w:pPr>
            <w:r w:rsidRPr="00ED2A36">
              <w:rPr>
                <w:rFonts w:ascii="Arial" w:hAnsi="Arial" w:cs="Arial"/>
                <w:b/>
                <w:sz w:val="18"/>
                <w:szCs w:val="18"/>
              </w:rPr>
              <w:t xml:space="preserve">SOC Chemotherapy </w:t>
            </w:r>
            <w:r w:rsidRPr="00ED2A36">
              <w:rPr>
                <w:rFonts w:ascii="Arial" w:hAnsi="Arial" w:cs="Arial"/>
                <w:b/>
                <w:sz w:val="18"/>
                <w:szCs w:val="18"/>
              </w:rPr>
              <w:br/>
              <w:t>(N = 134)</w:t>
            </w:r>
          </w:p>
        </w:tc>
      </w:tr>
      <w:tr w:rsidR="00C12E72" w:rsidRPr="00550752" w14:paraId="75AC187B" w14:textId="77777777" w:rsidTr="00695792">
        <w:trPr>
          <w:trHeight w:val="242"/>
        </w:trPr>
        <w:tc>
          <w:tcPr>
            <w:tcW w:w="8647" w:type="dxa"/>
            <w:gridSpan w:val="3"/>
            <w:tcBorders>
              <w:bottom w:val="nil"/>
            </w:tcBorders>
          </w:tcPr>
          <w:p w14:paraId="3FDF5426"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Overall Survival</w:t>
            </w:r>
          </w:p>
        </w:tc>
      </w:tr>
      <w:tr w:rsidR="00C12E72" w:rsidRPr="00550752" w14:paraId="395BBD19" w14:textId="77777777" w:rsidTr="00695792">
        <w:trPr>
          <w:trHeight w:val="260"/>
        </w:trPr>
        <w:tc>
          <w:tcPr>
            <w:tcW w:w="4111" w:type="dxa"/>
            <w:tcBorders>
              <w:top w:val="nil"/>
              <w:bottom w:val="nil"/>
              <w:right w:val="nil"/>
            </w:tcBorders>
          </w:tcPr>
          <w:p w14:paraId="66342F5A" w14:textId="77777777" w:rsidR="00C12E72" w:rsidRPr="00550752" w:rsidRDefault="00C12E72" w:rsidP="00695792">
            <w:pPr>
              <w:keepNext/>
              <w:keepLines/>
              <w:spacing w:before="60" w:after="60"/>
              <w:ind w:left="930" w:hanging="930"/>
              <w:rPr>
                <w:rFonts w:ascii="Arial" w:hAnsi="Arial" w:cs="Arial"/>
                <w:sz w:val="18"/>
                <w:szCs w:val="18"/>
              </w:rPr>
            </w:pPr>
            <w:r w:rsidRPr="00550752">
              <w:rPr>
                <w:rFonts w:ascii="Arial" w:hAnsi="Arial" w:cs="Arial"/>
                <w:sz w:val="18"/>
                <w:szCs w:val="18"/>
              </w:rPr>
              <w:tab/>
              <w:t>Median, months [95% CI]</w:t>
            </w:r>
          </w:p>
        </w:tc>
        <w:tc>
          <w:tcPr>
            <w:tcW w:w="2268" w:type="dxa"/>
            <w:tcBorders>
              <w:top w:val="nil"/>
              <w:left w:val="nil"/>
              <w:bottom w:val="nil"/>
              <w:right w:val="nil"/>
            </w:tcBorders>
          </w:tcPr>
          <w:p w14:paraId="7B09758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 xml:space="preserve">7.7 (5.6, 9.6)  </w:t>
            </w:r>
          </w:p>
        </w:tc>
        <w:tc>
          <w:tcPr>
            <w:tcW w:w="2268" w:type="dxa"/>
            <w:tcBorders>
              <w:top w:val="nil"/>
              <w:left w:val="nil"/>
              <w:bottom w:val="nil"/>
            </w:tcBorders>
          </w:tcPr>
          <w:p w14:paraId="34EE69C0"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4.0 (2.9, 5.3)</w:t>
            </w:r>
          </w:p>
        </w:tc>
      </w:tr>
      <w:tr w:rsidR="00C12E72" w:rsidRPr="00550752" w14:paraId="7933B645" w14:textId="77777777" w:rsidTr="00695792">
        <w:trPr>
          <w:trHeight w:val="269"/>
        </w:trPr>
        <w:tc>
          <w:tcPr>
            <w:tcW w:w="4111" w:type="dxa"/>
            <w:tcBorders>
              <w:top w:val="nil"/>
              <w:bottom w:val="nil"/>
              <w:right w:val="nil"/>
            </w:tcBorders>
          </w:tcPr>
          <w:p w14:paraId="0F723377" w14:textId="77777777" w:rsidR="00C12E72" w:rsidRPr="00550752" w:rsidRDefault="00C12E72" w:rsidP="00695792">
            <w:pPr>
              <w:keepNext/>
              <w:keepLines/>
              <w:spacing w:before="60" w:after="60"/>
              <w:ind w:left="929" w:hanging="929"/>
              <w:rPr>
                <w:rFonts w:ascii="Arial" w:hAnsi="Arial" w:cs="Arial"/>
                <w:sz w:val="18"/>
                <w:szCs w:val="18"/>
              </w:rPr>
            </w:pPr>
            <w:r w:rsidRPr="00550752">
              <w:rPr>
                <w:rFonts w:ascii="Arial" w:hAnsi="Arial" w:cs="Arial"/>
                <w:sz w:val="18"/>
                <w:szCs w:val="18"/>
              </w:rPr>
              <w:tab/>
              <w:t>Hazard Ratio [95% CI]</w:t>
            </w:r>
            <w:r w:rsidRPr="00550752">
              <w:rPr>
                <w:rFonts w:ascii="Arial" w:hAnsi="Arial" w:cs="Arial"/>
                <w:sz w:val="18"/>
                <w:szCs w:val="18"/>
                <w:vertAlign w:val="superscript"/>
              </w:rPr>
              <w:t>a</w:t>
            </w:r>
          </w:p>
        </w:tc>
        <w:tc>
          <w:tcPr>
            <w:tcW w:w="4536" w:type="dxa"/>
            <w:gridSpan w:val="2"/>
            <w:tcBorders>
              <w:top w:val="nil"/>
              <w:left w:val="nil"/>
              <w:bottom w:val="nil"/>
            </w:tcBorders>
          </w:tcPr>
          <w:p w14:paraId="2B2D055E"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0.71 (0.55, 0.93)</w:t>
            </w:r>
          </w:p>
        </w:tc>
      </w:tr>
      <w:tr w:rsidR="00C12E72" w:rsidRPr="00550752" w14:paraId="37DEBB6B" w14:textId="77777777" w:rsidTr="00695792">
        <w:trPr>
          <w:trHeight w:val="260"/>
        </w:trPr>
        <w:tc>
          <w:tcPr>
            <w:tcW w:w="4111" w:type="dxa"/>
            <w:tcBorders>
              <w:top w:val="nil"/>
              <w:bottom w:val="nil"/>
              <w:right w:val="nil"/>
            </w:tcBorders>
          </w:tcPr>
          <w:p w14:paraId="4FE46E13" w14:textId="77777777" w:rsidR="00C12E72" w:rsidRPr="00550752" w:rsidRDefault="00C12E72" w:rsidP="00695792">
            <w:pPr>
              <w:keepNext/>
              <w:keepLines/>
              <w:spacing w:before="60" w:after="60"/>
              <w:ind w:left="929" w:hanging="929"/>
              <w:rPr>
                <w:rFonts w:ascii="Arial" w:hAnsi="Arial" w:cs="Arial"/>
                <w:sz w:val="18"/>
                <w:szCs w:val="18"/>
              </w:rPr>
            </w:pPr>
            <w:r w:rsidRPr="00550752">
              <w:rPr>
                <w:rFonts w:ascii="Arial" w:hAnsi="Arial" w:cs="Arial"/>
                <w:sz w:val="18"/>
                <w:szCs w:val="18"/>
              </w:rPr>
              <w:tab/>
              <w:t>p-</w:t>
            </w:r>
            <w:proofErr w:type="spellStart"/>
            <w:r w:rsidRPr="00550752">
              <w:rPr>
                <w:rFonts w:ascii="Arial" w:hAnsi="Arial" w:cs="Arial"/>
                <w:sz w:val="18"/>
                <w:szCs w:val="18"/>
              </w:rPr>
              <w:t>value</w:t>
            </w:r>
            <w:r w:rsidRPr="00550752">
              <w:rPr>
                <w:rFonts w:ascii="Arial" w:hAnsi="Arial" w:cs="Arial"/>
                <w:sz w:val="18"/>
                <w:szCs w:val="18"/>
                <w:vertAlign w:val="superscript"/>
              </w:rPr>
              <w:t>b</w:t>
            </w:r>
            <w:proofErr w:type="spellEnd"/>
            <w:r w:rsidRPr="00550752">
              <w:rPr>
                <w:rFonts w:ascii="Arial" w:hAnsi="Arial" w:cs="Arial"/>
                <w:sz w:val="18"/>
                <w:szCs w:val="18"/>
              </w:rPr>
              <w:t xml:space="preserve"> </w:t>
            </w:r>
          </w:p>
        </w:tc>
        <w:tc>
          <w:tcPr>
            <w:tcW w:w="4536" w:type="dxa"/>
            <w:gridSpan w:val="2"/>
            <w:tcBorders>
              <w:top w:val="nil"/>
              <w:left w:val="nil"/>
              <w:bottom w:val="nil"/>
            </w:tcBorders>
          </w:tcPr>
          <w:p w14:paraId="095FB63B"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0.012</w:t>
            </w:r>
          </w:p>
        </w:tc>
      </w:tr>
      <w:tr w:rsidR="00C12E72" w:rsidRPr="00550752" w14:paraId="0F225BD0" w14:textId="77777777" w:rsidTr="00695792">
        <w:trPr>
          <w:trHeight w:val="161"/>
        </w:trPr>
        <w:tc>
          <w:tcPr>
            <w:tcW w:w="8647" w:type="dxa"/>
            <w:gridSpan w:val="3"/>
            <w:tcBorders>
              <w:top w:val="nil"/>
              <w:bottom w:val="nil"/>
            </w:tcBorders>
          </w:tcPr>
          <w:p w14:paraId="76C8C45F"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Complete Remission (CR)</w:t>
            </w:r>
          </w:p>
        </w:tc>
      </w:tr>
      <w:tr w:rsidR="00C12E72" w:rsidRPr="00550752" w14:paraId="37E13D27" w14:textId="77777777" w:rsidTr="00695792">
        <w:trPr>
          <w:trHeight w:val="251"/>
        </w:trPr>
        <w:tc>
          <w:tcPr>
            <w:tcW w:w="4111" w:type="dxa"/>
            <w:tcBorders>
              <w:top w:val="nil"/>
              <w:bottom w:val="nil"/>
              <w:right w:val="nil"/>
            </w:tcBorders>
          </w:tcPr>
          <w:p w14:paraId="3428F23C" w14:textId="77777777" w:rsidR="00C12E72" w:rsidRPr="00550752" w:rsidRDefault="00C12E72" w:rsidP="00695792">
            <w:pPr>
              <w:keepNext/>
              <w:keepLines/>
              <w:spacing w:before="60" w:after="60"/>
              <w:rPr>
                <w:rFonts w:ascii="Arial" w:hAnsi="Arial" w:cs="Arial"/>
                <w:sz w:val="18"/>
                <w:szCs w:val="18"/>
                <w:lang w:val="fr-FR"/>
              </w:rPr>
            </w:pPr>
            <w:r w:rsidRPr="00550752">
              <w:rPr>
                <w:rFonts w:ascii="Arial" w:hAnsi="Arial" w:cs="Arial"/>
                <w:sz w:val="18"/>
                <w:szCs w:val="18"/>
                <w:lang w:val="fr-FR"/>
              </w:rPr>
              <w:tab/>
            </w:r>
            <w:proofErr w:type="spellStart"/>
            <w:r w:rsidRPr="00550752">
              <w:rPr>
                <w:rFonts w:ascii="Arial" w:hAnsi="Arial" w:cs="Arial"/>
                <w:sz w:val="18"/>
                <w:szCs w:val="18"/>
                <w:lang w:val="fr-FR"/>
              </w:rPr>
              <w:t>CR</w:t>
            </w:r>
            <w:r w:rsidRPr="00550752">
              <w:rPr>
                <w:rFonts w:ascii="Arial" w:hAnsi="Arial" w:cs="Arial"/>
                <w:sz w:val="18"/>
                <w:szCs w:val="18"/>
                <w:vertAlign w:val="superscript"/>
                <w:lang w:val="fr-FR"/>
              </w:rPr>
              <w:t>c</w:t>
            </w:r>
            <w:proofErr w:type="spellEnd"/>
            <w:r w:rsidRPr="00550752">
              <w:rPr>
                <w:rFonts w:ascii="Arial" w:hAnsi="Arial" w:cs="Arial"/>
                <w:sz w:val="18"/>
                <w:szCs w:val="18"/>
                <w:lang w:val="fr-FR"/>
              </w:rPr>
              <w:t>/</w:t>
            </w:r>
            <w:proofErr w:type="spellStart"/>
            <w:r w:rsidRPr="00550752">
              <w:rPr>
                <w:rFonts w:ascii="Arial" w:hAnsi="Arial" w:cs="Arial"/>
                <w:sz w:val="18"/>
                <w:szCs w:val="18"/>
                <w:lang w:val="fr-FR"/>
              </w:rPr>
              <w:t>CRh</w:t>
            </w:r>
            <w:proofErr w:type="spellEnd"/>
            <w:r w:rsidRPr="00550752">
              <w:rPr>
                <w:rFonts w:ascii="Arial" w:hAnsi="Arial" w:cs="Arial"/>
                <w:sz w:val="18"/>
                <w:szCs w:val="18"/>
                <w:lang w:val="fr-FR"/>
              </w:rPr>
              <w:t>*</w:t>
            </w:r>
            <w:r w:rsidRPr="00550752">
              <w:rPr>
                <w:rFonts w:ascii="Arial" w:hAnsi="Arial" w:cs="Arial"/>
                <w:sz w:val="18"/>
                <w:szCs w:val="18"/>
                <w:vertAlign w:val="superscript"/>
                <w:lang w:val="fr-FR"/>
              </w:rPr>
              <w:t>d</w:t>
            </w:r>
            <w:r w:rsidRPr="00550752">
              <w:rPr>
                <w:rFonts w:ascii="Arial" w:hAnsi="Arial" w:cs="Arial"/>
                <w:sz w:val="18"/>
                <w:szCs w:val="18"/>
                <w:lang w:val="fr-FR"/>
              </w:rPr>
              <w:t>/</w:t>
            </w:r>
            <w:proofErr w:type="spellStart"/>
            <w:r w:rsidRPr="00550752">
              <w:rPr>
                <w:rFonts w:ascii="Arial" w:hAnsi="Arial" w:cs="Arial"/>
                <w:sz w:val="18"/>
                <w:szCs w:val="18"/>
                <w:lang w:val="fr-FR"/>
              </w:rPr>
              <w:t>CRi</w:t>
            </w:r>
            <w:r w:rsidRPr="00550752">
              <w:rPr>
                <w:rFonts w:ascii="Arial" w:hAnsi="Arial" w:cs="Arial"/>
                <w:sz w:val="18"/>
                <w:szCs w:val="18"/>
                <w:vertAlign w:val="superscript"/>
                <w:lang w:val="fr-FR"/>
              </w:rPr>
              <w:t>e</w:t>
            </w:r>
            <w:proofErr w:type="spellEnd"/>
            <w:r w:rsidRPr="00550752">
              <w:rPr>
                <w:rFonts w:ascii="Arial" w:hAnsi="Arial" w:cs="Arial"/>
                <w:sz w:val="18"/>
                <w:szCs w:val="18"/>
                <w:lang w:val="fr-FR"/>
              </w:rPr>
              <w:t>, n (%) [95% CI]</w:t>
            </w:r>
          </w:p>
        </w:tc>
        <w:tc>
          <w:tcPr>
            <w:tcW w:w="2268" w:type="dxa"/>
            <w:tcBorders>
              <w:top w:val="nil"/>
              <w:left w:val="nil"/>
              <w:bottom w:val="nil"/>
              <w:right w:val="nil"/>
            </w:tcBorders>
          </w:tcPr>
          <w:p w14:paraId="21E1C011"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119 (43.9) (37.9, 50)</w:t>
            </w:r>
          </w:p>
        </w:tc>
        <w:tc>
          <w:tcPr>
            <w:tcW w:w="2268" w:type="dxa"/>
            <w:tcBorders>
              <w:top w:val="nil"/>
              <w:left w:val="nil"/>
              <w:bottom w:val="nil"/>
            </w:tcBorders>
          </w:tcPr>
          <w:p w14:paraId="6C91FE9A"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33 (24.6) (17.6, 32.8)</w:t>
            </w:r>
          </w:p>
        </w:tc>
      </w:tr>
      <w:tr w:rsidR="00C12E72" w:rsidRPr="00550752" w14:paraId="14F66FE0" w14:textId="77777777" w:rsidTr="00695792">
        <w:trPr>
          <w:trHeight w:val="179"/>
        </w:trPr>
        <w:tc>
          <w:tcPr>
            <w:tcW w:w="4111" w:type="dxa"/>
            <w:tcBorders>
              <w:top w:val="nil"/>
              <w:bottom w:val="nil"/>
              <w:right w:val="nil"/>
            </w:tcBorders>
          </w:tcPr>
          <w:p w14:paraId="56F3C786" w14:textId="77777777" w:rsidR="00C12E72" w:rsidRPr="00550752" w:rsidRDefault="00C12E72" w:rsidP="00695792">
            <w:pPr>
              <w:keepNext/>
              <w:keepLines/>
              <w:spacing w:before="60" w:after="60"/>
              <w:ind w:left="720"/>
              <w:rPr>
                <w:rFonts w:ascii="Arial" w:hAnsi="Arial" w:cs="Arial"/>
                <w:sz w:val="18"/>
                <w:szCs w:val="18"/>
              </w:rPr>
            </w:pPr>
            <w:r w:rsidRPr="00550752">
              <w:rPr>
                <w:rFonts w:ascii="Arial" w:hAnsi="Arial" w:cs="Arial"/>
                <w:sz w:val="18"/>
                <w:szCs w:val="18"/>
              </w:rPr>
              <w:tab/>
              <w:t>Treatment difference [95% CI]</w:t>
            </w:r>
          </w:p>
        </w:tc>
        <w:tc>
          <w:tcPr>
            <w:tcW w:w="4536" w:type="dxa"/>
            <w:gridSpan w:val="2"/>
            <w:tcBorders>
              <w:top w:val="nil"/>
              <w:left w:val="nil"/>
              <w:bottom w:val="nil"/>
            </w:tcBorders>
          </w:tcPr>
          <w:p w14:paraId="613A4F0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19.3 (9.9, 28.7)</w:t>
            </w:r>
          </w:p>
        </w:tc>
      </w:tr>
      <w:tr w:rsidR="00C12E72" w:rsidRPr="00550752" w14:paraId="47733A2E" w14:textId="77777777" w:rsidTr="00695792">
        <w:trPr>
          <w:trHeight w:val="215"/>
        </w:trPr>
        <w:tc>
          <w:tcPr>
            <w:tcW w:w="4111" w:type="dxa"/>
            <w:tcBorders>
              <w:top w:val="nil"/>
              <w:bottom w:val="nil"/>
              <w:right w:val="nil"/>
            </w:tcBorders>
          </w:tcPr>
          <w:p w14:paraId="4D2E9DEB" w14:textId="77777777" w:rsidR="00C12E72" w:rsidRPr="00550752" w:rsidRDefault="00C12E72" w:rsidP="00695792">
            <w:pPr>
              <w:keepNext/>
              <w:keepLines/>
              <w:spacing w:before="60" w:after="60"/>
              <w:ind w:left="720"/>
              <w:rPr>
                <w:rFonts w:ascii="Arial" w:hAnsi="Arial" w:cs="Arial"/>
                <w:sz w:val="18"/>
                <w:szCs w:val="18"/>
              </w:rPr>
            </w:pPr>
            <w:r w:rsidRPr="00550752">
              <w:rPr>
                <w:rFonts w:ascii="Arial" w:hAnsi="Arial" w:cs="Arial"/>
                <w:sz w:val="18"/>
                <w:szCs w:val="18"/>
              </w:rPr>
              <w:tab/>
              <w:t>p-</w:t>
            </w:r>
            <w:proofErr w:type="spellStart"/>
            <w:r w:rsidRPr="00550752">
              <w:rPr>
                <w:rFonts w:ascii="Arial" w:hAnsi="Arial" w:cs="Arial"/>
                <w:sz w:val="18"/>
                <w:szCs w:val="18"/>
              </w:rPr>
              <w:t>value</w:t>
            </w:r>
            <w:r w:rsidRPr="00550752">
              <w:rPr>
                <w:rFonts w:ascii="Arial" w:hAnsi="Arial" w:cs="Arial"/>
                <w:sz w:val="18"/>
                <w:szCs w:val="18"/>
                <w:vertAlign w:val="superscript"/>
              </w:rPr>
              <w:t>b</w:t>
            </w:r>
            <w:proofErr w:type="spellEnd"/>
          </w:p>
        </w:tc>
        <w:tc>
          <w:tcPr>
            <w:tcW w:w="4536" w:type="dxa"/>
            <w:gridSpan w:val="2"/>
            <w:tcBorders>
              <w:top w:val="nil"/>
              <w:left w:val="nil"/>
              <w:bottom w:val="nil"/>
            </w:tcBorders>
          </w:tcPr>
          <w:p w14:paraId="106D2D6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&lt; 0.001</w:t>
            </w:r>
          </w:p>
        </w:tc>
      </w:tr>
      <w:tr w:rsidR="00C12E72" w:rsidRPr="00550752" w14:paraId="1E93C90C" w14:textId="77777777" w:rsidTr="00695792">
        <w:trPr>
          <w:trHeight w:val="233"/>
        </w:trPr>
        <w:tc>
          <w:tcPr>
            <w:tcW w:w="4111" w:type="dxa"/>
            <w:tcBorders>
              <w:top w:val="nil"/>
              <w:bottom w:val="nil"/>
              <w:right w:val="nil"/>
            </w:tcBorders>
          </w:tcPr>
          <w:p w14:paraId="2A8BE349" w14:textId="77777777" w:rsidR="00C12E72" w:rsidRPr="00550752" w:rsidRDefault="00C12E72" w:rsidP="00695792">
            <w:pPr>
              <w:keepNext/>
              <w:keepLines/>
              <w:spacing w:before="60" w:after="60"/>
              <w:ind w:left="720"/>
              <w:rPr>
                <w:rFonts w:ascii="Arial" w:hAnsi="Arial" w:cs="Arial"/>
                <w:sz w:val="18"/>
                <w:szCs w:val="18"/>
              </w:rPr>
            </w:pPr>
            <w:r w:rsidRPr="00550752">
              <w:rPr>
                <w:rFonts w:ascii="Arial" w:hAnsi="Arial" w:cs="Arial"/>
                <w:sz w:val="18"/>
                <w:szCs w:val="18"/>
              </w:rPr>
              <w:t>CR, n (%) [95% CI]</w:t>
            </w:r>
          </w:p>
        </w:tc>
        <w:tc>
          <w:tcPr>
            <w:tcW w:w="2268" w:type="dxa"/>
            <w:tcBorders>
              <w:top w:val="nil"/>
              <w:left w:val="nil"/>
              <w:bottom w:val="nil"/>
              <w:right w:val="nil"/>
            </w:tcBorders>
          </w:tcPr>
          <w:p w14:paraId="539B2290"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91 (33.6) (28.0, 39.5)</w:t>
            </w:r>
          </w:p>
        </w:tc>
        <w:tc>
          <w:tcPr>
            <w:tcW w:w="2268" w:type="dxa"/>
            <w:tcBorders>
              <w:top w:val="nil"/>
              <w:left w:val="nil"/>
              <w:bottom w:val="nil"/>
            </w:tcBorders>
          </w:tcPr>
          <w:p w14:paraId="0189CD40"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21 (15.7) (10, 23)</w:t>
            </w:r>
          </w:p>
        </w:tc>
      </w:tr>
      <w:tr w:rsidR="00C12E72" w:rsidRPr="00550752" w14:paraId="562AD8C7" w14:textId="77777777" w:rsidTr="00695792">
        <w:trPr>
          <w:trHeight w:val="269"/>
        </w:trPr>
        <w:tc>
          <w:tcPr>
            <w:tcW w:w="4111" w:type="dxa"/>
            <w:tcBorders>
              <w:top w:val="nil"/>
              <w:bottom w:val="nil"/>
              <w:right w:val="nil"/>
            </w:tcBorders>
          </w:tcPr>
          <w:p w14:paraId="26949F10" w14:textId="77777777" w:rsidR="00C12E72" w:rsidRPr="00550752" w:rsidRDefault="00C12E72" w:rsidP="00695792">
            <w:pPr>
              <w:keepNext/>
              <w:keepLines/>
              <w:spacing w:before="60" w:after="60"/>
              <w:ind w:left="720"/>
              <w:rPr>
                <w:rFonts w:ascii="Arial" w:hAnsi="Arial" w:cs="Arial"/>
                <w:sz w:val="18"/>
                <w:szCs w:val="18"/>
              </w:rPr>
            </w:pPr>
            <w:r w:rsidRPr="00550752">
              <w:rPr>
                <w:rFonts w:ascii="Arial" w:hAnsi="Arial" w:cs="Arial"/>
                <w:sz w:val="18"/>
                <w:szCs w:val="18"/>
              </w:rPr>
              <w:tab/>
              <w:t>Treatment difference [95% CI]</w:t>
            </w:r>
          </w:p>
        </w:tc>
        <w:tc>
          <w:tcPr>
            <w:tcW w:w="4536" w:type="dxa"/>
            <w:gridSpan w:val="2"/>
            <w:tcBorders>
              <w:top w:val="nil"/>
              <w:left w:val="nil"/>
              <w:bottom w:val="nil"/>
            </w:tcBorders>
          </w:tcPr>
          <w:p w14:paraId="2EA6F5A7"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17.9 (9.6, 26.2)</w:t>
            </w:r>
          </w:p>
        </w:tc>
      </w:tr>
      <w:tr w:rsidR="00C12E72" w:rsidRPr="00550752" w14:paraId="3B1B4395" w14:textId="77777777" w:rsidTr="00695792">
        <w:trPr>
          <w:trHeight w:val="170"/>
        </w:trPr>
        <w:tc>
          <w:tcPr>
            <w:tcW w:w="4111" w:type="dxa"/>
            <w:tcBorders>
              <w:top w:val="nil"/>
              <w:bottom w:val="nil"/>
              <w:right w:val="nil"/>
            </w:tcBorders>
          </w:tcPr>
          <w:p w14:paraId="44CB28F7" w14:textId="77777777" w:rsidR="00C12E72" w:rsidRPr="00550752" w:rsidRDefault="00C12E72" w:rsidP="00695792">
            <w:pPr>
              <w:keepNext/>
              <w:keepLines/>
              <w:spacing w:before="60" w:after="60"/>
              <w:ind w:left="720"/>
              <w:rPr>
                <w:rFonts w:ascii="Arial" w:hAnsi="Arial" w:cs="Arial"/>
                <w:sz w:val="18"/>
                <w:szCs w:val="18"/>
              </w:rPr>
            </w:pPr>
            <w:r w:rsidRPr="00550752">
              <w:rPr>
                <w:rFonts w:ascii="Arial" w:hAnsi="Arial" w:cs="Arial"/>
                <w:sz w:val="18"/>
                <w:szCs w:val="18"/>
              </w:rPr>
              <w:tab/>
              <w:t>p-</w:t>
            </w:r>
            <w:proofErr w:type="spellStart"/>
            <w:r w:rsidRPr="00550752">
              <w:rPr>
                <w:rFonts w:ascii="Arial" w:hAnsi="Arial" w:cs="Arial"/>
                <w:sz w:val="18"/>
                <w:szCs w:val="18"/>
              </w:rPr>
              <w:t>value</w:t>
            </w:r>
            <w:r w:rsidRPr="00550752">
              <w:rPr>
                <w:rFonts w:ascii="Arial" w:hAnsi="Arial" w:cs="Arial"/>
                <w:sz w:val="18"/>
                <w:szCs w:val="18"/>
                <w:vertAlign w:val="superscript"/>
              </w:rPr>
              <w:t>f</w:t>
            </w:r>
            <w:proofErr w:type="spellEnd"/>
          </w:p>
        </w:tc>
        <w:tc>
          <w:tcPr>
            <w:tcW w:w="4536" w:type="dxa"/>
            <w:gridSpan w:val="2"/>
            <w:tcBorders>
              <w:top w:val="nil"/>
              <w:left w:val="nil"/>
              <w:bottom w:val="nil"/>
            </w:tcBorders>
          </w:tcPr>
          <w:p w14:paraId="40EF65A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&lt; 0.001</w:t>
            </w:r>
          </w:p>
        </w:tc>
      </w:tr>
      <w:tr w:rsidR="00C12E72" w:rsidRPr="00550752" w14:paraId="34D697A8" w14:textId="77777777" w:rsidTr="00695792">
        <w:trPr>
          <w:trHeight w:val="206"/>
        </w:trPr>
        <w:tc>
          <w:tcPr>
            <w:tcW w:w="8647" w:type="dxa"/>
            <w:gridSpan w:val="3"/>
            <w:tcBorders>
              <w:top w:val="nil"/>
              <w:bottom w:val="nil"/>
            </w:tcBorders>
          </w:tcPr>
          <w:p w14:paraId="1FFC8066"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Duration of CR/</w:t>
            </w:r>
            <w:proofErr w:type="spellStart"/>
            <w:r w:rsidRPr="00550752">
              <w:rPr>
                <w:rFonts w:ascii="Arial" w:hAnsi="Arial" w:cs="Arial"/>
                <w:sz w:val="18"/>
                <w:szCs w:val="18"/>
              </w:rPr>
              <w:t>CRh</w:t>
            </w:r>
            <w:proofErr w:type="spellEnd"/>
            <w:r w:rsidRPr="00550752">
              <w:rPr>
                <w:rFonts w:ascii="Arial" w:hAnsi="Arial" w:cs="Arial"/>
                <w:sz w:val="18"/>
                <w:szCs w:val="18"/>
              </w:rPr>
              <w:t>*/</w:t>
            </w:r>
            <w:proofErr w:type="spellStart"/>
            <w:r w:rsidRPr="00550752">
              <w:rPr>
                <w:rFonts w:ascii="Arial" w:hAnsi="Arial" w:cs="Arial"/>
                <w:sz w:val="18"/>
                <w:szCs w:val="18"/>
              </w:rPr>
              <w:t>CRi</w:t>
            </w:r>
            <w:r w:rsidRPr="00550752">
              <w:rPr>
                <w:rFonts w:ascii="Arial" w:hAnsi="Arial" w:cs="Arial"/>
                <w:sz w:val="18"/>
                <w:szCs w:val="18"/>
                <w:vertAlign w:val="superscript"/>
              </w:rPr>
              <w:t>g</w:t>
            </w:r>
            <w:proofErr w:type="spellEnd"/>
          </w:p>
        </w:tc>
      </w:tr>
      <w:tr w:rsidR="00C12E72" w:rsidRPr="00550752" w14:paraId="03FB3D4F" w14:textId="77777777" w:rsidTr="00695792">
        <w:trPr>
          <w:trHeight w:val="242"/>
        </w:trPr>
        <w:tc>
          <w:tcPr>
            <w:tcW w:w="4111" w:type="dxa"/>
            <w:tcBorders>
              <w:top w:val="nil"/>
              <w:bottom w:val="nil"/>
              <w:right w:val="nil"/>
            </w:tcBorders>
          </w:tcPr>
          <w:p w14:paraId="2784D044"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ab/>
              <w:t>Median, months [95% CI]</w:t>
            </w:r>
          </w:p>
        </w:tc>
        <w:tc>
          <w:tcPr>
            <w:tcW w:w="2268" w:type="dxa"/>
            <w:tcBorders>
              <w:top w:val="nil"/>
              <w:left w:val="nil"/>
              <w:bottom w:val="nil"/>
              <w:right w:val="nil"/>
            </w:tcBorders>
          </w:tcPr>
          <w:p w14:paraId="2D367814"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7.3 (5.8, 9.9)</w:t>
            </w:r>
          </w:p>
        </w:tc>
        <w:tc>
          <w:tcPr>
            <w:tcW w:w="2268" w:type="dxa"/>
            <w:tcBorders>
              <w:top w:val="nil"/>
              <w:left w:val="nil"/>
              <w:bottom w:val="nil"/>
            </w:tcBorders>
          </w:tcPr>
          <w:p w14:paraId="1DA953A9"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4.6 (1.8, 19)</w:t>
            </w:r>
          </w:p>
        </w:tc>
      </w:tr>
      <w:tr w:rsidR="00C12E72" w:rsidRPr="00550752" w14:paraId="37F36971" w14:textId="77777777" w:rsidTr="00695792">
        <w:trPr>
          <w:trHeight w:val="260"/>
        </w:trPr>
        <w:tc>
          <w:tcPr>
            <w:tcW w:w="8647" w:type="dxa"/>
            <w:gridSpan w:val="3"/>
            <w:tcBorders>
              <w:top w:val="nil"/>
              <w:bottom w:val="nil"/>
            </w:tcBorders>
          </w:tcPr>
          <w:p w14:paraId="586BBB0B"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 xml:space="preserve">Event-free </w:t>
            </w:r>
            <w:proofErr w:type="spellStart"/>
            <w:r w:rsidRPr="00550752">
              <w:rPr>
                <w:rFonts w:ascii="Arial" w:hAnsi="Arial" w:cs="Arial"/>
                <w:sz w:val="18"/>
                <w:szCs w:val="18"/>
              </w:rPr>
              <w:t>Survival</w:t>
            </w:r>
            <w:r w:rsidRPr="00550752">
              <w:rPr>
                <w:rFonts w:ascii="Arial" w:hAnsi="Arial" w:cs="Arial"/>
                <w:sz w:val="18"/>
                <w:szCs w:val="18"/>
                <w:vertAlign w:val="superscript"/>
              </w:rPr>
              <w:t>h</w:t>
            </w:r>
            <w:proofErr w:type="spellEnd"/>
            <w:r w:rsidRPr="00550752">
              <w:rPr>
                <w:rFonts w:ascii="Arial" w:hAnsi="Arial" w:cs="Arial"/>
                <w:sz w:val="18"/>
                <w:szCs w:val="18"/>
              </w:rPr>
              <w:t xml:space="preserve"> </w:t>
            </w:r>
          </w:p>
        </w:tc>
      </w:tr>
      <w:tr w:rsidR="00C12E72" w:rsidRPr="00550752" w14:paraId="382D52D8" w14:textId="77777777" w:rsidTr="00695792">
        <w:trPr>
          <w:trHeight w:val="179"/>
        </w:trPr>
        <w:tc>
          <w:tcPr>
            <w:tcW w:w="4111" w:type="dxa"/>
            <w:tcBorders>
              <w:top w:val="nil"/>
              <w:bottom w:val="nil"/>
              <w:right w:val="nil"/>
            </w:tcBorders>
          </w:tcPr>
          <w:p w14:paraId="1020E2BB" w14:textId="77777777" w:rsidR="00C12E72" w:rsidRPr="00550752" w:rsidRDefault="00C12E72" w:rsidP="00695792">
            <w:pPr>
              <w:keepNext/>
              <w:keepLines/>
              <w:spacing w:before="60" w:after="60"/>
              <w:ind w:left="929" w:hanging="929"/>
              <w:rPr>
                <w:rFonts w:ascii="Arial" w:hAnsi="Arial" w:cs="Arial"/>
                <w:sz w:val="18"/>
                <w:szCs w:val="18"/>
              </w:rPr>
            </w:pPr>
            <w:r w:rsidRPr="00550752">
              <w:rPr>
                <w:rFonts w:ascii="Arial" w:hAnsi="Arial" w:cs="Arial"/>
                <w:sz w:val="18"/>
                <w:szCs w:val="18"/>
              </w:rPr>
              <w:tab/>
              <w:t>6-month estimate % [95% CI]</w:t>
            </w:r>
          </w:p>
        </w:tc>
        <w:tc>
          <w:tcPr>
            <w:tcW w:w="2268" w:type="dxa"/>
            <w:tcBorders>
              <w:top w:val="nil"/>
              <w:left w:val="nil"/>
              <w:bottom w:val="nil"/>
              <w:right w:val="nil"/>
            </w:tcBorders>
          </w:tcPr>
          <w:p w14:paraId="58A6C8C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30.7 (25, 36.5)</w:t>
            </w:r>
          </w:p>
        </w:tc>
        <w:tc>
          <w:tcPr>
            <w:tcW w:w="2268" w:type="dxa"/>
            <w:tcBorders>
              <w:top w:val="nil"/>
              <w:left w:val="nil"/>
              <w:bottom w:val="nil"/>
            </w:tcBorders>
          </w:tcPr>
          <w:p w14:paraId="1171072F"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12.5 (7.2, 19.2)</w:t>
            </w:r>
          </w:p>
        </w:tc>
      </w:tr>
      <w:tr w:rsidR="00C12E72" w:rsidRPr="00550752" w14:paraId="24B3AC80" w14:textId="77777777" w:rsidTr="00695792">
        <w:trPr>
          <w:trHeight w:val="215"/>
        </w:trPr>
        <w:tc>
          <w:tcPr>
            <w:tcW w:w="4111" w:type="dxa"/>
            <w:tcBorders>
              <w:top w:val="nil"/>
              <w:bottom w:val="nil"/>
              <w:right w:val="nil"/>
            </w:tcBorders>
          </w:tcPr>
          <w:p w14:paraId="3DCFE7DC" w14:textId="77777777" w:rsidR="00C12E72" w:rsidRPr="00550752" w:rsidRDefault="00C12E72" w:rsidP="00695792">
            <w:pPr>
              <w:keepNext/>
              <w:keepLines/>
              <w:spacing w:before="60" w:after="60"/>
              <w:ind w:left="929" w:hanging="929"/>
              <w:rPr>
                <w:rFonts w:ascii="Arial" w:hAnsi="Arial" w:cs="Arial"/>
                <w:sz w:val="18"/>
                <w:szCs w:val="18"/>
              </w:rPr>
            </w:pPr>
            <w:r w:rsidRPr="00550752">
              <w:rPr>
                <w:rFonts w:ascii="Arial" w:hAnsi="Arial" w:cs="Arial"/>
                <w:sz w:val="18"/>
                <w:szCs w:val="18"/>
              </w:rPr>
              <w:tab/>
              <w:t>Hazard Ratio [95% CI]</w:t>
            </w:r>
          </w:p>
        </w:tc>
        <w:tc>
          <w:tcPr>
            <w:tcW w:w="4536" w:type="dxa"/>
            <w:gridSpan w:val="2"/>
            <w:tcBorders>
              <w:top w:val="nil"/>
              <w:left w:val="nil"/>
              <w:bottom w:val="nil"/>
            </w:tcBorders>
          </w:tcPr>
          <w:p w14:paraId="6BFEB005"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0.55 (0.43, 0.71)</w:t>
            </w:r>
          </w:p>
        </w:tc>
      </w:tr>
      <w:tr w:rsidR="00C12E72" w:rsidRPr="00550752" w14:paraId="7DAB00EF" w14:textId="77777777" w:rsidTr="00695792">
        <w:trPr>
          <w:trHeight w:val="233"/>
        </w:trPr>
        <w:tc>
          <w:tcPr>
            <w:tcW w:w="8647" w:type="dxa"/>
            <w:gridSpan w:val="3"/>
            <w:tcBorders>
              <w:top w:val="nil"/>
              <w:bottom w:val="nil"/>
            </w:tcBorders>
          </w:tcPr>
          <w:p w14:paraId="1BED6792" w14:textId="77777777" w:rsidR="00C12E72" w:rsidRPr="00550752" w:rsidRDefault="00C12E72" w:rsidP="00695792">
            <w:pPr>
              <w:keepNext/>
              <w:keepLines/>
              <w:spacing w:before="60" w:after="60"/>
              <w:rPr>
                <w:rFonts w:ascii="Arial" w:hAnsi="Arial" w:cs="Arial"/>
                <w:sz w:val="18"/>
                <w:szCs w:val="18"/>
              </w:rPr>
            </w:pPr>
            <w:r w:rsidRPr="00550752">
              <w:rPr>
                <w:rFonts w:ascii="Arial" w:hAnsi="Arial" w:cs="Arial"/>
                <w:sz w:val="18"/>
                <w:szCs w:val="18"/>
              </w:rPr>
              <w:t xml:space="preserve">MRD </w:t>
            </w:r>
            <w:proofErr w:type="spellStart"/>
            <w:r w:rsidRPr="00550752">
              <w:rPr>
                <w:rFonts w:ascii="Arial" w:hAnsi="Arial" w:cs="Arial"/>
                <w:sz w:val="18"/>
                <w:szCs w:val="18"/>
              </w:rPr>
              <w:t>Response</w:t>
            </w:r>
            <w:r w:rsidRPr="00550752">
              <w:rPr>
                <w:rFonts w:ascii="Arial" w:hAnsi="Arial" w:cs="Arial"/>
                <w:sz w:val="18"/>
                <w:szCs w:val="18"/>
                <w:vertAlign w:val="superscript"/>
              </w:rPr>
              <w:t>j</w:t>
            </w:r>
            <w:proofErr w:type="spellEnd"/>
            <w:r w:rsidRPr="00550752">
              <w:rPr>
                <w:rFonts w:ascii="Arial" w:hAnsi="Arial" w:cs="Arial"/>
                <w:sz w:val="18"/>
                <w:szCs w:val="18"/>
              </w:rPr>
              <w:t xml:space="preserve"> for CR/</w:t>
            </w:r>
            <w:proofErr w:type="spellStart"/>
            <w:r w:rsidRPr="00550752">
              <w:rPr>
                <w:rFonts w:ascii="Arial" w:hAnsi="Arial" w:cs="Arial"/>
                <w:sz w:val="18"/>
                <w:szCs w:val="18"/>
              </w:rPr>
              <w:t>CRh</w:t>
            </w:r>
            <w:proofErr w:type="spellEnd"/>
            <w:r w:rsidRPr="00550752">
              <w:rPr>
                <w:rFonts w:ascii="Arial" w:hAnsi="Arial" w:cs="Arial"/>
                <w:sz w:val="18"/>
                <w:szCs w:val="18"/>
              </w:rPr>
              <w:t>*/</w:t>
            </w:r>
            <w:proofErr w:type="spellStart"/>
            <w:r w:rsidRPr="00550752">
              <w:rPr>
                <w:rFonts w:ascii="Arial" w:hAnsi="Arial" w:cs="Arial"/>
                <w:sz w:val="18"/>
                <w:szCs w:val="18"/>
              </w:rPr>
              <w:t>CRi</w:t>
            </w:r>
            <w:proofErr w:type="spellEnd"/>
            <w:r w:rsidRPr="00550752">
              <w:rPr>
                <w:rFonts w:ascii="Arial" w:hAnsi="Arial" w:cs="Arial"/>
                <w:sz w:val="18"/>
                <w:szCs w:val="18"/>
              </w:rPr>
              <w:t xml:space="preserve">  </w:t>
            </w:r>
          </w:p>
        </w:tc>
      </w:tr>
      <w:tr w:rsidR="00C12E72" w:rsidRPr="00550752" w14:paraId="04736B5E" w14:textId="77777777" w:rsidTr="00695792">
        <w:trPr>
          <w:trHeight w:val="269"/>
        </w:trPr>
        <w:tc>
          <w:tcPr>
            <w:tcW w:w="4111" w:type="dxa"/>
            <w:tcBorders>
              <w:top w:val="nil"/>
              <w:bottom w:val="single" w:sz="4" w:space="0" w:color="auto"/>
              <w:right w:val="nil"/>
            </w:tcBorders>
          </w:tcPr>
          <w:p w14:paraId="244FDA2B" w14:textId="77777777" w:rsidR="00C12E72" w:rsidRPr="00550752" w:rsidRDefault="00C12E72" w:rsidP="00695792">
            <w:pPr>
              <w:keepNext/>
              <w:keepLines/>
              <w:spacing w:before="60" w:after="60"/>
              <w:rPr>
                <w:rFonts w:ascii="Arial" w:hAnsi="Arial" w:cs="Arial"/>
                <w:sz w:val="18"/>
                <w:szCs w:val="18"/>
              </w:rPr>
            </w:pPr>
            <w:r w:rsidRPr="00550752">
              <w:rPr>
                <w:rFonts w:ascii="Arial" w:eastAsia="Calibri" w:hAnsi="Arial" w:cs="Arial"/>
                <w:sz w:val="18"/>
                <w:szCs w:val="18"/>
              </w:rPr>
              <w:t>n1/n2 (</w:t>
            </w:r>
            <w:r w:rsidRPr="00550752">
              <w:rPr>
                <w:rFonts w:ascii="Arial" w:hAnsi="Arial" w:cs="Arial"/>
                <w:sz w:val="18"/>
                <w:szCs w:val="18"/>
              </w:rPr>
              <w:t>%)</w:t>
            </w:r>
            <w:r w:rsidRPr="00550752">
              <w:rPr>
                <w:rFonts w:ascii="Arial" w:hAnsi="Arial" w:cs="Arial"/>
                <w:sz w:val="18"/>
                <w:szCs w:val="18"/>
                <w:vertAlign w:val="superscript"/>
              </w:rPr>
              <w:t>j</w:t>
            </w:r>
            <w:r w:rsidRPr="00550752">
              <w:rPr>
                <w:rFonts w:ascii="Arial" w:hAnsi="Arial" w:cs="Arial"/>
                <w:sz w:val="18"/>
                <w:szCs w:val="18"/>
              </w:rPr>
              <w:t xml:space="preserve"> [95% CI]</w:t>
            </w:r>
          </w:p>
        </w:tc>
        <w:tc>
          <w:tcPr>
            <w:tcW w:w="2268" w:type="dxa"/>
            <w:tcBorders>
              <w:top w:val="nil"/>
              <w:left w:val="nil"/>
              <w:bottom w:val="single" w:sz="4" w:space="0" w:color="auto"/>
              <w:right w:val="nil"/>
            </w:tcBorders>
          </w:tcPr>
          <w:p w14:paraId="26717B84" w14:textId="5D53A5B9" w:rsidR="00C12E72" w:rsidRPr="00E42047" w:rsidRDefault="00C12E72" w:rsidP="00695792">
            <w:pPr>
              <w:keepNext/>
              <w:keepLines/>
              <w:spacing w:before="60" w:after="60"/>
              <w:jc w:val="center"/>
              <w:rPr>
                <w:rFonts w:ascii="Arial" w:hAnsi="Arial" w:cs="Arial"/>
                <w:strike/>
                <w:color w:val="000000" w:themeColor="text1"/>
                <w:sz w:val="18"/>
                <w:szCs w:val="18"/>
              </w:rPr>
            </w:pPr>
            <w:r w:rsidRPr="00E42047">
              <w:rPr>
                <w:rFonts w:ascii="Arial" w:hAnsi="Arial" w:cs="Arial"/>
                <w:color w:val="000000" w:themeColor="text1"/>
                <w:sz w:val="18"/>
                <w:szCs w:val="18"/>
              </w:rPr>
              <w:t>74/119 (62.2) (52.8, 70.9)</w:t>
            </w:r>
          </w:p>
        </w:tc>
        <w:tc>
          <w:tcPr>
            <w:tcW w:w="2268" w:type="dxa"/>
            <w:tcBorders>
              <w:top w:val="nil"/>
              <w:left w:val="nil"/>
              <w:bottom w:val="single" w:sz="4" w:space="0" w:color="auto"/>
            </w:tcBorders>
          </w:tcPr>
          <w:p w14:paraId="6A9C2CE6" w14:textId="77777777" w:rsidR="00C12E72" w:rsidRPr="00550752" w:rsidRDefault="00C12E72" w:rsidP="00695792">
            <w:pPr>
              <w:keepNext/>
              <w:keepLines/>
              <w:spacing w:before="60" w:after="60"/>
              <w:jc w:val="center"/>
              <w:rPr>
                <w:rFonts w:ascii="Arial" w:hAnsi="Arial" w:cs="Arial"/>
                <w:sz w:val="18"/>
                <w:szCs w:val="18"/>
              </w:rPr>
            </w:pPr>
            <w:r w:rsidRPr="00550752">
              <w:rPr>
                <w:rFonts w:ascii="Arial" w:hAnsi="Arial" w:cs="Arial"/>
                <w:sz w:val="18"/>
                <w:szCs w:val="18"/>
              </w:rPr>
              <w:t>16/33 (48.5) (30.8, 66.5)</w:t>
            </w:r>
          </w:p>
        </w:tc>
      </w:tr>
      <w:tr w:rsidR="00C12E72" w:rsidRPr="00550752" w14:paraId="14C0AAC0" w14:textId="77777777" w:rsidTr="00695792">
        <w:trPr>
          <w:trHeight w:val="56"/>
        </w:trPr>
        <w:tc>
          <w:tcPr>
            <w:tcW w:w="8647" w:type="dxa"/>
            <w:gridSpan w:val="3"/>
            <w:tcBorders>
              <w:top w:val="single" w:sz="4" w:space="0" w:color="auto"/>
              <w:left w:val="nil"/>
              <w:bottom w:val="nil"/>
              <w:right w:val="nil"/>
            </w:tcBorders>
          </w:tcPr>
          <w:p w14:paraId="5AEAB9A2"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Based on stratified Cox’s model.</w:t>
            </w:r>
          </w:p>
          <w:p w14:paraId="79E05670"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 xml:space="preserve">The p-value was derived using stratified log-rank test. </w:t>
            </w:r>
          </w:p>
          <w:p w14:paraId="2E60F7AE"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 xml:space="preserve">CR was defined as </w:t>
            </w:r>
            <w:r w:rsidRPr="00E42047">
              <w:rPr>
                <w:rFonts w:ascii="Arial" w:hAnsi="Arial" w:cs="Arial"/>
                <w:color w:val="000000" w:themeColor="text1"/>
                <w:sz w:val="18"/>
                <w:szCs w:val="18"/>
              </w:rPr>
              <w:sym w:font="Symbol" w:char="F0A3"/>
            </w:r>
            <w:r w:rsidRPr="00E42047">
              <w:rPr>
                <w:rFonts w:ascii="Arial" w:hAnsi="Arial" w:cs="Arial"/>
                <w:color w:val="000000" w:themeColor="text1"/>
                <w:sz w:val="18"/>
                <w:szCs w:val="18"/>
              </w:rPr>
              <w:t> 5% blasts in the bone marrow, no evidence of disease, and full recovery of peripheral blood counts (platelets &gt; 100,000/microliter and absolute neutrophil counts [ANC] &gt; 1,000/microliter).</w:t>
            </w:r>
          </w:p>
          <w:p w14:paraId="590AA4C0" w14:textId="64819240"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 xml:space="preserve">* (complete remission with partial </w:t>
            </w:r>
            <w:proofErr w:type="spellStart"/>
            <w:r w:rsidRPr="00E42047">
              <w:rPr>
                <w:rFonts w:ascii="Arial" w:hAnsi="Arial" w:cs="Arial"/>
                <w:color w:val="000000" w:themeColor="text1"/>
                <w:sz w:val="18"/>
                <w:szCs w:val="18"/>
              </w:rPr>
              <w:t>h</w:t>
            </w:r>
            <w:r w:rsidR="00F84C66" w:rsidRPr="00E42047">
              <w:rPr>
                <w:rFonts w:ascii="Arial" w:hAnsi="Arial" w:cs="Arial"/>
                <w:color w:val="000000" w:themeColor="text1"/>
                <w:sz w:val="18"/>
                <w:szCs w:val="18"/>
              </w:rPr>
              <w:t>a</w:t>
            </w:r>
            <w:r w:rsidRPr="00E42047">
              <w:rPr>
                <w:rFonts w:ascii="Arial" w:hAnsi="Arial" w:cs="Arial"/>
                <w:color w:val="000000" w:themeColor="text1"/>
                <w:sz w:val="18"/>
                <w:szCs w:val="18"/>
              </w:rPr>
              <w:t>ematologic</w:t>
            </w:r>
            <w:proofErr w:type="spellEnd"/>
            <w:r w:rsidRPr="00E42047">
              <w:rPr>
                <w:rFonts w:ascii="Arial" w:hAnsi="Arial" w:cs="Arial"/>
                <w:color w:val="000000" w:themeColor="text1"/>
                <w:sz w:val="18"/>
                <w:szCs w:val="18"/>
              </w:rPr>
              <w:t xml:space="preserve"> recovery) was defined as </w:t>
            </w:r>
            <w:r w:rsidRPr="00E42047">
              <w:rPr>
                <w:rFonts w:ascii="Arial" w:hAnsi="Arial" w:cs="Arial"/>
                <w:color w:val="000000" w:themeColor="text1"/>
                <w:sz w:val="18"/>
                <w:szCs w:val="18"/>
              </w:rPr>
              <w:sym w:font="Symbol" w:char="F0A3"/>
            </w:r>
            <w:r w:rsidRPr="00E42047">
              <w:rPr>
                <w:rFonts w:ascii="Arial" w:hAnsi="Arial" w:cs="Arial"/>
                <w:color w:val="000000" w:themeColor="text1"/>
                <w:sz w:val="18"/>
                <w:szCs w:val="18"/>
              </w:rPr>
              <w:t> 5% blasts in the bone marrow, no evidence of disease, and partial recovery of peripheral blood counts (platelets &gt; 50,000/microliter and ANC &gt; 500/microliter).</w:t>
            </w:r>
          </w:p>
          <w:p w14:paraId="085F5217" w14:textId="477CA065"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 xml:space="preserve"> (complete remission with incomplete </w:t>
            </w:r>
            <w:proofErr w:type="spellStart"/>
            <w:r w:rsidRPr="00E42047">
              <w:rPr>
                <w:rFonts w:ascii="Arial" w:hAnsi="Arial" w:cs="Arial"/>
                <w:color w:val="000000" w:themeColor="text1"/>
                <w:sz w:val="18"/>
                <w:szCs w:val="18"/>
              </w:rPr>
              <w:t>h</w:t>
            </w:r>
            <w:r w:rsidR="00F84C66" w:rsidRPr="00E42047">
              <w:rPr>
                <w:rFonts w:ascii="Arial" w:hAnsi="Arial" w:cs="Arial"/>
                <w:color w:val="000000" w:themeColor="text1"/>
                <w:sz w:val="18"/>
                <w:szCs w:val="18"/>
              </w:rPr>
              <w:t>a</w:t>
            </w:r>
            <w:r w:rsidR="005D124A">
              <w:rPr>
                <w:rFonts w:ascii="Arial" w:hAnsi="Arial" w:cs="Arial"/>
                <w:color w:val="000000" w:themeColor="text1"/>
                <w:sz w:val="18"/>
                <w:szCs w:val="18"/>
              </w:rPr>
              <w:t>e</w:t>
            </w:r>
            <w:r w:rsidRPr="00E42047">
              <w:rPr>
                <w:rFonts w:ascii="Arial" w:hAnsi="Arial" w:cs="Arial"/>
                <w:color w:val="000000" w:themeColor="text1"/>
                <w:sz w:val="18"/>
                <w:szCs w:val="18"/>
              </w:rPr>
              <w:t>matologic</w:t>
            </w:r>
            <w:proofErr w:type="spellEnd"/>
            <w:r w:rsidRPr="00E42047">
              <w:rPr>
                <w:rFonts w:ascii="Arial" w:hAnsi="Arial" w:cs="Arial"/>
                <w:color w:val="000000" w:themeColor="text1"/>
                <w:sz w:val="18"/>
                <w:szCs w:val="18"/>
              </w:rPr>
              <w:t xml:space="preserve"> recovery) was defined as </w:t>
            </w:r>
            <w:r w:rsidRPr="00E42047">
              <w:rPr>
                <w:rFonts w:ascii="Arial" w:hAnsi="Arial" w:cs="Arial"/>
                <w:color w:val="000000" w:themeColor="text1"/>
                <w:sz w:val="18"/>
                <w:szCs w:val="18"/>
              </w:rPr>
              <w:sym w:font="Symbol" w:char="F0A3"/>
            </w:r>
            <w:r w:rsidRPr="00E42047">
              <w:rPr>
                <w:rFonts w:ascii="Arial" w:hAnsi="Arial" w:cs="Arial"/>
                <w:color w:val="000000" w:themeColor="text1"/>
                <w:sz w:val="18"/>
                <w:szCs w:val="18"/>
              </w:rPr>
              <w:t> 5% blasts in the bone marrow, no evidence of disease, and incomplete recovery of peripheral blood counts (platelets &gt; 100,000/microliter or ANC &gt; 1,000/microliter).</w:t>
            </w:r>
          </w:p>
          <w:p w14:paraId="4BDCE4E4"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The p-value was derived using Cochran-Mantel-</w:t>
            </w:r>
            <w:proofErr w:type="spellStart"/>
            <w:r w:rsidRPr="00E42047">
              <w:rPr>
                <w:rFonts w:ascii="Arial" w:hAnsi="Arial" w:cs="Arial"/>
                <w:color w:val="000000" w:themeColor="text1"/>
                <w:sz w:val="18"/>
                <w:szCs w:val="18"/>
              </w:rPr>
              <w:t>Haenszel</w:t>
            </w:r>
            <w:proofErr w:type="spellEnd"/>
            <w:r w:rsidRPr="00E42047">
              <w:rPr>
                <w:rFonts w:ascii="Arial" w:hAnsi="Arial" w:cs="Arial"/>
                <w:color w:val="000000" w:themeColor="text1"/>
                <w:sz w:val="18"/>
                <w:szCs w:val="18"/>
              </w:rPr>
              <w:t xml:space="preserve"> test</w:t>
            </w:r>
          </w:p>
          <w:p w14:paraId="7445E2EE"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Duration of CR/</w:t>
            </w: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w:t>
            </w: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 xml:space="preserve"> was defined as time since first response to relapse or death, whichever is earlier.  Relapse was defined as haematological relapse (blasts in bone marrow greater than 5% following CR) or an </w:t>
            </w:r>
            <w:proofErr w:type="spellStart"/>
            <w:r w:rsidRPr="00E42047">
              <w:rPr>
                <w:rFonts w:ascii="Arial" w:hAnsi="Arial" w:cs="Arial"/>
                <w:color w:val="000000" w:themeColor="text1"/>
                <w:sz w:val="18"/>
                <w:szCs w:val="18"/>
              </w:rPr>
              <w:t>extramedullary</w:t>
            </w:r>
            <w:proofErr w:type="spellEnd"/>
            <w:r w:rsidRPr="00E42047">
              <w:rPr>
                <w:rFonts w:ascii="Arial" w:hAnsi="Arial" w:cs="Arial"/>
                <w:color w:val="000000" w:themeColor="text1"/>
                <w:sz w:val="18"/>
                <w:szCs w:val="18"/>
              </w:rPr>
              <w:t xml:space="preserve"> relapse.</w:t>
            </w:r>
          </w:p>
          <w:p w14:paraId="381FB813" w14:textId="77777777" w:rsidR="00C12E72" w:rsidRPr="00E42047" w:rsidRDefault="00C12E72" w:rsidP="00C12E72">
            <w:pPr>
              <w:pStyle w:val="ListParagraph"/>
              <w:keepNext/>
              <w:keepLines/>
              <w:numPr>
                <w:ilvl w:val="0"/>
                <w:numId w:val="26"/>
              </w:numPr>
              <w:autoSpaceDE w:val="0"/>
              <w:autoSpaceDN w:val="0"/>
              <w:adjustRightInd w:val="0"/>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EFS time was calculated from the time of randomization until the date of disease assessment indicating a relapse after achieving a CR/</w:t>
            </w: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w:t>
            </w: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 xml:space="preserve"> or death, whichever is earlier.  Subjects who fail to achieve a CR/</w:t>
            </w: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w:t>
            </w: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 xml:space="preserve"> within 12 weeks of treatment initiation are considered treatment failures and assigned an EFS duration of 1 day.</w:t>
            </w:r>
          </w:p>
          <w:p w14:paraId="33E5953B"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MRD (minimum residual disease) response was defined as MRD by PCR or flow cytometry &lt; 1 x 10</w:t>
            </w:r>
            <w:r w:rsidRPr="00E42047">
              <w:rPr>
                <w:rFonts w:ascii="Arial" w:hAnsi="Arial" w:cs="Arial"/>
                <w:color w:val="000000" w:themeColor="text1"/>
                <w:sz w:val="18"/>
                <w:szCs w:val="18"/>
                <w:vertAlign w:val="superscript"/>
              </w:rPr>
              <w:t>-4</w:t>
            </w:r>
            <w:r w:rsidRPr="00E42047">
              <w:rPr>
                <w:rFonts w:ascii="Arial" w:hAnsi="Arial" w:cs="Arial"/>
                <w:color w:val="000000" w:themeColor="text1"/>
                <w:sz w:val="18"/>
                <w:szCs w:val="18"/>
              </w:rPr>
              <w:t xml:space="preserve">. </w:t>
            </w:r>
          </w:p>
          <w:p w14:paraId="099ADA98" w14:textId="77777777" w:rsidR="00C12E72" w:rsidRPr="00E42047" w:rsidRDefault="00C12E72" w:rsidP="00C12E72">
            <w:pPr>
              <w:pStyle w:val="ListParagraph"/>
              <w:keepNext/>
              <w:keepLines/>
              <w:numPr>
                <w:ilvl w:val="0"/>
                <w:numId w:val="26"/>
              </w:numPr>
              <w:suppressAutoHyphens/>
              <w:spacing w:after="0" w:line="240" w:lineRule="auto"/>
              <w:ind w:left="205" w:hanging="205"/>
              <w:contextualSpacing w:val="0"/>
              <w:rPr>
                <w:rFonts w:ascii="Arial" w:hAnsi="Arial" w:cs="Arial"/>
                <w:color w:val="000000" w:themeColor="text1"/>
                <w:sz w:val="18"/>
                <w:szCs w:val="18"/>
              </w:rPr>
            </w:pPr>
            <w:r w:rsidRPr="00E42047">
              <w:rPr>
                <w:rFonts w:ascii="Arial" w:hAnsi="Arial" w:cs="Arial"/>
                <w:color w:val="000000" w:themeColor="text1"/>
                <w:sz w:val="18"/>
                <w:szCs w:val="18"/>
              </w:rPr>
              <w:t>n1: number of patients who achieved MRD response and CR/</w:t>
            </w: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w:t>
            </w: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 n2: number of patients who achieved CR/</w:t>
            </w:r>
            <w:proofErr w:type="spellStart"/>
            <w:r w:rsidRPr="00E42047">
              <w:rPr>
                <w:rFonts w:ascii="Arial" w:hAnsi="Arial" w:cs="Arial"/>
                <w:color w:val="000000" w:themeColor="text1"/>
                <w:sz w:val="18"/>
                <w:szCs w:val="18"/>
              </w:rPr>
              <w:t>CRh</w:t>
            </w:r>
            <w:proofErr w:type="spellEnd"/>
            <w:r w:rsidRPr="00E42047">
              <w:rPr>
                <w:rFonts w:ascii="Arial" w:hAnsi="Arial" w:cs="Arial"/>
                <w:color w:val="000000" w:themeColor="text1"/>
                <w:sz w:val="18"/>
                <w:szCs w:val="18"/>
              </w:rPr>
              <w:t>*/</w:t>
            </w:r>
            <w:proofErr w:type="spellStart"/>
            <w:r w:rsidRPr="00E42047">
              <w:rPr>
                <w:rFonts w:ascii="Arial" w:hAnsi="Arial" w:cs="Arial"/>
                <w:color w:val="000000" w:themeColor="text1"/>
                <w:sz w:val="18"/>
                <w:szCs w:val="18"/>
              </w:rPr>
              <w:t>CRi</w:t>
            </w:r>
            <w:proofErr w:type="spellEnd"/>
            <w:r w:rsidRPr="00E42047">
              <w:rPr>
                <w:rFonts w:ascii="Arial" w:hAnsi="Arial" w:cs="Arial"/>
                <w:color w:val="000000" w:themeColor="text1"/>
                <w:sz w:val="18"/>
                <w:szCs w:val="18"/>
              </w:rPr>
              <w:t>.</w:t>
            </w:r>
          </w:p>
        </w:tc>
      </w:tr>
    </w:tbl>
    <w:p w14:paraId="1BC1D0E0" w14:textId="7BF910C5" w:rsidR="00311C47" w:rsidRDefault="00311C47" w:rsidP="007D43DB">
      <w:pPr>
        <w:autoSpaceDE w:val="0"/>
        <w:autoSpaceDN w:val="0"/>
        <w:adjustRightInd w:val="0"/>
        <w:spacing w:line="360" w:lineRule="auto"/>
        <w:rPr>
          <w:rFonts w:ascii="Arial" w:hAnsi="Arial" w:cs="Arial"/>
        </w:rPr>
      </w:pPr>
    </w:p>
    <w:p w14:paraId="2102536B" w14:textId="6ED26E3E" w:rsidR="00C12E72" w:rsidRPr="009A1F5F" w:rsidRDefault="00311C47" w:rsidP="00311C47">
      <w:pPr>
        <w:rPr>
          <w:rFonts w:ascii="Arial" w:hAnsi="Arial" w:cs="Arial"/>
        </w:rPr>
      </w:pPr>
      <w:r>
        <w:rPr>
          <w:rFonts w:ascii="Arial" w:hAnsi="Arial" w:cs="Arial"/>
        </w:rPr>
        <w:lastRenderedPageBreak/>
        <w:br w:type="page"/>
      </w:r>
    </w:p>
    <w:p w14:paraId="7576E243" w14:textId="77777777" w:rsidR="007D43DB" w:rsidRPr="00FF4079" w:rsidRDefault="007D43DB" w:rsidP="007D43DB">
      <w:pPr>
        <w:pStyle w:val="PI-Text"/>
      </w:pPr>
      <w:r w:rsidRPr="00FF4079">
        <w:rPr>
          <w:bCs/>
        </w:rPr>
        <w:lastRenderedPageBreak/>
        <w:t>In Study</w:t>
      </w:r>
      <w:r w:rsidR="009A1DB7">
        <w:rPr>
          <w:bCs/>
        </w:rPr>
        <w:t> </w:t>
      </w:r>
      <w:r w:rsidRPr="00FF4079">
        <w:rPr>
          <w:bCs/>
        </w:rPr>
        <w:t xml:space="preserve">2, the safety and efficacy of </w:t>
      </w:r>
      <w:proofErr w:type="spellStart"/>
      <w:r w:rsidRPr="00FF4079">
        <w:rPr>
          <w:bCs/>
        </w:rPr>
        <w:t>Blincyto</w:t>
      </w:r>
      <w:proofErr w:type="spellEnd"/>
      <w:r w:rsidRPr="00FF4079">
        <w:rPr>
          <w:bCs/>
        </w:rPr>
        <w:t xml:space="preserve"> were evaluated in an open-label, multicentre,</w:t>
      </w:r>
      <w:r w:rsidRPr="00FF4079">
        <w:t xml:space="preserve"> single-arm study. </w:t>
      </w:r>
      <w:r>
        <w:t xml:space="preserve"> </w:t>
      </w:r>
      <w:r w:rsidRPr="00FF4079">
        <w:t>Eligible patients were ≥</w:t>
      </w:r>
      <w:r w:rsidR="009A1DB7">
        <w:t> </w:t>
      </w:r>
      <w:r w:rsidRPr="00FF4079">
        <w:t>18 years of age with Philadelphia chromosome-negative relapsed or refractory B-precursor ALL (relapsed with first remission duration of ≤</w:t>
      </w:r>
      <w:r>
        <w:t> </w:t>
      </w:r>
      <w:r w:rsidRPr="00FF4079">
        <w:t>12 months in first salvage or relapsed or refractory after first salvage therapy or relapsed within 12</w:t>
      </w:r>
      <w:r w:rsidR="009A1DB7">
        <w:t> </w:t>
      </w:r>
      <w:r w:rsidRPr="00FF4079">
        <w:t xml:space="preserve">months of allogeneic HSCT, and had </w:t>
      </w:r>
      <w:r>
        <w:t>≥ </w:t>
      </w:r>
      <w:r w:rsidRPr="00FF4079">
        <w:t>10% blasts in bone marrow).</w:t>
      </w:r>
    </w:p>
    <w:p w14:paraId="6CD309B7" w14:textId="0DF75AC5" w:rsidR="007D43DB" w:rsidRPr="00FF4079" w:rsidRDefault="007D43DB" w:rsidP="007D43DB">
      <w:pPr>
        <w:pStyle w:val="PI-Text"/>
      </w:pPr>
      <w:proofErr w:type="spellStart"/>
      <w:r w:rsidRPr="00FF4079">
        <w:t>Blincyto</w:t>
      </w:r>
      <w:proofErr w:type="spellEnd"/>
      <w:r w:rsidRPr="00FF4079">
        <w:t xml:space="preserve"> was administered as a continuous intravenous infusion. </w:t>
      </w:r>
      <w:r>
        <w:t xml:space="preserve"> </w:t>
      </w:r>
      <w:r w:rsidRPr="00FF4079">
        <w:t>In the first cycle, the initial dose was 9</w:t>
      </w:r>
      <w:r w:rsidR="009A1DB7">
        <w:t> </w:t>
      </w:r>
      <w:r w:rsidRPr="00FF4079">
        <w:t>micrograms/day for week</w:t>
      </w:r>
      <w:r w:rsidR="00B61E97">
        <w:t> </w:t>
      </w:r>
      <w:r w:rsidRPr="00FF4079">
        <w:t>1, then 28</w:t>
      </w:r>
      <w:r w:rsidR="009A1DB7">
        <w:t> </w:t>
      </w:r>
      <w:r w:rsidRPr="00FF4079">
        <w:t>micrograms/day for the remaining 3</w:t>
      </w:r>
      <w:r w:rsidR="009A1DB7">
        <w:t> </w:t>
      </w:r>
      <w:r w:rsidRPr="00FF4079">
        <w:t xml:space="preserve">weeks. </w:t>
      </w:r>
      <w:r>
        <w:t xml:space="preserve"> </w:t>
      </w:r>
      <w:r w:rsidRPr="00FF4079">
        <w:t>The target dose of 28</w:t>
      </w:r>
      <w:r w:rsidR="009A1DB7">
        <w:t> </w:t>
      </w:r>
      <w:r w:rsidRPr="00FF4079">
        <w:t>micrograms/day was administered in cycle</w:t>
      </w:r>
      <w:r w:rsidR="009A1DB7">
        <w:t> </w:t>
      </w:r>
      <w:r w:rsidRPr="00FF4079">
        <w:t>2 and subsequent cycles starting on day</w:t>
      </w:r>
      <w:r w:rsidR="009A1DB7">
        <w:t> </w:t>
      </w:r>
      <w:r w:rsidRPr="00FF4079">
        <w:t xml:space="preserve">1 of each cycle. </w:t>
      </w:r>
      <w:r>
        <w:t xml:space="preserve"> </w:t>
      </w:r>
      <w:r w:rsidRPr="00FF4079">
        <w:t xml:space="preserve">Dose adjustment was possible in case of adverse events. </w:t>
      </w:r>
      <w:r>
        <w:t xml:space="preserve"> </w:t>
      </w:r>
      <w:r w:rsidRPr="00FF4079">
        <w:t>The treated population included 189</w:t>
      </w:r>
      <w:r w:rsidR="009A1DB7">
        <w:t> </w:t>
      </w:r>
      <w:r w:rsidRPr="00FF4079">
        <w:t>patients who received at least 1</w:t>
      </w:r>
      <w:r w:rsidR="009A1DB7">
        <w:t> </w:t>
      </w:r>
      <w:r w:rsidRPr="00FF4079">
        <w:t xml:space="preserve">infusion of </w:t>
      </w:r>
      <w:proofErr w:type="spellStart"/>
      <w:r w:rsidRPr="00FF4079">
        <w:t>Blincyto</w:t>
      </w:r>
      <w:proofErr w:type="spellEnd"/>
      <w:r w:rsidRPr="00FF4079">
        <w:t xml:space="preserve">; the median number of treatment cycles was 2 (range: 1 to 5). </w:t>
      </w:r>
      <w:r>
        <w:t xml:space="preserve"> </w:t>
      </w:r>
      <w:r w:rsidRPr="00FF4079">
        <w:t xml:space="preserve">Patients who responded to </w:t>
      </w:r>
      <w:proofErr w:type="spellStart"/>
      <w:r w:rsidRPr="00FF4079">
        <w:t>Blincyto</w:t>
      </w:r>
      <w:proofErr w:type="spellEnd"/>
      <w:r w:rsidRPr="00FF4079">
        <w:t xml:space="preserve"> but later relapsed had the option to be retreated with </w:t>
      </w:r>
      <w:proofErr w:type="spellStart"/>
      <w:r w:rsidRPr="00FF4079">
        <w:t>Blincyto</w:t>
      </w:r>
      <w:proofErr w:type="spellEnd"/>
      <w:r w:rsidRPr="00FF4079">
        <w:t xml:space="preserve">. </w:t>
      </w:r>
      <w:r>
        <w:t xml:space="preserve"> </w:t>
      </w:r>
      <w:r w:rsidRPr="00FF4079">
        <w:t>Among treated patients, the median age was 39</w:t>
      </w:r>
      <w:r w:rsidR="009A1DB7">
        <w:t> </w:t>
      </w:r>
      <w:r w:rsidRPr="00FF4079">
        <w:t xml:space="preserve">years (range: 18 to 79 years), 64 out of 189 (33.9%) had undergone HSCT prior to receiving </w:t>
      </w:r>
      <w:proofErr w:type="spellStart"/>
      <w:r w:rsidRPr="00FF4079">
        <w:t>Blincyto</w:t>
      </w:r>
      <w:proofErr w:type="spellEnd"/>
      <w:r w:rsidRPr="00FF4079">
        <w:t xml:space="preserve"> and 32 out of 189 (16.9%) had received more than 2</w:t>
      </w:r>
      <w:r w:rsidR="00C12E72">
        <w:t> </w:t>
      </w:r>
      <w:r w:rsidRPr="00FF4079">
        <w:t>prior salvage therapies.</w:t>
      </w:r>
    </w:p>
    <w:p w14:paraId="7728A88A" w14:textId="30C1CA51" w:rsidR="00311C47" w:rsidRDefault="007D43DB" w:rsidP="007D43DB">
      <w:pPr>
        <w:pStyle w:val="PI-Text"/>
      </w:pPr>
      <w:r w:rsidRPr="00FF4079">
        <w:t>The primary endpoint was the CR/</w:t>
      </w:r>
      <w:proofErr w:type="spellStart"/>
      <w:r w:rsidRPr="00FF4079">
        <w:t>CRh</w:t>
      </w:r>
      <w:proofErr w:type="spellEnd"/>
      <w:r w:rsidRPr="00FF4079">
        <w:t>* rate within 2</w:t>
      </w:r>
      <w:r w:rsidR="009A1DB7">
        <w:t> </w:t>
      </w:r>
      <w:r w:rsidRPr="00FF4079">
        <w:t xml:space="preserve">cycles of treatment with </w:t>
      </w:r>
      <w:proofErr w:type="spellStart"/>
      <w:r w:rsidRPr="00FF4079">
        <w:t>Blincyto</w:t>
      </w:r>
      <w:proofErr w:type="spellEnd"/>
      <w:r w:rsidRPr="00FF4079">
        <w:t xml:space="preserve">. </w:t>
      </w:r>
      <w:r>
        <w:t xml:space="preserve"> Eighty</w:t>
      </w:r>
      <w:r>
        <w:noBreakHyphen/>
      </w:r>
      <w:r w:rsidRPr="00FF4079">
        <w:t>one out of 189 (42.9%) patients achieved CR/</w:t>
      </w:r>
      <w:proofErr w:type="spellStart"/>
      <w:r w:rsidRPr="00FF4079">
        <w:t>CRh</w:t>
      </w:r>
      <w:proofErr w:type="spellEnd"/>
      <w:r w:rsidRPr="00FF4079">
        <w:t>* within the first 2</w:t>
      </w:r>
      <w:r w:rsidR="00C12E72">
        <w:t> </w:t>
      </w:r>
      <w:r w:rsidRPr="00FF4079">
        <w:t>treatment cycles with the majority of responses (64 out of 81) occurring within cycle</w:t>
      </w:r>
      <w:r w:rsidR="009A1DB7">
        <w:t> </w:t>
      </w:r>
      <w:r w:rsidRPr="00FF4079">
        <w:t xml:space="preserve">1 of treatment (see </w:t>
      </w:r>
      <w:r w:rsidR="00C12E72" w:rsidRPr="00E42047">
        <w:rPr>
          <w:color w:val="000000" w:themeColor="text1"/>
        </w:rPr>
        <w:fldChar w:fldCharType="begin"/>
      </w:r>
      <w:r w:rsidR="00C12E72" w:rsidRPr="00E42047">
        <w:rPr>
          <w:color w:val="000000" w:themeColor="text1"/>
        </w:rPr>
        <w:instrText xml:space="preserve"> REF _Ref448908197 \h  \* MERGEFORMAT </w:instrText>
      </w:r>
      <w:r w:rsidR="00C12E72" w:rsidRPr="00E42047">
        <w:rPr>
          <w:color w:val="000000" w:themeColor="text1"/>
        </w:rPr>
      </w:r>
      <w:r w:rsidR="00C12E72" w:rsidRPr="00E42047">
        <w:rPr>
          <w:color w:val="000000" w:themeColor="text1"/>
        </w:rPr>
        <w:fldChar w:fldCharType="separate"/>
      </w:r>
      <w:r w:rsidR="007667C8" w:rsidRPr="00E42047">
        <w:rPr>
          <w:color w:val="000000" w:themeColor="text1"/>
        </w:rPr>
        <w:t>Table </w:t>
      </w:r>
      <w:r w:rsidR="00C12E72" w:rsidRPr="00E42047">
        <w:rPr>
          <w:color w:val="000000" w:themeColor="text1"/>
        </w:rPr>
        <w:fldChar w:fldCharType="end"/>
      </w:r>
      <w:r w:rsidR="00C12E72" w:rsidRPr="00E42047">
        <w:rPr>
          <w:color w:val="000000" w:themeColor="text1"/>
        </w:rPr>
        <w:t xml:space="preserve">11 and Figure 3 </w:t>
      </w:r>
      <w:r w:rsidRPr="00E42047">
        <w:rPr>
          <w:color w:val="000000" w:themeColor="text1"/>
        </w:rPr>
        <w:t>b</w:t>
      </w:r>
      <w:r w:rsidRPr="00FF4079">
        <w:t xml:space="preserve">elow for efficacy results). </w:t>
      </w:r>
      <w:r>
        <w:t xml:space="preserve"> </w:t>
      </w:r>
      <w:r w:rsidRPr="00FF4079">
        <w:t>Four patients achieved CR during subsequent cycles, resulting in a cumulative CR rate of 35.4% (67 out of 189; 95% CI: 28.6% - 42.7%).</w:t>
      </w:r>
      <w:r>
        <w:t xml:space="preserve">  Thirty</w:t>
      </w:r>
      <w:r>
        <w:noBreakHyphen/>
      </w:r>
      <w:r w:rsidRPr="00FF4079">
        <w:t>two out of 189 (16.9%) patients underwent allogeneic HSCT in CR/</w:t>
      </w:r>
      <w:proofErr w:type="spellStart"/>
      <w:r w:rsidRPr="00FF4079">
        <w:t>CRh</w:t>
      </w:r>
      <w:proofErr w:type="spellEnd"/>
      <w:r w:rsidRPr="00FF4079">
        <w:t xml:space="preserve">* induced with </w:t>
      </w:r>
      <w:proofErr w:type="spellStart"/>
      <w:r w:rsidRPr="00FF4079">
        <w:t>Blincyto</w:t>
      </w:r>
      <w:proofErr w:type="spellEnd"/>
      <w:r w:rsidRPr="00FF4079">
        <w:t>.</w:t>
      </w:r>
    </w:p>
    <w:p w14:paraId="157B5FB8" w14:textId="77777777" w:rsidR="00311C47" w:rsidRDefault="00311C47">
      <w:pPr>
        <w:rPr>
          <w:rFonts w:ascii="Arial" w:hAnsi="Arial" w:cs="Arial"/>
          <w:lang w:val="en-GB"/>
        </w:rPr>
      </w:pPr>
      <w:r>
        <w:br w:type="page"/>
      </w:r>
    </w:p>
    <w:p w14:paraId="6DD6A819" w14:textId="22ADFFED" w:rsidR="007D43DB" w:rsidRPr="00E42047" w:rsidRDefault="007D43DB" w:rsidP="00BB029B">
      <w:pPr>
        <w:pStyle w:val="Caption"/>
        <w:rPr>
          <w:color w:val="000000" w:themeColor="text1"/>
        </w:rPr>
      </w:pPr>
      <w:bookmarkStart w:id="22" w:name="_Ref448908197"/>
      <w:r w:rsidRPr="004D0A13">
        <w:lastRenderedPageBreak/>
        <w:t>Table </w:t>
      </w:r>
      <w:bookmarkEnd w:id="22"/>
      <w:r w:rsidR="00B61E97">
        <w:t>11</w:t>
      </w:r>
      <w:r w:rsidRPr="004D0A13">
        <w:t xml:space="preserve">.  </w:t>
      </w:r>
      <w:r w:rsidR="003B1086" w:rsidRPr="00E42047">
        <w:rPr>
          <w:color w:val="000000" w:themeColor="text1"/>
        </w:rPr>
        <w:t>Efficacy Results in Patients ≥ 18 Years of Age With Philadelphia Chromosome-Negative Relapsed or Refractory B-Precursor Acute Lymphoblastic Leukaemia (ALL)</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843"/>
        <w:gridCol w:w="2126"/>
      </w:tblGrid>
      <w:tr w:rsidR="00C12E72" w:rsidRPr="00ED2A36" w14:paraId="479689C8" w14:textId="77777777" w:rsidTr="00695792">
        <w:trPr>
          <w:trHeight w:val="341"/>
          <w:jc w:val="center"/>
        </w:trPr>
        <w:tc>
          <w:tcPr>
            <w:tcW w:w="4705" w:type="dxa"/>
            <w:tcBorders>
              <w:bottom w:val="single" w:sz="4" w:space="0" w:color="auto"/>
              <w:right w:val="nil"/>
            </w:tcBorders>
          </w:tcPr>
          <w:p w14:paraId="746E55FD" w14:textId="77777777" w:rsidR="00C12E72" w:rsidRPr="004D0A13" w:rsidRDefault="00C12E72" w:rsidP="00695792">
            <w:pPr>
              <w:spacing w:before="60" w:after="60" w:line="240" w:lineRule="atLeast"/>
              <w:rPr>
                <w:rFonts w:ascii="Arial" w:hAnsi="Arial" w:cs="Arial"/>
                <w:b/>
                <w:sz w:val="20"/>
              </w:rPr>
            </w:pPr>
          </w:p>
        </w:tc>
        <w:tc>
          <w:tcPr>
            <w:tcW w:w="1843" w:type="dxa"/>
            <w:tcBorders>
              <w:left w:val="nil"/>
              <w:bottom w:val="single" w:sz="4" w:space="0" w:color="auto"/>
              <w:right w:val="nil"/>
            </w:tcBorders>
          </w:tcPr>
          <w:p w14:paraId="47E5B0E3" w14:textId="77777777" w:rsidR="00C12E72" w:rsidRPr="00ED2A36" w:rsidRDefault="00C12E72" w:rsidP="00695792">
            <w:pPr>
              <w:spacing w:before="60" w:after="60" w:line="240" w:lineRule="atLeast"/>
              <w:jc w:val="center"/>
              <w:rPr>
                <w:rFonts w:ascii="Arial" w:hAnsi="Arial" w:cs="Arial"/>
                <w:b/>
                <w:sz w:val="20"/>
              </w:rPr>
            </w:pPr>
            <w:r w:rsidRPr="00ED2A36">
              <w:rPr>
                <w:rFonts w:ascii="Arial" w:hAnsi="Arial" w:cs="Arial"/>
                <w:b/>
                <w:sz w:val="20"/>
              </w:rPr>
              <w:t>n (%)</w:t>
            </w:r>
            <w:r w:rsidRPr="00ED2A36">
              <w:rPr>
                <w:rFonts w:ascii="Arial" w:hAnsi="Arial" w:cs="Arial"/>
                <w:b/>
                <w:sz w:val="20"/>
              </w:rPr>
              <w:br/>
              <w:t>N = 189</w:t>
            </w:r>
          </w:p>
        </w:tc>
        <w:tc>
          <w:tcPr>
            <w:tcW w:w="2126" w:type="dxa"/>
            <w:tcBorders>
              <w:left w:val="nil"/>
              <w:bottom w:val="single" w:sz="4" w:space="0" w:color="auto"/>
            </w:tcBorders>
          </w:tcPr>
          <w:p w14:paraId="51BFD68C" w14:textId="77777777" w:rsidR="00C12E72" w:rsidRPr="00ED2A36" w:rsidRDefault="00C12E72" w:rsidP="00695792">
            <w:pPr>
              <w:spacing w:before="60" w:after="60" w:line="240" w:lineRule="atLeast"/>
              <w:jc w:val="center"/>
              <w:rPr>
                <w:rFonts w:ascii="Arial" w:hAnsi="Arial" w:cs="Arial"/>
                <w:b/>
                <w:sz w:val="20"/>
              </w:rPr>
            </w:pPr>
            <w:r w:rsidRPr="00ED2A36">
              <w:rPr>
                <w:rFonts w:ascii="Arial" w:hAnsi="Arial" w:cs="Arial"/>
                <w:b/>
                <w:sz w:val="20"/>
              </w:rPr>
              <w:br/>
              <w:t>95% CI</w:t>
            </w:r>
          </w:p>
        </w:tc>
      </w:tr>
      <w:tr w:rsidR="00C12E72" w:rsidRPr="004D0A13" w14:paraId="0A69BAAB" w14:textId="77777777" w:rsidTr="00695792">
        <w:trPr>
          <w:jc w:val="center"/>
        </w:trPr>
        <w:tc>
          <w:tcPr>
            <w:tcW w:w="4705" w:type="dxa"/>
            <w:tcBorders>
              <w:top w:val="single" w:sz="4" w:space="0" w:color="auto"/>
              <w:bottom w:val="nil"/>
              <w:right w:val="nil"/>
            </w:tcBorders>
          </w:tcPr>
          <w:p w14:paraId="75309E16" w14:textId="77777777" w:rsidR="00C12E72" w:rsidRPr="004D0A13" w:rsidRDefault="00C12E72" w:rsidP="00695792">
            <w:pPr>
              <w:spacing w:before="60" w:after="60" w:line="240" w:lineRule="atLeast"/>
              <w:rPr>
                <w:rFonts w:ascii="Arial" w:hAnsi="Arial" w:cs="Arial"/>
                <w:sz w:val="20"/>
              </w:rPr>
            </w:pPr>
            <w:r w:rsidRPr="004D0A13">
              <w:rPr>
                <w:rFonts w:ascii="Arial" w:hAnsi="Arial" w:cs="Arial"/>
                <w:sz w:val="20"/>
              </w:rPr>
              <w:t>Complete remission (CR)</w:t>
            </w:r>
            <w:r w:rsidRPr="004D0A13">
              <w:rPr>
                <w:rFonts w:ascii="Arial" w:hAnsi="Arial" w:cs="Arial"/>
                <w:sz w:val="20"/>
                <w:vertAlign w:val="superscript"/>
              </w:rPr>
              <w:t>1</w:t>
            </w:r>
            <w:r w:rsidRPr="004D0A13">
              <w:rPr>
                <w:rFonts w:ascii="Arial" w:hAnsi="Arial" w:cs="Arial"/>
                <w:sz w:val="20"/>
              </w:rPr>
              <w:t>/Complete remission with partial haematological recovery (</w:t>
            </w:r>
            <w:proofErr w:type="spellStart"/>
            <w:r w:rsidRPr="004D0A13">
              <w:rPr>
                <w:rFonts w:ascii="Arial" w:hAnsi="Arial" w:cs="Arial"/>
                <w:sz w:val="20"/>
              </w:rPr>
              <w:t>CRh</w:t>
            </w:r>
            <w:proofErr w:type="spellEnd"/>
            <w:r w:rsidRPr="004D0A13">
              <w:rPr>
                <w:rFonts w:ascii="Arial" w:hAnsi="Arial" w:cs="Arial"/>
                <w:sz w:val="20"/>
              </w:rPr>
              <w:t>*)</w:t>
            </w:r>
            <w:r w:rsidRPr="004D0A13">
              <w:rPr>
                <w:rFonts w:ascii="Arial" w:hAnsi="Arial" w:cs="Arial"/>
                <w:sz w:val="20"/>
                <w:vertAlign w:val="superscript"/>
              </w:rPr>
              <w:t>2</w:t>
            </w:r>
          </w:p>
        </w:tc>
        <w:tc>
          <w:tcPr>
            <w:tcW w:w="1843" w:type="dxa"/>
            <w:tcBorders>
              <w:top w:val="single" w:sz="4" w:space="0" w:color="auto"/>
              <w:left w:val="nil"/>
              <w:bottom w:val="nil"/>
              <w:right w:val="nil"/>
            </w:tcBorders>
          </w:tcPr>
          <w:p w14:paraId="652DA96D"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81 </w:t>
            </w:r>
            <w:r w:rsidRPr="004D0A13">
              <w:rPr>
                <w:rFonts w:ascii="Arial" w:hAnsi="Arial" w:cs="Arial"/>
                <w:sz w:val="20"/>
              </w:rPr>
              <w:t>(42.9%)</w:t>
            </w:r>
          </w:p>
        </w:tc>
        <w:tc>
          <w:tcPr>
            <w:tcW w:w="2126" w:type="dxa"/>
            <w:tcBorders>
              <w:top w:val="single" w:sz="4" w:space="0" w:color="auto"/>
              <w:left w:val="nil"/>
              <w:bottom w:val="nil"/>
            </w:tcBorders>
          </w:tcPr>
          <w:p w14:paraId="23C9A91E"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[35.7% </w:t>
            </w:r>
            <w:r>
              <w:rPr>
                <w:rFonts w:ascii="Arial" w:hAnsi="Arial" w:cs="Arial"/>
                <w:sz w:val="20"/>
              </w:rPr>
              <w:noBreakHyphen/>
              <w:t> </w:t>
            </w:r>
            <w:r w:rsidRPr="004D0A13">
              <w:rPr>
                <w:rFonts w:ascii="Arial" w:hAnsi="Arial" w:cs="Arial"/>
                <w:sz w:val="20"/>
              </w:rPr>
              <w:t>50.2%]</w:t>
            </w:r>
          </w:p>
        </w:tc>
      </w:tr>
      <w:tr w:rsidR="00C12E72" w:rsidRPr="004D0A13" w14:paraId="6A5CC2DE" w14:textId="77777777" w:rsidTr="00695792">
        <w:trPr>
          <w:trHeight w:val="305"/>
          <w:jc w:val="center"/>
        </w:trPr>
        <w:tc>
          <w:tcPr>
            <w:tcW w:w="4705" w:type="dxa"/>
            <w:tcBorders>
              <w:top w:val="nil"/>
              <w:bottom w:val="nil"/>
              <w:right w:val="nil"/>
            </w:tcBorders>
          </w:tcPr>
          <w:p w14:paraId="152AF2A3" w14:textId="77777777" w:rsidR="00C12E72" w:rsidRPr="004D0A13" w:rsidRDefault="00C12E72" w:rsidP="00695792">
            <w:pPr>
              <w:spacing w:before="60" w:after="60" w:line="240" w:lineRule="atLeast"/>
              <w:ind w:left="720"/>
              <w:jc w:val="both"/>
              <w:rPr>
                <w:rFonts w:ascii="Arial" w:hAnsi="Arial" w:cs="Arial"/>
                <w:sz w:val="20"/>
              </w:rPr>
            </w:pPr>
            <w:r w:rsidRPr="004D0A13">
              <w:rPr>
                <w:rFonts w:ascii="Arial" w:hAnsi="Arial" w:cs="Arial"/>
                <w:sz w:val="20"/>
              </w:rPr>
              <w:t xml:space="preserve">CR </w:t>
            </w:r>
          </w:p>
        </w:tc>
        <w:tc>
          <w:tcPr>
            <w:tcW w:w="1843" w:type="dxa"/>
            <w:tcBorders>
              <w:top w:val="nil"/>
              <w:left w:val="nil"/>
              <w:bottom w:val="nil"/>
              <w:right w:val="nil"/>
            </w:tcBorders>
          </w:tcPr>
          <w:p w14:paraId="2BAB19C1"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63 </w:t>
            </w:r>
            <w:r w:rsidRPr="004D0A13">
              <w:rPr>
                <w:rFonts w:ascii="Arial" w:hAnsi="Arial" w:cs="Arial"/>
                <w:sz w:val="20"/>
              </w:rPr>
              <w:t>(33.3%)</w:t>
            </w:r>
          </w:p>
        </w:tc>
        <w:tc>
          <w:tcPr>
            <w:tcW w:w="2126" w:type="dxa"/>
            <w:tcBorders>
              <w:top w:val="nil"/>
              <w:left w:val="nil"/>
              <w:bottom w:val="nil"/>
            </w:tcBorders>
          </w:tcPr>
          <w:p w14:paraId="5E07BFFA"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[26.7%</w:t>
            </w:r>
            <w:r>
              <w:rPr>
                <w:rFonts w:ascii="Arial" w:hAnsi="Arial" w:cs="Arial"/>
                <w:sz w:val="20"/>
              </w:rPr>
              <w:t> </w:t>
            </w:r>
            <w:r>
              <w:rPr>
                <w:rFonts w:ascii="Arial" w:hAnsi="Arial" w:cs="Arial"/>
                <w:sz w:val="20"/>
              </w:rPr>
              <w:noBreakHyphen/>
              <w:t> </w:t>
            </w:r>
            <w:r w:rsidRPr="004D0A13">
              <w:rPr>
                <w:rFonts w:ascii="Arial" w:hAnsi="Arial" w:cs="Arial"/>
                <w:sz w:val="20"/>
              </w:rPr>
              <w:t>40.5%]</w:t>
            </w:r>
          </w:p>
        </w:tc>
      </w:tr>
      <w:tr w:rsidR="00C12E72" w:rsidRPr="004D0A13" w14:paraId="2576C294" w14:textId="77777777" w:rsidTr="00695792">
        <w:trPr>
          <w:jc w:val="center"/>
        </w:trPr>
        <w:tc>
          <w:tcPr>
            <w:tcW w:w="4705" w:type="dxa"/>
            <w:tcBorders>
              <w:top w:val="nil"/>
              <w:bottom w:val="nil"/>
              <w:right w:val="nil"/>
            </w:tcBorders>
          </w:tcPr>
          <w:p w14:paraId="03ACB1D1" w14:textId="77777777" w:rsidR="00C12E72" w:rsidRPr="004D0A13" w:rsidRDefault="00C12E72" w:rsidP="00695792">
            <w:pPr>
              <w:spacing w:before="60" w:after="60" w:line="240" w:lineRule="atLeast"/>
              <w:ind w:left="720"/>
              <w:jc w:val="both"/>
              <w:rPr>
                <w:rFonts w:ascii="Arial" w:hAnsi="Arial" w:cs="Arial"/>
                <w:sz w:val="20"/>
              </w:rPr>
            </w:pPr>
            <w:proofErr w:type="spellStart"/>
            <w:r w:rsidRPr="004D0A13">
              <w:rPr>
                <w:rFonts w:ascii="Arial" w:hAnsi="Arial" w:cs="Arial"/>
                <w:sz w:val="20"/>
              </w:rPr>
              <w:t>CRh</w:t>
            </w:r>
            <w:proofErr w:type="spellEnd"/>
            <w:r w:rsidRPr="004D0A13">
              <w:rPr>
                <w:rFonts w:ascii="Arial" w:hAnsi="Arial" w:cs="Arial"/>
                <w:sz w:val="20"/>
              </w:rPr>
              <w:t>*</w:t>
            </w:r>
          </w:p>
        </w:tc>
        <w:tc>
          <w:tcPr>
            <w:tcW w:w="1843" w:type="dxa"/>
            <w:tcBorders>
              <w:top w:val="nil"/>
              <w:left w:val="nil"/>
              <w:bottom w:val="nil"/>
              <w:right w:val="nil"/>
            </w:tcBorders>
          </w:tcPr>
          <w:p w14:paraId="132E595F"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18 </w:t>
            </w:r>
            <w:r w:rsidRPr="004D0A13">
              <w:rPr>
                <w:rFonts w:ascii="Arial" w:hAnsi="Arial" w:cs="Arial"/>
                <w:sz w:val="20"/>
              </w:rPr>
              <w:t>(9.5%)</w:t>
            </w:r>
          </w:p>
        </w:tc>
        <w:tc>
          <w:tcPr>
            <w:tcW w:w="2126" w:type="dxa"/>
            <w:tcBorders>
              <w:top w:val="nil"/>
              <w:left w:val="nil"/>
              <w:bottom w:val="nil"/>
            </w:tcBorders>
          </w:tcPr>
          <w:p w14:paraId="74275F0F"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[5.7%</w:t>
            </w:r>
            <w:r>
              <w:rPr>
                <w:rFonts w:ascii="Arial" w:hAnsi="Arial" w:cs="Arial"/>
                <w:sz w:val="20"/>
              </w:rPr>
              <w:t> </w:t>
            </w:r>
            <w:r>
              <w:rPr>
                <w:rFonts w:ascii="Arial" w:hAnsi="Arial" w:cs="Arial"/>
                <w:sz w:val="20"/>
              </w:rPr>
              <w:noBreakHyphen/>
              <w:t> </w:t>
            </w:r>
            <w:r w:rsidRPr="004D0A13">
              <w:rPr>
                <w:rFonts w:ascii="Arial" w:hAnsi="Arial" w:cs="Arial"/>
                <w:sz w:val="20"/>
              </w:rPr>
              <w:t>14.6%]</w:t>
            </w:r>
          </w:p>
        </w:tc>
      </w:tr>
      <w:tr w:rsidR="00C12E72" w:rsidRPr="004D0A13" w14:paraId="4EF23326" w14:textId="77777777" w:rsidTr="00695792">
        <w:trPr>
          <w:jc w:val="center"/>
        </w:trPr>
        <w:tc>
          <w:tcPr>
            <w:tcW w:w="4705" w:type="dxa"/>
            <w:tcBorders>
              <w:top w:val="nil"/>
              <w:bottom w:val="nil"/>
              <w:right w:val="nil"/>
            </w:tcBorders>
          </w:tcPr>
          <w:p w14:paraId="5813729E" w14:textId="77777777" w:rsidR="00C12E72" w:rsidRPr="004D0A13" w:rsidRDefault="00C12E72" w:rsidP="00695792">
            <w:pPr>
              <w:spacing w:before="60" w:after="60" w:line="240" w:lineRule="atLeast"/>
              <w:jc w:val="both"/>
              <w:rPr>
                <w:rFonts w:ascii="Arial" w:hAnsi="Arial" w:cs="Arial"/>
                <w:sz w:val="20"/>
              </w:rPr>
            </w:pPr>
            <w:r w:rsidRPr="004D0A13">
              <w:rPr>
                <w:rFonts w:ascii="Arial" w:hAnsi="Arial" w:cs="Arial"/>
                <w:sz w:val="20"/>
              </w:rPr>
              <w:t xml:space="preserve">Blast free </w:t>
            </w:r>
            <w:proofErr w:type="spellStart"/>
            <w:r w:rsidRPr="004D0A13">
              <w:rPr>
                <w:rFonts w:ascii="Arial" w:hAnsi="Arial" w:cs="Arial"/>
                <w:sz w:val="20"/>
              </w:rPr>
              <w:t>hypoplastic</w:t>
            </w:r>
            <w:proofErr w:type="spellEnd"/>
            <w:r w:rsidRPr="004D0A13">
              <w:rPr>
                <w:rFonts w:ascii="Arial" w:hAnsi="Arial" w:cs="Arial"/>
                <w:sz w:val="20"/>
              </w:rPr>
              <w:t xml:space="preserve"> or aplastic bone marrow</w:t>
            </w:r>
            <w:r w:rsidRPr="004D0A13">
              <w:rPr>
                <w:rFonts w:ascii="Arial" w:hAnsi="Arial" w:cs="Arial"/>
                <w:sz w:val="20"/>
                <w:vertAlign w:val="superscript"/>
              </w:rPr>
              <w:t>3</w:t>
            </w:r>
            <w:r w:rsidRPr="004D0A13">
              <w:rPr>
                <w:rFonts w:ascii="Arial" w:hAnsi="Arial" w:cs="Arial"/>
                <w:sz w:val="20"/>
              </w:rPr>
              <w:t xml:space="preserve"> </w:t>
            </w:r>
          </w:p>
        </w:tc>
        <w:tc>
          <w:tcPr>
            <w:tcW w:w="1843" w:type="dxa"/>
            <w:tcBorders>
              <w:top w:val="nil"/>
              <w:left w:val="nil"/>
              <w:bottom w:val="nil"/>
              <w:right w:val="nil"/>
            </w:tcBorders>
          </w:tcPr>
          <w:p w14:paraId="7D2102D8"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17 </w:t>
            </w:r>
            <w:r w:rsidRPr="004D0A13">
              <w:rPr>
                <w:rFonts w:ascii="Arial" w:hAnsi="Arial" w:cs="Arial"/>
                <w:sz w:val="20"/>
              </w:rPr>
              <w:t>(9%)</w:t>
            </w:r>
          </w:p>
        </w:tc>
        <w:tc>
          <w:tcPr>
            <w:tcW w:w="2126" w:type="dxa"/>
            <w:tcBorders>
              <w:top w:val="nil"/>
              <w:left w:val="nil"/>
              <w:bottom w:val="nil"/>
            </w:tcBorders>
          </w:tcPr>
          <w:p w14:paraId="76770470"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[5.3%</w:t>
            </w:r>
            <w:r>
              <w:rPr>
                <w:rFonts w:ascii="Arial" w:hAnsi="Arial" w:cs="Arial"/>
                <w:sz w:val="20"/>
              </w:rPr>
              <w:t> </w:t>
            </w:r>
            <w:r>
              <w:rPr>
                <w:rFonts w:ascii="Arial" w:hAnsi="Arial" w:cs="Arial"/>
                <w:sz w:val="20"/>
              </w:rPr>
              <w:noBreakHyphen/>
              <w:t> </w:t>
            </w:r>
            <w:r w:rsidRPr="004D0A13">
              <w:rPr>
                <w:rFonts w:ascii="Arial" w:hAnsi="Arial" w:cs="Arial"/>
                <w:sz w:val="20"/>
              </w:rPr>
              <w:t>14.0%]</w:t>
            </w:r>
          </w:p>
        </w:tc>
      </w:tr>
      <w:tr w:rsidR="00C12E72" w:rsidRPr="004D0A13" w14:paraId="1EB6B313" w14:textId="77777777" w:rsidTr="00695792">
        <w:trPr>
          <w:jc w:val="center"/>
        </w:trPr>
        <w:tc>
          <w:tcPr>
            <w:tcW w:w="4705" w:type="dxa"/>
            <w:tcBorders>
              <w:top w:val="nil"/>
              <w:bottom w:val="nil"/>
              <w:right w:val="nil"/>
            </w:tcBorders>
          </w:tcPr>
          <w:p w14:paraId="3CA11963" w14:textId="77777777" w:rsidR="00C12E72" w:rsidRPr="004D0A13" w:rsidRDefault="00C12E72" w:rsidP="00695792">
            <w:pPr>
              <w:spacing w:before="60" w:after="60" w:line="240" w:lineRule="atLeast"/>
              <w:jc w:val="both"/>
              <w:rPr>
                <w:rFonts w:ascii="Arial" w:hAnsi="Arial" w:cs="Arial"/>
                <w:sz w:val="20"/>
              </w:rPr>
            </w:pPr>
            <w:r w:rsidRPr="004D0A13">
              <w:rPr>
                <w:rFonts w:ascii="Arial" w:hAnsi="Arial" w:cs="Arial"/>
                <w:sz w:val="20"/>
              </w:rPr>
              <w:t>Partial remission</w:t>
            </w:r>
            <w:r w:rsidRPr="004D0A13">
              <w:rPr>
                <w:rFonts w:ascii="Arial" w:hAnsi="Arial" w:cs="Arial"/>
                <w:sz w:val="20"/>
                <w:vertAlign w:val="superscript"/>
              </w:rPr>
              <w:t>4</w:t>
            </w:r>
          </w:p>
        </w:tc>
        <w:tc>
          <w:tcPr>
            <w:tcW w:w="1843" w:type="dxa"/>
            <w:tcBorders>
              <w:top w:val="nil"/>
              <w:left w:val="nil"/>
              <w:bottom w:val="nil"/>
              <w:right w:val="nil"/>
            </w:tcBorders>
          </w:tcPr>
          <w:p w14:paraId="0B57C9FA"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5 </w:t>
            </w:r>
            <w:r w:rsidRPr="004D0A13">
              <w:rPr>
                <w:rFonts w:ascii="Arial" w:hAnsi="Arial" w:cs="Arial"/>
                <w:sz w:val="20"/>
              </w:rPr>
              <w:t>(2.6%)</w:t>
            </w:r>
          </w:p>
        </w:tc>
        <w:tc>
          <w:tcPr>
            <w:tcW w:w="2126" w:type="dxa"/>
            <w:tcBorders>
              <w:top w:val="nil"/>
              <w:left w:val="nil"/>
              <w:bottom w:val="nil"/>
            </w:tcBorders>
          </w:tcPr>
          <w:p w14:paraId="41EC3B96"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[0.9%</w:t>
            </w:r>
            <w:r>
              <w:rPr>
                <w:rFonts w:ascii="Arial" w:hAnsi="Arial" w:cs="Arial"/>
                <w:sz w:val="20"/>
              </w:rPr>
              <w:t> </w:t>
            </w:r>
            <w:r>
              <w:rPr>
                <w:rFonts w:ascii="Arial" w:hAnsi="Arial" w:cs="Arial"/>
                <w:sz w:val="20"/>
              </w:rPr>
              <w:noBreakHyphen/>
              <w:t> </w:t>
            </w:r>
            <w:r w:rsidRPr="004D0A13">
              <w:rPr>
                <w:rFonts w:ascii="Arial" w:hAnsi="Arial" w:cs="Arial"/>
                <w:sz w:val="20"/>
              </w:rPr>
              <w:t>6.1%]</w:t>
            </w:r>
          </w:p>
        </w:tc>
      </w:tr>
      <w:tr w:rsidR="00C12E72" w:rsidRPr="004D0A13" w14:paraId="2AEA6B06" w14:textId="77777777" w:rsidTr="00695792">
        <w:trPr>
          <w:jc w:val="center"/>
        </w:trPr>
        <w:tc>
          <w:tcPr>
            <w:tcW w:w="4705" w:type="dxa"/>
            <w:tcBorders>
              <w:top w:val="nil"/>
              <w:bottom w:val="nil"/>
              <w:right w:val="nil"/>
            </w:tcBorders>
          </w:tcPr>
          <w:p w14:paraId="6200A19D" w14:textId="77777777" w:rsidR="00C12E72" w:rsidRPr="004D0A13" w:rsidRDefault="00C12E72" w:rsidP="00695792">
            <w:pPr>
              <w:spacing w:before="60" w:after="60" w:line="240" w:lineRule="atLeast"/>
              <w:jc w:val="both"/>
              <w:rPr>
                <w:rFonts w:ascii="Arial" w:hAnsi="Arial" w:cs="Arial"/>
                <w:sz w:val="20"/>
              </w:rPr>
            </w:pPr>
            <w:r w:rsidRPr="004D0A13">
              <w:rPr>
                <w:rFonts w:ascii="Arial" w:hAnsi="Arial" w:cs="Arial"/>
                <w:sz w:val="20"/>
              </w:rPr>
              <w:t>Relapse-free</w:t>
            </w:r>
            <w:r w:rsidRPr="004D0A13">
              <w:rPr>
                <w:rFonts w:ascii="Arial" w:hAnsi="Arial" w:cs="Arial"/>
                <w:sz w:val="20"/>
                <w:vertAlign w:val="superscript"/>
              </w:rPr>
              <w:t>5</w:t>
            </w:r>
            <w:r w:rsidRPr="004D0A13">
              <w:rPr>
                <w:rFonts w:ascii="Arial" w:hAnsi="Arial" w:cs="Arial"/>
                <w:sz w:val="20"/>
              </w:rPr>
              <w:t xml:space="preserve"> survival (RFS) for CR/</w:t>
            </w:r>
            <w:proofErr w:type="spellStart"/>
            <w:r w:rsidRPr="004D0A13">
              <w:rPr>
                <w:rFonts w:ascii="Arial" w:hAnsi="Arial" w:cs="Arial"/>
                <w:sz w:val="20"/>
              </w:rPr>
              <w:t>CRh</w:t>
            </w:r>
            <w:proofErr w:type="spellEnd"/>
            <w:r w:rsidRPr="004D0A13">
              <w:rPr>
                <w:rFonts w:ascii="Arial" w:hAnsi="Arial" w:cs="Arial"/>
                <w:sz w:val="20"/>
              </w:rPr>
              <w:t xml:space="preserve">* </w:t>
            </w:r>
          </w:p>
        </w:tc>
        <w:tc>
          <w:tcPr>
            <w:tcW w:w="1843" w:type="dxa"/>
            <w:tcBorders>
              <w:top w:val="nil"/>
              <w:left w:val="nil"/>
              <w:bottom w:val="nil"/>
              <w:right w:val="nil"/>
            </w:tcBorders>
          </w:tcPr>
          <w:p w14:paraId="4D44E956"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5.9</w:t>
            </w:r>
            <w:r>
              <w:rPr>
                <w:rFonts w:ascii="Arial" w:hAnsi="Arial" w:cs="Arial"/>
                <w:sz w:val="20"/>
              </w:rPr>
              <w:t> </w:t>
            </w:r>
            <w:r w:rsidRPr="004D0A13">
              <w:rPr>
                <w:rFonts w:ascii="Arial" w:hAnsi="Arial" w:cs="Arial"/>
                <w:sz w:val="20"/>
              </w:rPr>
              <w:t>months</w:t>
            </w:r>
          </w:p>
        </w:tc>
        <w:tc>
          <w:tcPr>
            <w:tcW w:w="2126" w:type="dxa"/>
            <w:tcBorders>
              <w:top w:val="nil"/>
              <w:left w:val="nil"/>
              <w:bottom w:val="nil"/>
            </w:tcBorders>
          </w:tcPr>
          <w:p w14:paraId="67B87842"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[4.8 to 8.3 </w:t>
            </w:r>
            <w:r w:rsidRPr="004D0A13">
              <w:rPr>
                <w:rFonts w:ascii="Arial" w:hAnsi="Arial" w:cs="Arial"/>
                <w:sz w:val="20"/>
              </w:rPr>
              <w:t>months]</w:t>
            </w:r>
          </w:p>
        </w:tc>
      </w:tr>
      <w:tr w:rsidR="00C12E72" w:rsidRPr="004D0A13" w14:paraId="00998AC2" w14:textId="77777777" w:rsidTr="00695792">
        <w:trPr>
          <w:jc w:val="center"/>
        </w:trPr>
        <w:tc>
          <w:tcPr>
            <w:tcW w:w="4705" w:type="dxa"/>
            <w:tcBorders>
              <w:top w:val="nil"/>
              <w:bottom w:val="single" w:sz="4" w:space="0" w:color="auto"/>
              <w:right w:val="nil"/>
            </w:tcBorders>
          </w:tcPr>
          <w:p w14:paraId="7E187FFF" w14:textId="77777777" w:rsidR="00C12E72" w:rsidRPr="004D0A13" w:rsidRDefault="00C12E72" w:rsidP="00695792">
            <w:pPr>
              <w:spacing w:before="60" w:after="60" w:line="240" w:lineRule="atLeast"/>
              <w:jc w:val="both"/>
              <w:rPr>
                <w:rFonts w:ascii="Arial" w:hAnsi="Arial" w:cs="Arial"/>
                <w:sz w:val="20"/>
              </w:rPr>
            </w:pPr>
            <w:r w:rsidRPr="004D0A13">
              <w:rPr>
                <w:rFonts w:ascii="Arial" w:hAnsi="Arial" w:cs="Arial"/>
                <w:sz w:val="20"/>
              </w:rPr>
              <w:t>Overall survival</w:t>
            </w:r>
          </w:p>
        </w:tc>
        <w:tc>
          <w:tcPr>
            <w:tcW w:w="1843" w:type="dxa"/>
            <w:tcBorders>
              <w:top w:val="nil"/>
              <w:left w:val="nil"/>
              <w:bottom w:val="single" w:sz="4" w:space="0" w:color="auto"/>
              <w:right w:val="nil"/>
            </w:tcBorders>
          </w:tcPr>
          <w:p w14:paraId="0CF34A08" w14:textId="77777777" w:rsidR="00C12E72" w:rsidRPr="004D0A13" w:rsidRDefault="00C12E72" w:rsidP="00695792">
            <w:pPr>
              <w:spacing w:before="60" w:after="60" w:line="240" w:lineRule="atLeast"/>
              <w:jc w:val="center"/>
              <w:rPr>
                <w:rFonts w:ascii="Arial" w:hAnsi="Arial" w:cs="Arial"/>
                <w:sz w:val="20"/>
              </w:rPr>
            </w:pPr>
            <w:r w:rsidRPr="004D0A13">
              <w:rPr>
                <w:rFonts w:ascii="Arial" w:hAnsi="Arial" w:cs="Arial"/>
                <w:sz w:val="20"/>
              </w:rPr>
              <w:t>6.1 months</w:t>
            </w:r>
          </w:p>
        </w:tc>
        <w:tc>
          <w:tcPr>
            <w:tcW w:w="2126" w:type="dxa"/>
            <w:tcBorders>
              <w:top w:val="nil"/>
              <w:left w:val="nil"/>
              <w:bottom w:val="single" w:sz="4" w:space="0" w:color="auto"/>
            </w:tcBorders>
          </w:tcPr>
          <w:p w14:paraId="6C6BDA10" w14:textId="77777777" w:rsidR="00C12E72" w:rsidRPr="004D0A13" w:rsidRDefault="00C12E72" w:rsidP="00695792">
            <w:pPr>
              <w:spacing w:before="60" w:after="60" w:line="240" w:lineRule="atLeast"/>
              <w:jc w:val="center"/>
              <w:rPr>
                <w:rFonts w:ascii="Arial" w:hAnsi="Arial" w:cs="Arial"/>
                <w:sz w:val="20"/>
              </w:rPr>
            </w:pPr>
            <w:r>
              <w:rPr>
                <w:rFonts w:ascii="Arial" w:hAnsi="Arial" w:cs="Arial"/>
                <w:sz w:val="20"/>
              </w:rPr>
              <w:t>[4.2 to </w:t>
            </w:r>
            <w:r w:rsidRPr="004D0A13">
              <w:rPr>
                <w:rFonts w:ascii="Arial" w:hAnsi="Arial" w:cs="Arial"/>
                <w:sz w:val="20"/>
              </w:rPr>
              <w:t>7.5 months]</w:t>
            </w:r>
          </w:p>
        </w:tc>
      </w:tr>
      <w:tr w:rsidR="00C12E72" w:rsidRPr="00FF4079" w14:paraId="41296E19" w14:textId="77777777" w:rsidTr="00695792">
        <w:trPr>
          <w:jc w:val="center"/>
        </w:trPr>
        <w:tc>
          <w:tcPr>
            <w:tcW w:w="8674" w:type="dxa"/>
            <w:gridSpan w:val="3"/>
            <w:tcBorders>
              <w:top w:val="single" w:sz="4" w:space="0" w:color="auto"/>
              <w:left w:val="nil"/>
              <w:bottom w:val="nil"/>
              <w:right w:val="nil"/>
            </w:tcBorders>
          </w:tcPr>
          <w:p w14:paraId="1D6CDA2B" w14:textId="77777777" w:rsidR="00C12E72" w:rsidRPr="004D0A13" w:rsidRDefault="00C12E72" w:rsidP="00C12E72">
            <w:pPr>
              <w:pStyle w:val="ListParagraph"/>
              <w:keepLines/>
              <w:numPr>
                <w:ilvl w:val="0"/>
                <w:numId w:val="18"/>
              </w:numPr>
              <w:suppressAutoHyphens/>
              <w:spacing w:after="0" w:line="240" w:lineRule="auto"/>
              <w:rPr>
                <w:rFonts w:ascii="Arial" w:eastAsia="Times New Roman" w:hAnsi="Arial" w:cs="Times New Roman"/>
                <w:sz w:val="18"/>
                <w:szCs w:val="20"/>
                <w:lang w:eastAsia="en-GB"/>
              </w:rPr>
            </w:pPr>
            <w:r w:rsidRPr="004D0A13">
              <w:rPr>
                <w:rFonts w:ascii="Arial" w:eastAsia="Times New Roman" w:hAnsi="Arial" w:cs="Times New Roman"/>
                <w:sz w:val="18"/>
                <w:szCs w:val="20"/>
                <w:lang w:eastAsia="en-GB"/>
              </w:rPr>
              <w:t xml:space="preserve">CR was defined as </w:t>
            </w:r>
            <w:r w:rsidRPr="004D0A13">
              <w:rPr>
                <w:lang w:eastAsia="en-GB"/>
              </w:rPr>
              <w:sym w:font="Symbol" w:char="F0A3"/>
            </w:r>
            <w:r w:rsidRPr="004D0A13">
              <w:rPr>
                <w:rFonts w:ascii="Arial" w:eastAsia="Times New Roman" w:hAnsi="Arial" w:cs="Times New Roman"/>
                <w:sz w:val="18"/>
                <w:szCs w:val="20"/>
                <w:lang w:eastAsia="en-GB"/>
              </w:rPr>
              <w:t> 5% of blasts in the bone marrow, no evidence of disease, and full recovery of peripheral blood counts (platelets &gt; 100,000/</w:t>
            </w:r>
            <w:r w:rsidRPr="004D0A13">
              <w:rPr>
                <w:lang w:eastAsia="en-GB"/>
              </w:rPr>
              <w:sym w:font="Symbol" w:char="F06D"/>
            </w:r>
            <w:r w:rsidRPr="004D0A13">
              <w:rPr>
                <w:rFonts w:ascii="Arial" w:eastAsia="Times New Roman" w:hAnsi="Arial" w:cs="Times New Roman"/>
                <w:sz w:val="18"/>
                <w:szCs w:val="20"/>
                <w:lang w:eastAsia="en-GB"/>
              </w:rPr>
              <w:t>L and absolute neutrophil counts [ANC] &gt; 1,000/</w:t>
            </w:r>
            <w:r w:rsidRPr="004D0A13">
              <w:rPr>
                <w:lang w:eastAsia="en-GB"/>
              </w:rPr>
              <w:sym w:font="Symbol" w:char="F06D"/>
            </w:r>
            <w:r w:rsidRPr="004D0A13">
              <w:rPr>
                <w:rFonts w:ascii="Arial" w:eastAsia="Times New Roman" w:hAnsi="Arial" w:cs="Times New Roman"/>
                <w:sz w:val="18"/>
                <w:szCs w:val="20"/>
                <w:lang w:eastAsia="en-GB"/>
              </w:rPr>
              <w:t>L).</w:t>
            </w:r>
          </w:p>
          <w:p w14:paraId="73FA651B" w14:textId="77777777" w:rsidR="00C12E72" w:rsidRPr="004D0A13" w:rsidRDefault="00C12E72" w:rsidP="00C12E72">
            <w:pPr>
              <w:pStyle w:val="ListParagraph"/>
              <w:keepLines/>
              <w:numPr>
                <w:ilvl w:val="0"/>
                <w:numId w:val="18"/>
              </w:numPr>
              <w:suppressAutoHyphens/>
              <w:spacing w:after="0" w:line="240" w:lineRule="auto"/>
              <w:rPr>
                <w:rFonts w:ascii="Arial" w:eastAsia="Times New Roman" w:hAnsi="Arial" w:cs="Times New Roman"/>
                <w:sz w:val="18"/>
                <w:szCs w:val="20"/>
                <w:lang w:eastAsia="en-GB"/>
              </w:rPr>
            </w:pPr>
            <w:proofErr w:type="spellStart"/>
            <w:r w:rsidRPr="004D0A13">
              <w:rPr>
                <w:rFonts w:ascii="Arial" w:eastAsia="Times New Roman" w:hAnsi="Arial" w:cs="Times New Roman"/>
                <w:sz w:val="18"/>
                <w:szCs w:val="20"/>
                <w:lang w:eastAsia="en-GB"/>
              </w:rPr>
              <w:t>CRh</w:t>
            </w:r>
            <w:proofErr w:type="spellEnd"/>
            <w:r w:rsidRPr="004D0A13">
              <w:rPr>
                <w:rFonts w:ascii="Arial" w:eastAsia="Times New Roman" w:hAnsi="Arial" w:cs="Times New Roman"/>
                <w:sz w:val="18"/>
                <w:szCs w:val="20"/>
                <w:lang w:eastAsia="en-GB"/>
              </w:rPr>
              <w:t xml:space="preserve">* was defined as </w:t>
            </w:r>
            <w:r w:rsidRPr="004D0A13">
              <w:rPr>
                <w:lang w:eastAsia="en-GB"/>
              </w:rPr>
              <w:sym w:font="Symbol" w:char="F0A3"/>
            </w:r>
            <w:r w:rsidRPr="004D0A13">
              <w:rPr>
                <w:rFonts w:ascii="Arial" w:eastAsia="Times New Roman" w:hAnsi="Arial" w:cs="Times New Roman"/>
                <w:sz w:val="18"/>
                <w:szCs w:val="20"/>
                <w:lang w:eastAsia="en-GB"/>
              </w:rPr>
              <w:t> 5% of blasts in the bone marrow, no evidence of disease, and partial recovery of peripheral blood counts (platelets &gt; 50,000/</w:t>
            </w:r>
            <w:r w:rsidRPr="004D0A13">
              <w:rPr>
                <w:lang w:eastAsia="en-GB"/>
              </w:rPr>
              <w:sym w:font="Symbol" w:char="F06D"/>
            </w:r>
            <w:r w:rsidRPr="004D0A13">
              <w:rPr>
                <w:rFonts w:ascii="Arial" w:eastAsia="Times New Roman" w:hAnsi="Arial" w:cs="Times New Roman"/>
                <w:sz w:val="18"/>
                <w:szCs w:val="20"/>
                <w:lang w:eastAsia="en-GB"/>
              </w:rPr>
              <w:t>L and ANC &gt; 500/</w:t>
            </w:r>
            <w:r w:rsidRPr="004D0A13">
              <w:rPr>
                <w:lang w:eastAsia="en-GB"/>
              </w:rPr>
              <w:sym w:font="Symbol" w:char="F06D"/>
            </w:r>
            <w:r w:rsidRPr="004D0A13">
              <w:rPr>
                <w:rFonts w:ascii="Arial" w:eastAsia="Times New Roman" w:hAnsi="Arial" w:cs="Times New Roman"/>
                <w:sz w:val="18"/>
                <w:szCs w:val="20"/>
                <w:lang w:eastAsia="en-GB"/>
              </w:rPr>
              <w:t>L).</w:t>
            </w:r>
          </w:p>
          <w:p w14:paraId="6805BF12" w14:textId="77777777" w:rsidR="00C12E72" w:rsidRPr="004D0A13" w:rsidRDefault="00C12E72" w:rsidP="00C12E72">
            <w:pPr>
              <w:pStyle w:val="ListParagraph"/>
              <w:keepLines/>
              <w:numPr>
                <w:ilvl w:val="0"/>
                <w:numId w:val="18"/>
              </w:numPr>
              <w:suppressAutoHyphens/>
              <w:spacing w:after="0" w:line="240" w:lineRule="auto"/>
              <w:rPr>
                <w:rFonts w:ascii="Arial" w:eastAsia="Times New Roman" w:hAnsi="Arial" w:cs="Times New Roman"/>
                <w:sz w:val="18"/>
                <w:szCs w:val="20"/>
                <w:lang w:eastAsia="en-GB"/>
              </w:rPr>
            </w:pPr>
            <w:r w:rsidRPr="004D0A13">
              <w:rPr>
                <w:rFonts w:ascii="Arial" w:eastAsia="Times New Roman" w:hAnsi="Arial" w:cs="Times New Roman"/>
                <w:sz w:val="18"/>
                <w:szCs w:val="20"/>
                <w:lang w:eastAsia="en-GB"/>
              </w:rPr>
              <w:t xml:space="preserve">Blast free </w:t>
            </w:r>
            <w:proofErr w:type="spellStart"/>
            <w:r w:rsidRPr="004D0A13">
              <w:rPr>
                <w:rFonts w:ascii="Arial" w:eastAsia="Times New Roman" w:hAnsi="Arial" w:cs="Times New Roman"/>
                <w:sz w:val="18"/>
                <w:szCs w:val="20"/>
                <w:lang w:eastAsia="en-GB"/>
              </w:rPr>
              <w:t>hypoplastic</w:t>
            </w:r>
            <w:proofErr w:type="spellEnd"/>
            <w:r w:rsidRPr="004D0A13">
              <w:rPr>
                <w:rFonts w:ascii="Arial" w:eastAsia="Times New Roman" w:hAnsi="Arial" w:cs="Times New Roman"/>
                <w:sz w:val="18"/>
                <w:szCs w:val="20"/>
                <w:lang w:eastAsia="en-GB"/>
              </w:rPr>
              <w:t xml:space="preserve"> or aplastic bone marrow was defined as bone marrow blasts </w:t>
            </w:r>
            <w:r w:rsidRPr="004D0A13">
              <w:rPr>
                <w:lang w:eastAsia="en-GB"/>
              </w:rPr>
              <w:sym w:font="Symbol" w:char="F0A3"/>
            </w:r>
            <w:r w:rsidRPr="004D0A13">
              <w:rPr>
                <w:rFonts w:ascii="Arial" w:eastAsia="Times New Roman" w:hAnsi="Arial" w:cs="Times New Roman"/>
                <w:sz w:val="18"/>
                <w:szCs w:val="20"/>
                <w:lang w:eastAsia="en-GB"/>
              </w:rPr>
              <w:t xml:space="preserve"> 5%, no evidence of disease, insufficient recovery of peripheral counts: platelets ≤ 50,000/</w:t>
            </w:r>
            <w:proofErr w:type="spellStart"/>
            <w:r w:rsidRPr="004D0A13">
              <w:rPr>
                <w:rFonts w:ascii="Arial" w:eastAsia="Times New Roman" w:hAnsi="Arial" w:cs="Times New Roman"/>
                <w:sz w:val="18"/>
                <w:szCs w:val="20"/>
                <w:lang w:eastAsia="en-GB"/>
              </w:rPr>
              <w:t>μL</w:t>
            </w:r>
            <w:proofErr w:type="spellEnd"/>
            <w:r w:rsidRPr="004D0A13">
              <w:rPr>
                <w:rFonts w:ascii="Arial" w:eastAsia="Times New Roman" w:hAnsi="Arial" w:cs="Times New Roman"/>
                <w:sz w:val="18"/>
                <w:szCs w:val="20"/>
                <w:lang w:eastAsia="en-GB"/>
              </w:rPr>
              <w:t xml:space="preserve"> and/or ANC ≤ 500/</w:t>
            </w:r>
            <w:proofErr w:type="spellStart"/>
            <w:r w:rsidRPr="004D0A13">
              <w:rPr>
                <w:rFonts w:ascii="Arial" w:eastAsia="Times New Roman" w:hAnsi="Arial" w:cs="Times New Roman"/>
                <w:sz w:val="18"/>
                <w:szCs w:val="20"/>
                <w:lang w:eastAsia="en-GB"/>
              </w:rPr>
              <w:t>μL</w:t>
            </w:r>
            <w:proofErr w:type="spellEnd"/>
            <w:r>
              <w:rPr>
                <w:rFonts w:ascii="Arial" w:eastAsia="Times New Roman" w:hAnsi="Arial" w:cs="Times New Roman"/>
                <w:sz w:val="18"/>
                <w:szCs w:val="20"/>
                <w:lang w:eastAsia="en-GB"/>
              </w:rPr>
              <w:t>.</w:t>
            </w:r>
          </w:p>
          <w:p w14:paraId="3F7FFA51" w14:textId="77777777" w:rsidR="00C12E72" w:rsidRPr="004D0A13" w:rsidRDefault="00C12E72" w:rsidP="00C12E72">
            <w:pPr>
              <w:pStyle w:val="ListParagraph"/>
              <w:keepLines/>
              <w:numPr>
                <w:ilvl w:val="0"/>
                <w:numId w:val="18"/>
              </w:numPr>
              <w:suppressAutoHyphens/>
              <w:spacing w:after="0" w:line="240" w:lineRule="auto"/>
              <w:rPr>
                <w:rFonts w:ascii="Arial" w:eastAsia="Times New Roman" w:hAnsi="Arial" w:cs="Times New Roman"/>
                <w:sz w:val="18"/>
                <w:szCs w:val="20"/>
                <w:lang w:eastAsia="en-GB"/>
              </w:rPr>
            </w:pPr>
            <w:r w:rsidRPr="004D0A13">
              <w:rPr>
                <w:rFonts w:ascii="Arial" w:eastAsia="Times New Roman" w:hAnsi="Arial" w:cs="Times New Roman"/>
                <w:sz w:val="18"/>
                <w:szCs w:val="20"/>
                <w:lang w:eastAsia="en-GB"/>
              </w:rPr>
              <w:t>Partial remission was defined as bone marrow blasts 6% to 25% with at least a 50% reduction from baseline</w:t>
            </w:r>
            <w:r>
              <w:rPr>
                <w:rFonts w:ascii="Arial" w:eastAsia="Times New Roman" w:hAnsi="Arial" w:cs="Times New Roman"/>
                <w:sz w:val="18"/>
                <w:szCs w:val="20"/>
                <w:lang w:eastAsia="en-GB"/>
              </w:rPr>
              <w:t>.</w:t>
            </w:r>
          </w:p>
          <w:p w14:paraId="2BB2DB08" w14:textId="77777777" w:rsidR="00C12E72" w:rsidRPr="004D0A13" w:rsidRDefault="00C12E72" w:rsidP="00C12E72">
            <w:pPr>
              <w:pStyle w:val="ListParagraph"/>
              <w:keepLines/>
              <w:numPr>
                <w:ilvl w:val="0"/>
                <w:numId w:val="18"/>
              </w:numPr>
              <w:suppressAutoHyphens/>
              <w:spacing w:after="0" w:line="240" w:lineRule="auto"/>
              <w:rPr>
                <w:rFonts w:ascii="Arial" w:eastAsia="Times New Roman" w:hAnsi="Arial" w:cs="Times New Roman"/>
                <w:sz w:val="18"/>
                <w:szCs w:val="20"/>
                <w:lang w:eastAsia="en-GB"/>
              </w:rPr>
            </w:pPr>
            <w:r w:rsidRPr="004D0A13">
              <w:rPr>
                <w:rFonts w:ascii="Arial" w:eastAsia="Times New Roman" w:hAnsi="Arial" w:cs="Times New Roman"/>
                <w:sz w:val="18"/>
                <w:szCs w:val="20"/>
                <w:lang w:eastAsia="en-GB"/>
              </w:rPr>
              <w:t xml:space="preserve">Relapse was defined as haematological relapse (blasts in bone marrow greater than 5% following CR) or an </w:t>
            </w:r>
            <w:proofErr w:type="spellStart"/>
            <w:r w:rsidRPr="004D0A13">
              <w:rPr>
                <w:rFonts w:ascii="Arial" w:eastAsia="Times New Roman" w:hAnsi="Arial" w:cs="Times New Roman"/>
                <w:sz w:val="18"/>
                <w:szCs w:val="20"/>
                <w:lang w:eastAsia="en-GB"/>
              </w:rPr>
              <w:t>extramedullary</w:t>
            </w:r>
            <w:proofErr w:type="spellEnd"/>
            <w:r w:rsidRPr="004D0A13">
              <w:rPr>
                <w:rFonts w:ascii="Arial" w:eastAsia="Times New Roman" w:hAnsi="Arial" w:cs="Times New Roman"/>
                <w:sz w:val="18"/>
                <w:szCs w:val="20"/>
                <w:lang w:eastAsia="en-GB"/>
              </w:rPr>
              <w:t xml:space="preserve"> relapse</w:t>
            </w:r>
            <w:r>
              <w:rPr>
                <w:rFonts w:ascii="Arial" w:eastAsia="Times New Roman" w:hAnsi="Arial" w:cs="Times New Roman"/>
                <w:sz w:val="18"/>
                <w:szCs w:val="20"/>
                <w:lang w:eastAsia="en-GB"/>
              </w:rPr>
              <w:t>.</w:t>
            </w:r>
          </w:p>
          <w:p w14:paraId="07898113" w14:textId="77777777" w:rsidR="00C12E72" w:rsidRPr="00FF4079" w:rsidRDefault="00C12E72" w:rsidP="00695792">
            <w:pPr>
              <w:keepLines/>
              <w:suppressAutoHyphens/>
              <w:spacing w:after="0" w:line="240" w:lineRule="auto"/>
              <w:rPr>
                <w:rFonts w:ascii="Times New Roman" w:hAnsi="Times New Roman"/>
                <w:sz w:val="18"/>
                <w:lang w:val="en-GB"/>
              </w:rPr>
            </w:pPr>
          </w:p>
        </w:tc>
      </w:tr>
    </w:tbl>
    <w:p w14:paraId="60D67CB2" w14:textId="36D13B6C" w:rsidR="007D43DB" w:rsidRPr="00E42047" w:rsidRDefault="007D43DB" w:rsidP="007D43DB">
      <w:pPr>
        <w:pStyle w:val="PI-Text"/>
        <w:rPr>
          <w:color w:val="000000" w:themeColor="text1"/>
        </w:rPr>
      </w:pPr>
      <w:r w:rsidRPr="00FF4079">
        <w:t xml:space="preserve">Patients with prior allogeneic HSCT had similar response rates to those without prior HSCT, older patients had similar response rates to younger patients, and no substantial difference was observed in remission rates based on the number of lines of prior salvage </w:t>
      </w:r>
      <w:r w:rsidR="00C12E72" w:rsidRPr="00FF4079">
        <w:t>treatment</w:t>
      </w:r>
      <w:r w:rsidR="00C12E72">
        <w:t xml:space="preserve"> </w:t>
      </w:r>
      <w:r w:rsidR="00C12E72" w:rsidRPr="00E42047">
        <w:rPr>
          <w:color w:val="000000" w:themeColor="text1"/>
        </w:rPr>
        <w:t>(see Figure 3).</w:t>
      </w:r>
    </w:p>
    <w:p w14:paraId="1F7A91C2" w14:textId="2167BCA5" w:rsidR="007D43DB" w:rsidRPr="00FF4079" w:rsidRDefault="007D43DB" w:rsidP="007D43DB">
      <w:pPr>
        <w:pStyle w:val="PI-Text"/>
      </w:pPr>
      <w:r w:rsidRPr="00FF4079">
        <w:t xml:space="preserve">To further assess survival, a </w:t>
      </w:r>
      <w:proofErr w:type="spellStart"/>
      <w:r w:rsidRPr="00FF4079">
        <w:t>prespecified</w:t>
      </w:r>
      <w:proofErr w:type="spellEnd"/>
      <w:r w:rsidRPr="00FF4079">
        <w:t xml:space="preserve"> landmark analysis comparing responders and non-responders in week</w:t>
      </w:r>
      <w:r w:rsidR="00B61E97">
        <w:t> </w:t>
      </w:r>
      <w:r w:rsidRPr="00FF4079">
        <w:t>5 of cycles</w:t>
      </w:r>
      <w:r w:rsidR="00B61E97">
        <w:t> </w:t>
      </w:r>
      <w:r w:rsidRPr="00FF4079">
        <w:t xml:space="preserve">1 and 2 was conducted. </w:t>
      </w:r>
      <w:r>
        <w:t xml:space="preserve"> </w:t>
      </w:r>
      <w:r w:rsidRPr="00FF4079">
        <w:t>The median overall survival was 11.2</w:t>
      </w:r>
      <w:r w:rsidR="00B61E97">
        <w:t> </w:t>
      </w:r>
      <w:r w:rsidRPr="00FF4079">
        <w:t>months (95% CI: 7.8</w:t>
      </w:r>
      <w:r w:rsidR="00B61E97">
        <w:t> </w:t>
      </w:r>
      <w:r w:rsidRPr="00FF4079">
        <w:t>months to not estimable) among p</w:t>
      </w:r>
      <w:r>
        <w:t>atients who achieved CR/</w:t>
      </w:r>
      <w:proofErr w:type="spellStart"/>
      <w:r>
        <w:t>CRh</w:t>
      </w:r>
      <w:proofErr w:type="spellEnd"/>
      <w:r>
        <w:t>* (N = </w:t>
      </w:r>
      <w:r w:rsidRPr="00FF4079">
        <w:t>60) and 3.0</w:t>
      </w:r>
      <w:r w:rsidR="00B61E97">
        <w:t> </w:t>
      </w:r>
      <w:r w:rsidRPr="00FF4079">
        <w:t>months (95% CI: 2.4 to 4</w:t>
      </w:r>
      <w:r w:rsidR="00B61E97">
        <w:t> </w:t>
      </w:r>
      <w:r>
        <w:t>months) among non-responders (N = </w:t>
      </w:r>
      <w:r w:rsidRPr="00FF4079">
        <w:t>101) in the cycle</w:t>
      </w:r>
      <w:r w:rsidR="00B61E97">
        <w:t> </w:t>
      </w:r>
      <w:r w:rsidRPr="00FF4079">
        <w:t>1 analysis. The median overall s</w:t>
      </w:r>
      <w:r>
        <w:t>urvival was 9.9</w:t>
      </w:r>
      <w:r w:rsidR="00B61E97">
        <w:t> </w:t>
      </w:r>
      <w:r>
        <w:t>months (95% CI: </w:t>
      </w:r>
      <w:r w:rsidRPr="00FF4079">
        <w:t>6.8</w:t>
      </w:r>
      <w:r w:rsidR="00B61E97">
        <w:t> </w:t>
      </w:r>
      <w:r w:rsidRPr="00FF4079">
        <w:t>months to not estimable) among patients</w:t>
      </w:r>
      <w:r>
        <w:t xml:space="preserve"> who achieved CR/</w:t>
      </w:r>
      <w:proofErr w:type="spellStart"/>
      <w:r>
        <w:t>CRh</w:t>
      </w:r>
      <w:proofErr w:type="spellEnd"/>
      <w:r>
        <w:t>* (N = </w:t>
      </w:r>
      <w:r w:rsidRPr="00FF4079">
        <w:t>79), and 2.7</w:t>
      </w:r>
      <w:r w:rsidR="00B61E97">
        <w:t> </w:t>
      </w:r>
      <w:r w:rsidRPr="00FF4079">
        <w:t>months (95% CI: 1.6 to 4.5</w:t>
      </w:r>
      <w:r w:rsidR="00B61E97">
        <w:t> </w:t>
      </w:r>
      <w:r>
        <w:t>months) among non</w:t>
      </w:r>
      <w:r w:rsidR="003B1086" w:rsidRPr="00E42047">
        <w:rPr>
          <w:color w:val="000000" w:themeColor="text1"/>
        </w:rPr>
        <w:t>-</w:t>
      </w:r>
      <w:r w:rsidRPr="00E42047">
        <w:rPr>
          <w:color w:val="000000" w:themeColor="text1"/>
        </w:rPr>
        <w:t>r</w:t>
      </w:r>
      <w:r>
        <w:t>esponders (N = </w:t>
      </w:r>
      <w:r w:rsidRPr="00FF4079">
        <w:t>50) in the cycle</w:t>
      </w:r>
      <w:r w:rsidR="00B61E97">
        <w:t> </w:t>
      </w:r>
      <w:r w:rsidRPr="00FF4079">
        <w:t>2 analysis.</w:t>
      </w:r>
    </w:p>
    <w:p w14:paraId="3C3671D4" w14:textId="77777777" w:rsidR="007D43DB" w:rsidRPr="00FF4079" w:rsidRDefault="007D43DB" w:rsidP="007D43DB">
      <w:pPr>
        <w:pStyle w:val="PI-Text"/>
      </w:pPr>
      <w:r w:rsidRPr="00FF4079">
        <w:t xml:space="preserve">In a </w:t>
      </w:r>
      <w:proofErr w:type="spellStart"/>
      <w:r w:rsidRPr="00FF4079">
        <w:t>prespecified</w:t>
      </w:r>
      <w:proofErr w:type="spellEnd"/>
      <w:r w:rsidRPr="00FF4079">
        <w:t xml:space="preserve"> exploratory analysis, 60 out of 73 MRD evaluable patients with CR/</w:t>
      </w:r>
      <w:proofErr w:type="spellStart"/>
      <w:r w:rsidRPr="00FF4079">
        <w:t>CRh</w:t>
      </w:r>
      <w:proofErr w:type="spellEnd"/>
      <w:r w:rsidRPr="00FF4079">
        <w:t>* (82.2%) also had a MRD response (defined as MRD by PCR &lt;</w:t>
      </w:r>
      <w:r w:rsidR="00B61E97">
        <w:t> </w:t>
      </w:r>
      <w:r w:rsidRPr="00FF4079">
        <w:t>1</w:t>
      </w:r>
      <w:r w:rsidR="00D960E8">
        <w:t> </w:t>
      </w:r>
      <w:r w:rsidRPr="00FF4079">
        <w:t>x</w:t>
      </w:r>
      <w:r w:rsidR="00D960E8">
        <w:t> </w:t>
      </w:r>
      <w:r w:rsidRPr="00FF4079">
        <w:t>10</w:t>
      </w:r>
      <w:r w:rsidRPr="00FF4079">
        <w:rPr>
          <w:vertAlign w:val="superscript"/>
        </w:rPr>
        <w:t>-4</w:t>
      </w:r>
      <w:r w:rsidRPr="00FF4079">
        <w:t>).</w:t>
      </w:r>
    </w:p>
    <w:p w14:paraId="0FB9AE41" w14:textId="77777777" w:rsidR="007D43DB" w:rsidRPr="00FF4079" w:rsidRDefault="007D43DB" w:rsidP="00BB029B">
      <w:pPr>
        <w:pStyle w:val="Caption"/>
        <w:rPr>
          <w:rFonts w:cs="Arial"/>
        </w:rPr>
      </w:pPr>
      <w:bookmarkStart w:id="23" w:name="_Ref448908208"/>
      <w:r w:rsidRPr="00FF4079">
        <w:lastRenderedPageBreak/>
        <w:t>Figure </w:t>
      </w:r>
      <w:bookmarkEnd w:id="23"/>
      <w:r>
        <w:t>3</w:t>
      </w:r>
      <w:r w:rsidRPr="00FF4079">
        <w:t>.  CR/</w:t>
      </w:r>
      <w:proofErr w:type="spellStart"/>
      <w:r w:rsidRPr="00FF4079">
        <w:t>CRh</w:t>
      </w:r>
      <w:proofErr w:type="spellEnd"/>
      <w:r w:rsidRPr="00FF4079">
        <w:t xml:space="preserve">* Rate During the First Two Cycles by Subgroup </w:t>
      </w:r>
    </w:p>
    <w:p w14:paraId="615EBE17" w14:textId="7F33FDA7" w:rsidR="007D43DB" w:rsidRPr="00FF4079" w:rsidRDefault="003B1086" w:rsidP="007D43DB">
      <w:pPr>
        <w:autoSpaceDE w:val="0"/>
        <w:autoSpaceDN w:val="0"/>
        <w:adjustRightInd w:val="0"/>
        <w:jc w:val="center"/>
        <w:rPr>
          <w:rFonts w:cs="Arial"/>
          <w:sz w:val="20"/>
          <w:lang w:eastAsia="en-AU"/>
        </w:rPr>
      </w:pPr>
      <w:r>
        <w:rPr>
          <w:rFonts w:cs="Arial"/>
          <w:noProof/>
          <w:sz w:val="20"/>
          <w:lang w:eastAsia="en-AU"/>
        </w:rPr>
        <w:drawing>
          <wp:inline distT="0" distB="0" distL="0" distR="0" wp14:anchorId="0896EC0D" wp14:editId="118B16A5">
            <wp:extent cx="5506720" cy="3270885"/>
            <wp:effectExtent l="0" t="0" r="0" b="5715"/>
            <wp:docPr id="19" name="Picture 19" descr="GRH0135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H0135 GRAPH MISC 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6720" cy="3270885"/>
                    </a:xfrm>
                    <a:prstGeom prst="rect">
                      <a:avLst/>
                    </a:prstGeom>
                  </pic:spPr>
                </pic:pic>
              </a:graphicData>
            </a:graphic>
          </wp:inline>
        </w:drawing>
      </w:r>
    </w:p>
    <w:p w14:paraId="0AAF6754" w14:textId="77777777" w:rsidR="007D43DB" w:rsidRPr="008A01B2" w:rsidRDefault="007D43DB" w:rsidP="007D43DB">
      <w:pPr>
        <w:keepLines/>
        <w:suppressAutoHyphens/>
        <w:spacing w:after="0" w:line="240" w:lineRule="auto"/>
        <w:rPr>
          <w:rFonts w:ascii="Arial" w:eastAsia="Times New Roman" w:hAnsi="Arial" w:cs="Times New Roman"/>
          <w:sz w:val="18"/>
          <w:szCs w:val="20"/>
          <w:lang w:eastAsia="en-GB"/>
        </w:rPr>
      </w:pPr>
      <w:r w:rsidRPr="008A01B2">
        <w:rPr>
          <w:rFonts w:ascii="Arial" w:eastAsia="Times New Roman" w:hAnsi="Arial" w:cs="Times New Roman"/>
          <w:sz w:val="18"/>
          <w:szCs w:val="20"/>
          <w:lang w:eastAsia="en-GB"/>
        </w:rPr>
        <w:t xml:space="preserve">n = number of patients who achieved CR or </w:t>
      </w:r>
      <w:proofErr w:type="spellStart"/>
      <w:r w:rsidRPr="008A01B2">
        <w:rPr>
          <w:rFonts w:ascii="Arial" w:eastAsia="Times New Roman" w:hAnsi="Arial" w:cs="Times New Roman"/>
          <w:sz w:val="18"/>
          <w:szCs w:val="20"/>
          <w:lang w:eastAsia="en-GB"/>
        </w:rPr>
        <w:t>CRh</w:t>
      </w:r>
      <w:proofErr w:type="spellEnd"/>
      <w:r w:rsidRPr="008A01B2">
        <w:rPr>
          <w:rFonts w:ascii="Arial" w:eastAsia="Times New Roman" w:hAnsi="Arial" w:cs="Times New Roman"/>
          <w:sz w:val="18"/>
          <w:szCs w:val="20"/>
          <w:lang w:eastAsia="en-GB"/>
        </w:rPr>
        <w:t>* in the first two cycles of treatment in the specified group</w:t>
      </w:r>
    </w:p>
    <w:p w14:paraId="061BB55F" w14:textId="77777777" w:rsidR="007D43DB" w:rsidRDefault="007D43DB" w:rsidP="007D43DB">
      <w:pPr>
        <w:keepLines/>
        <w:suppressAutoHyphens/>
        <w:spacing w:after="0" w:line="240" w:lineRule="auto"/>
        <w:rPr>
          <w:rFonts w:ascii="Arial" w:eastAsia="Times New Roman" w:hAnsi="Arial" w:cs="Times New Roman"/>
          <w:sz w:val="18"/>
          <w:szCs w:val="20"/>
          <w:lang w:eastAsia="en-GB"/>
        </w:rPr>
      </w:pPr>
      <w:r w:rsidRPr="008A01B2">
        <w:rPr>
          <w:rFonts w:ascii="Arial" w:eastAsia="Times New Roman" w:hAnsi="Arial" w:cs="Times New Roman"/>
          <w:sz w:val="18"/>
          <w:szCs w:val="20"/>
          <w:lang w:eastAsia="en-GB"/>
        </w:rPr>
        <w:t>N = total number of patients in the specified group</w:t>
      </w:r>
    </w:p>
    <w:p w14:paraId="3913C49A" w14:textId="77777777" w:rsidR="00311C47" w:rsidRDefault="00311C47" w:rsidP="007D43DB">
      <w:pPr>
        <w:keepLines/>
        <w:suppressAutoHyphens/>
        <w:spacing w:after="0" w:line="240" w:lineRule="auto"/>
        <w:rPr>
          <w:rFonts w:ascii="Arial" w:eastAsia="Times New Roman" w:hAnsi="Arial" w:cs="Times New Roman"/>
          <w:sz w:val="18"/>
          <w:szCs w:val="20"/>
          <w:lang w:eastAsia="en-GB"/>
        </w:rPr>
      </w:pPr>
    </w:p>
    <w:p w14:paraId="7009A54C" w14:textId="4AD6CD70" w:rsidR="007D43DB" w:rsidRDefault="007D43DB" w:rsidP="007D43DB">
      <w:pPr>
        <w:pStyle w:val="PI-Text"/>
      </w:pPr>
      <w:r w:rsidRPr="00FF4079">
        <w:t xml:space="preserve">In </w:t>
      </w:r>
      <w:r w:rsidR="003B1086" w:rsidRPr="00FF4079">
        <w:rPr>
          <w:bCs/>
        </w:rPr>
        <w:t>Study</w:t>
      </w:r>
      <w:r w:rsidR="003B1086">
        <w:rPr>
          <w:bCs/>
        </w:rPr>
        <w:t> 3</w:t>
      </w:r>
      <w:r w:rsidRPr="00FF4079">
        <w:t xml:space="preserve">, the safety and efficacy of </w:t>
      </w:r>
      <w:proofErr w:type="spellStart"/>
      <w:r w:rsidRPr="00FF4079">
        <w:t>Blincyto</w:t>
      </w:r>
      <w:proofErr w:type="spellEnd"/>
      <w:r w:rsidRPr="00FF4079">
        <w:t xml:space="preserve"> were evaluated in an open-label, multicentre</w:t>
      </w:r>
      <w:r>
        <w:t>, dose</w:t>
      </w:r>
      <w:r>
        <w:noBreakHyphen/>
      </w:r>
      <w:r w:rsidRPr="00FF4079">
        <w:t>escalation study in 36</w:t>
      </w:r>
      <w:r w:rsidR="00B61E97">
        <w:t> </w:t>
      </w:r>
      <w:r w:rsidRPr="00FF4079">
        <w:t>patients (including</w:t>
      </w:r>
      <w:r w:rsidR="00B61E97">
        <w:t> </w:t>
      </w:r>
      <w:r w:rsidRPr="00FF4079">
        <w:t>23 patients treated at a dose equivalen</w:t>
      </w:r>
      <w:r>
        <w:t xml:space="preserve">t to the </w:t>
      </w:r>
      <w:proofErr w:type="spellStart"/>
      <w:r>
        <w:t>registrational</w:t>
      </w:r>
      <w:proofErr w:type="spellEnd"/>
      <w:r>
        <w:t xml:space="preserve"> dose) ≥ </w:t>
      </w:r>
      <w:r w:rsidRPr="00FF4079">
        <w:t>18</w:t>
      </w:r>
      <w:r w:rsidR="00B61E97">
        <w:t> </w:t>
      </w:r>
      <w:r w:rsidRPr="00FF4079">
        <w:t>years of age with relapsed and/or refractory B</w:t>
      </w:r>
      <w:r>
        <w:noBreakHyphen/>
      </w:r>
      <w:r w:rsidRPr="00FF4079">
        <w:t xml:space="preserve">precursor ALL (first or greater relapse, refractory, or relapse after haematopoietic stem cell transplantation [HSCT]). </w:t>
      </w:r>
      <w:r>
        <w:t xml:space="preserve"> </w:t>
      </w:r>
      <w:r w:rsidRPr="00FF4079">
        <w:t xml:space="preserve">Fifteen out of 36 (41.7%) patients had undergone allogeneic haematopoietic stem cell transplantation (HSCT) prior to receiving </w:t>
      </w:r>
      <w:proofErr w:type="spellStart"/>
      <w:r w:rsidRPr="00FF4079">
        <w:t>Blincyto</w:t>
      </w:r>
      <w:proofErr w:type="spellEnd"/>
      <w:r w:rsidRPr="00FF4079">
        <w:t xml:space="preserve">. </w:t>
      </w:r>
      <w:r>
        <w:t xml:space="preserve"> </w:t>
      </w:r>
      <w:r w:rsidRPr="00FF4079">
        <w:t>The complete remission/complete remission with partial haematological recovery (CR/</w:t>
      </w:r>
      <w:proofErr w:type="spellStart"/>
      <w:r w:rsidRPr="00FF4079">
        <w:t>CRh</w:t>
      </w:r>
      <w:proofErr w:type="spellEnd"/>
      <w:r w:rsidRPr="00FF4079">
        <w:t xml:space="preserve">*) rate was 69.4% [25 out of 36 patients (95% CI: 51.9% - 83.7%): 15 (41.7%; 95% CI: 25.5% - 59.2%) CR; 10 (27.8%; 95% CI: 14.2% - 45.2%) </w:t>
      </w:r>
      <w:proofErr w:type="spellStart"/>
      <w:r w:rsidRPr="00FF4079">
        <w:t>CRh</w:t>
      </w:r>
      <w:proofErr w:type="spellEnd"/>
      <w:r w:rsidRPr="00FF4079">
        <w:t>*].</w:t>
      </w:r>
      <w:r>
        <w:t xml:space="preserve">  Twenty</w:t>
      </w:r>
      <w:r>
        <w:noBreakHyphen/>
      </w:r>
      <w:r w:rsidRPr="00FF4079">
        <w:t xml:space="preserve">two out of 25 (88%) patients with </w:t>
      </w:r>
      <w:proofErr w:type="spellStart"/>
      <w:r w:rsidRPr="00FF4079">
        <w:t>haematologic</w:t>
      </w:r>
      <w:proofErr w:type="spellEnd"/>
      <w:r w:rsidRPr="00FF4079">
        <w:t xml:space="preserve"> CR also had MRD responses (defined as MRD by PCR&lt;</w:t>
      </w:r>
      <w:r w:rsidR="009D14BE">
        <w:t> </w:t>
      </w:r>
      <w:r w:rsidRPr="00FF4079">
        <w:t>1</w:t>
      </w:r>
      <w:r w:rsidR="009D14BE">
        <w:t> </w:t>
      </w:r>
      <w:r w:rsidRPr="00FF4079">
        <w:t>x</w:t>
      </w:r>
      <w:r w:rsidR="009D14BE">
        <w:t> </w:t>
      </w:r>
      <w:r w:rsidRPr="00FF4079">
        <w:t>10</w:t>
      </w:r>
      <w:r w:rsidRPr="00FF4079">
        <w:rPr>
          <w:vertAlign w:val="superscript"/>
        </w:rPr>
        <w:t>-4</w:t>
      </w:r>
      <w:r w:rsidRPr="00FF4079">
        <w:t xml:space="preserve">). </w:t>
      </w:r>
      <w:r>
        <w:t xml:space="preserve"> </w:t>
      </w:r>
      <w:r w:rsidRPr="00FF4079">
        <w:t>The median duration of remission was 8.9</w:t>
      </w:r>
      <w:r w:rsidR="00F06D0D">
        <w:t> </w:t>
      </w:r>
      <w:r w:rsidRPr="00FF4079">
        <w:t>months, and the median relapse-free survival (RFS) was 7.6</w:t>
      </w:r>
      <w:r w:rsidR="00F06D0D">
        <w:t> </w:t>
      </w:r>
      <w:r w:rsidRPr="00FF4079">
        <w:t xml:space="preserve">months. </w:t>
      </w:r>
      <w:r>
        <w:t xml:space="preserve"> </w:t>
      </w:r>
      <w:r w:rsidRPr="00FF4079">
        <w:t>The median overall survival (OS) was 9.8</w:t>
      </w:r>
      <w:r w:rsidR="00F06D0D">
        <w:t> </w:t>
      </w:r>
      <w:r w:rsidRPr="00FF4079">
        <w:t>months.</w:t>
      </w:r>
    </w:p>
    <w:p w14:paraId="3FF5C5BA" w14:textId="77777777" w:rsidR="007D43DB" w:rsidRDefault="007D43DB" w:rsidP="007D43DB">
      <w:pPr>
        <w:keepLines/>
        <w:suppressAutoHyphens/>
        <w:spacing w:after="0" w:line="240" w:lineRule="auto"/>
        <w:rPr>
          <w:rFonts w:ascii="Arial" w:eastAsia="Times New Roman" w:hAnsi="Arial" w:cs="Times New Roman"/>
          <w:b/>
          <w:u w:val="single"/>
          <w:lang w:eastAsia="en-GB"/>
        </w:rPr>
      </w:pPr>
      <w:r>
        <w:rPr>
          <w:rFonts w:ascii="Arial" w:eastAsia="Times New Roman" w:hAnsi="Arial" w:cs="Times New Roman"/>
          <w:b/>
          <w:u w:val="single"/>
          <w:lang w:eastAsia="en-GB"/>
        </w:rPr>
        <w:t>Philadelphia chromosome-positive B-cell precursor ALL</w:t>
      </w:r>
    </w:p>
    <w:p w14:paraId="52AF38A7" w14:textId="39D05037" w:rsidR="007D43DB" w:rsidRPr="0062018B" w:rsidRDefault="007D43DB" w:rsidP="009D14BE">
      <w:pPr>
        <w:pStyle w:val="PI-Text"/>
      </w:pPr>
      <w:r w:rsidRPr="0062018B">
        <w:t xml:space="preserve">In </w:t>
      </w:r>
      <w:r w:rsidRPr="00894407">
        <w:t>Study</w:t>
      </w:r>
      <w:r w:rsidR="009D14BE">
        <w:t> </w:t>
      </w:r>
      <w:r w:rsidR="00E42047">
        <w:t>4</w:t>
      </w:r>
      <w:r w:rsidRPr="0062018B">
        <w:t xml:space="preserve">, the safety and efficacy of </w:t>
      </w:r>
      <w:proofErr w:type="spellStart"/>
      <w:r w:rsidRPr="0062018B">
        <w:t>Blincyto</w:t>
      </w:r>
      <w:proofErr w:type="spellEnd"/>
      <w:r w:rsidRPr="0062018B">
        <w:t xml:space="preserve"> were evaluated in an open-label, multicent</w:t>
      </w:r>
      <w:r>
        <w:t>re</w:t>
      </w:r>
      <w:r w:rsidRPr="0062018B">
        <w:t>, single-arm study.  Eligible patients were ≥ 18 years of age with Philadelphia chromosome-positive B-cell precursor ALL, relapsed or refractory to at least 1</w:t>
      </w:r>
      <w:r w:rsidR="00F06D0D">
        <w:t> </w:t>
      </w:r>
      <w:r w:rsidRPr="0062018B">
        <w:t xml:space="preserve">second generation or later </w:t>
      </w:r>
      <w:r w:rsidRPr="0062018B">
        <w:lastRenderedPageBreak/>
        <w:t xml:space="preserve">tyrosine kinase inhibitor (TKI), or intolerant to second generation TKI, and intolerant or refractory to </w:t>
      </w:r>
      <w:proofErr w:type="spellStart"/>
      <w:r w:rsidRPr="0062018B">
        <w:t>imatinib</w:t>
      </w:r>
      <w:proofErr w:type="spellEnd"/>
      <w:r w:rsidRPr="0062018B">
        <w:t xml:space="preserve"> </w:t>
      </w:r>
      <w:proofErr w:type="spellStart"/>
      <w:r w:rsidRPr="0062018B">
        <w:t>mesylate</w:t>
      </w:r>
      <w:proofErr w:type="spellEnd"/>
      <w:r w:rsidRPr="0062018B">
        <w:t xml:space="preserve">. </w:t>
      </w:r>
    </w:p>
    <w:p w14:paraId="271D2E78" w14:textId="02D8266E" w:rsidR="007D43DB" w:rsidRPr="00550752" w:rsidRDefault="007D43DB" w:rsidP="009D14BE">
      <w:pPr>
        <w:pStyle w:val="PI-Text"/>
      </w:pPr>
      <w:proofErr w:type="spellStart"/>
      <w:r w:rsidRPr="0062018B">
        <w:t>Blincyto</w:t>
      </w:r>
      <w:proofErr w:type="spellEnd"/>
      <w:r w:rsidRPr="0062018B">
        <w:t xml:space="preserve"> was administered as a continuous intravenous infusion.  In the first cycle, the initial dose was 9 </w:t>
      </w:r>
      <w:r>
        <w:t>micrograms</w:t>
      </w:r>
      <w:r w:rsidRPr="0062018B">
        <w:t>/day for Week</w:t>
      </w:r>
      <w:r w:rsidR="00F06D0D">
        <w:t> </w:t>
      </w:r>
      <w:r w:rsidRPr="0062018B">
        <w:t>1, then 28 </w:t>
      </w:r>
      <w:r>
        <w:t>micrograms</w:t>
      </w:r>
      <w:r w:rsidRPr="0062018B">
        <w:t>/day for the remaining 3</w:t>
      </w:r>
      <w:r w:rsidR="00F06D0D">
        <w:t> </w:t>
      </w:r>
      <w:r w:rsidRPr="0062018B">
        <w:t>weeks.  The dose of 28</w:t>
      </w:r>
      <w:r w:rsidR="00F06D0D">
        <w:t> </w:t>
      </w:r>
      <w:r>
        <w:t>micrograms</w:t>
      </w:r>
      <w:r w:rsidRPr="0062018B">
        <w:t>/day was administered in Cycle</w:t>
      </w:r>
      <w:r w:rsidR="00F06D0D">
        <w:t> </w:t>
      </w:r>
      <w:r w:rsidRPr="0062018B">
        <w:t>2 and subsequent cycles starting on Day</w:t>
      </w:r>
      <w:r w:rsidR="00F06D0D">
        <w:t> </w:t>
      </w:r>
      <w:r w:rsidRPr="0062018B">
        <w:t>1 of each cycle.  Dose adjustment was possible in case of adverse events.  The treated population included 45</w:t>
      </w:r>
      <w:r w:rsidR="00F06D0D">
        <w:t> </w:t>
      </w:r>
      <w:r w:rsidRPr="0062018B">
        <w:t xml:space="preserve">patients who received at least one infusion of </w:t>
      </w:r>
      <w:proofErr w:type="spellStart"/>
      <w:r w:rsidRPr="0062018B">
        <w:t>Blincyto</w:t>
      </w:r>
      <w:proofErr w:type="spellEnd"/>
      <w:r w:rsidRPr="0062018B">
        <w:t>; the median number of treatment cycles was 2 (range: 1 to 5)</w:t>
      </w:r>
      <w:r>
        <w:t xml:space="preserve">. </w:t>
      </w:r>
      <w:r w:rsidRPr="00EC20FD">
        <w:t>See Table</w:t>
      </w:r>
      <w:r w:rsidR="00F06D0D">
        <w:t> 12</w:t>
      </w:r>
      <w:r w:rsidRPr="00EC20FD">
        <w:t xml:space="preserve"> for the demographics and baseline characteristics from Study</w:t>
      </w:r>
      <w:r w:rsidR="00F06D0D">
        <w:t> </w:t>
      </w:r>
      <w:r w:rsidR="00E42047">
        <w:t>4</w:t>
      </w:r>
      <w:r w:rsidR="009D14BE">
        <w:t>.</w:t>
      </w:r>
    </w:p>
    <w:p w14:paraId="258C763B" w14:textId="77777777" w:rsidR="007D43DB" w:rsidRPr="00EC20FD" w:rsidRDefault="007D43DB" w:rsidP="00BB029B">
      <w:pPr>
        <w:pStyle w:val="Caption"/>
        <w:rPr>
          <w:bCs/>
          <w:vertAlign w:val="superscript"/>
        </w:rPr>
      </w:pPr>
      <w:r w:rsidRPr="00EC20FD">
        <w:t>Table</w:t>
      </w:r>
      <w:r w:rsidR="00F06D0D">
        <w:t> 12</w:t>
      </w:r>
      <w:r w:rsidRPr="00EC20FD">
        <w:t>:  Demographics and Baseline Characteristics</w:t>
      </w:r>
    </w:p>
    <w:tbl>
      <w:tblPr>
        <w:tblW w:w="3948" w:type="pct"/>
        <w:jc w:val="center"/>
        <w:tblLayout w:type="fixed"/>
        <w:tblLook w:val="01E0" w:firstRow="1" w:lastRow="1" w:firstColumn="1" w:lastColumn="1" w:noHBand="0" w:noVBand="0"/>
      </w:tblPr>
      <w:tblGrid>
        <w:gridCol w:w="4908"/>
        <w:gridCol w:w="2203"/>
      </w:tblGrid>
      <w:tr w:rsidR="003B1086" w:rsidRPr="005E3CA5" w14:paraId="42197513" w14:textId="77777777" w:rsidTr="00695792">
        <w:trPr>
          <w:trHeight w:val="50"/>
          <w:jc w:val="center"/>
        </w:trPr>
        <w:tc>
          <w:tcPr>
            <w:tcW w:w="4844" w:type="dxa"/>
            <w:tcBorders>
              <w:top w:val="single" w:sz="8" w:space="0" w:color="auto"/>
              <w:left w:val="single" w:sz="8" w:space="0" w:color="auto"/>
              <w:bottom w:val="single" w:sz="4" w:space="0" w:color="auto"/>
            </w:tcBorders>
            <w:vAlign w:val="center"/>
          </w:tcPr>
          <w:p w14:paraId="23F9511F" w14:textId="77777777" w:rsidR="003B1086" w:rsidRPr="005E3CA5" w:rsidRDefault="003B1086" w:rsidP="00695792">
            <w:pPr>
              <w:pStyle w:val="TableColumnHead"/>
              <w:widowControl/>
              <w:rPr>
                <w:rFonts w:ascii="Arial" w:hAnsi="Arial" w:cs="Arial"/>
              </w:rPr>
            </w:pPr>
            <w:r w:rsidRPr="005E3CA5">
              <w:rPr>
                <w:rFonts w:ascii="Arial" w:hAnsi="Arial" w:cs="Arial"/>
              </w:rPr>
              <w:t>Characteristic</w:t>
            </w:r>
          </w:p>
        </w:tc>
        <w:tc>
          <w:tcPr>
            <w:tcW w:w="2174" w:type="dxa"/>
            <w:tcBorders>
              <w:top w:val="single" w:sz="8" w:space="0" w:color="auto"/>
              <w:bottom w:val="single" w:sz="4" w:space="0" w:color="auto"/>
              <w:right w:val="single" w:sz="8" w:space="0" w:color="auto"/>
            </w:tcBorders>
            <w:vAlign w:val="bottom"/>
          </w:tcPr>
          <w:p w14:paraId="2EA9C5E4" w14:textId="77777777" w:rsidR="003B1086" w:rsidRPr="005E3CA5" w:rsidRDefault="003B1086" w:rsidP="00695792">
            <w:pPr>
              <w:pStyle w:val="TableColumnHead"/>
              <w:widowControl/>
              <w:rPr>
                <w:rFonts w:ascii="Arial" w:hAnsi="Arial" w:cs="Arial"/>
              </w:rPr>
            </w:pPr>
            <w:proofErr w:type="spellStart"/>
            <w:r w:rsidRPr="005E3CA5">
              <w:rPr>
                <w:rFonts w:ascii="Arial" w:hAnsi="Arial" w:cs="Arial"/>
              </w:rPr>
              <w:t>Blincyto</w:t>
            </w:r>
            <w:proofErr w:type="spellEnd"/>
            <w:r w:rsidRPr="005E3CA5">
              <w:rPr>
                <w:rFonts w:ascii="Arial" w:hAnsi="Arial" w:cs="Arial"/>
              </w:rPr>
              <w:br/>
              <w:t>(N = 45)</w:t>
            </w:r>
          </w:p>
        </w:tc>
      </w:tr>
      <w:tr w:rsidR="003B1086" w:rsidRPr="00EC20FD" w14:paraId="62DF77BC" w14:textId="77777777" w:rsidTr="00695792">
        <w:trPr>
          <w:trHeight w:val="20"/>
          <w:jc w:val="center"/>
        </w:trPr>
        <w:tc>
          <w:tcPr>
            <w:tcW w:w="4844" w:type="dxa"/>
            <w:tcBorders>
              <w:top w:val="single" w:sz="4" w:space="0" w:color="auto"/>
              <w:left w:val="single" w:sz="4" w:space="0" w:color="auto"/>
            </w:tcBorders>
          </w:tcPr>
          <w:p w14:paraId="65AD2B0C"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Age</w:t>
            </w:r>
          </w:p>
        </w:tc>
        <w:tc>
          <w:tcPr>
            <w:tcW w:w="2174" w:type="dxa"/>
            <w:tcBorders>
              <w:top w:val="single" w:sz="4" w:space="0" w:color="auto"/>
              <w:right w:val="single" w:sz="4" w:space="0" w:color="auto"/>
            </w:tcBorders>
          </w:tcPr>
          <w:p w14:paraId="3F5960B3" w14:textId="77777777" w:rsidR="003B1086" w:rsidRPr="00EC20FD" w:rsidRDefault="003B1086" w:rsidP="00695792">
            <w:pPr>
              <w:pStyle w:val="TableTextCenter"/>
              <w:keepLines/>
              <w:rPr>
                <w:rFonts w:ascii="Arial" w:hAnsi="Arial" w:cs="Arial"/>
                <w:szCs w:val="20"/>
              </w:rPr>
            </w:pPr>
          </w:p>
        </w:tc>
      </w:tr>
      <w:tr w:rsidR="003B1086" w:rsidRPr="00550752" w14:paraId="4B8212C1" w14:textId="77777777" w:rsidTr="00695792">
        <w:trPr>
          <w:trHeight w:val="20"/>
          <w:jc w:val="center"/>
        </w:trPr>
        <w:tc>
          <w:tcPr>
            <w:tcW w:w="4844" w:type="dxa"/>
            <w:tcBorders>
              <w:left w:val="single" w:sz="4" w:space="0" w:color="auto"/>
            </w:tcBorders>
          </w:tcPr>
          <w:p w14:paraId="320156CB" w14:textId="77777777" w:rsidR="003B1086" w:rsidRPr="00EC20FD" w:rsidRDefault="003B1086" w:rsidP="00695792">
            <w:pPr>
              <w:autoSpaceDE w:val="0"/>
              <w:autoSpaceDN w:val="0"/>
              <w:adjustRightInd w:val="0"/>
              <w:spacing w:before="40" w:after="40"/>
              <w:ind w:left="102"/>
              <w:rPr>
                <w:rFonts w:ascii="Arial" w:hAnsi="Arial" w:cs="Arial"/>
                <w:sz w:val="20"/>
              </w:rPr>
            </w:pPr>
            <w:bookmarkStart w:id="24" w:name="_Hlk479757819"/>
            <w:r w:rsidRPr="00EC20FD">
              <w:rPr>
                <w:rFonts w:ascii="Arial" w:hAnsi="Arial" w:cs="Arial"/>
                <w:sz w:val="20"/>
              </w:rPr>
              <w:tab/>
            </w:r>
            <w:bookmarkEnd w:id="24"/>
            <w:r w:rsidRPr="00EC20FD">
              <w:rPr>
                <w:rFonts w:ascii="Arial" w:hAnsi="Arial" w:cs="Arial"/>
                <w:sz w:val="20"/>
              </w:rPr>
              <w:t>Median, years (min, max)</w:t>
            </w:r>
          </w:p>
        </w:tc>
        <w:tc>
          <w:tcPr>
            <w:tcW w:w="2174" w:type="dxa"/>
            <w:tcBorders>
              <w:right w:val="single" w:sz="4" w:space="0" w:color="auto"/>
            </w:tcBorders>
          </w:tcPr>
          <w:p w14:paraId="786B6802" w14:textId="77777777" w:rsidR="003B1086" w:rsidRPr="00550752" w:rsidRDefault="003B1086" w:rsidP="00695792">
            <w:pPr>
              <w:autoSpaceDE w:val="0"/>
              <w:autoSpaceDN w:val="0"/>
              <w:adjustRightInd w:val="0"/>
              <w:spacing w:before="40" w:after="40"/>
              <w:ind w:left="102"/>
              <w:jc w:val="center"/>
              <w:rPr>
                <w:rFonts w:ascii="Arial" w:hAnsi="Arial" w:cs="Arial"/>
                <w:sz w:val="20"/>
              </w:rPr>
            </w:pPr>
            <w:r w:rsidRPr="00550752">
              <w:rPr>
                <w:rFonts w:ascii="Arial" w:hAnsi="Arial" w:cs="Arial"/>
                <w:sz w:val="20"/>
              </w:rPr>
              <w:t>55 (23, 78)</w:t>
            </w:r>
          </w:p>
        </w:tc>
      </w:tr>
      <w:tr w:rsidR="003B1086" w:rsidRPr="00EC20FD" w14:paraId="55235226" w14:textId="77777777" w:rsidTr="00695792">
        <w:trPr>
          <w:trHeight w:val="161"/>
          <w:jc w:val="center"/>
        </w:trPr>
        <w:tc>
          <w:tcPr>
            <w:tcW w:w="4844" w:type="dxa"/>
            <w:tcBorders>
              <w:left w:val="single" w:sz="4" w:space="0" w:color="auto"/>
            </w:tcBorders>
          </w:tcPr>
          <w:p w14:paraId="58166408"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ab/>
              <w:t>Mean, years (SD)</w:t>
            </w:r>
          </w:p>
        </w:tc>
        <w:tc>
          <w:tcPr>
            <w:tcW w:w="2174" w:type="dxa"/>
            <w:tcBorders>
              <w:right w:val="single" w:sz="4" w:space="0" w:color="auto"/>
            </w:tcBorders>
          </w:tcPr>
          <w:p w14:paraId="6E0872A7" w14:textId="77777777" w:rsidR="003B1086" w:rsidRPr="00EC20FD" w:rsidRDefault="003B1086" w:rsidP="00695792">
            <w:pPr>
              <w:pStyle w:val="TableTextCenter"/>
              <w:keepLines/>
              <w:rPr>
                <w:rFonts w:ascii="Arial" w:hAnsi="Arial" w:cs="Arial"/>
                <w:szCs w:val="20"/>
              </w:rPr>
            </w:pPr>
            <w:r w:rsidRPr="00EC20FD">
              <w:rPr>
                <w:rFonts w:ascii="Arial" w:hAnsi="Arial" w:cs="Arial"/>
                <w:szCs w:val="20"/>
                <w:lang w:val="en-GB"/>
              </w:rPr>
              <w:t>52.8 (15)</w:t>
            </w:r>
          </w:p>
        </w:tc>
      </w:tr>
      <w:tr w:rsidR="003B1086" w:rsidRPr="00EC20FD" w14:paraId="51E79EB6" w14:textId="77777777" w:rsidTr="00695792">
        <w:trPr>
          <w:trHeight w:val="161"/>
          <w:jc w:val="center"/>
        </w:trPr>
        <w:tc>
          <w:tcPr>
            <w:tcW w:w="4844" w:type="dxa"/>
            <w:tcBorders>
              <w:left w:val="single" w:sz="4" w:space="0" w:color="auto"/>
            </w:tcBorders>
          </w:tcPr>
          <w:p w14:paraId="471361C8"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ab/>
              <w:t>≥ 65 Years and &lt; 75 years, n (%)</w:t>
            </w:r>
          </w:p>
        </w:tc>
        <w:tc>
          <w:tcPr>
            <w:tcW w:w="2174" w:type="dxa"/>
            <w:tcBorders>
              <w:right w:val="single" w:sz="4" w:space="0" w:color="auto"/>
            </w:tcBorders>
          </w:tcPr>
          <w:p w14:paraId="4D9B17A9" w14:textId="77777777" w:rsidR="003B1086" w:rsidRPr="00EC20FD" w:rsidRDefault="003B1086" w:rsidP="00695792">
            <w:pPr>
              <w:pStyle w:val="TableTextCenter"/>
              <w:keepLines/>
              <w:rPr>
                <w:rFonts w:ascii="Arial" w:hAnsi="Arial" w:cs="Arial"/>
                <w:szCs w:val="20"/>
              </w:rPr>
            </w:pPr>
            <w:r w:rsidRPr="00EC20FD">
              <w:rPr>
                <w:rFonts w:ascii="Arial" w:hAnsi="Arial" w:cs="Arial"/>
                <w:szCs w:val="20"/>
              </w:rPr>
              <w:t>10 (22.2)</w:t>
            </w:r>
          </w:p>
        </w:tc>
      </w:tr>
      <w:tr w:rsidR="003B1086" w:rsidRPr="00EC20FD" w14:paraId="4903C19A" w14:textId="77777777" w:rsidTr="00695792">
        <w:trPr>
          <w:trHeight w:val="161"/>
          <w:jc w:val="center"/>
        </w:trPr>
        <w:tc>
          <w:tcPr>
            <w:tcW w:w="4844" w:type="dxa"/>
            <w:tcBorders>
              <w:left w:val="single" w:sz="4" w:space="0" w:color="auto"/>
            </w:tcBorders>
          </w:tcPr>
          <w:p w14:paraId="3DC090AC"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ab/>
              <w:t>≥ 75 Years, n (%)</w:t>
            </w:r>
          </w:p>
        </w:tc>
        <w:tc>
          <w:tcPr>
            <w:tcW w:w="2174" w:type="dxa"/>
            <w:tcBorders>
              <w:right w:val="single" w:sz="4" w:space="0" w:color="auto"/>
            </w:tcBorders>
          </w:tcPr>
          <w:p w14:paraId="1F7AE72F" w14:textId="77777777" w:rsidR="003B1086" w:rsidRPr="00EC20FD" w:rsidRDefault="003B1086" w:rsidP="00695792">
            <w:pPr>
              <w:pStyle w:val="TableTextCenter"/>
              <w:keepLines/>
              <w:rPr>
                <w:rFonts w:ascii="Arial" w:hAnsi="Arial" w:cs="Arial"/>
                <w:szCs w:val="20"/>
              </w:rPr>
            </w:pPr>
            <w:r w:rsidRPr="00EC20FD">
              <w:rPr>
                <w:rFonts w:ascii="Arial" w:hAnsi="Arial" w:cs="Arial"/>
                <w:szCs w:val="20"/>
              </w:rPr>
              <w:t>2 (4.4)</w:t>
            </w:r>
          </w:p>
        </w:tc>
      </w:tr>
      <w:tr w:rsidR="003B1086" w:rsidRPr="00EC20FD" w14:paraId="1D9D4472" w14:textId="77777777" w:rsidTr="00695792">
        <w:trPr>
          <w:trHeight w:val="258"/>
          <w:jc w:val="center"/>
        </w:trPr>
        <w:tc>
          <w:tcPr>
            <w:tcW w:w="4844" w:type="dxa"/>
            <w:tcBorders>
              <w:left w:val="single" w:sz="8" w:space="0" w:color="auto"/>
            </w:tcBorders>
          </w:tcPr>
          <w:p w14:paraId="30270E62"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Males, n (%)</w:t>
            </w:r>
          </w:p>
        </w:tc>
        <w:tc>
          <w:tcPr>
            <w:tcW w:w="2174" w:type="dxa"/>
            <w:tcBorders>
              <w:right w:val="single" w:sz="8" w:space="0" w:color="auto"/>
            </w:tcBorders>
          </w:tcPr>
          <w:p w14:paraId="655F8C7B" w14:textId="77777777" w:rsidR="003B1086" w:rsidRPr="00EC20FD" w:rsidRDefault="003B1086" w:rsidP="00695792">
            <w:pPr>
              <w:pStyle w:val="TableTextCenter"/>
              <w:keepNext w:val="0"/>
              <w:rPr>
                <w:rFonts w:ascii="Arial" w:hAnsi="Arial" w:cs="Arial"/>
                <w:szCs w:val="20"/>
              </w:rPr>
            </w:pPr>
            <w:r w:rsidRPr="00EC20FD">
              <w:rPr>
                <w:rFonts w:ascii="Arial" w:hAnsi="Arial" w:cs="Arial"/>
                <w:szCs w:val="20"/>
              </w:rPr>
              <w:t>24 (53.3)</w:t>
            </w:r>
          </w:p>
        </w:tc>
      </w:tr>
      <w:tr w:rsidR="003B1086" w:rsidRPr="00EC20FD" w14:paraId="0E371899" w14:textId="77777777" w:rsidTr="00695792">
        <w:trPr>
          <w:trHeight w:val="20"/>
          <w:jc w:val="center"/>
        </w:trPr>
        <w:tc>
          <w:tcPr>
            <w:tcW w:w="4844" w:type="dxa"/>
            <w:tcBorders>
              <w:left w:val="single" w:sz="8" w:space="0" w:color="auto"/>
            </w:tcBorders>
            <w:vAlign w:val="center"/>
          </w:tcPr>
          <w:p w14:paraId="35578342" w14:textId="77777777" w:rsidR="003B1086" w:rsidRPr="00EC20FD" w:rsidRDefault="003B1086" w:rsidP="00695792">
            <w:pPr>
              <w:autoSpaceDE w:val="0"/>
              <w:autoSpaceDN w:val="0"/>
              <w:adjustRightInd w:val="0"/>
              <w:spacing w:before="40" w:after="40"/>
              <w:ind w:left="102"/>
              <w:rPr>
                <w:rFonts w:ascii="Arial" w:hAnsi="Arial" w:cs="Arial"/>
                <w:sz w:val="20"/>
              </w:rPr>
            </w:pPr>
            <w:r w:rsidRPr="00EC20FD">
              <w:rPr>
                <w:rFonts w:ascii="Arial" w:hAnsi="Arial" w:cs="Arial"/>
                <w:sz w:val="20"/>
              </w:rPr>
              <w:t>Race, n (%)</w:t>
            </w:r>
          </w:p>
        </w:tc>
        <w:tc>
          <w:tcPr>
            <w:tcW w:w="2174" w:type="dxa"/>
            <w:tcBorders>
              <w:right w:val="single" w:sz="8" w:space="0" w:color="auto"/>
            </w:tcBorders>
          </w:tcPr>
          <w:p w14:paraId="79535D81" w14:textId="77777777" w:rsidR="003B1086" w:rsidRPr="00EC20FD" w:rsidRDefault="003B1086" w:rsidP="00695792">
            <w:pPr>
              <w:pStyle w:val="TableTextCenter"/>
              <w:keepNext w:val="0"/>
              <w:rPr>
                <w:rFonts w:ascii="Arial" w:hAnsi="Arial" w:cs="Arial"/>
                <w:szCs w:val="20"/>
              </w:rPr>
            </w:pPr>
          </w:p>
        </w:tc>
      </w:tr>
      <w:tr w:rsidR="003B1086" w:rsidRPr="00EC20FD" w14:paraId="2C8B0F10" w14:textId="77777777" w:rsidTr="00695792">
        <w:trPr>
          <w:trHeight w:val="20"/>
          <w:jc w:val="center"/>
        </w:trPr>
        <w:tc>
          <w:tcPr>
            <w:tcW w:w="4844" w:type="dxa"/>
            <w:tcBorders>
              <w:left w:val="single" w:sz="8" w:space="0" w:color="auto"/>
            </w:tcBorders>
            <w:vAlign w:val="center"/>
          </w:tcPr>
          <w:p w14:paraId="72B76D6F" w14:textId="77777777" w:rsidR="003B1086" w:rsidRPr="00EC20FD" w:rsidRDefault="003B1086" w:rsidP="00695792">
            <w:pPr>
              <w:pStyle w:val="TableTextLeft"/>
              <w:keepNext w:val="0"/>
              <w:tabs>
                <w:tab w:val="left" w:pos="372"/>
              </w:tabs>
              <w:ind w:left="372"/>
              <w:rPr>
                <w:rFonts w:ascii="Arial" w:hAnsi="Arial" w:cs="Arial"/>
                <w:szCs w:val="20"/>
              </w:rPr>
            </w:pPr>
            <w:r w:rsidRPr="00EC20FD">
              <w:rPr>
                <w:rFonts w:ascii="Arial" w:hAnsi="Arial" w:cs="Arial"/>
                <w:szCs w:val="20"/>
              </w:rPr>
              <w:tab/>
              <w:t>Asian</w:t>
            </w:r>
          </w:p>
        </w:tc>
        <w:tc>
          <w:tcPr>
            <w:tcW w:w="2174" w:type="dxa"/>
            <w:tcBorders>
              <w:right w:val="single" w:sz="8" w:space="0" w:color="auto"/>
            </w:tcBorders>
          </w:tcPr>
          <w:p w14:paraId="01EE42F3" w14:textId="77777777" w:rsidR="003B1086" w:rsidRPr="00EC20FD" w:rsidRDefault="003B1086" w:rsidP="00695792">
            <w:pPr>
              <w:pStyle w:val="TableTextCenter"/>
              <w:keepNext w:val="0"/>
              <w:rPr>
                <w:rFonts w:ascii="Arial" w:hAnsi="Arial" w:cs="Arial"/>
                <w:szCs w:val="20"/>
              </w:rPr>
            </w:pPr>
            <w:r w:rsidRPr="00EC20FD">
              <w:rPr>
                <w:rFonts w:ascii="Arial" w:hAnsi="Arial" w:cs="Arial"/>
                <w:szCs w:val="20"/>
              </w:rPr>
              <w:t>1 (2.2)</w:t>
            </w:r>
          </w:p>
        </w:tc>
      </w:tr>
      <w:tr w:rsidR="003B1086" w:rsidRPr="00EC20FD" w14:paraId="04649B26" w14:textId="77777777" w:rsidTr="00695792">
        <w:trPr>
          <w:trHeight w:val="20"/>
          <w:jc w:val="center"/>
        </w:trPr>
        <w:tc>
          <w:tcPr>
            <w:tcW w:w="4844" w:type="dxa"/>
            <w:tcBorders>
              <w:left w:val="single" w:sz="8" w:space="0" w:color="auto"/>
            </w:tcBorders>
            <w:vAlign w:val="center"/>
          </w:tcPr>
          <w:p w14:paraId="6DCDA7C9" w14:textId="77777777" w:rsidR="003B1086" w:rsidRPr="00EC20FD" w:rsidRDefault="003B1086" w:rsidP="00695792">
            <w:pPr>
              <w:pStyle w:val="TableTextLeft"/>
              <w:keepNext w:val="0"/>
              <w:tabs>
                <w:tab w:val="left" w:pos="372"/>
              </w:tabs>
              <w:ind w:left="372"/>
              <w:rPr>
                <w:rFonts w:ascii="Arial" w:hAnsi="Arial" w:cs="Arial"/>
                <w:szCs w:val="20"/>
              </w:rPr>
            </w:pPr>
            <w:r w:rsidRPr="00EC20FD">
              <w:rPr>
                <w:rFonts w:ascii="Arial" w:hAnsi="Arial" w:cs="Arial"/>
                <w:szCs w:val="20"/>
              </w:rPr>
              <w:tab/>
              <w:t>Black (or African American)</w:t>
            </w:r>
          </w:p>
        </w:tc>
        <w:tc>
          <w:tcPr>
            <w:tcW w:w="2174" w:type="dxa"/>
            <w:tcBorders>
              <w:right w:val="single" w:sz="8" w:space="0" w:color="auto"/>
            </w:tcBorders>
          </w:tcPr>
          <w:p w14:paraId="05AACC19" w14:textId="77777777" w:rsidR="003B1086" w:rsidRPr="00EC20FD" w:rsidRDefault="003B1086" w:rsidP="00695792">
            <w:pPr>
              <w:pStyle w:val="TableTextCenter"/>
              <w:keepNext w:val="0"/>
              <w:rPr>
                <w:rFonts w:ascii="Arial" w:hAnsi="Arial" w:cs="Arial"/>
                <w:szCs w:val="20"/>
              </w:rPr>
            </w:pPr>
            <w:r w:rsidRPr="00EC20FD">
              <w:rPr>
                <w:rFonts w:ascii="Arial" w:hAnsi="Arial" w:cs="Arial"/>
                <w:szCs w:val="20"/>
              </w:rPr>
              <w:t>3 (6.7)</w:t>
            </w:r>
          </w:p>
        </w:tc>
      </w:tr>
      <w:tr w:rsidR="003B1086" w:rsidRPr="00EC20FD" w14:paraId="59755E75" w14:textId="77777777" w:rsidTr="00695792">
        <w:trPr>
          <w:trHeight w:val="20"/>
          <w:jc w:val="center"/>
        </w:trPr>
        <w:tc>
          <w:tcPr>
            <w:tcW w:w="4844" w:type="dxa"/>
            <w:tcBorders>
              <w:left w:val="single" w:sz="8" w:space="0" w:color="auto"/>
            </w:tcBorders>
            <w:vAlign w:val="center"/>
          </w:tcPr>
          <w:p w14:paraId="22A0BFE5" w14:textId="77777777" w:rsidR="003B1086" w:rsidRPr="00EC20FD" w:rsidRDefault="003B1086" w:rsidP="00695792">
            <w:pPr>
              <w:pStyle w:val="TableTextLeft"/>
              <w:keepNext w:val="0"/>
              <w:tabs>
                <w:tab w:val="left" w:pos="372"/>
              </w:tabs>
              <w:ind w:left="372"/>
              <w:rPr>
                <w:rFonts w:ascii="Arial" w:hAnsi="Arial" w:cs="Arial"/>
                <w:szCs w:val="20"/>
              </w:rPr>
            </w:pPr>
            <w:r w:rsidRPr="00EC20FD">
              <w:rPr>
                <w:rFonts w:ascii="Arial" w:hAnsi="Arial" w:cs="Arial"/>
                <w:szCs w:val="20"/>
              </w:rPr>
              <w:tab/>
              <w:t>Other</w:t>
            </w:r>
          </w:p>
        </w:tc>
        <w:tc>
          <w:tcPr>
            <w:tcW w:w="2174" w:type="dxa"/>
            <w:tcBorders>
              <w:right w:val="single" w:sz="8" w:space="0" w:color="auto"/>
            </w:tcBorders>
          </w:tcPr>
          <w:p w14:paraId="0BEE8BC9" w14:textId="77777777" w:rsidR="003B1086" w:rsidRPr="00EC20FD" w:rsidRDefault="003B1086" w:rsidP="00695792">
            <w:pPr>
              <w:pStyle w:val="TableTextCenter"/>
              <w:keepNext w:val="0"/>
              <w:rPr>
                <w:rFonts w:ascii="Arial" w:hAnsi="Arial" w:cs="Arial"/>
                <w:szCs w:val="20"/>
              </w:rPr>
            </w:pPr>
            <w:r w:rsidRPr="00EC20FD">
              <w:rPr>
                <w:rFonts w:ascii="Arial" w:hAnsi="Arial" w:cs="Arial"/>
                <w:szCs w:val="20"/>
              </w:rPr>
              <w:t>2 (4.4)</w:t>
            </w:r>
          </w:p>
        </w:tc>
      </w:tr>
      <w:tr w:rsidR="003B1086" w:rsidRPr="00EC20FD" w14:paraId="17623E29" w14:textId="77777777" w:rsidTr="00695792">
        <w:trPr>
          <w:trHeight w:val="20"/>
          <w:jc w:val="center"/>
        </w:trPr>
        <w:tc>
          <w:tcPr>
            <w:tcW w:w="4844" w:type="dxa"/>
            <w:tcBorders>
              <w:left w:val="single" w:sz="8" w:space="0" w:color="auto"/>
            </w:tcBorders>
            <w:vAlign w:val="center"/>
          </w:tcPr>
          <w:p w14:paraId="06B59070" w14:textId="77777777" w:rsidR="003B1086" w:rsidRPr="00EC20FD" w:rsidRDefault="003B1086" w:rsidP="00695792">
            <w:pPr>
              <w:pStyle w:val="TableTextLeft"/>
              <w:keepNext w:val="0"/>
              <w:tabs>
                <w:tab w:val="left" w:pos="372"/>
              </w:tabs>
              <w:ind w:left="372"/>
              <w:rPr>
                <w:rFonts w:ascii="Arial" w:hAnsi="Arial" w:cs="Arial"/>
                <w:szCs w:val="20"/>
              </w:rPr>
            </w:pPr>
            <w:r w:rsidRPr="00EC20FD">
              <w:rPr>
                <w:rFonts w:ascii="Arial" w:hAnsi="Arial" w:cs="Arial"/>
                <w:szCs w:val="20"/>
              </w:rPr>
              <w:tab/>
              <w:t>White</w:t>
            </w:r>
          </w:p>
        </w:tc>
        <w:tc>
          <w:tcPr>
            <w:tcW w:w="2174" w:type="dxa"/>
            <w:tcBorders>
              <w:right w:val="single" w:sz="8" w:space="0" w:color="auto"/>
            </w:tcBorders>
          </w:tcPr>
          <w:p w14:paraId="7E72DBAB" w14:textId="77777777" w:rsidR="003B1086" w:rsidRPr="00EC20FD" w:rsidRDefault="003B1086" w:rsidP="00695792">
            <w:pPr>
              <w:pStyle w:val="TableTextCenter"/>
              <w:keepNext w:val="0"/>
              <w:rPr>
                <w:rFonts w:ascii="Arial" w:hAnsi="Arial" w:cs="Arial"/>
                <w:szCs w:val="20"/>
              </w:rPr>
            </w:pPr>
            <w:r w:rsidRPr="00EC20FD">
              <w:rPr>
                <w:rFonts w:ascii="Arial" w:hAnsi="Arial" w:cs="Arial"/>
                <w:szCs w:val="20"/>
              </w:rPr>
              <w:t>39 (86.7)</w:t>
            </w:r>
          </w:p>
        </w:tc>
      </w:tr>
      <w:tr w:rsidR="003B1086" w:rsidRPr="00EC20FD" w14:paraId="60C67242" w14:textId="77777777" w:rsidTr="004E5019">
        <w:trPr>
          <w:trHeight w:val="20"/>
          <w:jc w:val="center"/>
        </w:trPr>
        <w:tc>
          <w:tcPr>
            <w:tcW w:w="4844" w:type="dxa"/>
            <w:tcBorders>
              <w:left w:val="single" w:sz="8" w:space="0" w:color="auto"/>
            </w:tcBorders>
          </w:tcPr>
          <w:p w14:paraId="2EF77B4B" w14:textId="77777777" w:rsidR="003B1086" w:rsidRPr="00EC20FD" w:rsidRDefault="003B1086" w:rsidP="00695792">
            <w:pPr>
              <w:pStyle w:val="TableTextLeft"/>
              <w:keepNext w:val="0"/>
              <w:tabs>
                <w:tab w:val="left" w:pos="372"/>
              </w:tabs>
              <w:rPr>
                <w:rFonts w:ascii="Arial" w:hAnsi="Arial" w:cs="Arial"/>
                <w:szCs w:val="20"/>
              </w:rPr>
            </w:pPr>
            <w:r w:rsidRPr="00EC20FD">
              <w:rPr>
                <w:rFonts w:ascii="Arial" w:hAnsi="Arial" w:cs="Arial"/>
                <w:szCs w:val="20"/>
              </w:rPr>
              <w:t>Disease History</w:t>
            </w:r>
          </w:p>
        </w:tc>
        <w:tc>
          <w:tcPr>
            <w:tcW w:w="2174" w:type="dxa"/>
            <w:tcBorders>
              <w:right w:val="single" w:sz="8" w:space="0" w:color="auto"/>
            </w:tcBorders>
            <w:vAlign w:val="center"/>
          </w:tcPr>
          <w:p w14:paraId="6741C243" w14:textId="77777777" w:rsidR="003B1086" w:rsidRPr="00EC20FD" w:rsidRDefault="003B1086" w:rsidP="00695792">
            <w:pPr>
              <w:pStyle w:val="TableTextCenter"/>
              <w:keepNext w:val="0"/>
              <w:rPr>
                <w:rFonts w:ascii="Arial" w:hAnsi="Arial" w:cs="Arial"/>
                <w:szCs w:val="20"/>
              </w:rPr>
            </w:pPr>
          </w:p>
        </w:tc>
      </w:tr>
      <w:tr w:rsidR="003B1086" w:rsidRPr="006D60C5" w14:paraId="6F6EF8D6" w14:textId="77777777" w:rsidTr="004E5019">
        <w:trPr>
          <w:trHeight w:val="20"/>
          <w:jc w:val="center"/>
        </w:trPr>
        <w:tc>
          <w:tcPr>
            <w:tcW w:w="4844" w:type="dxa"/>
            <w:tcBorders>
              <w:left w:val="single" w:sz="8" w:space="0" w:color="auto"/>
            </w:tcBorders>
          </w:tcPr>
          <w:p w14:paraId="381A39B9" w14:textId="77777777" w:rsidR="003B1086" w:rsidRPr="001F0E22" w:rsidRDefault="003B1086" w:rsidP="00695792">
            <w:pPr>
              <w:pStyle w:val="TableTextLeft"/>
              <w:keepNext w:val="0"/>
              <w:tabs>
                <w:tab w:val="left" w:pos="372"/>
              </w:tabs>
              <w:ind w:left="372"/>
              <w:rPr>
                <w:rFonts w:ascii="Arial" w:hAnsi="Arial" w:cs="Arial"/>
                <w:szCs w:val="20"/>
              </w:rPr>
            </w:pPr>
            <w:r w:rsidRPr="001F0E22">
              <w:rPr>
                <w:rFonts w:ascii="Arial" w:hAnsi="Arial" w:cs="Arial"/>
                <w:szCs w:val="20"/>
              </w:rPr>
              <w:t xml:space="preserve">Prior TKI </w:t>
            </w:r>
            <w:proofErr w:type="spellStart"/>
            <w:r w:rsidRPr="001F0E22">
              <w:rPr>
                <w:rFonts w:ascii="Arial" w:hAnsi="Arial" w:cs="Arial"/>
                <w:szCs w:val="20"/>
              </w:rPr>
              <w:t>treatment</w:t>
            </w:r>
            <w:r w:rsidRPr="001F0E22">
              <w:rPr>
                <w:rFonts w:ascii="Arial" w:hAnsi="Arial" w:cs="Arial"/>
                <w:szCs w:val="20"/>
                <w:vertAlign w:val="superscript"/>
              </w:rPr>
              <w:t>a</w:t>
            </w:r>
            <w:proofErr w:type="spellEnd"/>
            <w:r w:rsidRPr="001F0E22">
              <w:rPr>
                <w:rFonts w:ascii="Arial" w:hAnsi="Arial" w:cs="Arial"/>
                <w:szCs w:val="20"/>
              </w:rPr>
              <w:t>, n (%)</w:t>
            </w:r>
          </w:p>
        </w:tc>
        <w:tc>
          <w:tcPr>
            <w:tcW w:w="2174" w:type="dxa"/>
            <w:tcBorders>
              <w:right w:val="single" w:sz="8" w:space="0" w:color="auto"/>
            </w:tcBorders>
            <w:vAlign w:val="center"/>
          </w:tcPr>
          <w:p w14:paraId="61254FB0" w14:textId="77777777" w:rsidR="003B1086" w:rsidRPr="006D60C5" w:rsidRDefault="003B1086" w:rsidP="00695792">
            <w:pPr>
              <w:pStyle w:val="TableTextCenter"/>
              <w:keepNext w:val="0"/>
              <w:rPr>
                <w:rFonts w:ascii="Arial" w:hAnsi="Arial" w:cs="Arial"/>
                <w:szCs w:val="20"/>
              </w:rPr>
            </w:pPr>
          </w:p>
        </w:tc>
      </w:tr>
      <w:tr w:rsidR="003B1086" w:rsidRPr="006D60C5" w14:paraId="3B59A401" w14:textId="77777777" w:rsidTr="004E5019">
        <w:trPr>
          <w:trHeight w:val="20"/>
          <w:jc w:val="center"/>
        </w:trPr>
        <w:tc>
          <w:tcPr>
            <w:tcW w:w="4844" w:type="dxa"/>
            <w:tcBorders>
              <w:left w:val="single" w:sz="8" w:space="0" w:color="auto"/>
            </w:tcBorders>
          </w:tcPr>
          <w:p w14:paraId="0F4D2B26" w14:textId="77777777" w:rsidR="003B1086" w:rsidRPr="001F0E22" w:rsidRDefault="003B1086" w:rsidP="00695792">
            <w:pPr>
              <w:pStyle w:val="TableTextLeft"/>
              <w:keepNext w:val="0"/>
              <w:tabs>
                <w:tab w:val="left" w:pos="372"/>
              </w:tabs>
              <w:ind w:left="720"/>
              <w:rPr>
                <w:rFonts w:ascii="Arial" w:hAnsi="Arial" w:cs="Arial"/>
                <w:szCs w:val="20"/>
              </w:rPr>
            </w:pPr>
            <w:r w:rsidRPr="001F0E22">
              <w:rPr>
                <w:rFonts w:ascii="Arial" w:hAnsi="Arial" w:cs="Arial"/>
                <w:szCs w:val="20"/>
              </w:rPr>
              <w:t>1</w:t>
            </w:r>
          </w:p>
        </w:tc>
        <w:tc>
          <w:tcPr>
            <w:tcW w:w="2174" w:type="dxa"/>
            <w:tcBorders>
              <w:right w:val="single" w:sz="8" w:space="0" w:color="auto"/>
            </w:tcBorders>
            <w:vAlign w:val="center"/>
          </w:tcPr>
          <w:p w14:paraId="1E7CF898" w14:textId="77777777" w:rsidR="003B1086" w:rsidRPr="006D60C5" w:rsidRDefault="003B1086" w:rsidP="00695792">
            <w:pPr>
              <w:pStyle w:val="TableTextCenter"/>
              <w:keepNext w:val="0"/>
              <w:rPr>
                <w:rFonts w:ascii="Arial" w:hAnsi="Arial" w:cs="Arial"/>
                <w:szCs w:val="20"/>
              </w:rPr>
            </w:pPr>
            <w:r w:rsidRPr="006D60C5">
              <w:rPr>
                <w:rFonts w:ascii="Arial" w:hAnsi="Arial" w:cs="Arial"/>
                <w:szCs w:val="20"/>
              </w:rPr>
              <w:t>7 (15.6)</w:t>
            </w:r>
          </w:p>
        </w:tc>
      </w:tr>
      <w:tr w:rsidR="003B1086" w:rsidRPr="006D60C5" w14:paraId="341A87EB" w14:textId="77777777" w:rsidTr="00695792">
        <w:trPr>
          <w:trHeight w:val="20"/>
          <w:jc w:val="center"/>
        </w:trPr>
        <w:tc>
          <w:tcPr>
            <w:tcW w:w="4844" w:type="dxa"/>
            <w:tcBorders>
              <w:left w:val="single" w:sz="8" w:space="0" w:color="auto"/>
            </w:tcBorders>
          </w:tcPr>
          <w:p w14:paraId="78F58A75" w14:textId="77777777" w:rsidR="003B1086" w:rsidRPr="001F0E22" w:rsidRDefault="003B1086" w:rsidP="00695792">
            <w:pPr>
              <w:pStyle w:val="TableTextLeft"/>
              <w:keepNext w:val="0"/>
              <w:tabs>
                <w:tab w:val="left" w:pos="372"/>
              </w:tabs>
              <w:ind w:left="720"/>
              <w:rPr>
                <w:rFonts w:ascii="Arial" w:hAnsi="Arial" w:cs="Arial"/>
                <w:szCs w:val="20"/>
              </w:rPr>
            </w:pPr>
            <w:r w:rsidRPr="001F0E22">
              <w:rPr>
                <w:rFonts w:ascii="Arial" w:hAnsi="Arial" w:cs="Arial"/>
                <w:szCs w:val="20"/>
              </w:rPr>
              <w:t>2</w:t>
            </w:r>
          </w:p>
        </w:tc>
        <w:tc>
          <w:tcPr>
            <w:tcW w:w="2174" w:type="dxa"/>
            <w:tcBorders>
              <w:right w:val="single" w:sz="8" w:space="0" w:color="auto"/>
            </w:tcBorders>
            <w:vAlign w:val="center"/>
          </w:tcPr>
          <w:p w14:paraId="7ECDB15F" w14:textId="77777777" w:rsidR="003B1086" w:rsidRPr="006D60C5" w:rsidRDefault="003B1086" w:rsidP="00695792">
            <w:pPr>
              <w:pStyle w:val="TableTextCenter"/>
              <w:keepNext w:val="0"/>
              <w:rPr>
                <w:rFonts w:ascii="Arial" w:hAnsi="Arial" w:cs="Arial"/>
                <w:szCs w:val="20"/>
              </w:rPr>
            </w:pPr>
            <w:r w:rsidRPr="006D60C5">
              <w:rPr>
                <w:rFonts w:ascii="Arial" w:hAnsi="Arial" w:cs="Arial"/>
                <w:szCs w:val="20"/>
              </w:rPr>
              <w:t>21 (46.7)</w:t>
            </w:r>
          </w:p>
        </w:tc>
      </w:tr>
      <w:tr w:rsidR="003B1086" w:rsidRPr="00E039DE" w14:paraId="4B3CC959" w14:textId="77777777" w:rsidTr="00695792">
        <w:trPr>
          <w:trHeight w:val="20"/>
          <w:jc w:val="center"/>
        </w:trPr>
        <w:tc>
          <w:tcPr>
            <w:tcW w:w="4844" w:type="dxa"/>
            <w:tcBorders>
              <w:left w:val="single" w:sz="8" w:space="0" w:color="auto"/>
            </w:tcBorders>
          </w:tcPr>
          <w:p w14:paraId="78DD0654" w14:textId="77777777" w:rsidR="003B1086" w:rsidRPr="001F0E22" w:rsidRDefault="003B1086" w:rsidP="00695792">
            <w:pPr>
              <w:pStyle w:val="TableTextLeft"/>
              <w:keepNext w:val="0"/>
              <w:tabs>
                <w:tab w:val="left" w:pos="372"/>
              </w:tabs>
              <w:ind w:left="720"/>
              <w:rPr>
                <w:rFonts w:ascii="Arial" w:hAnsi="Arial" w:cs="Arial"/>
                <w:szCs w:val="20"/>
              </w:rPr>
            </w:pPr>
            <w:r w:rsidRPr="001F0E22">
              <w:rPr>
                <w:rFonts w:ascii="Arial" w:hAnsi="Arial" w:cs="Arial"/>
                <w:szCs w:val="20"/>
              </w:rPr>
              <w:t>≥ 3</w:t>
            </w:r>
          </w:p>
        </w:tc>
        <w:tc>
          <w:tcPr>
            <w:tcW w:w="2174" w:type="dxa"/>
            <w:tcBorders>
              <w:right w:val="single" w:sz="8" w:space="0" w:color="auto"/>
            </w:tcBorders>
            <w:vAlign w:val="center"/>
          </w:tcPr>
          <w:p w14:paraId="5248BB0D" w14:textId="77777777" w:rsidR="003B1086" w:rsidRPr="00E039DE" w:rsidRDefault="003B1086" w:rsidP="00695792">
            <w:pPr>
              <w:pStyle w:val="TableTextCenter"/>
              <w:keepNext w:val="0"/>
              <w:rPr>
                <w:rFonts w:ascii="Arial" w:hAnsi="Arial" w:cs="Arial"/>
                <w:szCs w:val="20"/>
              </w:rPr>
            </w:pPr>
            <w:r w:rsidRPr="006D60C5">
              <w:rPr>
                <w:rFonts w:ascii="Arial" w:hAnsi="Arial" w:cs="Arial"/>
                <w:szCs w:val="20"/>
              </w:rPr>
              <w:t>17 (</w:t>
            </w:r>
            <w:r w:rsidRPr="00D556C8">
              <w:rPr>
                <w:rFonts w:ascii="Arial" w:hAnsi="Arial" w:cs="Arial"/>
                <w:szCs w:val="20"/>
              </w:rPr>
              <w:t>37.8)</w:t>
            </w:r>
          </w:p>
        </w:tc>
      </w:tr>
      <w:tr w:rsidR="003B1086" w:rsidRPr="00D556C8" w14:paraId="776F0ACB" w14:textId="77777777" w:rsidTr="00695792">
        <w:trPr>
          <w:trHeight w:val="20"/>
          <w:jc w:val="center"/>
        </w:trPr>
        <w:tc>
          <w:tcPr>
            <w:tcW w:w="4844" w:type="dxa"/>
            <w:tcBorders>
              <w:left w:val="single" w:sz="8" w:space="0" w:color="auto"/>
            </w:tcBorders>
          </w:tcPr>
          <w:p w14:paraId="76053D2F" w14:textId="77777777" w:rsidR="003B1086" w:rsidRPr="001F0E22" w:rsidRDefault="003B1086" w:rsidP="00695792">
            <w:pPr>
              <w:pStyle w:val="TableTextLeft"/>
              <w:keepNext w:val="0"/>
              <w:tabs>
                <w:tab w:val="left" w:pos="372"/>
              </w:tabs>
              <w:ind w:left="372"/>
              <w:rPr>
                <w:rFonts w:ascii="Arial" w:hAnsi="Arial" w:cs="Arial"/>
                <w:szCs w:val="20"/>
              </w:rPr>
            </w:pPr>
            <w:r w:rsidRPr="001F0E22">
              <w:rPr>
                <w:rFonts w:ascii="Arial" w:hAnsi="Arial" w:cs="Arial"/>
                <w:szCs w:val="20"/>
              </w:rPr>
              <w:t>Prior salvage therapy</w:t>
            </w:r>
          </w:p>
        </w:tc>
        <w:tc>
          <w:tcPr>
            <w:tcW w:w="2174" w:type="dxa"/>
            <w:tcBorders>
              <w:right w:val="single" w:sz="8" w:space="0" w:color="auto"/>
            </w:tcBorders>
            <w:vAlign w:val="center"/>
          </w:tcPr>
          <w:p w14:paraId="42093CD2" w14:textId="77777777" w:rsidR="003B1086" w:rsidRPr="00D556C8" w:rsidRDefault="003B1086" w:rsidP="00695792">
            <w:pPr>
              <w:pStyle w:val="TableTextCenter"/>
              <w:keepNext w:val="0"/>
              <w:rPr>
                <w:rFonts w:ascii="Arial" w:hAnsi="Arial" w:cs="Arial"/>
                <w:szCs w:val="20"/>
              </w:rPr>
            </w:pPr>
            <w:r w:rsidRPr="006D60C5">
              <w:rPr>
                <w:rFonts w:ascii="Arial" w:hAnsi="Arial" w:cs="Arial"/>
                <w:szCs w:val="20"/>
              </w:rPr>
              <w:t>31 (61.9</w:t>
            </w:r>
            <w:r w:rsidRPr="00D556C8">
              <w:rPr>
                <w:rFonts w:ascii="Arial" w:hAnsi="Arial" w:cs="Arial"/>
                <w:szCs w:val="20"/>
              </w:rPr>
              <w:t>)</w:t>
            </w:r>
          </w:p>
        </w:tc>
      </w:tr>
      <w:tr w:rsidR="003B1086" w:rsidRPr="006D60C5" w14:paraId="092CC602" w14:textId="77777777" w:rsidTr="00695792">
        <w:trPr>
          <w:trHeight w:val="20"/>
          <w:jc w:val="center"/>
        </w:trPr>
        <w:tc>
          <w:tcPr>
            <w:tcW w:w="4844" w:type="dxa"/>
            <w:tcBorders>
              <w:left w:val="single" w:sz="8" w:space="0" w:color="auto"/>
            </w:tcBorders>
          </w:tcPr>
          <w:p w14:paraId="79FE0B06" w14:textId="77777777" w:rsidR="003B1086" w:rsidRPr="001F0E22" w:rsidRDefault="003B1086" w:rsidP="00695792">
            <w:pPr>
              <w:pStyle w:val="TableTextLeft"/>
              <w:keepNext w:val="0"/>
              <w:tabs>
                <w:tab w:val="left" w:pos="372"/>
              </w:tabs>
              <w:ind w:left="372"/>
              <w:rPr>
                <w:rFonts w:ascii="Arial" w:hAnsi="Arial" w:cs="Arial"/>
                <w:szCs w:val="20"/>
              </w:rPr>
            </w:pPr>
            <w:r w:rsidRPr="001F0E22">
              <w:rPr>
                <w:rFonts w:ascii="Arial" w:hAnsi="Arial" w:cs="Arial"/>
                <w:szCs w:val="20"/>
              </w:rPr>
              <w:t xml:space="preserve">Prior </w:t>
            </w:r>
            <w:proofErr w:type="spellStart"/>
            <w:r w:rsidRPr="001F0E22">
              <w:rPr>
                <w:rFonts w:ascii="Arial" w:hAnsi="Arial" w:cs="Arial"/>
                <w:szCs w:val="20"/>
              </w:rPr>
              <w:t>alloHSCT</w:t>
            </w:r>
            <w:r w:rsidRPr="001F0E22">
              <w:rPr>
                <w:rFonts w:ascii="Arial" w:hAnsi="Arial" w:cs="Arial"/>
                <w:szCs w:val="20"/>
                <w:vertAlign w:val="superscript"/>
              </w:rPr>
              <w:t>b</w:t>
            </w:r>
            <w:proofErr w:type="spellEnd"/>
            <w:r w:rsidRPr="001F0E22">
              <w:rPr>
                <w:rFonts w:ascii="Arial" w:hAnsi="Arial" w:cs="Arial"/>
                <w:szCs w:val="20"/>
              </w:rPr>
              <w:t xml:space="preserve"> </w:t>
            </w:r>
          </w:p>
        </w:tc>
        <w:tc>
          <w:tcPr>
            <w:tcW w:w="2174" w:type="dxa"/>
            <w:tcBorders>
              <w:right w:val="single" w:sz="8" w:space="0" w:color="auto"/>
            </w:tcBorders>
            <w:vAlign w:val="center"/>
          </w:tcPr>
          <w:p w14:paraId="21F9D9FF" w14:textId="77777777" w:rsidR="003B1086" w:rsidRPr="006D60C5" w:rsidRDefault="003B1086" w:rsidP="00695792">
            <w:pPr>
              <w:pStyle w:val="TableTextCenter"/>
              <w:keepNext w:val="0"/>
              <w:rPr>
                <w:rFonts w:ascii="Arial" w:hAnsi="Arial" w:cs="Arial"/>
                <w:szCs w:val="20"/>
              </w:rPr>
            </w:pPr>
            <w:r w:rsidRPr="006D60C5">
              <w:rPr>
                <w:rFonts w:ascii="Arial" w:hAnsi="Arial" w:cs="Arial"/>
                <w:szCs w:val="20"/>
              </w:rPr>
              <w:t>20 (44.4)</w:t>
            </w:r>
          </w:p>
        </w:tc>
      </w:tr>
      <w:tr w:rsidR="003B1086" w:rsidRPr="006D60C5" w14:paraId="09AF71D3" w14:textId="77777777" w:rsidTr="00695792">
        <w:trPr>
          <w:trHeight w:val="20"/>
          <w:jc w:val="center"/>
        </w:trPr>
        <w:tc>
          <w:tcPr>
            <w:tcW w:w="4844" w:type="dxa"/>
            <w:tcBorders>
              <w:left w:val="single" w:sz="8" w:space="0" w:color="auto"/>
            </w:tcBorders>
          </w:tcPr>
          <w:p w14:paraId="15B50150" w14:textId="77777777" w:rsidR="003B1086" w:rsidRPr="001F0E22" w:rsidRDefault="003B1086" w:rsidP="00695792">
            <w:pPr>
              <w:pStyle w:val="TableTextLeft"/>
              <w:keepNext w:val="0"/>
              <w:tabs>
                <w:tab w:val="left" w:pos="372"/>
              </w:tabs>
              <w:rPr>
                <w:rFonts w:ascii="Arial" w:hAnsi="Arial" w:cs="Arial"/>
                <w:szCs w:val="20"/>
              </w:rPr>
            </w:pPr>
            <w:r w:rsidRPr="001F0E22">
              <w:rPr>
                <w:rFonts w:ascii="Arial" w:hAnsi="Arial" w:cs="Arial"/>
                <w:szCs w:val="20"/>
              </w:rPr>
              <w:t xml:space="preserve">Bone marrow </w:t>
            </w:r>
            <w:proofErr w:type="spellStart"/>
            <w:r w:rsidRPr="001F0E22">
              <w:rPr>
                <w:rFonts w:ascii="Arial" w:hAnsi="Arial" w:cs="Arial"/>
                <w:szCs w:val="20"/>
              </w:rPr>
              <w:t>blasts</w:t>
            </w:r>
            <w:r w:rsidRPr="001F0E22">
              <w:rPr>
                <w:rFonts w:ascii="Arial" w:hAnsi="Arial" w:cs="Arial"/>
                <w:szCs w:val="20"/>
                <w:vertAlign w:val="superscript"/>
              </w:rPr>
              <w:t>c</w:t>
            </w:r>
            <w:proofErr w:type="spellEnd"/>
          </w:p>
        </w:tc>
        <w:tc>
          <w:tcPr>
            <w:tcW w:w="2174" w:type="dxa"/>
            <w:tcBorders>
              <w:right w:val="single" w:sz="8" w:space="0" w:color="auto"/>
            </w:tcBorders>
            <w:vAlign w:val="center"/>
          </w:tcPr>
          <w:p w14:paraId="5C001195" w14:textId="77777777" w:rsidR="003B1086" w:rsidRPr="006D60C5" w:rsidRDefault="003B1086" w:rsidP="00695792">
            <w:pPr>
              <w:pStyle w:val="TableTextCenter"/>
              <w:keepNext w:val="0"/>
              <w:rPr>
                <w:rFonts w:ascii="Arial" w:hAnsi="Arial" w:cs="Arial"/>
                <w:szCs w:val="20"/>
              </w:rPr>
            </w:pPr>
          </w:p>
        </w:tc>
      </w:tr>
      <w:tr w:rsidR="003B1086" w:rsidRPr="006D60C5" w14:paraId="0DFF504B" w14:textId="77777777" w:rsidTr="00695792">
        <w:trPr>
          <w:trHeight w:val="20"/>
          <w:jc w:val="center"/>
        </w:trPr>
        <w:tc>
          <w:tcPr>
            <w:tcW w:w="4844" w:type="dxa"/>
            <w:tcBorders>
              <w:left w:val="single" w:sz="8" w:space="0" w:color="auto"/>
            </w:tcBorders>
          </w:tcPr>
          <w:p w14:paraId="2AAE6653" w14:textId="77777777" w:rsidR="003B1086" w:rsidRPr="001F0E22" w:rsidRDefault="003B1086" w:rsidP="00695792">
            <w:pPr>
              <w:pStyle w:val="TableTextLeft"/>
              <w:keepNext w:val="0"/>
              <w:tabs>
                <w:tab w:val="left" w:pos="372"/>
              </w:tabs>
              <w:ind w:left="372"/>
              <w:rPr>
                <w:rFonts w:ascii="Arial" w:hAnsi="Arial" w:cs="Arial"/>
                <w:szCs w:val="20"/>
              </w:rPr>
            </w:pPr>
            <w:r w:rsidRPr="001F0E22">
              <w:rPr>
                <w:rFonts w:ascii="Arial" w:hAnsi="Arial" w:cs="Arial"/>
                <w:szCs w:val="20"/>
              </w:rPr>
              <w:t>≥ 50% to &lt;75%</w:t>
            </w:r>
          </w:p>
        </w:tc>
        <w:tc>
          <w:tcPr>
            <w:tcW w:w="2174" w:type="dxa"/>
            <w:tcBorders>
              <w:right w:val="single" w:sz="8" w:space="0" w:color="auto"/>
            </w:tcBorders>
            <w:vAlign w:val="center"/>
          </w:tcPr>
          <w:p w14:paraId="7F983A3E" w14:textId="77777777" w:rsidR="003B1086" w:rsidRPr="006D60C5" w:rsidRDefault="003B1086" w:rsidP="00695792">
            <w:pPr>
              <w:pStyle w:val="TableTextCenter"/>
              <w:keepNext w:val="0"/>
              <w:rPr>
                <w:rFonts w:ascii="Arial" w:hAnsi="Arial" w:cs="Arial"/>
                <w:szCs w:val="20"/>
              </w:rPr>
            </w:pPr>
            <w:r w:rsidRPr="006D60C5">
              <w:rPr>
                <w:rFonts w:ascii="Arial" w:hAnsi="Arial" w:cs="Arial"/>
                <w:szCs w:val="20"/>
              </w:rPr>
              <w:t>6 (13.3)</w:t>
            </w:r>
          </w:p>
        </w:tc>
      </w:tr>
      <w:tr w:rsidR="003B1086" w:rsidRPr="006D60C5" w14:paraId="0CB3C378" w14:textId="77777777" w:rsidTr="00695792">
        <w:trPr>
          <w:trHeight w:val="20"/>
          <w:jc w:val="center"/>
        </w:trPr>
        <w:tc>
          <w:tcPr>
            <w:tcW w:w="4844" w:type="dxa"/>
            <w:tcBorders>
              <w:left w:val="single" w:sz="8" w:space="0" w:color="auto"/>
              <w:bottom w:val="single" w:sz="8" w:space="0" w:color="auto"/>
            </w:tcBorders>
          </w:tcPr>
          <w:p w14:paraId="16B7F2CA" w14:textId="77777777" w:rsidR="003B1086" w:rsidRPr="001F0E22" w:rsidRDefault="003B1086" w:rsidP="00695792">
            <w:pPr>
              <w:pStyle w:val="TableTextLeft"/>
              <w:keepNext w:val="0"/>
              <w:tabs>
                <w:tab w:val="left" w:pos="372"/>
              </w:tabs>
              <w:ind w:left="372"/>
              <w:rPr>
                <w:rFonts w:ascii="Arial" w:hAnsi="Arial" w:cs="Arial"/>
                <w:szCs w:val="20"/>
              </w:rPr>
            </w:pPr>
            <w:r w:rsidRPr="001F0E22">
              <w:rPr>
                <w:rFonts w:ascii="Arial" w:hAnsi="Arial" w:cs="Arial"/>
                <w:szCs w:val="20"/>
              </w:rPr>
              <w:t>≥ 75%</w:t>
            </w:r>
          </w:p>
        </w:tc>
        <w:tc>
          <w:tcPr>
            <w:tcW w:w="2174" w:type="dxa"/>
            <w:tcBorders>
              <w:bottom w:val="single" w:sz="8" w:space="0" w:color="auto"/>
              <w:right w:val="single" w:sz="8" w:space="0" w:color="auto"/>
            </w:tcBorders>
            <w:vAlign w:val="center"/>
          </w:tcPr>
          <w:p w14:paraId="29E9E2EF" w14:textId="77777777" w:rsidR="003B1086" w:rsidRPr="006D60C5" w:rsidRDefault="003B1086" w:rsidP="00695792">
            <w:pPr>
              <w:pStyle w:val="TableTextCenter"/>
              <w:keepNext w:val="0"/>
              <w:rPr>
                <w:rFonts w:ascii="Arial" w:hAnsi="Arial" w:cs="Arial"/>
                <w:szCs w:val="20"/>
              </w:rPr>
            </w:pPr>
            <w:r w:rsidRPr="006D60C5">
              <w:rPr>
                <w:rFonts w:ascii="Arial" w:hAnsi="Arial" w:cs="Arial"/>
                <w:szCs w:val="20"/>
              </w:rPr>
              <w:t>28 (62.2)</w:t>
            </w:r>
          </w:p>
        </w:tc>
      </w:tr>
      <w:tr w:rsidR="003B1086" w:rsidRPr="0063544B" w14:paraId="436ACD95" w14:textId="77777777" w:rsidTr="00695792">
        <w:trPr>
          <w:trHeight w:val="20"/>
          <w:jc w:val="center"/>
        </w:trPr>
        <w:tc>
          <w:tcPr>
            <w:tcW w:w="7018" w:type="dxa"/>
            <w:gridSpan w:val="2"/>
            <w:tcBorders>
              <w:top w:val="single" w:sz="8" w:space="0" w:color="auto"/>
            </w:tcBorders>
          </w:tcPr>
          <w:p w14:paraId="675E817F" w14:textId="77777777" w:rsidR="003B1086" w:rsidRPr="001F0E22" w:rsidRDefault="003B1086" w:rsidP="003B1086">
            <w:pPr>
              <w:pStyle w:val="NormalWeb"/>
              <w:keepNext/>
              <w:keepLines/>
              <w:numPr>
                <w:ilvl w:val="0"/>
                <w:numId w:val="29"/>
              </w:numPr>
              <w:suppressAutoHyphens/>
              <w:spacing w:before="0" w:beforeAutospacing="0" w:after="0" w:afterAutospacing="0" w:line="240" w:lineRule="auto"/>
              <w:ind w:left="156" w:hanging="270"/>
              <w:rPr>
                <w:rFonts w:ascii="Arial" w:hAnsi="Arial" w:cs="Arial"/>
                <w:bCs/>
                <w:sz w:val="16"/>
              </w:rPr>
            </w:pPr>
            <w:r w:rsidRPr="001F0E22">
              <w:rPr>
                <w:rFonts w:ascii="Arial" w:hAnsi="Arial" w:cs="Arial"/>
                <w:bCs/>
                <w:sz w:val="16"/>
              </w:rPr>
              <w:lastRenderedPageBreak/>
              <w:t xml:space="preserve">Number of patients that failed </w:t>
            </w:r>
            <w:proofErr w:type="spellStart"/>
            <w:r w:rsidRPr="001F0E22">
              <w:rPr>
                <w:rFonts w:ascii="Arial" w:hAnsi="Arial" w:cs="Arial"/>
                <w:bCs/>
                <w:sz w:val="16"/>
              </w:rPr>
              <w:t>ponatinib</w:t>
            </w:r>
            <w:proofErr w:type="spellEnd"/>
            <w:r w:rsidRPr="001F0E22">
              <w:rPr>
                <w:rFonts w:ascii="Arial" w:hAnsi="Arial" w:cs="Arial"/>
                <w:bCs/>
                <w:sz w:val="16"/>
              </w:rPr>
              <w:t xml:space="preserve"> = 23 (51.1%)</w:t>
            </w:r>
          </w:p>
          <w:p w14:paraId="080DF0CF" w14:textId="4792590C" w:rsidR="003B1086" w:rsidRPr="003B1086" w:rsidRDefault="003B1086" w:rsidP="00695792">
            <w:pPr>
              <w:pStyle w:val="NormalWeb"/>
              <w:keepNext/>
              <w:keepLines/>
              <w:numPr>
                <w:ilvl w:val="0"/>
                <w:numId w:val="29"/>
              </w:numPr>
              <w:suppressAutoHyphens/>
              <w:spacing w:before="0" w:beforeAutospacing="0" w:after="0" w:afterAutospacing="0" w:line="240" w:lineRule="auto"/>
              <w:ind w:left="156" w:hanging="270"/>
              <w:rPr>
                <w:rFonts w:ascii="Arial" w:hAnsi="Arial" w:cs="Arial"/>
                <w:bCs/>
                <w:sz w:val="20"/>
              </w:rPr>
            </w:pPr>
            <w:proofErr w:type="spellStart"/>
            <w:r w:rsidRPr="003B1086">
              <w:rPr>
                <w:rFonts w:ascii="Arial" w:hAnsi="Arial" w:cs="Arial"/>
                <w:bCs/>
                <w:sz w:val="16"/>
              </w:rPr>
              <w:t>alloHSCT</w:t>
            </w:r>
            <w:proofErr w:type="spellEnd"/>
            <w:r w:rsidRPr="003B1086">
              <w:rPr>
                <w:rFonts w:ascii="Arial" w:hAnsi="Arial" w:cs="Arial"/>
                <w:bCs/>
                <w:sz w:val="16"/>
              </w:rPr>
              <w:t xml:space="preserve"> = allogeneic h</w:t>
            </w:r>
            <w:r w:rsidR="00F84C66" w:rsidRPr="00642912">
              <w:rPr>
                <w:rFonts w:ascii="Arial" w:hAnsi="Arial" w:cs="Arial"/>
                <w:color w:val="000000" w:themeColor="text1"/>
                <w:sz w:val="16"/>
                <w:szCs w:val="16"/>
              </w:rPr>
              <w:t>a</w:t>
            </w:r>
            <w:r w:rsidRPr="003B1086">
              <w:rPr>
                <w:rFonts w:ascii="Arial" w:hAnsi="Arial" w:cs="Arial"/>
                <w:bCs/>
                <w:sz w:val="16"/>
              </w:rPr>
              <w:t>ematopoietic stem cell transplantation</w:t>
            </w:r>
          </w:p>
          <w:p w14:paraId="6924CDAB" w14:textId="19DBE096" w:rsidR="003B1086" w:rsidRPr="003B1086" w:rsidRDefault="003B1086" w:rsidP="00695792">
            <w:pPr>
              <w:pStyle w:val="NormalWeb"/>
              <w:keepNext/>
              <w:keepLines/>
              <w:numPr>
                <w:ilvl w:val="0"/>
                <w:numId w:val="29"/>
              </w:numPr>
              <w:suppressAutoHyphens/>
              <w:spacing w:before="0" w:beforeAutospacing="0" w:after="0" w:afterAutospacing="0" w:line="240" w:lineRule="auto"/>
              <w:ind w:left="156" w:hanging="270"/>
              <w:rPr>
                <w:rFonts w:ascii="Arial" w:hAnsi="Arial" w:cs="Arial"/>
                <w:bCs/>
                <w:sz w:val="20"/>
              </w:rPr>
            </w:pPr>
            <w:r w:rsidRPr="003B1086">
              <w:rPr>
                <w:rFonts w:ascii="Arial" w:hAnsi="Arial" w:cs="Arial"/>
                <w:bCs/>
                <w:sz w:val="16"/>
              </w:rPr>
              <w:t>centrally assessed</w:t>
            </w:r>
          </w:p>
          <w:p w14:paraId="62ADDFAD" w14:textId="77777777" w:rsidR="003B1086" w:rsidRPr="0063544B" w:rsidRDefault="003B1086" w:rsidP="003B1086">
            <w:pPr>
              <w:pStyle w:val="NormalWeb"/>
              <w:keepNext/>
              <w:keepLines/>
              <w:suppressAutoHyphens/>
              <w:spacing w:before="0" w:beforeAutospacing="0" w:after="0" w:afterAutospacing="0" w:line="240" w:lineRule="auto"/>
              <w:ind w:left="156"/>
              <w:rPr>
                <w:rFonts w:ascii="Arial" w:hAnsi="Arial" w:cs="Arial"/>
                <w:bCs/>
                <w:sz w:val="20"/>
              </w:rPr>
            </w:pPr>
          </w:p>
        </w:tc>
      </w:tr>
    </w:tbl>
    <w:p w14:paraId="06256F8D" w14:textId="1D6E30BF" w:rsidR="007D43DB" w:rsidRPr="0062018B" w:rsidRDefault="007D43DB" w:rsidP="007D43DB">
      <w:pPr>
        <w:autoSpaceDE w:val="0"/>
        <w:autoSpaceDN w:val="0"/>
        <w:adjustRightInd w:val="0"/>
        <w:spacing w:before="120" w:after="120" w:line="360" w:lineRule="auto"/>
        <w:rPr>
          <w:rFonts w:ascii="Arial" w:hAnsi="Arial" w:cs="Arial"/>
        </w:rPr>
      </w:pPr>
      <w:r w:rsidRPr="0062018B">
        <w:rPr>
          <w:rFonts w:ascii="Arial" w:hAnsi="Arial" w:cs="Arial"/>
        </w:rPr>
        <w:t>The primary endpoint was the CR/</w:t>
      </w:r>
      <w:proofErr w:type="spellStart"/>
      <w:r w:rsidRPr="0062018B">
        <w:rPr>
          <w:rFonts w:ascii="Arial" w:hAnsi="Arial" w:cs="Arial"/>
        </w:rPr>
        <w:t>CRh</w:t>
      </w:r>
      <w:proofErr w:type="spellEnd"/>
      <w:r w:rsidRPr="0062018B">
        <w:rPr>
          <w:rFonts w:ascii="Arial" w:hAnsi="Arial" w:cs="Arial"/>
        </w:rPr>
        <w:t xml:space="preserve">* rate within two cycles of treatment with </w:t>
      </w:r>
      <w:proofErr w:type="spellStart"/>
      <w:r w:rsidRPr="0062018B">
        <w:rPr>
          <w:rFonts w:ascii="Arial" w:hAnsi="Arial" w:cs="Arial"/>
        </w:rPr>
        <w:t>Blincyto</w:t>
      </w:r>
      <w:proofErr w:type="spellEnd"/>
      <w:r w:rsidRPr="0062018B">
        <w:rPr>
          <w:rFonts w:ascii="Arial" w:hAnsi="Arial" w:cs="Arial"/>
        </w:rPr>
        <w:t>.  Sixteen out of 45 (35.6%) patients achieved CR/</w:t>
      </w:r>
      <w:proofErr w:type="spellStart"/>
      <w:r w:rsidRPr="0062018B">
        <w:rPr>
          <w:rFonts w:ascii="Arial" w:hAnsi="Arial" w:cs="Arial"/>
        </w:rPr>
        <w:t>CRh</w:t>
      </w:r>
      <w:proofErr w:type="spellEnd"/>
      <w:r w:rsidRPr="0062018B">
        <w:rPr>
          <w:rFonts w:ascii="Arial" w:hAnsi="Arial" w:cs="Arial"/>
        </w:rPr>
        <w:t>* within the first two treatment cycles. Of the 16</w:t>
      </w:r>
      <w:r w:rsidR="00F06D0D">
        <w:rPr>
          <w:rFonts w:ascii="Arial" w:hAnsi="Arial" w:cs="Arial"/>
        </w:rPr>
        <w:t> </w:t>
      </w:r>
      <w:r w:rsidRPr="0062018B">
        <w:rPr>
          <w:rFonts w:ascii="Arial" w:hAnsi="Arial" w:cs="Arial"/>
        </w:rPr>
        <w:t>patients with CR/</w:t>
      </w:r>
      <w:proofErr w:type="spellStart"/>
      <w:r w:rsidRPr="0062018B">
        <w:rPr>
          <w:rFonts w:ascii="Arial" w:hAnsi="Arial" w:cs="Arial"/>
        </w:rPr>
        <w:t>CRh</w:t>
      </w:r>
      <w:proofErr w:type="spellEnd"/>
      <w:r w:rsidRPr="0062018B">
        <w:rPr>
          <w:rFonts w:ascii="Arial" w:hAnsi="Arial" w:cs="Arial"/>
        </w:rPr>
        <w:t>* in the first 2</w:t>
      </w:r>
      <w:r w:rsidR="00F06D0D">
        <w:rPr>
          <w:rFonts w:ascii="Arial" w:hAnsi="Arial" w:cs="Arial"/>
        </w:rPr>
        <w:t> </w:t>
      </w:r>
      <w:r w:rsidRPr="0062018B">
        <w:rPr>
          <w:rFonts w:ascii="Arial" w:hAnsi="Arial" w:cs="Arial"/>
        </w:rPr>
        <w:t xml:space="preserve">cycles, 12 of 14 (85.7%) patients with a CR and 2 of 2 (100%) patients with a </w:t>
      </w:r>
      <w:proofErr w:type="spellStart"/>
      <w:r w:rsidRPr="0062018B">
        <w:rPr>
          <w:rFonts w:ascii="Arial" w:hAnsi="Arial" w:cs="Arial"/>
        </w:rPr>
        <w:t>CRh</w:t>
      </w:r>
      <w:proofErr w:type="spellEnd"/>
      <w:r w:rsidRPr="0062018B">
        <w:rPr>
          <w:rFonts w:ascii="Arial" w:hAnsi="Arial" w:cs="Arial"/>
        </w:rPr>
        <w:t>* also achieved an MRD complete response.  See Table</w:t>
      </w:r>
      <w:r w:rsidR="00F06D0D">
        <w:rPr>
          <w:rFonts w:ascii="Arial" w:hAnsi="Arial" w:cs="Arial"/>
        </w:rPr>
        <w:t> 13</w:t>
      </w:r>
      <w:r w:rsidRPr="0062018B">
        <w:rPr>
          <w:rFonts w:ascii="Arial" w:hAnsi="Arial" w:cs="Arial"/>
        </w:rPr>
        <w:t xml:space="preserve"> below for efficacy results </w:t>
      </w:r>
      <w:r w:rsidRPr="00EC20FD">
        <w:rPr>
          <w:rFonts w:ascii="Arial" w:hAnsi="Arial" w:cs="Arial"/>
        </w:rPr>
        <w:t>from Study</w:t>
      </w:r>
      <w:r w:rsidR="00F06D0D">
        <w:rPr>
          <w:rFonts w:ascii="Arial" w:hAnsi="Arial" w:cs="Arial"/>
        </w:rPr>
        <w:t> </w:t>
      </w:r>
      <w:r w:rsidR="00E42047">
        <w:rPr>
          <w:rFonts w:ascii="Arial" w:hAnsi="Arial" w:cs="Arial"/>
        </w:rPr>
        <w:t>4</w:t>
      </w:r>
      <w:r w:rsidRPr="00EC20FD">
        <w:rPr>
          <w:rFonts w:ascii="Arial" w:hAnsi="Arial" w:cs="Arial"/>
        </w:rPr>
        <w:t>.</w:t>
      </w:r>
    </w:p>
    <w:p w14:paraId="6535174A" w14:textId="77777777" w:rsidR="007D43DB" w:rsidRPr="0062018B" w:rsidRDefault="007D43DB" w:rsidP="007D43DB">
      <w:pPr>
        <w:autoSpaceDE w:val="0"/>
        <w:autoSpaceDN w:val="0"/>
        <w:adjustRightInd w:val="0"/>
        <w:spacing w:before="120" w:after="120" w:line="360" w:lineRule="auto"/>
        <w:rPr>
          <w:rFonts w:ascii="Arial" w:hAnsi="Arial" w:cs="Arial"/>
        </w:rPr>
      </w:pPr>
      <w:r w:rsidRPr="0062018B">
        <w:rPr>
          <w:rFonts w:ascii="Arial" w:hAnsi="Arial" w:cs="Arial"/>
        </w:rPr>
        <w:t>Two patients achieved CR during subsequent cycles, resulting in a cumulative CR rate of 35.6% (16 out of 45; 95% CI:  21.9 – 51.2).  Five out of 16 (31.3%) patients underwent allogeneic HSCT in CR/</w:t>
      </w:r>
      <w:proofErr w:type="spellStart"/>
      <w:r w:rsidRPr="0062018B">
        <w:rPr>
          <w:rFonts w:ascii="Arial" w:hAnsi="Arial" w:cs="Arial"/>
        </w:rPr>
        <w:t>CRh</w:t>
      </w:r>
      <w:proofErr w:type="spellEnd"/>
      <w:r w:rsidRPr="0062018B">
        <w:rPr>
          <w:rFonts w:ascii="Arial" w:hAnsi="Arial" w:cs="Arial"/>
        </w:rPr>
        <w:t xml:space="preserve">* induced with </w:t>
      </w:r>
      <w:proofErr w:type="spellStart"/>
      <w:r w:rsidRPr="0062018B">
        <w:rPr>
          <w:rFonts w:ascii="Arial" w:hAnsi="Arial" w:cs="Arial"/>
        </w:rPr>
        <w:t>Blincyto</w:t>
      </w:r>
      <w:proofErr w:type="spellEnd"/>
      <w:r w:rsidRPr="0062018B">
        <w:rPr>
          <w:rFonts w:ascii="Arial" w:hAnsi="Arial" w:cs="Arial"/>
        </w:rPr>
        <w:t xml:space="preserve">.  </w:t>
      </w:r>
    </w:p>
    <w:p w14:paraId="40CB4C06" w14:textId="7605E511" w:rsidR="007D43DB" w:rsidRPr="00BB029B" w:rsidRDefault="00F06D0D" w:rsidP="00BB029B">
      <w:pPr>
        <w:pStyle w:val="Caption"/>
      </w:pPr>
      <w:r w:rsidRPr="00BB029B">
        <w:lastRenderedPageBreak/>
        <w:t>Table 13</w:t>
      </w:r>
      <w:r w:rsidR="007D43DB" w:rsidRPr="00BB029B">
        <w:t>.  Efficacy Results in Patients ≥</w:t>
      </w:r>
      <w:r w:rsidRPr="00BB029B">
        <w:t> </w:t>
      </w:r>
      <w:r w:rsidR="007D43DB" w:rsidRPr="00BB029B">
        <w:t>18 Years of Age With Philadelphia Chromosome-</w:t>
      </w:r>
      <w:r w:rsidR="00E42047">
        <w:t>P</w:t>
      </w:r>
      <w:r w:rsidR="007D43DB" w:rsidRPr="00BB029B">
        <w:t>ositive Relapsed or Refractory B-cell Precursor Acute Lymphoblastic Leukaemia (ALL)</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700"/>
      </w:tblGrid>
      <w:tr w:rsidR="003B1086" w:rsidRPr="00A63A2D" w14:paraId="7A72658C" w14:textId="77777777" w:rsidTr="00695792">
        <w:trPr>
          <w:trHeight w:val="341"/>
          <w:jc w:val="center"/>
        </w:trPr>
        <w:tc>
          <w:tcPr>
            <w:tcW w:w="6096" w:type="dxa"/>
            <w:tcBorders>
              <w:bottom w:val="single" w:sz="4" w:space="0" w:color="auto"/>
              <w:right w:val="nil"/>
            </w:tcBorders>
          </w:tcPr>
          <w:p w14:paraId="0B7B44AE" w14:textId="77777777" w:rsidR="003B1086" w:rsidRPr="00A63A2D" w:rsidRDefault="003B1086" w:rsidP="00695792">
            <w:pPr>
              <w:keepNext/>
              <w:keepLines/>
              <w:spacing w:before="60" w:after="60"/>
              <w:jc w:val="center"/>
              <w:rPr>
                <w:rFonts w:cs="Arial"/>
                <w:b/>
                <w:sz w:val="20"/>
              </w:rPr>
            </w:pPr>
          </w:p>
        </w:tc>
        <w:tc>
          <w:tcPr>
            <w:tcW w:w="2700" w:type="dxa"/>
            <w:tcBorders>
              <w:left w:val="nil"/>
              <w:bottom w:val="single" w:sz="4" w:space="0" w:color="auto"/>
            </w:tcBorders>
          </w:tcPr>
          <w:p w14:paraId="13067991" w14:textId="77777777" w:rsidR="003B1086" w:rsidRPr="00A63A2D" w:rsidRDefault="003B1086" w:rsidP="00695792">
            <w:pPr>
              <w:keepNext/>
              <w:keepLines/>
              <w:spacing w:before="60" w:after="60"/>
              <w:jc w:val="center"/>
              <w:rPr>
                <w:rFonts w:cs="Arial"/>
                <w:b/>
                <w:sz w:val="20"/>
              </w:rPr>
            </w:pPr>
            <w:r w:rsidRPr="00384C38">
              <w:rPr>
                <w:rFonts w:cs="Arial"/>
                <w:b/>
                <w:sz w:val="20"/>
              </w:rPr>
              <w:t>N = 45</w:t>
            </w:r>
          </w:p>
        </w:tc>
      </w:tr>
      <w:tr w:rsidR="003B1086" w:rsidRPr="00FB5210" w14:paraId="0E946998" w14:textId="77777777" w:rsidTr="00695792">
        <w:trPr>
          <w:jc w:val="center"/>
        </w:trPr>
        <w:tc>
          <w:tcPr>
            <w:tcW w:w="6096" w:type="dxa"/>
            <w:tcBorders>
              <w:top w:val="single" w:sz="4" w:space="0" w:color="auto"/>
              <w:bottom w:val="nil"/>
              <w:right w:val="nil"/>
            </w:tcBorders>
          </w:tcPr>
          <w:p w14:paraId="11AE9CB4"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Complete remission (CR)</w:t>
            </w:r>
            <w:r w:rsidRPr="00FB5210">
              <w:rPr>
                <w:rFonts w:ascii="Arial" w:hAnsi="Arial" w:cs="Arial"/>
                <w:sz w:val="20"/>
                <w:szCs w:val="20"/>
                <w:vertAlign w:val="superscript"/>
              </w:rPr>
              <w:t>a</w:t>
            </w:r>
            <w:r w:rsidRPr="00FB5210">
              <w:rPr>
                <w:rFonts w:ascii="Arial" w:hAnsi="Arial" w:cs="Arial"/>
                <w:sz w:val="20"/>
                <w:szCs w:val="20"/>
              </w:rPr>
              <w:t>/Complete remission with partial haematological recovery (</w:t>
            </w:r>
            <w:proofErr w:type="spellStart"/>
            <w:r w:rsidRPr="00FB5210">
              <w:rPr>
                <w:rFonts w:ascii="Arial" w:hAnsi="Arial" w:cs="Arial"/>
                <w:sz w:val="20"/>
                <w:szCs w:val="20"/>
              </w:rPr>
              <w:t>CRh</w:t>
            </w:r>
            <w:proofErr w:type="spellEnd"/>
            <w:r w:rsidRPr="00FB5210">
              <w:rPr>
                <w:rFonts w:ascii="Arial" w:hAnsi="Arial" w:cs="Arial"/>
                <w:sz w:val="20"/>
                <w:szCs w:val="20"/>
              </w:rPr>
              <w:t>*)</w:t>
            </w:r>
            <w:r w:rsidRPr="00FB5210">
              <w:rPr>
                <w:rFonts w:ascii="Arial" w:hAnsi="Arial" w:cs="Arial"/>
                <w:sz w:val="20"/>
                <w:szCs w:val="20"/>
                <w:vertAlign w:val="superscript"/>
              </w:rPr>
              <w:t>b</w:t>
            </w:r>
            <w:r w:rsidRPr="00FB5210">
              <w:rPr>
                <w:rFonts w:ascii="Arial" w:hAnsi="Arial" w:cs="Arial"/>
                <w:sz w:val="20"/>
                <w:szCs w:val="20"/>
              </w:rPr>
              <w:t>, n (%) [95% CI]</w:t>
            </w:r>
          </w:p>
        </w:tc>
        <w:tc>
          <w:tcPr>
            <w:tcW w:w="2700" w:type="dxa"/>
            <w:tcBorders>
              <w:top w:val="single" w:sz="4" w:space="0" w:color="auto"/>
              <w:left w:val="nil"/>
              <w:bottom w:val="nil"/>
            </w:tcBorders>
          </w:tcPr>
          <w:p w14:paraId="72BE6E25"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16 (35.6) [21.9, 51.2]</w:t>
            </w:r>
          </w:p>
        </w:tc>
      </w:tr>
      <w:tr w:rsidR="003B1086" w:rsidRPr="00FB5210" w14:paraId="7537EEAA" w14:textId="77777777" w:rsidTr="00695792">
        <w:trPr>
          <w:trHeight w:val="305"/>
          <w:jc w:val="center"/>
        </w:trPr>
        <w:tc>
          <w:tcPr>
            <w:tcW w:w="6096" w:type="dxa"/>
            <w:tcBorders>
              <w:top w:val="nil"/>
              <w:bottom w:val="nil"/>
              <w:right w:val="nil"/>
            </w:tcBorders>
          </w:tcPr>
          <w:p w14:paraId="6EA3B246" w14:textId="77777777" w:rsidR="003B1086" w:rsidRPr="00FB5210" w:rsidRDefault="003B1086" w:rsidP="00695792">
            <w:pPr>
              <w:keepNext/>
              <w:keepLines/>
              <w:spacing w:before="60" w:after="60"/>
              <w:ind w:left="720"/>
              <w:rPr>
                <w:rFonts w:ascii="Arial" w:hAnsi="Arial" w:cs="Arial"/>
                <w:sz w:val="20"/>
                <w:szCs w:val="20"/>
              </w:rPr>
            </w:pPr>
            <w:r w:rsidRPr="00FB5210">
              <w:rPr>
                <w:rFonts w:ascii="Arial" w:hAnsi="Arial" w:cs="Arial"/>
                <w:sz w:val="20"/>
                <w:szCs w:val="20"/>
              </w:rPr>
              <w:t>CR, n (%) [95% CI]</w:t>
            </w:r>
          </w:p>
        </w:tc>
        <w:tc>
          <w:tcPr>
            <w:tcW w:w="2700" w:type="dxa"/>
            <w:tcBorders>
              <w:top w:val="nil"/>
              <w:left w:val="nil"/>
              <w:bottom w:val="nil"/>
            </w:tcBorders>
          </w:tcPr>
          <w:p w14:paraId="18FB2144"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14 (31.1) [18.2, 46.6]</w:t>
            </w:r>
          </w:p>
        </w:tc>
      </w:tr>
      <w:tr w:rsidR="003B1086" w:rsidRPr="00FB5210" w14:paraId="5AC8B5D0" w14:textId="77777777" w:rsidTr="00695792">
        <w:trPr>
          <w:jc w:val="center"/>
        </w:trPr>
        <w:tc>
          <w:tcPr>
            <w:tcW w:w="6096" w:type="dxa"/>
            <w:tcBorders>
              <w:top w:val="nil"/>
              <w:bottom w:val="nil"/>
              <w:right w:val="nil"/>
            </w:tcBorders>
          </w:tcPr>
          <w:p w14:paraId="7DCBDC1A" w14:textId="77777777" w:rsidR="003B1086" w:rsidRPr="00FB5210" w:rsidRDefault="003B1086" w:rsidP="00695792">
            <w:pPr>
              <w:keepNext/>
              <w:keepLines/>
              <w:spacing w:before="60" w:after="60"/>
              <w:ind w:left="720"/>
              <w:rPr>
                <w:rFonts w:ascii="Arial" w:hAnsi="Arial" w:cs="Arial"/>
                <w:sz w:val="20"/>
                <w:szCs w:val="20"/>
              </w:rPr>
            </w:pPr>
            <w:proofErr w:type="spellStart"/>
            <w:r w:rsidRPr="00FB5210">
              <w:rPr>
                <w:rFonts w:ascii="Arial" w:hAnsi="Arial" w:cs="Arial"/>
                <w:sz w:val="20"/>
                <w:szCs w:val="20"/>
              </w:rPr>
              <w:t>CRh</w:t>
            </w:r>
            <w:proofErr w:type="spellEnd"/>
            <w:r w:rsidRPr="00FB5210">
              <w:rPr>
                <w:rFonts w:ascii="Arial" w:hAnsi="Arial" w:cs="Arial"/>
                <w:sz w:val="20"/>
                <w:szCs w:val="20"/>
              </w:rPr>
              <w:t>*, n (%) [95% CI]</w:t>
            </w:r>
          </w:p>
        </w:tc>
        <w:tc>
          <w:tcPr>
            <w:tcW w:w="2700" w:type="dxa"/>
            <w:tcBorders>
              <w:top w:val="nil"/>
              <w:left w:val="nil"/>
              <w:bottom w:val="nil"/>
            </w:tcBorders>
          </w:tcPr>
          <w:p w14:paraId="10C7C477"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2 (4.4) [0.5, 15.1]</w:t>
            </w:r>
          </w:p>
        </w:tc>
      </w:tr>
      <w:tr w:rsidR="003B1086" w:rsidRPr="00FB5210" w14:paraId="4548807B" w14:textId="77777777" w:rsidTr="00695792">
        <w:trPr>
          <w:jc w:val="center"/>
        </w:trPr>
        <w:tc>
          <w:tcPr>
            <w:tcW w:w="6096" w:type="dxa"/>
            <w:tcBorders>
              <w:top w:val="nil"/>
              <w:bottom w:val="nil"/>
              <w:right w:val="nil"/>
            </w:tcBorders>
          </w:tcPr>
          <w:p w14:paraId="60F3C952" w14:textId="77777777" w:rsidR="003B1086" w:rsidRPr="00FB5210" w:rsidRDefault="003B1086" w:rsidP="00695792">
            <w:pPr>
              <w:keepNext/>
              <w:keepLines/>
              <w:spacing w:before="60" w:after="60"/>
              <w:rPr>
                <w:rFonts w:ascii="Arial" w:hAnsi="Arial" w:cs="Arial"/>
                <w:sz w:val="20"/>
                <w:szCs w:val="20"/>
              </w:rPr>
            </w:pPr>
            <w:proofErr w:type="spellStart"/>
            <w:r w:rsidRPr="00FB5210">
              <w:rPr>
                <w:rFonts w:ascii="Arial" w:hAnsi="Arial" w:cs="Arial"/>
                <w:sz w:val="20"/>
                <w:szCs w:val="20"/>
              </w:rPr>
              <w:t>CRi</w:t>
            </w:r>
            <w:r w:rsidRPr="00FB5210">
              <w:rPr>
                <w:rFonts w:ascii="Arial" w:hAnsi="Arial" w:cs="Arial"/>
                <w:sz w:val="20"/>
                <w:szCs w:val="20"/>
                <w:vertAlign w:val="superscript"/>
              </w:rPr>
              <w:t>c</w:t>
            </w:r>
            <w:proofErr w:type="spellEnd"/>
            <w:r w:rsidRPr="00FB5210">
              <w:rPr>
                <w:rFonts w:ascii="Arial" w:hAnsi="Arial" w:cs="Arial"/>
                <w:sz w:val="20"/>
                <w:szCs w:val="20"/>
              </w:rPr>
              <w:t xml:space="preserve"> (without </w:t>
            </w:r>
            <w:proofErr w:type="spellStart"/>
            <w:r w:rsidRPr="00FB5210">
              <w:rPr>
                <w:rFonts w:ascii="Arial" w:hAnsi="Arial" w:cs="Arial"/>
                <w:sz w:val="20"/>
                <w:szCs w:val="20"/>
              </w:rPr>
              <w:t>CRh</w:t>
            </w:r>
            <w:proofErr w:type="spellEnd"/>
            <w:r w:rsidRPr="00FB5210">
              <w:rPr>
                <w:rFonts w:ascii="Arial" w:hAnsi="Arial" w:cs="Arial"/>
                <w:sz w:val="20"/>
                <w:szCs w:val="20"/>
              </w:rPr>
              <w:t>*), n (%) [95% CI]</w:t>
            </w:r>
          </w:p>
        </w:tc>
        <w:tc>
          <w:tcPr>
            <w:tcW w:w="2700" w:type="dxa"/>
            <w:tcBorders>
              <w:top w:val="nil"/>
              <w:left w:val="nil"/>
              <w:bottom w:val="nil"/>
            </w:tcBorders>
          </w:tcPr>
          <w:p w14:paraId="037F4A0D"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2 (4.4) [0.5, 15.1]</w:t>
            </w:r>
          </w:p>
        </w:tc>
      </w:tr>
      <w:tr w:rsidR="003B1086" w:rsidRPr="00FB5210" w14:paraId="2D5477B6" w14:textId="77777777" w:rsidTr="00695792">
        <w:trPr>
          <w:jc w:val="center"/>
        </w:trPr>
        <w:tc>
          <w:tcPr>
            <w:tcW w:w="6096" w:type="dxa"/>
            <w:tcBorders>
              <w:top w:val="nil"/>
              <w:bottom w:val="nil"/>
              <w:right w:val="nil"/>
            </w:tcBorders>
          </w:tcPr>
          <w:p w14:paraId="0975CB86"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 xml:space="preserve">Blast free </w:t>
            </w:r>
            <w:proofErr w:type="spellStart"/>
            <w:r w:rsidRPr="00FB5210">
              <w:rPr>
                <w:rFonts w:ascii="Arial" w:hAnsi="Arial" w:cs="Arial"/>
                <w:sz w:val="20"/>
                <w:szCs w:val="20"/>
              </w:rPr>
              <w:t>hypoplastic</w:t>
            </w:r>
            <w:proofErr w:type="spellEnd"/>
            <w:r w:rsidRPr="00FB5210">
              <w:rPr>
                <w:rFonts w:ascii="Arial" w:hAnsi="Arial" w:cs="Arial"/>
                <w:sz w:val="20"/>
                <w:szCs w:val="20"/>
              </w:rPr>
              <w:t xml:space="preserve"> or aplastic bone marrow (without </w:t>
            </w:r>
            <w:proofErr w:type="spellStart"/>
            <w:r w:rsidRPr="00FB5210">
              <w:rPr>
                <w:rFonts w:ascii="Arial" w:hAnsi="Arial" w:cs="Arial"/>
                <w:sz w:val="20"/>
                <w:szCs w:val="20"/>
              </w:rPr>
              <w:t>CRi</w:t>
            </w:r>
            <w:proofErr w:type="spellEnd"/>
            <w:r w:rsidRPr="00FB5210">
              <w:rPr>
                <w:rFonts w:ascii="Arial" w:hAnsi="Arial" w:cs="Arial"/>
                <w:sz w:val="20"/>
                <w:szCs w:val="20"/>
              </w:rPr>
              <w:t>)</w:t>
            </w:r>
            <w:r w:rsidRPr="00FB5210">
              <w:rPr>
                <w:rFonts w:ascii="Arial" w:hAnsi="Arial" w:cs="Arial"/>
                <w:sz w:val="20"/>
                <w:szCs w:val="20"/>
                <w:vertAlign w:val="superscript"/>
              </w:rPr>
              <w:t>d</w:t>
            </w:r>
            <w:r w:rsidRPr="00FB5210">
              <w:rPr>
                <w:rFonts w:ascii="Arial" w:hAnsi="Arial" w:cs="Arial"/>
                <w:sz w:val="20"/>
                <w:szCs w:val="20"/>
              </w:rPr>
              <w:t>, n (%) [95% CI]</w:t>
            </w:r>
          </w:p>
        </w:tc>
        <w:tc>
          <w:tcPr>
            <w:tcW w:w="2700" w:type="dxa"/>
            <w:tcBorders>
              <w:top w:val="nil"/>
              <w:left w:val="nil"/>
              <w:bottom w:val="nil"/>
            </w:tcBorders>
          </w:tcPr>
          <w:p w14:paraId="070D892F"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3 (6.7) [1.4, 18.3]</w:t>
            </w:r>
          </w:p>
        </w:tc>
      </w:tr>
      <w:tr w:rsidR="003B1086" w:rsidRPr="00FB5210" w14:paraId="3FB77551" w14:textId="77777777" w:rsidTr="00695792">
        <w:trPr>
          <w:jc w:val="center"/>
        </w:trPr>
        <w:tc>
          <w:tcPr>
            <w:tcW w:w="6096" w:type="dxa"/>
            <w:tcBorders>
              <w:top w:val="nil"/>
              <w:bottom w:val="nil"/>
              <w:right w:val="nil"/>
            </w:tcBorders>
          </w:tcPr>
          <w:p w14:paraId="1C815E55"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 xml:space="preserve">Partial </w:t>
            </w:r>
            <w:proofErr w:type="spellStart"/>
            <w:r w:rsidRPr="00FB5210">
              <w:rPr>
                <w:rFonts w:ascii="Arial" w:hAnsi="Arial" w:cs="Arial"/>
                <w:sz w:val="20"/>
                <w:szCs w:val="20"/>
              </w:rPr>
              <w:t>remission</w:t>
            </w:r>
            <w:r w:rsidRPr="00FB5210">
              <w:rPr>
                <w:rFonts w:ascii="Arial" w:hAnsi="Arial" w:cs="Arial"/>
                <w:sz w:val="20"/>
                <w:szCs w:val="20"/>
                <w:vertAlign w:val="superscript"/>
              </w:rPr>
              <w:t>e</w:t>
            </w:r>
            <w:proofErr w:type="spellEnd"/>
            <w:r w:rsidRPr="00FB5210">
              <w:rPr>
                <w:rFonts w:ascii="Arial" w:hAnsi="Arial" w:cs="Arial"/>
                <w:sz w:val="20"/>
                <w:szCs w:val="20"/>
              </w:rPr>
              <w:t>, n (%) [95% CI]</w:t>
            </w:r>
          </w:p>
        </w:tc>
        <w:tc>
          <w:tcPr>
            <w:tcW w:w="2700" w:type="dxa"/>
            <w:tcBorders>
              <w:top w:val="nil"/>
              <w:left w:val="nil"/>
              <w:bottom w:val="nil"/>
            </w:tcBorders>
          </w:tcPr>
          <w:p w14:paraId="2A0C94DC"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2 (4.4) [0.5, 15.1]</w:t>
            </w:r>
          </w:p>
        </w:tc>
      </w:tr>
      <w:tr w:rsidR="003B1086" w:rsidRPr="00FB5210" w14:paraId="0168D89D" w14:textId="77777777" w:rsidTr="00695792">
        <w:trPr>
          <w:jc w:val="center"/>
        </w:trPr>
        <w:tc>
          <w:tcPr>
            <w:tcW w:w="6096" w:type="dxa"/>
            <w:tcBorders>
              <w:top w:val="nil"/>
              <w:left w:val="single" w:sz="2" w:space="0" w:color="auto"/>
              <w:bottom w:val="nil"/>
              <w:right w:val="nil"/>
            </w:tcBorders>
          </w:tcPr>
          <w:p w14:paraId="7C1C8382"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 xml:space="preserve">Complete MRD </w:t>
            </w:r>
            <w:proofErr w:type="spellStart"/>
            <w:r w:rsidRPr="00FB5210">
              <w:rPr>
                <w:rFonts w:ascii="Arial" w:hAnsi="Arial" w:cs="Arial"/>
                <w:sz w:val="20"/>
                <w:szCs w:val="20"/>
              </w:rPr>
              <w:t>response</w:t>
            </w:r>
            <w:r w:rsidRPr="00FB5210">
              <w:rPr>
                <w:rFonts w:ascii="Arial" w:hAnsi="Arial" w:cs="Arial"/>
                <w:sz w:val="20"/>
                <w:szCs w:val="20"/>
                <w:vertAlign w:val="superscript"/>
              </w:rPr>
              <w:t>f</w:t>
            </w:r>
            <w:proofErr w:type="spellEnd"/>
            <w:r w:rsidRPr="00FB5210">
              <w:rPr>
                <w:rFonts w:ascii="Arial" w:hAnsi="Arial" w:cs="Arial"/>
                <w:sz w:val="20"/>
                <w:szCs w:val="20"/>
              </w:rPr>
              <w:t>, [95% CI]</w:t>
            </w:r>
          </w:p>
        </w:tc>
        <w:tc>
          <w:tcPr>
            <w:tcW w:w="2700" w:type="dxa"/>
            <w:tcBorders>
              <w:top w:val="nil"/>
              <w:left w:val="nil"/>
              <w:bottom w:val="nil"/>
            </w:tcBorders>
          </w:tcPr>
          <w:p w14:paraId="6CEDFF52"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18 (40.0) (25.7, 55.7)</w:t>
            </w:r>
          </w:p>
        </w:tc>
      </w:tr>
      <w:tr w:rsidR="003B1086" w:rsidRPr="00FB5210" w14:paraId="00EB8ACE" w14:textId="77777777" w:rsidTr="00695792">
        <w:trPr>
          <w:jc w:val="center"/>
        </w:trPr>
        <w:tc>
          <w:tcPr>
            <w:tcW w:w="6096" w:type="dxa"/>
            <w:tcBorders>
              <w:top w:val="nil"/>
              <w:bottom w:val="nil"/>
              <w:right w:val="nil"/>
            </w:tcBorders>
          </w:tcPr>
          <w:p w14:paraId="2E4AC133"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 xml:space="preserve">Median </w:t>
            </w:r>
            <w:proofErr w:type="spellStart"/>
            <w:r w:rsidRPr="00FB5210">
              <w:rPr>
                <w:rFonts w:ascii="Arial" w:hAnsi="Arial" w:cs="Arial"/>
                <w:sz w:val="20"/>
                <w:szCs w:val="20"/>
              </w:rPr>
              <w:t>Relapse</w:t>
            </w:r>
            <w:r w:rsidRPr="00FB5210">
              <w:rPr>
                <w:rFonts w:ascii="Arial" w:hAnsi="Arial" w:cs="Arial"/>
                <w:sz w:val="20"/>
                <w:szCs w:val="20"/>
                <w:vertAlign w:val="superscript"/>
              </w:rPr>
              <w:t>g</w:t>
            </w:r>
            <w:proofErr w:type="spellEnd"/>
            <w:r w:rsidRPr="00FB5210">
              <w:rPr>
                <w:rFonts w:ascii="Arial" w:hAnsi="Arial" w:cs="Arial"/>
                <w:sz w:val="20"/>
                <w:szCs w:val="20"/>
              </w:rPr>
              <w:t>-free survival (RFS) for CR/</w:t>
            </w:r>
            <w:proofErr w:type="spellStart"/>
            <w:r w:rsidRPr="00FB5210">
              <w:rPr>
                <w:rFonts w:ascii="Arial" w:hAnsi="Arial" w:cs="Arial"/>
                <w:sz w:val="20"/>
                <w:szCs w:val="20"/>
              </w:rPr>
              <w:t>CRh</w:t>
            </w:r>
            <w:proofErr w:type="spellEnd"/>
            <w:r w:rsidRPr="00FB5210">
              <w:rPr>
                <w:rFonts w:ascii="Arial" w:hAnsi="Arial" w:cs="Arial"/>
                <w:sz w:val="20"/>
                <w:szCs w:val="20"/>
              </w:rPr>
              <w:t>* [95% CI]</w:t>
            </w:r>
          </w:p>
        </w:tc>
        <w:tc>
          <w:tcPr>
            <w:tcW w:w="2700" w:type="dxa"/>
            <w:tcBorders>
              <w:top w:val="nil"/>
              <w:left w:val="nil"/>
              <w:bottom w:val="nil"/>
            </w:tcBorders>
          </w:tcPr>
          <w:p w14:paraId="04E283EB"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 xml:space="preserve">6.7 months  [4.4 to </w:t>
            </w:r>
            <w:proofErr w:type="spellStart"/>
            <w:r w:rsidRPr="00FB5210">
              <w:rPr>
                <w:rFonts w:ascii="Arial" w:hAnsi="Arial" w:cs="Arial"/>
                <w:sz w:val="20"/>
                <w:szCs w:val="20"/>
              </w:rPr>
              <w:t>NE</w:t>
            </w:r>
            <w:r w:rsidRPr="00FB5210">
              <w:rPr>
                <w:rFonts w:ascii="Arial" w:hAnsi="Arial" w:cs="Arial"/>
                <w:sz w:val="20"/>
                <w:szCs w:val="20"/>
                <w:vertAlign w:val="superscript"/>
              </w:rPr>
              <w:t>h</w:t>
            </w:r>
            <w:proofErr w:type="spellEnd"/>
            <w:r w:rsidRPr="00FB5210">
              <w:rPr>
                <w:rFonts w:ascii="Arial" w:hAnsi="Arial" w:cs="Arial"/>
                <w:sz w:val="20"/>
                <w:szCs w:val="20"/>
              </w:rPr>
              <w:t>]</w:t>
            </w:r>
          </w:p>
        </w:tc>
      </w:tr>
      <w:tr w:rsidR="003B1086" w:rsidRPr="00FB5210" w14:paraId="5432C892" w14:textId="77777777" w:rsidTr="00695792">
        <w:trPr>
          <w:jc w:val="center"/>
        </w:trPr>
        <w:tc>
          <w:tcPr>
            <w:tcW w:w="6096" w:type="dxa"/>
            <w:tcBorders>
              <w:top w:val="nil"/>
              <w:bottom w:val="single" w:sz="8" w:space="0" w:color="auto"/>
              <w:right w:val="nil"/>
            </w:tcBorders>
          </w:tcPr>
          <w:p w14:paraId="6738B40C" w14:textId="77777777" w:rsidR="003B1086" w:rsidRPr="00FB5210" w:rsidRDefault="003B1086" w:rsidP="00695792">
            <w:pPr>
              <w:keepNext/>
              <w:keepLines/>
              <w:spacing w:before="60" w:after="60"/>
              <w:rPr>
                <w:rFonts w:ascii="Arial" w:hAnsi="Arial" w:cs="Arial"/>
                <w:sz w:val="20"/>
                <w:szCs w:val="20"/>
              </w:rPr>
            </w:pPr>
            <w:r w:rsidRPr="00FB5210">
              <w:rPr>
                <w:rFonts w:ascii="Arial" w:hAnsi="Arial" w:cs="Arial"/>
                <w:sz w:val="20"/>
                <w:szCs w:val="20"/>
              </w:rPr>
              <w:t>Median Overall survival [95% CI]</w:t>
            </w:r>
          </w:p>
        </w:tc>
        <w:tc>
          <w:tcPr>
            <w:tcW w:w="2700" w:type="dxa"/>
            <w:tcBorders>
              <w:top w:val="nil"/>
              <w:left w:val="nil"/>
              <w:bottom w:val="single" w:sz="8" w:space="0" w:color="auto"/>
            </w:tcBorders>
          </w:tcPr>
          <w:p w14:paraId="05602331" w14:textId="77777777" w:rsidR="003B1086" w:rsidRPr="00FB5210" w:rsidRDefault="003B1086" w:rsidP="00695792">
            <w:pPr>
              <w:keepNext/>
              <w:keepLines/>
              <w:spacing w:before="60" w:after="60"/>
              <w:jc w:val="center"/>
              <w:rPr>
                <w:rFonts w:ascii="Arial" w:hAnsi="Arial" w:cs="Arial"/>
                <w:sz w:val="20"/>
                <w:szCs w:val="20"/>
              </w:rPr>
            </w:pPr>
            <w:r w:rsidRPr="00FB5210">
              <w:rPr>
                <w:rFonts w:ascii="Arial" w:hAnsi="Arial" w:cs="Arial"/>
                <w:sz w:val="20"/>
                <w:szCs w:val="20"/>
              </w:rPr>
              <w:t xml:space="preserve">7.1 months  [5.6 to </w:t>
            </w:r>
            <w:proofErr w:type="spellStart"/>
            <w:r w:rsidRPr="00FB5210">
              <w:rPr>
                <w:rFonts w:ascii="Arial" w:hAnsi="Arial" w:cs="Arial"/>
                <w:sz w:val="20"/>
                <w:szCs w:val="20"/>
              </w:rPr>
              <w:t>NE</w:t>
            </w:r>
            <w:r w:rsidRPr="00FB5210">
              <w:rPr>
                <w:rFonts w:ascii="Arial" w:hAnsi="Arial" w:cs="Arial"/>
                <w:sz w:val="20"/>
                <w:szCs w:val="20"/>
                <w:vertAlign w:val="superscript"/>
              </w:rPr>
              <w:t>h</w:t>
            </w:r>
            <w:proofErr w:type="spellEnd"/>
            <w:r w:rsidRPr="00FB5210">
              <w:rPr>
                <w:rFonts w:ascii="Arial" w:hAnsi="Arial" w:cs="Arial"/>
                <w:sz w:val="20"/>
                <w:szCs w:val="20"/>
              </w:rPr>
              <w:t xml:space="preserve">]  </w:t>
            </w:r>
          </w:p>
        </w:tc>
      </w:tr>
      <w:tr w:rsidR="003B1086" w:rsidRPr="00550752" w14:paraId="7DF3DB2A" w14:textId="77777777" w:rsidTr="00695792">
        <w:trPr>
          <w:jc w:val="center"/>
        </w:trPr>
        <w:tc>
          <w:tcPr>
            <w:tcW w:w="8796" w:type="dxa"/>
            <w:gridSpan w:val="2"/>
            <w:tcBorders>
              <w:top w:val="single" w:sz="8" w:space="0" w:color="auto"/>
              <w:left w:val="nil"/>
              <w:bottom w:val="nil"/>
              <w:right w:val="nil"/>
            </w:tcBorders>
          </w:tcPr>
          <w:p w14:paraId="3B45649A" w14:textId="77777777"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r w:rsidRPr="00550752">
              <w:rPr>
                <w:rFonts w:ascii="Arial" w:hAnsi="Arial" w:cs="Arial"/>
                <w:sz w:val="18"/>
                <w:szCs w:val="16"/>
              </w:rPr>
              <w:t xml:space="preserve">CR was defined as </w:t>
            </w:r>
            <w:r w:rsidRPr="00550752">
              <w:rPr>
                <w:rFonts w:ascii="Arial" w:hAnsi="Arial" w:cs="Arial"/>
                <w:sz w:val="18"/>
                <w:szCs w:val="16"/>
              </w:rPr>
              <w:sym w:font="Symbol" w:char="F0A3"/>
            </w:r>
            <w:r w:rsidRPr="00550752">
              <w:rPr>
                <w:rFonts w:ascii="Arial" w:hAnsi="Arial" w:cs="Arial"/>
                <w:sz w:val="18"/>
                <w:szCs w:val="16"/>
              </w:rPr>
              <w:t> 5% of blasts in the bone marrow, no evidence of disease, and full recovery of peripheral blood counts (platelets &gt; 100,000/microliter and absolute neutrophil counts [ANC] &gt; 1,000/microliter).</w:t>
            </w:r>
          </w:p>
          <w:p w14:paraId="7031406F" w14:textId="3CDE8E42"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proofErr w:type="spellStart"/>
            <w:r w:rsidRPr="00550752">
              <w:rPr>
                <w:rFonts w:ascii="Arial" w:hAnsi="Arial" w:cs="Arial"/>
                <w:sz w:val="18"/>
                <w:szCs w:val="16"/>
              </w:rPr>
              <w:t>CRh</w:t>
            </w:r>
            <w:proofErr w:type="spellEnd"/>
            <w:r w:rsidRPr="00550752">
              <w:rPr>
                <w:rFonts w:ascii="Arial" w:hAnsi="Arial" w:cs="Arial"/>
                <w:sz w:val="18"/>
                <w:szCs w:val="16"/>
              </w:rPr>
              <w:t xml:space="preserve">* was defined as </w:t>
            </w:r>
            <w:r w:rsidRPr="00550752">
              <w:rPr>
                <w:rFonts w:ascii="Arial" w:hAnsi="Arial" w:cs="Arial"/>
                <w:sz w:val="18"/>
                <w:szCs w:val="16"/>
              </w:rPr>
              <w:sym w:font="Symbol" w:char="F0A3"/>
            </w:r>
            <w:r w:rsidRPr="00550752">
              <w:rPr>
                <w:rFonts w:ascii="Arial" w:hAnsi="Arial" w:cs="Arial"/>
                <w:sz w:val="18"/>
                <w:szCs w:val="16"/>
              </w:rPr>
              <w:t> 5% of blasts in the bone marrow, no evidence of disease, and partial recovery of peripheral blood counts (platelets &gt;</w:t>
            </w:r>
            <w:r w:rsidR="0016359A">
              <w:rPr>
                <w:rFonts w:ascii="Arial" w:hAnsi="Arial" w:cs="Arial"/>
                <w:sz w:val="18"/>
                <w:szCs w:val="16"/>
              </w:rPr>
              <w:t> </w:t>
            </w:r>
            <w:r w:rsidRPr="00550752">
              <w:rPr>
                <w:rFonts w:ascii="Arial" w:hAnsi="Arial" w:cs="Arial"/>
                <w:sz w:val="18"/>
                <w:szCs w:val="16"/>
              </w:rPr>
              <w:t>50,000/microliter and ANC &gt; 500/microliter).</w:t>
            </w:r>
          </w:p>
          <w:p w14:paraId="2C81D005" w14:textId="11D93FAD"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proofErr w:type="spellStart"/>
            <w:r w:rsidRPr="00550752">
              <w:rPr>
                <w:rFonts w:ascii="Arial" w:hAnsi="Arial" w:cs="Arial"/>
                <w:sz w:val="18"/>
                <w:szCs w:val="16"/>
              </w:rPr>
              <w:t>CRi</w:t>
            </w:r>
            <w:proofErr w:type="spellEnd"/>
            <w:r w:rsidRPr="00550752">
              <w:rPr>
                <w:rFonts w:ascii="Arial" w:hAnsi="Arial" w:cs="Arial"/>
                <w:sz w:val="18"/>
                <w:szCs w:val="16"/>
              </w:rPr>
              <w:t xml:space="preserve"> (complete remission with incomplete </w:t>
            </w:r>
            <w:proofErr w:type="spellStart"/>
            <w:r w:rsidRPr="00550752">
              <w:rPr>
                <w:rFonts w:ascii="Arial" w:hAnsi="Arial" w:cs="Arial"/>
                <w:sz w:val="18"/>
                <w:szCs w:val="16"/>
              </w:rPr>
              <w:t>h</w:t>
            </w:r>
            <w:r w:rsidR="00F84C66" w:rsidRPr="00E42047">
              <w:rPr>
                <w:rFonts w:ascii="Arial" w:hAnsi="Arial" w:cs="Arial"/>
                <w:color w:val="000000" w:themeColor="text1"/>
                <w:sz w:val="18"/>
                <w:szCs w:val="18"/>
              </w:rPr>
              <w:t>a</w:t>
            </w:r>
            <w:r w:rsidRPr="00550752">
              <w:rPr>
                <w:rFonts w:ascii="Arial" w:hAnsi="Arial" w:cs="Arial"/>
                <w:sz w:val="18"/>
                <w:szCs w:val="16"/>
              </w:rPr>
              <w:t>ematologic</w:t>
            </w:r>
            <w:proofErr w:type="spellEnd"/>
            <w:r w:rsidRPr="00550752">
              <w:rPr>
                <w:rFonts w:ascii="Arial" w:hAnsi="Arial" w:cs="Arial"/>
                <w:sz w:val="18"/>
                <w:szCs w:val="16"/>
              </w:rPr>
              <w:t xml:space="preserve"> recovery) was defined as </w:t>
            </w:r>
            <w:r w:rsidRPr="00550752">
              <w:rPr>
                <w:rFonts w:ascii="Arial" w:hAnsi="Arial" w:cs="Arial"/>
                <w:sz w:val="18"/>
                <w:szCs w:val="16"/>
              </w:rPr>
              <w:sym w:font="Symbol" w:char="F0A3"/>
            </w:r>
            <w:r w:rsidRPr="00550752">
              <w:rPr>
                <w:rFonts w:ascii="Arial" w:hAnsi="Arial" w:cs="Arial"/>
                <w:sz w:val="18"/>
                <w:szCs w:val="16"/>
              </w:rPr>
              <w:t> 5% blasts in the bone marrow, no evidence of disease, and incomplete recovery of peripheral blood counts (platelets &gt; 100,000/microliter or ANC &gt; 1,000/microliter).</w:t>
            </w:r>
          </w:p>
          <w:p w14:paraId="0B1626A9" w14:textId="511FB564"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r w:rsidRPr="00550752">
              <w:rPr>
                <w:rFonts w:ascii="Arial" w:hAnsi="Arial" w:cs="Arial"/>
                <w:sz w:val="18"/>
                <w:szCs w:val="16"/>
              </w:rPr>
              <w:t xml:space="preserve">Blast free </w:t>
            </w:r>
            <w:proofErr w:type="spellStart"/>
            <w:r w:rsidRPr="00550752">
              <w:rPr>
                <w:rFonts w:ascii="Arial" w:hAnsi="Arial" w:cs="Arial"/>
                <w:sz w:val="18"/>
                <w:szCs w:val="16"/>
              </w:rPr>
              <w:t>hypoplastic</w:t>
            </w:r>
            <w:proofErr w:type="spellEnd"/>
            <w:r w:rsidRPr="00550752">
              <w:rPr>
                <w:rFonts w:ascii="Arial" w:hAnsi="Arial" w:cs="Arial"/>
                <w:sz w:val="18"/>
                <w:szCs w:val="16"/>
              </w:rPr>
              <w:t xml:space="preserve"> or aplastic bone marrow was defined as bone marrow blasts </w:t>
            </w:r>
            <w:r w:rsidRPr="00550752">
              <w:rPr>
                <w:rFonts w:ascii="Arial" w:hAnsi="Arial" w:cs="Arial"/>
                <w:sz w:val="18"/>
                <w:szCs w:val="16"/>
              </w:rPr>
              <w:sym w:font="Symbol" w:char="F0A3"/>
            </w:r>
            <w:r w:rsidRPr="00550752">
              <w:rPr>
                <w:rFonts w:ascii="Arial" w:hAnsi="Arial" w:cs="Arial"/>
                <w:sz w:val="18"/>
                <w:szCs w:val="16"/>
              </w:rPr>
              <w:t xml:space="preserve"> 5%, no evidence of disease, insufficient recovery of peripheral counts: platelets ≤</w:t>
            </w:r>
            <w:r w:rsidR="0016359A">
              <w:rPr>
                <w:rFonts w:ascii="Arial" w:hAnsi="Arial" w:cs="Arial"/>
                <w:sz w:val="18"/>
                <w:szCs w:val="16"/>
              </w:rPr>
              <w:t> </w:t>
            </w:r>
            <w:r w:rsidRPr="00550752">
              <w:rPr>
                <w:rFonts w:ascii="Arial" w:hAnsi="Arial" w:cs="Arial"/>
                <w:sz w:val="18"/>
                <w:szCs w:val="16"/>
              </w:rPr>
              <w:t>50,000/microliter and/or ANC ≤</w:t>
            </w:r>
            <w:r w:rsidR="0016359A">
              <w:rPr>
                <w:rFonts w:ascii="Arial" w:hAnsi="Arial" w:cs="Arial"/>
                <w:sz w:val="18"/>
                <w:szCs w:val="16"/>
              </w:rPr>
              <w:t> </w:t>
            </w:r>
            <w:r w:rsidRPr="00550752">
              <w:rPr>
                <w:rFonts w:ascii="Arial" w:hAnsi="Arial" w:cs="Arial"/>
                <w:sz w:val="18"/>
                <w:szCs w:val="16"/>
              </w:rPr>
              <w:t>500/microliter.</w:t>
            </w:r>
          </w:p>
          <w:p w14:paraId="6BD5E8E0" w14:textId="77777777"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vertAlign w:val="superscript"/>
              </w:rPr>
            </w:pPr>
            <w:r w:rsidRPr="00550752">
              <w:rPr>
                <w:rFonts w:ascii="Arial" w:hAnsi="Arial" w:cs="Arial"/>
                <w:sz w:val="18"/>
                <w:szCs w:val="16"/>
              </w:rPr>
              <w:t>Partial remission was defined as bone marrow blasts 6% to 25% with at least a 50% reduction from baseline.</w:t>
            </w:r>
          </w:p>
          <w:p w14:paraId="0853BE28" w14:textId="77777777"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r w:rsidRPr="00550752">
              <w:rPr>
                <w:rFonts w:ascii="Arial" w:hAnsi="Arial" w:cs="Arial"/>
                <w:sz w:val="18"/>
                <w:szCs w:val="16"/>
              </w:rPr>
              <w:t>Complete MRD response was defined as the absence of detectable MRD confirmed in an assay with minimum sensitivity of 10</w:t>
            </w:r>
            <w:r w:rsidRPr="00550752">
              <w:rPr>
                <w:rFonts w:ascii="Arial" w:hAnsi="Arial" w:cs="Arial"/>
                <w:sz w:val="18"/>
                <w:szCs w:val="16"/>
                <w:vertAlign w:val="superscript"/>
              </w:rPr>
              <w:t>-4</w:t>
            </w:r>
          </w:p>
          <w:p w14:paraId="0FB2C3D9" w14:textId="77777777" w:rsidR="003B1086" w:rsidRPr="00550752"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r w:rsidRPr="00550752">
              <w:rPr>
                <w:rFonts w:ascii="Arial" w:eastAsia="Calibri" w:hAnsi="Arial" w:cs="Arial"/>
                <w:sz w:val="18"/>
                <w:szCs w:val="16"/>
              </w:rPr>
              <w:t xml:space="preserve">Relapse was defined as haematological relapse (blasts in bone marrow greater than 5% following CR) or an </w:t>
            </w:r>
            <w:proofErr w:type="spellStart"/>
            <w:r w:rsidRPr="00550752">
              <w:rPr>
                <w:rFonts w:ascii="Arial" w:eastAsia="Calibri" w:hAnsi="Arial" w:cs="Arial"/>
                <w:sz w:val="18"/>
                <w:szCs w:val="16"/>
              </w:rPr>
              <w:t>extramedullary</w:t>
            </w:r>
            <w:proofErr w:type="spellEnd"/>
            <w:r w:rsidRPr="00550752">
              <w:rPr>
                <w:rFonts w:ascii="Arial" w:eastAsia="Calibri" w:hAnsi="Arial" w:cs="Arial"/>
                <w:sz w:val="18"/>
                <w:szCs w:val="16"/>
              </w:rPr>
              <w:t xml:space="preserve"> relapse</w:t>
            </w:r>
          </w:p>
          <w:p w14:paraId="5FA67D6D" w14:textId="77777777" w:rsidR="003B1086" w:rsidRPr="00311C47" w:rsidRDefault="003B1086"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r w:rsidRPr="00550752">
              <w:rPr>
                <w:rFonts w:ascii="Arial" w:eastAsia="Calibri" w:hAnsi="Arial" w:cs="Arial"/>
                <w:sz w:val="18"/>
                <w:szCs w:val="16"/>
              </w:rPr>
              <w:t>NE = not estimable</w:t>
            </w:r>
          </w:p>
          <w:p w14:paraId="581021F7" w14:textId="77777777" w:rsidR="00311C47" w:rsidRPr="00550752" w:rsidRDefault="00311C47" w:rsidP="003B1086">
            <w:pPr>
              <w:pStyle w:val="ListParagraph"/>
              <w:keepNext/>
              <w:keepLines/>
              <w:numPr>
                <w:ilvl w:val="0"/>
                <w:numId w:val="30"/>
              </w:numPr>
              <w:tabs>
                <w:tab w:val="clear" w:pos="720"/>
                <w:tab w:val="num" w:pos="231"/>
              </w:tabs>
              <w:suppressAutoHyphens/>
              <w:spacing w:after="0" w:line="240" w:lineRule="auto"/>
              <w:ind w:left="231" w:hanging="325"/>
              <w:contextualSpacing w:val="0"/>
              <w:rPr>
                <w:rFonts w:ascii="Arial" w:hAnsi="Arial" w:cs="Arial"/>
                <w:sz w:val="18"/>
                <w:szCs w:val="16"/>
              </w:rPr>
            </w:pPr>
          </w:p>
        </w:tc>
      </w:tr>
    </w:tbl>
    <w:p w14:paraId="54D29A1D" w14:textId="77777777" w:rsidR="007D43DB" w:rsidRPr="0062018B" w:rsidRDefault="007D43DB" w:rsidP="007D43DB">
      <w:pPr>
        <w:tabs>
          <w:tab w:val="center" w:pos="4320"/>
          <w:tab w:val="right" w:pos="8640"/>
        </w:tabs>
        <w:spacing w:before="120" w:after="120" w:line="360" w:lineRule="auto"/>
        <w:rPr>
          <w:rFonts w:ascii="Arial" w:eastAsia="Times New Roman" w:hAnsi="Arial" w:cs="Times New Roman"/>
          <w:u w:val="single"/>
          <w:lang w:eastAsia="en-GB"/>
        </w:rPr>
      </w:pPr>
      <w:r w:rsidRPr="00BA2B93">
        <w:rPr>
          <w:rFonts w:ascii="Arial" w:hAnsi="Arial" w:cs="Arial"/>
        </w:rPr>
        <w:t xml:space="preserve">Treatment effects in evaluable subgroups (e.g., mutation status, number of prior TKIs, prior HSCT status, and relapse without prior HSCT) were in general consistent with the results in the overall population.  Patients with T315I mutation, other mutations, or additional cytogenetic abnormalities responded with a similar rate as compared to those that did not have these mutations or abnormalities.  </w:t>
      </w:r>
    </w:p>
    <w:p w14:paraId="08219E48" w14:textId="77777777" w:rsidR="00F15285" w:rsidRDefault="007D43DB" w:rsidP="00311C47">
      <w:pPr>
        <w:keepNext/>
        <w:autoSpaceDE w:val="0"/>
        <w:autoSpaceDN w:val="0"/>
        <w:adjustRightInd w:val="0"/>
        <w:spacing w:before="120" w:after="120" w:line="360" w:lineRule="auto"/>
        <w:rPr>
          <w:rFonts w:ascii="Arial" w:eastAsia="Times New Roman" w:hAnsi="Arial" w:cs="Times New Roman"/>
          <w:b/>
          <w:u w:val="single"/>
          <w:lang w:eastAsia="en-GB"/>
        </w:rPr>
      </w:pPr>
      <w:r w:rsidRPr="00840D92">
        <w:rPr>
          <w:rFonts w:ascii="Arial" w:eastAsia="Times New Roman" w:hAnsi="Arial" w:cs="Times New Roman"/>
          <w:b/>
          <w:u w:val="single"/>
          <w:lang w:eastAsia="en-GB"/>
        </w:rPr>
        <w:t>MRD positive B-precursor ALL</w:t>
      </w:r>
    </w:p>
    <w:p w14:paraId="2E6F1E62" w14:textId="7DE68CBE" w:rsidR="007D43DB" w:rsidRDefault="007D43DB" w:rsidP="007D43DB">
      <w:pPr>
        <w:autoSpaceDE w:val="0"/>
        <w:autoSpaceDN w:val="0"/>
        <w:adjustRightInd w:val="0"/>
        <w:spacing w:before="120" w:after="120" w:line="360" w:lineRule="auto"/>
        <w:rPr>
          <w:rFonts w:ascii="Arial" w:hAnsi="Arial" w:cs="Arial"/>
        </w:rPr>
      </w:pPr>
      <w:r w:rsidRPr="00324FFD">
        <w:rPr>
          <w:rFonts w:ascii="Arial" w:hAnsi="Arial" w:cs="Arial"/>
        </w:rPr>
        <w:t>In Study</w:t>
      </w:r>
      <w:r w:rsidR="00F06D0D">
        <w:rPr>
          <w:rFonts w:ascii="Arial" w:hAnsi="Arial" w:cs="Arial"/>
        </w:rPr>
        <w:t> </w:t>
      </w:r>
      <w:r w:rsidR="00E42047">
        <w:rPr>
          <w:rFonts w:ascii="Arial" w:hAnsi="Arial" w:cs="Arial"/>
        </w:rPr>
        <w:t>5</w:t>
      </w:r>
      <w:r w:rsidRPr="00324FFD">
        <w:rPr>
          <w:rFonts w:ascii="Arial" w:hAnsi="Arial" w:cs="Arial"/>
        </w:rPr>
        <w:t xml:space="preserve">, the safety and efficacy of </w:t>
      </w:r>
      <w:proofErr w:type="spellStart"/>
      <w:r w:rsidRPr="00324FFD">
        <w:rPr>
          <w:rFonts w:ascii="Arial" w:hAnsi="Arial" w:cs="Arial"/>
        </w:rPr>
        <w:t>Blincyto</w:t>
      </w:r>
      <w:proofErr w:type="spellEnd"/>
      <w:r w:rsidRPr="00324FFD">
        <w:rPr>
          <w:rFonts w:ascii="Arial" w:hAnsi="Arial" w:cs="Arial"/>
        </w:rPr>
        <w:t xml:space="preserve"> were evaluated in an open-label, multicentre, single-arm study.  </w:t>
      </w:r>
      <w:r w:rsidRPr="00324FFD">
        <w:rPr>
          <w:rFonts w:ascii="Arial" w:hAnsi="Arial" w:cs="Arial"/>
          <w:color w:val="000000"/>
        </w:rPr>
        <w:t xml:space="preserve"> Eligible patients were </w:t>
      </w:r>
      <w:r w:rsidRPr="00324FFD">
        <w:rPr>
          <w:rFonts w:ascii="Arial" w:hAnsi="Arial" w:cs="Arial"/>
        </w:rPr>
        <w:t>≥ 18 years of age, had received at least 3</w:t>
      </w:r>
      <w:r w:rsidR="00F06D0D">
        <w:rPr>
          <w:rFonts w:ascii="Arial" w:hAnsi="Arial" w:cs="Arial"/>
        </w:rPr>
        <w:t> </w:t>
      </w:r>
      <w:r w:rsidRPr="00324FFD">
        <w:rPr>
          <w:rFonts w:ascii="Arial" w:hAnsi="Arial" w:cs="Arial"/>
        </w:rPr>
        <w:t xml:space="preserve">blocks of </w:t>
      </w:r>
      <w:r w:rsidRPr="00324FFD">
        <w:rPr>
          <w:rFonts w:ascii="Arial" w:hAnsi="Arial" w:cs="Arial"/>
        </w:rPr>
        <w:lastRenderedPageBreak/>
        <w:t xml:space="preserve">standard ALL induction therapy, were in complete </w:t>
      </w:r>
      <w:proofErr w:type="spellStart"/>
      <w:r w:rsidRPr="00324FFD">
        <w:rPr>
          <w:rFonts w:ascii="Arial" w:hAnsi="Arial" w:cs="Arial"/>
        </w:rPr>
        <w:t>haematologic</w:t>
      </w:r>
      <w:proofErr w:type="spellEnd"/>
      <w:r w:rsidRPr="00324FFD">
        <w:rPr>
          <w:rFonts w:ascii="Arial" w:hAnsi="Arial" w:cs="Arial"/>
        </w:rPr>
        <w:t xml:space="preserve"> remission (defined as &lt; 5% blasts in bone marrow, absolute neutrophil count ≥ 1,000/</w:t>
      </w:r>
      <w:proofErr w:type="spellStart"/>
      <w:r w:rsidRPr="00324FFD">
        <w:rPr>
          <w:rFonts w:ascii="Arial" w:hAnsi="Arial" w:cs="Arial"/>
        </w:rPr>
        <w:t>microlitres</w:t>
      </w:r>
      <w:proofErr w:type="spellEnd"/>
      <w:r w:rsidRPr="00324FFD">
        <w:rPr>
          <w:rFonts w:ascii="Arial" w:hAnsi="Arial" w:cs="Arial"/>
        </w:rPr>
        <w:t>, platelets ≥ 50,000/</w:t>
      </w:r>
      <w:proofErr w:type="spellStart"/>
      <w:r w:rsidRPr="00324FFD">
        <w:rPr>
          <w:rFonts w:ascii="Arial" w:hAnsi="Arial" w:cs="Arial"/>
        </w:rPr>
        <w:t>microlitres</w:t>
      </w:r>
      <w:proofErr w:type="spellEnd"/>
      <w:r w:rsidRPr="00324FFD">
        <w:rPr>
          <w:rFonts w:ascii="Arial" w:hAnsi="Arial" w:cs="Arial"/>
        </w:rPr>
        <w:t>, and haemoglobin level ≥ 9 g/</w:t>
      </w:r>
      <w:proofErr w:type="spellStart"/>
      <w:r w:rsidRPr="00324FFD">
        <w:rPr>
          <w:rFonts w:ascii="Arial" w:hAnsi="Arial" w:cs="Arial"/>
        </w:rPr>
        <w:t>dL</w:t>
      </w:r>
      <w:proofErr w:type="spellEnd"/>
      <w:r w:rsidRPr="00324FFD">
        <w:rPr>
          <w:rFonts w:ascii="Arial" w:hAnsi="Arial" w:cs="Arial"/>
        </w:rPr>
        <w:t>) and had molecular failure or molecular relapse (defined as MRD ≥ 10</w:t>
      </w:r>
      <w:r w:rsidRPr="00324FFD">
        <w:rPr>
          <w:rFonts w:ascii="Arial" w:hAnsi="Arial" w:cs="Arial"/>
          <w:vertAlign w:val="superscript"/>
        </w:rPr>
        <w:t>-3</w:t>
      </w:r>
      <w:r w:rsidR="0016359A" w:rsidRPr="00FA1C6C">
        <w:rPr>
          <w:rFonts w:ascii="Arial" w:hAnsi="Arial" w:cs="Arial"/>
          <w:color w:val="000000" w:themeColor="text1"/>
        </w:rPr>
        <w:t>) (see Table 14).</w:t>
      </w:r>
    </w:p>
    <w:p w14:paraId="77ED52E4" w14:textId="79CC2105" w:rsidR="007D43DB" w:rsidRPr="00324FFD" w:rsidRDefault="007D43DB" w:rsidP="007D43DB">
      <w:pPr>
        <w:autoSpaceDE w:val="0"/>
        <w:autoSpaceDN w:val="0"/>
        <w:adjustRightInd w:val="0"/>
        <w:spacing w:before="120" w:after="120" w:line="360" w:lineRule="auto"/>
        <w:rPr>
          <w:rFonts w:ascii="Arial" w:hAnsi="Arial" w:cs="Arial"/>
        </w:rPr>
      </w:pPr>
      <w:proofErr w:type="spellStart"/>
      <w:r w:rsidRPr="00324FFD">
        <w:rPr>
          <w:rFonts w:ascii="Arial" w:hAnsi="Arial" w:cs="Arial"/>
        </w:rPr>
        <w:t>Blincyto</w:t>
      </w:r>
      <w:proofErr w:type="spellEnd"/>
      <w:r w:rsidRPr="00324FFD">
        <w:rPr>
          <w:rFonts w:ascii="Arial" w:hAnsi="Arial" w:cs="Arial"/>
        </w:rPr>
        <w:t xml:space="preserve"> was administered as a continuous intravenous infusion.  Patients received </w:t>
      </w:r>
      <w:proofErr w:type="spellStart"/>
      <w:r w:rsidRPr="00324FFD">
        <w:rPr>
          <w:rFonts w:ascii="Arial" w:hAnsi="Arial" w:cs="Arial"/>
        </w:rPr>
        <w:t>Blincyto</w:t>
      </w:r>
      <w:proofErr w:type="spellEnd"/>
      <w:r w:rsidRPr="00324FFD">
        <w:rPr>
          <w:rFonts w:ascii="Arial" w:hAnsi="Arial" w:cs="Arial"/>
        </w:rPr>
        <w:t xml:space="preserve"> at a constant dose of </w:t>
      </w:r>
      <w:r w:rsidR="0016359A" w:rsidRPr="00FA1C6C">
        <w:rPr>
          <w:rFonts w:ascii="Arial" w:hAnsi="Arial" w:cs="Arial"/>
          <w:color w:val="000000" w:themeColor="text1"/>
        </w:rPr>
        <w:t>15 microgram</w:t>
      </w:r>
      <w:r w:rsidR="0016359A" w:rsidRPr="00221ABA">
        <w:rPr>
          <w:rFonts w:ascii="Arial" w:hAnsi="Arial" w:cs="Arial"/>
        </w:rPr>
        <w:t>/m</w:t>
      </w:r>
      <w:r w:rsidR="0016359A" w:rsidRPr="00221ABA">
        <w:rPr>
          <w:rFonts w:ascii="Arial" w:hAnsi="Arial" w:cs="Arial"/>
          <w:vertAlign w:val="superscript"/>
        </w:rPr>
        <w:t>2</w:t>
      </w:r>
      <w:r w:rsidR="0016359A" w:rsidRPr="00221ABA">
        <w:rPr>
          <w:rFonts w:ascii="Arial" w:hAnsi="Arial" w:cs="Arial"/>
        </w:rPr>
        <w:t>/day (equivalent to the recommended dosage of 28 </w:t>
      </w:r>
      <w:r w:rsidR="0016359A" w:rsidRPr="00FA1C6C">
        <w:rPr>
          <w:rFonts w:ascii="Arial" w:hAnsi="Arial" w:cs="Arial"/>
          <w:color w:val="000000" w:themeColor="text1"/>
        </w:rPr>
        <w:t>microgram</w:t>
      </w:r>
      <w:r w:rsidR="0016359A" w:rsidRPr="00221ABA">
        <w:rPr>
          <w:rFonts w:ascii="Arial" w:hAnsi="Arial" w:cs="Arial"/>
        </w:rPr>
        <w:t>/day) for</w:t>
      </w:r>
      <w:r w:rsidR="0016359A" w:rsidRPr="00324FFD">
        <w:rPr>
          <w:rFonts w:ascii="Arial" w:hAnsi="Arial" w:cs="Arial"/>
        </w:rPr>
        <w:t xml:space="preserve"> all treatment cycles.  Patients received up to 4</w:t>
      </w:r>
      <w:r w:rsidR="0016359A">
        <w:rPr>
          <w:rFonts w:ascii="Arial" w:hAnsi="Arial" w:cs="Arial"/>
        </w:rPr>
        <w:t> </w:t>
      </w:r>
      <w:r w:rsidR="0016359A" w:rsidRPr="00324FFD">
        <w:rPr>
          <w:rFonts w:ascii="Arial" w:hAnsi="Arial" w:cs="Arial"/>
        </w:rPr>
        <w:t xml:space="preserve">cycles of treatment.  Dose adjustment was possible in case of adverse events.  The treated population included who received at least one infusion of </w:t>
      </w:r>
      <w:proofErr w:type="spellStart"/>
      <w:r w:rsidR="0016359A" w:rsidRPr="00324FFD">
        <w:rPr>
          <w:rFonts w:ascii="Arial" w:hAnsi="Arial" w:cs="Arial"/>
        </w:rPr>
        <w:t>Blincyto</w:t>
      </w:r>
      <w:proofErr w:type="spellEnd"/>
      <w:r w:rsidR="0016359A" w:rsidRPr="00324FFD">
        <w:rPr>
          <w:rFonts w:ascii="Arial" w:hAnsi="Arial" w:cs="Arial"/>
        </w:rPr>
        <w:t>.  Of the 116</w:t>
      </w:r>
      <w:r w:rsidR="0016359A">
        <w:rPr>
          <w:rFonts w:ascii="Arial" w:hAnsi="Arial" w:cs="Arial"/>
        </w:rPr>
        <w:t> </w:t>
      </w:r>
      <w:r w:rsidR="0016359A" w:rsidRPr="00324FFD">
        <w:rPr>
          <w:rFonts w:ascii="Arial" w:hAnsi="Arial" w:cs="Arial"/>
        </w:rPr>
        <w:t>patients, 113</w:t>
      </w:r>
      <w:r w:rsidR="0016359A">
        <w:rPr>
          <w:rFonts w:ascii="Arial" w:hAnsi="Arial" w:cs="Arial"/>
        </w:rPr>
        <w:t> </w:t>
      </w:r>
      <w:r w:rsidR="0016359A" w:rsidRPr="00324FFD">
        <w:rPr>
          <w:rFonts w:ascii="Arial" w:hAnsi="Arial" w:cs="Arial"/>
        </w:rPr>
        <w:t>patients (97.4%) were included in the primary endpoint full analysis set and 110</w:t>
      </w:r>
      <w:r w:rsidR="0016359A">
        <w:rPr>
          <w:rFonts w:ascii="Arial" w:hAnsi="Arial" w:cs="Arial"/>
        </w:rPr>
        <w:t> </w:t>
      </w:r>
      <w:r w:rsidR="0016359A" w:rsidRPr="00324FFD">
        <w:rPr>
          <w:rFonts w:ascii="Arial" w:hAnsi="Arial" w:cs="Arial"/>
        </w:rPr>
        <w:t>patients (94.8%) were included in the key secondary endpoint full analysis set.  The median number of treatment cycles was 2 (range: 1 to 4).  Please see Table</w:t>
      </w:r>
      <w:r w:rsidR="0016359A">
        <w:rPr>
          <w:rFonts w:ascii="Arial" w:hAnsi="Arial" w:cs="Arial"/>
        </w:rPr>
        <w:t> </w:t>
      </w:r>
      <w:r w:rsidR="009C4DAC">
        <w:rPr>
          <w:rFonts w:ascii="Arial" w:hAnsi="Arial" w:cs="Arial"/>
        </w:rPr>
        <w:t>14</w:t>
      </w:r>
      <w:r w:rsidR="0016359A" w:rsidRPr="00324FFD">
        <w:rPr>
          <w:rFonts w:ascii="Arial" w:hAnsi="Arial" w:cs="Arial"/>
        </w:rPr>
        <w:t xml:space="preserve"> for the demographics and baseline characteristics from </w:t>
      </w:r>
      <w:r w:rsidR="0016359A" w:rsidRPr="00EA5636">
        <w:rPr>
          <w:rFonts w:ascii="Arial" w:hAnsi="Arial" w:cs="Arial"/>
        </w:rPr>
        <w:t>Study </w:t>
      </w:r>
      <w:r w:rsidR="00FA1C6C">
        <w:rPr>
          <w:rFonts w:ascii="Arial" w:hAnsi="Arial" w:cs="Arial"/>
        </w:rPr>
        <w:t>5</w:t>
      </w:r>
      <w:r w:rsidRPr="00100160">
        <w:rPr>
          <w:rFonts w:ascii="Arial" w:hAnsi="Arial" w:cs="Arial"/>
        </w:rPr>
        <w:t>.</w:t>
      </w:r>
    </w:p>
    <w:p w14:paraId="6691E4FE" w14:textId="77777777" w:rsidR="007D43DB" w:rsidRPr="00324FFD" w:rsidRDefault="007D43DB" w:rsidP="00BB029B">
      <w:pPr>
        <w:pStyle w:val="Caption"/>
        <w:rPr>
          <w:bCs/>
          <w:lang w:val="en-GB"/>
        </w:rPr>
      </w:pPr>
      <w:r w:rsidRPr="00A10D6C">
        <w:rPr>
          <w:lang w:val="en-GB"/>
        </w:rPr>
        <w:lastRenderedPageBreak/>
        <w:t>Table</w:t>
      </w:r>
      <w:r w:rsidR="00F06D0D" w:rsidRPr="00A10D6C">
        <w:rPr>
          <w:lang w:val="en-GB"/>
        </w:rPr>
        <w:t> 14</w:t>
      </w:r>
      <w:r w:rsidRPr="00A10D6C">
        <w:rPr>
          <w:lang w:val="en-GB"/>
        </w:rPr>
        <w:t xml:space="preserve">. </w:t>
      </w:r>
      <w:r w:rsidR="009D14BE">
        <w:rPr>
          <w:lang w:val="en-GB"/>
        </w:rPr>
        <w:t xml:space="preserve"> </w:t>
      </w:r>
      <w:r w:rsidRPr="00A10D6C">
        <w:rPr>
          <w:lang w:val="en-GB"/>
        </w:rPr>
        <w:t>Demographics and Baseline Characteristics in MRD Study</w:t>
      </w:r>
    </w:p>
    <w:tbl>
      <w:tblPr>
        <w:tblW w:w="4147"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1E0" w:firstRow="1" w:lastRow="1" w:firstColumn="1" w:lastColumn="1" w:noHBand="0" w:noVBand="0"/>
      </w:tblPr>
      <w:tblGrid>
        <w:gridCol w:w="4742"/>
        <w:gridCol w:w="2732"/>
      </w:tblGrid>
      <w:tr w:rsidR="0016359A" w:rsidRPr="00E12A37" w14:paraId="0A3ECA41" w14:textId="77777777" w:rsidTr="00695792">
        <w:trPr>
          <w:trHeight w:val="50"/>
          <w:tblHeader/>
          <w:jc w:val="center"/>
        </w:trPr>
        <w:tc>
          <w:tcPr>
            <w:tcW w:w="4555" w:type="dxa"/>
            <w:tcBorders>
              <w:bottom w:val="single" w:sz="8" w:space="0" w:color="auto"/>
              <w:right w:val="nil"/>
            </w:tcBorders>
            <w:vAlign w:val="center"/>
          </w:tcPr>
          <w:p w14:paraId="140AF2AB" w14:textId="77777777" w:rsidR="0016359A" w:rsidRPr="00E12A37" w:rsidRDefault="0016359A" w:rsidP="00695792">
            <w:pPr>
              <w:pStyle w:val="TableColumnHead"/>
              <w:widowControl/>
              <w:rPr>
                <w:rFonts w:ascii="Arial" w:hAnsi="Arial" w:cs="Arial"/>
              </w:rPr>
            </w:pPr>
            <w:r w:rsidRPr="00E12A37">
              <w:rPr>
                <w:rFonts w:ascii="Arial" w:hAnsi="Arial" w:cs="Arial"/>
              </w:rPr>
              <w:t>Characteristic</w:t>
            </w:r>
          </w:p>
        </w:tc>
        <w:tc>
          <w:tcPr>
            <w:tcW w:w="2625" w:type="dxa"/>
            <w:tcBorders>
              <w:left w:val="nil"/>
              <w:bottom w:val="single" w:sz="8" w:space="0" w:color="auto"/>
            </w:tcBorders>
            <w:vAlign w:val="bottom"/>
          </w:tcPr>
          <w:p w14:paraId="030C4EFC" w14:textId="77777777" w:rsidR="0016359A" w:rsidRPr="00E12A37" w:rsidRDefault="0016359A" w:rsidP="00695792">
            <w:pPr>
              <w:pStyle w:val="TableColumnHead"/>
              <w:widowControl/>
              <w:rPr>
                <w:rFonts w:ascii="Arial" w:hAnsi="Arial" w:cs="Arial"/>
              </w:rPr>
            </w:pPr>
            <w:proofErr w:type="spellStart"/>
            <w:r w:rsidRPr="00E12A37">
              <w:rPr>
                <w:rFonts w:ascii="Arial" w:hAnsi="Arial" w:cs="Arial"/>
              </w:rPr>
              <w:t>Blincyto</w:t>
            </w:r>
            <w:proofErr w:type="spellEnd"/>
            <w:r w:rsidRPr="00E12A37">
              <w:rPr>
                <w:rFonts w:ascii="Arial" w:hAnsi="Arial" w:cs="Arial"/>
              </w:rPr>
              <w:br/>
              <w:t>(N = 116)</w:t>
            </w:r>
          </w:p>
        </w:tc>
      </w:tr>
      <w:tr w:rsidR="0016359A" w:rsidRPr="00E12A37" w14:paraId="66F07189" w14:textId="77777777" w:rsidTr="00695792">
        <w:trPr>
          <w:trHeight w:val="20"/>
          <w:tblHeader/>
          <w:jc w:val="center"/>
        </w:trPr>
        <w:tc>
          <w:tcPr>
            <w:tcW w:w="4555" w:type="dxa"/>
            <w:tcBorders>
              <w:top w:val="single" w:sz="8" w:space="0" w:color="auto"/>
              <w:left w:val="single" w:sz="8" w:space="0" w:color="auto"/>
              <w:bottom w:val="nil"/>
              <w:right w:val="nil"/>
            </w:tcBorders>
          </w:tcPr>
          <w:p w14:paraId="25E1D5A4" w14:textId="77777777" w:rsidR="0016359A" w:rsidRPr="00E12A37" w:rsidRDefault="0016359A" w:rsidP="00695792">
            <w:pPr>
              <w:keepNext/>
              <w:keepLines/>
              <w:autoSpaceDE w:val="0"/>
              <w:autoSpaceDN w:val="0"/>
              <w:adjustRightInd w:val="0"/>
              <w:spacing w:before="40" w:after="40"/>
              <w:ind w:left="102"/>
              <w:rPr>
                <w:rFonts w:ascii="Arial" w:hAnsi="Arial" w:cs="Arial"/>
                <w:sz w:val="20"/>
                <w:szCs w:val="20"/>
              </w:rPr>
            </w:pPr>
            <w:r w:rsidRPr="00E12A37">
              <w:rPr>
                <w:rFonts w:ascii="Arial" w:hAnsi="Arial" w:cs="Arial"/>
                <w:sz w:val="20"/>
                <w:szCs w:val="20"/>
              </w:rPr>
              <w:t>Age</w:t>
            </w:r>
          </w:p>
        </w:tc>
        <w:tc>
          <w:tcPr>
            <w:tcW w:w="2625" w:type="dxa"/>
            <w:tcBorders>
              <w:top w:val="single" w:sz="8" w:space="0" w:color="auto"/>
              <w:left w:val="nil"/>
              <w:bottom w:val="nil"/>
              <w:right w:val="single" w:sz="8" w:space="0" w:color="auto"/>
            </w:tcBorders>
          </w:tcPr>
          <w:p w14:paraId="63CDBD9F" w14:textId="77777777" w:rsidR="0016359A" w:rsidRPr="00E12A37" w:rsidRDefault="0016359A" w:rsidP="00695792">
            <w:pPr>
              <w:pStyle w:val="TableTextCenter"/>
              <w:keepLines/>
              <w:rPr>
                <w:rFonts w:ascii="Arial" w:hAnsi="Arial" w:cs="Arial"/>
                <w:szCs w:val="20"/>
              </w:rPr>
            </w:pPr>
          </w:p>
        </w:tc>
      </w:tr>
      <w:tr w:rsidR="0016359A" w:rsidRPr="00E12A37" w14:paraId="4E431272" w14:textId="77777777" w:rsidTr="00695792">
        <w:trPr>
          <w:trHeight w:val="20"/>
          <w:tblHeader/>
          <w:jc w:val="center"/>
        </w:trPr>
        <w:tc>
          <w:tcPr>
            <w:tcW w:w="4555" w:type="dxa"/>
            <w:tcBorders>
              <w:top w:val="nil"/>
              <w:left w:val="single" w:sz="4" w:space="0" w:color="auto"/>
              <w:bottom w:val="nil"/>
              <w:right w:val="nil"/>
            </w:tcBorders>
          </w:tcPr>
          <w:p w14:paraId="3140852A" w14:textId="77777777" w:rsidR="0016359A" w:rsidRPr="00E12A37" w:rsidRDefault="0016359A" w:rsidP="00695792">
            <w:pPr>
              <w:keepNext/>
              <w:keepLines/>
              <w:autoSpaceDE w:val="0"/>
              <w:autoSpaceDN w:val="0"/>
              <w:adjustRightInd w:val="0"/>
              <w:spacing w:before="40" w:after="40"/>
              <w:ind w:left="102"/>
              <w:rPr>
                <w:rFonts w:ascii="Arial" w:hAnsi="Arial" w:cs="Arial"/>
                <w:sz w:val="20"/>
                <w:szCs w:val="20"/>
              </w:rPr>
            </w:pPr>
            <w:r w:rsidRPr="00E12A37">
              <w:rPr>
                <w:rFonts w:ascii="Arial" w:hAnsi="Arial" w:cs="Arial"/>
                <w:sz w:val="20"/>
                <w:szCs w:val="20"/>
              </w:rPr>
              <w:tab/>
              <w:t>Median, years (min, max)</w:t>
            </w:r>
          </w:p>
        </w:tc>
        <w:tc>
          <w:tcPr>
            <w:tcW w:w="2625" w:type="dxa"/>
            <w:tcBorders>
              <w:top w:val="nil"/>
              <w:left w:val="nil"/>
              <w:bottom w:val="nil"/>
              <w:right w:val="single" w:sz="4" w:space="0" w:color="auto"/>
            </w:tcBorders>
          </w:tcPr>
          <w:p w14:paraId="1341616B" w14:textId="77777777" w:rsidR="0016359A" w:rsidRPr="00E12A37" w:rsidRDefault="0016359A" w:rsidP="00695792">
            <w:pPr>
              <w:pStyle w:val="TableTextCenter"/>
              <w:keepLines/>
              <w:rPr>
                <w:rFonts w:ascii="Arial" w:hAnsi="Arial" w:cs="Arial"/>
                <w:szCs w:val="20"/>
              </w:rPr>
            </w:pPr>
            <w:r w:rsidRPr="00E12A37">
              <w:rPr>
                <w:rFonts w:ascii="Arial" w:hAnsi="Arial" w:cs="Arial"/>
                <w:szCs w:val="20"/>
              </w:rPr>
              <w:t>45 (18, 76)</w:t>
            </w:r>
          </w:p>
        </w:tc>
      </w:tr>
      <w:tr w:rsidR="0016359A" w:rsidRPr="00E12A37" w14:paraId="31819644" w14:textId="77777777" w:rsidTr="00695792">
        <w:trPr>
          <w:trHeight w:val="161"/>
          <w:tblHeader/>
          <w:jc w:val="center"/>
        </w:trPr>
        <w:tc>
          <w:tcPr>
            <w:tcW w:w="4555" w:type="dxa"/>
            <w:tcBorders>
              <w:top w:val="nil"/>
              <w:left w:val="single" w:sz="4" w:space="0" w:color="auto"/>
              <w:bottom w:val="nil"/>
              <w:right w:val="nil"/>
            </w:tcBorders>
          </w:tcPr>
          <w:p w14:paraId="7E2791AD" w14:textId="77777777" w:rsidR="0016359A" w:rsidRPr="00E12A37" w:rsidRDefault="0016359A" w:rsidP="00695792">
            <w:pPr>
              <w:keepNext/>
              <w:keepLines/>
              <w:autoSpaceDE w:val="0"/>
              <w:autoSpaceDN w:val="0"/>
              <w:adjustRightInd w:val="0"/>
              <w:spacing w:before="40" w:after="40"/>
              <w:ind w:left="720"/>
              <w:rPr>
                <w:rFonts w:ascii="Arial" w:hAnsi="Arial" w:cs="Arial"/>
                <w:sz w:val="20"/>
                <w:szCs w:val="20"/>
              </w:rPr>
            </w:pPr>
            <w:r w:rsidRPr="00E12A37">
              <w:rPr>
                <w:rFonts w:ascii="Arial" w:hAnsi="Arial" w:cs="Arial"/>
                <w:sz w:val="20"/>
                <w:szCs w:val="20"/>
              </w:rPr>
              <w:t>Mean, years (SD)</w:t>
            </w:r>
          </w:p>
        </w:tc>
        <w:tc>
          <w:tcPr>
            <w:tcW w:w="2625" w:type="dxa"/>
            <w:tcBorders>
              <w:top w:val="nil"/>
              <w:left w:val="nil"/>
              <w:bottom w:val="nil"/>
              <w:right w:val="single" w:sz="4" w:space="0" w:color="auto"/>
            </w:tcBorders>
          </w:tcPr>
          <w:p w14:paraId="4F0C9A20" w14:textId="77777777" w:rsidR="0016359A" w:rsidRPr="00E12A37" w:rsidRDefault="0016359A" w:rsidP="00695792">
            <w:pPr>
              <w:pStyle w:val="TableTextCenter"/>
              <w:keepLines/>
              <w:rPr>
                <w:rFonts w:ascii="Arial" w:hAnsi="Arial" w:cs="Arial"/>
                <w:szCs w:val="20"/>
              </w:rPr>
            </w:pPr>
            <w:r w:rsidRPr="00E12A37">
              <w:rPr>
                <w:rFonts w:ascii="Arial" w:hAnsi="Arial" w:cs="Arial"/>
                <w:szCs w:val="20"/>
              </w:rPr>
              <w:t>44.6 (16.4)</w:t>
            </w:r>
          </w:p>
        </w:tc>
      </w:tr>
      <w:tr w:rsidR="0016359A" w:rsidRPr="00E12A37" w14:paraId="425A25AE" w14:textId="77777777" w:rsidTr="00695792">
        <w:trPr>
          <w:trHeight w:val="161"/>
          <w:tblHeader/>
          <w:jc w:val="center"/>
        </w:trPr>
        <w:tc>
          <w:tcPr>
            <w:tcW w:w="4555" w:type="dxa"/>
            <w:tcBorders>
              <w:top w:val="nil"/>
              <w:left w:val="single" w:sz="8" w:space="0" w:color="auto"/>
              <w:bottom w:val="nil"/>
              <w:right w:val="nil"/>
            </w:tcBorders>
          </w:tcPr>
          <w:p w14:paraId="536E83F8" w14:textId="77777777" w:rsidR="0016359A" w:rsidRPr="00E12A37" w:rsidRDefault="0016359A" w:rsidP="00695792">
            <w:pPr>
              <w:keepNext/>
              <w:keepLines/>
              <w:autoSpaceDE w:val="0"/>
              <w:autoSpaceDN w:val="0"/>
              <w:adjustRightInd w:val="0"/>
              <w:spacing w:before="40" w:after="40"/>
              <w:ind w:left="102"/>
              <w:rPr>
                <w:rFonts w:ascii="Arial" w:hAnsi="Arial" w:cs="Arial"/>
                <w:sz w:val="20"/>
                <w:szCs w:val="20"/>
              </w:rPr>
            </w:pPr>
            <w:r w:rsidRPr="00E12A37">
              <w:rPr>
                <w:rFonts w:ascii="Arial" w:hAnsi="Arial" w:cs="Arial"/>
                <w:sz w:val="20"/>
                <w:szCs w:val="20"/>
              </w:rPr>
              <w:tab/>
              <w:t>≥ 65 years, n (%)</w:t>
            </w:r>
          </w:p>
        </w:tc>
        <w:tc>
          <w:tcPr>
            <w:tcW w:w="2625" w:type="dxa"/>
            <w:tcBorders>
              <w:top w:val="nil"/>
              <w:left w:val="nil"/>
              <w:bottom w:val="nil"/>
              <w:right w:val="single" w:sz="8" w:space="0" w:color="auto"/>
            </w:tcBorders>
          </w:tcPr>
          <w:p w14:paraId="51C9B60E" w14:textId="77777777" w:rsidR="0016359A" w:rsidRPr="00E12A37" w:rsidRDefault="0016359A" w:rsidP="00695792">
            <w:pPr>
              <w:pStyle w:val="TableTextCenter"/>
              <w:keepLines/>
              <w:rPr>
                <w:rFonts w:ascii="Arial" w:hAnsi="Arial" w:cs="Arial"/>
                <w:szCs w:val="20"/>
              </w:rPr>
            </w:pPr>
            <w:r w:rsidRPr="00E12A37">
              <w:rPr>
                <w:rFonts w:ascii="Arial" w:hAnsi="Arial" w:cs="Arial"/>
                <w:szCs w:val="20"/>
              </w:rPr>
              <w:t>15 (12.9)</w:t>
            </w:r>
          </w:p>
        </w:tc>
      </w:tr>
      <w:tr w:rsidR="0016359A" w:rsidRPr="00E12A37" w14:paraId="20128066" w14:textId="77777777" w:rsidTr="00695792">
        <w:trPr>
          <w:trHeight w:val="258"/>
          <w:tblHeader/>
          <w:jc w:val="center"/>
        </w:trPr>
        <w:tc>
          <w:tcPr>
            <w:tcW w:w="4555" w:type="dxa"/>
            <w:tcBorders>
              <w:top w:val="nil"/>
              <w:bottom w:val="nil"/>
              <w:right w:val="nil"/>
            </w:tcBorders>
          </w:tcPr>
          <w:p w14:paraId="176461F3" w14:textId="77777777" w:rsidR="0016359A" w:rsidRPr="00E12A37" w:rsidRDefault="0016359A" w:rsidP="00695792">
            <w:pPr>
              <w:autoSpaceDE w:val="0"/>
              <w:autoSpaceDN w:val="0"/>
              <w:adjustRightInd w:val="0"/>
              <w:spacing w:before="40" w:after="40"/>
              <w:ind w:left="102"/>
              <w:rPr>
                <w:rFonts w:ascii="Arial" w:hAnsi="Arial" w:cs="Arial"/>
                <w:sz w:val="20"/>
                <w:szCs w:val="20"/>
              </w:rPr>
            </w:pPr>
            <w:r w:rsidRPr="00E12A37">
              <w:rPr>
                <w:rFonts w:ascii="Arial" w:hAnsi="Arial" w:cs="Arial"/>
                <w:sz w:val="20"/>
                <w:szCs w:val="20"/>
              </w:rPr>
              <w:t>Males, n (%)</w:t>
            </w:r>
          </w:p>
        </w:tc>
        <w:tc>
          <w:tcPr>
            <w:tcW w:w="2625" w:type="dxa"/>
            <w:tcBorders>
              <w:top w:val="nil"/>
              <w:left w:val="nil"/>
              <w:bottom w:val="nil"/>
            </w:tcBorders>
          </w:tcPr>
          <w:p w14:paraId="010E63AC"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68 (58.6)</w:t>
            </w:r>
          </w:p>
        </w:tc>
      </w:tr>
      <w:tr w:rsidR="0016359A" w:rsidRPr="00E12A37" w14:paraId="2AAD6653" w14:textId="77777777" w:rsidTr="00695792">
        <w:trPr>
          <w:trHeight w:val="20"/>
          <w:tblHeader/>
          <w:jc w:val="center"/>
        </w:trPr>
        <w:tc>
          <w:tcPr>
            <w:tcW w:w="4555" w:type="dxa"/>
            <w:tcBorders>
              <w:top w:val="nil"/>
              <w:bottom w:val="nil"/>
              <w:right w:val="nil"/>
            </w:tcBorders>
            <w:vAlign w:val="center"/>
          </w:tcPr>
          <w:p w14:paraId="00D48467" w14:textId="77777777" w:rsidR="0016359A" w:rsidRPr="00E12A37" w:rsidRDefault="0016359A" w:rsidP="00695792">
            <w:pPr>
              <w:autoSpaceDE w:val="0"/>
              <w:autoSpaceDN w:val="0"/>
              <w:adjustRightInd w:val="0"/>
              <w:spacing w:before="40" w:after="40"/>
              <w:ind w:left="102"/>
              <w:rPr>
                <w:rFonts w:ascii="Arial" w:hAnsi="Arial" w:cs="Arial"/>
                <w:sz w:val="20"/>
                <w:szCs w:val="20"/>
              </w:rPr>
            </w:pPr>
            <w:r w:rsidRPr="00E12A37">
              <w:rPr>
                <w:rFonts w:ascii="Arial" w:hAnsi="Arial" w:cs="Arial"/>
                <w:sz w:val="20"/>
                <w:szCs w:val="20"/>
              </w:rPr>
              <w:t>Race, n (%)</w:t>
            </w:r>
          </w:p>
        </w:tc>
        <w:tc>
          <w:tcPr>
            <w:tcW w:w="2625" w:type="dxa"/>
            <w:tcBorders>
              <w:top w:val="nil"/>
              <w:left w:val="nil"/>
              <w:bottom w:val="nil"/>
            </w:tcBorders>
          </w:tcPr>
          <w:p w14:paraId="73E81CFF" w14:textId="77777777" w:rsidR="0016359A" w:rsidRPr="00E12A37" w:rsidRDefault="0016359A" w:rsidP="00695792">
            <w:pPr>
              <w:pStyle w:val="TableTextCenter"/>
              <w:keepNext w:val="0"/>
              <w:rPr>
                <w:rFonts w:ascii="Arial" w:hAnsi="Arial" w:cs="Arial"/>
                <w:szCs w:val="20"/>
              </w:rPr>
            </w:pPr>
          </w:p>
        </w:tc>
      </w:tr>
      <w:tr w:rsidR="0016359A" w:rsidRPr="00E12A37" w14:paraId="12D89B57" w14:textId="77777777" w:rsidTr="00695792">
        <w:trPr>
          <w:trHeight w:val="20"/>
          <w:tblHeader/>
          <w:jc w:val="center"/>
        </w:trPr>
        <w:tc>
          <w:tcPr>
            <w:tcW w:w="4555" w:type="dxa"/>
            <w:tcBorders>
              <w:top w:val="nil"/>
              <w:bottom w:val="nil"/>
              <w:right w:val="nil"/>
            </w:tcBorders>
            <w:vAlign w:val="center"/>
          </w:tcPr>
          <w:p w14:paraId="593B5957"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Asian</w:t>
            </w:r>
          </w:p>
        </w:tc>
        <w:tc>
          <w:tcPr>
            <w:tcW w:w="2625" w:type="dxa"/>
            <w:tcBorders>
              <w:top w:val="nil"/>
              <w:left w:val="nil"/>
              <w:bottom w:val="nil"/>
            </w:tcBorders>
          </w:tcPr>
          <w:p w14:paraId="54DF3A9E"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1 (0.9)</w:t>
            </w:r>
          </w:p>
        </w:tc>
      </w:tr>
      <w:tr w:rsidR="0016359A" w:rsidRPr="00E12A37" w14:paraId="71BFA777" w14:textId="77777777" w:rsidTr="00695792">
        <w:trPr>
          <w:trHeight w:val="20"/>
          <w:tblHeader/>
          <w:jc w:val="center"/>
        </w:trPr>
        <w:tc>
          <w:tcPr>
            <w:tcW w:w="4555" w:type="dxa"/>
            <w:tcBorders>
              <w:top w:val="nil"/>
              <w:bottom w:val="nil"/>
              <w:right w:val="nil"/>
            </w:tcBorders>
            <w:vAlign w:val="center"/>
          </w:tcPr>
          <w:p w14:paraId="1ACC0737"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Other (mixed)</w:t>
            </w:r>
          </w:p>
        </w:tc>
        <w:tc>
          <w:tcPr>
            <w:tcW w:w="2625" w:type="dxa"/>
            <w:tcBorders>
              <w:top w:val="nil"/>
              <w:left w:val="nil"/>
              <w:bottom w:val="nil"/>
            </w:tcBorders>
          </w:tcPr>
          <w:p w14:paraId="203D7BB6"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1 (0.9)</w:t>
            </w:r>
          </w:p>
        </w:tc>
      </w:tr>
      <w:tr w:rsidR="0016359A" w:rsidRPr="00E12A37" w14:paraId="2E747366" w14:textId="77777777" w:rsidTr="00695792">
        <w:trPr>
          <w:trHeight w:val="20"/>
          <w:tblHeader/>
          <w:jc w:val="center"/>
        </w:trPr>
        <w:tc>
          <w:tcPr>
            <w:tcW w:w="4555" w:type="dxa"/>
            <w:tcBorders>
              <w:top w:val="nil"/>
              <w:bottom w:val="nil"/>
              <w:right w:val="nil"/>
            </w:tcBorders>
            <w:vAlign w:val="center"/>
          </w:tcPr>
          <w:p w14:paraId="608882D4"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White</w:t>
            </w:r>
          </w:p>
        </w:tc>
        <w:tc>
          <w:tcPr>
            <w:tcW w:w="2625" w:type="dxa"/>
            <w:tcBorders>
              <w:top w:val="nil"/>
              <w:left w:val="nil"/>
              <w:bottom w:val="nil"/>
            </w:tcBorders>
          </w:tcPr>
          <w:p w14:paraId="700FEFEE"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102 (87.9)</w:t>
            </w:r>
          </w:p>
        </w:tc>
      </w:tr>
      <w:tr w:rsidR="0016359A" w:rsidRPr="00E12A37" w14:paraId="647467EC" w14:textId="77777777" w:rsidTr="00695792">
        <w:trPr>
          <w:trHeight w:val="20"/>
          <w:tblHeader/>
          <w:jc w:val="center"/>
        </w:trPr>
        <w:tc>
          <w:tcPr>
            <w:tcW w:w="4555" w:type="dxa"/>
            <w:tcBorders>
              <w:top w:val="nil"/>
              <w:bottom w:val="nil"/>
              <w:right w:val="nil"/>
            </w:tcBorders>
            <w:vAlign w:val="center"/>
          </w:tcPr>
          <w:p w14:paraId="447BE64C"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Unknown</w:t>
            </w:r>
          </w:p>
        </w:tc>
        <w:tc>
          <w:tcPr>
            <w:tcW w:w="2625" w:type="dxa"/>
            <w:tcBorders>
              <w:top w:val="nil"/>
              <w:left w:val="nil"/>
              <w:bottom w:val="nil"/>
            </w:tcBorders>
          </w:tcPr>
          <w:p w14:paraId="603ECE12"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12 (10.3)</w:t>
            </w:r>
          </w:p>
        </w:tc>
      </w:tr>
      <w:tr w:rsidR="0016359A" w:rsidRPr="00E12A37" w14:paraId="4F511E80" w14:textId="77777777" w:rsidTr="00695792">
        <w:trPr>
          <w:trHeight w:val="20"/>
          <w:tblHeader/>
          <w:jc w:val="center"/>
        </w:trPr>
        <w:tc>
          <w:tcPr>
            <w:tcW w:w="4555" w:type="dxa"/>
            <w:tcBorders>
              <w:top w:val="nil"/>
              <w:bottom w:val="nil"/>
              <w:right w:val="nil"/>
            </w:tcBorders>
          </w:tcPr>
          <w:p w14:paraId="60C3AB57" w14:textId="77777777" w:rsidR="0016359A" w:rsidRPr="00E12A37" w:rsidRDefault="0016359A" w:rsidP="00695792">
            <w:pPr>
              <w:pStyle w:val="TableTextLeft"/>
              <w:keepNext w:val="0"/>
              <w:tabs>
                <w:tab w:val="left" w:pos="372"/>
              </w:tabs>
              <w:rPr>
                <w:rFonts w:ascii="Arial" w:hAnsi="Arial" w:cs="Arial"/>
                <w:szCs w:val="20"/>
              </w:rPr>
            </w:pPr>
            <w:r w:rsidRPr="00E12A37">
              <w:rPr>
                <w:rFonts w:ascii="Arial" w:hAnsi="Arial" w:cs="Arial"/>
                <w:szCs w:val="20"/>
              </w:rPr>
              <w:t>Philadelphia chromosome disease status</w:t>
            </w:r>
          </w:p>
        </w:tc>
        <w:tc>
          <w:tcPr>
            <w:tcW w:w="2625" w:type="dxa"/>
            <w:tcBorders>
              <w:top w:val="nil"/>
              <w:left w:val="nil"/>
              <w:bottom w:val="nil"/>
            </w:tcBorders>
            <w:vAlign w:val="center"/>
          </w:tcPr>
          <w:p w14:paraId="4D9103F1" w14:textId="77777777" w:rsidR="0016359A" w:rsidRPr="00E12A37" w:rsidRDefault="0016359A" w:rsidP="00695792">
            <w:pPr>
              <w:pStyle w:val="TableTextCenter"/>
              <w:keepNext w:val="0"/>
              <w:rPr>
                <w:rFonts w:ascii="Arial" w:hAnsi="Arial" w:cs="Arial"/>
                <w:szCs w:val="20"/>
              </w:rPr>
            </w:pPr>
          </w:p>
        </w:tc>
      </w:tr>
      <w:tr w:rsidR="0016359A" w:rsidRPr="00E12A37" w14:paraId="0783FF27" w14:textId="77777777" w:rsidTr="00695792">
        <w:trPr>
          <w:trHeight w:val="20"/>
          <w:tblHeader/>
          <w:jc w:val="center"/>
        </w:trPr>
        <w:tc>
          <w:tcPr>
            <w:tcW w:w="4555" w:type="dxa"/>
            <w:tcBorders>
              <w:top w:val="nil"/>
              <w:bottom w:val="nil"/>
              <w:right w:val="nil"/>
            </w:tcBorders>
          </w:tcPr>
          <w:p w14:paraId="760BE831"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Positive</w:t>
            </w:r>
          </w:p>
        </w:tc>
        <w:tc>
          <w:tcPr>
            <w:tcW w:w="2625" w:type="dxa"/>
            <w:tcBorders>
              <w:top w:val="nil"/>
              <w:left w:val="nil"/>
              <w:bottom w:val="nil"/>
            </w:tcBorders>
            <w:vAlign w:val="center"/>
          </w:tcPr>
          <w:p w14:paraId="41D79BE2"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5 (4.3)</w:t>
            </w:r>
          </w:p>
        </w:tc>
      </w:tr>
      <w:tr w:rsidR="0016359A" w:rsidRPr="00E12A37" w14:paraId="4ED0114B" w14:textId="77777777" w:rsidTr="00695792">
        <w:trPr>
          <w:trHeight w:val="20"/>
          <w:tblHeader/>
          <w:jc w:val="center"/>
        </w:trPr>
        <w:tc>
          <w:tcPr>
            <w:tcW w:w="4555" w:type="dxa"/>
            <w:tcBorders>
              <w:top w:val="nil"/>
              <w:bottom w:val="nil"/>
              <w:right w:val="nil"/>
            </w:tcBorders>
          </w:tcPr>
          <w:p w14:paraId="6DE02AAC" w14:textId="77777777" w:rsidR="0016359A" w:rsidRPr="00E12A37" w:rsidRDefault="0016359A" w:rsidP="00695792">
            <w:pPr>
              <w:pStyle w:val="TableTextLeft"/>
              <w:keepNext w:val="0"/>
              <w:tabs>
                <w:tab w:val="left" w:pos="372"/>
              </w:tabs>
              <w:ind w:left="372"/>
              <w:rPr>
                <w:rFonts w:ascii="Arial" w:hAnsi="Arial" w:cs="Arial"/>
                <w:szCs w:val="20"/>
              </w:rPr>
            </w:pPr>
            <w:r w:rsidRPr="00E12A37">
              <w:rPr>
                <w:rFonts w:ascii="Arial" w:hAnsi="Arial" w:cs="Arial"/>
                <w:szCs w:val="20"/>
              </w:rPr>
              <w:tab/>
              <w:t>Negative</w:t>
            </w:r>
          </w:p>
        </w:tc>
        <w:tc>
          <w:tcPr>
            <w:tcW w:w="2625" w:type="dxa"/>
            <w:tcBorders>
              <w:top w:val="nil"/>
              <w:left w:val="nil"/>
              <w:bottom w:val="nil"/>
            </w:tcBorders>
            <w:vAlign w:val="center"/>
          </w:tcPr>
          <w:p w14:paraId="4BD1E878"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111 (95.7)</w:t>
            </w:r>
          </w:p>
        </w:tc>
      </w:tr>
      <w:tr w:rsidR="0016359A" w:rsidRPr="00E12A37" w14:paraId="576EC5EB" w14:textId="77777777" w:rsidTr="00695792">
        <w:trPr>
          <w:trHeight w:val="20"/>
          <w:tblHeader/>
          <w:jc w:val="center"/>
        </w:trPr>
        <w:tc>
          <w:tcPr>
            <w:tcW w:w="4555" w:type="dxa"/>
            <w:tcBorders>
              <w:top w:val="nil"/>
              <w:bottom w:val="nil"/>
              <w:right w:val="nil"/>
            </w:tcBorders>
          </w:tcPr>
          <w:p w14:paraId="1F3451F3" w14:textId="77777777" w:rsidR="0016359A" w:rsidRPr="00E12A37" w:rsidRDefault="0016359A" w:rsidP="00695792">
            <w:pPr>
              <w:pStyle w:val="TableTextLeft"/>
              <w:keepNext w:val="0"/>
              <w:tabs>
                <w:tab w:val="left" w:pos="372"/>
              </w:tabs>
              <w:rPr>
                <w:rFonts w:ascii="Arial" w:hAnsi="Arial" w:cs="Arial"/>
                <w:szCs w:val="20"/>
              </w:rPr>
            </w:pPr>
            <w:r w:rsidRPr="00E12A37">
              <w:rPr>
                <w:rFonts w:ascii="Arial" w:hAnsi="Arial" w:cs="Arial"/>
                <w:szCs w:val="20"/>
              </w:rPr>
              <w:t>Relapse history</w:t>
            </w:r>
          </w:p>
        </w:tc>
        <w:tc>
          <w:tcPr>
            <w:tcW w:w="2625" w:type="dxa"/>
            <w:tcBorders>
              <w:top w:val="nil"/>
              <w:left w:val="nil"/>
              <w:bottom w:val="nil"/>
            </w:tcBorders>
            <w:vAlign w:val="center"/>
          </w:tcPr>
          <w:p w14:paraId="353899BD" w14:textId="77777777" w:rsidR="0016359A" w:rsidRPr="00E12A37" w:rsidRDefault="0016359A" w:rsidP="00695792">
            <w:pPr>
              <w:pStyle w:val="TableTextCenter"/>
              <w:keepNext w:val="0"/>
              <w:rPr>
                <w:rFonts w:ascii="Arial" w:hAnsi="Arial" w:cs="Arial"/>
                <w:szCs w:val="20"/>
              </w:rPr>
            </w:pPr>
          </w:p>
        </w:tc>
      </w:tr>
      <w:tr w:rsidR="0016359A" w:rsidRPr="00E12A37" w14:paraId="51997F10" w14:textId="77777777" w:rsidTr="00695792">
        <w:trPr>
          <w:trHeight w:val="20"/>
          <w:tblHeader/>
          <w:jc w:val="center"/>
        </w:trPr>
        <w:tc>
          <w:tcPr>
            <w:tcW w:w="4555" w:type="dxa"/>
            <w:tcBorders>
              <w:top w:val="nil"/>
              <w:bottom w:val="nil"/>
              <w:right w:val="nil"/>
            </w:tcBorders>
          </w:tcPr>
          <w:p w14:paraId="4FABB58A"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Patients in 1</w:t>
            </w:r>
            <w:r w:rsidRPr="00E12A37">
              <w:rPr>
                <w:rFonts w:ascii="Arial" w:hAnsi="Arial" w:cs="Arial"/>
                <w:szCs w:val="20"/>
                <w:vertAlign w:val="superscript"/>
              </w:rPr>
              <w:t>st</w:t>
            </w:r>
            <w:r w:rsidRPr="00E12A37">
              <w:rPr>
                <w:rFonts w:ascii="Arial" w:hAnsi="Arial" w:cs="Arial"/>
                <w:szCs w:val="20"/>
              </w:rPr>
              <w:t xml:space="preserve"> CR</w:t>
            </w:r>
          </w:p>
        </w:tc>
        <w:tc>
          <w:tcPr>
            <w:tcW w:w="2625" w:type="dxa"/>
            <w:tcBorders>
              <w:top w:val="nil"/>
              <w:left w:val="nil"/>
              <w:bottom w:val="nil"/>
            </w:tcBorders>
            <w:vAlign w:val="center"/>
          </w:tcPr>
          <w:p w14:paraId="096061ED"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75 (64.7)</w:t>
            </w:r>
          </w:p>
        </w:tc>
      </w:tr>
      <w:tr w:rsidR="0016359A" w:rsidRPr="00E12A37" w14:paraId="182436DC" w14:textId="77777777" w:rsidTr="00695792">
        <w:trPr>
          <w:trHeight w:val="20"/>
          <w:tblHeader/>
          <w:jc w:val="center"/>
        </w:trPr>
        <w:tc>
          <w:tcPr>
            <w:tcW w:w="4555" w:type="dxa"/>
            <w:tcBorders>
              <w:top w:val="nil"/>
              <w:bottom w:val="nil"/>
              <w:right w:val="nil"/>
            </w:tcBorders>
          </w:tcPr>
          <w:p w14:paraId="08AC6AF9"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Patients in 2</w:t>
            </w:r>
            <w:r w:rsidRPr="00E12A37">
              <w:rPr>
                <w:rFonts w:ascii="Arial" w:hAnsi="Arial" w:cs="Arial"/>
                <w:szCs w:val="20"/>
                <w:vertAlign w:val="superscript"/>
              </w:rPr>
              <w:t>nd</w:t>
            </w:r>
            <w:r w:rsidRPr="00E12A37">
              <w:rPr>
                <w:rFonts w:ascii="Arial" w:hAnsi="Arial" w:cs="Arial"/>
                <w:szCs w:val="20"/>
              </w:rPr>
              <w:t xml:space="preserve"> CR</w:t>
            </w:r>
          </w:p>
        </w:tc>
        <w:tc>
          <w:tcPr>
            <w:tcW w:w="2625" w:type="dxa"/>
            <w:tcBorders>
              <w:top w:val="nil"/>
              <w:left w:val="nil"/>
              <w:bottom w:val="nil"/>
            </w:tcBorders>
            <w:vAlign w:val="center"/>
          </w:tcPr>
          <w:p w14:paraId="599083FC"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39 (33.6)</w:t>
            </w:r>
          </w:p>
        </w:tc>
      </w:tr>
      <w:tr w:rsidR="0016359A" w:rsidRPr="00E12A37" w14:paraId="563EF039" w14:textId="77777777" w:rsidTr="00695792">
        <w:trPr>
          <w:trHeight w:val="20"/>
          <w:tblHeader/>
          <w:jc w:val="center"/>
        </w:trPr>
        <w:tc>
          <w:tcPr>
            <w:tcW w:w="4555" w:type="dxa"/>
            <w:tcBorders>
              <w:top w:val="nil"/>
              <w:bottom w:val="nil"/>
              <w:right w:val="nil"/>
            </w:tcBorders>
          </w:tcPr>
          <w:p w14:paraId="4059675F"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Patients in 3</w:t>
            </w:r>
            <w:r w:rsidRPr="00E12A37">
              <w:rPr>
                <w:rFonts w:ascii="Arial" w:hAnsi="Arial" w:cs="Arial"/>
                <w:szCs w:val="20"/>
                <w:vertAlign w:val="superscript"/>
              </w:rPr>
              <w:t>rd</w:t>
            </w:r>
            <w:r w:rsidRPr="00E12A37">
              <w:rPr>
                <w:rFonts w:ascii="Arial" w:hAnsi="Arial" w:cs="Arial"/>
                <w:szCs w:val="20"/>
              </w:rPr>
              <w:t xml:space="preserve"> CR</w:t>
            </w:r>
          </w:p>
        </w:tc>
        <w:tc>
          <w:tcPr>
            <w:tcW w:w="2625" w:type="dxa"/>
            <w:tcBorders>
              <w:top w:val="nil"/>
              <w:left w:val="nil"/>
              <w:bottom w:val="nil"/>
            </w:tcBorders>
            <w:vAlign w:val="center"/>
          </w:tcPr>
          <w:p w14:paraId="40DF6BFF"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2 (1.7)</w:t>
            </w:r>
          </w:p>
        </w:tc>
      </w:tr>
      <w:tr w:rsidR="0016359A" w:rsidRPr="00E12A37" w14:paraId="6B085B02" w14:textId="77777777" w:rsidTr="00695792">
        <w:trPr>
          <w:trHeight w:val="20"/>
          <w:tblHeader/>
          <w:jc w:val="center"/>
        </w:trPr>
        <w:tc>
          <w:tcPr>
            <w:tcW w:w="4555" w:type="dxa"/>
            <w:tcBorders>
              <w:top w:val="nil"/>
              <w:bottom w:val="nil"/>
              <w:right w:val="nil"/>
            </w:tcBorders>
          </w:tcPr>
          <w:p w14:paraId="4792ABB3" w14:textId="77777777" w:rsidR="0016359A" w:rsidRPr="00E12A37" w:rsidRDefault="0016359A" w:rsidP="00695792">
            <w:pPr>
              <w:pStyle w:val="TableTextLeft"/>
              <w:keepNext w:val="0"/>
              <w:tabs>
                <w:tab w:val="left" w:pos="372"/>
              </w:tabs>
              <w:rPr>
                <w:rFonts w:ascii="Arial" w:hAnsi="Arial" w:cs="Arial"/>
                <w:szCs w:val="20"/>
              </w:rPr>
            </w:pPr>
            <w:r w:rsidRPr="00E12A37">
              <w:rPr>
                <w:rFonts w:ascii="Arial" w:hAnsi="Arial" w:cs="Arial"/>
                <w:szCs w:val="20"/>
              </w:rPr>
              <w:t xml:space="preserve">MRD level at baseline* </w:t>
            </w:r>
          </w:p>
        </w:tc>
        <w:tc>
          <w:tcPr>
            <w:tcW w:w="2625" w:type="dxa"/>
            <w:tcBorders>
              <w:top w:val="nil"/>
              <w:left w:val="nil"/>
              <w:bottom w:val="nil"/>
            </w:tcBorders>
            <w:vAlign w:val="center"/>
          </w:tcPr>
          <w:p w14:paraId="60D1C891" w14:textId="77777777" w:rsidR="0016359A" w:rsidRPr="00E12A37" w:rsidRDefault="0016359A" w:rsidP="00695792">
            <w:pPr>
              <w:pStyle w:val="TableTextCenter"/>
              <w:keepNext w:val="0"/>
              <w:rPr>
                <w:rFonts w:ascii="Arial" w:hAnsi="Arial" w:cs="Arial"/>
                <w:szCs w:val="20"/>
              </w:rPr>
            </w:pPr>
          </w:p>
        </w:tc>
      </w:tr>
      <w:tr w:rsidR="0016359A" w:rsidRPr="00E12A37" w14:paraId="2BBFEC94" w14:textId="77777777" w:rsidTr="00695792">
        <w:trPr>
          <w:trHeight w:val="20"/>
          <w:tblHeader/>
          <w:jc w:val="center"/>
        </w:trPr>
        <w:tc>
          <w:tcPr>
            <w:tcW w:w="4555" w:type="dxa"/>
            <w:tcBorders>
              <w:top w:val="nil"/>
              <w:bottom w:val="nil"/>
              <w:right w:val="nil"/>
            </w:tcBorders>
          </w:tcPr>
          <w:p w14:paraId="3A9850FD"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 10</w:t>
            </w:r>
            <w:r w:rsidRPr="00E12A37">
              <w:rPr>
                <w:rFonts w:ascii="Arial" w:hAnsi="Arial" w:cs="Arial"/>
                <w:szCs w:val="20"/>
                <w:vertAlign w:val="superscript"/>
              </w:rPr>
              <w:t>-1</w:t>
            </w:r>
            <w:r w:rsidRPr="00E12A37">
              <w:rPr>
                <w:rFonts w:ascii="Arial" w:hAnsi="Arial" w:cs="Arial"/>
                <w:szCs w:val="20"/>
              </w:rPr>
              <w:t xml:space="preserve"> and &lt; 1</w:t>
            </w:r>
          </w:p>
        </w:tc>
        <w:tc>
          <w:tcPr>
            <w:tcW w:w="2625" w:type="dxa"/>
            <w:tcBorders>
              <w:top w:val="nil"/>
              <w:left w:val="nil"/>
              <w:bottom w:val="nil"/>
            </w:tcBorders>
            <w:vAlign w:val="center"/>
          </w:tcPr>
          <w:p w14:paraId="0067DE18"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9 (7.8)</w:t>
            </w:r>
          </w:p>
        </w:tc>
      </w:tr>
      <w:tr w:rsidR="0016359A" w:rsidRPr="00E12A37" w14:paraId="28266EB1" w14:textId="77777777" w:rsidTr="00695792">
        <w:trPr>
          <w:trHeight w:val="20"/>
          <w:tblHeader/>
          <w:jc w:val="center"/>
        </w:trPr>
        <w:tc>
          <w:tcPr>
            <w:tcW w:w="4555" w:type="dxa"/>
            <w:tcBorders>
              <w:top w:val="nil"/>
              <w:bottom w:val="nil"/>
              <w:right w:val="nil"/>
            </w:tcBorders>
          </w:tcPr>
          <w:p w14:paraId="7CE3A389"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 10</w:t>
            </w:r>
            <w:r w:rsidRPr="00E12A37">
              <w:rPr>
                <w:rFonts w:ascii="Arial" w:hAnsi="Arial" w:cs="Arial"/>
                <w:szCs w:val="20"/>
                <w:vertAlign w:val="superscript"/>
              </w:rPr>
              <w:t>-2</w:t>
            </w:r>
            <w:r w:rsidRPr="00E12A37">
              <w:rPr>
                <w:rFonts w:ascii="Arial" w:hAnsi="Arial" w:cs="Arial"/>
                <w:szCs w:val="20"/>
              </w:rPr>
              <w:t xml:space="preserve"> and &lt; 10</w:t>
            </w:r>
            <w:r w:rsidRPr="00E12A37">
              <w:rPr>
                <w:rFonts w:ascii="Arial" w:hAnsi="Arial" w:cs="Arial"/>
                <w:szCs w:val="20"/>
                <w:vertAlign w:val="superscript"/>
              </w:rPr>
              <w:t>-1</w:t>
            </w:r>
          </w:p>
        </w:tc>
        <w:tc>
          <w:tcPr>
            <w:tcW w:w="2625" w:type="dxa"/>
            <w:tcBorders>
              <w:top w:val="nil"/>
              <w:left w:val="nil"/>
              <w:bottom w:val="nil"/>
            </w:tcBorders>
            <w:vAlign w:val="center"/>
          </w:tcPr>
          <w:p w14:paraId="4405A8B8"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45 (38.8)</w:t>
            </w:r>
          </w:p>
        </w:tc>
      </w:tr>
      <w:tr w:rsidR="0016359A" w:rsidRPr="00E12A37" w14:paraId="027A2ACD" w14:textId="77777777" w:rsidTr="00695792">
        <w:trPr>
          <w:trHeight w:val="20"/>
          <w:tblHeader/>
          <w:jc w:val="center"/>
        </w:trPr>
        <w:tc>
          <w:tcPr>
            <w:tcW w:w="4555" w:type="dxa"/>
            <w:tcBorders>
              <w:top w:val="nil"/>
              <w:bottom w:val="nil"/>
              <w:right w:val="nil"/>
            </w:tcBorders>
          </w:tcPr>
          <w:p w14:paraId="65713997"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 10</w:t>
            </w:r>
            <w:r w:rsidRPr="00E12A37">
              <w:rPr>
                <w:rFonts w:ascii="Arial" w:hAnsi="Arial" w:cs="Arial"/>
                <w:szCs w:val="20"/>
                <w:vertAlign w:val="superscript"/>
              </w:rPr>
              <w:t>-3</w:t>
            </w:r>
            <w:r w:rsidRPr="00E12A37">
              <w:rPr>
                <w:rFonts w:ascii="Arial" w:hAnsi="Arial" w:cs="Arial"/>
                <w:szCs w:val="20"/>
              </w:rPr>
              <w:t xml:space="preserve"> and &lt; 10</w:t>
            </w:r>
            <w:r w:rsidRPr="00E12A37">
              <w:rPr>
                <w:rFonts w:ascii="Arial" w:hAnsi="Arial" w:cs="Arial"/>
                <w:szCs w:val="20"/>
                <w:vertAlign w:val="superscript"/>
              </w:rPr>
              <w:t>-2</w:t>
            </w:r>
          </w:p>
        </w:tc>
        <w:tc>
          <w:tcPr>
            <w:tcW w:w="2625" w:type="dxa"/>
            <w:tcBorders>
              <w:top w:val="nil"/>
              <w:left w:val="nil"/>
              <w:bottom w:val="nil"/>
            </w:tcBorders>
            <w:vAlign w:val="center"/>
          </w:tcPr>
          <w:p w14:paraId="43BB4606"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52 (44.8)</w:t>
            </w:r>
          </w:p>
        </w:tc>
      </w:tr>
      <w:tr w:rsidR="0016359A" w:rsidRPr="00E12A37" w14:paraId="72D1A7FB" w14:textId="77777777" w:rsidTr="00695792">
        <w:trPr>
          <w:trHeight w:val="20"/>
          <w:tblHeader/>
          <w:jc w:val="center"/>
        </w:trPr>
        <w:tc>
          <w:tcPr>
            <w:tcW w:w="4555" w:type="dxa"/>
            <w:tcBorders>
              <w:top w:val="nil"/>
              <w:bottom w:val="nil"/>
              <w:right w:val="nil"/>
            </w:tcBorders>
          </w:tcPr>
          <w:p w14:paraId="23C8AD0D"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&lt; 10</w:t>
            </w:r>
            <w:r w:rsidRPr="00E12A37">
              <w:rPr>
                <w:rFonts w:ascii="Arial" w:hAnsi="Arial" w:cs="Arial"/>
                <w:szCs w:val="20"/>
                <w:vertAlign w:val="superscript"/>
              </w:rPr>
              <w:t>-3</w:t>
            </w:r>
          </w:p>
        </w:tc>
        <w:tc>
          <w:tcPr>
            <w:tcW w:w="2625" w:type="dxa"/>
            <w:tcBorders>
              <w:top w:val="nil"/>
              <w:left w:val="nil"/>
              <w:bottom w:val="nil"/>
            </w:tcBorders>
            <w:vAlign w:val="center"/>
          </w:tcPr>
          <w:p w14:paraId="64A39680"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3 (2.6)</w:t>
            </w:r>
          </w:p>
        </w:tc>
      </w:tr>
      <w:tr w:rsidR="0016359A" w:rsidRPr="00E12A37" w14:paraId="5BC95E49" w14:textId="77777777" w:rsidTr="00695792">
        <w:trPr>
          <w:trHeight w:val="20"/>
          <w:tblHeader/>
          <w:jc w:val="center"/>
        </w:trPr>
        <w:tc>
          <w:tcPr>
            <w:tcW w:w="4555" w:type="dxa"/>
            <w:tcBorders>
              <w:top w:val="nil"/>
              <w:bottom w:val="nil"/>
              <w:right w:val="nil"/>
            </w:tcBorders>
          </w:tcPr>
          <w:p w14:paraId="70262F35"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Below Lower Limit of Quantification</w:t>
            </w:r>
          </w:p>
        </w:tc>
        <w:tc>
          <w:tcPr>
            <w:tcW w:w="2625" w:type="dxa"/>
            <w:tcBorders>
              <w:top w:val="nil"/>
              <w:left w:val="nil"/>
              <w:bottom w:val="nil"/>
            </w:tcBorders>
            <w:vAlign w:val="center"/>
          </w:tcPr>
          <w:p w14:paraId="03EDFB2B"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5 (4.3)</w:t>
            </w:r>
          </w:p>
        </w:tc>
      </w:tr>
      <w:tr w:rsidR="0016359A" w:rsidRPr="00E12A37" w14:paraId="27F503AB" w14:textId="77777777" w:rsidTr="009C4DAC">
        <w:trPr>
          <w:trHeight w:val="20"/>
          <w:tblHeader/>
          <w:jc w:val="center"/>
        </w:trPr>
        <w:tc>
          <w:tcPr>
            <w:tcW w:w="4555" w:type="dxa"/>
            <w:tcBorders>
              <w:top w:val="nil"/>
              <w:bottom w:val="single" w:sz="8" w:space="0" w:color="auto"/>
              <w:right w:val="nil"/>
            </w:tcBorders>
          </w:tcPr>
          <w:p w14:paraId="5733032A" w14:textId="77777777" w:rsidR="0016359A" w:rsidRPr="00E12A37" w:rsidRDefault="0016359A" w:rsidP="00695792">
            <w:pPr>
              <w:pStyle w:val="TableTextLeft"/>
              <w:keepNext w:val="0"/>
              <w:tabs>
                <w:tab w:val="left" w:pos="372"/>
              </w:tabs>
              <w:ind w:left="720"/>
              <w:rPr>
                <w:rFonts w:ascii="Arial" w:hAnsi="Arial" w:cs="Arial"/>
                <w:szCs w:val="20"/>
              </w:rPr>
            </w:pPr>
            <w:r w:rsidRPr="00E12A37">
              <w:rPr>
                <w:rFonts w:ascii="Arial" w:hAnsi="Arial" w:cs="Arial"/>
                <w:szCs w:val="20"/>
              </w:rPr>
              <w:t>Unknown</w:t>
            </w:r>
          </w:p>
        </w:tc>
        <w:tc>
          <w:tcPr>
            <w:tcW w:w="2625" w:type="dxa"/>
            <w:tcBorders>
              <w:top w:val="nil"/>
              <w:left w:val="nil"/>
              <w:bottom w:val="single" w:sz="8" w:space="0" w:color="auto"/>
            </w:tcBorders>
            <w:vAlign w:val="center"/>
          </w:tcPr>
          <w:p w14:paraId="5B0D4AA2" w14:textId="77777777" w:rsidR="0016359A" w:rsidRPr="00E12A37" w:rsidRDefault="0016359A" w:rsidP="00695792">
            <w:pPr>
              <w:pStyle w:val="TableTextCenter"/>
              <w:keepNext w:val="0"/>
              <w:rPr>
                <w:rFonts w:ascii="Arial" w:hAnsi="Arial" w:cs="Arial"/>
                <w:szCs w:val="20"/>
              </w:rPr>
            </w:pPr>
            <w:r w:rsidRPr="00E12A37">
              <w:rPr>
                <w:rFonts w:ascii="Arial" w:hAnsi="Arial" w:cs="Arial"/>
                <w:szCs w:val="20"/>
              </w:rPr>
              <w:t>2 (1.7)</w:t>
            </w:r>
          </w:p>
        </w:tc>
      </w:tr>
      <w:tr w:rsidR="0016359A" w:rsidRPr="00384C38" w14:paraId="28D2B76D" w14:textId="77777777" w:rsidTr="009C4DAC">
        <w:trPr>
          <w:trHeight w:val="20"/>
          <w:tblHeader/>
          <w:jc w:val="center"/>
        </w:trPr>
        <w:tc>
          <w:tcPr>
            <w:tcW w:w="7180" w:type="dxa"/>
            <w:gridSpan w:val="2"/>
            <w:tcBorders>
              <w:top w:val="single" w:sz="8" w:space="0" w:color="auto"/>
              <w:left w:val="nil"/>
              <w:bottom w:val="nil"/>
              <w:right w:val="nil"/>
            </w:tcBorders>
          </w:tcPr>
          <w:p w14:paraId="180F3E3B" w14:textId="77777777" w:rsidR="0016359A" w:rsidRDefault="0016359A" w:rsidP="00695792">
            <w:pPr>
              <w:pStyle w:val="SynopsisIndent"/>
              <w:keepNext/>
              <w:keepLines/>
              <w:spacing w:after="0"/>
              <w:ind w:left="720" w:hanging="720"/>
              <w:rPr>
                <w:rFonts w:ascii="Arial" w:hAnsi="Arial" w:cs="Arial"/>
                <w:b w:val="0"/>
                <w:sz w:val="18"/>
                <w:szCs w:val="18"/>
              </w:rPr>
            </w:pPr>
            <w:r w:rsidRPr="00E4735F">
              <w:rPr>
                <w:rFonts w:ascii="Arial" w:hAnsi="Arial" w:cs="Arial"/>
                <w:b w:val="0"/>
                <w:bCs w:val="0"/>
                <w:sz w:val="18"/>
                <w:szCs w:val="18"/>
              </w:rPr>
              <w:t xml:space="preserve">* Centrally assessed </w:t>
            </w:r>
            <w:r w:rsidRPr="00E4735F">
              <w:rPr>
                <w:rFonts w:ascii="Arial" w:hAnsi="Arial" w:cs="Arial"/>
                <w:b w:val="0"/>
                <w:sz w:val="18"/>
                <w:szCs w:val="18"/>
              </w:rPr>
              <w:t>in an assay with minimum sensitivity of 10</w:t>
            </w:r>
            <w:r w:rsidRPr="00E4735F">
              <w:rPr>
                <w:rFonts w:ascii="Arial" w:hAnsi="Arial" w:cs="Arial"/>
                <w:b w:val="0"/>
                <w:sz w:val="18"/>
                <w:szCs w:val="18"/>
                <w:vertAlign w:val="superscript"/>
              </w:rPr>
              <w:t>-4</w:t>
            </w:r>
          </w:p>
          <w:p w14:paraId="7D9A704A" w14:textId="37537729" w:rsidR="0016359A" w:rsidRPr="00384C38" w:rsidRDefault="0016359A" w:rsidP="00695792">
            <w:pPr>
              <w:pStyle w:val="SynopsisIndent"/>
              <w:keepNext/>
              <w:keepLines/>
              <w:spacing w:after="0"/>
              <w:ind w:left="720" w:hanging="720"/>
              <w:rPr>
                <w:rFonts w:ascii="Arial" w:hAnsi="Arial" w:cs="Arial"/>
                <w:b w:val="0"/>
                <w:bCs w:val="0"/>
                <w:sz w:val="18"/>
                <w:szCs w:val="18"/>
              </w:rPr>
            </w:pPr>
          </w:p>
        </w:tc>
      </w:tr>
    </w:tbl>
    <w:p w14:paraId="6397D611" w14:textId="7B53DA50" w:rsidR="007D43DB" w:rsidRDefault="007D43DB" w:rsidP="007D43DB">
      <w:pPr>
        <w:autoSpaceDE w:val="0"/>
        <w:autoSpaceDN w:val="0"/>
        <w:adjustRightInd w:val="0"/>
        <w:spacing w:before="120" w:afterLines="120" w:after="288" w:line="360" w:lineRule="auto"/>
        <w:rPr>
          <w:rFonts w:ascii="Arial" w:hAnsi="Arial" w:cs="Arial"/>
        </w:rPr>
      </w:pPr>
      <w:r w:rsidRPr="00324FFD">
        <w:rPr>
          <w:rFonts w:ascii="Arial" w:hAnsi="Arial" w:cs="Arial"/>
        </w:rPr>
        <w:t xml:space="preserve">The primary endpoint was the proportion of patients who achieved a complete MRD response within one cycle of </w:t>
      </w:r>
      <w:proofErr w:type="spellStart"/>
      <w:r w:rsidRPr="00324FFD">
        <w:rPr>
          <w:rFonts w:ascii="Arial" w:hAnsi="Arial" w:cs="Arial"/>
        </w:rPr>
        <w:t>B</w:t>
      </w:r>
      <w:r>
        <w:rPr>
          <w:rFonts w:ascii="Arial" w:hAnsi="Arial" w:cs="Arial"/>
        </w:rPr>
        <w:t>lincyto</w:t>
      </w:r>
      <w:proofErr w:type="spellEnd"/>
      <w:r w:rsidRPr="00324FFD">
        <w:rPr>
          <w:rFonts w:ascii="Arial" w:hAnsi="Arial" w:cs="Arial"/>
        </w:rPr>
        <w:t xml:space="preserve"> treatment. Eighty-eight out of 113 (77.9%) patients achieved a complete MRD respons</w:t>
      </w:r>
      <w:r>
        <w:rPr>
          <w:rFonts w:ascii="Arial" w:hAnsi="Arial" w:cs="Arial"/>
        </w:rPr>
        <w:t xml:space="preserve">e after one cycle of treatment. </w:t>
      </w:r>
      <w:r w:rsidRPr="00324FFD">
        <w:rPr>
          <w:rFonts w:ascii="Arial" w:hAnsi="Arial" w:cs="Arial"/>
        </w:rPr>
        <w:t>MRD response rates by age and MRD level at baseline subgroups were consistent with the resu</w:t>
      </w:r>
      <w:r>
        <w:rPr>
          <w:rFonts w:ascii="Arial" w:hAnsi="Arial" w:cs="Arial"/>
        </w:rPr>
        <w:t>lts in the overall population. See Table</w:t>
      </w:r>
      <w:r w:rsidR="00F06D0D">
        <w:rPr>
          <w:rFonts w:ascii="Arial" w:hAnsi="Arial" w:cs="Arial"/>
        </w:rPr>
        <w:t> 15</w:t>
      </w:r>
      <w:r>
        <w:rPr>
          <w:rFonts w:ascii="Arial" w:hAnsi="Arial" w:cs="Arial"/>
        </w:rPr>
        <w:t xml:space="preserve"> and Figures</w:t>
      </w:r>
      <w:r w:rsidR="00F06D0D">
        <w:rPr>
          <w:rFonts w:ascii="Arial" w:hAnsi="Arial" w:cs="Arial"/>
        </w:rPr>
        <w:t> </w:t>
      </w:r>
      <w:r w:rsidRPr="00FA1C6C">
        <w:rPr>
          <w:rFonts w:ascii="Arial" w:hAnsi="Arial" w:cs="Arial"/>
          <w:color w:val="000000" w:themeColor="text1"/>
        </w:rPr>
        <w:t>4</w:t>
      </w:r>
      <w:r w:rsidR="0016359A" w:rsidRPr="00FA1C6C">
        <w:rPr>
          <w:rFonts w:ascii="Arial" w:hAnsi="Arial" w:cs="Arial"/>
          <w:color w:val="000000" w:themeColor="text1"/>
        </w:rPr>
        <w:t xml:space="preserve"> to</w:t>
      </w:r>
      <w:r w:rsidR="0016359A" w:rsidRPr="000C0E7F">
        <w:rPr>
          <w:rFonts w:ascii="Arial" w:hAnsi="Arial" w:cs="Arial"/>
          <w:color w:val="000000" w:themeColor="text1"/>
        </w:rPr>
        <w:t xml:space="preserve"> </w:t>
      </w:r>
      <w:r>
        <w:rPr>
          <w:rFonts w:ascii="Arial" w:hAnsi="Arial" w:cs="Arial"/>
        </w:rPr>
        <w:t>6 below for efficacy results from Study</w:t>
      </w:r>
      <w:r w:rsidR="00F06D0D">
        <w:rPr>
          <w:rFonts w:ascii="Arial" w:hAnsi="Arial" w:cs="Arial"/>
        </w:rPr>
        <w:t> </w:t>
      </w:r>
      <w:r w:rsidR="00FA1C6C">
        <w:rPr>
          <w:rFonts w:ascii="Arial" w:hAnsi="Arial" w:cs="Arial"/>
        </w:rPr>
        <w:t>5</w:t>
      </w:r>
      <w:r>
        <w:rPr>
          <w:rFonts w:ascii="Arial" w:hAnsi="Arial" w:cs="Arial"/>
        </w:rPr>
        <w:t>.</w:t>
      </w:r>
    </w:p>
    <w:p w14:paraId="52FC3865" w14:textId="5AEB1CE8" w:rsidR="007D43DB" w:rsidRPr="00FA1C6C" w:rsidRDefault="00F06D0D" w:rsidP="00BB029B">
      <w:pPr>
        <w:pStyle w:val="Caption"/>
        <w:rPr>
          <w:color w:val="000000" w:themeColor="text1"/>
        </w:rPr>
      </w:pPr>
      <w:r>
        <w:lastRenderedPageBreak/>
        <w:t>Table 15</w:t>
      </w:r>
      <w:r w:rsidR="007D43DB" w:rsidRPr="00FA1C6C">
        <w:rPr>
          <w:color w:val="000000" w:themeColor="text1"/>
        </w:rPr>
        <w:t xml:space="preserve">. </w:t>
      </w:r>
      <w:r w:rsidR="009D14BE" w:rsidRPr="00FA1C6C">
        <w:rPr>
          <w:color w:val="000000" w:themeColor="text1"/>
        </w:rPr>
        <w:t xml:space="preserve"> </w:t>
      </w:r>
      <w:r w:rsidR="0016359A" w:rsidRPr="00FA1C6C">
        <w:rPr>
          <w:bCs/>
          <w:color w:val="000000" w:themeColor="text1"/>
        </w:rPr>
        <w:t xml:space="preserve">Efficacy Results in Patients </w:t>
      </w:r>
      <w:r w:rsidR="0016359A" w:rsidRPr="00FA1C6C">
        <w:rPr>
          <w:color w:val="000000" w:themeColor="text1"/>
        </w:rPr>
        <w:t>≥ 18 Years</w:t>
      </w:r>
      <w:r w:rsidR="0016359A" w:rsidRPr="00FA1C6C">
        <w:rPr>
          <w:bCs/>
          <w:color w:val="000000" w:themeColor="text1"/>
        </w:rPr>
        <w:t xml:space="preserve"> of Age With MRD </w:t>
      </w:r>
      <w:r w:rsidR="0016359A" w:rsidRPr="00FA1C6C">
        <w:rPr>
          <w:color w:val="000000" w:themeColor="text1"/>
        </w:rPr>
        <w:t>Positive B-Cell Precursor ALL</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1"/>
        <w:gridCol w:w="3058"/>
      </w:tblGrid>
      <w:tr w:rsidR="0016359A" w:rsidRPr="005F64A2" w14:paraId="38DB67F5" w14:textId="77777777" w:rsidTr="00695792">
        <w:trPr>
          <w:jc w:val="center"/>
        </w:trPr>
        <w:tc>
          <w:tcPr>
            <w:tcW w:w="5571" w:type="dxa"/>
            <w:tcBorders>
              <w:top w:val="single" w:sz="4" w:space="0" w:color="auto"/>
              <w:bottom w:val="nil"/>
              <w:right w:val="nil"/>
            </w:tcBorders>
          </w:tcPr>
          <w:p w14:paraId="56ACB4E0"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 xml:space="preserve">Complete MRD </w:t>
            </w:r>
            <w:proofErr w:type="spellStart"/>
            <w:r w:rsidRPr="005F64A2">
              <w:rPr>
                <w:rFonts w:ascii="Arial" w:hAnsi="Arial" w:cs="Arial"/>
                <w:sz w:val="20"/>
                <w:szCs w:val="20"/>
              </w:rPr>
              <w:t>response</w:t>
            </w:r>
            <w:r w:rsidRPr="005F64A2">
              <w:rPr>
                <w:rFonts w:ascii="Arial" w:hAnsi="Arial" w:cs="Arial"/>
                <w:sz w:val="20"/>
                <w:szCs w:val="20"/>
                <w:vertAlign w:val="superscript"/>
              </w:rPr>
              <w:t>a</w:t>
            </w:r>
            <w:proofErr w:type="spellEnd"/>
            <w:r w:rsidRPr="005F64A2">
              <w:rPr>
                <w:rFonts w:ascii="Arial" w:hAnsi="Arial" w:cs="Arial"/>
                <w:sz w:val="20"/>
                <w:szCs w:val="20"/>
              </w:rPr>
              <w:t>, n/N (%), [95% CI]</w:t>
            </w:r>
          </w:p>
        </w:tc>
        <w:tc>
          <w:tcPr>
            <w:tcW w:w="3058" w:type="dxa"/>
            <w:tcBorders>
              <w:top w:val="single" w:sz="4" w:space="0" w:color="auto"/>
              <w:left w:val="nil"/>
              <w:bottom w:val="nil"/>
            </w:tcBorders>
          </w:tcPr>
          <w:p w14:paraId="3AA3CC25"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88/113 (77.9) [69.1, 85.1]</w:t>
            </w:r>
          </w:p>
        </w:tc>
      </w:tr>
      <w:tr w:rsidR="0016359A" w:rsidRPr="005F64A2" w14:paraId="030D1D7A" w14:textId="77777777" w:rsidTr="00695792">
        <w:trPr>
          <w:trHeight w:val="305"/>
          <w:jc w:val="center"/>
        </w:trPr>
        <w:tc>
          <w:tcPr>
            <w:tcW w:w="5571" w:type="dxa"/>
            <w:tcBorders>
              <w:top w:val="nil"/>
              <w:bottom w:val="nil"/>
              <w:right w:val="nil"/>
            </w:tcBorders>
          </w:tcPr>
          <w:p w14:paraId="542FE48A"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ab/>
              <w:t>≥ 65 years, n/N (%), [95% CI]</w:t>
            </w:r>
          </w:p>
        </w:tc>
        <w:tc>
          <w:tcPr>
            <w:tcW w:w="3058" w:type="dxa"/>
            <w:tcBorders>
              <w:top w:val="nil"/>
              <w:left w:val="nil"/>
              <w:bottom w:val="nil"/>
            </w:tcBorders>
          </w:tcPr>
          <w:p w14:paraId="4C5F675C"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12/15 (80.0) [51.9, 95.7]</w:t>
            </w:r>
          </w:p>
        </w:tc>
      </w:tr>
      <w:tr w:rsidR="0016359A" w:rsidRPr="005F64A2" w14:paraId="1B4F8B13" w14:textId="77777777" w:rsidTr="00695792">
        <w:trPr>
          <w:trHeight w:val="305"/>
          <w:jc w:val="center"/>
        </w:trPr>
        <w:tc>
          <w:tcPr>
            <w:tcW w:w="5571" w:type="dxa"/>
            <w:tcBorders>
              <w:top w:val="nil"/>
              <w:bottom w:val="nil"/>
              <w:right w:val="nil"/>
            </w:tcBorders>
          </w:tcPr>
          <w:p w14:paraId="293077C3"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ab/>
              <w:t>Patients in 1</w:t>
            </w:r>
            <w:r w:rsidRPr="005F64A2">
              <w:rPr>
                <w:rFonts w:ascii="Arial" w:hAnsi="Arial" w:cs="Arial"/>
                <w:sz w:val="20"/>
                <w:szCs w:val="20"/>
                <w:vertAlign w:val="superscript"/>
              </w:rPr>
              <w:t>st</w:t>
            </w:r>
            <w:r w:rsidRPr="005F64A2">
              <w:rPr>
                <w:rFonts w:ascii="Arial" w:hAnsi="Arial" w:cs="Arial"/>
                <w:sz w:val="20"/>
                <w:szCs w:val="20"/>
              </w:rPr>
              <w:t xml:space="preserve"> CR, n/N (%), [95% CI]</w:t>
            </w:r>
          </w:p>
        </w:tc>
        <w:tc>
          <w:tcPr>
            <w:tcW w:w="3058" w:type="dxa"/>
            <w:tcBorders>
              <w:top w:val="nil"/>
              <w:left w:val="nil"/>
              <w:bottom w:val="nil"/>
            </w:tcBorders>
          </w:tcPr>
          <w:p w14:paraId="436F2E49"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60/73 (82.2) [71.5, 90.2]</w:t>
            </w:r>
          </w:p>
        </w:tc>
      </w:tr>
      <w:tr w:rsidR="0016359A" w:rsidRPr="005F64A2" w14:paraId="6E776A64" w14:textId="77777777" w:rsidTr="00695792">
        <w:trPr>
          <w:trHeight w:val="305"/>
          <w:jc w:val="center"/>
        </w:trPr>
        <w:tc>
          <w:tcPr>
            <w:tcW w:w="5571" w:type="dxa"/>
            <w:tcBorders>
              <w:top w:val="nil"/>
              <w:bottom w:val="nil"/>
              <w:right w:val="nil"/>
            </w:tcBorders>
          </w:tcPr>
          <w:p w14:paraId="55972899"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ab/>
              <w:t>Patients in 2</w:t>
            </w:r>
            <w:r w:rsidRPr="005F64A2">
              <w:rPr>
                <w:rFonts w:ascii="Arial" w:hAnsi="Arial" w:cs="Arial"/>
                <w:sz w:val="20"/>
                <w:szCs w:val="20"/>
                <w:vertAlign w:val="superscript"/>
              </w:rPr>
              <w:t>nd</w:t>
            </w:r>
            <w:r w:rsidRPr="005F64A2">
              <w:rPr>
                <w:rFonts w:ascii="Arial" w:hAnsi="Arial" w:cs="Arial"/>
                <w:sz w:val="20"/>
                <w:szCs w:val="20"/>
              </w:rPr>
              <w:t xml:space="preserve"> CR, n/N (%), [95% CI]</w:t>
            </w:r>
          </w:p>
        </w:tc>
        <w:tc>
          <w:tcPr>
            <w:tcW w:w="3058" w:type="dxa"/>
            <w:tcBorders>
              <w:top w:val="nil"/>
              <w:left w:val="nil"/>
              <w:bottom w:val="nil"/>
            </w:tcBorders>
          </w:tcPr>
          <w:p w14:paraId="22FD677A"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27/38 (71.1) [54.1, 84.6]</w:t>
            </w:r>
          </w:p>
        </w:tc>
      </w:tr>
      <w:tr w:rsidR="0016359A" w:rsidRPr="005F64A2" w14:paraId="2F4A6723" w14:textId="77777777" w:rsidTr="00695792">
        <w:trPr>
          <w:trHeight w:val="305"/>
          <w:jc w:val="center"/>
        </w:trPr>
        <w:tc>
          <w:tcPr>
            <w:tcW w:w="5571" w:type="dxa"/>
            <w:tcBorders>
              <w:top w:val="nil"/>
              <w:bottom w:val="nil"/>
              <w:right w:val="nil"/>
            </w:tcBorders>
          </w:tcPr>
          <w:p w14:paraId="76396B92"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ab/>
              <w:t>Patients in 3</w:t>
            </w:r>
            <w:r w:rsidRPr="005F64A2">
              <w:rPr>
                <w:rFonts w:ascii="Arial" w:hAnsi="Arial" w:cs="Arial"/>
                <w:sz w:val="20"/>
                <w:szCs w:val="20"/>
                <w:vertAlign w:val="superscript"/>
              </w:rPr>
              <w:t>rd</w:t>
            </w:r>
            <w:r w:rsidRPr="005F64A2">
              <w:rPr>
                <w:rFonts w:ascii="Arial" w:hAnsi="Arial" w:cs="Arial"/>
                <w:sz w:val="20"/>
                <w:szCs w:val="20"/>
              </w:rPr>
              <w:t xml:space="preserve"> CR, n/N (%), [95% CI]</w:t>
            </w:r>
          </w:p>
        </w:tc>
        <w:tc>
          <w:tcPr>
            <w:tcW w:w="3058" w:type="dxa"/>
            <w:tcBorders>
              <w:top w:val="nil"/>
              <w:left w:val="nil"/>
              <w:bottom w:val="nil"/>
            </w:tcBorders>
          </w:tcPr>
          <w:p w14:paraId="13E0B9F3"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1/2 (50.0) [1.3, 98.7]</w:t>
            </w:r>
          </w:p>
        </w:tc>
      </w:tr>
      <w:tr w:rsidR="0016359A" w:rsidRPr="005F64A2" w14:paraId="156FD886" w14:textId="77777777" w:rsidTr="00695792">
        <w:trPr>
          <w:trHeight w:val="305"/>
          <w:jc w:val="center"/>
        </w:trPr>
        <w:tc>
          <w:tcPr>
            <w:tcW w:w="5571" w:type="dxa"/>
            <w:tcBorders>
              <w:top w:val="nil"/>
              <w:bottom w:val="nil"/>
              <w:right w:val="nil"/>
            </w:tcBorders>
          </w:tcPr>
          <w:p w14:paraId="5463649C" w14:textId="77777777" w:rsidR="0016359A" w:rsidRPr="005F64A2" w:rsidRDefault="0016359A" w:rsidP="00695792">
            <w:pPr>
              <w:keepNext/>
              <w:keepLines/>
              <w:spacing w:before="60" w:after="60"/>
              <w:rPr>
                <w:rFonts w:ascii="Arial" w:hAnsi="Arial" w:cs="Arial"/>
                <w:sz w:val="20"/>
                <w:szCs w:val="20"/>
              </w:rPr>
            </w:pPr>
            <w:proofErr w:type="spellStart"/>
            <w:r w:rsidRPr="005F64A2">
              <w:rPr>
                <w:rFonts w:ascii="Arial" w:hAnsi="Arial" w:cs="Arial"/>
                <w:sz w:val="20"/>
                <w:szCs w:val="20"/>
              </w:rPr>
              <w:t>Relapse</w:t>
            </w:r>
            <w:r w:rsidRPr="005F64A2">
              <w:rPr>
                <w:rFonts w:ascii="Arial" w:hAnsi="Arial" w:cs="Arial"/>
                <w:sz w:val="20"/>
                <w:szCs w:val="20"/>
                <w:vertAlign w:val="superscript"/>
              </w:rPr>
              <w:t>b</w:t>
            </w:r>
            <w:proofErr w:type="spellEnd"/>
            <w:r w:rsidRPr="005F64A2">
              <w:rPr>
                <w:rFonts w:ascii="Arial" w:hAnsi="Arial" w:cs="Arial"/>
                <w:sz w:val="20"/>
                <w:szCs w:val="20"/>
              </w:rPr>
              <w:t xml:space="preserve">-free survival at 18 months (censored at HSCT or chemotherapy after treatment with </w:t>
            </w:r>
            <w:proofErr w:type="spellStart"/>
            <w:r w:rsidRPr="005F64A2">
              <w:rPr>
                <w:rFonts w:ascii="Arial" w:hAnsi="Arial" w:cs="Arial"/>
                <w:sz w:val="20"/>
                <w:szCs w:val="20"/>
              </w:rPr>
              <w:t>Blincyto</w:t>
            </w:r>
            <w:proofErr w:type="spellEnd"/>
            <w:r w:rsidRPr="005F64A2">
              <w:rPr>
                <w:rFonts w:ascii="Arial" w:hAnsi="Arial" w:cs="Arial"/>
                <w:sz w:val="20"/>
                <w:szCs w:val="20"/>
              </w:rPr>
              <w:t xml:space="preserve"> [95% CI]</w:t>
            </w:r>
          </w:p>
        </w:tc>
        <w:tc>
          <w:tcPr>
            <w:tcW w:w="3058" w:type="dxa"/>
            <w:tcBorders>
              <w:top w:val="nil"/>
              <w:left w:val="nil"/>
              <w:bottom w:val="nil"/>
            </w:tcBorders>
          </w:tcPr>
          <w:p w14:paraId="041785AC"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54% [33%, 70%]</w:t>
            </w:r>
          </w:p>
        </w:tc>
      </w:tr>
      <w:tr w:rsidR="0016359A" w:rsidRPr="005F64A2" w14:paraId="3DA31742" w14:textId="77777777" w:rsidTr="00695792">
        <w:trPr>
          <w:trHeight w:val="305"/>
          <w:jc w:val="center"/>
        </w:trPr>
        <w:tc>
          <w:tcPr>
            <w:tcW w:w="5571" w:type="dxa"/>
            <w:tcBorders>
              <w:top w:val="nil"/>
              <w:bottom w:val="nil"/>
              <w:right w:val="nil"/>
            </w:tcBorders>
          </w:tcPr>
          <w:p w14:paraId="7ED259A1"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Median Relapse-free survival by MRD response at cycle 1</w:t>
            </w:r>
            <w:r w:rsidRPr="005F64A2">
              <w:rPr>
                <w:rFonts w:ascii="Arial" w:hAnsi="Arial" w:cs="Arial"/>
                <w:sz w:val="20"/>
                <w:szCs w:val="20"/>
                <w:vertAlign w:val="superscript"/>
              </w:rPr>
              <w:t>c</w:t>
            </w:r>
            <w:r w:rsidRPr="005F64A2">
              <w:rPr>
                <w:rFonts w:ascii="Arial" w:hAnsi="Arial" w:cs="Arial"/>
                <w:sz w:val="20"/>
                <w:szCs w:val="20"/>
              </w:rPr>
              <w:t xml:space="preserve"> </w:t>
            </w:r>
          </w:p>
        </w:tc>
        <w:tc>
          <w:tcPr>
            <w:tcW w:w="3058" w:type="dxa"/>
            <w:tcBorders>
              <w:top w:val="nil"/>
              <w:left w:val="nil"/>
              <w:bottom w:val="nil"/>
            </w:tcBorders>
          </w:tcPr>
          <w:p w14:paraId="66C5643B" w14:textId="77777777" w:rsidR="0016359A" w:rsidRPr="005F64A2" w:rsidRDefault="0016359A" w:rsidP="00695792">
            <w:pPr>
              <w:keepNext/>
              <w:keepLines/>
              <w:spacing w:before="60" w:after="60"/>
              <w:jc w:val="center"/>
              <w:rPr>
                <w:rFonts w:ascii="Arial" w:hAnsi="Arial" w:cs="Arial"/>
                <w:sz w:val="20"/>
                <w:szCs w:val="20"/>
              </w:rPr>
            </w:pPr>
          </w:p>
        </w:tc>
      </w:tr>
      <w:tr w:rsidR="0016359A" w:rsidRPr="005F64A2" w14:paraId="1EB836A2" w14:textId="77777777" w:rsidTr="00695792">
        <w:trPr>
          <w:trHeight w:val="305"/>
          <w:jc w:val="center"/>
        </w:trPr>
        <w:tc>
          <w:tcPr>
            <w:tcW w:w="5571" w:type="dxa"/>
            <w:tcBorders>
              <w:top w:val="nil"/>
              <w:bottom w:val="nil"/>
              <w:right w:val="nil"/>
            </w:tcBorders>
          </w:tcPr>
          <w:p w14:paraId="34C00110" w14:textId="77777777" w:rsidR="0016359A" w:rsidRPr="005F64A2" w:rsidRDefault="0016359A" w:rsidP="00695792">
            <w:pPr>
              <w:keepNext/>
              <w:keepLines/>
              <w:spacing w:before="60" w:after="60"/>
              <w:ind w:left="720"/>
              <w:rPr>
                <w:rFonts w:ascii="Arial" w:hAnsi="Arial" w:cs="Arial"/>
                <w:sz w:val="20"/>
                <w:szCs w:val="20"/>
              </w:rPr>
            </w:pPr>
            <w:r w:rsidRPr="005F64A2">
              <w:rPr>
                <w:rFonts w:ascii="Arial" w:hAnsi="Arial" w:cs="Arial"/>
                <w:sz w:val="20"/>
                <w:szCs w:val="20"/>
              </w:rPr>
              <w:t>MRD complete responder (N</w:t>
            </w:r>
            <w:r>
              <w:rPr>
                <w:rFonts w:ascii="Arial" w:hAnsi="Arial" w:cs="Arial"/>
                <w:sz w:val="20"/>
                <w:szCs w:val="20"/>
              </w:rPr>
              <w:t> </w:t>
            </w:r>
            <w:r w:rsidRPr="005F64A2">
              <w:rPr>
                <w:rFonts w:ascii="Arial" w:hAnsi="Arial" w:cs="Arial"/>
                <w:sz w:val="20"/>
                <w:szCs w:val="20"/>
              </w:rPr>
              <w:t>=</w:t>
            </w:r>
            <w:r>
              <w:rPr>
                <w:rFonts w:ascii="Arial" w:hAnsi="Arial" w:cs="Arial"/>
                <w:sz w:val="20"/>
                <w:szCs w:val="20"/>
              </w:rPr>
              <w:t> </w:t>
            </w:r>
            <w:r w:rsidRPr="005F64A2">
              <w:rPr>
                <w:rFonts w:ascii="Arial" w:hAnsi="Arial" w:cs="Arial"/>
                <w:sz w:val="20"/>
                <w:szCs w:val="20"/>
              </w:rPr>
              <w:t>85)</w:t>
            </w:r>
          </w:p>
        </w:tc>
        <w:tc>
          <w:tcPr>
            <w:tcW w:w="3058" w:type="dxa"/>
            <w:tcBorders>
              <w:top w:val="nil"/>
              <w:left w:val="nil"/>
              <w:bottom w:val="nil"/>
            </w:tcBorders>
          </w:tcPr>
          <w:p w14:paraId="44F5A498"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 xml:space="preserve">23.6 months [17.4, </w:t>
            </w:r>
            <w:proofErr w:type="spellStart"/>
            <w:r w:rsidRPr="005F64A2">
              <w:rPr>
                <w:rFonts w:ascii="Arial" w:hAnsi="Arial" w:cs="Arial"/>
                <w:sz w:val="20"/>
                <w:szCs w:val="20"/>
              </w:rPr>
              <w:t>NE</w:t>
            </w:r>
            <w:r w:rsidRPr="005F64A2">
              <w:rPr>
                <w:rFonts w:ascii="Arial" w:hAnsi="Arial" w:cs="Arial"/>
                <w:sz w:val="20"/>
                <w:szCs w:val="20"/>
                <w:vertAlign w:val="superscript"/>
              </w:rPr>
              <w:t>d</w:t>
            </w:r>
            <w:proofErr w:type="spellEnd"/>
            <w:r w:rsidRPr="005F64A2">
              <w:rPr>
                <w:rFonts w:ascii="Arial" w:hAnsi="Arial" w:cs="Arial"/>
                <w:sz w:val="20"/>
                <w:szCs w:val="20"/>
              </w:rPr>
              <w:t>]</w:t>
            </w:r>
          </w:p>
        </w:tc>
      </w:tr>
      <w:tr w:rsidR="0016359A" w:rsidRPr="005F64A2" w14:paraId="0DD99128" w14:textId="77777777" w:rsidTr="00695792">
        <w:trPr>
          <w:trHeight w:val="305"/>
          <w:jc w:val="center"/>
        </w:trPr>
        <w:tc>
          <w:tcPr>
            <w:tcW w:w="5571" w:type="dxa"/>
            <w:tcBorders>
              <w:top w:val="nil"/>
              <w:bottom w:val="nil"/>
              <w:right w:val="nil"/>
            </w:tcBorders>
          </w:tcPr>
          <w:p w14:paraId="1C14AF68" w14:textId="77777777" w:rsidR="0016359A" w:rsidRPr="005F64A2" w:rsidRDefault="0016359A" w:rsidP="00695792">
            <w:pPr>
              <w:keepNext/>
              <w:keepLines/>
              <w:spacing w:before="60" w:after="60"/>
              <w:ind w:left="720"/>
              <w:rPr>
                <w:rFonts w:ascii="Arial" w:hAnsi="Arial" w:cs="Arial"/>
                <w:sz w:val="20"/>
                <w:szCs w:val="20"/>
              </w:rPr>
            </w:pPr>
            <w:r w:rsidRPr="005F64A2">
              <w:rPr>
                <w:rFonts w:ascii="Arial" w:hAnsi="Arial" w:cs="Arial"/>
                <w:sz w:val="20"/>
                <w:szCs w:val="20"/>
              </w:rPr>
              <w:t>MRD non-responder (N</w:t>
            </w:r>
            <w:r>
              <w:rPr>
                <w:rFonts w:ascii="Arial" w:hAnsi="Arial" w:cs="Arial"/>
                <w:sz w:val="20"/>
                <w:szCs w:val="20"/>
              </w:rPr>
              <w:t> </w:t>
            </w:r>
            <w:r w:rsidRPr="005F64A2">
              <w:rPr>
                <w:rFonts w:ascii="Arial" w:hAnsi="Arial" w:cs="Arial"/>
                <w:sz w:val="20"/>
                <w:szCs w:val="20"/>
              </w:rPr>
              <w:t>=</w:t>
            </w:r>
            <w:r>
              <w:rPr>
                <w:rFonts w:ascii="Arial" w:hAnsi="Arial" w:cs="Arial"/>
                <w:sz w:val="20"/>
                <w:szCs w:val="20"/>
              </w:rPr>
              <w:t> </w:t>
            </w:r>
            <w:r w:rsidRPr="005F64A2">
              <w:rPr>
                <w:rFonts w:ascii="Arial" w:hAnsi="Arial" w:cs="Arial"/>
                <w:sz w:val="20"/>
                <w:szCs w:val="20"/>
              </w:rPr>
              <w:t>15)</w:t>
            </w:r>
          </w:p>
        </w:tc>
        <w:tc>
          <w:tcPr>
            <w:tcW w:w="3058" w:type="dxa"/>
            <w:tcBorders>
              <w:top w:val="nil"/>
              <w:left w:val="nil"/>
              <w:bottom w:val="nil"/>
            </w:tcBorders>
          </w:tcPr>
          <w:p w14:paraId="6099F85A"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5.7 months [1.6, 13.6]</w:t>
            </w:r>
          </w:p>
        </w:tc>
      </w:tr>
      <w:tr w:rsidR="0016359A" w:rsidRPr="005F64A2" w14:paraId="746B2A07" w14:textId="77777777" w:rsidTr="00695792">
        <w:trPr>
          <w:jc w:val="center"/>
        </w:trPr>
        <w:tc>
          <w:tcPr>
            <w:tcW w:w="5571" w:type="dxa"/>
            <w:tcBorders>
              <w:top w:val="nil"/>
              <w:bottom w:val="nil"/>
              <w:right w:val="nil"/>
            </w:tcBorders>
          </w:tcPr>
          <w:p w14:paraId="6EA253B1"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 xml:space="preserve">Median Overall </w:t>
            </w:r>
            <w:proofErr w:type="spellStart"/>
            <w:r w:rsidRPr="005F64A2">
              <w:rPr>
                <w:rFonts w:ascii="Arial" w:hAnsi="Arial" w:cs="Arial"/>
                <w:sz w:val="20"/>
                <w:szCs w:val="20"/>
              </w:rPr>
              <w:t>survival</w:t>
            </w:r>
            <w:r w:rsidRPr="005F64A2">
              <w:rPr>
                <w:rFonts w:ascii="Arial" w:hAnsi="Arial" w:cs="Arial"/>
                <w:sz w:val="20"/>
                <w:szCs w:val="20"/>
                <w:vertAlign w:val="superscript"/>
              </w:rPr>
              <w:t>c</w:t>
            </w:r>
            <w:proofErr w:type="spellEnd"/>
          </w:p>
        </w:tc>
        <w:tc>
          <w:tcPr>
            <w:tcW w:w="3058" w:type="dxa"/>
            <w:tcBorders>
              <w:top w:val="nil"/>
              <w:left w:val="nil"/>
              <w:bottom w:val="nil"/>
            </w:tcBorders>
          </w:tcPr>
          <w:p w14:paraId="647194ED"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 xml:space="preserve">36.5 months [19.2, </w:t>
            </w:r>
            <w:proofErr w:type="spellStart"/>
            <w:r w:rsidRPr="005F64A2">
              <w:rPr>
                <w:rFonts w:ascii="Arial" w:hAnsi="Arial" w:cs="Arial"/>
                <w:sz w:val="20"/>
                <w:szCs w:val="20"/>
              </w:rPr>
              <w:t>NE</w:t>
            </w:r>
            <w:r w:rsidRPr="005F64A2">
              <w:rPr>
                <w:rFonts w:ascii="Arial" w:hAnsi="Arial" w:cs="Arial"/>
                <w:sz w:val="20"/>
                <w:szCs w:val="20"/>
                <w:vertAlign w:val="superscript"/>
              </w:rPr>
              <w:t>d</w:t>
            </w:r>
            <w:proofErr w:type="spellEnd"/>
            <w:r w:rsidRPr="005F64A2">
              <w:rPr>
                <w:rFonts w:ascii="Arial" w:hAnsi="Arial" w:cs="Arial"/>
                <w:sz w:val="20"/>
                <w:szCs w:val="20"/>
              </w:rPr>
              <w:t>]</w:t>
            </w:r>
          </w:p>
        </w:tc>
      </w:tr>
      <w:tr w:rsidR="0016359A" w:rsidRPr="005F64A2" w14:paraId="6BCFFAED" w14:textId="77777777" w:rsidTr="00695792">
        <w:trPr>
          <w:jc w:val="center"/>
        </w:trPr>
        <w:tc>
          <w:tcPr>
            <w:tcW w:w="5571" w:type="dxa"/>
            <w:tcBorders>
              <w:top w:val="nil"/>
              <w:bottom w:val="nil"/>
              <w:right w:val="nil"/>
            </w:tcBorders>
          </w:tcPr>
          <w:p w14:paraId="4E3837E4" w14:textId="77777777" w:rsidR="0016359A" w:rsidRPr="005F64A2" w:rsidRDefault="0016359A" w:rsidP="00695792">
            <w:pPr>
              <w:keepNext/>
              <w:keepLines/>
              <w:spacing w:before="60" w:after="60"/>
              <w:ind w:left="720"/>
              <w:rPr>
                <w:rFonts w:ascii="Arial" w:hAnsi="Arial" w:cs="Arial"/>
                <w:sz w:val="20"/>
                <w:szCs w:val="20"/>
              </w:rPr>
            </w:pPr>
            <w:r w:rsidRPr="005F64A2">
              <w:rPr>
                <w:rFonts w:ascii="Arial" w:hAnsi="Arial" w:cs="Arial"/>
                <w:sz w:val="20"/>
                <w:szCs w:val="20"/>
              </w:rPr>
              <w:t>MRD complete responder (N</w:t>
            </w:r>
            <w:r>
              <w:rPr>
                <w:rFonts w:ascii="Arial" w:hAnsi="Arial" w:cs="Arial"/>
                <w:sz w:val="20"/>
                <w:szCs w:val="20"/>
              </w:rPr>
              <w:t> </w:t>
            </w:r>
            <w:r w:rsidRPr="005F64A2">
              <w:rPr>
                <w:rFonts w:ascii="Arial" w:hAnsi="Arial" w:cs="Arial"/>
                <w:sz w:val="20"/>
                <w:szCs w:val="20"/>
              </w:rPr>
              <w:t>=</w:t>
            </w:r>
            <w:r>
              <w:rPr>
                <w:rFonts w:ascii="Arial" w:hAnsi="Arial" w:cs="Arial"/>
                <w:sz w:val="20"/>
                <w:szCs w:val="20"/>
              </w:rPr>
              <w:t> </w:t>
            </w:r>
            <w:r w:rsidRPr="005F64A2">
              <w:rPr>
                <w:rFonts w:ascii="Arial" w:hAnsi="Arial" w:cs="Arial"/>
                <w:sz w:val="20"/>
                <w:szCs w:val="20"/>
              </w:rPr>
              <w:t>88)</w:t>
            </w:r>
          </w:p>
        </w:tc>
        <w:tc>
          <w:tcPr>
            <w:tcW w:w="3058" w:type="dxa"/>
            <w:tcBorders>
              <w:top w:val="nil"/>
              <w:left w:val="nil"/>
              <w:bottom w:val="nil"/>
            </w:tcBorders>
          </w:tcPr>
          <w:p w14:paraId="5DC50EA7" w14:textId="77777777" w:rsidR="0016359A" w:rsidRPr="005F64A2" w:rsidRDefault="0016359A" w:rsidP="00695792">
            <w:pPr>
              <w:keepNext/>
              <w:keepLines/>
              <w:spacing w:before="60" w:after="60"/>
              <w:jc w:val="center"/>
              <w:rPr>
                <w:rFonts w:ascii="Arial" w:hAnsi="Arial" w:cs="Arial"/>
                <w:sz w:val="20"/>
                <w:szCs w:val="20"/>
              </w:rPr>
            </w:pPr>
            <w:r w:rsidRPr="005F64A2">
              <w:rPr>
                <w:rFonts w:ascii="Arial" w:hAnsi="Arial" w:cs="Arial"/>
                <w:sz w:val="20"/>
                <w:szCs w:val="20"/>
              </w:rPr>
              <w:t xml:space="preserve">38.9 </w:t>
            </w:r>
            <w:r w:rsidRPr="00FA1C6C">
              <w:rPr>
                <w:rFonts w:ascii="Arial" w:hAnsi="Arial" w:cs="Arial"/>
                <w:color w:val="000000" w:themeColor="text1"/>
                <w:sz w:val="20"/>
                <w:szCs w:val="20"/>
              </w:rPr>
              <w:t>months</w:t>
            </w:r>
            <w:r>
              <w:rPr>
                <w:rFonts w:ascii="Arial" w:hAnsi="Arial" w:cs="Arial"/>
                <w:sz w:val="20"/>
                <w:szCs w:val="20"/>
              </w:rPr>
              <w:t xml:space="preserve"> </w:t>
            </w:r>
            <w:r w:rsidRPr="005F64A2">
              <w:rPr>
                <w:rFonts w:ascii="Arial" w:hAnsi="Arial" w:cs="Arial"/>
                <w:sz w:val="20"/>
                <w:szCs w:val="20"/>
              </w:rPr>
              <w:t xml:space="preserve">[33.7, </w:t>
            </w:r>
            <w:proofErr w:type="spellStart"/>
            <w:r w:rsidRPr="005F64A2">
              <w:rPr>
                <w:rFonts w:ascii="Arial" w:hAnsi="Arial" w:cs="Arial"/>
                <w:sz w:val="20"/>
                <w:szCs w:val="20"/>
              </w:rPr>
              <w:t>NE</w:t>
            </w:r>
            <w:r w:rsidRPr="005F64A2">
              <w:rPr>
                <w:rFonts w:ascii="Arial" w:hAnsi="Arial" w:cs="Arial"/>
                <w:sz w:val="20"/>
                <w:szCs w:val="20"/>
                <w:vertAlign w:val="superscript"/>
              </w:rPr>
              <w:t>d</w:t>
            </w:r>
            <w:proofErr w:type="spellEnd"/>
            <w:r w:rsidRPr="005F64A2">
              <w:rPr>
                <w:rFonts w:ascii="Arial" w:hAnsi="Arial" w:cs="Arial"/>
                <w:sz w:val="20"/>
                <w:szCs w:val="20"/>
              </w:rPr>
              <w:t>]</w:t>
            </w:r>
          </w:p>
        </w:tc>
      </w:tr>
      <w:tr w:rsidR="0016359A" w:rsidRPr="005F64A2" w14:paraId="7191F7F8" w14:textId="77777777" w:rsidTr="00695792">
        <w:trPr>
          <w:jc w:val="center"/>
        </w:trPr>
        <w:tc>
          <w:tcPr>
            <w:tcW w:w="5571" w:type="dxa"/>
            <w:tcBorders>
              <w:top w:val="nil"/>
              <w:bottom w:val="nil"/>
              <w:right w:val="nil"/>
            </w:tcBorders>
          </w:tcPr>
          <w:p w14:paraId="24DA4345" w14:textId="77777777" w:rsidR="0016359A" w:rsidRPr="005F64A2" w:rsidRDefault="0016359A" w:rsidP="00695792">
            <w:pPr>
              <w:keepNext/>
              <w:keepLines/>
              <w:spacing w:before="60" w:after="60"/>
              <w:ind w:left="720"/>
              <w:rPr>
                <w:rFonts w:ascii="Arial" w:hAnsi="Arial" w:cs="Arial"/>
                <w:sz w:val="20"/>
                <w:szCs w:val="20"/>
              </w:rPr>
            </w:pPr>
            <w:r w:rsidRPr="005F64A2">
              <w:rPr>
                <w:rFonts w:ascii="Arial" w:hAnsi="Arial" w:cs="Arial"/>
                <w:sz w:val="20"/>
                <w:szCs w:val="20"/>
              </w:rPr>
              <w:t>MRD non-responder (N</w:t>
            </w:r>
            <w:r>
              <w:rPr>
                <w:rFonts w:ascii="Arial" w:hAnsi="Arial" w:cs="Arial"/>
                <w:sz w:val="20"/>
                <w:szCs w:val="20"/>
              </w:rPr>
              <w:t> </w:t>
            </w:r>
            <w:r w:rsidRPr="005F64A2">
              <w:rPr>
                <w:rFonts w:ascii="Arial" w:hAnsi="Arial" w:cs="Arial"/>
                <w:sz w:val="20"/>
                <w:szCs w:val="20"/>
              </w:rPr>
              <w:t>=</w:t>
            </w:r>
            <w:r>
              <w:rPr>
                <w:rFonts w:ascii="Arial" w:hAnsi="Arial" w:cs="Arial"/>
                <w:sz w:val="20"/>
                <w:szCs w:val="20"/>
              </w:rPr>
              <w:t> </w:t>
            </w:r>
            <w:r w:rsidRPr="005F64A2">
              <w:rPr>
                <w:rFonts w:ascii="Arial" w:hAnsi="Arial" w:cs="Arial"/>
                <w:sz w:val="20"/>
                <w:szCs w:val="20"/>
              </w:rPr>
              <w:t>24)</w:t>
            </w:r>
          </w:p>
        </w:tc>
        <w:tc>
          <w:tcPr>
            <w:tcW w:w="3058" w:type="dxa"/>
            <w:tcBorders>
              <w:top w:val="nil"/>
              <w:left w:val="nil"/>
              <w:bottom w:val="nil"/>
            </w:tcBorders>
          </w:tcPr>
          <w:p w14:paraId="64537A91" w14:textId="77777777" w:rsidR="0016359A" w:rsidRPr="00FA1C6C" w:rsidRDefault="0016359A" w:rsidP="00695792">
            <w:pPr>
              <w:keepNext/>
              <w:keepLines/>
              <w:spacing w:before="60" w:after="60"/>
              <w:jc w:val="center"/>
              <w:rPr>
                <w:rFonts w:ascii="Arial" w:hAnsi="Arial" w:cs="Arial"/>
                <w:color w:val="000000" w:themeColor="text1"/>
                <w:sz w:val="20"/>
                <w:szCs w:val="20"/>
              </w:rPr>
            </w:pPr>
            <w:r w:rsidRPr="00FA1C6C">
              <w:rPr>
                <w:rFonts w:ascii="Arial" w:hAnsi="Arial" w:cs="Arial"/>
                <w:color w:val="000000" w:themeColor="text1"/>
                <w:sz w:val="20"/>
                <w:szCs w:val="20"/>
              </w:rPr>
              <w:t xml:space="preserve">10.5 months [3.8, </w:t>
            </w:r>
            <w:proofErr w:type="spellStart"/>
            <w:r w:rsidRPr="00FA1C6C">
              <w:rPr>
                <w:rFonts w:ascii="Arial" w:hAnsi="Arial" w:cs="Arial"/>
                <w:color w:val="000000" w:themeColor="text1"/>
                <w:sz w:val="20"/>
                <w:szCs w:val="20"/>
              </w:rPr>
              <w:t>NE</w:t>
            </w:r>
            <w:r w:rsidRPr="00FA1C6C">
              <w:rPr>
                <w:rFonts w:ascii="Arial" w:hAnsi="Arial" w:cs="Arial"/>
                <w:color w:val="000000" w:themeColor="text1"/>
                <w:sz w:val="20"/>
                <w:szCs w:val="20"/>
                <w:vertAlign w:val="superscript"/>
              </w:rPr>
              <w:t>d</w:t>
            </w:r>
            <w:proofErr w:type="spellEnd"/>
            <w:r w:rsidRPr="00FA1C6C">
              <w:rPr>
                <w:rFonts w:ascii="Arial" w:hAnsi="Arial" w:cs="Arial"/>
                <w:color w:val="000000" w:themeColor="text1"/>
                <w:sz w:val="20"/>
                <w:szCs w:val="20"/>
              </w:rPr>
              <w:t>]</w:t>
            </w:r>
          </w:p>
        </w:tc>
      </w:tr>
      <w:tr w:rsidR="0016359A" w:rsidRPr="005F64A2" w14:paraId="3961BB4B" w14:textId="77777777" w:rsidTr="00695792">
        <w:trPr>
          <w:jc w:val="center"/>
        </w:trPr>
        <w:tc>
          <w:tcPr>
            <w:tcW w:w="5571" w:type="dxa"/>
            <w:tcBorders>
              <w:top w:val="nil"/>
              <w:right w:val="nil"/>
            </w:tcBorders>
          </w:tcPr>
          <w:p w14:paraId="07E2E97F" w14:textId="77777777" w:rsidR="0016359A" w:rsidRPr="005F64A2" w:rsidRDefault="0016359A" w:rsidP="00695792">
            <w:pPr>
              <w:keepNext/>
              <w:keepLines/>
              <w:spacing w:before="60" w:after="60"/>
              <w:rPr>
                <w:rFonts w:ascii="Arial" w:hAnsi="Arial" w:cs="Arial"/>
                <w:sz w:val="20"/>
                <w:szCs w:val="20"/>
              </w:rPr>
            </w:pPr>
            <w:r w:rsidRPr="005F64A2">
              <w:rPr>
                <w:rFonts w:ascii="Arial" w:hAnsi="Arial" w:cs="Arial"/>
                <w:sz w:val="20"/>
                <w:szCs w:val="20"/>
              </w:rPr>
              <w:t>Duration of complete MRD response</w:t>
            </w:r>
          </w:p>
        </w:tc>
        <w:tc>
          <w:tcPr>
            <w:tcW w:w="3058" w:type="dxa"/>
            <w:tcBorders>
              <w:top w:val="nil"/>
              <w:left w:val="nil"/>
            </w:tcBorders>
          </w:tcPr>
          <w:p w14:paraId="27245F1E" w14:textId="77777777" w:rsidR="0016359A" w:rsidRPr="00FA1C6C" w:rsidRDefault="0016359A" w:rsidP="0016359A">
            <w:pPr>
              <w:pStyle w:val="ListParagraph"/>
              <w:keepNext/>
              <w:keepLines/>
              <w:numPr>
                <w:ilvl w:val="1"/>
                <w:numId w:val="33"/>
              </w:numPr>
              <w:suppressAutoHyphens/>
              <w:spacing w:before="60" w:after="60" w:line="240" w:lineRule="auto"/>
              <w:ind w:hanging="68"/>
              <w:contextualSpacing w:val="0"/>
              <w:rPr>
                <w:rFonts w:ascii="Arial" w:hAnsi="Arial" w:cs="Arial"/>
                <w:color w:val="000000" w:themeColor="text1"/>
                <w:sz w:val="20"/>
                <w:szCs w:val="20"/>
              </w:rPr>
            </w:pPr>
            <w:r w:rsidRPr="00FA1C6C">
              <w:rPr>
                <w:rFonts w:ascii="Arial" w:hAnsi="Arial" w:cs="Arial"/>
                <w:color w:val="000000" w:themeColor="text1"/>
                <w:sz w:val="20"/>
                <w:szCs w:val="20"/>
              </w:rPr>
              <w:t>months [12.6 to 23.3]</w:t>
            </w:r>
          </w:p>
        </w:tc>
      </w:tr>
      <w:tr w:rsidR="0016359A" w:rsidRPr="005F64A2" w14:paraId="3CD2047D" w14:textId="77777777" w:rsidTr="00695792">
        <w:trPr>
          <w:trHeight w:val="58"/>
          <w:jc w:val="center"/>
        </w:trPr>
        <w:tc>
          <w:tcPr>
            <w:tcW w:w="8629" w:type="dxa"/>
            <w:gridSpan w:val="2"/>
            <w:tcBorders>
              <w:left w:val="nil"/>
              <w:bottom w:val="nil"/>
              <w:right w:val="nil"/>
            </w:tcBorders>
          </w:tcPr>
          <w:p w14:paraId="755B0B54" w14:textId="77777777" w:rsidR="0016359A" w:rsidRPr="00FA1C6C" w:rsidRDefault="0016359A" w:rsidP="0016359A">
            <w:pPr>
              <w:pStyle w:val="ListParagraph"/>
              <w:keepNext/>
              <w:keepLines/>
              <w:numPr>
                <w:ilvl w:val="0"/>
                <w:numId w:val="34"/>
              </w:numPr>
              <w:suppressAutoHyphens/>
              <w:spacing w:after="0" w:line="240" w:lineRule="auto"/>
              <w:contextualSpacing w:val="0"/>
              <w:rPr>
                <w:rFonts w:ascii="Arial" w:hAnsi="Arial" w:cs="Arial"/>
                <w:color w:val="000000" w:themeColor="text1"/>
                <w:sz w:val="18"/>
                <w:szCs w:val="20"/>
              </w:rPr>
            </w:pPr>
            <w:r w:rsidRPr="00FA1C6C">
              <w:rPr>
                <w:rFonts w:ascii="Arial" w:hAnsi="Arial" w:cs="Arial"/>
                <w:color w:val="000000" w:themeColor="text1"/>
                <w:sz w:val="18"/>
                <w:szCs w:val="20"/>
              </w:rPr>
              <w:t>Complete MRD response was defined as the absence of detectable MRD confirmed in an assay with minimum sensitivity of 10</w:t>
            </w:r>
            <w:r w:rsidRPr="00FA1C6C">
              <w:rPr>
                <w:rFonts w:ascii="Arial" w:hAnsi="Arial" w:cs="Arial"/>
                <w:color w:val="000000" w:themeColor="text1"/>
                <w:sz w:val="18"/>
                <w:szCs w:val="20"/>
                <w:vertAlign w:val="superscript"/>
              </w:rPr>
              <w:t>-4</w:t>
            </w:r>
          </w:p>
          <w:p w14:paraId="40CE829D" w14:textId="77777777" w:rsidR="0016359A" w:rsidRPr="00FA1C6C" w:rsidRDefault="0016359A" w:rsidP="0016359A">
            <w:pPr>
              <w:pStyle w:val="ListParagraph"/>
              <w:keepNext/>
              <w:keepLines/>
              <w:numPr>
                <w:ilvl w:val="0"/>
                <w:numId w:val="34"/>
              </w:numPr>
              <w:suppressAutoHyphens/>
              <w:spacing w:after="0" w:line="240" w:lineRule="auto"/>
              <w:contextualSpacing w:val="0"/>
              <w:rPr>
                <w:rFonts w:ascii="Arial" w:hAnsi="Arial" w:cs="Arial"/>
                <w:color w:val="000000" w:themeColor="text1"/>
                <w:sz w:val="18"/>
                <w:szCs w:val="20"/>
              </w:rPr>
            </w:pPr>
            <w:r w:rsidRPr="00FA1C6C">
              <w:rPr>
                <w:rFonts w:ascii="Arial" w:eastAsia="Calibri" w:hAnsi="Arial" w:cs="Arial"/>
                <w:color w:val="000000" w:themeColor="text1"/>
                <w:sz w:val="18"/>
                <w:szCs w:val="20"/>
              </w:rPr>
              <w:t xml:space="preserve">Relapse was defined as haematological relapse (blasts in bone marrow greater than 5% following CR) or an </w:t>
            </w:r>
            <w:proofErr w:type="spellStart"/>
            <w:r w:rsidRPr="00FA1C6C">
              <w:rPr>
                <w:rFonts w:ascii="Arial" w:eastAsia="Calibri" w:hAnsi="Arial" w:cs="Arial"/>
                <w:color w:val="000000" w:themeColor="text1"/>
                <w:sz w:val="18"/>
                <w:szCs w:val="20"/>
              </w:rPr>
              <w:t>extramedullary</w:t>
            </w:r>
            <w:proofErr w:type="spellEnd"/>
            <w:r w:rsidRPr="00FA1C6C">
              <w:rPr>
                <w:rFonts w:ascii="Arial" w:eastAsia="Calibri" w:hAnsi="Arial" w:cs="Arial"/>
                <w:color w:val="000000" w:themeColor="text1"/>
                <w:sz w:val="18"/>
                <w:szCs w:val="20"/>
              </w:rPr>
              <w:t xml:space="preserve"> relapse</w:t>
            </w:r>
          </w:p>
          <w:p w14:paraId="4D75867E" w14:textId="77777777" w:rsidR="0016359A" w:rsidRPr="00FA1C6C" w:rsidRDefault="0016359A" w:rsidP="0016359A">
            <w:pPr>
              <w:pStyle w:val="ListParagraph"/>
              <w:keepNext/>
              <w:keepLines/>
              <w:numPr>
                <w:ilvl w:val="0"/>
                <w:numId w:val="34"/>
              </w:numPr>
              <w:suppressAutoHyphens/>
              <w:spacing w:after="0" w:line="240" w:lineRule="auto"/>
              <w:contextualSpacing w:val="0"/>
              <w:rPr>
                <w:rFonts w:ascii="Arial" w:hAnsi="Arial" w:cs="Arial"/>
                <w:color w:val="000000" w:themeColor="text1"/>
                <w:sz w:val="18"/>
                <w:szCs w:val="20"/>
              </w:rPr>
            </w:pPr>
            <w:r w:rsidRPr="00FA1C6C">
              <w:rPr>
                <w:rFonts w:ascii="Arial" w:hAnsi="Arial" w:cs="Arial"/>
                <w:color w:val="000000" w:themeColor="text1"/>
                <w:sz w:val="18"/>
                <w:szCs w:val="20"/>
              </w:rPr>
              <w:t xml:space="preserve">Landmark analysis from day 45, not censored at HSCT or chemotherapy after treatment with </w:t>
            </w:r>
            <w:proofErr w:type="spellStart"/>
            <w:r w:rsidRPr="00FA1C6C">
              <w:rPr>
                <w:rFonts w:ascii="Arial" w:hAnsi="Arial" w:cs="Arial"/>
                <w:color w:val="000000" w:themeColor="text1"/>
                <w:sz w:val="18"/>
                <w:szCs w:val="20"/>
              </w:rPr>
              <w:t>Blincyto</w:t>
            </w:r>
            <w:proofErr w:type="spellEnd"/>
          </w:p>
          <w:p w14:paraId="30B5783A" w14:textId="7451A336" w:rsidR="0016359A" w:rsidRPr="00FA1C6C" w:rsidRDefault="0016359A" w:rsidP="00BF7570">
            <w:pPr>
              <w:pStyle w:val="ListParagraph"/>
              <w:keepNext/>
              <w:keepLines/>
              <w:numPr>
                <w:ilvl w:val="0"/>
                <w:numId w:val="34"/>
              </w:numPr>
              <w:suppressAutoHyphens/>
              <w:spacing w:after="0" w:line="240" w:lineRule="auto"/>
              <w:contextualSpacing w:val="0"/>
              <w:rPr>
                <w:rFonts w:ascii="Arial" w:hAnsi="Arial" w:cs="Arial"/>
                <w:color w:val="000000" w:themeColor="text1"/>
                <w:sz w:val="18"/>
                <w:szCs w:val="20"/>
              </w:rPr>
            </w:pPr>
            <w:r w:rsidRPr="00FA1C6C">
              <w:rPr>
                <w:rFonts w:ascii="Arial" w:hAnsi="Arial" w:cs="Arial"/>
                <w:color w:val="000000" w:themeColor="text1"/>
                <w:sz w:val="18"/>
                <w:szCs w:val="20"/>
              </w:rPr>
              <w:t>NE = not estimable</w:t>
            </w:r>
            <w:r w:rsidR="00BF7570">
              <w:rPr>
                <w:rFonts w:ascii="Arial" w:hAnsi="Arial" w:cs="Arial"/>
                <w:color w:val="000000" w:themeColor="text1"/>
                <w:sz w:val="18"/>
                <w:szCs w:val="20"/>
              </w:rPr>
              <w:br/>
            </w:r>
          </w:p>
        </w:tc>
      </w:tr>
    </w:tbl>
    <w:p w14:paraId="1B4297D8" w14:textId="1384C438" w:rsidR="007D43DB" w:rsidRPr="0059307A" w:rsidRDefault="007D43DB" w:rsidP="00BB029B">
      <w:pPr>
        <w:pStyle w:val="Caption"/>
      </w:pPr>
      <w:r w:rsidRPr="00100160">
        <w:t>Figure</w:t>
      </w:r>
      <w:r w:rsidR="009D14BE">
        <w:t> </w:t>
      </w:r>
      <w:r w:rsidRPr="00100160">
        <w:t>4.</w:t>
      </w:r>
      <w:r w:rsidRPr="0059307A">
        <w:t xml:space="preserve">  Kaplan-Meier Curve of H</w:t>
      </w:r>
      <w:r w:rsidR="00FA1C6C">
        <w:t>a</w:t>
      </w:r>
      <w:r w:rsidRPr="0059307A">
        <w:t>ematological Relapse-free Survival</w:t>
      </w:r>
    </w:p>
    <w:p w14:paraId="0A8297C3" w14:textId="06E95F03" w:rsidR="00DA4F40" w:rsidRDefault="00D546A8" w:rsidP="00DA4F40">
      <w:pPr>
        <w:keepNext/>
        <w:keepLines/>
        <w:ind w:firstLine="284"/>
      </w:pPr>
      <w:r>
        <w:pict w14:anchorId="3350DB03">
          <v:shape id="Picture 16" o:spid="_x0000_i1026" type="#_x0000_t75" style="width:1.35pt;height:1.35pt;visibility:visible;mso-wrap-style:square" o:bullet="t">
            <v:imagedata r:id="rId13" o:title=""/>
          </v:shape>
        </w:pict>
      </w:r>
      <w:r w:rsidR="007D43DB">
        <w:rPr>
          <w:noProof/>
          <w:lang w:eastAsia="en-AU"/>
        </w:rPr>
        <w:drawing>
          <wp:inline distT="0" distB="0" distL="0" distR="0" wp14:anchorId="1568D95A" wp14:editId="726702B2">
            <wp:extent cx="7621" cy="76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1" cy="7621"/>
                    </a:xfrm>
                    <a:prstGeom prst="rect">
                      <a:avLst/>
                    </a:prstGeom>
                  </pic:spPr>
                </pic:pic>
              </a:graphicData>
            </a:graphic>
          </wp:inline>
        </w:drawing>
      </w:r>
      <w:r w:rsidR="00DA4F40">
        <w:rPr>
          <w:rFonts w:cs="Arial"/>
          <w:noProof/>
          <w:color w:val="000000" w:themeColor="text1"/>
          <w:sz w:val="20"/>
          <w:lang w:eastAsia="en-AU"/>
        </w:rPr>
        <w:drawing>
          <wp:inline distT="0" distB="0" distL="0" distR="0" wp14:anchorId="37B9163F" wp14:editId="43472BFB">
            <wp:extent cx="5124450" cy="2735222"/>
            <wp:effectExtent l="0" t="0" r="0" b="8255"/>
            <wp:docPr id="1" name="Picture 1" descr="GRH217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H2171 GRAPH MISC 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80704" cy="2765248"/>
                    </a:xfrm>
                    <a:prstGeom prst="rect">
                      <a:avLst/>
                    </a:prstGeom>
                  </pic:spPr>
                </pic:pic>
              </a:graphicData>
            </a:graphic>
          </wp:inline>
        </w:drawing>
      </w:r>
    </w:p>
    <w:p w14:paraId="6AC9CB93" w14:textId="77777777" w:rsidR="00BF7570" w:rsidRPr="006432A2" w:rsidRDefault="00BF7570" w:rsidP="00DA4F40">
      <w:pPr>
        <w:keepNext/>
        <w:keepLines/>
        <w:ind w:firstLine="284"/>
        <w:rPr>
          <w:rFonts w:cs="Arial"/>
          <w:color w:val="000000" w:themeColor="text1"/>
          <w:sz w:val="20"/>
          <w:highlight w:val="yellow"/>
        </w:rPr>
      </w:pPr>
    </w:p>
    <w:p w14:paraId="44FCF287" w14:textId="77777777" w:rsidR="007D43DB" w:rsidRPr="0059307A" w:rsidRDefault="007D43DB" w:rsidP="00BB029B">
      <w:pPr>
        <w:pStyle w:val="Caption"/>
      </w:pPr>
      <w:r w:rsidRPr="00100160">
        <w:t>Figure</w:t>
      </w:r>
      <w:r w:rsidR="009D14BE">
        <w:t> </w:t>
      </w:r>
      <w:r w:rsidRPr="00100160">
        <w:t>5.  Kaplan Meier Curve of Relapse-free Survival From Day</w:t>
      </w:r>
      <w:r w:rsidR="009D14BE">
        <w:t> </w:t>
      </w:r>
      <w:r w:rsidRPr="00100160">
        <w:t>45 (Landmark Analysis: Complete MRD Responder Versus MRD (</w:t>
      </w:r>
      <w:proofErr w:type="spellStart"/>
      <w:r w:rsidRPr="00100160">
        <w:t>Nonresponder</w:t>
      </w:r>
      <w:proofErr w:type="spellEnd"/>
      <w:r w:rsidRPr="00100160">
        <w:t>)</w:t>
      </w:r>
    </w:p>
    <w:p w14:paraId="4F56EA9B" w14:textId="75A62B7C" w:rsidR="00DA4F40" w:rsidRDefault="000C0D5B" w:rsidP="000C0D5B">
      <w:pPr>
        <w:keepNext/>
        <w:keepLines/>
        <w:ind w:firstLine="426"/>
        <w:rPr>
          <w:rFonts w:cs="Arial"/>
          <w:color w:val="000000" w:themeColor="text1"/>
          <w:sz w:val="20"/>
        </w:rPr>
      </w:pPr>
      <w:r>
        <w:rPr>
          <w:rFonts w:cs="Arial"/>
          <w:noProof/>
          <w:color w:val="000000" w:themeColor="text1"/>
          <w:sz w:val="20"/>
          <w:lang w:eastAsia="en-AU"/>
        </w:rPr>
        <w:drawing>
          <wp:inline distT="0" distB="0" distL="0" distR="0" wp14:anchorId="02DF2532" wp14:editId="475372ED">
            <wp:extent cx="4924425" cy="2471332"/>
            <wp:effectExtent l="0" t="0" r="0" b="5715"/>
            <wp:docPr id="2" name="Picture 2" descr="GRH217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H2172 GRAPH MISC N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4774" cy="2481544"/>
                    </a:xfrm>
                    <a:prstGeom prst="rect">
                      <a:avLst/>
                    </a:prstGeom>
                  </pic:spPr>
                </pic:pic>
              </a:graphicData>
            </a:graphic>
          </wp:inline>
        </w:drawing>
      </w:r>
    </w:p>
    <w:p w14:paraId="01985751" w14:textId="0C9F7ED9" w:rsidR="007D43DB" w:rsidRPr="00324FFD" w:rsidRDefault="007D43DB" w:rsidP="00BB029B">
      <w:pPr>
        <w:pStyle w:val="Caption"/>
      </w:pPr>
      <w:r w:rsidRPr="00100160">
        <w:t>Figure</w:t>
      </w:r>
      <w:r w:rsidR="009D14BE">
        <w:t> </w:t>
      </w:r>
      <w:r w:rsidRPr="00100160">
        <w:t>6</w:t>
      </w:r>
      <w:r w:rsidRPr="00324FFD">
        <w:t xml:space="preserve">. </w:t>
      </w:r>
      <w:r w:rsidR="009D14BE">
        <w:t xml:space="preserve"> </w:t>
      </w:r>
      <w:r w:rsidRPr="00324FFD">
        <w:t xml:space="preserve">Kaplan-Meier </w:t>
      </w:r>
      <w:r w:rsidR="00FA1C6C">
        <w:t>C</w:t>
      </w:r>
      <w:r w:rsidRPr="00324FFD">
        <w:t xml:space="preserve">urve of </w:t>
      </w:r>
      <w:r w:rsidR="00FA1C6C">
        <w:t>O</w:t>
      </w:r>
      <w:r w:rsidRPr="00324FFD">
        <w:t xml:space="preserve">verall </w:t>
      </w:r>
      <w:r w:rsidR="00FA1C6C">
        <w:t>S</w:t>
      </w:r>
      <w:r w:rsidRPr="00324FFD">
        <w:t>urvival</w:t>
      </w:r>
    </w:p>
    <w:p w14:paraId="4546D983" w14:textId="60F609A9" w:rsidR="007C163B" w:rsidRPr="00324FFD" w:rsidRDefault="007C163B" w:rsidP="00BF7570">
      <w:pPr>
        <w:pStyle w:val="PI-Text"/>
        <w:ind w:firstLine="567"/>
        <w:rPr>
          <w:lang w:val="en-AU"/>
        </w:rPr>
      </w:pPr>
      <w:r>
        <w:rPr>
          <w:noProof/>
          <w:lang w:val="en-AU" w:eastAsia="en-AU"/>
        </w:rPr>
        <w:drawing>
          <wp:inline distT="0" distB="0" distL="0" distR="0" wp14:anchorId="59DD7168" wp14:editId="6FF7ACEB">
            <wp:extent cx="4953000" cy="2646186"/>
            <wp:effectExtent l="0" t="0" r="0" b="1905"/>
            <wp:docPr id="3" name="Picture 3" descr="GRH2173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H2173 GRAPH MISC N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61189" cy="2650561"/>
                    </a:xfrm>
                    <a:prstGeom prst="rect">
                      <a:avLst/>
                    </a:prstGeom>
                  </pic:spPr>
                </pic:pic>
              </a:graphicData>
            </a:graphic>
          </wp:inline>
        </w:drawing>
      </w:r>
    </w:p>
    <w:p w14:paraId="45A53305" w14:textId="77777777" w:rsidR="007D43DB" w:rsidRPr="00FF4079" w:rsidRDefault="007D43DB" w:rsidP="007D43DB">
      <w:pPr>
        <w:pStyle w:val="PIHeader2"/>
      </w:pPr>
      <w:r w:rsidRPr="00FF4079">
        <w:t>Acute Lymphoblastic Leukaemia in Paediatric Patients</w:t>
      </w:r>
    </w:p>
    <w:p w14:paraId="6D751C03" w14:textId="02A4B62A" w:rsidR="0016359A" w:rsidRPr="00FF4079" w:rsidRDefault="007D43DB" w:rsidP="0016359A">
      <w:pPr>
        <w:pStyle w:val="PI-Text"/>
      </w:pPr>
      <w:r w:rsidRPr="00FF4079">
        <w:t xml:space="preserve">The use of </w:t>
      </w:r>
      <w:proofErr w:type="spellStart"/>
      <w:r w:rsidRPr="00FF4079">
        <w:t>Blinyto</w:t>
      </w:r>
      <w:proofErr w:type="spellEnd"/>
      <w:r w:rsidRPr="00FF4079">
        <w:t xml:space="preserve"> in paediatric patients is approve</w:t>
      </w:r>
      <w:r>
        <w:t>d on the basis of phase</w:t>
      </w:r>
      <w:r w:rsidR="002543CA">
        <w:t> </w:t>
      </w:r>
      <w:r>
        <w:t>II, non</w:t>
      </w:r>
      <w:r>
        <w:noBreakHyphen/>
      </w:r>
      <w:r w:rsidRPr="00FF4079">
        <w:t>randomised evidence in patients with relapsed and/or refractory B</w:t>
      </w:r>
      <w:r w:rsidR="002543CA">
        <w:t> </w:t>
      </w:r>
      <w:r w:rsidRPr="00FF4079">
        <w:t xml:space="preserve">cell precursor ALL. </w:t>
      </w:r>
      <w:r>
        <w:t xml:space="preserve"> </w:t>
      </w:r>
      <w:r w:rsidR="0016359A" w:rsidRPr="00FF4079">
        <w:t xml:space="preserve">Patients should be advised that data is expected from </w:t>
      </w:r>
      <w:r w:rsidR="0016359A" w:rsidRPr="00FA1C6C">
        <w:rPr>
          <w:color w:val="000000" w:themeColor="text1"/>
        </w:rPr>
        <w:t xml:space="preserve">an ongoing </w:t>
      </w:r>
      <w:r w:rsidR="0016359A" w:rsidRPr="00FF4079">
        <w:t>phase</w:t>
      </w:r>
      <w:r w:rsidR="0016359A">
        <w:t> </w:t>
      </w:r>
      <w:r w:rsidR="0016359A" w:rsidRPr="00FF4079">
        <w:t>III study designed to provide further efficacy and safety data in first relapse.</w:t>
      </w:r>
    </w:p>
    <w:p w14:paraId="2819E855" w14:textId="4683A1CE" w:rsidR="007D43DB" w:rsidRPr="00FF4079" w:rsidRDefault="0016359A" w:rsidP="0016359A">
      <w:pPr>
        <w:pStyle w:val="PI-Text"/>
      </w:pPr>
      <w:r w:rsidRPr="00103F18">
        <w:lastRenderedPageBreak/>
        <w:t>In Study</w:t>
      </w:r>
      <w:r w:rsidR="00FA1C6C">
        <w:t> 6</w:t>
      </w:r>
      <w:r w:rsidRPr="007A2BC3">
        <w:t xml:space="preserve"> the</w:t>
      </w:r>
      <w:r w:rsidRPr="00FF4079">
        <w:t xml:space="preserve"> safety and efficacy of </w:t>
      </w:r>
      <w:proofErr w:type="spellStart"/>
      <w:r w:rsidRPr="00FF4079">
        <w:t>Blincyto</w:t>
      </w:r>
      <w:proofErr w:type="spellEnd"/>
      <w:r w:rsidRPr="00FF4079">
        <w:t xml:space="preserve"> were evaluated in an open-label, multicent</w:t>
      </w:r>
      <w:r>
        <w:t>re</w:t>
      </w:r>
      <w:r w:rsidRPr="00FF4079">
        <w:t>, single-arm study in 93</w:t>
      </w:r>
      <w:r>
        <w:t> </w:t>
      </w:r>
      <w:r w:rsidRPr="00FF4079">
        <w:t>paediatric patients</w:t>
      </w:r>
      <w:r>
        <w:t xml:space="preserve">  with relapsed or refractory B</w:t>
      </w:r>
      <w:r>
        <w:noBreakHyphen/>
      </w:r>
      <w:r w:rsidRPr="00FF4079">
        <w:t>cell precursor ALL (second or later bone marrow relapse, in any marrow relapse after allogeneic HSCT, or refractory to other treatments, and have &gt;</w:t>
      </w:r>
      <w:r>
        <w:t> 25% blasts in bone marrow</w:t>
      </w:r>
      <w:r w:rsidR="007D43DB" w:rsidRPr="00FF4079">
        <w:t>).</w:t>
      </w:r>
    </w:p>
    <w:p w14:paraId="04F2C7F2" w14:textId="193ADFB4" w:rsidR="007D43DB" w:rsidRPr="00FF4079" w:rsidRDefault="007D43DB" w:rsidP="007D43DB">
      <w:pPr>
        <w:pStyle w:val="PI-Text"/>
      </w:pPr>
      <w:proofErr w:type="spellStart"/>
      <w:r w:rsidRPr="00FF4079">
        <w:t>Blincyto</w:t>
      </w:r>
      <w:proofErr w:type="spellEnd"/>
      <w:r w:rsidRPr="00FF4079">
        <w:t xml:space="preserve"> was administered as a continuous intravenous infusion at doses of 5 to 30</w:t>
      </w:r>
      <w:r w:rsidR="002543CA">
        <w:t> </w:t>
      </w:r>
      <w:r w:rsidRPr="00FF4079">
        <w:t>micrograms/m</w:t>
      </w:r>
      <w:r w:rsidRPr="000363D6">
        <w:rPr>
          <w:vertAlign w:val="superscript"/>
        </w:rPr>
        <w:t>2</w:t>
      </w:r>
      <w:r w:rsidRPr="00FF4079">
        <w:t>/day.  The recommended dose for this study was determined to be 5</w:t>
      </w:r>
      <w:r w:rsidR="002543CA">
        <w:t> </w:t>
      </w:r>
      <w:r w:rsidRPr="00FF4079">
        <w:t>micrograms/m</w:t>
      </w:r>
      <w:r w:rsidRPr="000363D6">
        <w:rPr>
          <w:vertAlign w:val="superscript"/>
        </w:rPr>
        <w:t>2</w:t>
      </w:r>
      <w:r w:rsidRPr="00FF4079">
        <w:t>/day on Days</w:t>
      </w:r>
      <w:r w:rsidR="00FA1C6C">
        <w:t> </w:t>
      </w:r>
      <w:r w:rsidRPr="00FF4079">
        <w:t>1-7 and 15</w:t>
      </w:r>
      <w:r w:rsidR="002543CA">
        <w:t> </w:t>
      </w:r>
      <w:r w:rsidRPr="00FF4079">
        <w:t>micrograms/m</w:t>
      </w:r>
      <w:r w:rsidRPr="000363D6">
        <w:rPr>
          <w:vertAlign w:val="superscript"/>
        </w:rPr>
        <w:t>2</w:t>
      </w:r>
      <w:r w:rsidRPr="000363D6">
        <w:t>/</w:t>
      </w:r>
      <w:r w:rsidRPr="00FF4079">
        <w:t>day on Days</w:t>
      </w:r>
      <w:r w:rsidR="00FA1C6C">
        <w:t> </w:t>
      </w:r>
      <w:r w:rsidRPr="00FF4079">
        <w:t>8-28 for cycle</w:t>
      </w:r>
      <w:r w:rsidR="002543CA">
        <w:t> </w:t>
      </w:r>
      <w:r w:rsidRPr="00FF4079">
        <w:t>1, and 15</w:t>
      </w:r>
      <w:r w:rsidR="002543CA">
        <w:t> </w:t>
      </w:r>
      <w:r w:rsidRPr="00FF4079">
        <w:t>micrograms/m</w:t>
      </w:r>
      <w:r w:rsidRPr="000363D6">
        <w:rPr>
          <w:vertAlign w:val="superscript"/>
        </w:rPr>
        <w:t>2</w:t>
      </w:r>
      <w:r w:rsidRPr="00FF4079">
        <w:t>/day on Days</w:t>
      </w:r>
      <w:r w:rsidR="00FA1C6C">
        <w:t> </w:t>
      </w:r>
      <w:r w:rsidRPr="00FF4079">
        <w:t xml:space="preserve">1-28 for subsequent cycles.  Dose adjustment was possible in case of adverse events.  Patients who responded to </w:t>
      </w:r>
      <w:proofErr w:type="spellStart"/>
      <w:r w:rsidRPr="00FF4079">
        <w:t>Blincyto</w:t>
      </w:r>
      <w:proofErr w:type="spellEnd"/>
      <w:r w:rsidRPr="00FF4079">
        <w:t xml:space="preserve"> but later relapsed had the option </w:t>
      </w:r>
      <w:r>
        <w:t xml:space="preserve">to be retreated with </w:t>
      </w:r>
      <w:proofErr w:type="spellStart"/>
      <w:r>
        <w:t>Blincyto</w:t>
      </w:r>
      <w:proofErr w:type="spellEnd"/>
      <w:r>
        <w:t>.</w:t>
      </w:r>
    </w:p>
    <w:p w14:paraId="70ED31D4" w14:textId="77777777" w:rsidR="007D43DB" w:rsidRPr="00FF4079" w:rsidRDefault="007D43DB" w:rsidP="007D43DB">
      <w:pPr>
        <w:pStyle w:val="PI-Text"/>
      </w:pPr>
      <w:r w:rsidRPr="00FF4079">
        <w:t>The treated population included 70</w:t>
      </w:r>
      <w:r w:rsidR="002543CA">
        <w:t> </w:t>
      </w:r>
      <w:r w:rsidRPr="00FF4079">
        <w:t xml:space="preserve">patients who received at least </w:t>
      </w:r>
      <w:r>
        <w:t>one</w:t>
      </w:r>
      <w:r w:rsidR="002543CA">
        <w:t xml:space="preserve"> </w:t>
      </w:r>
      <w:r w:rsidRPr="00FF4079">
        <w:t xml:space="preserve">infusion of </w:t>
      </w:r>
      <w:proofErr w:type="spellStart"/>
      <w:r w:rsidRPr="00FF4079">
        <w:t>Blincyto</w:t>
      </w:r>
      <w:proofErr w:type="spellEnd"/>
      <w:r w:rsidRPr="00FF4079">
        <w:t xml:space="preserve"> at the recommended dose; the median number of treatment</w:t>
      </w:r>
      <w:r>
        <w:t xml:space="preserve"> cycles was one (range: 1 to 5).  </w:t>
      </w:r>
      <w:r w:rsidRPr="00FF4079">
        <w:t>Among treated patients, the median age was 8 years (range: 7</w:t>
      </w:r>
      <w:r w:rsidR="002543CA">
        <w:t> </w:t>
      </w:r>
      <w:r w:rsidRPr="00FF4079">
        <w:t>months to 17 years), 40 out of 70 (57.1%) had undergone allogeneic HSCT p</w:t>
      </w:r>
      <w:r w:rsidR="002543CA">
        <w:t xml:space="preserve">rior to receiving </w:t>
      </w:r>
      <w:proofErr w:type="spellStart"/>
      <w:r w:rsidR="002543CA">
        <w:t>Blincyto</w:t>
      </w:r>
      <w:proofErr w:type="spellEnd"/>
      <w:r w:rsidR="002543CA">
        <w:t xml:space="preserve">, and </w:t>
      </w:r>
      <w:r w:rsidRPr="00FF4079">
        <w:t>39 out of 70 (</w:t>
      </w:r>
      <w:r>
        <w:t xml:space="preserve">55.7%) had refractory disease.  </w:t>
      </w:r>
      <w:r w:rsidRPr="00FF4079">
        <w:t>Most patients had a high tumour burden (≥</w:t>
      </w:r>
      <w:r w:rsidR="002543CA">
        <w:t> </w:t>
      </w:r>
      <w:r w:rsidRPr="00FF4079">
        <w:t xml:space="preserve">50% </w:t>
      </w:r>
      <w:proofErr w:type="spellStart"/>
      <w:r w:rsidRPr="00FF4079">
        <w:t>leukaemic</w:t>
      </w:r>
      <w:proofErr w:type="spellEnd"/>
      <w:r w:rsidRPr="00FF4079">
        <w:t xml:space="preserve"> blasts in bone marrow) at baseline with a median of 75.5% bone marrow blasts. </w:t>
      </w:r>
    </w:p>
    <w:p w14:paraId="31E917C0" w14:textId="2ADF5E71" w:rsidR="0016359A" w:rsidRPr="00FF4079" w:rsidRDefault="0016359A" w:rsidP="00695792">
      <w:pPr>
        <w:pStyle w:val="PI-Text"/>
      </w:pPr>
      <w:r w:rsidRPr="00FF4079">
        <w:t>Twenty-three out of 70 (32.9%) patients achieved CR/</w:t>
      </w:r>
      <w:proofErr w:type="spellStart"/>
      <w:r w:rsidRPr="00FF4079">
        <w:t>CRh</w:t>
      </w:r>
      <w:proofErr w:type="spellEnd"/>
      <w:r w:rsidRPr="00FF4079">
        <w:t xml:space="preserve">* within the first </w:t>
      </w:r>
      <w:r>
        <w:t>two</w:t>
      </w:r>
      <w:r w:rsidRPr="00FF4079">
        <w:t xml:space="preserve"> treatment cycles with 12 out of 23 patients achieving CR.</w:t>
      </w:r>
      <w:r>
        <w:t xml:space="preserve"> </w:t>
      </w:r>
      <w:r w:rsidRPr="00FF4079">
        <w:t xml:space="preserve"> Seventeen out of the 23 (73.9%) occurred </w:t>
      </w:r>
      <w:r>
        <w:t xml:space="preserve">within cycle 1 of treatment.  </w:t>
      </w:r>
      <w:r w:rsidRPr="00FF4079">
        <w:t>In addition to the 12</w:t>
      </w:r>
      <w:r>
        <w:t> </w:t>
      </w:r>
      <w:r w:rsidRPr="00FF4079">
        <w:t xml:space="preserve">patients who achieved CR within the first </w:t>
      </w:r>
      <w:r>
        <w:t>two</w:t>
      </w:r>
      <w:r w:rsidRPr="00FF4079">
        <w:t xml:space="preserve"> treatment cycles, </w:t>
      </w:r>
      <w:r w:rsidR="00FA1C6C" w:rsidRPr="00FA1C6C">
        <w:rPr>
          <w:color w:val="000000" w:themeColor="text1"/>
        </w:rPr>
        <w:t>3 </w:t>
      </w:r>
      <w:r w:rsidRPr="00FF4079">
        <w:t xml:space="preserve">patients achieved CR (with full recovery of peripheral blood counts) during subsequent cycles, resulting in a combined CR rate of 21.4% (15 out of 70; 95% CI: 12.5% - 32.9%). </w:t>
      </w:r>
      <w:r>
        <w:t xml:space="preserve"> </w:t>
      </w:r>
      <w:r w:rsidRPr="00FF4079">
        <w:t>Eleven of the 23</w:t>
      </w:r>
      <w:r>
        <w:t> </w:t>
      </w:r>
      <w:r w:rsidRPr="00FF4079">
        <w:t>patients (47.8%) who achieved CR/</w:t>
      </w:r>
      <w:proofErr w:type="spellStart"/>
      <w:r w:rsidRPr="00FF4079">
        <w:t>CRh</w:t>
      </w:r>
      <w:proofErr w:type="spellEnd"/>
      <w:r w:rsidRPr="00FF4079">
        <w:t xml:space="preserve">* received an allogeneic HSCT.  </w:t>
      </w:r>
      <w:r w:rsidRPr="00EA5636">
        <w:t xml:space="preserve">See </w:t>
      </w:r>
      <w:r w:rsidRPr="00EA5636">
        <w:fldChar w:fldCharType="begin"/>
      </w:r>
      <w:r w:rsidRPr="00EA5636">
        <w:instrText xml:space="preserve"> REF _Ref448908268 \h  \* MERGEFORMAT </w:instrText>
      </w:r>
      <w:r w:rsidRPr="00EA5636">
        <w:fldChar w:fldCharType="separate"/>
      </w:r>
      <w:r w:rsidR="007667C8" w:rsidRPr="00FF4079">
        <w:t>Table</w:t>
      </w:r>
      <w:r w:rsidRPr="00EA5636">
        <w:fldChar w:fldCharType="end"/>
      </w:r>
      <w:r w:rsidR="00A21FEB">
        <w:t xml:space="preserve"> </w:t>
      </w:r>
      <w:r w:rsidR="00FA1C6C">
        <w:t>16</w:t>
      </w:r>
      <w:r w:rsidRPr="00EA5636">
        <w:t xml:space="preserve"> for</w:t>
      </w:r>
      <w:r w:rsidRPr="007A2BC3">
        <w:t xml:space="preserve"> the efficacy results </w:t>
      </w:r>
      <w:r w:rsidRPr="003D582F">
        <w:t>from Study</w:t>
      </w:r>
      <w:r w:rsidR="00FA1C6C">
        <w:t> 6</w:t>
      </w:r>
      <w:r w:rsidRPr="007A2BC3">
        <w:t>.</w:t>
      </w:r>
    </w:p>
    <w:p w14:paraId="4C29BE27" w14:textId="77777777" w:rsidR="00311C47" w:rsidRDefault="00311C47">
      <w:pPr>
        <w:rPr>
          <w:rFonts w:ascii="Arial" w:eastAsiaTheme="minorEastAsia" w:hAnsi="Arial"/>
          <w:b/>
          <w:lang w:eastAsia="ja-JP"/>
        </w:rPr>
      </w:pPr>
      <w:bookmarkStart w:id="25" w:name="_Ref448908268"/>
      <w:r>
        <w:br w:type="page"/>
      </w:r>
    </w:p>
    <w:p w14:paraId="74934238" w14:textId="34BCDAFC" w:rsidR="0016359A" w:rsidRDefault="0016359A" w:rsidP="0016359A">
      <w:pPr>
        <w:pStyle w:val="Caption"/>
      </w:pPr>
      <w:r w:rsidRPr="00FF4079">
        <w:lastRenderedPageBreak/>
        <w:t>Table </w:t>
      </w:r>
      <w:bookmarkEnd w:id="25"/>
      <w:r w:rsidR="005B7F55">
        <w:t>16</w:t>
      </w:r>
      <w:r w:rsidRPr="00FF4079">
        <w:t>.  Efficacy Results in Patients &lt;</w:t>
      </w:r>
      <w:r>
        <w:t> </w:t>
      </w:r>
      <w:r w:rsidRPr="00FF4079">
        <w:t>18 Years of Age With Relapsed or Refractory B-cell Precursor Acute Lymphoblastic Leuk</w:t>
      </w:r>
      <w:r w:rsidR="00FA1C6C">
        <w:t>a</w:t>
      </w:r>
      <w:r w:rsidRPr="00FF4079">
        <w:t>emia (ALL)</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8"/>
        <w:gridCol w:w="3147"/>
      </w:tblGrid>
      <w:tr w:rsidR="00CE4391" w:rsidRPr="003E5535" w14:paraId="535D6C05" w14:textId="77777777" w:rsidTr="005A4B40">
        <w:trPr>
          <w:trHeight w:val="341"/>
          <w:jc w:val="center"/>
        </w:trPr>
        <w:tc>
          <w:tcPr>
            <w:tcW w:w="5570" w:type="dxa"/>
            <w:gridSpan w:val="2"/>
            <w:tcBorders>
              <w:top w:val="single" w:sz="4" w:space="0" w:color="auto"/>
              <w:left w:val="single" w:sz="4" w:space="0" w:color="auto"/>
              <w:bottom w:val="single" w:sz="4" w:space="0" w:color="auto"/>
              <w:right w:val="nil"/>
            </w:tcBorders>
          </w:tcPr>
          <w:p w14:paraId="7D0D1879" w14:textId="77777777" w:rsidR="00CE4391" w:rsidRPr="003E5535" w:rsidRDefault="00CE4391" w:rsidP="005A4B40">
            <w:pPr>
              <w:pStyle w:val="PI-Text"/>
              <w:spacing w:before="60" w:after="60" w:line="240" w:lineRule="atLeast"/>
              <w:rPr>
                <w:sz w:val="18"/>
              </w:rPr>
            </w:pPr>
          </w:p>
        </w:tc>
        <w:tc>
          <w:tcPr>
            <w:tcW w:w="3147" w:type="dxa"/>
            <w:tcBorders>
              <w:top w:val="single" w:sz="4" w:space="0" w:color="auto"/>
              <w:left w:val="nil"/>
              <w:bottom w:val="single" w:sz="4" w:space="0" w:color="auto"/>
              <w:right w:val="single" w:sz="4" w:space="0" w:color="auto"/>
            </w:tcBorders>
          </w:tcPr>
          <w:p w14:paraId="7A70C5B3" w14:textId="77777777" w:rsidR="00CE4391" w:rsidRPr="003E5535" w:rsidRDefault="00CE4391" w:rsidP="005A4B40">
            <w:pPr>
              <w:pStyle w:val="PI-TableText"/>
              <w:spacing w:before="60" w:after="60" w:line="240" w:lineRule="atLeast"/>
              <w:jc w:val="center"/>
              <w:rPr>
                <w:sz w:val="18"/>
              </w:rPr>
            </w:pPr>
            <w:r w:rsidRPr="003E5535">
              <w:rPr>
                <w:sz w:val="18"/>
              </w:rPr>
              <w:t>N = 70</w:t>
            </w:r>
          </w:p>
        </w:tc>
      </w:tr>
      <w:tr w:rsidR="00CE4391" w:rsidRPr="003E5535" w14:paraId="133647BC" w14:textId="77777777" w:rsidTr="00CE4391">
        <w:trPr>
          <w:jc w:val="center"/>
        </w:trPr>
        <w:tc>
          <w:tcPr>
            <w:tcW w:w="5552" w:type="dxa"/>
            <w:tcBorders>
              <w:top w:val="single" w:sz="4" w:space="0" w:color="auto"/>
              <w:left w:val="single" w:sz="4" w:space="0" w:color="auto"/>
              <w:bottom w:val="nil"/>
              <w:right w:val="nil"/>
            </w:tcBorders>
          </w:tcPr>
          <w:p w14:paraId="4205EFBB" w14:textId="77777777" w:rsidR="00CE4391" w:rsidRPr="00104C9D" w:rsidRDefault="00CE4391" w:rsidP="005A4B40">
            <w:pPr>
              <w:pStyle w:val="PI-TableText"/>
              <w:spacing w:before="60" w:after="60" w:line="240" w:lineRule="atLeast"/>
              <w:rPr>
                <w:sz w:val="18"/>
                <w:lang w:val="fr-FR"/>
              </w:rPr>
            </w:pPr>
            <w:proofErr w:type="spellStart"/>
            <w:r w:rsidRPr="00104C9D">
              <w:rPr>
                <w:sz w:val="18"/>
                <w:lang w:val="fr-FR"/>
              </w:rPr>
              <w:t>CR</w:t>
            </w:r>
            <w:r w:rsidRPr="00104C9D">
              <w:rPr>
                <w:sz w:val="18"/>
                <w:vertAlign w:val="superscript"/>
                <w:lang w:val="fr-FR"/>
              </w:rPr>
              <w:t>a</w:t>
            </w:r>
            <w:proofErr w:type="spellEnd"/>
            <w:r w:rsidRPr="00104C9D">
              <w:rPr>
                <w:sz w:val="18"/>
                <w:lang w:val="fr-FR"/>
              </w:rPr>
              <w:t>/</w:t>
            </w:r>
            <w:proofErr w:type="spellStart"/>
            <w:r w:rsidRPr="00104C9D">
              <w:rPr>
                <w:sz w:val="18"/>
                <w:lang w:val="fr-FR"/>
              </w:rPr>
              <w:t>CRh</w:t>
            </w:r>
            <w:proofErr w:type="spellEnd"/>
            <w:r w:rsidRPr="00104C9D">
              <w:rPr>
                <w:sz w:val="18"/>
                <w:lang w:val="fr-FR"/>
              </w:rPr>
              <w:t>*</w:t>
            </w:r>
            <w:r w:rsidRPr="00104C9D">
              <w:rPr>
                <w:sz w:val="18"/>
                <w:vertAlign w:val="superscript"/>
                <w:lang w:val="fr-FR"/>
              </w:rPr>
              <w:t>b</w:t>
            </w:r>
            <w:r w:rsidRPr="00104C9D">
              <w:rPr>
                <w:sz w:val="18"/>
                <w:lang w:val="fr-FR"/>
              </w:rPr>
              <w:t>, n (%) [95% CI]</w:t>
            </w:r>
          </w:p>
        </w:tc>
        <w:tc>
          <w:tcPr>
            <w:tcW w:w="3165" w:type="dxa"/>
            <w:gridSpan w:val="2"/>
            <w:tcBorders>
              <w:top w:val="single" w:sz="4" w:space="0" w:color="auto"/>
              <w:left w:val="nil"/>
              <w:bottom w:val="nil"/>
              <w:right w:val="single" w:sz="4" w:space="0" w:color="auto"/>
            </w:tcBorders>
          </w:tcPr>
          <w:p w14:paraId="78CAB2B2" w14:textId="77777777" w:rsidR="00CE4391" w:rsidRPr="003E5535" w:rsidRDefault="00CE4391" w:rsidP="005A4B40">
            <w:pPr>
              <w:pStyle w:val="PI-TableText"/>
              <w:spacing w:before="60" w:after="60" w:line="240" w:lineRule="atLeast"/>
              <w:jc w:val="center"/>
              <w:rPr>
                <w:sz w:val="18"/>
              </w:rPr>
            </w:pPr>
            <w:r w:rsidRPr="003E5535">
              <w:rPr>
                <w:sz w:val="18"/>
              </w:rPr>
              <w:t>23 (32.9%)  [22.1% – 45.1%]</w:t>
            </w:r>
          </w:p>
        </w:tc>
      </w:tr>
      <w:tr w:rsidR="00CE4391" w:rsidRPr="003E5535" w14:paraId="7F237EDD" w14:textId="77777777" w:rsidTr="00CE4391">
        <w:trPr>
          <w:trHeight w:val="305"/>
          <w:jc w:val="center"/>
        </w:trPr>
        <w:tc>
          <w:tcPr>
            <w:tcW w:w="5552" w:type="dxa"/>
            <w:tcBorders>
              <w:top w:val="nil"/>
              <w:left w:val="single" w:sz="4" w:space="0" w:color="auto"/>
              <w:bottom w:val="nil"/>
              <w:right w:val="nil"/>
            </w:tcBorders>
          </w:tcPr>
          <w:p w14:paraId="246AAE85" w14:textId="77777777" w:rsidR="00CE4391" w:rsidRPr="003E5535" w:rsidRDefault="00CE4391" w:rsidP="005A4B40">
            <w:pPr>
              <w:pStyle w:val="PI-TableText"/>
              <w:spacing w:before="60" w:after="60" w:line="240" w:lineRule="atLeast"/>
              <w:ind w:left="199"/>
              <w:rPr>
                <w:sz w:val="18"/>
              </w:rPr>
            </w:pPr>
            <w:r w:rsidRPr="003E5535">
              <w:rPr>
                <w:sz w:val="18"/>
              </w:rPr>
              <w:t>CR, n (%) [95% CI]</w:t>
            </w:r>
          </w:p>
        </w:tc>
        <w:tc>
          <w:tcPr>
            <w:tcW w:w="3165" w:type="dxa"/>
            <w:gridSpan w:val="2"/>
            <w:tcBorders>
              <w:top w:val="nil"/>
              <w:left w:val="nil"/>
              <w:bottom w:val="nil"/>
              <w:right w:val="single" w:sz="4" w:space="0" w:color="auto"/>
            </w:tcBorders>
          </w:tcPr>
          <w:p w14:paraId="2BB5F923" w14:textId="77777777" w:rsidR="00CE4391" w:rsidRPr="003E5535" w:rsidRDefault="00CE4391" w:rsidP="005A4B40">
            <w:pPr>
              <w:pStyle w:val="PI-TableText"/>
              <w:spacing w:before="60" w:after="60" w:line="240" w:lineRule="atLeast"/>
              <w:jc w:val="center"/>
              <w:rPr>
                <w:sz w:val="18"/>
              </w:rPr>
            </w:pPr>
            <w:r w:rsidRPr="003E5535">
              <w:rPr>
                <w:sz w:val="18"/>
              </w:rPr>
              <w:t>12 (17.1%)  [9.2% – 28.0%]</w:t>
            </w:r>
          </w:p>
        </w:tc>
      </w:tr>
      <w:tr w:rsidR="00CE4391" w:rsidRPr="003E5535" w14:paraId="6618475F" w14:textId="77777777" w:rsidTr="00CE4391">
        <w:trPr>
          <w:jc w:val="center"/>
        </w:trPr>
        <w:tc>
          <w:tcPr>
            <w:tcW w:w="5552" w:type="dxa"/>
            <w:tcBorders>
              <w:top w:val="nil"/>
              <w:left w:val="single" w:sz="4" w:space="0" w:color="auto"/>
              <w:bottom w:val="nil"/>
              <w:right w:val="nil"/>
            </w:tcBorders>
          </w:tcPr>
          <w:p w14:paraId="0FC6EB9C" w14:textId="77777777" w:rsidR="00CE4391" w:rsidRPr="003E5535" w:rsidRDefault="00CE4391" w:rsidP="005A4B40">
            <w:pPr>
              <w:pStyle w:val="PI-TableText"/>
              <w:spacing w:before="60" w:after="60" w:line="240" w:lineRule="atLeast"/>
              <w:ind w:left="199"/>
              <w:rPr>
                <w:sz w:val="18"/>
              </w:rPr>
            </w:pPr>
            <w:proofErr w:type="spellStart"/>
            <w:r w:rsidRPr="003E5535">
              <w:rPr>
                <w:sz w:val="18"/>
              </w:rPr>
              <w:t>CRh</w:t>
            </w:r>
            <w:proofErr w:type="spellEnd"/>
            <w:r w:rsidRPr="003E5535">
              <w:rPr>
                <w:sz w:val="18"/>
              </w:rPr>
              <w:t>*, n (%) [95% CI]</w:t>
            </w:r>
          </w:p>
        </w:tc>
        <w:tc>
          <w:tcPr>
            <w:tcW w:w="3165" w:type="dxa"/>
            <w:gridSpan w:val="2"/>
            <w:tcBorders>
              <w:top w:val="nil"/>
              <w:left w:val="nil"/>
              <w:bottom w:val="nil"/>
              <w:right w:val="single" w:sz="4" w:space="0" w:color="auto"/>
            </w:tcBorders>
          </w:tcPr>
          <w:p w14:paraId="5D4974F2" w14:textId="77777777" w:rsidR="00CE4391" w:rsidRPr="003E5535" w:rsidRDefault="00CE4391" w:rsidP="005A4B40">
            <w:pPr>
              <w:pStyle w:val="PI-TableText"/>
              <w:spacing w:before="60" w:after="60" w:line="240" w:lineRule="atLeast"/>
              <w:jc w:val="center"/>
              <w:rPr>
                <w:sz w:val="18"/>
              </w:rPr>
            </w:pPr>
            <w:r w:rsidRPr="003E5535">
              <w:rPr>
                <w:sz w:val="18"/>
              </w:rPr>
              <w:t>11 (15.7%)  [8.1% – 26.4%]</w:t>
            </w:r>
          </w:p>
        </w:tc>
      </w:tr>
      <w:tr w:rsidR="00CE4391" w:rsidRPr="003E5535" w14:paraId="7D73CB93" w14:textId="77777777" w:rsidTr="00CE4391">
        <w:trPr>
          <w:jc w:val="center"/>
        </w:trPr>
        <w:tc>
          <w:tcPr>
            <w:tcW w:w="5552" w:type="dxa"/>
            <w:tcBorders>
              <w:top w:val="nil"/>
              <w:left w:val="single" w:sz="4" w:space="0" w:color="auto"/>
              <w:bottom w:val="nil"/>
              <w:right w:val="nil"/>
            </w:tcBorders>
          </w:tcPr>
          <w:p w14:paraId="4C76F116" w14:textId="77777777" w:rsidR="00CE4391" w:rsidRPr="00427992" w:rsidRDefault="00CE4391" w:rsidP="005A4B40">
            <w:pPr>
              <w:pStyle w:val="PI-TableText"/>
              <w:spacing w:before="60" w:after="60" w:line="240" w:lineRule="atLeast"/>
              <w:rPr>
                <w:sz w:val="18"/>
              </w:rPr>
            </w:pPr>
            <w:r w:rsidRPr="003E5535">
              <w:rPr>
                <w:sz w:val="18"/>
              </w:rPr>
              <w:t>MRD Response for CR/</w:t>
            </w:r>
            <w:proofErr w:type="spellStart"/>
            <w:r w:rsidRPr="003E5535">
              <w:rPr>
                <w:sz w:val="18"/>
              </w:rPr>
              <w:t>CRh</w:t>
            </w:r>
            <w:proofErr w:type="spellEnd"/>
            <w:r w:rsidRPr="003E5535">
              <w:rPr>
                <w:sz w:val="18"/>
              </w:rPr>
              <w:t>*</w:t>
            </w:r>
            <w:r w:rsidRPr="003E5535">
              <w:rPr>
                <w:sz w:val="18"/>
                <w:vertAlign w:val="superscript"/>
              </w:rPr>
              <w:t>c</w:t>
            </w:r>
          </w:p>
        </w:tc>
        <w:tc>
          <w:tcPr>
            <w:tcW w:w="3165" w:type="dxa"/>
            <w:gridSpan w:val="2"/>
            <w:tcBorders>
              <w:top w:val="nil"/>
              <w:left w:val="nil"/>
              <w:bottom w:val="nil"/>
              <w:right w:val="single" w:sz="4" w:space="0" w:color="auto"/>
            </w:tcBorders>
          </w:tcPr>
          <w:p w14:paraId="0A0BB036" w14:textId="5F494873" w:rsidR="00CE4391" w:rsidRPr="003E5535" w:rsidRDefault="00CE4391" w:rsidP="005A4B40">
            <w:pPr>
              <w:pStyle w:val="PI-TableText"/>
              <w:spacing w:before="60" w:after="60" w:line="240" w:lineRule="atLeast"/>
              <w:jc w:val="center"/>
              <w:rPr>
                <w:sz w:val="18"/>
              </w:rPr>
            </w:pPr>
            <w:r w:rsidRPr="003E5535">
              <w:rPr>
                <w:sz w:val="18"/>
              </w:rPr>
              <w:t>12/23 (52.2</w:t>
            </w:r>
            <w:r w:rsidR="005727B2">
              <w:rPr>
                <w:sz w:val="18"/>
              </w:rPr>
              <w:t>%</w:t>
            </w:r>
            <w:r w:rsidRPr="003E5535">
              <w:rPr>
                <w:sz w:val="18"/>
              </w:rPr>
              <w:t>) [30.6 – 73.2]</w:t>
            </w:r>
          </w:p>
        </w:tc>
      </w:tr>
      <w:tr w:rsidR="00CE4391" w:rsidRPr="003E5535" w14:paraId="5DFD4F6B" w14:textId="77777777" w:rsidTr="00CE4391">
        <w:trPr>
          <w:jc w:val="center"/>
        </w:trPr>
        <w:tc>
          <w:tcPr>
            <w:tcW w:w="5552" w:type="dxa"/>
            <w:tcBorders>
              <w:top w:val="nil"/>
              <w:left w:val="single" w:sz="4" w:space="0" w:color="auto"/>
              <w:bottom w:val="nil"/>
              <w:right w:val="nil"/>
            </w:tcBorders>
          </w:tcPr>
          <w:p w14:paraId="5E55BCF0" w14:textId="77777777" w:rsidR="00CE4391" w:rsidRPr="003E5535" w:rsidRDefault="00CE4391" w:rsidP="005A4B40">
            <w:pPr>
              <w:pStyle w:val="PI-TableText"/>
              <w:spacing w:before="60" w:after="60" w:line="240" w:lineRule="atLeast"/>
              <w:ind w:left="199"/>
              <w:rPr>
                <w:sz w:val="18"/>
              </w:rPr>
            </w:pPr>
            <w:r w:rsidRPr="003E5535">
              <w:rPr>
                <w:sz w:val="18"/>
              </w:rPr>
              <w:t>CR, n1/n2</w:t>
            </w:r>
            <w:r w:rsidRPr="003E5535">
              <w:rPr>
                <w:sz w:val="18"/>
                <w:vertAlign w:val="superscript"/>
              </w:rPr>
              <w:t>d</w:t>
            </w:r>
            <w:r w:rsidRPr="003E5535">
              <w:rPr>
                <w:sz w:val="18"/>
              </w:rPr>
              <w:t xml:space="preserve"> (%) [95% CI]</w:t>
            </w:r>
          </w:p>
        </w:tc>
        <w:tc>
          <w:tcPr>
            <w:tcW w:w="3165" w:type="dxa"/>
            <w:gridSpan w:val="2"/>
            <w:tcBorders>
              <w:top w:val="nil"/>
              <w:left w:val="nil"/>
              <w:bottom w:val="nil"/>
              <w:right w:val="single" w:sz="4" w:space="0" w:color="auto"/>
            </w:tcBorders>
          </w:tcPr>
          <w:p w14:paraId="1A3E2AD1" w14:textId="196D585E" w:rsidR="00CE4391" w:rsidRPr="003E5535" w:rsidRDefault="00CE4391" w:rsidP="005A4B40">
            <w:pPr>
              <w:pStyle w:val="PI-TableText"/>
              <w:spacing w:before="60" w:after="60" w:line="240" w:lineRule="atLeast"/>
              <w:jc w:val="center"/>
              <w:rPr>
                <w:sz w:val="18"/>
              </w:rPr>
            </w:pPr>
            <w:r w:rsidRPr="003E5535">
              <w:rPr>
                <w:sz w:val="18"/>
              </w:rPr>
              <w:t>7/12 (58.3</w:t>
            </w:r>
            <w:r w:rsidR="005727B2">
              <w:rPr>
                <w:sz w:val="18"/>
              </w:rPr>
              <w:t>%</w:t>
            </w:r>
            <w:r w:rsidRPr="003E5535">
              <w:rPr>
                <w:sz w:val="18"/>
              </w:rPr>
              <w:t>) [27.7-84.8]</w:t>
            </w:r>
          </w:p>
        </w:tc>
      </w:tr>
      <w:tr w:rsidR="00CE4391" w:rsidRPr="003E5535" w14:paraId="1AB29E4F" w14:textId="77777777" w:rsidTr="00CE4391">
        <w:trPr>
          <w:jc w:val="center"/>
        </w:trPr>
        <w:tc>
          <w:tcPr>
            <w:tcW w:w="5552" w:type="dxa"/>
            <w:tcBorders>
              <w:top w:val="nil"/>
              <w:left w:val="single" w:sz="4" w:space="0" w:color="auto"/>
              <w:bottom w:val="nil"/>
              <w:right w:val="nil"/>
            </w:tcBorders>
          </w:tcPr>
          <w:p w14:paraId="59DC9E40" w14:textId="77777777" w:rsidR="00CE4391" w:rsidRPr="003E5535" w:rsidRDefault="00CE4391" w:rsidP="005A4B40">
            <w:pPr>
              <w:pStyle w:val="PI-TableText"/>
              <w:spacing w:before="60" w:after="60" w:line="240" w:lineRule="atLeast"/>
              <w:ind w:left="199"/>
              <w:rPr>
                <w:sz w:val="18"/>
              </w:rPr>
            </w:pPr>
            <w:proofErr w:type="spellStart"/>
            <w:r w:rsidRPr="003E5535">
              <w:rPr>
                <w:sz w:val="18"/>
              </w:rPr>
              <w:t>CRh</w:t>
            </w:r>
            <w:proofErr w:type="spellEnd"/>
            <w:r w:rsidRPr="003E5535">
              <w:rPr>
                <w:sz w:val="18"/>
              </w:rPr>
              <w:t>*, n1/n2</w:t>
            </w:r>
            <w:r w:rsidRPr="003E5535">
              <w:rPr>
                <w:sz w:val="18"/>
                <w:vertAlign w:val="superscript"/>
              </w:rPr>
              <w:t>d</w:t>
            </w:r>
            <w:r w:rsidRPr="003E5535">
              <w:rPr>
                <w:sz w:val="18"/>
              </w:rPr>
              <w:t xml:space="preserve"> (%) [95% CI]</w:t>
            </w:r>
          </w:p>
        </w:tc>
        <w:tc>
          <w:tcPr>
            <w:tcW w:w="3165" w:type="dxa"/>
            <w:gridSpan w:val="2"/>
            <w:tcBorders>
              <w:top w:val="nil"/>
              <w:left w:val="nil"/>
              <w:bottom w:val="nil"/>
              <w:right w:val="single" w:sz="4" w:space="0" w:color="auto"/>
            </w:tcBorders>
          </w:tcPr>
          <w:p w14:paraId="7FAFEA0B" w14:textId="12E3D9E7" w:rsidR="00CE4391" w:rsidRPr="003E5535" w:rsidRDefault="00CE4391" w:rsidP="005A4B40">
            <w:pPr>
              <w:pStyle w:val="PI-TableText"/>
              <w:spacing w:before="60" w:after="60" w:line="240" w:lineRule="atLeast"/>
              <w:jc w:val="center"/>
              <w:rPr>
                <w:sz w:val="18"/>
              </w:rPr>
            </w:pPr>
            <w:r w:rsidRPr="003E5535">
              <w:rPr>
                <w:sz w:val="18"/>
              </w:rPr>
              <w:t>5/11 (45.5</w:t>
            </w:r>
            <w:r w:rsidR="005727B2">
              <w:rPr>
                <w:sz w:val="18"/>
              </w:rPr>
              <w:t>%</w:t>
            </w:r>
            <w:r w:rsidRPr="003E5535">
              <w:rPr>
                <w:sz w:val="18"/>
              </w:rPr>
              <w:t>) [16.7-76.6]</w:t>
            </w:r>
          </w:p>
        </w:tc>
      </w:tr>
      <w:tr w:rsidR="00CE4391" w:rsidRPr="003E5535" w14:paraId="30086BB9" w14:textId="77777777" w:rsidTr="00CE4391">
        <w:trPr>
          <w:jc w:val="center"/>
        </w:trPr>
        <w:tc>
          <w:tcPr>
            <w:tcW w:w="5552" w:type="dxa"/>
            <w:tcBorders>
              <w:top w:val="nil"/>
              <w:left w:val="single" w:sz="4" w:space="0" w:color="auto"/>
              <w:bottom w:val="nil"/>
              <w:right w:val="nil"/>
            </w:tcBorders>
          </w:tcPr>
          <w:p w14:paraId="51700F58" w14:textId="7818B812" w:rsidR="00CE4391" w:rsidRPr="003E5535" w:rsidRDefault="00CE4391" w:rsidP="005727B2">
            <w:pPr>
              <w:pStyle w:val="PI-TableText"/>
              <w:spacing w:before="60" w:after="60" w:line="240" w:lineRule="atLeast"/>
              <w:rPr>
                <w:sz w:val="18"/>
              </w:rPr>
            </w:pPr>
            <w:r w:rsidRPr="003E5535">
              <w:rPr>
                <w:sz w:val="18"/>
              </w:rPr>
              <w:t xml:space="preserve">Median </w:t>
            </w:r>
            <w:proofErr w:type="spellStart"/>
            <w:r w:rsidRPr="003E5535">
              <w:rPr>
                <w:sz w:val="18"/>
              </w:rPr>
              <w:t>Relapse</w:t>
            </w:r>
            <w:r w:rsidRPr="003E5535">
              <w:rPr>
                <w:sz w:val="18"/>
                <w:vertAlign w:val="superscript"/>
              </w:rPr>
              <w:t>e</w:t>
            </w:r>
            <w:proofErr w:type="spellEnd"/>
            <w:r w:rsidRPr="003E5535">
              <w:rPr>
                <w:sz w:val="18"/>
              </w:rPr>
              <w:t xml:space="preserve">-free </w:t>
            </w:r>
            <w:r w:rsidR="005727B2">
              <w:rPr>
                <w:sz w:val="18"/>
              </w:rPr>
              <w:t>S</w:t>
            </w:r>
            <w:r w:rsidRPr="003E5535">
              <w:rPr>
                <w:sz w:val="18"/>
              </w:rPr>
              <w:t>urvival (RFS)</w:t>
            </w:r>
            <w:r w:rsidRPr="00427992">
              <w:rPr>
                <w:sz w:val="18"/>
                <w:vertAlign w:val="superscript"/>
              </w:rPr>
              <w:t xml:space="preserve">d </w:t>
            </w:r>
            <w:r w:rsidRPr="003E5535">
              <w:rPr>
                <w:sz w:val="18"/>
              </w:rPr>
              <w:t>for CR/</w:t>
            </w:r>
            <w:proofErr w:type="spellStart"/>
            <w:r w:rsidRPr="003E5535">
              <w:rPr>
                <w:sz w:val="18"/>
              </w:rPr>
              <w:t>CRh</w:t>
            </w:r>
            <w:proofErr w:type="spellEnd"/>
            <w:r w:rsidRPr="003E5535">
              <w:rPr>
                <w:sz w:val="18"/>
              </w:rPr>
              <w:t>* [95% CI]</w:t>
            </w:r>
          </w:p>
        </w:tc>
        <w:tc>
          <w:tcPr>
            <w:tcW w:w="3165" w:type="dxa"/>
            <w:gridSpan w:val="2"/>
            <w:tcBorders>
              <w:top w:val="nil"/>
              <w:left w:val="nil"/>
              <w:bottom w:val="nil"/>
              <w:right w:val="single" w:sz="4" w:space="0" w:color="auto"/>
            </w:tcBorders>
          </w:tcPr>
          <w:p w14:paraId="53098A38" w14:textId="77777777" w:rsidR="00CE4391" w:rsidRPr="003E5535" w:rsidRDefault="00CE4391" w:rsidP="005A4B40">
            <w:pPr>
              <w:pStyle w:val="PI-TableText"/>
              <w:spacing w:before="60" w:after="60" w:line="240" w:lineRule="atLeast"/>
              <w:jc w:val="center"/>
              <w:rPr>
                <w:sz w:val="18"/>
              </w:rPr>
            </w:pPr>
            <w:r w:rsidRPr="003E5535">
              <w:rPr>
                <w:sz w:val="18"/>
              </w:rPr>
              <w:t>6.0 months [1.4 to 12.0 months]</w:t>
            </w:r>
          </w:p>
        </w:tc>
      </w:tr>
      <w:tr w:rsidR="00CE4391" w:rsidRPr="003E5535" w14:paraId="482113BE" w14:textId="77777777" w:rsidTr="00CE4391">
        <w:trPr>
          <w:jc w:val="center"/>
        </w:trPr>
        <w:tc>
          <w:tcPr>
            <w:tcW w:w="5552" w:type="dxa"/>
            <w:tcBorders>
              <w:top w:val="nil"/>
              <w:left w:val="single" w:sz="4" w:space="0" w:color="auto"/>
              <w:bottom w:val="single" w:sz="4" w:space="0" w:color="auto"/>
              <w:right w:val="nil"/>
            </w:tcBorders>
          </w:tcPr>
          <w:p w14:paraId="4E1968D4" w14:textId="16BD55E1" w:rsidR="00CE4391" w:rsidRPr="003E5535" w:rsidRDefault="00CE4391" w:rsidP="005727B2">
            <w:pPr>
              <w:pStyle w:val="PI-TableText"/>
              <w:spacing w:before="60" w:after="60" w:line="240" w:lineRule="atLeast"/>
              <w:rPr>
                <w:sz w:val="18"/>
              </w:rPr>
            </w:pPr>
            <w:r w:rsidRPr="003E5535">
              <w:rPr>
                <w:sz w:val="18"/>
              </w:rPr>
              <w:t xml:space="preserve">Median Overall </w:t>
            </w:r>
            <w:r w:rsidR="005727B2">
              <w:rPr>
                <w:sz w:val="18"/>
              </w:rPr>
              <w:t>S</w:t>
            </w:r>
            <w:r w:rsidRPr="003E5535">
              <w:rPr>
                <w:sz w:val="18"/>
              </w:rPr>
              <w:t>urvival [95% CI]</w:t>
            </w:r>
          </w:p>
        </w:tc>
        <w:tc>
          <w:tcPr>
            <w:tcW w:w="3165" w:type="dxa"/>
            <w:gridSpan w:val="2"/>
            <w:tcBorders>
              <w:top w:val="nil"/>
              <w:left w:val="nil"/>
              <w:bottom w:val="single" w:sz="4" w:space="0" w:color="auto"/>
              <w:right w:val="single" w:sz="4" w:space="0" w:color="auto"/>
            </w:tcBorders>
          </w:tcPr>
          <w:p w14:paraId="3FD777F0" w14:textId="77777777" w:rsidR="00CE4391" w:rsidRPr="003E5535" w:rsidRDefault="00CE4391" w:rsidP="005A4B40">
            <w:pPr>
              <w:pStyle w:val="PI-TableText"/>
              <w:spacing w:before="60" w:after="60" w:line="240" w:lineRule="atLeast"/>
              <w:jc w:val="center"/>
              <w:rPr>
                <w:sz w:val="18"/>
              </w:rPr>
            </w:pPr>
            <w:r w:rsidRPr="003E5535">
              <w:rPr>
                <w:sz w:val="18"/>
              </w:rPr>
              <w:t>7.5 months [4.0 to 11.8 months]</w:t>
            </w:r>
          </w:p>
        </w:tc>
      </w:tr>
      <w:tr w:rsidR="00CE4391" w:rsidRPr="00783283" w14:paraId="4D2AE60F" w14:textId="77777777" w:rsidTr="005A4B40">
        <w:trPr>
          <w:trHeight w:val="2705"/>
          <w:jc w:val="center"/>
        </w:trPr>
        <w:tc>
          <w:tcPr>
            <w:tcW w:w="8717" w:type="dxa"/>
            <w:gridSpan w:val="3"/>
            <w:tcBorders>
              <w:top w:val="single" w:sz="4" w:space="0" w:color="auto"/>
              <w:left w:val="nil"/>
              <w:bottom w:val="nil"/>
              <w:right w:val="nil"/>
            </w:tcBorders>
          </w:tcPr>
          <w:p w14:paraId="37FF4CE5" w14:textId="77777777" w:rsidR="00CE4391" w:rsidRPr="003E5535" w:rsidRDefault="00CE4391" w:rsidP="005A4B40">
            <w:pPr>
              <w:pStyle w:val="ListParagraph"/>
              <w:keepLines/>
              <w:numPr>
                <w:ilvl w:val="0"/>
                <w:numId w:val="19"/>
              </w:numPr>
              <w:suppressAutoHyphens/>
              <w:spacing w:after="0" w:line="240" w:lineRule="auto"/>
              <w:rPr>
                <w:rFonts w:ascii="Arial" w:eastAsia="Times New Roman" w:hAnsi="Arial" w:cs="Times New Roman"/>
                <w:sz w:val="18"/>
                <w:szCs w:val="20"/>
                <w:lang w:eastAsia="en-GB"/>
              </w:rPr>
            </w:pPr>
            <w:r w:rsidRPr="003E5535">
              <w:rPr>
                <w:rFonts w:ascii="Arial" w:eastAsia="Times New Roman" w:hAnsi="Arial" w:cs="Times New Roman"/>
                <w:sz w:val="18"/>
                <w:szCs w:val="20"/>
                <w:lang w:eastAsia="en-GB"/>
              </w:rPr>
              <w:t>CR was defined as M1 marrow (</w:t>
            </w:r>
            <w:r w:rsidRPr="003E5535">
              <w:rPr>
                <w:lang w:eastAsia="en-GB"/>
              </w:rPr>
              <w:sym w:font="Symbol" w:char="F0A3"/>
            </w:r>
            <w:r w:rsidRPr="003E5535">
              <w:rPr>
                <w:rFonts w:ascii="Arial" w:eastAsia="Times New Roman" w:hAnsi="Arial" w:cs="Times New Roman"/>
                <w:sz w:val="18"/>
                <w:szCs w:val="20"/>
                <w:lang w:eastAsia="en-GB"/>
              </w:rPr>
              <w:t> 5% of blasts in the bone marrow), no evidence of circulating blasts or extra-medullary disease, and full recovery of peripheral blood counts (platelets &gt; 100,000/microliter and absolute neutrophil counts [ANC] &gt; 1,000/</w:t>
            </w:r>
            <w:proofErr w:type="spellStart"/>
            <w:r w:rsidRPr="003E5535">
              <w:rPr>
                <w:rFonts w:ascii="Arial" w:eastAsia="Times New Roman" w:hAnsi="Arial" w:cs="Times New Roman"/>
                <w:sz w:val="18"/>
                <w:szCs w:val="20"/>
                <w:lang w:eastAsia="en-GB"/>
              </w:rPr>
              <w:t>microlitre</w:t>
            </w:r>
            <w:proofErr w:type="spellEnd"/>
            <w:r w:rsidRPr="003E5535">
              <w:rPr>
                <w:rFonts w:ascii="Arial" w:eastAsia="Times New Roman" w:hAnsi="Arial" w:cs="Times New Roman"/>
                <w:sz w:val="18"/>
                <w:szCs w:val="20"/>
                <w:lang w:eastAsia="en-GB"/>
              </w:rPr>
              <w:t>).</w:t>
            </w:r>
          </w:p>
          <w:p w14:paraId="5835C41B" w14:textId="77777777" w:rsidR="00CE4391" w:rsidRPr="003E5535" w:rsidRDefault="00CE4391" w:rsidP="005A4B40">
            <w:pPr>
              <w:pStyle w:val="ListParagraph"/>
              <w:keepLines/>
              <w:numPr>
                <w:ilvl w:val="0"/>
                <w:numId w:val="19"/>
              </w:numPr>
              <w:suppressAutoHyphens/>
              <w:spacing w:after="0" w:line="240" w:lineRule="auto"/>
              <w:rPr>
                <w:rFonts w:ascii="Arial" w:eastAsia="Times New Roman" w:hAnsi="Arial" w:cs="Times New Roman"/>
                <w:sz w:val="18"/>
                <w:szCs w:val="20"/>
                <w:lang w:eastAsia="en-GB"/>
              </w:rPr>
            </w:pPr>
            <w:proofErr w:type="spellStart"/>
            <w:r w:rsidRPr="003E5535">
              <w:rPr>
                <w:rFonts w:ascii="Arial" w:eastAsia="Times New Roman" w:hAnsi="Arial" w:cs="Times New Roman"/>
                <w:sz w:val="18"/>
                <w:szCs w:val="20"/>
                <w:lang w:eastAsia="en-GB"/>
              </w:rPr>
              <w:t>CRh</w:t>
            </w:r>
            <w:proofErr w:type="spellEnd"/>
            <w:r w:rsidRPr="003E5535">
              <w:rPr>
                <w:rFonts w:ascii="Arial" w:eastAsia="Times New Roman" w:hAnsi="Arial" w:cs="Times New Roman"/>
                <w:sz w:val="18"/>
                <w:szCs w:val="20"/>
                <w:lang w:eastAsia="en-GB"/>
              </w:rPr>
              <w:t>* was defined as M1 marrow (</w:t>
            </w:r>
            <w:r w:rsidRPr="003E5535">
              <w:rPr>
                <w:lang w:eastAsia="en-GB"/>
              </w:rPr>
              <w:sym w:font="Symbol" w:char="F0A3"/>
            </w:r>
            <w:r w:rsidRPr="003E5535">
              <w:rPr>
                <w:rFonts w:ascii="Arial" w:eastAsia="Times New Roman" w:hAnsi="Arial" w:cs="Times New Roman"/>
                <w:sz w:val="18"/>
                <w:szCs w:val="20"/>
                <w:lang w:eastAsia="en-GB"/>
              </w:rPr>
              <w:t> 5% of blasts in the bone marrow), no evidence of circulating blasts or extra-medullary disease, and partial recovery of peripheral blood counts (platelets &gt; 50,000/</w:t>
            </w:r>
            <w:proofErr w:type="spellStart"/>
            <w:r w:rsidRPr="003E5535">
              <w:rPr>
                <w:rFonts w:ascii="Arial" w:eastAsia="Times New Roman" w:hAnsi="Arial" w:cs="Times New Roman"/>
                <w:sz w:val="18"/>
                <w:szCs w:val="20"/>
                <w:lang w:eastAsia="en-GB"/>
              </w:rPr>
              <w:t>microlitre</w:t>
            </w:r>
            <w:proofErr w:type="spellEnd"/>
            <w:r w:rsidRPr="003E5535">
              <w:rPr>
                <w:rFonts w:ascii="Arial" w:eastAsia="Times New Roman" w:hAnsi="Arial" w:cs="Times New Roman"/>
                <w:sz w:val="18"/>
                <w:szCs w:val="20"/>
                <w:lang w:eastAsia="en-GB"/>
              </w:rPr>
              <w:t xml:space="preserve"> and ANC &gt; 500/</w:t>
            </w:r>
            <w:proofErr w:type="spellStart"/>
            <w:r w:rsidRPr="003E5535">
              <w:rPr>
                <w:rFonts w:ascii="Arial" w:eastAsia="Times New Roman" w:hAnsi="Arial" w:cs="Times New Roman"/>
                <w:sz w:val="18"/>
                <w:szCs w:val="20"/>
                <w:lang w:eastAsia="en-GB"/>
              </w:rPr>
              <w:t>microlitre</w:t>
            </w:r>
            <w:proofErr w:type="spellEnd"/>
            <w:r w:rsidRPr="003E5535">
              <w:rPr>
                <w:rFonts w:ascii="Arial" w:eastAsia="Times New Roman" w:hAnsi="Arial" w:cs="Times New Roman"/>
                <w:sz w:val="18"/>
                <w:szCs w:val="20"/>
                <w:lang w:eastAsia="en-GB"/>
              </w:rPr>
              <w:t>).</w:t>
            </w:r>
          </w:p>
          <w:p w14:paraId="21B134A0" w14:textId="77777777" w:rsidR="00CE4391" w:rsidRPr="003E5535" w:rsidRDefault="00CE4391" w:rsidP="005A4B40">
            <w:pPr>
              <w:pStyle w:val="ListParagraph"/>
              <w:keepLines/>
              <w:numPr>
                <w:ilvl w:val="0"/>
                <w:numId w:val="19"/>
              </w:numPr>
              <w:suppressAutoHyphens/>
              <w:spacing w:after="0" w:line="240" w:lineRule="auto"/>
              <w:rPr>
                <w:rFonts w:ascii="Arial" w:eastAsia="Times New Roman" w:hAnsi="Arial" w:cs="Times New Roman"/>
                <w:sz w:val="18"/>
                <w:szCs w:val="20"/>
                <w:lang w:eastAsia="en-GB"/>
              </w:rPr>
            </w:pPr>
            <w:r w:rsidRPr="003E5535">
              <w:rPr>
                <w:rFonts w:ascii="Arial" w:eastAsia="Times New Roman" w:hAnsi="Arial" w:cs="Times New Roman"/>
                <w:sz w:val="18"/>
                <w:szCs w:val="20"/>
                <w:lang w:eastAsia="en-GB"/>
              </w:rPr>
              <w:t>MRD (minimal residual disease) response was defined as MRD by PCR or flow cytometry &lt; 1 x 10-4</w:t>
            </w:r>
          </w:p>
          <w:p w14:paraId="263C986C" w14:textId="77777777" w:rsidR="00CE4391" w:rsidRDefault="00CE4391" w:rsidP="005A4B40">
            <w:pPr>
              <w:pStyle w:val="ListParagraph"/>
              <w:keepLines/>
              <w:numPr>
                <w:ilvl w:val="0"/>
                <w:numId w:val="19"/>
              </w:numPr>
              <w:suppressAutoHyphens/>
              <w:spacing w:after="0" w:line="240" w:lineRule="auto"/>
              <w:rPr>
                <w:rFonts w:ascii="Arial" w:eastAsia="Times New Roman" w:hAnsi="Arial" w:cs="Times New Roman"/>
                <w:sz w:val="18"/>
                <w:szCs w:val="20"/>
                <w:lang w:eastAsia="en-GB"/>
              </w:rPr>
            </w:pPr>
            <w:r w:rsidRPr="003E5535">
              <w:rPr>
                <w:rFonts w:ascii="Arial" w:eastAsia="Times New Roman" w:hAnsi="Arial" w:cs="Times New Roman"/>
                <w:sz w:val="18"/>
                <w:szCs w:val="20"/>
                <w:lang w:eastAsia="en-GB"/>
              </w:rPr>
              <w:t>n1: number of patients who achieved MRD response and the respective remission status; n2: number of patients who achieved the respective remission status.  One CR/</w:t>
            </w:r>
            <w:proofErr w:type="spellStart"/>
            <w:r w:rsidRPr="003E5535">
              <w:rPr>
                <w:rFonts w:ascii="Arial" w:eastAsia="Times New Roman" w:hAnsi="Arial" w:cs="Times New Roman"/>
                <w:sz w:val="18"/>
                <w:szCs w:val="20"/>
                <w:lang w:eastAsia="en-GB"/>
              </w:rPr>
              <w:t>CRh</w:t>
            </w:r>
            <w:proofErr w:type="spellEnd"/>
            <w:r w:rsidRPr="003E5535">
              <w:rPr>
                <w:rFonts w:ascii="Arial" w:eastAsia="Times New Roman" w:hAnsi="Arial" w:cs="Times New Roman"/>
                <w:sz w:val="18"/>
                <w:szCs w:val="20"/>
                <w:lang w:eastAsia="en-GB"/>
              </w:rPr>
              <w:t>* responder with missing MRD data was considered as a MRD-</w:t>
            </w:r>
            <w:proofErr w:type="spellStart"/>
            <w:r w:rsidRPr="003E5535">
              <w:rPr>
                <w:rFonts w:ascii="Arial" w:eastAsia="Times New Roman" w:hAnsi="Arial" w:cs="Times New Roman"/>
                <w:sz w:val="18"/>
                <w:szCs w:val="20"/>
                <w:lang w:eastAsia="en-GB"/>
              </w:rPr>
              <w:t>nonresponder</w:t>
            </w:r>
            <w:proofErr w:type="spellEnd"/>
            <w:r w:rsidRPr="003E5535">
              <w:rPr>
                <w:rFonts w:ascii="Arial" w:eastAsia="Times New Roman" w:hAnsi="Arial" w:cs="Times New Roman"/>
                <w:sz w:val="18"/>
                <w:szCs w:val="20"/>
                <w:lang w:eastAsia="en-GB"/>
              </w:rPr>
              <w:t>.</w:t>
            </w:r>
          </w:p>
          <w:p w14:paraId="69CF34D6" w14:textId="6B8114B3" w:rsidR="00CE4391" w:rsidRPr="00783283" w:rsidRDefault="00CE4391" w:rsidP="00311C47">
            <w:pPr>
              <w:pStyle w:val="ListParagraph"/>
              <w:keepLines/>
              <w:numPr>
                <w:ilvl w:val="0"/>
                <w:numId w:val="19"/>
              </w:numPr>
              <w:suppressAutoHyphens/>
              <w:spacing w:after="0" w:line="240" w:lineRule="auto"/>
              <w:rPr>
                <w:rFonts w:ascii="Arial" w:eastAsia="Times New Roman" w:hAnsi="Arial" w:cs="Times New Roman"/>
                <w:sz w:val="18"/>
                <w:szCs w:val="20"/>
                <w:lang w:eastAsia="en-GB"/>
              </w:rPr>
            </w:pPr>
            <w:r w:rsidRPr="003E5535">
              <w:rPr>
                <w:rFonts w:ascii="Arial" w:eastAsia="Times New Roman" w:hAnsi="Arial" w:cs="Times New Roman"/>
                <w:sz w:val="18"/>
                <w:szCs w:val="20"/>
                <w:lang w:eastAsia="en-GB"/>
              </w:rPr>
              <w:t xml:space="preserve">Relapse was defined as haematological relapse (blasts in bone marrow greater than 25% following CR) or an </w:t>
            </w:r>
            <w:proofErr w:type="spellStart"/>
            <w:r w:rsidRPr="003E5535">
              <w:rPr>
                <w:rFonts w:ascii="Arial" w:eastAsia="Times New Roman" w:hAnsi="Arial" w:cs="Times New Roman"/>
                <w:sz w:val="18"/>
                <w:szCs w:val="20"/>
                <w:lang w:eastAsia="en-GB"/>
              </w:rPr>
              <w:t>extramedullary</w:t>
            </w:r>
            <w:proofErr w:type="spellEnd"/>
            <w:r w:rsidRPr="003E5535">
              <w:rPr>
                <w:rFonts w:ascii="Arial" w:eastAsia="Times New Roman" w:hAnsi="Arial" w:cs="Times New Roman"/>
                <w:sz w:val="18"/>
                <w:szCs w:val="20"/>
                <w:lang w:eastAsia="en-GB"/>
              </w:rPr>
              <w:t xml:space="preserve"> relapse</w:t>
            </w:r>
          </w:p>
        </w:tc>
      </w:tr>
    </w:tbl>
    <w:p w14:paraId="5FB34FE6" w14:textId="77777777" w:rsidR="00CE4391" w:rsidRPr="00CE4391" w:rsidRDefault="00CE4391" w:rsidP="00CE4391">
      <w:pPr>
        <w:pStyle w:val="Text"/>
      </w:pPr>
    </w:p>
    <w:p w14:paraId="433C08DF" w14:textId="4D164C7C" w:rsidR="001A3992" w:rsidRDefault="00311C47" w:rsidP="001A3992">
      <w:pPr>
        <w:pStyle w:val="Heading2"/>
        <w:keepNext/>
        <w:spacing w:before="0" w:after="120"/>
        <w:rPr>
          <w:lang w:val="en-US"/>
        </w:rPr>
      </w:pPr>
      <w:r>
        <w:rPr>
          <w:lang w:val="en-US"/>
        </w:rPr>
        <w:t>Pharmacokinetic properties</w:t>
      </w:r>
    </w:p>
    <w:p w14:paraId="712D238F" w14:textId="77777777" w:rsidR="001A3992" w:rsidRDefault="001A3992" w:rsidP="001A3992">
      <w:pPr>
        <w:pStyle w:val="Heading3"/>
        <w:spacing w:before="0" w:after="120"/>
      </w:pPr>
      <w:r w:rsidRPr="002543CA">
        <w:t>Absorption</w:t>
      </w:r>
    </w:p>
    <w:p w14:paraId="6BBA08E7" w14:textId="7520D115" w:rsidR="002543CA" w:rsidRPr="00FA1C6C" w:rsidRDefault="002543CA" w:rsidP="002543CA">
      <w:pPr>
        <w:pStyle w:val="PI-Text"/>
        <w:rPr>
          <w:color w:val="000000" w:themeColor="text1"/>
        </w:rPr>
      </w:pPr>
      <w:r w:rsidRPr="00FF4079">
        <w:t xml:space="preserve">The pharmacokinetics of </w:t>
      </w:r>
      <w:proofErr w:type="spellStart"/>
      <w:r>
        <w:t>blinatumomab</w:t>
      </w:r>
      <w:proofErr w:type="spellEnd"/>
      <w:r w:rsidRPr="00FF4079">
        <w:t xml:space="preserve"> appear linear</w:t>
      </w:r>
      <w:r>
        <w:t xml:space="preserve"> over a dose range from 5 to 90 </w:t>
      </w:r>
      <w:r w:rsidRPr="00FF4079">
        <w:t>micrograms/m</w:t>
      </w:r>
      <w:r w:rsidRPr="00FF4079">
        <w:rPr>
          <w:vertAlign w:val="superscript"/>
        </w:rPr>
        <w:t>2</w:t>
      </w:r>
      <w:r w:rsidRPr="00FF4079">
        <w:t>/day (appro</w:t>
      </w:r>
      <w:r>
        <w:t>ximately equivalent to 9 to 162 </w:t>
      </w:r>
      <w:r w:rsidRPr="00FF4079">
        <w:t xml:space="preserve">micrograms/day) in adult patients. </w:t>
      </w:r>
      <w:r>
        <w:t xml:space="preserve"> </w:t>
      </w:r>
      <w:r w:rsidRPr="00FF4079">
        <w:t>Following continuous intravenous infusion, the steady state serum concentration (</w:t>
      </w:r>
      <w:proofErr w:type="spellStart"/>
      <w:r w:rsidRPr="00FA1C6C">
        <w:rPr>
          <w:color w:val="000000" w:themeColor="text1"/>
        </w:rPr>
        <w:t>C</w:t>
      </w:r>
      <w:r w:rsidR="00662EFA" w:rsidRPr="00FA1C6C">
        <w:rPr>
          <w:color w:val="000000" w:themeColor="text1"/>
          <w:vertAlign w:val="subscript"/>
        </w:rPr>
        <w:t>ss</w:t>
      </w:r>
      <w:proofErr w:type="spellEnd"/>
      <w:r w:rsidRPr="00FA1C6C">
        <w:rPr>
          <w:color w:val="000000" w:themeColor="text1"/>
        </w:rPr>
        <w:t xml:space="preserve">) was achieved within a day and remained stable over time.  The increase in mean </w:t>
      </w:r>
      <w:proofErr w:type="spellStart"/>
      <w:r w:rsidR="00662EFA" w:rsidRPr="00FA1C6C">
        <w:rPr>
          <w:color w:val="000000" w:themeColor="text1"/>
        </w:rPr>
        <w:t>C</w:t>
      </w:r>
      <w:r w:rsidR="00662EFA" w:rsidRPr="00FA1C6C">
        <w:rPr>
          <w:color w:val="000000" w:themeColor="text1"/>
          <w:vertAlign w:val="subscript"/>
        </w:rPr>
        <w:t>ss</w:t>
      </w:r>
      <w:proofErr w:type="spellEnd"/>
      <w:r w:rsidRPr="00FA1C6C">
        <w:rPr>
          <w:color w:val="000000" w:themeColor="text1"/>
        </w:rPr>
        <w:t xml:space="preserve"> values was approximately proportional to the dose in the range tested.  At the clinical doses of 9 micrograms/day and 28 micrograms/day for the treatment of relapsed/refractory acute lymphoblastic </w:t>
      </w:r>
      <w:r w:rsidR="00662EFA" w:rsidRPr="00FA1C6C">
        <w:rPr>
          <w:color w:val="000000" w:themeColor="text1"/>
        </w:rPr>
        <w:t>leuk</w:t>
      </w:r>
      <w:r w:rsidR="00FA1C6C" w:rsidRPr="00FA1C6C">
        <w:rPr>
          <w:color w:val="000000" w:themeColor="text1"/>
        </w:rPr>
        <w:t>a</w:t>
      </w:r>
      <w:r w:rsidR="00662EFA" w:rsidRPr="00FA1C6C">
        <w:rPr>
          <w:color w:val="000000" w:themeColor="text1"/>
        </w:rPr>
        <w:t>emia</w:t>
      </w:r>
      <w:r w:rsidRPr="00FA1C6C">
        <w:rPr>
          <w:color w:val="000000" w:themeColor="text1"/>
        </w:rPr>
        <w:t xml:space="preserve"> (ALL), the mean (SD) </w:t>
      </w:r>
      <w:proofErr w:type="spellStart"/>
      <w:r w:rsidR="00662EFA" w:rsidRPr="00FA1C6C">
        <w:rPr>
          <w:color w:val="000000" w:themeColor="text1"/>
        </w:rPr>
        <w:t>C</w:t>
      </w:r>
      <w:r w:rsidR="00662EFA" w:rsidRPr="00FA1C6C">
        <w:rPr>
          <w:color w:val="000000" w:themeColor="text1"/>
          <w:vertAlign w:val="subscript"/>
        </w:rPr>
        <w:t>ss</w:t>
      </w:r>
      <w:proofErr w:type="spellEnd"/>
      <w:r w:rsidRPr="00FA1C6C">
        <w:rPr>
          <w:color w:val="000000" w:themeColor="text1"/>
        </w:rPr>
        <w:t xml:space="preserve"> was 228 (356) </w:t>
      </w:r>
      <w:proofErr w:type="spellStart"/>
      <w:r w:rsidRPr="00FA1C6C">
        <w:rPr>
          <w:color w:val="000000" w:themeColor="text1"/>
        </w:rPr>
        <w:t>pg</w:t>
      </w:r>
      <w:proofErr w:type="spellEnd"/>
      <w:r w:rsidRPr="00FA1C6C">
        <w:rPr>
          <w:color w:val="000000" w:themeColor="text1"/>
        </w:rPr>
        <w:t>/mL and 616 (537) </w:t>
      </w:r>
      <w:proofErr w:type="spellStart"/>
      <w:r w:rsidRPr="00FA1C6C">
        <w:rPr>
          <w:color w:val="000000" w:themeColor="text1"/>
        </w:rPr>
        <w:t>pg</w:t>
      </w:r>
      <w:proofErr w:type="spellEnd"/>
      <w:r w:rsidRPr="00FA1C6C">
        <w:rPr>
          <w:color w:val="000000" w:themeColor="text1"/>
        </w:rPr>
        <w:t>/mL, respectively.</w:t>
      </w:r>
    </w:p>
    <w:p w14:paraId="5AF46BBF" w14:textId="54437A6F" w:rsidR="002543CA" w:rsidRPr="00FF4079" w:rsidRDefault="002543CA" w:rsidP="002543CA">
      <w:pPr>
        <w:pStyle w:val="PI-Text"/>
      </w:pPr>
      <w:r>
        <w:t xml:space="preserve">The </w:t>
      </w:r>
      <w:r w:rsidR="00992303">
        <w:t>exposure</w:t>
      </w:r>
      <w:r>
        <w:t xml:space="preserve"> of </w:t>
      </w:r>
      <w:proofErr w:type="spellStart"/>
      <w:r>
        <w:t>blinatumomab</w:t>
      </w:r>
      <w:proofErr w:type="spellEnd"/>
      <w:r>
        <w:t xml:space="preserve"> in patients with MRD-positive B-cell precursor ALL was similar to patients with relapsed or refractory ALL.</w:t>
      </w:r>
    </w:p>
    <w:p w14:paraId="6DD65287" w14:textId="77777777" w:rsidR="001A3992" w:rsidRDefault="001A3992" w:rsidP="001A3992">
      <w:pPr>
        <w:pStyle w:val="Heading3"/>
        <w:spacing w:before="0" w:after="120"/>
      </w:pPr>
      <w:r w:rsidRPr="00B878CC">
        <w:lastRenderedPageBreak/>
        <w:t>Distribution</w:t>
      </w:r>
    </w:p>
    <w:p w14:paraId="52290492" w14:textId="13D1F09F" w:rsidR="00AE521B" w:rsidRPr="00FF4079" w:rsidRDefault="00AE521B" w:rsidP="00AE521B">
      <w:pPr>
        <w:pStyle w:val="PI-Text"/>
      </w:pPr>
      <w:r w:rsidRPr="00FF4079">
        <w:t xml:space="preserve">The estimated mean (SD) volume of distribution based </w:t>
      </w:r>
      <w:r>
        <w:t>on terminal phase (</w:t>
      </w:r>
      <w:proofErr w:type="spellStart"/>
      <w:r>
        <w:t>V</w:t>
      </w:r>
      <w:r w:rsidR="00662EFA" w:rsidRPr="009045E5">
        <w:rPr>
          <w:color w:val="000000" w:themeColor="text1"/>
          <w:vertAlign w:val="subscript"/>
        </w:rPr>
        <w:t>z</w:t>
      </w:r>
      <w:proofErr w:type="spellEnd"/>
      <w:r>
        <w:t>) was 4.35 (2.45) </w:t>
      </w:r>
      <w:r w:rsidRPr="00FF4079">
        <w:t xml:space="preserve">L with continuous intravenous infusion of </w:t>
      </w:r>
      <w:proofErr w:type="spellStart"/>
      <w:r w:rsidRPr="00FF4079">
        <w:t>Blincyto</w:t>
      </w:r>
      <w:proofErr w:type="spellEnd"/>
      <w:r w:rsidRPr="00FF4079">
        <w:t>.</w:t>
      </w:r>
    </w:p>
    <w:p w14:paraId="0AA134E0" w14:textId="77777777" w:rsidR="001A3992" w:rsidRDefault="001A3992" w:rsidP="001A3992">
      <w:pPr>
        <w:pStyle w:val="Heading3"/>
        <w:spacing w:before="0" w:after="120"/>
      </w:pPr>
      <w:r w:rsidRPr="00B878CC">
        <w:t>Metabolism</w:t>
      </w:r>
    </w:p>
    <w:p w14:paraId="65763510" w14:textId="77777777" w:rsidR="007D43DB" w:rsidRPr="00FF4079" w:rsidRDefault="007D43DB" w:rsidP="007D43DB">
      <w:pPr>
        <w:pStyle w:val="PI-Text"/>
      </w:pPr>
      <w:r w:rsidRPr="00FF4079">
        <w:t xml:space="preserve">The metabolic pathway of </w:t>
      </w:r>
      <w:proofErr w:type="spellStart"/>
      <w:r>
        <w:t>blinatumomab</w:t>
      </w:r>
      <w:proofErr w:type="spellEnd"/>
      <w:r w:rsidRPr="00FF4079">
        <w:t xml:space="preserve"> has not been characterised. </w:t>
      </w:r>
      <w:r>
        <w:t xml:space="preserve"> </w:t>
      </w:r>
      <w:r w:rsidRPr="00FF4079">
        <w:t xml:space="preserve">Like other protein therapeutics, </w:t>
      </w:r>
      <w:proofErr w:type="spellStart"/>
      <w:r>
        <w:t>blinatumomab</w:t>
      </w:r>
      <w:proofErr w:type="spellEnd"/>
      <w:r w:rsidRPr="00FF4079">
        <w:t xml:space="preserve"> is expected to be degraded into small peptides and amino acids via catabolic pathways.</w:t>
      </w:r>
    </w:p>
    <w:p w14:paraId="02DE8FCB" w14:textId="77777777" w:rsidR="001A3992" w:rsidRDefault="001A3992" w:rsidP="001A3992">
      <w:pPr>
        <w:pStyle w:val="Heading3"/>
        <w:spacing w:before="0" w:after="120"/>
      </w:pPr>
      <w:r w:rsidRPr="00B878CC">
        <w:t>Excretion</w:t>
      </w:r>
    </w:p>
    <w:p w14:paraId="2F3EFE38" w14:textId="77777777" w:rsidR="007D43DB" w:rsidRDefault="007D43DB" w:rsidP="007D43DB">
      <w:pPr>
        <w:pStyle w:val="PI-Text"/>
      </w:pPr>
      <w:r w:rsidRPr="00FF4079">
        <w:t xml:space="preserve">The estimated mean (SD) systemic clearance with continuous intravenous infusion in patients receiving </w:t>
      </w:r>
      <w:proofErr w:type="spellStart"/>
      <w:r>
        <w:t>blinatumomab</w:t>
      </w:r>
      <w:proofErr w:type="spellEnd"/>
      <w:r w:rsidRPr="00FF4079" w:rsidDel="006E29B8">
        <w:t xml:space="preserve"> </w:t>
      </w:r>
      <w:r>
        <w:t>in clinical studies was 3.11 (2.98) </w:t>
      </w:r>
      <w:r w:rsidRPr="00FF4079">
        <w:t xml:space="preserve">L/hour. </w:t>
      </w:r>
      <w:r>
        <w:t xml:space="preserve"> </w:t>
      </w:r>
      <w:r w:rsidRPr="00FF4079">
        <w:t>The mean (SD) half</w:t>
      </w:r>
      <w:r>
        <w:noBreakHyphen/>
        <w:t>life was2.10 (1.41)</w:t>
      </w:r>
      <w:r w:rsidRPr="00FF4079">
        <w:t xml:space="preserve"> hours. </w:t>
      </w:r>
      <w:r>
        <w:t xml:space="preserve"> </w:t>
      </w:r>
      <w:r w:rsidRPr="00FF4079">
        <w:t xml:space="preserve">Negligible amounts of </w:t>
      </w:r>
      <w:proofErr w:type="spellStart"/>
      <w:r>
        <w:t>blinatumomab</w:t>
      </w:r>
      <w:proofErr w:type="spellEnd"/>
      <w:r w:rsidRPr="00FF4079">
        <w:t xml:space="preserve"> were excreted in the urine at the tested clinical doses.</w:t>
      </w:r>
    </w:p>
    <w:p w14:paraId="1EAB68EA" w14:textId="7808B6B6" w:rsidR="007D43DB" w:rsidRPr="00FF4079" w:rsidRDefault="007D43DB" w:rsidP="00655F70">
      <w:pPr>
        <w:pStyle w:val="Heading3"/>
      </w:pPr>
      <w:r w:rsidRPr="00655F70">
        <w:t xml:space="preserve">Body surface area, </w:t>
      </w:r>
      <w:r w:rsidR="00F15285">
        <w:t>g</w:t>
      </w:r>
      <w:r w:rsidRPr="00655F70">
        <w:t xml:space="preserve">ender, and </w:t>
      </w:r>
      <w:r w:rsidR="00F15285">
        <w:t>a</w:t>
      </w:r>
      <w:r w:rsidRPr="00655F70">
        <w:t>ge</w:t>
      </w:r>
    </w:p>
    <w:p w14:paraId="30E496D3" w14:textId="77777777" w:rsidR="007D43DB" w:rsidRPr="00FF4079" w:rsidRDefault="007D43DB" w:rsidP="007D43DB">
      <w:pPr>
        <w:pStyle w:val="PI-Text"/>
      </w:pPr>
      <w:r w:rsidRPr="00FF4079">
        <w:t xml:space="preserve">A population pharmacokinetic analysis was performed to evaluate the effects of demographic characteristics on </w:t>
      </w:r>
      <w:proofErr w:type="spellStart"/>
      <w:r w:rsidRPr="00FF4079">
        <w:t>blinatumomab</w:t>
      </w:r>
      <w:proofErr w:type="spellEnd"/>
      <w:r w:rsidRPr="00FF4079">
        <w:t xml:space="preserve"> pharmacokinetics. </w:t>
      </w:r>
      <w:r>
        <w:t xml:space="preserve"> </w:t>
      </w:r>
      <w:r w:rsidRPr="00FF4079">
        <w:t xml:space="preserve">Results suggest that age (0.62 </w:t>
      </w:r>
      <w:r>
        <w:t>to 80 </w:t>
      </w:r>
      <w:r w:rsidRPr="00FF4079">
        <w:t>years of age) and gender</w:t>
      </w:r>
      <w:r>
        <w:t xml:space="preserve"> </w:t>
      </w:r>
      <w:r w:rsidRPr="00FF4079">
        <w:t xml:space="preserve">do not influence the pharmacokinetics of </w:t>
      </w:r>
      <w:proofErr w:type="spellStart"/>
      <w:r w:rsidRPr="00FF4079">
        <w:t>blinatumomab</w:t>
      </w:r>
      <w:proofErr w:type="spellEnd"/>
      <w:r w:rsidRPr="00FF4079">
        <w:t>.</w:t>
      </w:r>
    </w:p>
    <w:p w14:paraId="4C7AF0DF" w14:textId="77777777" w:rsidR="007D43DB" w:rsidRDefault="007D43DB" w:rsidP="007D43DB">
      <w:pPr>
        <w:pStyle w:val="PI-Text"/>
      </w:pPr>
      <w:r>
        <w:t>Body surface area (0.37 to 2.70 </w:t>
      </w:r>
      <w:r w:rsidRPr="00FF4079">
        <w:t>m</w:t>
      </w:r>
      <w:r w:rsidRPr="00FF4079">
        <w:rPr>
          <w:vertAlign w:val="superscript"/>
        </w:rPr>
        <w:t>2</w:t>
      </w:r>
      <w:r w:rsidRPr="00FF4079">
        <w:t xml:space="preserve">) influences the pharmacokinetics of </w:t>
      </w:r>
      <w:proofErr w:type="spellStart"/>
      <w:r w:rsidRPr="00FF4079">
        <w:t>blinatumomab</w:t>
      </w:r>
      <w:proofErr w:type="spellEnd"/>
      <w:r w:rsidRPr="00FF4079">
        <w:t>, however the clinical relevance of this effect is unknown.</w:t>
      </w:r>
    </w:p>
    <w:p w14:paraId="23777B26" w14:textId="77777777" w:rsidR="007D43DB" w:rsidRPr="00655F70" w:rsidRDefault="007D43DB" w:rsidP="00655F70">
      <w:pPr>
        <w:pStyle w:val="Heading3"/>
      </w:pPr>
      <w:r w:rsidRPr="00655F70">
        <w:t>Special populations</w:t>
      </w:r>
    </w:p>
    <w:p w14:paraId="39BC1601" w14:textId="77777777" w:rsidR="007D43DB" w:rsidRPr="00655F70" w:rsidRDefault="007D43DB" w:rsidP="00655F70">
      <w:pPr>
        <w:pStyle w:val="Heading4"/>
      </w:pPr>
      <w:r w:rsidRPr="00655F70">
        <w:t>Paediatric</w:t>
      </w:r>
    </w:p>
    <w:p w14:paraId="7FA4FCDA" w14:textId="2401A8D1" w:rsidR="007D43DB" w:rsidRPr="00810AF8" w:rsidRDefault="007D43DB" w:rsidP="007D43DB">
      <w:pPr>
        <w:pStyle w:val="PI-Text"/>
        <w:rPr>
          <w:color w:val="000000" w:themeColor="text1"/>
        </w:rPr>
      </w:pPr>
      <w:r w:rsidRPr="00655F70">
        <w:t xml:space="preserve">The pharmacokinetics of </w:t>
      </w:r>
      <w:proofErr w:type="spellStart"/>
      <w:r w:rsidRPr="00655F70">
        <w:t>blinatumomab</w:t>
      </w:r>
      <w:proofErr w:type="spellEnd"/>
      <w:r w:rsidRPr="00655F70">
        <w:t xml:space="preserve"> appear linear over a dose range from 5 to 30 micrograms/m</w:t>
      </w:r>
      <w:r w:rsidRPr="00655F70">
        <w:rPr>
          <w:vertAlign w:val="superscript"/>
        </w:rPr>
        <w:t>2</w:t>
      </w:r>
      <w:r w:rsidRPr="00655F70">
        <w:t xml:space="preserve">/day in paediatric patients.  At the recommended doses, the mean (SD) steady state </w:t>
      </w:r>
      <w:r w:rsidRPr="00810AF8">
        <w:rPr>
          <w:color w:val="000000" w:themeColor="text1"/>
        </w:rPr>
        <w:t>concentration (</w:t>
      </w:r>
      <w:proofErr w:type="spellStart"/>
      <w:r w:rsidR="00662EFA" w:rsidRPr="00810AF8">
        <w:rPr>
          <w:color w:val="000000" w:themeColor="text1"/>
        </w:rPr>
        <w:t>C</w:t>
      </w:r>
      <w:r w:rsidR="00662EFA" w:rsidRPr="00810AF8">
        <w:rPr>
          <w:color w:val="000000" w:themeColor="text1"/>
          <w:vertAlign w:val="subscript"/>
        </w:rPr>
        <w:t>ss</w:t>
      </w:r>
      <w:proofErr w:type="spellEnd"/>
      <w:r w:rsidRPr="00810AF8">
        <w:rPr>
          <w:color w:val="000000" w:themeColor="text1"/>
        </w:rPr>
        <w:t>) values were 162 (179) and 533 (392) </w:t>
      </w:r>
      <w:proofErr w:type="spellStart"/>
      <w:r w:rsidRPr="00810AF8">
        <w:rPr>
          <w:color w:val="000000" w:themeColor="text1"/>
        </w:rPr>
        <w:t>pg</w:t>
      </w:r>
      <w:proofErr w:type="spellEnd"/>
      <w:r w:rsidRPr="00810AF8">
        <w:rPr>
          <w:color w:val="000000" w:themeColor="text1"/>
        </w:rPr>
        <w:t>/mL at 5 and 15 micrograms/m</w:t>
      </w:r>
      <w:r w:rsidRPr="00810AF8">
        <w:rPr>
          <w:color w:val="000000" w:themeColor="text1"/>
          <w:vertAlign w:val="superscript"/>
        </w:rPr>
        <w:t>2</w:t>
      </w:r>
      <w:r w:rsidRPr="00810AF8">
        <w:rPr>
          <w:color w:val="000000" w:themeColor="text1"/>
        </w:rPr>
        <w:t>/day doses, respectively.  The estimated mean (SD) volume of distribution (</w:t>
      </w:r>
      <w:proofErr w:type="spellStart"/>
      <w:r w:rsidRPr="00810AF8">
        <w:rPr>
          <w:color w:val="000000" w:themeColor="text1"/>
        </w:rPr>
        <w:t>V</w:t>
      </w:r>
      <w:r w:rsidR="00662EFA" w:rsidRPr="00810AF8">
        <w:rPr>
          <w:color w:val="000000" w:themeColor="text1"/>
          <w:vertAlign w:val="subscript"/>
        </w:rPr>
        <w:t>z</w:t>
      </w:r>
      <w:proofErr w:type="spellEnd"/>
      <w:r w:rsidRPr="00810AF8">
        <w:rPr>
          <w:color w:val="000000" w:themeColor="text1"/>
        </w:rPr>
        <w:t>), clearance (CL) and terminal half</w:t>
      </w:r>
      <w:r w:rsidRPr="00810AF8">
        <w:rPr>
          <w:color w:val="000000" w:themeColor="text1"/>
        </w:rPr>
        <w:noBreakHyphen/>
        <w:t>life (t</w:t>
      </w:r>
      <w:r w:rsidR="00662EFA" w:rsidRPr="00810AF8">
        <w:rPr>
          <w:color w:val="000000" w:themeColor="text1"/>
          <w:vertAlign w:val="subscript"/>
        </w:rPr>
        <w:t>1/2,z</w:t>
      </w:r>
      <w:r w:rsidRPr="00810AF8">
        <w:rPr>
          <w:color w:val="000000" w:themeColor="text1"/>
        </w:rPr>
        <w:t>) were 3.91 (3.36) L/m</w:t>
      </w:r>
      <w:r w:rsidRPr="00810AF8">
        <w:rPr>
          <w:color w:val="000000" w:themeColor="text1"/>
          <w:vertAlign w:val="superscript"/>
        </w:rPr>
        <w:t>2</w:t>
      </w:r>
      <w:r w:rsidRPr="00810AF8">
        <w:rPr>
          <w:color w:val="000000" w:themeColor="text1"/>
        </w:rPr>
        <w:t>, 1.88 (1.90) L/hr/m</w:t>
      </w:r>
      <w:r w:rsidRPr="00810AF8">
        <w:rPr>
          <w:color w:val="000000" w:themeColor="text1"/>
          <w:vertAlign w:val="superscript"/>
        </w:rPr>
        <w:t>2</w:t>
      </w:r>
      <w:r w:rsidRPr="00810AF8">
        <w:rPr>
          <w:color w:val="000000" w:themeColor="text1"/>
        </w:rPr>
        <w:t xml:space="preserve"> and 2.19 (1.53) hours, respectively.</w:t>
      </w:r>
    </w:p>
    <w:p w14:paraId="778524E3" w14:textId="77777777" w:rsidR="007D43DB" w:rsidRPr="00810AF8" w:rsidRDefault="007D43DB" w:rsidP="00655F70">
      <w:pPr>
        <w:pStyle w:val="Heading4"/>
      </w:pPr>
      <w:r w:rsidRPr="00810AF8">
        <w:t>Use in hepatic impairment</w:t>
      </w:r>
    </w:p>
    <w:p w14:paraId="49E515AB" w14:textId="160B2414" w:rsidR="007D43DB" w:rsidRPr="00655F70" w:rsidRDefault="007D43DB" w:rsidP="007D43DB">
      <w:pPr>
        <w:pStyle w:val="PI-Text"/>
      </w:pPr>
      <w:r w:rsidRPr="00810AF8">
        <w:rPr>
          <w:color w:val="000000" w:themeColor="text1"/>
        </w:rPr>
        <w:t xml:space="preserve">No formal pharmacokinetic studies using </w:t>
      </w:r>
      <w:proofErr w:type="spellStart"/>
      <w:r w:rsidRPr="00810AF8">
        <w:rPr>
          <w:color w:val="000000" w:themeColor="text1"/>
        </w:rPr>
        <w:t>Blincyto</w:t>
      </w:r>
      <w:proofErr w:type="spellEnd"/>
      <w:r w:rsidRPr="00810AF8">
        <w:rPr>
          <w:color w:val="000000" w:themeColor="text1"/>
        </w:rPr>
        <w:t xml:space="preserve"> have been conducted in patients with hepatic impairment.  Baseline alanine aminotransferase </w:t>
      </w:r>
      <w:r w:rsidR="00662EFA" w:rsidRPr="00810AF8">
        <w:rPr>
          <w:color w:val="000000" w:themeColor="text1"/>
        </w:rPr>
        <w:t xml:space="preserve">(ALT) and aspartate </w:t>
      </w:r>
      <w:r w:rsidR="00662EFA" w:rsidRPr="00810AF8">
        <w:rPr>
          <w:color w:val="000000" w:themeColor="text1"/>
        </w:rPr>
        <w:lastRenderedPageBreak/>
        <w:t>aminotransferase (AST)</w:t>
      </w:r>
      <w:r w:rsidRPr="00810AF8">
        <w:rPr>
          <w:color w:val="000000" w:themeColor="text1"/>
        </w:rPr>
        <w:t xml:space="preserve"> levels were u</w:t>
      </w:r>
      <w:r w:rsidRPr="00655F70">
        <w:t xml:space="preserve">sed to assess the effect of hepatic impairment on the clearance of </w:t>
      </w:r>
      <w:proofErr w:type="spellStart"/>
      <w:r w:rsidRPr="00655F70">
        <w:t>Blincyto</w:t>
      </w:r>
      <w:proofErr w:type="spellEnd"/>
      <w:r w:rsidRPr="00655F70">
        <w:t xml:space="preserve">.  Population pharmacokinetic analysis suggested that there was no association between ALT or AST levels and the clearance of </w:t>
      </w:r>
      <w:proofErr w:type="spellStart"/>
      <w:r w:rsidRPr="00655F70">
        <w:t>blinatumomab</w:t>
      </w:r>
      <w:proofErr w:type="spellEnd"/>
      <w:r w:rsidRPr="00655F70">
        <w:t xml:space="preserve">.  </w:t>
      </w:r>
    </w:p>
    <w:p w14:paraId="747D2F0A" w14:textId="77777777" w:rsidR="007D43DB" w:rsidRPr="00FF4079" w:rsidRDefault="007D43DB" w:rsidP="00655F70">
      <w:pPr>
        <w:pStyle w:val="Heading4"/>
      </w:pPr>
      <w:r w:rsidRPr="00655F70">
        <w:t>Use in renal impairment</w:t>
      </w:r>
    </w:p>
    <w:p w14:paraId="01827E62" w14:textId="77777777" w:rsidR="007D43DB" w:rsidRPr="00FF4079" w:rsidRDefault="007D43DB" w:rsidP="007D43DB">
      <w:pPr>
        <w:pStyle w:val="PI-Text"/>
      </w:pPr>
      <w:r w:rsidRPr="00FF4079">
        <w:t xml:space="preserve">No formal pharmacokinetic studies of </w:t>
      </w:r>
      <w:proofErr w:type="spellStart"/>
      <w:r w:rsidRPr="00FF4079">
        <w:t>blinatumomab</w:t>
      </w:r>
      <w:proofErr w:type="spellEnd"/>
      <w:r w:rsidRPr="00FF4079">
        <w:t xml:space="preserve"> have been conducted in patients with renal impairment. </w:t>
      </w:r>
      <w:r>
        <w:t xml:space="preserve"> </w:t>
      </w:r>
      <w:r w:rsidRPr="00FF4079">
        <w:t>Pharmacokinetic ana</w:t>
      </w:r>
      <w:r>
        <w:t>lyses showed an approximately 2</w:t>
      </w:r>
      <w:r>
        <w:noBreakHyphen/>
      </w:r>
      <w:r w:rsidRPr="00FF4079">
        <w:t xml:space="preserve">fold difference in mean </w:t>
      </w:r>
      <w:proofErr w:type="spellStart"/>
      <w:r w:rsidRPr="00FF4079">
        <w:t>blinatumomab</w:t>
      </w:r>
      <w:proofErr w:type="spellEnd"/>
      <w:r w:rsidRPr="00FF4079">
        <w:t xml:space="preserve"> clearance values between patients with moderate renal dysfunction and normal renal function.  Since high inter-subject variability was discerned (CV% up to </w:t>
      </w:r>
      <w:r>
        <w:t>96.8</w:t>
      </w:r>
      <w:r w:rsidRPr="00FF4079">
        <w:t>%), and clearance values in renal impaired patients were essentially within the range observed in patients</w:t>
      </w:r>
      <w:r>
        <w:t xml:space="preserve"> with normal renal function,</w:t>
      </w:r>
      <w:r w:rsidRPr="00FF4079">
        <w:t xml:space="preserve"> no clinically meaningful impact of renal function on clinical outcomes is expected.</w:t>
      </w:r>
    </w:p>
    <w:p w14:paraId="063730E0" w14:textId="77777777" w:rsidR="001A3992" w:rsidRPr="00EC3C40" w:rsidRDefault="001A3992" w:rsidP="001A3992">
      <w:pPr>
        <w:pStyle w:val="Heading2"/>
        <w:spacing w:before="0" w:after="120"/>
        <w:rPr>
          <w:lang w:val="en-US"/>
        </w:rPr>
      </w:pPr>
      <w:r w:rsidRPr="00EC3C40">
        <w:rPr>
          <w:lang w:val="en-US"/>
        </w:rPr>
        <w:t>Preclinical safety data</w:t>
      </w:r>
    </w:p>
    <w:p w14:paraId="0E5AA87E" w14:textId="77777777" w:rsidR="001A3992" w:rsidRDefault="001A3992" w:rsidP="001A3992">
      <w:pPr>
        <w:pStyle w:val="Heading3"/>
        <w:spacing w:before="0" w:after="120"/>
      </w:pPr>
      <w:proofErr w:type="spellStart"/>
      <w:r w:rsidRPr="00B878CC">
        <w:t>Genotoxicity</w:t>
      </w:r>
      <w:proofErr w:type="spellEnd"/>
    </w:p>
    <w:p w14:paraId="46FEA1B4" w14:textId="77777777" w:rsidR="007D43DB" w:rsidRPr="00D8389E" w:rsidRDefault="007D43DB" w:rsidP="007D43DB">
      <w:pPr>
        <w:pStyle w:val="Text"/>
        <w:rPr>
          <w:rFonts w:ascii="Arial" w:eastAsia="Times New Roman" w:hAnsi="Arial" w:cs="Arial"/>
          <w:szCs w:val="20"/>
          <w:lang w:val="en-GB" w:eastAsia="en-AU"/>
        </w:rPr>
      </w:pPr>
      <w:r w:rsidRPr="00D8389E">
        <w:rPr>
          <w:rFonts w:ascii="Arial" w:eastAsia="Times New Roman" w:hAnsi="Arial" w:cs="Arial"/>
          <w:szCs w:val="20"/>
          <w:lang w:val="en-GB" w:eastAsia="en-AU"/>
        </w:rPr>
        <w:t>No mutagenicity studies have been conduc</w:t>
      </w:r>
      <w:r>
        <w:rPr>
          <w:rFonts w:ascii="Arial" w:eastAsia="Times New Roman" w:hAnsi="Arial" w:cs="Arial"/>
          <w:szCs w:val="20"/>
          <w:lang w:val="en-GB" w:eastAsia="en-AU"/>
        </w:rPr>
        <w:t xml:space="preserve">ted with </w:t>
      </w:r>
      <w:proofErr w:type="spellStart"/>
      <w:r>
        <w:rPr>
          <w:rFonts w:ascii="Arial" w:eastAsia="Times New Roman" w:hAnsi="Arial" w:cs="Arial"/>
          <w:szCs w:val="20"/>
          <w:lang w:val="en-GB" w:eastAsia="en-AU"/>
        </w:rPr>
        <w:t>blinatumomab</w:t>
      </w:r>
      <w:proofErr w:type="spellEnd"/>
      <w:r>
        <w:rPr>
          <w:rFonts w:ascii="Arial" w:eastAsia="Times New Roman" w:hAnsi="Arial" w:cs="Arial"/>
          <w:szCs w:val="20"/>
          <w:lang w:val="en-GB" w:eastAsia="en-AU"/>
        </w:rPr>
        <w:t xml:space="preserve">; however, </w:t>
      </w:r>
      <w:proofErr w:type="spellStart"/>
      <w:r w:rsidRPr="00D8389E">
        <w:rPr>
          <w:rFonts w:ascii="Arial" w:eastAsia="Times New Roman" w:hAnsi="Arial" w:cs="Arial"/>
          <w:szCs w:val="20"/>
          <w:lang w:val="en-GB" w:eastAsia="en-AU"/>
        </w:rPr>
        <w:t>blinatumomab</w:t>
      </w:r>
      <w:proofErr w:type="spellEnd"/>
      <w:r w:rsidRPr="00D8389E">
        <w:rPr>
          <w:rFonts w:ascii="Arial" w:eastAsia="Times New Roman" w:hAnsi="Arial" w:cs="Arial"/>
          <w:szCs w:val="20"/>
          <w:lang w:val="en-GB" w:eastAsia="en-AU"/>
        </w:rPr>
        <w:t xml:space="preserve"> is not expected to alter DNA or chromosomes.</w:t>
      </w:r>
    </w:p>
    <w:p w14:paraId="318E4C3E" w14:textId="77777777" w:rsidR="001A3992" w:rsidRDefault="001A3992" w:rsidP="001A3992">
      <w:pPr>
        <w:pStyle w:val="Heading3"/>
        <w:spacing w:before="0" w:after="120"/>
        <w:rPr>
          <w:lang w:val="en-US"/>
        </w:rPr>
      </w:pPr>
      <w:proofErr w:type="spellStart"/>
      <w:r w:rsidRPr="00B878CC">
        <w:t>Carcin</w:t>
      </w:r>
      <w:r w:rsidRPr="00B878CC">
        <w:rPr>
          <w:lang w:val="en-US"/>
        </w:rPr>
        <w:t>ogenicity</w:t>
      </w:r>
      <w:proofErr w:type="spellEnd"/>
    </w:p>
    <w:p w14:paraId="3B0FA803" w14:textId="77777777" w:rsidR="007D43DB" w:rsidRPr="00FF4079" w:rsidRDefault="007D43DB" w:rsidP="007D43DB">
      <w:pPr>
        <w:pStyle w:val="Text"/>
        <w:rPr>
          <w:lang w:eastAsia="en-AU"/>
        </w:rPr>
      </w:pPr>
      <w:r w:rsidRPr="00D8389E">
        <w:rPr>
          <w:rFonts w:ascii="Arial" w:eastAsia="Times New Roman" w:hAnsi="Arial" w:cs="Arial"/>
          <w:szCs w:val="20"/>
          <w:lang w:val="en-GB" w:eastAsia="en-AU"/>
        </w:rPr>
        <w:t xml:space="preserve">No carcinogenicity studies have been conducted with </w:t>
      </w:r>
      <w:proofErr w:type="spellStart"/>
      <w:r w:rsidRPr="00D8389E">
        <w:rPr>
          <w:rFonts w:ascii="Arial" w:eastAsia="Times New Roman" w:hAnsi="Arial" w:cs="Arial"/>
          <w:szCs w:val="20"/>
          <w:lang w:val="en-GB" w:eastAsia="en-AU"/>
        </w:rPr>
        <w:t>blinatumomab</w:t>
      </w:r>
      <w:proofErr w:type="spellEnd"/>
      <w:r w:rsidRPr="00FF4079">
        <w:rPr>
          <w:lang w:eastAsia="en-AU"/>
        </w:rPr>
        <w:t>.</w:t>
      </w:r>
    </w:p>
    <w:p w14:paraId="62AD4B7C" w14:textId="77777777" w:rsidR="001A3992" w:rsidRDefault="001A3992" w:rsidP="001A3992">
      <w:pPr>
        <w:pStyle w:val="Heading1"/>
        <w:spacing w:before="0" w:after="120"/>
        <w:rPr>
          <w:lang w:val="en-US"/>
        </w:rPr>
      </w:pPr>
      <w:r>
        <w:rPr>
          <w:lang w:val="en-US"/>
        </w:rPr>
        <w:t>Pharmaceutical particulars</w:t>
      </w:r>
    </w:p>
    <w:p w14:paraId="2D35D06E" w14:textId="7F94DFDA" w:rsidR="001A3992" w:rsidRDefault="00311C47" w:rsidP="001A3992">
      <w:pPr>
        <w:pStyle w:val="Heading2"/>
        <w:spacing w:before="0" w:after="120"/>
        <w:rPr>
          <w:lang w:val="en-US"/>
        </w:rPr>
      </w:pPr>
      <w:r>
        <w:rPr>
          <w:lang w:val="en-US"/>
        </w:rPr>
        <w:t>List of excipients</w:t>
      </w:r>
    </w:p>
    <w:p w14:paraId="0489D385" w14:textId="1EFBC791" w:rsidR="005251A0" w:rsidRPr="009A1DB7" w:rsidRDefault="005251A0" w:rsidP="005251A0">
      <w:pPr>
        <w:rPr>
          <w:rFonts w:ascii="Arial" w:hAnsi="Arial" w:cs="Arial"/>
          <w:lang w:val="en-GB"/>
        </w:rPr>
      </w:pPr>
      <w:r w:rsidRPr="009A1DB7">
        <w:rPr>
          <w:rFonts w:ascii="Arial" w:hAnsi="Arial" w:cs="Arial"/>
          <w:lang w:val="en-GB"/>
        </w:rPr>
        <w:t xml:space="preserve">Each single-use vial of </w:t>
      </w:r>
      <w:proofErr w:type="spellStart"/>
      <w:r w:rsidRPr="009A1DB7">
        <w:rPr>
          <w:rFonts w:ascii="Arial" w:hAnsi="Arial" w:cs="Arial"/>
          <w:lang w:val="en-GB"/>
        </w:rPr>
        <w:t>Blincyto</w:t>
      </w:r>
      <w:proofErr w:type="spellEnd"/>
      <w:r w:rsidRPr="009A1DB7">
        <w:rPr>
          <w:rFonts w:ascii="Arial" w:hAnsi="Arial" w:cs="Arial"/>
          <w:lang w:val="en-GB"/>
        </w:rPr>
        <w:t xml:space="preserve"> contains:</w:t>
      </w:r>
      <w:r w:rsidR="009A1DB7">
        <w:rPr>
          <w:rFonts w:ascii="Arial" w:hAnsi="Arial" w:cs="Arial"/>
          <w:lang w:val="en-GB"/>
        </w:rPr>
        <w:br/>
      </w:r>
      <w:r w:rsidRPr="009A1DB7">
        <w:rPr>
          <w:rFonts w:ascii="Arial" w:hAnsi="Arial" w:cs="Arial"/>
          <w:lang w:val="en-GB"/>
        </w:rPr>
        <w:t xml:space="preserve">Citric acid monohydrate </w:t>
      </w:r>
      <w:r w:rsidRPr="009A1DB7">
        <w:rPr>
          <w:rFonts w:ascii="Arial" w:hAnsi="Arial" w:cs="Arial"/>
          <w:lang w:val="en-GB"/>
        </w:rPr>
        <w:br/>
      </w:r>
      <w:proofErr w:type="spellStart"/>
      <w:r w:rsidRPr="009A1DB7">
        <w:rPr>
          <w:rFonts w:ascii="Arial" w:hAnsi="Arial" w:cs="Arial"/>
          <w:lang w:val="en-GB"/>
        </w:rPr>
        <w:t>Trehalose</w:t>
      </w:r>
      <w:proofErr w:type="spellEnd"/>
      <w:r w:rsidRPr="009A1DB7">
        <w:rPr>
          <w:rFonts w:ascii="Arial" w:hAnsi="Arial" w:cs="Arial"/>
          <w:lang w:val="en-GB"/>
        </w:rPr>
        <w:t xml:space="preserve"> </w:t>
      </w:r>
      <w:proofErr w:type="spellStart"/>
      <w:r w:rsidRPr="009A1DB7">
        <w:rPr>
          <w:rFonts w:ascii="Arial" w:hAnsi="Arial" w:cs="Arial"/>
          <w:lang w:val="en-GB"/>
        </w:rPr>
        <w:t>d</w:t>
      </w:r>
      <w:r w:rsidR="0069571F">
        <w:rPr>
          <w:rFonts w:ascii="Arial" w:hAnsi="Arial" w:cs="Arial"/>
          <w:lang w:val="en-GB"/>
        </w:rPr>
        <w:t>i</w:t>
      </w:r>
      <w:r w:rsidRPr="009A1DB7">
        <w:rPr>
          <w:rFonts w:ascii="Arial" w:hAnsi="Arial" w:cs="Arial"/>
          <w:lang w:val="en-GB"/>
        </w:rPr>
        <w:t>hydrate</w:t>
      </w:r>
      <w:proofErr w:type="spellEnd"/>
      <w:r w:rsidRPr="009A1DB7">
        <w:rPr>
          <w:rFonts w:ascii="Arial" w:hAnsi="Arial" w:cs="Arial"/>
          <w:lang w:val="en-GB"/>
        </w:rPr>
        <w:br/>
        <w:t>Lysine hydrochloride</w:t>
      </w:r>
      <w:r w:rsidRPr="009A1DB7">
        <w:rPr>
          <w:rFonts w:ascii="Arial" w:hAnsi="Arial" w:cs="Arial"/>
          <w:lang w:val="en-GB"/>
        </w:rPr>
        <w:br/>
      </w:r>
      <w:proofErr w:type="spellStart"/>
      <w:r w:rsidR="0069571F">
        <w:rPr>
          <w:rFonts w:ascii="Arial" w:hAnsi="Arial" w:cs="Arial"/>
          <w:lang w:val="en-GB"/>
        </w:rPr>
        <w:t>Polysorbate</w:t>
      </w:r>
      <w:proofErr w:type="spellEnd"/>
      <w:r w:rsidR="0069571F">
        <w:rPr>
          <w:rFonts w:ascii="Arial" w:hAnsi="Arial" w:cs="Arial"/>
          <w:lang w:val="en-GB"/>
        </w:rPr>
        <w:t xml:space="preserve"> 80</w:t>
      </w:r>
      <w:r w:rsidR="0069571F">
        <w:rPr>
          <w:rFonts w:ascii="Arial" w:hAnsi="Arial" w:cs="Arial"/>
          <w:lang w:val="en-GB"/>
        </w:rPr>
        <w:br/>
        <w:t>Sodium hydroxide</w:t>
      </w:r>
    </w:p>
    <w:p w14:paraId="36845AB3" w14:textId="77777777" w:rsidR="005251A0" w:rsidRPr="009A1DB7" w:rsidRDefault="005251A0" w:rsidP="005251A0">
      <w:pPr>
        <w:rPr>
          <w:rFonts w:ascii="Arial" w:hAnsi="Arial" w:cs="Arial"/>
          <w:lang w:val="en-GB"/>
        </w:rPr>
      </w:pPr>
      <w:r w:rsidRPr="009A1DB7">
        <w:rPr>
          <w:rFonts w:ascii="Arial" w:hAnsi="Arial" w:cs="Arial"/>
          <w:lang w:val="en-GB"/>
        </w:rPr>
        <w:t>Each single use vial of IV solution stabiliser contains:</w:t>
      </w:r>
      <w:r w:rsidR="009A1DB7">
        <w:rPr>
          <w:rFonts w:ascii="Arial" w:hAnsi="Arial" w:cs="Arial"/>
          <w:lang w:val="en-GB"/>
        </w:rPr>
        <w:br/>
      </w:r>
      <w:r w:rsidRPr="009A1DB7">
        <w:rPr>
          <w:rFonts w:ascii="Arial" w:hAnsi="Arial" w:cs="Arial"/>
          <w:lang w:val="en-GB"/>
        </w:rPr>
        <w:t xml:space="preserve">Citric acid monohydrate </w:t>
      </w:r>
      <w:r w:rsidRPr="009A1DB7">
        <w:rPr>
          <w:rFonts w:ascii="Arial" w:hAnsi="Arial" w:cs="Arial"/>
          <w:lang w:val="en-GB"/>
        </w:rPr>
        <w:br/>
        <w:t>Lysine hydrochloride</w:t>
      </w:r>
      <w:r w:rsidRPr="009A1DB7">
        <w:rPr>
          <w:rFonts w:ascii="Arial" w:hAnsi="Arial" w:cs="Arial"/>
          <w:lang w:val="en-GB"/>
        </w:rPr>
        <w:br/>
      </w:r>
      <w:proofErr w:type="spellStart"/>
      <w:r w:rsidRPr="009A1DB7">
        <w:rPr>
          <w:rFonts w:ascii="Arial" w:hAnsi="Arial" w:cs="Arial"/>
          <w:lang w:val="en-GB"/>
        </w:rPr>
        <w:t>Polysorbate</w:t>
      </w:r>
      <w:proofErr w:type="spellEnd"/>
      <w:r w:rsidRPr="009A1DB7">
        <w:rPr>
          <w:rFonts w:ascii="Arial" w:hAnsi="Arial" w:cs="Arial"/>
          <w:lang w:val="en-GB"/>
        </w:rPr>
        <w:t xml:space="preserve"> 80</w:t>
      </w:r>
      <w:r w:rsidRPr="009A1DB7">
        <w:rPr>
          <w:rFonts w:ascii="Arial" w:hAnsi="Arial" w:cs="Arial"/>
          <w:lang w:val="en-GB"/>
        </w:rPr>
        <w:br/>
        <w:t>Sodium hydroxide (for pH-adjustment)</w:t>
      </w:r>
      <w:r w:rsidRPr="009A1DB7">
        <w:rPr>
          <w:rFonts w:ascii="Arial" w:hAnsi="Arial" w:cs="Arial"/>
          <w:lang w:val="en-GB"/>
        </w:rPr>
        <w:br/>
        <w:t>Water for Injections</w:t>
      </w:r>
    </w:p>
    <w:p w14:paraId="0E986683" w14:textId="1273B405" w:rsidR="001A3992" w:rsidRPr="00655F70" w:rsidRDefault="00311C47" w:rsidP="001A3992">
      <w:pPr>
        <w:pStyle w:val="Heading2"/>
        <w:keepNext/>
        <w:keepLines/>
        <w:spacing w:before="0" w:after="120"/>
        <w:rPr>
          <w:lang w:val="en-US"/>
        </w:rPr>
      </w:pPr>
      <w:r>
        <w:rPr>
          <w:lang w:val="en-US"/>
        </w:rPr>
        <w:lastRenderedPageBreak/>
        <w:t>Incompatibilities</w:t>
      </w:r>
    </w:p>
    <w:p w14:paraId="07A16F22" w14:textId="57800C6C" w:rsidR="006F4DEE" w:rsidRPr="009A1DB7" w:rsidRDefault="00655F70" w:rsidP="00783283">
      <w:pPr>
        <w:pStyle w:val="PI-Text"/>
        <w:rPr>
          <w:highlight w:val="yellow"/>
          <w:lang w:val="en-US"/>
        </w:rPr>
      </w:pPr>
      <w:proofErr w:type="spellStart"/>
      <w:r w:rsidRPr="00655F70">
        <w:t>Blincyto</w:t>
      </w:r>
      <w:proofErr w:type="spellEnd"/>
      <w:r w:rsidR="006F4DEE" w:rsidRPr="00655F70">
        <w:t xml:space="preserve"> must not be mixed with other medicinal products except those mentioned in section</w:t>
      </w:r>
      <w:r>
        <w:t xml:space="preserve"> 4.2 </w:t>
      </w:r>
      <w:r w:rsidR="001F412F">
        <w:t>Dose and method of administration</w:t>
      </w:r>
      <w:r w:rsidR="006F4DEE" w:rsidRPr="00655F70">
        <w:t>.</w:t>
      </w:r>
    </w:p>
    <w:p w14:paraId="57312006" w14:textId="38842640" w:rsidR="001A3992" w:rsidRPr="00800C19" w:rsidRDefault="00311C47" w:rsidP="001A3992">
      <w:pPr>
        <w:pStyle w:val="Heading2"/>
        <w:spacing w:before="0" w:after="120"/>
        <w:rPr>
          <w:lang w:val="en-US"/>
        </w:rPr>
      </w:pPr>
      <w:r>
        <w:rPr>
          <w:lang w:val="en-US"/>
        </w:rPr>
        <w:t>Shelf life</w:t>
      </w:r>
    </w:p>
    <w:p w14:paraId="12A67A9F" w14:textId="77777777" w:rsidR="005251A0" w:rsidRPr="009A1DB7" w:rsidRDefault="005251A0" w:rsidP="00783283">
      <w:pPr>
        <w:pStyle w:val="PI-Text"/>
      </w:pPr>
      <w:r w:rsidRPr="009A1DB7">
        <w:t>In Australia, information on the shelf life can be found on the public summary of the Australian Register of Therapeutic Goods (ARTG).</w:t>
      </w:r>
      <w:r w:rsidR="009A1DB7">
        <w:t xml:space="preserve"> </w:t>
      </w:r>
      <w:r w:rsidRPr="009A1DB7">
        <w:t xml:space="preserve"> The expiry date can be found on the packaging.</w:t>
      </w:r>
    </w:p>
    <w:p w14:paraId="17BAE395" w14:textId="23EB7CDC" w:rsidR="001A3992" w:rsidRDefault="00311C47" w:rsidP="001A3992">
      <w:pPr>
        <w:pStyle w:val="Heading2"/>
        <w:keepNext/>
        <w:keepLines/>
        <w:spacing w:before="0" w:after="120"/>
        <w:rPr>
          <w:lang w:val="en-US"/>
        </w:rPr>
      </w:pPr>
      <w:r>
        <w:rPr>
          <w:lang w:val="en-US"/>
        </w:rPr>
        <w:t>Special precautions for storage</w:t>
      </w:r>
    </w:p>
    <w:p w14:paraId="77B978FB" w14:textId="2BF8D0E3" w:rsidR="00175E15" w:rsidRPr="00FF4079" w:rsidRDefault="00175E15" w:rsidP="00175E15">
      <w:pPr>
        <w:pStyle w:val="PI-Text"/>
      </w:pPr>
      <w:r w:rsidRPr="00FF4079">
        <w:t xml:space="preserve">It is recommended to store unopened </w:t>
      </w:r>
      <w:proofErr w:type="spellStart"/>
      <w:r w:rsidRPr="00FF4079">
        <w:rPr>
          <w:bCs/>
          <w:lang w:eastAsia="zh-TW"/>
        </w:rPr>
        <w:t>Blincyto</w:t>
      </w:r>
      <w:proofErr w:type="spellEnd"/>
      <w:r w:rsidRPr="00FF4079">
        <w:rPr>
          <w:lang w:eastAsia="zh-TW"/>
        </w:rPr>
        <w:t xml:space="preserve"> and IV s</w:t>
      </w:r>
      <w:r w:rsidRPr="00FF4079">
        <w:t xml:space="preserve">olution stabiliser for </w:t>
      </w:r>
      <w:proofErr w:type="spellStart"/>
      <w:r w:rsidRPr="00FF4079">
        <w:t>Blincyto</w:t>
      </w:r>
      <w:proofErr w:type="spellEnd"/>
      <w:r w:rsidRPr="00FF4079">
        <w:t xml:space="preserve"> vials in a refrigerator at 2°C to 8°C in the original carton. </w:t>
      </w:r>
      <w:r w:rsidR="00B91960">
        <w:t xml:space="preserve"> </w:t>
      </w:r>
      <w:r w:rsidRPr="00FF4079">
        <w:t>Do not freeze.</w:t>
      </w:r>
      <w:r w:rsidR="00B91960">
        <w:t xml:space="preserve"> </w:t>
      </w:r>
      <w:r w:rsidRPr="00FF4079">
        <w:t xml:space="preserve"> Protect from direct light.</w:t>
      </w:r>
    </w:p>
    <w:p w14:paraId="21633BAF" w14:textId="6ABB889F" w:rsidR="00175E15" w:rsidRPr="00810AF8" w:rsidRDefault="00175E15" w:rsidP="00175E15">
      <w:pPr>
        <w:pStyle w:val="PI-Text"/>
        <w:rPr>
          <w:bCs/>
          <w:color w:val="000000" w:themeColor="text1"/>
        </w:rPr>
      </w:pPr>
      <w:r w:rsidRPr="00FF4079">
        <w:rPr>
          <w:bCs/>
        </w:rPr>
        <w:t xml:space="preserve">Once removed from the refrigerator, unopened </w:t>
      </w:r>
      <w:proofErr w:type="spellStart"/>
      <w:r w:rsidRPr="00FF4079">
        <w:rPr>
          <w:bCs/>
        </w:rPr>
        <w:t>Blincyto</w:t>
      </w:r>
      <w:proofErr w:type="spellEnd"/>
      <w:r w:rsidRPr="00FF4079">
        <w:rPr>
          <w:bCs/>
        </w:rPr>
        <w:t xml:space="preserve"> and solution stabiliser for </w:t>
      </w:r>
      <w:proofErr w:type="spellStart"/>
      <w:r w:rsidRPr="00FF4079">
        <w:rPr>
          <w:bCs/>
        </w:rPr>
        <w:t>Blincyto</w:t>
      </w:r>
      <w:proofErr w:type="spellEnd"/>
      <w:r w:rsidRPr="00FF4079">
        <w:rPr>
          <w:bCs/>
        </w:rPr>
        <w:t xml:space="preserve"> vials may be stored at or below 25°C for up to 8</w:t>
      </w:r>
      <w:r w:rsidR="001B7882">
        <w:rPr>
          <w:bCs/>
        </w:rPr>
        <w:t> </w:t>
      </w:r>
      <w:r w:rsidRPr="00FF4079">
        <w:rPr>
          <w:bCs/>
        </w:rPr>
        <w:t>hours in the original container</w:t>
      </w:r>
      <w:r w:rsidR="00B91960">
        <w:rPr>
          <w:bCs/>
        </w:rPr>
        <w:t xml:space="preserve">.  </w:t>
      </w:r>
      <w:r w:rsidR="00B91960" w:rsidRPr="00810AF8">
        <w:rPr>
          <w:bCs/>
          <w:color w:val="000000" w:themeColor="text1"/>
        </w:rPr>
        <w:t>Do not freeze.</w:t>
      </w:r>
      <w:r w:rsidRPr="00810AF8">
        <w:rPr>
          <w:bCs/>
          <w:color w:val="000000" w:themeColor="text1"/>
        </w:rPr>
        <w:t xml:space="preserve"> </w:t>
      </w:r>
    </w:p>
    <w:p w14:paraId="76F55DD8" w14:textId="77777777" w:rsidR="00175E15" w:rsidRPr="00507D27" w:rsidRDefault="00175E15" w:rsidP="001B7882">
      <w:pPr>
        <w:pStyle w:val="Heading3"/>
      </w:pPr>
      <w:r w:rsidRPr="00507D27">
        <w:t>After reconstitution and dilution</w:t>
      </w:r>
    </w:p>
    <w:p w14:paraId="3E1E2D4B" w14:textId="5A2BC7A0" w:rsidR="00175E15" w:rsidRPr="00BB029B" w:rsidRDefault="00175E15" w:rsidP="00BB029B">
      <w:pPr>
        <w:pStyle w:val="Caption"/>
      </w:pPr>
      <w:r w:rsidRPr="00BB029B">
        <w:t xml:space="preserve">Storage Requirements for Reconstituted </w:t>
      </w:r>
      <w:proofErr w:type="spellStart"/>
      <w:r w:rsidRPr="00BB029B">
        <w:t>Blincyto</w:t>
      </w:r>
      <w:proofErr w:type="spellEnd"/>
      <w:r w:rsidRPr="00BB029B">
        <w:t xml:space="preserve"> and Prepared IV Bag or </w:t>
      </w:r>
      <w:r w:rsidR="00810AF8">
        <w:t>C</w:t>
      </w:r>
      <w:r w:rsidRPr="00BB029B">
        <w:t>assettes</w:t>
      </w: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5"/>
        <w:gridCol w:w="2095"/>
        <w:gridCol w:w="2095"/>
        <w:gridCol w:w="2096"/>
      </w:tblGrid>
      <w:tr w:rsidR="00B91960" w:rsidRPr="00FF4079" w14:paraId="5C209F33" w14:textId="77777777" w:rsidTr="00A57A2B">
        <w:trPr>
          <w:trHeight w:val="858"/>
          <w:jc w:val="center"/>
        </w:trPr>
        <w:tc>
          <w:tcPr>
            <w:tcW w:w="4190" w:type="dxa"/>
            <w:gridSpan w:val="2"/>
            <w:tcBorders>
              <w:bottom w:val="single" w:sz="4" w:space="0" w:color="auto"/>
              <w:right w:val="nil"/>
            </w:tcBorders>
            <w:shd w:val="clear" w:color="auto" w:fill="auto"/>
            <w:vAlign w:val="center"/>
            <w:hideMark/>
          </w:tcPr>
          <w:p w14:paraId="55CC0425" w14:textId="77777777" w:rsidR="00B91960" w:rsidRPr="00CE74D6" w:rsidRDefault="00B91960" w:rsidP="00B91960">
            <w:pPr>
              <w:pStyle w:val="TableCenterAlign"/>
              <w:rPr>
                <w:rFonts w:ascii="Arial" w:hAnsi="Arial" w:cs="Arial"/>
                <w:b/>
                <w:sz w:val="20"/>
                <w:szCs w:val="20"/>
                <w:lang w:eastAsia="zh-TW"/>
              </w:rPr>
            </w:pPr>
            <w:r w:rsidRPr="00CE74D6">
              <w:rPr>
                <w:rFonts w:ascii="Arial" w:hAnsi="Arial" w:cs="Arial"/>
                <w:b/>
                <w:sz w:val="20"/>
                <w:szCs w:val="20"/>
                <w:lang w:eastAsia="zh-TW"/>
              </w:rPr>
              <w:t xml:space="preserve">Maximum storage time of reconstituted </w:t>
            </w:r>
          </w:p>
          <w:p w14:paraId="22C67477" w14:textId="0EC7D098" w:rsidR="00B91960" w:rsidRPr="008442F8" w:rsidRDefault="00B91960" w:rsidP="00B91960">
            <w:pPr>
              <w:pStyle w:val="TableCenterAlign"/>
              <w:rPr>
                <w:rFonts w:ascii="Arial" w:hAnsi="Arial" w:cs="Arial"/>
                <w:sz w:val="20"/>
                <w:szCs w:val="20"/>
                <w:lang w:eastAsia="zh-TW"/>
              </w:rPr>
            </w:pPr>
            <w:proofErr w:type="spellStart"/>
            <w:r w:rsidRPr="00CE74D6">
              <w:rPr>
                <w:rFonts w:ascii="Arial" w:hAnsi="Arial" w:cs="Arial"/>
                <w:b/>
                <w:sz w:val="20"/>
                <w:szCs w:val="20"/>
                <w:lang w:eastAsia="zh-TW"/>
              </w:rPr>
              <w:t>Blincyto</w:t>
            </w:r>
            <w:proofErr w:type="spellEnd"/>
            <w:r w:rsidRPr="00CE74D6">
              <w:rPr>
                <w:rFonts w:ascii="Arial" w:hAnsi="Arial" w:cs="Arial"/>
                <w:b/>
                <w:sz w:val="20"/>
                <w:szCs w:val="20"/>
                <w:lang w:eastAsia="zh-TW"/>
              </w:rPr>
              <w:t>* solution</w:t>
            </w:r>
          </w:p>
        </w:tc>
        <w:tc>
          <w:tcPr>
            <w:tcW w:w="4191" w:type="dxa"/>
            <w:gridSpan w:val="2"/>
            <w:tcBorders>
              <w:left w:val="nil"/>
              <w:bottom w:val="single" w:sz="4" w:space="0" w:color="auto"/>
            </w:tcBorders>
            <w:shd w:val="clear" w:color="auto" w:fill="auto"/>
            <w:vAlign w:val="center"/>
            <w:hideMark/>
          </w:tcPr>
          <w:p w14:paraId="326EB4F3" w14:textId="08F85318" w:rsidR="00B91960" w:rsidRPr="008442F8" w:rsidRDefault="00B91960" w:rsidP="00B91960">
            <w:pPr>
              <w:pStyle w:val="TableCenterAlign"/>
              <w:rPr>
                <w:rFonts w:ascii="Arial" w:hAnsi="Arial" w:cs="Arial"/>
                <w:sz w:val="20"/>
                <w:szCs w:val="20"/>
                <w:lang w:eastAsia="zh-TW"/>
              </w:rPr>
            </w:pPr>
            <w:r w:rsidRPr="00CE74D6">
              <w:rPr>
                <w:rFonts w:ascii="Arial" w:hAnsi="Arial" w:cs="Arial"/>
                <w:b/>
                <w:sz w:val="20"/>
                <w:szCs w:val="20"/>
                <w:lang w:eastAsia="zh-TW"/>
              </w:rPr>
              <w:t xml:space="preserve">Maximum combined storage and infusion time of diluted </w:t>
            </w:r>
            <w:proofErr w:type="spellStart"/>
            <w:r w:rsidRPr="00CE74D6">
              <w:rPr>
                <w:rFonts w:ascii="Arial" w:hAnsi="Arial" w:cs="Arial"/>
                <w:b/>
                <w:sz w:val="20"/>
                <w:szCs w:val="20"/>
                <w:lang w:eastAsia="zh-TW"/>
              </w:rPr>
              <w:t>Blincyto</w:t>
            </w:r>
            <w:proofErr w:type="spellEnd"/>
            <w:r w:rsidRPr="00CE74D6">
              <w:rPr>
                <w:rFonts w:ascii="Arial" w:hAnsi="Arial" w:cs="Arial"/>
                <w:b/>
                <w:sz w:val="20"/>
                <w:szCs w:val="20"/>
                <w:lang w:eastAsia="zh-TW"/>
              </w:rPr>
              <w:t xml:space="preserve"> solution in IV bag or cassette</w:t>
            </w:r>
          </w:p>
        </w:tc>
      </w:tr>
      <w:tr w:rsidR="00B91960" w:rsidRPr="00FF4079" w14:paraId="60802EC0" w14:textId="77777777" w:rsidTr="00A57A2B">
        <w:trPr>
          <w:trHeight w:val="888"/>
          <w:jc w:val="center"/>
        </w:trPr>
        <w:tc>
          <w:tcPr>
            <w:tcW w:w="2095" w:type="dxa"/>
            <w:tcBorders>
              <w:bottom w:val="nil"/>
              <w:right w:val="nil"/>
            </w:tcBorders>
            <w:shd w:val="clear" w:color="auto" w:fill="auto"/>
            <w:hideMark/>
          </w:tcPr>
          <w:p w14:paraId="66F18A5F" w14:textId="3BBCDECC" w:rsidR="0003631D" w:rsidRPr="00992303" w:rsidRDefault="0003631D" w:rsidP="0003631D">
            <w:pPr>
              <w:pStyle w:val="TableCenterAlign"/>
              <w:rPr>
                <w:rFonts w:ascii="Arial" w:hAnsi="Arial" w:cs="Arial"/>
                <w:b/>
                <w:color w:val="000000" w:themeColor="text1"/>
                <w:sz w:val="20"/>
                <w:szCs w:val="20"/>
                <w:lang w:eastAsia="zh-TW"/>
              </w:rPr>
            </w:pPr>
            <w:r w:rsidRPr="00992303">
              <w:rPr>
                <w:rFonts w:ascii="Arial" w:hAnsi="Arial" w:cs="Arial"/>
                <w:b/>
                <w:color w:val="000000" w:themeColor="text1"/>
                <w:sz w:val="20"/>
                <w:szCs w:val="20"/>
                <w:lang w:eastAsia="zh-TW"/>
              </w:rPr>
              <w:t>Room Temperature</w:t>
            </w:r>
          </w:p>
          <w:p w14:paraId="093D7971" w14:textId="5B565532" w:rsidR="00B91960" w:rsidRPr="00992303" w:rsidRDefault="0003631D" w:rsidP="0003631D">
            <w:pPr>
              <w:pStyle w:val="TableCenterAlign"/>
              <w:rPr>
                <w:rFonts w:ascii="Arial" w:hAnsi="Arial" w:cs="Arial"/>
                <w:color w:val="000000" w:themeColor="text1"/>
                <w:sz w:val="20"/>
                <w:szCs w:val="20"/>
                <w:lang w:eastAsia="zh-TW"/>
              </w:rPr>
            </w:pPr>
            <w:r w:rsidRPr="00992303">
              <w:rPr>
                <w:rFonts w:ascii="Arial" w:hAnsi="Arial" w:cs="Arial"/>
                <w:color w:val="000000" w:themeColor="text1"/>
                <w:sz w:val="20"/>
                <w:szCs w:val="20"/>
              </w:rPr>
              <w:t>(Below 25°C**)</w:t>
            </w:r>
          </w:p>
        </w:tc>
        <w:tc>
          <w:tcPr>
            <w:tcW w:w="2095" w:type="dxa"/>
            <w:tcBorders>
              <w:left w:val="nil"/>
              <w:bottom w:val="nil"/>
              <w:right w:val="nil"/>
            </w:tcBorders>
            <w:shd w:val="clear" w:color="auto" w:fill="auto"/>
            <w:hideMark/>
          </w:tcPr>
          <w:p w14:paraId="5F5B65F4" w14:textId="57BC1638" w:rsidR="0003631D" w:rsidRPr="00992303" w:rsidRDefault="0003631D" w:rsidP="0003631D">
            <w:pPr>
              <w:pStyle w:val="TableCenterAlign"/>
              <w:rPr>
                <w:rFonts w:ascii="Arial" w:hAnsi="Arial" w:cs="Arial"/>
                <w:b/>
                <w:color w:val="000000" w:themeColor="text1"/>
                <w:sz w:val="20"/>
                <w:szCs w:val="20"/>
                <w:lang w:eastAsia="zh-TW"/>
              </w:rPr>
            </w:pPr>
            <w:r w:rsidRPr="00992303">
              <w:rPr>
                <w:rFonts w:ascii="Arial" w:hAnsi="Arial" w:cs="Arial"/>
                <w:b/>
                <w:color w:val="000000" w:themeColor="text1"/>
                <w:sz w:val="20"/>
                <w:szCs w:val="20"/>
                <w:lang w:eastAsia="zh-TW"/>
              </w:rPr>
              <w:t>Refrigerated</w:t>
            </w:r>
          </w:p>
          <w:p w14:paraId="489D8448" w14:textId="506338DA" w:rsidR="00B91960" w:rsidRPr="00992303" w:rsidRDefault="0003631D" w:rsidP="0003631D">
            <w:pPr>
              <w:pStyle w:val="TableCenterAlign"/>
              <w:rPr>
                <w:rFonts w:ascii="Arial" w:hAnsi="Arial" w:cs="Arial"/>
                <w:color w:val="000000" w:themeColor="text1"/>
                <w:sz w:val="20"/>
                <w:szCs w:val="20"/>
                <w:lang w:eastAsia="zh-TW"/>
              </w:rPr>
            </w:pPr>
            <w:r w:rsidRPr="00992303">
              <w:rPr>
                <w:rFonts w:ascii="Arial" w:hAnsi="Arial" w:cs="Arial"/>
                <w:color w:val="000000" w:themeColor="text1"/>
                <w:sz w:val="20"/>
                <w:szCs w:val="20"/>
                <w:lang w:eastAsia="zh-TW"/>
              </w:rPr>
              <w:t>(2°C to 8°C)</w:t>
            </w:r>
          </w:p>
        </w:tc>
        <w:tc>
          <w:tcPr>
            <w:tcW w:w="2095" w:type="dxa"/>
            <w:tcBorders>
              <w:left w:val="nil"/>
              <w:bottom w:val="nil"/>
              <w:right w:val="nil"/>
            </w:tcBorders>
            <w:shd w:val="clear" w:color="auto" w:fill="auto"/>
            <w:hideMark/>
          </w:tcPr>
          <w:p w14:paraId="1AD5436D" w14:textId="65AD4193" w:rsidR="0003631D" w:rsidRPr="00992303" w:rsidRDefault="0003631D" w:rsidP="0003631D">
            <w:pPr>
              <w:pStyle w:val="TableCenterAlign"/>
              <w:rPr>
                <w:rFonts w:ascii="Arial" w:hAnsi="Arial" w:cs="Arial"/>
                <w:b/>
                <w:color w:val="000000" w:themeColor="text1"/>
                <w:sz w:val="20"/>
                <w:szCs w:val="20"/>
                <w:lang w:eastAsia="zh-TW"/>
              </w:rPr>
            </w:pPr>
            <w:r w:rsidRPr="00992303">
              <w:rPr>
                <w:rFonts w:ascii="Arial" w:hAnsi="Arial" w:cs="Arial"/>
                <w:b/>
                <w:color w:val="000000" w:themeColor="text1"/>
                <w:sz w:val="20"/>
                <w:szCs w:val="20"/>
                <w:lang w:eastAsia="zh-TW"/>
              </w:rPr>
              <w:t>Room Temperature</w:t>
            </w:r>
          </w:p>
          <w:p w14:paraId="3C8C80CC" w14:textId="02886B3E" w:rsidR="0003631D" w:rsidRPr="00992303" w:rsidRDefault="0003631D" w:rsidP="0003631D">
            <w:pPr>
              <w:pStyle w:val="TableCenterAlign"/>
              <w:rPr>
                <w:rFonts w:ascii="Arial" w:hAnsi="Arial" w:cs="Arial"/>
                <w:color w:val="000000" w:themeColor="text1"/>
                <w:sz w:val="20"/>
                <w:szCs w:val="20"/>
                <w:lang w:eastAsia="zh-TW"/>
              </w:rPr>
            </w:pPr>
            <w:r w:rsidRPr="00992303">
              <w:rPr>
                <w:rFonts w:ascii="Arial" w:hAnsi="Arial" w:cs="Arial"/>
                <w:color w:val="000000" w:themeColor="text1"/>
                <w:sz w:val="20"/>
                <w:szCs w:val="20"/>
              </w:rPr>
              <w:t>(Below 25°C**)</w:t>
            </w:r>
          </w:p>
        </w:tc>
        <w:tc>
          <w:tcPr>
            <w:tcW w:w="2096" w:type="dxa"/>
            <w:tcBorders>
              <w:left w:val="nil"/>
              <w:bottom w:val="nil"/>
            </w:tcBorders>
            <w:shd w:val="clear" w:color="auto" w:fill="auto"/>
            <w:hideMark/>
          </w:tcPr>
          <w:p w14:paraId="7535D804" w14:textId="77777777" w:rsidR="00B91960" w:rsidRPr="008442F8" w:rsidRDefault="00B91960" w:rsidP="00B91960">
            <w:pPr>
              <w:pStyle w:val="TableCenterAlign"/>
              <w:rPr>
                <w:rFonts w:ascii="Arial" w:hAnsi="Arial" w:cs="Arial"/>
                <w:b/>
                <w:sz w:val="20"/>
                <w:szCs w:val="20"/>
                <w:lang w:eastAsia="zh-TW"/>
              </w:rPr>
            </w:pPr>
            <w:r w:rsidRPr="008442F8">
              <w:rPr>
                <w:rFonts w:ascii="Arial" w:hAnsi="Arial" w:cs="Arial"/>
                <w:b/>
                <w:sz w:val="20"/>
                <w:szCs w:val="20"/>
                <w:lang w:eastAsia="zh-TW"/>
              </w:rPr>
              <w:t>Refrigerated</w:t>
            </w:r>
          </w:p>
          <w:p w14:paraId="2DACFD5A" w14:textId="0C7F6EE6" w:rsidR="00B91960" w:rsidRPr="00810AF8" w:rsidRDefault="00B91960" w:rsidP="00B91960">
            <w:pPr>
              <w:pStyle w:val="TableCenterAlign"/>
              <w:rPr>
                <w:rFonts w:ascii="Arial" w:hAnsi="Arial" w:cs="Arial"/>
                <w:sz w:val="20"/>
                <w:szCs w:val="20"/>
                <w:lang w:eastAsia="zh-TW"/>
              </w:rPr>
            </w:pPr>
            <w:r w:rsidRPr="00810AF8">
              <w:rPr>
                <w:rFonts w:ascii="Arial" w:hAnsi="Arial" w:cs="Arial"/>
                <w:color w:val="000000" w:themeColor="text1"/>
                <w:sz w:val="20"/>
                <w:szCs w:val="20"/>
                <w:lang w:eastAsia="zh-TW"/>
              </w:rPr>
              <w:t>(2°C to 8°C)</w:t>
            </w:r>
          </w:p>
        </w:tc>
      </w:tr>
      <w:tr w:rsidR="00175E15" w:rsidRPr="00FF4079" w14:paraId="0162D7CC" w14:textId="77777777" w:rsidTr="00A57A2B">
        <w:trPr>
          <w:trHeight w:val="459"/>
          <w:jc w:val="center"/>
        </w:trPr>
        <w:tc>
          <w:tcPr>
            <w:tcW w:w="2095" w:type="dxa"/>
            <w:tcBorders>
              <w:top w:val="nil"/>
              <w:bottom w:val="single" w:sz="4" w:space="0" w:color="auto"/>
              <w:right w:val="nil"/>
            </w:tcBorders>
            <w:shd w:val="clear" w:color="auto" w:fill="auto"/>
            <w:hideMark/>
          </w:tcPr>
          <w:p w14:paraId="308E5969" w14:textId="77777777" w:rsidR="00175E15" w:rsidRPr="008442F8" w:rsidRDefault="00175E15" w:rsidP="001B7882">
            <w:pPr>
              <w:pStyle w:val="TableCenterAlign"/>
              <w:rPr>
                <w:rFonts w:ascii="Arial" w:hAnsi="Arial" w:cs="Arial"/>
                <w:sz w:val="20"/>
                <w:szCs w:val="20"/>
                <w:lang w:eastAsia="zh-TW"/>
              </w:rPr>
            </w:pPr>
            <w:r w:rsidRPr="008442F8">
              <w:rPr>
                <w:rFonts w:ascii="Arial" w:hAnsi="Arial" w:cs="Arial"/>
                <w:sz w:val="20"/>
                <w:szCs w:val="20"/>
                <w:lang w:eastAsia="zh-TW"/>
              </w:rPr>
              <w:t>4</w:t>
            </w:r>
            <w:r w:rsidR="001B7882">
              <w:rPr>
                <w:rFonts w:ascii="Arial" w:hAnsi="Arial" w:cs="Arial"/>
                <w:sz w:val="20"/>
                <w:szCs w:val="20"/>
                <w:lang w:eastAsia="zh-TW"/>
              </w:rPr>
              <w:t> </w:t>
            </w:r>
            <w:r w:rsidRPr="008442F8">
              <w:rPr>
                <w:rFonts w:ascii="Arial" w:hAnsi="Arial" w:cs="Arial"/>
                <w:sz w:val="20"/>
                <w:szCs w:val="20"/>
                <w:lang w:eastAsia="zh-TW"/>
              </w:rPr>
              <w:t>hours</w:t>
            </w:r>
          </w:p>
        </w:tc>
        <w:tc>
          <w:tcPr>
            <w:tcW w:w="2095" w:type="dxa"/>
            <w:tcBorders>
              <w:top w:val="nil"/>
              <w:left w:val="nil"/>
              <w:bottom w:val="single" w:sz="4" w:space="0" w:color="auto"/>
              <w:right w:val="nil"/>
            </w:tcBorders>
            <w:shd w:val="clear" w:color="auto" w:fill="auto"/>
            <w:hideMark/>
          </w:tcPr>
          <w:p w14:paraId="6008ECEE" w14:textId="77777777" w:rsidR="00175E15" w:rsidRPr="008442F8" w:rsidRDefault="00175E15" w:rsidP="00FE5ABB">
            <w:pPr>
              <w:pStyle w:val="TableCenterAlign"/>
              <w:rPr>
                <w:rFonts w:ascii="Arial" w:hAnsi="Arial" w:cs="Arial"/>
                <w:sz w:val="20"/>
                <w:szCs w:val="20"/>
                <w:lang w:eastAsia="zh-TW"/>
              </w:rPr>
            </w:pPr>
            <w:r w:rsidRPr="008442F8">
              <w:rPr>
                <w:rFonts w:ascii="Arial" w:hAnsi="Arial" w:cs="Arial"/>
                <w:sz w:val="20"/>
                <w:szCs w:val="20"/>
                <w:lang w:eastAsia="zh-TW"/>
              </w:rPr>
              <w:t>24</w:t>
            </w:r>
            <w:r w:rsidR="001B7882">
              <w:rPr>
                <w:rFonts w:ascii="Arial" w:hAnsi="Arial" w:cs="Arial"/>
                <w:sz w:val="20"/>
                <w:szCs w:val="20"/>
                <w:lang w:eastAsia="zh-TW"/>
              </w:rPr>
              <w:t> </w:t>
            </w:r>
            <w:r w:rsidRPr="008442F8">
              <w:rPr>
                <w:rFonts w:ascii="Arial" w:hAnsi="Arial" w:cs="Arial"/>
                <w:sz w:val="20"/>
                <w:szCs w:val="20"/>
                <w:lang w:eastAsia="zh-TW"/>
              </w:rPr>
              <w:t>hours</w:t>
            </w:r>
          </w:p>
        </w:tc>
        <w:tc>
          <w:tcPr>
            <w:tcW w:w="2095" w:type="dxa"/>
            <w:tcBorders>
              <w:top w:val="nil"/>
              <w:left w:val="nil"/>
              <w:bottom w:val="single" w:sz="4" w:space="0" w:color="auto"/>
              <w:right w:val="nil"/>
            </w:tcBorders>
            <w:shd w:val="clear" w:color="auto" w:fill="auto"/>
            <w:hideMark/>
          </w:tcPr>
          <w:p w14:paraId="517653DB" w14:textId="77777777" w:rsidR="00175E15" w:rsidRPr="008442F8" w:rsidRDefault="00175E15" w:rsidP="00FE5ABB">
            <w:pPr>
              <w:pStyle w:val="TableCenterAlign"/>
              <w:rPr>
                <w:rFonts w:ascii="Arial" w:hAnsi="Arial" w:cs="Arial"/>
                <w:sz w:val="20"/>
                <w:szCs w:val="20"/>
                <w:lang w:eastAsia="zh-TW"/>
              </w:rPr>
            </w:pPr>
            <w:r w:rsidRPr="008442F8">
              <w:rPr>
                <w:rFonts w:ascii="Arial" w:hAnsi="Arial" w:cs="Arial"/>
                <w:sz w:val="20"/>
                <w:szCs w:val="20"/>
                <w:lang w:eastAsia="zh-TW"/>
              </w:rPr>
              <w:t>96</w:t>
            </w:r>
            <w:r w:rsidR="001B7882">
              <w:rPr>
                <w:rFonts w:ascii="Arial" w:hAnsi="Arial" w:cs="Arial"/>
                <w:sz w:val="20"/>
                <w:szCs w:val="20"/>
                <w:lang w:eastAsia="zh-TW"/>
              </w:rPr>
              <w:t> </w:t>
            </w:r>
            <w:r w:rsidRPr="008442F8">
              <w:rPr>
                <w:rFonts w:ascii="Arial" w:hAnsi="Arial" w:cs="Arial"/>
                <w:sz w:val="20"/>
                <w:szCs w:val="20"/>
                <w:lang w:eastAsia="zh-TW"/>
              </w:rPr>
              <w:t>hours***</w:t>
            </w:r>
          </w:p>
        </w:tc>
        <w:tc>
          <w:tcPr>
            <w:tcW w:w="2096" w:type="dxa"/>
            <w:tcBorders>
              <w:top w:val="nil"/>
              <w:left w:val="nil"/>
              <w:bottom w:val="single" w:sz="4" w:space="0" w:color="auto"/>
            </w:tcBorders>
            <w:shd w:val="clear" w:color="auto" w:fill="auto"/>
            <w:hideMark/>
          </w:tcPr>
          <w:p w14:paraId="437BD9E4" w14:textId="77777777" w:rsidR="00175E15" w:rsidRPr="008442F8" w:rsidRDefault="00175E15" w:rsidP="00FE5ABB">
            <w:pPr>
              <w:pStyle w:val="TableCenterAlign"/>
              <w:rPr>
                <w:rFonts w:ascii="Arial" w:hAnsi="Arial" w:cs="Arial"/>
                <w:sz w:val="20"/>
                <w:szCs w:val="20"/>
                <w:lang w:eastAsia="zh-TW"/>
              </w:rPr>
            </w:pPr>
            <w:r w:rsidRPr="008442F8">
              <w:rPr>
                <w:rFonts w:ascii="Arial" w:hAnsi="Arial" w:cs="Arial"/>
                <w:sz w:val="20"/>
                <w:szCs w:val="20"/>
                <w:lang w:eastAsia="zh-TW"/>
              </w:rPr>
              <w:t>10 days***</w:t>
            </w:r>
          </w:p>
        </w:tc>
      </w:tr>
      <w:tr w:rsidR="00783283" w:rsidRPr="00FF4079" w14:paraId="767E944A" w14:textId="77777777" w:rsidTr="00783283">
        <w:trPr>
          <w:trHeight w:val="459"/>
          <w:jc w:val="center"/>
        </w:trPr>
        <w:tc>
          <w:tcPr>
            <w:tcW w:w="8381" w:type="dxa"/>
            <w:gridSpan w:val="4"/>
            <w:tcBorders>
              <w:left w:val="nil"/>
              <w:bottom w:val="nil"/>
              <w:right w:val="nil"/>
            </w:tcBorders>
            <w:shd w:val="clear" w:color="auto" w:fill="auto"/>
          </w:tcPr>
          <w:p w14:paraId="47FD6A07" w14:textId="77777777" w:rsidR="00783283" w:rsidRPr="00FE5ABB" w:rsidRDefault="00783283" w:rsidP="00783283">
            <w:pPr>
              <w:pStyle w:val="FootnoteText0"/>
              <w:ind w:left="0" w:firstLine="0"/>
              <w:rPr>
                <w:rFonts w:ascii="Arial" w:hAnsi="Arial" w:cs="Arial"/>
                <w:szCs w:val="18"/>
              </w:rPr>
            </w:pPr>
            <w:r w:rsidRPr="00FE5ABB">
              <w:rPr>
                <w:rFonts w:ascii="Arial" w:hAnsi="Arial" w:cs="Arial"/>
                <w:szCs w:val="18"/>
              </w:rPr>
              <w:t xml:space="preserve">* </w:t>
            </w:r>
            <w:r w:rsidRPr="00FE5ABB">
              <w:rPr>
                <w:rFonts w:ascii="Arial" w:hAnsi="Arial" w:cs="Arial"/>
                <w:szCs w:val="18"/>
                <w:lang w:eastAsia="zh-TW"/>
              </w:rPr>
              <w:t xml:space="preserve">While stored, protect reconstituted </w:t>
            </w:r>
            <w:proofErr w:type="spellStart"/>
            <w:r w:rsidRPr="00FE5ABB">
              <w:rPr>
                <w:rFonts w:ascii="Arial" w:hAnsi="Arial" w:cs="Arial"/>
                <w:bCs/>
                <w:szCs w:val="18"/>
                <w:lang w:eastAsia="zh-TW"/>
              </w:rPr>
              <w:t>Blincyto</w:t>
            </w:r>
            <w:proofErr w:type="spellEnd"/>
            <w:r w:rsidRPr="00FE5ABB">
              <w:rPr>
                <w:rFonts w:ascii="Arial" w:hAnsi="Arial" w:cs="Arial"/>
                <w:szCs w:val="18"/>
                <w:lang w:eastAsia="zh-TW"/>
              </w:rPr>
              <w:t xml:space="preserve"> from light.</w:t>
            </w:r>
          </w:p>
          <w:p w14:paraId="5FD95BDE" w14:textId="77777777" w:rsidR="00783283" w:rsidRPr="00AB4EFD" w:rsidRDefault="00783283" w:rsidP="00783283">
            <w:pPr>
              <w:pStyle w:val="FootnoteText0"/>
              <w:rPr>
                <w:rFonts w:ascii="Arial" w:hAnsi="Arial" w:cs="Arial"/>
                <w:szCs w:val="18"/>
                <w:lang w:eastAsia="zh-TW"/>
              </w:rPr>
            </w:pPr>
            <w:r w:rsidRPr="00FE5ABB">
              <w:rPr>
                <w:rFonts w:ascii="Arial" w:hAnsi="Arial" w:cs="Arial"/>
                <w:szCs w:val="18"/>
                <w:lang w:eastAsia="zh-TW"/>
              </w:rPr>
              <w:t>**</w:t>
            </w:r>
            <w:r w:rsidRPr="00AB4EFD">
              <w:rPr>
                <w:rFonts w:ascii="Arial" w:hAnsi="Arial" w:cs="Arial"/>
                <w:szCs w:val="18"/>
                <w:lang w:eastAsia="zh-TW"/>
              </w:rPr>
              <w:t xml:space="preserve"> Do not freeze</w:t>
            </w:r>
          </w:p>
          <w:p w14:paraId="30A64A56" w14:textId="77777777" w:rsidR="00783283" w:rsidRPr="008442F8" w:rsidRDefault="00783283" w:rsidP="00783283">
            <w:pPr>
              <w:pStyle w:val="FootnoteText0"/>
              <w:rPr>
                <w:rFonts w:ascii="Arial" w:hAnsi="Arial" w:cs="Arial"/>
                <w:sz w:val="20"/>
                <w:szCs w:val="20"/>
                <w:lang w:eastAsia="zh-TW"/>
              </w:rPr>
            </w:pPr>
            <w:r w:rsidRPr="00AB4EFD">
              <w:rPr>
                <w:rFonts w:ascii="Arial" w:hAnsi="Arial" w:cs="Arial"/>
                <w:szCs w:val="18"/>
                <w:lang w:eastAsia="zh-TW"/>
              </w:rPr>
              <w:t xml:space="preserve">*** If IV bag or cassette containing </w:t>
            </w:r>
            <w:proofErr w:type="spellStart"/>
            <w:r w:rsidRPr="00AB4EFD">
              <w:rPr>
                <w:rFonts w:ascii="Arial" w:hAnsi="Arial" w:cs="Arial"/>
                <w:szCs w:val="18"/>
                <w:lang w:eastAsia="zh-TW"/>
              </w:rPr>
              <w:t>Blincyto</w:t>
            </w:r>
            <w:proofErr w:type="spellEnd"/>
            <w:r w:rsidRPr="00AB4EFD">
              <w:rPr>
                <w:rFonts w:ascii="Arial" w:hAnsi="Arial" w:cs="Arial"/>
                <w:szCs w:val="18"/>
                <w:lang w:eastAsia="zh-TW"/>
              </w:rPr>
              <w:t xml:space="preserve"> solution for infusion is not administered within the timeframes and temperatures indicated, it must be discarded; it should not be refrigerated again.</w:t>
            </w:r>
            <w:r>
              <w:rPr>
                <w:rFonts w:ascii="Arial" w:hAnsi="Arial" w:cs="Arial"/>
                <w:szCs w:val="18"/>
                <w:lang w:eastAsia="zh-TW"/>
              </w:rPr>
              <w:br/>
            </w:r>
          </w:p>
        </w:tc>
      </w:tr>
    </w:tbl>
    <w:p w14:paraId="710BCCEC" w14:textId="77777777" w:rsidR="00175E15" w:rsidRPr="00FF4079" w:rsidRDefault="00175E15" w:rsidP="00175E15">
      <w:pPr>
        <w:pStyle w:val="PI-Text"/>
      </w:pPr>
      <w:r w:rsidRPr="00FF4079">
        <w:t>The maximum storage time of the prepared IV bag at room temperature should not be longer than 6 hours prior to the start of infusion.</w:t>
      </w:r>
    </w:p>
    <w:p w14:paraId="6CC16541" w14:textId="5C961F1D" w:rsidR="00175E15" w:rsidRPr="00FF4079" w:rsidRDefault="00175E15" w:rsidP="00175E15">
      <w:pPr>
        <w:pStyle w:val="PI-Text"/>
      </w:pPr>
      <w:r w:rsidRPr="00FF4079">
        <w:t xml:space="preserve">Store and transport the prepared IV bag or cassette containing </w:t>
      </w:r>
      <w:proofErr w:type="spellStart"/>
      <w:r w:rsidRPr="00FF4079">
        <w:t>Blincyto</w:t>
      </w:r>
      <w:proofErr w:type="spellEnd"/>
      <w:r w:rsidRPr="00FF4079">
        <w:t xml:space="preserve"> solution at 2</w:t>
      </w:r>
      <w:r w:rsidRPr="00FF4079">
        <w:sym w:font="Symbol" w:char="F0B0"/>
      </w:r>
      <w:r w:rsidRPr="00810AF8">
        <w:rPr>
          <w:color w:val="000000" w:themeColor="text1"/>
        </w:rPr>
        <w:t>C</w:t>
      </w:r>
      <w:r w:rsidR="00B91960" w:rsidRPr="00810AF8">
        <w:rPr>
          <w:color w:val="000000" w:themeColor="text1"/>
        </w:rPr>
        <w:t xml:space="preserve"> to</w:t>
      </w:r>
      <w:r w:rsidR="00B91960" w:rsidRPr="00810AF8">
        <w:rPr>
          <w:color w:val="000000" w:themeColor="text1"/>
          <w:u w:val="single"/>
        </w:rPr>
        <w:t xml:space="preserve"> </w:t>
      </w:r>
      <w:r w:rsidRPr="00FF4079">
        <w:t>8</w:t>
      </w:r>
      <w:r w:rsidRPr="00FF4079">
        <w:sym w:font="Symbol" w:char="F0B0"/>
      </w:r>
      <w:r w:rsidRPr="00FF4079">
        <w:t>C (Refrigerate. Do not freeze.)</w:t>
      </w:r>
    </w:p>
    <w:p w14:paraId="525661A1" w14:textId="55548C6A" w:rsidR="001A3992" w:rsidRDefault="001A3992" w:rsidP="001A3992">
      <w:pPr>
        <w:pStyle w:val="Heading2"/>
        <w:spacing w:before="0" w:after="120"/>
        <w:rPr>
          <w:lang w:val="en-US"/>
        </w:rPr>
      </w:pPr>
      <w:r w:rsidRPr="00EC3C40">
        <w:rPr>
          <w:lang w:val="en-US"/>
        </w:rPr>
        <w:t>N</w:t>
      </w:r>
      <w:r w:rsidR="00311C47">
        <w:rPr>
          <w:lang w:val="en-US"/>
        </w:rPr>
        <w:t>ature and contents of container</w:t>
      </w:r>
    </w:p>
    <w:p w14:paraId="56EC306F" w14:textId="77777777" w:rsidR="001B7882" w:rsidRPr="001B7882" w:rsidRDefault="001B7882" w:rsidP="001B7882">
      <w:pPr>
        <w:pStyle w:val="PI-Bullets"/>
        <w:numPr>
          <w:ilvl w:val="0"/>
          <w:numId w:val="0"/>
        </w:numPr>
      </w:pPr>
      <w:proofErr w:type="spellStart"/>
      <w:r w:rsidRPr="001B7882">
        <w:t>Blincyto</w:t>
      </w:r>
      <w:proofErr w:type="spellEnd"/>
      <w:r w:rsidRPr="001B7882">
        <w:rPr>
          <w:rFonts w:eastAsia="TimesNewRoman"/>
        </w:rPr>
        <w:t xml:space="preserve"> is </w:t>
      </w:r>
      <w:r w:rsidRPr="001B7882">
        <w:t>supplied in a single-use glass vial</w:t>
      </w:r>
    </w:p>
    <w:p w14:paraId="3E0AEF16" w14:textId="77777777" w:rsidR="001B7882" w:rsidRPr="001B7882" w:rsidRDefault="001B7882" w:rsidP="001B7882">
      <w:pPr>
        <w:pStyle w:val="PI-Text"/>
      </w:pPr>
      <w:r w:rsidRPr="001B7882">
        <w:lastRenderedPageBreak/>
        <w:t>IV solution stabiliser is supplied in a 10 mL single-use glass vial</w:t>
      </w:r>
    </w:p>
    <w:p w14:paraId="4482F3E3" w14:textId="77777777" w:rsidR="00800C19" w:rsidRPr="001B7882" w:rsidRDefault="00800C19" w:rsidP="00800C19">
      <w:pPr>
        <w:pStyle w:val="PI-Text"/>
        <w:rPr>
          <w:strike/>
        </w:rPr>
      </w:pPr>
      <w:r w:rsidRPr="001B7882">
        <w:t xml:space="preserve">Pack size: 1 vial </w:t>
      </w:r>
      <w:proofErr w:type="spellStart"/>
      <w:r w:rsidRPr="001B7882">
        <w:t>Blincyto</w:t>
      </w:r>
      <w:proofErr w:type="spellEnd"/>
      <w:r w:rsidRPr="001B7882">
        <w:t xml:space="preserve"> and 1 vial IV solution stabiliser for </w:t>
      </w:r>
      <w:proofErr w:type="spellStart"/>
      <w:r w:rsidRPr="001B7882">
        <w:t>Blincyto</w:t>
      </w:r>
      <w:proofErr w:type="spellEnd"/>
      <w:r w:rsidRPr="001B7882">
        <w:t xml:space="preserve"> supplied in a composite pack. </w:t>
      </w:r>
      <w:r w:rsidRPr="001B7882">
        <w:rPr>
          <w:strike/>
        </w:rPr>
        <w:t xml:space="preserve"> </w:t>
      </w:r>
    </w:p>
    <w:p w14:paraId="6ED31D95" w14:textId="18A60F32" w:rsidR="001A3992" w:rsidRDefault="001A3992" w:rsidP="001A3992">
      <w:pPr>
        <w:pStyle w:val="Heading2"/>
        <w:spacing w:before="0" w:after="120"/>
        <w:rPr>
          <w:lang w:val="en-US"/>
        </w:rPr>
      </w:pPr>
      <w:r w:rsidRPr="00EC3C40">
        <w:rPr>
          <w:lang w:val="en-US"/>
        </w:rPr>
        <w:t>S</w:t>
      </w:r>
      <w:r w:rsidR="00311C47">
        <w:rPr>
          <w:lang w:val="en-US"/>
        </w:rPr>
        <w:t>pecial precautions for disposal</w:t>
      </w:r>
    </w:p>
    <w:p w14:paraId="3422E054" w14:textId="77777777" w:rsidR="00EB035E" w:rsidRDefault="00EB035E" w:rsidP="00FE5ABB">
      <w:pPr>
        <w:pStyle w:val="PI-Text"/>
      </w:pPr>
      <w:r w:rsidRPr="00FF4079">
        <w:t>Any unused medicinal product or waste material should be disposed of in accordance with local requirements.</w:t>
      </w:r>
    </w:p>
    <w:p w14:paraId="4B4D02D1" w14:textId="5A62B43B" w:rsidR="00810AF8" w:rsidRDefault="002A0CD0" w:rsidP="00FE5ABB">
      <w:pPr>
        <w:pStyle w:val="PI-Text"/>
      </w:pPr>
      <w:r w:rsidRPr="00FF4079">
        <w:t xml:space="preserve">At the end of the infusion, any unused </w:t>
      </w:r>
      <w:proofErr w:type="spellStart"/>
      <w:r w:rsidRPr="00FF4079">
        <w:t>Blincyto</w:t>
      </w:r>
      <w:proofErr w:type="spellEnd"/>
      <w:r w:rsidRPr="00FF4079">
        <w:t xml:space="preserve"> solution in the IV bag and IV lines should be disposed of in acco</w:t>
      </w:r>
      <w:r>
        <w:t>rdance with local requirements.</w:t>
      </w:r>
    </w:p>
    <w:p w14:paraId="17A92529" w14:textId="77777777" w:rsidR="00810AF8" w:rsidRDefault="00810AF8">
      <w:pPr>
        <w:rPr>
          <w:rFonts w:ascii="Arial" w:hAnsi="Arial" w:cs="Arial"/>
          <w:lang w:val="en-GB"/>
        </w:rPr>
      </w:pPr>
      <w:r>
        <w:br w:type="page"/>
      </w:r>
    </w:p>
    <w:p w14:paraId="3904D274" w14:textId="77777777" w:rsidR="001A3992" w:rsidRPr="00EC3C40" w:rsidRDefault="001A3992" w:rsidP="001A3992">
      <w:pPr>
        <w:pStyle w:val="Heading2"/>
        <w:spacing w:before="0" w:after="120"/>
        <w:rPr>
          <w:lang w:val="en-US"/>
        </w:rPr>
      </w:pPr>
      <w:r w:rsidRPr="00EC3C40">
        <w:rPr>
          <w:lang w:val="en-US"/>
        </w:rPr>
        <w:lastRenderedPageBreak/>
        <w:t>Physicochemical properties</w:t>
      </w:r>
    </w:p>
    <w:p w14:paraId="090A811D" w14:textId="77777777" w:rsidR="001A3992" w:rsidRDefault="001A3992" w:rsidP="001A3992">
      <w:pPr>
        <w:pStyle w:val="Heading3"/>
        <w:spacing w:before="0" w:after="120"/>
        <w:rPr>
          <w:lang w:val="en-US"/>
        </w:rPr>
      </w:pPr>
      <w:r>
        <w:rPr>
          <w:lang w:val="en-US"/>
        </w:rPr>
        <w:t>Chemical structure</w:t>
      </w:r>
    </w:p>
    <w:p w14:paraId="7307E842" w14:textId="25D77437" w:rsidR="00175E15" w:rsidRPr="00175E15" w:rsidRDefault="004F2D1D" w:rsidP="00175E15">
      <w:pPr>
        <w:rPr>
          <w:lang w:val="en-US"/>
        </w:rPr>
      </w:pPr>
      <w:r>
        <w:rPr>
          <w:rFonts w:cs="Arial"/>
          <w:noProof/>
          <w:lang w:eastAsia="en-AU"/>
        </w:rPr>
        <w:drawing>
          <wp:inline distT="0" distB="0" distL="0" distR="0" wp14:anchorId="55244909" wp14:editId="780D9C80">
            <wp:extent cx="2838734" cy="2845884"/>
            <wp:effectExtent l="0" t="0" r="0" b="0"/>
            <wp:docPr id="5" name="Picture 5" descr="GRH0134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H0134 GRAPH MISC N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5319" cy="2862511"/>
                    </a:xfrm>
                    <a:prstGeom prst="rect">
                      <a:avLst/>
                    </a:prstGeom>
                  </pic:spPr>
                </pic:pic>
              </a:graphicData>
            </a:graphic>
          </wp:inline>
        </w:drawing>
      </w:r>
    </w:p>
    <w:p w14:paraId="11662B0F" w14:textId="77777777" w:rsidR="001A3992" w:rsidRDefault="001A3992" w:rsidP="001A3992">
      <w:pPr>
        <w:pStyle w:val="Heading3"/>
        <w:spacing w:before="0" w:after="120"/>
        <w:rPr>
          <w:lang w:val="en-US"/>
        </w:rPr>
      </w:pPr>
      <w:r w:rsidRPr="00EC3C40">
        <w:rPr>
          <w:lang w:val="en-US"/>
        </w:rPr>
        <w:t>CAS number</w:t>
      </w:r>
    </w:p>
    <w:p w14:paraId="178E9453" w14:textId="77777777" w:rsidR="00175E15" w:rsidRPr="00FF4079" w:rsidRDefault="00175E15" w:rsidP="00175E15">
      <w:pPr>
        <w:pStyle w:val="PI-Text"/>
      </w:pPr>
      <w:r w:rsidRPr="00175E15">
        <w:t>CAS number: 853426-35-4</w:t>
      </w:r>
    </w:p>
    <w:p w14:paraId="53DCFEA1"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60215575" w14:textId="77777777" w:rsidR="00C565C1" w:rsidRPr="00FF4079" w:rsidRDefault="00C565C1" w:rsidP="00C565C1">
      <w:pPr>
        <w:pStyle w:val="PI-Text"/>
      </w:pPr>
      <w:r w:rsidRPr="00FF4079">
        <w:t>S4 Prescription Medicine</w:t>
      </w:r>
    </w:p>
    <w:p w14:paraId="79D843B7" w14:textId="77777777" w:rsidR="001A3992" w:rsidRDefault="001A3992" w:rsidP="001A3992">
      <w:pPr>
        <w:pStyle w:val="Heading1"/>
        <w:spacing w:before="0" w:after="120"/>
        <w:rPr>
          <w:lang w:val="en-US"/>
        </w:rPr>
      </w:pPr>
      <w:r w:rsidRPr="007D497E">
        <w:rPr>
          <w:lang w:val="en-US"/>
        </w:rPr>
        <w:t>Sponsor</w:t>
      </w:r>
    </w:p>
    <w:p w14:paraId="78AAB7FE" w14:textId="48941810" w:rsidR="00C565C1" w:rsidRDefault="00C565C1" w:rsidP="00C565C1">
      <w:pPr>
        <w:pStyle w:val="PI-Text"/>
      </w:pPr>
      <w:r w:rsidRPr="00FF4079">
        <w:t>Amgen Australia Pty Ltd</w:t>
      </w:r>
      <w:r w:rsidR="006D2E84">
        <w:br/>
      </w:r>
      <w:r w:rsidRPr="00FF4079">
        <w:t>ABN</w:t>
      </w:r>
      <w:r w:rsidR="00E472AC">
        <w:t> </w:t>
      </w:r>
      <w:r w:rsidRPr="00FF4079">
        <w:t>31 051 057 428</w:t>
      </w:r>
      <w:r w:rsidR="006D2E84">
        <w:br/>
      </w:r>
      <w:r w:rsidRPr="00FF4079">
        <w:t>Level</w:t>
      </w:r>
      <w:r w:rsidR="00E472AC">
        <w:t> </w:t>
      </w:r>
      <w:r w:rsidRPr="00FF4079">
        <w:t>7, 123</w:t>
      </w:r>
      <w:r w:rsidR="00E472AC">
        <w:t> </w:t>
      </w:r>
      <w:r w:rsidRPr="00FF4079">
        <w:t>Epping Road</w:t>
      </w:r>
      <w:r w:rsidR="006D2E84">
        <w:br/>
      </w:r>
      <w:r w:rsidRPr="00FF4079">
        <w:t>North Ryde NSW 2113</w:t>
      </w:r>
    </w:p>
    <w:p w14:paraId="5311227D" w14:textId="77777777" w:rsidR="00097397" w:rsidRDefault="00537CC3" w:rsidP="003F3E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color w:val="000000" w:themeColor="text1"/>
          <w:lang w:val="en"/>
        </w:rPr>
      </w:pPr>
      <w:r>
        <w:rPr>
          <w:rFonts w:ascii="Arial" w:hAnsi="Arial" w:cs="Arial"/>
          <w:color w:val="000000" w:themeColor="text1"/>
          <w:lang w:val="en"/>
        </w:rPr>
        <w:t>Medical Information: 1800 803 638</w:t>
      </w:r>
    </w:p>
    <w:p w14:paraId="61806454" w14:textId="77777777" w:rsidR="00097397" w:rsidRDefault="00097397" w:rsidP="003F3E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color w:val="000000" w:themeColor="text1"/>
          <w:lang w:val="en"/>
        </w:rPr>
      </w:pPr>
    </w:p>
    <w:p w14:paraId="02D29ACE" w14:textId="5364EA61" w:rsidR="003F3E19" w:rsidRPr="00810AF8" w:rsidRDefault="003F3E19" w:rsidP="003F3E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color w:val="000000" w:themeColor="text1"/>
          <w:lang w:val="en"/>
        </w:rPr>
      </w:pPr>
      <w:r w:rsidRPr="00810AF8">
        <w:rPr>
          <w:rFonts w:ascii="Arial" w:hAnsi="Arial" w:cs="Arial"/>
          <w:color w:val="000000" w:themeColor="text1"/>
          <w:lang w:val="en"/>
        </w:rPr>
        <w:t>Email: medinfo.JAPAC@amgen.com</w:t>
      </w:r>
    </w:p>
    <w:p w14:paraId="268A5E33" w14:textId="77777777" w:rsidR="003F3E19" w:rsidRPr="00810AF8" w:rsidRDefault="003F3E19" w:rsidP="003F3E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color w:val="000000" w:themeColor="text1"/>
        </w:rPr>
      </w:pPr>
    </w:p>
    <w:p w14:paraId="4861767F" w14:textId="77777777" w:rsidR="001A3992" w:rsidRDefault="001A3992" w:rsidP="001A3992">
      <w:pPr>
        <w:pStyle w:val="Heading1"/>
        <w:spacing w:before="0" w:after="120"/>
        <w:rPr>
          <w:lang w:val="en-US"/>
        </w:rPr>
      </w:pPr>
      <w:r w:rsidRPr="007D497E">
        <w:rPr>
          <w:lang w:val="en-US"/>
        </w:rPr>
        <w:t xml:space="preserve">Date of first </w:t>
      </w:r>
      <w:r w:rsidR="008131BF">
        <w:rPr>
          <w:lang w:val="en-US"/>
        </w:rPr>
        <w:t>approval</w:t>
      </w:r>
    </w:p>
    <w:p w14:paraId="5E0BBD47" w14:textId="475125AF" w:rsidR="00C565C1" w:rsidRPr="00FF4079" w:rsidRDefault="00C565C1" w:rsidP="00C565C1">
      <w:pPr>
        <w:pStyle w:val="PI-Text"/>
      </w:pPr>
      <w:r w:rsidRPr="00FF4079">
        <w:t>9</w:t>
      </w:r>
      <w:r w:rsidR="00E472AC">
        <w:t> </w:t>
      </w:r>
      <w:r w:rsidRPr="00FF4079">
        <w:t>November</w:t>
      </w:r>
      <w:r w:rsidR="00E472AC">
        <w:t> </w:t>
      </w:r>
      <w:r w:rsidRPr="00FF4079">
        <w:t>2015</w:t>
      </w:r>
    </w:p>
    <w:p w14:paraId="03693027" w14:textId="77777777" w:rsidR="001A3992" w:rsidRDefault="008131BF" w:rsidP="001A3992">
      <w:pPr>
        <w:pStyle w:val="Heading1"/>
        <w:spacing w:before="0" w:after="120"/>
        <w:rPr>
          <w:lang w:val="en-US"/>
        </w:rPr>
      </w:pPr>
      <w:r>
        <w:rPr>
          <w:lang w:val="en-US"/>
        </w:rPr>
        <w:t>Date of revision</w:t>
      </w:r>
    </w:p>
    <w:p w14:paraId="7568F619" w14:textId="1A8C004E" w:rsidR="00C565C1" w:rsidRPr="00C565C1" w:rsidRDefault="008C57B2" w:rsidP="00FE5ABB">
      <w:pPr>
        <w:pStyle w:val="PI-Text"/>
      </w:pPr>
      <w:r>
        <w:t>7 May 2018</w:t>
      </w:r>
    </w:p>
    <w:p w14:paraId="4DD49FA8" w14:textId="77777777" w:rsidR="00810AF8" w:rsidRDefault="00810AF8">
      <w:pPr>
        <w:rPr>
          <w:rFonts w:ascii="Arial" w:hAnsi="Arial"/>
          <w:b/>
          <w:sz w:val="24"/>
          <w:lang w:val="en-US"/>
        </w:rPr>
      </w:pPr>
      <w:r>
        <w:rPr>
          <w:lang w:val="en-US"/>
        </w:rPr>
        <w:lastRenderedPageBreak/>
        <w:br w:type="page"/>
      </w:r>
    </w:p>
    <w:p w14:paraId="56B6042F" w14:textId="4F0354AF" w:rsidR="001A3992" w:rsidRDefault="001A3992" w:rsidP="001A3992">
      <w:pPr>
        <w:pStyle w:val="Heading2"/>
        <w:numPr>
          <w:ilvl w:val="0"/>
          <w:numId w:val="0"/>
        </w:numPr>
        <w:spacing w:before="0" w:after="120"/>
        <w:rPr>
          <w:lang w:val="en-US"/>
        </w:rPr>
      </w:pPr>
      <w:r w:rsidRPr="007D497E">
        <w:rPr>
          <w:lang w:val="en-US"/>
        </w:rPr>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372"/>
        <w:gridCol w:w="7644"/>
      </w:tblGrid>
      <w:tr w:rsidR="00ED0937" w14:paraId="0CEAE21A" w14:textId="77777777" w:rsidTr="00965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top w:val="single" w:sz="4" w:space="0" w:color="auto"/>
              <w:left w:val="single" w:sz="4" w:space="0" w:color="auto"/>
              <w:bottom w:val="single" w:sz="4" w:space="0" w:color="auto"/>
              <w:right w:val="nil"/>
            </w:tcBorders>
            <w:shd w:val="clear" w:color="auto" w:fill="auto"/>
            <w:vAlign w:val="center"/>
          </w:tcPr>
          <w:p w14:paraId="1FCB5685" w14:textId="77777777" w:rsidR="00ED0937" w:rsidRPr="00FE5ABB" w:rsidRDefault="00FE5ABB" w:rsidP="00FE5ABB">
            <w:pPr>
              <w:pStyle w:val="PI-Text"/>
              <w:spacing w:before="60" w:after="60" w:line="240" w:lineRule="atLeast"/>
              <w:jc w:val="center"/>
              <w:rPr>
                <w:sz w:val="20"/>
                <w:szCs w:val="20"/>
              </w:rPr>
            </w:pPr>
            <w:r>
              <w:rPr>
                <w:sz w:val="20"/>
                <w:szCs w:val="20"/>
              </w:rPr>
              <w:t>Section c</w:t>
            </w:r>
            <w:r w:rsidR="00ED0937" w:rsidRPr="00FE5ABB">
              <w:rPr>
                <w:sz w:val="20"/>
                <w:szCs w:val="20"/>
              </w:rPr>
              <w:t>hanged</w:t>
            </w:r>
          </w:p>
        </w:tc>
        <w:tc>
          <w:tcPr>
            <w:tcW w:w="7644" w:type="dxa"/>
            <w:tcBorders>
              <w:top w:val="single" w:sz="4" w:space="0" w:color="auto"/>
              <w:left w:val="nil"/>
              <w:bottom w:val="single" w:sz="4" w:space="0" w:color="auto"/>
              <w:right w:val="single" w:sz="4" w:space="0" w:color="auto"/>
            </w:tcBorders>
            <w:shd w:val="clear" w:color="auto" w:fill="auto"/>
            <w:vAlign w:val="center"/>
          </w:tcPr>
          <w:p w14:paraId="56C2DED1" w14:textId="77777777" w:rsidR="00ED0937" w:rsidRPr="00FE5ABB" w:rsidRDefault="00ED0937" w:rsidP="00FE5ABB">
            <w:pPr>
              <w:pStyle w:val="PI-Text"/>
              <w:spacing w:before="60" w:after="60"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FE5ABB">
              <w:rPr>
                <w:sz w:val="20"/>
                <w:szCs w:val="20"/>
              </w:rPr>
              <w:t>Summary of new information</w:t>
            </w:r>
          </w:p>
        </w:tc>
      </w:tr>
      <w:tr w:rsidR="00ED0937" w14:paraId="6E2CC0A1"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single" w:sz="4" w:space="0" w:color="auto"/>
              <w:left w:val="single" w:sz="4" w:space="0" w:color="auto"/>
              <w:bottom w:val="nil"/>
              <w:right w:val="nil"/>
            </w:tcBorders>
            <w:vAlign w:val="center"/>
          </w:tcPr>
          <w:p w14:paraId="29F0C1AF" w14:textId="6ADB1DC7" w:rsidR="00ED0937" w:rsidRPr="00810AF8" w:rsidRDefault="00965EC1"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4.1</w:t>
            </w:r>
          </w:p>
        </w:tc>
        <w:tc>
          <w:tcPr>
            <w:tcW w:w="7644" w:type="dxa"/>
            <w:tcBorders>
              <w:top w:val="single" w:sz="4" w:space="0" w:color="auto"/>
              <w:left w:val="nil"/>
              <w:bottom w:val="nil"/>
              <w:right w:val="single" w:sz="4" w:space="0" w:color="auto"/>
            </w:tcBorders>
            <w:vAlign w:val="center"/>
          </w:tcPr>
          <w:p w14:paraId="14431FEF" w14:textId="7026532D" w:rsidR="00ED0937" w:rsidRPr="00810AF8" w:rsidRDefault="00965EC1" w:rsidP="00965E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Extension of indications to remove Philadelphia chromosome limitation and add MRD positive population</w:t>
            </w:r>
          </w:p>
        </w:tc>
      </w:tr>
      <w:tr w:rsidR="00ED0937" w14:paraId="33B345EE"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nil"/>
              <w:left w:val="single" w:sz="4" w:space="0" w:color="auto"/>
              <w:bottom w:val="nil"/>
              <w:right w:val="nil"/>
            </w:tcBorders>
            <w:vAlign w:val="center"/>
          </w:tcPr>
          <w:p w14:paraId="45E6D228" w14:textId="0DCA9D6F" w:rsidR="00ED0937" w:rsidRPr="00810AF8" w:rsidRDefault="00965EC1"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4.2</w:t>
            </w:r>
          </w:p>
        </w:tc>
        <w:tc>
          <w:tcPr>
            <w:tcW w:w="7644" w:type="dxa"/>
            <w:tcBorders>
              <w:top w:val="nil"/>
              <w:left w:val="nil"/>
              <w:bottom w:val="nil"/>
              <w:right w:val="single" w:sz="4" w:space="0" w:color="auto"/>
            </w:tcBorders>
            <w:vAlign w:val="center"/>
          </w:tcPr>
          <w:p w14:paraId="43191123" w14:textId="77313214" w:rsidR="00ED0937" w:rsidRPr="00810AF8" w:rsidRDefault="00965EC1" w:rsidP="00965E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Amended to include dosing &amp; administration for MRD positive population</w:t>
            </w:r>
          </w:p>
        </w:tc>
      </w:tr>
      <w:tr w:rsidR="00ED0937" w14:paraId="738C1889"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nil"/>
              <w:left w:val="single" w:sz="4" w:space="0" w:color="auto"/>
              <w:bottom w:val="nil"/>
              <w:right w:val="nil"/>
            </w:tcBorders>
            <w:vAlign w:val="center"/>
          </w:tcPr>
          <w:p w14:paraId="7F8E899C" w14:textId="57149955" w:rsidR="00ED0937" w:rsidRPr="00810AF8" w:rsidRDefault="00965EC1"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4.4</w:t>
            </w:r>
          </w:p>
        </w:tc>
        <w:tc>
          <w:tcPr>
            <w:tcW w:w="7644" w:type="dxa"/>
            <w:tcBorders>
              <w:top w:val="nil"/>
              <w:left w:val="nil"/>
              <w:bottom w:val="nil"/>
              <w:right w:val="single" w:sz="4" w:space="0" w:color="auto"/>
            </w:tcBorders>
            <w:vAlign w:val="center"/>
          </w:tcPr>
          <w:p w14:paraId="1A4210D2" w14:textId="01B132E2" w:rsidR="00ED0937" w:rsidRPr="00810AF8" w:rsidRDefault="00965EC1" w:rsidP="00FE5ABB">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Updated information on neurological events and immunogen</w:t>
            </w:r>
            <w:r w:rsidR="00A237B8" w:rsidRPr="00810AF8">
              <w:rPr>
                <w:rFonts w:ascii="Arial" w:hAnsi="Arial" w:cs="Arial"/>
                <w:color w:val="000000" w:themeColor="text1"/>
                <w:sz w:val="20"/>
                <w:szCs w:val="20"/>
                <w:lang w:val="en-US"/>
              </w:rPr>
              <w:t>i</w:t>
            </w:r>
            <w:r w:rsidRPr="00810AF8">
              <w:rPr>
                <w:rFonts w:ascii="Arial" w:hAnsi="Arial" w:cs="Arial"/>
                <w:color w:val="000000" w:themeColor="text1"/>
                <w:sz w:val="20"/>
                <w:szCs w:val="20"/>
                <w:lang w:val="en-US"/>
              </w:rPr>
              <w:t>city</w:t>
            </w:r>
          </w:p>
        </w:tc>
      </w:tr>
      <w:tr w:rsidR="00965EC1" w14:paraId="635BFF79"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nil"/>
              <w:left w:val="single" w:sz="4" w:space="0" w:color="auto"/>
              <w:bottom w:val="nil"/>
              <w:right w:val="nil"/>
            </w:tcBorders>
            <w:vAlign w:val="center"/>
          </w:tcPr>
          <w:p w14:paraId="6DB32344" w14:textId="24C627E4" w:rsidR="00965EC1" w:rsidRPr="00810AF8" w:rsidRDefault="00965EC1"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4.8</w:t>
            </w:r>
          </w:p>
        </w:tc>
        <w:tc>
          <w:tcPr>
            <w:tcW w:w="7644" w:type="dxa"/>
            <w:tcBorders>
              <w:top w:val="nil"/>
              <w:left w:val="nil"/>
              <w:bottom w:val="nil"/>
              <w:right w:val="single" w:sz="4" w:space="0" w:color="auto"/>
            </w:tcBorders>
            <w:vAlign w:val="center"/>
          </w:tcPr>
          <w:p w14:paraId="0C5CE8CF" w14:textId="7F1E5BEB" w:rsidR="00965EC1" w:rsidRPr="00810AF8" w:rsidRDefault="00965EC1" w:rsidP="00874EBA">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 xml:space="preserve">Inclusion of </w:t>
            </w:r>
            <w:r w:rsidR="00326419" w:rsidRPr="00810AF8">
              <w:rPr>
                <w:rFonts w:ascii="Arial" w:hAnsi="Arial" w:cs="Arial"/>
                <w:color w:val="000000" w:themeColor="text1"/>
                <w:sz w:val="20"/>
                <w:szCs w:val="20"/>
                <w:lang w:val="en-US"/>
              </w:rPr>
              <w:t>latest Adverse Reactions</w:t>
            </w:r>
            <w:r w:rsidR="00505458" w:rsidRPr="00810AF8">
              <w:rPr>
                <w:rFonts w:ascii="Arial" w:hAnsi="Arial" w:cs="Arial"/>
                <w:color w:val="000000" w:themeColor="text1"/>
                <w:sz w:val="20"/>
                <w:szCs w:val="20"/>
                <w:lang w:val="en-US"/>
              </w:rPr>
              <w:t>; update of selected ARs</w:t>
            </w:r>
          </w:p>
        </w:tc>
      </w:tr>
      <w:tr w:rsidR="00965EC1" w14:paraId="79091D3A"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nil"/>
              <w:left w:val="single" w:sz="4" w:space="0" w:color="auto"/>
              <w:bottom w:val="nil"/>
              <w:right w:val="nil"/>
            </w:tcBorders>
            <w:vAlign w:val="center"/>
          </w:tcPr>
          <w:p w14:paraId="040E20D0" w14:textId="720AAC3E" w:rsidR="00965EC1" w:rsidRPr="00810AF8" w:rsidRDefault="00965EC1"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5.1</w:t>
            </w:r>
          </w:p>
        </w:tc>
        <w:tc>
          <w:tcPr>
            <w:tcW w:w="7644" w:type="dxa"/>
            <w:tcBorders>
              <w:top w:val="nil"/>
              <w:left w:val="nil"/>
              <w:bottom w:val="nil"/>
              <w:right w:val="single" w:sz="4" w:space="0" w:color="auto"/>
            </w:tcBorders>
            <w:vAlign w:val="center"/>
          </w:tcPr>
          <w:p w14:paraId="2D0D79DF" w14:textId="75929B03" w:rsidR="00965EC1" w:rsidRPr="00810AF8" w:rsidRDefault="00505458" w:rsidP="00326419">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 xml:space="preserve">Inclusion of </w:t>
            </w:r>
            <w:r w:rsidR="00326419" w:rsidRPr="00810AF8">
              <w:rPr>
                <w:rFonts w:ascii="Arial" w:hAnsi="Arial" w:cs="Arial"/>
                <w:color w:val="000000" w:themeColor="text1"/>
                <w:sz w:val="20"/>
                <w:szCs w:val="20"/>
                <w:lang w:val="en-US"/>
              </w:rPr>
              <w:t>p</w:t>
            </w:r>
            <w:r w:rsidRPr="00810AF8">
              <w:rPr>
                <w:rFonts w:ascii="Arial" w:hAnsi="Arial" w:cs="Arial"/>
                <w:color w:val="000000" w:themeColor="text1"/>
                <w:sz w:val="20"/>
                <w:szCs w:val="20"/>
                <w:lang w:val="en-US"/>
              </w:rPr>
              <w:t xml:space="preserve">hase III clinical data in Philadelphia chromosome negative population, </w:t>
            </w:r>
            <w:r w:rsidR="00326419" w:rsidRPr="00810AF8">
              <w:rPr>
                <w:rFonts w:ascii="Arial" w:hAnsi="Arial" w:cs="Arial"/>
                <w:color w:val="000000" w:themeColor="text1"/>
                <w:sz w:val="20"/>
                <w:szCs w:val="20"/>
                <w:lang w:val="en-US"/>
              </w:rPr>
              <w:t>p</w:t>
            </w:r>
            <w:r w:rsidRPr="00810AF8">
              <w:rPr>
                <w:rFonts w:ascii="Arial" w:hAnsi="Arial" w:cs="Arial"/>
                <w:color w:val="000000" w:themeColor="text1"/>
                <w:sz w:val="20"/>
                <w:szCs w:val="20"/>
                <w:lang w:val="en-US"/>
              </w:rPr>
              <w:t xml:space="preserve">hase II clinical data in Philadelphia chromosome positive population and </w:t>
            </w:r>
            <w:r w:rsidR="00326419" w:rsidRPr="00810AF8">
              <w:rPr>
                <w:rFonts w:ascii="Arial" w:hAnsi="Arial" w:cs="Arial"/>
                <w:color w:val="000000" w:themeColor="text1"/>
                <w:sz w:val="20"/>
                <w:szCs w:val="20"/>
                <w:lang w:val="en-US"/>
              </w:rPr>
              <w:t>p</w:t>
            </w:r>
            <w:r w:rsidRPr="00810AF8">
              <w:rPr>
                <w:rFonts w:ascii="Arial" w:hAnsi="Arial" w:cs="Arial"/>
                <w:color w:val="000000" w:themeColor="text1"/>
                <w:sz w:val="20"/>
                <w:szCs w:val="20"/>
                <w:lang w:val="en-US"/>
              </w:rPr>
              <w:t>hase II clinical data in Minimal Residual Disease positive population</w:t>
            </w:r>
          </w:p>
        </w:tc>
      </w:tr>
      <w:tr w:rsidR="00505458" w14:paraId="463972A9" w14:textId="77777777" w:rsidTr="00965EC1">
        <w:tc>
          <w:tcPr>
            <w:cnfStyle w:val="001000000000" w:firstRow="0" w:lastRow="0" w:firstColumn="1" w:lastColumn="0" w:oddVBand="0" w:evenVBand="0" w:oddHBand="0" w:evenHBand="0" w:firstRowFirstColumn="0" w:firstRowLastColumn="0" w:lastRowFirstColumn="0" w:lastRowLastColumn="0"/>
            <w:tcW w:w="1372" w:type="dxa"/>
            <w:tcBorders>
              <w:top w:val="nil"/>
              <w:left w:val="single" w:sz="4" w:space="0" w:color="auto"/>
              <w:bottom w:val="single" w:sz="4" w:space="0" w:color="auto"/>
              <w:right w:val="nil"/>
            </w:tcBorders>
            <w:vAlign w:val="center"/>
          </w:tcPr>
          <w:p w14:paraId="1D5263BD" w14:textId="2BC509D7" w:rsidR="00505458" w:rsidRPr="00810AF8" w:rsidRDefault="00505458" w:rsidP="00810AF8">
            <w:pPr>
              <w:spacing w:before="60" w:after="60" w:line="240" w:lineRule="atLeast"/>
              <w:jc w:val="center"/>
              <w:rPr>
                <w:rFonts w:ascii="Arial" w:hAnsi="Arial" w:cs="Arial"/>
                <w:b w:val="0"/>
                <w:color w:val="000000" w:themeColor="text1"/>
                <w:sz w:val="20"/>
                <w:szCs w:val="20"/>
                <w:lang w:val="en-US"/>
              </w:rPr>
            </w:pPr>
            <w:r w:rsidRPr="00810AF8">
              <w:rPr>
                <w:rFonts w:ascii="Arial" w:hAnsi="Arial" w:cs="Arial"/>
                <w:b w:val="0"/>
                <w:color w:val="000000" w:themeColor="text1"/>
                <w:sz w:val="20"/>
                <w:szCs w:val="20"/>
                <w:lang w:val="en-US"/>
              </w:rPr>
              <w:t>5.2</w:t>
            </w:r>
          </w:p>
        </w:tc>
        <w:tc>
          <w:tcPr>
            <w:tcW w:w="7644" w:type="dxa"/>
            <w:tcBorders>
              <w:top w:val="nil"/>
              <w:left w:val="nil"/>
              <w:bottom w:val="single" w:sz="4" w:space="0" w:color="auto"/>
              <w:right w:val="single" w:sz="4" w:space="0" w:color="auto"/>
            </w:tcBorders>
            <w:vAlign w:val="center"/>
          </w:tcPr>
          <w:p w14:paraId="7CC90107" w14:textId="411756CB" w:rsidR="00505458" w:rsidRPr="00810AF8" w:rsidRDefault="00505458" w:rsidP="00505458">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810AF8">
              <w:rPr>
                <w:rFonts w:ascii="Arial" w:hAnsi="Arial" w:cs="Arial"/>
                <w:color w:val="000000" w:themeColor="text1"/>
                <w:sz w:val="20"/>
                <w:szCs w:val="20"/>
                <w:lang w:val="en-US"/>
              </w:rPr>
              <w:t>Inclusion of pharmacokinetic data in Minimal Residual Disease positive population</w:t>
            </w:r>
          </w:p>
        </w:tc>
      </w:tr>
    </w:tbl>
    <w:p w14:paraId="60962E36" w14:textId="77777777" w:rsidR="001A3992" w:rsidRPr="00557591" w:rsidRDefault="001A3992" w:rsidP="001A3992">
      <w:pPr>
        <w:spacing w:after="120"/>
        <w:rPr>
          <w:lang w:val="en-US"/>
        </w:rPr>
      </w:pPr>
    </w:p>
    <w:p w14:paraId="65A861B4" w14:textId="77777777" w:rsidR="00F67697" w:rsidRPr="00F67697" w:rsidRDefault="00F67697" w:rsidP="00C565C1">
      <w:pPr>
        <w:pStyle w:val="PI-Text"/>
      </w:pPr>
      <w:r w:rsidRPr="00F67697">
        <w:t>© 2015-2018 Amgen Inc.  All rights reserved.</w:t>
      </w:r>
    </w:p>
    <w:p w14:paraId="7C77C3ED" w14:textId="07B91E18" w:rsidR="00C565C1" w:rsidRPr="00FF4079" w:rsidRDefault="003F3E19" w:rsidP="00C565C1">
      <w:pPr>
        <w:pStyle w:val="PI-Text"/>
      </w:pPr>
      <w:r>
        <w:t>BLINCYTO</w:t>
      </w:r>
      <w:r w:rsidR="00F67697" w:rsidRPr="00F67697">
        <w:rPr>
          <w:vertAlign w:val="superscript"/>
        </w:rPr>
        <w:t>®</w:t>
      </w:r>
      <w:r>
        <w:t xml:space="preserve"> </w:t>
      </w:r>
      <w:r w:rsidR="00C565C1" w:rsidRPr="00FF4079">
        <w:t>is the registered trademark of Amgen.</w:t>
      </w:r>
    </w:p>
    <w:sectPr w:rsidR="00C565C1" w:rsidRPr="00FF4079" w:rsidSect="0032635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A99D" w14:textId="77777777" w:rsidR="005243E0" w:rsidRDefault="005243E0" w:rsidP="001A3992">
      <w:pPr>
        <w:spacing w:after="0" w:line="240" w:lineRule="auto"/>
      </w:pPr>
      <w:r>
        <w:separator/>
      </w:r>
    </w:p>
  </w:endnote>
  <w:endnote w:type="continuationSeparator" w:id="0">
    <w:p w14:paraId="43885EB9" w14:textId="77777777" w:rsidR="005243E0" w:rsidRDefault="005243E0"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73AA" w14:textId="77777777" w:rsidR="00B81C11" w:rsidRDefault="00B81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0436" w14:textId="5ADE8BE7" w:rsidR="004C2286" w:rsidRPr="00AE521B" w:rsidRDefault="004C2286" w:rsidP="00AE521B">
    <w:pPr>
      <w:pStyle w:val="Footer"/>
      <w:pBdr>
        <w:top w:val="single" w:sz="4" w:space="1" w:color="auto"/>
      </w:pBdr>
      <w:tabs>
        <w:tab w:val="left" w:pos="1500"/>
      </w:tabs>
      <w:rPr>
        <w:rFonts w:asciiTheme="minorHAnsi" w:hAnsiTheme="minorHAnsi"/>
        <w:sz w:val="20"/>
        <w:szCs w:val="20"/>
      </w:rPr>
    </w:pPr>
    <w:r>
      <w:rPr>
        <w:rFonts w:asciiTheme="minorHAnsi" w:hAnsiTheme="minorHAnsi"/>
        <w:sz w:val="20"/>
        <w:szCs w:val="20"/>
      </w:rPr>
      <w:t>2018</w:t>
    </w:r>
    <w:r w:rsidR="008C57B2">
      <w:rPr>
        <w:rFonts w:asciiTheme="minorHAnsi" w:hAnsiTheme="minorHAnsi"/>
        <w:sz w:val="20"/>
        <w:szCs w:val="20"/>
      </w:rPr>
      <w:t>0507</w:t>
    </w:r>
    <w:r>
      <w:rPr>
        <w:rFonts w:asciiTheme="minorHAnsi" w:hAnsiTheme="minorHAnsi"/>
        <w:sz w:val="20"/>
        <w:szCs w:val="20"/>
      </w:rPr>
      <w:t xml:space="preserve"> </w:t>
    </w:r>
    <w:proofErr w:type="spellStart"/>
    <w:r w:rsidR="008C57B2">
      <w:rPr>
        <w:rFonts w:asciiTheme="minorHAnsi" w:hAnsiTheme="minorHAnsi"/>
        <w:sz w:val="20"/>
        <w:szCs w:val="20"/>
      </w:rPr>
      <w:t>Blincyto</w:t>
    </w:r>
    <w:proofErr w:type="spellEnd"/>
    <w:r w:rsidR="008C57B2">
      <w:rPr>
        <w:rFonts w:asciiTheme="minorHAnsi" w:hAnsiTheme="minorHAnsi"/>
        <w:sz w:val="20"/>
        <w:szCs w:val="20"/>
      </w:rPr>
      <w:t xml:space="preserve"> Product Information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FC4F" w14:textId="77777777" w:rsidR="00B81C11" w:rsidRDefault="00B8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004C" w14:textId="77777777" w:rsidR="005243E0" w:rsidRDefault="005243E0" w:rsidP="001A3992">
      <w:pPr>
        <w:spacing w:after="0" w:line="240" w:lineRule="auto"/>
      </w:pPr>
      <w:r>
        <w:separator/>
      </w:r>
    </w:p>
  </w:footnote>
  <w:footnote w:type="continuationSeparator" w:id="0">
    <w:p w14:paraId="456A1D81" w14:textId="77777777" w:rsidR="005243E0" w:rsidRDefault="005243E0"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6DF6F" w14:textId="77777777" w:rsidR="00B81C11" w:rsidRDefault="00B8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B81C11" w:rsidRPr="002E7F61" w14:paraId="061C17E6" w14:textId="77777777" w:rsidTr="009F0313">
      <w:trPr>
        <w:trHeight w:val="590"/>
      </w:trPr>
      <w:tc>
        <w:tcPr>
          <w:tcW w:w="8720" w:type="dxa"/>
          <w:shd w:val="clear" w:color="auto" w:fill="E4F2E0"/>
        </w:tcPr>
        <w:p w14:paraId="325F1E59" w14:textId="77777777" w:rsidR="00B81C11" w:rsidRPr="002E7F61" w:rsidRDefault="00B81C11" w:rsidP="00B81C11">
          <w:pPr>
            <w:pStyle w:val="Footer"/>
            <w:rPr>
              <w:b/>
              <w:sz w:val="18"/>
              <w:szCs w:val="18"/>
            </w:rPr>
          </w:pPr>
          <w:r w:rsidRPr="002E7F61">
            <w:rPr>
              <w:b/>
              <w:sz w:val="18"/>
              <w:szCs w:val="18"/>
            </w:rPr>
            <w:t xml:space="preserve">Attachment 1: Product </w:t>
          </w:r>
          <w:r w:rsidRPr="003C54CE">
            <w:rPr>
              <w:b/>
              <w:sz w:val="18"/>
              <w:szCs w:val="18"/>
            </w:rPr>
            <w:t xml:space="preserve">AusPAR </w:t>
          </w:r>
          <w:proofErr w:type="spellStart"/>
          <w:r w:rsidRPr="003C54CE">
            <w:rPr>
              <w:b/>
              <w:sz w:val="18"/>
              <w:szCs w:val="18"/>
            </w:rPr>
            <w:t>Blincyto</w:t>
          </w:r>
          <w:proofErr w:type="spellEnd"/>
          <w:r w:rsidRPr="003C54CE">
            <w:rPr>
              <w:b/>
              <w:sz w:val="18"/>
              <w:szCs w:val="18"/>
            </w:rPr>
            <w:t xml:space="preserve"> </w:t>
          </w:r>
          <w:proofErr w:type="spellStart"/>
          <w:r w:rsidRPr="003C54CE">
            <w:rPr>
              <w:b/>
              <w:sz w:val="18"/>
              <w:szCs w:val="18"/>
            </w:rPr>
            <w:t>blinatumomab</w:t>
          </w:r>
          <w:proofErr w:type="spellEnd"/>
          <w:r w:rsidRPr="003C54CE">
            <w:rPr>
              <w:b/>
              <w:sz w:val="18"/>
              <w:szCs w:val="18"/>
            </w:rPr>
            <w:t xml:space="preserve"> Amgen Australia Pty Ltd PM-2017-01431-1-4 - FINAL 30 September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406D534" w14:textId="77777777" w:rsidR="00B81C11" w:rsidRDefault="00B81C11" w:rsidP="00AE521B">
    <w:pPr>
      <w:pBdr>
        <w:bottom w:val="single" w:sz="4" w:space="1" w:color="auto"/>
      </w:pBdr>
      <w:tabs>
        <w:tab w:val="right" w:pos="8640"/>
      </w:tabs>
      <w:rPr>
        <w:rFonts w:ascii="Arial" w:hAnsi="Arial" w:cs="Arial"/>
        <w:sz w:val="20"/>
      </w:rPr>
    </w:pPr>
  </w:p>
  <w:p w14:paraId="46F3CB05" w14:textId="008C387F" w:rsidR="004C2286" w:rsidRPr="00130A12" w:rsidRDefault="004C2286" w:rsidP="00AE521B">
    <w:pPr>
      <w:pBdr>
        <w:bottom w:val="single" w:sz="4" w:space="1" w:color="auto"/>
      </w:pBdr>
      <w:tabs>
        <w:tab w:val="right" w:pos="8640"/>
      </w:tabs>
      <w:rPr>
        <w:rFonts w:ascii="Arial" w:hAnsi="Arial" w:cs="Arial"/>
        <w:sz w:val="20"/>
      </w:rPr>
    </w:pPr>
    <w:proofErr w:type="spellStart"/>
    <w:r w:rsidRPr="00130A12">
      <w:rPr>
        <w:rFonts w:ascii="Arial" w:hAnsi="Arial" w:cs="Arial"/>
        <w:sz w:val="20"/>
      </w:rPr>
      <w:t>Blincyto</w:t>
    </w:r>
    <w:proofErr w:type="spellEnd"/>
    <w:r w:rsidRPr="00130A12">
      <w:rPr>
        <w:rFonts w:ascii="Arial" w:hAnsi="Arial" w:cs="Arial"/>
        <w:sz w:val="20"/>
        <w:vertAlign w:val="superscript"/>
      </w:rPr>
      <w:t>®</w:t>
    </w:r>
    <w:r w:rsidRPr="00130A12">
      <w:rPr>
        <w:rFonts w:ascii="Arial" w:hAnsi="Arial" w:cs="Arial"/>
        <w:sz w:val="20"/>
      </w:rPr>
      <w:t xml:space="preserve"> (</w:t>
    </w:r>
    <w:proofErr w:type="spellStart"/>
    <w:r w:rsidRPr="00130A12">
      <w:rPr>
        <w:rFonts w:ascii="Arial" w:hAnsi="Arial" w:cs="Arial"/>
        <w:sz w:val="20"/>
      </w:rPr>
      <w:t>blinatumomab</w:t>
    </w:r>
    <w:proofErr w:type="spellEnd"/>
    <w:r w:rsidRPr="00130A12">
      <w:rPr>
        <w:rFonts w:ascii="Arial" w:hAnsi="Arial" w:cs="Arial"/>
        <w:sz w:val="20"/>
      </w:rPr>
      <w:t>) Product Information</w:t>
    </w:r>
    <w:r w:rsidRPr="00130A12">
      <w:rPr>
        <w:rFonts w:ascii="Arial" w:hAnsi="Arial" w:cs="Arial"/>
        <w:sz w:val="20"/>
      </w:rPr>
      <w:tab/>
      <w:t xml:space="preserve">Page </w:t>
    </w:r>
    <w:r w:rsidRPr="00130A12">
      <w:rPr>
        <w:rFonts w:ascii="Arial" w:hAnsi="Arial" w:cs="Arial"/>
        <w:sz w:val="20"/>
      </w:rPr>
      <w:fldChar w:fldCharType="begin"/>
    </w:r>
    <w:r w:rsidRPr="00130A12">
      <w:rPr>
        <w:rFonts w:ascii="Arial" w:hAnsi="Arial" w:cs="Arial"/>
        <w:sz w:val="20"/>
      </w:rPr>
      <w:instrText xml:space="preserve"> PAGE </w:instrText>
    </w:r>
    <w:r w:rsidRPr="00130A12">
      <w:rPr>
        <w:rFonts w:ascii="Arial" w:hAnsi="Arial" w:cs="Arial"/>
        <w:sz w:val="20"/>
      </w:rPr>
      <w:fldChar w:fldCharType="separate"/>
    </w:r>
    <w:r w:rsidR="00B81C11">
      <w:rPr>
        <w:rFonts w:ascii="Arial" w:hAnsi="Arial" w:cs="Arial"/>
        <w:noProof/>
        <w:sz w:val="20"/>
      </w:rPr>
      <w:t>2</w:t>
    </w:r>
    <w:r w:rsidRPr="00130A12">
      <w:rPr>
        <w:rFonts w:ascii="Arial" w:hAnsi="Arial" w:cs="Arial"/>
        <w:sz w:val="20"/>
      </w:rPr>
      <w:fldChar w:fldCharType="end"/>
    </w:r>
    <w:r w:rsidRPr="00130A12">
      <w:rPr>
        <w:rFonts w:ascii="Arial" w:hAnsi="Arial" w:cs="Arial"/>
        <w:sz w:val="20"/>
      </w:rPr>
      <w:t xml:space="preserve"> of </w:t>
    </w:r>
    <w:r w:rsidRPr="00130A12">
      <w:rPr>
        <w:rFonts w:ascii="Arial" w:hAnsi="Arial" w:cs="Arial"/>
        <w:sz w:val="20"/>
      </w:rPr>
      <w:fldChar w:fldCharType="begin"/>
    </w:r>
    <w:r w:rsidRPr="00130A12">
      <w:rPr>
        <w:rFonts w:ascii="Arial" w:hAnsi="Arial" w:cs="Arial"/>
        <w:sz w:val="20"/>
      </w:rPr>
      <w:instrText xml:space="preserve"> NUMPAGES </w:instrText>
    </w:r>
    <w:r w:rsidRPr="00130A12">
      <w:rPr>
        <w:rFonts w:ascii="Arial" w:hAnsi="Arial" w:cs="Arial"/>
        <w:sz w:val="20"/>
      </w:rPr>
      <w:fldChar w:fldCharType="separate"/>
    </w:r>
    <w:r w:rsidR="00B81C11">
      <w:rPr>
        <w:rFonts w:ascii="Arial" w:hAnsi="Arial" w:cs="Arial"/>
        <w:noProof/>
        <w:sz w:val="20"/>
      </w:rPr>
      <w:t>57</w:t>
    </w:r>
    <w:r w:rsidRPr="00130A12">
      <w:rP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3650" w14:textId="77777777" w:rsidR="00B81C11" w:rsidRDefault="00B8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86503"/>
    <w:multiLevelType w:val="hybridMultilevel"/>
    <w:tmpl w:val="6CDEF02C"/>
    <w:lvl w:ilvl="0" w:tplc="5D48E884">
      <w:start w:val="1"/>
      <w:numFmt w:val="bullet"/>
      <w:pStyle w:val="PI-Bullets"/>
      <w:lvlText w:val=""/>
      <w:lvlJc w:val="left"/>
      <w:pPr>
        <w:ind w:left="360" w:hanging="360"/>
      </w:pPr>
      <w:rPr>
        <w:rFonts w:ascii="Symbol" w:hAnsi="Symbol" w:hint="default"/>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264846"/>
    <w:multiLevelType w:val="hybridMultilevel"/>
    <w:tmpl w:val="1D6E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6" w15:restartNumberingAfterBreak="0">
    <w:nsid w:val="1B7C15FC"/>
    <w:multiLevelType w:val="hybridMultilevel"/>
    <w:tmpl w:val="3790F474"/>
    <w:lvl w:ilvl="0" w:tplc="5D48E884">
      <w:start w:val="1"/>
      <w:numFmt w:val="bullet"/>
      <w:lvlText w:val=""/>
      <w:lvlJc w:val="left"/>
      <w:pPr>
        <w:ind w:left="360" w:hanging="360"/>
      </w:pPr>
      <w:rPr>
        <w:rFonts w:ascii="Symbol" w:hAnsi="Symbol" w:hint="default"/>
      </w:rPr>
    </w:lvl>
    <w:lvl w:ilvl="1" w:tplc="5AF86D5E">
      <w:start w:val="2"/>
      <w:numFmt w:val="bullet"/>
      <w:lvlText w:val="̶"/>
      <w:lvlJc w:val="left"/>
      <w:pPr>
        <w:ind w:left="1080" w:hanging="360"/>
      </w:pPr>
      <w:rPr>
        <w:rFonts w:ascii="Arial" w:eastAsia="Times New Roman"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CB2EBE"/>
    <w:multiLevelType w:val="multilevel"/>
    <w:tmpl w:val="E3F8228E"/>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21AB1"/>
    <w:multiLevelType w:val="hybridMultilevel"/>
    <w:tmpl w:val="6292D18A"/>
    <w:lvl w:ilvl="0" w:tplc="0C09000F">
      <w:start w:val="1"/>
      <w:numFmt w:val="decimal"/>
      <w:lvlText w:val="%1."/>
      <w:lvlJc w:val="left"/>
      <w:pPr>
        <w:ind w:left="360" w:hanging="360"/>
      </w:pPr>
      <w:rPr>
        <w:rFonts w:hint="default"/>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1" w15:restartNumberingAfterBreak="0">
    <w:nsid w:val="2B843409"/>
    <w:multiLevelType w:val="hybridMultilevel"/>
    <w:tmpl w:val="DC52D216"/>
    <w:lvl w:ilvl="0" w:tplc="52D2A228">
      <w:start w:val="1"/>
      <w:numFmt w:val="decimal"/>
      <w:lvlText w:val="%1."/>
      <w:lvlJc w:val="left"/>
      <w:pPr>
        <w:ind w:left="360" w:hanging="360"/>
      </w:pPr>
      <w:rPr>
        <w:rFonts w:hint="default"/>
        <w:i w:val="0"/>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867407"/>
    <w:multiLevelType w:val="multilevel"/>
    <w:tmpl w:val="0C09001D"/>
    <w:styleLink w:val="Bullet"/>
    <w:lvl w:ilvl="0">
      <w:start w:val="1"/>
      <w:numFmt w:val="bullet"/>
      <w:lvlText w:val="̶"/>
      <w:lvlJc w:val="left"/>
      <w:pPr>
        <w:ind w:left="360" w:hanging="360"/>
      </w:pPr>
      <w:rPr>
        <w:rFonts w:ascii="Arial" w:hAnsi="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FB41B3"/>
    <w:multiLevelType w:val="hybridMultilevel"/>
    <w:tmpl w:val="6414D12C"/>
    <w:lvl w:ilvl="0" w:tplc="8E2CC616">
      <w:start w:val="1"/>
      <w:numFmt w:val="lowerLetter"/>
      <w:lvlText w:val="%1."/>
      <w:lvlJc w:val="left"/>
      <w:pPr>
        <w:ind w:left="436" w:hanging="360"/>
      </w:pPr>
      <w:rPr>
        <w:rFonts w:hint="default"/>
        <w:vertAlign w:val="superscrip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2FBF6EB7"/>
    <w:multiLevelType w:val="hybridMultilevel"/>
    <w:tmpl w:val="DE2CD6C2"/>
    <w:lvl w:ilvl="0" w:tplc="59CE9D56">
      <w:start w:val="1"/>
      <w:numFmt w:val="decimal"/>
      <w:lvlText w:val="%1."/>
      <w:lvlJc w:val="left"/>
      <w:pPr>
        <w:ind w:left="360" w:hanging="360"/>
      </w:pPr>
      <w:rPr>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AAA3E03"/>
    <w:multiLevelType w:val="multilevel"/>
    <w:tmpl w:val="ECECC1FA"/>
    <w:lvl w:ilvl="0">
      <w:start w:val="1"/>
      <w:numFmt w:val="lowerLetter"/>
      <w:lvlText w:val="%1"/>
      <w:lvlJc w:val="left"/>
      <w:pPr>
        <w:tabs>
          <w:tab w:val="num" w:pos="720"/>
        </w:tabs>
        <w:ind w:left="720" w:hanging="720"/>
      </w:pPr>
      <w:rPr>
        <w:rFonts w:hint="default"/>
        <w:sz w:val="18"/>
        <w:szCs w:val="18"/>
        <w:vertAlign w:val="superscrip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0273A6"/>
    <w:multiLevelType w:val="multilevel"/>
    <w:tmpl w:val="49CA3058"/>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DBD33A6"/>
    <w:multiLevelType w:val="hybridMultilevel"/>
    <w:tmpl w:val="EFD69FE4"/>
    <w:lvl w:ilvl="0" w:tplc="52D2A228">
      <w:start w:val="1"/>
      <w:numFmt w:val="decimal"/>
      <w:lvlText w:val="%1."/>
      <w:lvlJc w:val="left"/>
      <w:pPr>
        <w:ind w:left="360" w:hanging="360"/>
      </w:pPr>
      <w:rPr>
        <w:rFonts w:hint="default"/>
        <w:i w:val="0"/>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0D21E1"/>
    <w:multiLevelType w:val="hybridMultilevel"/>
    <w:tmpl w:val="C91E141A"/>
    <w:lvl w:ilvl="0" w:tplc="9BDAA19E">
      <w:start w:val="1"/>
      <w:numFmt w:val="lowerLetter"/>
      <w:lvlText w:val="%1."/>
      <w:lvlJc w:val="left"/>
      <w:pPr>
        <w:ind w:left="360" w:hanging="360"/>
      </w:pPr>
      <w:rPr>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0B2EBC"/>
    <w:multiLevelType w:val="hybridMultilevel"/>
    <w:tmpl w:val="56A42476"/>
    <w:lvl w:ilvl="0" w:tplc="1C16DE80">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EB2043"/>
    <w:multiLevelType w:val="hybridMultilevel"/>
    <w:tmpl w:val="E6EEF29C"/>
    <w:lvl w:ilvl="0" w:tplc="EE6ADB3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7464C"/>
    <w:multiLevelType w:val="hybridMultilevel"/>
    <w:tmpl w:val="57EC8190"/>
    <w:lvl w:ilvl="0" w:tplc="73F84A44">
      <w:start w:val="1"/>
      <w:numFmt w:val="lowerLetter"/>
      <w:lvlText w:val="%1"/>
      <w:lvlJc w:val="left"/>
      <w:pPr>
        <w:ind w:left="360" w:hanging="360"/>
      </w:pPr>
      <w:rPr>
        <w:rFonts w:hint="default"/>
        <w:sz w:val="18"/>
        <w:szCs w:val="18"/>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082252"/>
    <w:multiLevelType w:val="hybridMultilevel"/>
    <w:tmpl w:val="6CD802C8"/>
    <w:lvl w:ilvl="0" w:tplc="2EEA2848">
      <w:start w:val="1"/>
      <w:numFmt w:val="lowerLetter"/>
      <w:lvlText w:val="%1"/>
      <w:lvlJc w:val="left"/>
      <w:pPr>
        <w:ind w:left="360" w:hanging="360"/>
      </w:pPr>
      <w:rPr>
        <w:rFonts w:hint="default"/>
        <w:sz w:val="20"/>
        <w:szCs w:val="20"/>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226C72"/>
    <w:multiLevelType w:val="hybridMultilevel"/>
    <w:tmpl w:val="1DBE60E8"/>
    <w:lvl w:ilvl="0" w:tplc="1E48341C">
      <w:start w:val="1"/>
      <w:numFmt w:val="lowerLetter"/>
      <w:lvlText w:val="%1"/>
      <w:lvlJc w:val="left"/>
      <w:pPr>
        <w:ind w:left="360" w:hanging="360"/>
      </w:pPr>
      <w:rPr>
        <w:rFonts w:hint="default"/>
        <w:sz w:val="18"/>
        <w:szCs w:val="18"/>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F6BA5"/>
    <w:multiLevelType w:val="hybridMultilevel"/>
    <w:tmpl w:val="E0BAE9F8"/>
    <w:lvl w:ilvl="0" w:tplc="0C09000F">
      <w:start w:val="1"/>
      <w:numFmt w:val="decimal"/>
      <w:lvlText w:val="%1."/>
      <w:lvlJc w:val="left"/>
      <w:pPr>
        <w:ind w:left="360" w:hanging="360"/>
      </w:pPr>
      <w:rPr>
        <w:rFonts w:hint="default"/>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B252A0"/>
    <w:multiLevelType w:val="hybridMultilevel"/>
    <w:tmpl w:val="00C027D2"/>
    <w:lvl w:ilvl="0" w:tplc="0C09000F">
      <w:start w:val="1"/>
      <w:numFmt w:val="decimal"/>
      <w:lvlText w:val="%1."/>
      <w:lvlJc w:val="left"/>
      <w:pPr>
        <w:ind w:left="360" w:hanging="360"/>
      </w:pPr>
      <w:rPr>
        <w:rFonts w:hint="default"/>
      </w:rPr>
    </w:lvl>
    <w:lvl w:ilvl="1" w:tplc="782C8FFC">
      <w:start w:val="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A909D2"/>
    <w:multiLevelType w:val="hybridMultilevel"/>
    <w:tmpl w:val="E0C8D7A6"/>
    <w:lvl w:ilvl="0" w:tplc="8E2CC616">
      <w:start w:val="1"/>
      <w:numFmt w:val="lowerLetter"/>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E6676"/>
    <w:multiLevelType w:val="hybridMultilevel"/>
    <w:tmpl w:val="379CB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A5DA9"/>
    <w:multiLevelType w:val="hybridMultilevel"/>
    <w:tmpl w:val="63F42094"/>
    <w:lvl w:ilvl="0" w:tplc="0C090001">
      <w:start w:val="1"/>
      <w:numFmt w:val="bullet"/>
      <w:lvlText w:val=""/>
      <w:lvlJc w:val="left"/>
      <w:pPr>
        <w:ind w:left="720" w:hanging="360"/>
      </w:pPr>
      <w:rPr>
        <w:rFonts w:ascii="Symbol" w:hAnsi="Symbol" w:hint="default"/>
      </w:rPr>
    </w:lvl>
    <w:lvl w:ilvl="1" w:tplc="782C8FFC">
      <w:start w:val="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0"/>
  </w:num>
  <w:num w:numId="4">
    <w:abstractNumId w:val="23"/>
  </w:num>
  <w:num w:numId="5">
    <w:abstractNumId w:val="35"/>
  </w:num>
  <w:num w:numId="6">
    <w:abstractNumId w:val="30"/>
  </w:num>
  <w:num w:numId="7">
    <w:abstractNumId w:val="26"/>
  </w:num>
  <w:num w:numId="8">
    <w:abstractNumId w:val="32"/>
  </w:num>
  <w:num w:numId="9">
    <w:abstractNumId w:val="8"/>
  </w:num>
  <w:num w:numId="10">
    <w:abstractNumId w:val="25"/>
  </w:num>
  <w:num w:numId="11">
    <w:abstractNumId w:val="3"/>
  </w:num>
  <w:num w:numId="12">
    <w:abstractNumId w:val="1"/>
  </w:num>
  <w:num w:numId="13">
    <w:abstractNumId w:val="10"/>
  </w:num>
  <w:num w:numId="14">
    <w:abstractNumId w:val="5"/>
  </w:num>
  <w:num w:numId="15">
    <w:abstractNumId w:val="16"/>
  </w:num>
  <w:num w:numId="16">
    <w:abstractNumId w:val="13"/>
  </w:num>
  <w:num w:numId="17">
    <w:abstractNumId w:val="31"/>
  </w:num>
  <w:num w:numId="18">
    <w:abstractNumId w:val="14"/>
  </w:num>
  <w:num w:numId="19">
    <w:abstractNumId w:val="18"/>
  </w:num>
  <w:num w:numId="20">
    <w:abstractNumId w:val="9"/>
  </w:num>
  <w:num w:numId="21">
    <w:abstractNumId w:val="28"/>
  </w:num>
  <w:num w:numId="22">
    <w:abstractNumId w:val="34"/>
  </w:num>
  <w:num w:numId="23">
    <w:abstractNumId w:val="27"/>
  </w:num>
  <w:num w:numId="24">
    <w:abstractNumId w:val="17"/>
  </w:num>
  <w:num w:numId="25">
    <w:abstractNumId w:val="11"/>
  </w:num>
  <w:num w:numId="26">
    <w:abstractNumId w:val="21"/>
  </w:num>
  <w:num w:numId="27">
    <w:abstractNumId w:val="24"/>
  </w:num>
  <w:num w:numId="28">
    <w:abstractNumId w:val="4"/>
  </w:num>
  <w:num w:numId="29">
    <w:abstractNumId w:val="19"/>
  </w:num>
  <w:num w:numId="30">
    <w:abstractNumId w:val="15"/>
  </w:num>
  <w:num w:numId="31">
    <w:abstractNumId w:val="33"/>
  </w:num>
  <w:num w:numId="32">
    <w:abstractNumId w:val="20"/>
  </w:num>
  <w:num w:numId="33">
    <w:abstractNumId w:val="7"/>
  </w:num>
  <w:num w:numId="34">
    <w:abstractNumId w:val="22"/>
  </w:num>
  <w:num w:numId="35">
    <w:abstractNumId w:val="1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06D2"/>
    <w:rsid w:val="000028CA"/>
    <w:rsid w:val="00005B8D"/>
    <w:rsid w:val="00005FD2"/>
    <w:rsid w:val="00006DE6"/>
    <w:rsid w:val="0003631D"/>
    <w:rsid w:val="00074FF2"/>
    <w:rsid w:val="00097397"/>
    <w:rsid w:val="000B7270"/>
    <w:rsid w:val="000C0D5B"/>
    <w:rsid w:val="000C0E7F"/>
    <w:rsid w:val="00114521"/>
    <w:rsid w:val="001261C2"/>
    <w:rsid w:val="00136780"/>
    <w:rsid w:val="001411CA"/>
    <w:rsid w:val="00156AFB"/>
    <w:rsid w:val="0016359A"/>
    <w:rsid w:val="00165369"/>
    <w:rsid w:val="00175E15"/>
    <w:rsid w:val="00191484"/>
    <w:rsid w:val="001A3992"/>
    <w:rsid w:val="001B36DD"/>
    <w:rsid w:val="001B7882"/>
    <w:rsid w:val="001E38A0"/>
    <w:rsid w:val="001F412F"/>
    <w:rsid w:val="001F7272"/>
    <w:rsid w:val="00207F17"/>
    <w:rsid w:val="00241F25"/>
    <w:rsid w:val="002464C2"/>
    <w:rsid w:val="002478C0"/>
    <w:rsid w:val="002535D8"/>
    <w:rsid w:val="002543CA"/>
    <w:rsid w:val="0027211B"/>
    <w:rsid w:val="0029369B"/>
    <w:rsid w:val="002A0CD0"/>
    <w:rsid w:val="002B06EA"/>
    <w:rsid w:val="002E09CF"/>
    <w:rsid w:val="002E277D"/>
    <w:rsid w:val="002E5E89"/>
    <w:rsid w:val="002F7250"/>
    <w:rsid w:val="002F7AE1"/>
    <w:rsid w:val="00311C47"/>
    <w:rsid w:val="00326353"/>
    <w:rsid w:val="00326419"/>
    <w:rsid w:val="003307A8"/>
    <w:rsid w:val="00341575"/>
    <w:rsid w:val="00367635"/>
    <w:rsid w:val="00382213"/>
    <w:rsid w:val="003B1086"/>
    <w:rsid w:val="003B5D55"/>
    <w:rsid w:val="003B6CCA"/>
    <w:rsid w:val="003B7A46"/>
    <w:rsid w:val="003C2F1F"/>
    <w:rsid w:val="003C79BA"/>
    <w:rsid w:val="003F3E19"/>
    <w:rsid w:val="004029BB"/>
    <w:rsid w:val="004032BD"/>
    <w:rsid w:val="00404763"/>
    <w:rsid w:val="004114C0"/>
    <w:rsid w:val="004252CC"/>
    <w:rsid w:val="00431ACD"/>
    <w:rsid w:val="0043296A"/>
    <w:rsid w:val="00476D6F"/>
    <w:rsid w:val="00487614"/>
    <w:rsid w:val="004A4940"/>
    <w:rsid w:val="004B46A3"/>
    <w:rsid w:val="004C2286"/>
    <w:rsid w:val="004D33B0"/>
    <w:rsid w:val="004E5019"/>
    <w:rsid w:val="004F2178"/>
    <w:rsid w:val="004F2D1D"/>
    <w:rsid w:val="00502B4F"/>
    <w:rsid w:val="00505458"/>
    <w:rsid w:val="00512BA0"/>
    <w:rsid w:val="005225C3"/>
    <w:rsid w:val="005243E0"/>
    <w:rsid w:val="005251A0"/>
    <w:rsid w:val="0053218E"/>
    <w:rsid w:val="00537CC3"/>
    <w:rsid w:val="005410D0"/>
    <w:rsid w:val="0054141C"/>
    <w:rsid w:val="005727B2"/>
    <w:rsid w:val="00573C2E"/>
    <w:rsid w:val="0057575F"/>
    <w:rsid w:val="005774DA"/>
    <w:rsid w:val="00583757"/>
    <w:rsid w:val="005860EF"/>
    <w:rsid w:val="005A4B40"/>
    <w:rsid w:val="005B4D08"/>
    <w:rsid w:val="005B65D4"/>
    <w:rsid w:val="005B7F55"/>
    <w:rsid w:val="005C357C"/>
    <w:rsid w:val="005C660B"/>
    <w:rsid w:val="005D124A"/>
    <w:rsid w:val="005E110F"/>
    <w:rsid w:val="00602DC5"/>
    <w:rsid w:val="006050FA"/>
    <w:rsid w:val="006076C5"/>
    <w:rsid w:val="00620E41"/>
    <w:rsid w:val="00623550"/>
    <w:rsid w:val="006263CE"/>
    <w:rsid w:val="006267B0"/>
    <w:rsid w:val="0063527A"/>
    <w:rsid w:val="0063752A"/>
    <w:rsid w:val="00642912"/>
    <w:rsid w:val="00643EFD"/>
    <w:rsid w:val="00655F70"/>
    <w:rsid w:val="00662EFA"/>
    <w:rsid w:val="0069571F"/>
    <w:rsid w:val="00695792"/>
    <w:rsid w:val="006D2E84"/>
    <w:rsid w:val="006F4DEE"/>
    <w:rsid w:val="007627A5"/>
    <w:rsid w:val="007667C8"/>
    <w:rsid w:val="00774CBD"/>
    <w:rsid w:val="00783283"/>
    <w:rsid w:val="00783A05"/>
    <w:rsid w:val="00791E2D"/>
    <w:rsid w:val="00792B8A"/>
    <w:rsid w:val="007A648A"/>
    <w:rsid w:val="007C0EE8"/>
    <w:rsid w:val="007C163B"/>
    <w:rsid w:val="007D43DB"/>
    <w:rsid w:val="007E0C29"/>
    <w:rsid w:val="007F14CB"/>
    <w:rsid w:val="007F5866"/>
    <w:rsid w:val="00800C19"/>
    <w:rsid w:val="0080260A"/>
    <w:rsid w:val="00810AF8"/>
    <w:rsid w:val="008131BF"/>
    <w:rsid w:val="00822AEA"/>
    <w:rsid w:val="008466DA"/>
    <w:rsid w:val="008470B9"/>
    <w:rsid w:val="0085498A"/>
    <w:rsid w:val="00871C4D"/>
    <w:rsid w:val="00874EBA"/>
    <w:rsid w:val="0087724F"/>
    <w:rsid w:val="00894974"/>
    <w:rsid w:val="00896384"/>
    <w:rsid w:val="008C57B2"/>
    <w:rsid w:val="008F01CA"/>
    <w:rsid w:val="008F6561"/>
    <w:rsid w:val="008F7554"/>
    <w:rsid w:val="009045E5"/>
    <w:rsid w:val="00946AFC"/>
    <w:rsid w:val="00960CD5"/>
    <w:rsid w:val="0096434E"/>
    <w:rsid w:val="00965EC1"/>
    <w:rsid w:val="009702E0"/>
    <w:rsid w:val="00977804"/>
    <w:rsid w:val="009865A8"/>
    <w:rsid w:val="0099153C"/>
    <w:rsid w:val="00992303"/>
    <w:rsid w:val="00997997"/>
    <w:rsid w:val="009A1DB7"/>
    <w:rsid w:val="009A44C1"/>
    <w:rsid w:val="009C4DAC"/>
    <w:rsid w:val="009D14BE"/>
    <w:rsid w:val="00A10D6C"/>
    <w:rsid w:val="00A12354"/>
    <w:rsid w:val="00A21FEB"/>
    <w:rsid w:val="00A22D80"/>
    <w:rsid w:val="00A237B8"/>
    <w:rsid w:val="00A34510"/>
    <w:rsid w:val="00A45B2F"/>
    <w:rsid w:val="00A45FF5"/>
    <w:rsid w:val="00A57A2B"/>
    <w:rsid w:val="00A7360F"/>
    <w:rsid w:val="00A909B7"/>
    <w:rsid w:val="00A92B71"/>
    <w:rsid w:val="00A965D2"/>
    <w:rsid w:val="00AC6175"/>
    <w:rsid w:val="00AE521B"/>
    <w:rsid w:val="00B0286D"/>
    <w:rsid w:val="00B178F3"/>
    <w:rsid w:val="00B520AC"/>
    <w:rsid w:val="00B61E97"/>
    <w:rsid w:val="00B66439"/>
    <w:rsid w:val="00B81C11"/>
    <w:rsid w:val="00B86C76"/>
    <w:rsid w:val="00B91960"/>
    <w:rsid w:val="00BB029B"/>
    <w:rsid w:val="00BD25B5"/>
    <w:rsid w:val="00BD7E9A"/>
    <w:rsid w:val="00BF7570"/>
    <w:rsid w:val="00C124F4"/>
    <w:rsid w:val="00C12E72"/>
    <w:rsid w:val="00C44651"/>
    <w:rsid w:val="00C51898"/>
    <w:rsid w:val="00C5352A"/>
    <w:rsid w:val="00C565C1"/>
    <w:rsid w:val="00C9791F"/>
    <w:rsid w:val="00CA5C63"/>
    <w:rsid w:val="00CA6CCF"/>
    <w:rsid w:val="00CD52E2"/>
    <w:rsid w:val="00CE18CC"/>
    <w:rsid w:val="00CE3F3B"/>
    <w:rsid w:val="00CE4391"/>
    <w:rsid w:val="00D44BA0"/>
    <w:rsid w:val="00D546A8"/>
    <w:rsid w:val="00D57AE6"/>
    <w:rsid w:val="00D72196"/>
    <w:rsid w:val="00D7632C"/>
    <w:rsid w:val="00D807E3"/>
    <w:rsid w:val="00D83F8E"/>
    <w:rsid w:val="00D960E8"/>
    <w:rsid w:val="00DA4F40"/>
    <w:rsid w:val="00DD02DC"/>
    <w:rsid w:val="00DD17E7"/>
    <w:rsid w:val="00DE2D5E"/>
    <w:rsid w:val="00DF5E99"/>
    <w:rsid w:val="00E03BBE"/>
    <w:rsid w:val="00E3656C"/>
    <w:rsid w:val="00E42047"/>
    <w:rsid w:val="00E42479"/>
    <w:rsid w:val="00E472AC"/>
    <w:rsid w:val="00E646F4"/>
    <w:rsid w:val="00E73FF3"/>
    <w:rsid w:val="00E74A56"/>
    <w:rsid w:val="00E834C9"/>
    <w:rsid w:val="00EB035E"/>
    <w:rsid w:val="00ED0937"/>
    <w:rsid w:val="00ED18F8"/>
    <w:rsid w:val="00EF59C5"/>
    <w:rsid w:val="00F06BB2"/>
    <w:rsid w:val="00F06D0D"/>
    <w:rsid w:val="00F15285"/>
    <w:rsid w:val="00F22DF8"/>
    <w:rsid w:val="00F338DE"/>
    <w:rsid w:val="00F67697"/>
    <w:rsid w:val="00F81CF2"/>
    <w:rsid w:val="00F84C66"/>
    <w:rsid w:val="00FA16D1"/>
    <w:rsid w:val="00FA1C6C"/>
    <w:rsid w:val="00FA34EF"/>
    <w:rsid w:val="00FA72FF"/>
    <w:rsid w:val="00FB23E5"/>
    <w:rsid w:val="00FC6415"/>
    <w:rsid w:val="00FE381F"/>
    <w:rsid w:val="00FE5A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C4F79"/>
  <w15:docId w15:val="{3A6D843F-277C-4B1B-882C-ABAF8796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1F"/>
  </w:style>
  <w:style w:type="paragraph" w:styleId="Heading1">
    <w:name w:val="heading 1"/>
    <w:basedOn w:val="Normal"/>
    <w:next w:val="Normal"/>
    <w:link w:val="Heading1Char"/>
    <w:qFormat/>
    <w:rsid w:val="00774CBD"/>
    <w:pPr>
      <w:keepNext/>
      <w:keepLines/>
      <w:numPr>
        <w:numId w:val="1"/>
      </w:numPr>
      <w:spacing w:before="480" w:after="0"/>
      <w:outlineLvl w:val="0"/>
    </w:pPr>
    <w:rPr>
      <w:rFonts w:ascii="Arial" w:eastAsiaTheme="majorEastAsia" w:hAnsi="Arial" w:cstheme="majorBidi"/>
      <w:b/>
      <w:bCs/>
      <w:caps/>
      <w:sz w:val="28"/>
      <w:szCs w:val="28"/>
    </w:rPr>
  </w:style>
  <w:style w:type="paragraph" w:styleId="Heading2">
    <w:name w:val="heading 2"/>
    <w:basedOn w:val="Normal"/>
    <w:next w:val="Normal"/>
    <w:link w:val="Heading2Char"/>
    <w:unhideWhenUsed/>
    <w:qFormat/>
    <w:rsid w:val="00774CBD"/>
    <w:pPr>
      <w:numPr>
        <w:ilvl w:val="1"/>
        <w:numId w:val="1"/>
      </w:numPr>
      <w:spacing w:before="240"/>
      <w:ind w:left="578" w:hanging="578"/>
      <w:outlineLvl w:val="1"/>
    </w:pPr>
    <w:rPr>
      <w:rFonts w:ascii="Arial" w:hAnsi="Arial"/>
      <w:b/>
      <w:sz w:val="24"/>
    </w:rPr>
  </w:style>
  <w:style w:type="paragraph" w:styleId="Heading3">
    <w:name w:val="heading 3"/>
    <w:basedOn w:val="Normal"/>
    <w:next w:val="Normal"/>
    <w:link w:val="Heading3Char"/>
    <w:unhideWhenUsed/>
    <w:qFormat/>
    <w:rsid w:val="00774CBD"/>
    <w:pPr>
      <w:keepNext/>
      <w:keepLines/>
      <w:spacing w:before="200" w:after="0"/>
      <w:outlineLvl w:val="2"/>
    </w:pPr>
    <w:rPr>
      <w:rFonts w:ascii="Arial" w:eastAsiaTheme="majorEastAsia" w:hAnsi="Arial" w:cstheme="majorBidi"/>
      <w:b/>
      <w:bCs/>
      <w:sz w:val="24"/>
      <w:u w:val="single"/>
    </w:rPr>
  </w:style>
  <w:style w:type="paragraph" w:styleId="Heading4">
    <w:name w:val="heading 4"/>
    <w:basedOn w:val="Normal"/>
    <w:next w:val="Normal"/>
    <w:link w:val="Heading4Char"/>
    <w:unhideWhenUsed/>
    <w:qFormat/>
    <w:rsid w:val="00774CBD"/>
    <w:pPr>
      <w:keepNext/>
      <w:keepLines/>
      <w:spacing w:before="200" w:after="0"/>
      <w:outlineLvl w:val="3"/>
    </w:pPr>
    <w:rPr>
      <w:rFonts w:ascii="Arial" w:eastAsiaTheme="majorEastAsia" w:hAnsi="Arial" w:cstheme="majorBidi"/>
      <w:b/>
      <w:bCs/>
      <w:iCs/>
      <w:color w:val="000000" w:themeColor="text1"/>
    </w:rPr>
  </w:style>
  <w:style w:type="paragraph" w:styleId="Heading5">
    <w:name w:val="heading 5"/>
    <w:basedOn w:val="Normal"/>
    <w:next w:val="Normal"/>
    <w:link w:val="Heading5Char"/>
    <w:unhideWhenUsed/>
    <w:qFormat/>
    <w:rsid w:val="00774CBD"/>
    <w:pPr>
      <w:keepNext/>
      <w:keepLines/>
      <w:spacing w:before="200" w:after="0"/>
      <w:outlineLvl w:val="4"/>
    </w:pPr>
    <w:rPr>
      <w:rFonts w:ascii="Arial" w:eastAsiaTheme="majorEastAsia" w:hAnsi="Arial" w:cstheme="majorBidi"/>
      <w:b/>
      <w:i/>
      <w:color w:val="000000" w:themeColor="text1"/>
    </w:rPr>
  </w:style>
  <w:style w:type="paragraph" w:styleId="Heading6">
    <w:name w:val="heading 6"/>
    <w:basedOn w:val="Normal"/>
    <w:next w:val="Normal"/>
    <w:link w:val="Heading6Char"/>
    <w:unhideWhenUsed/>
    <w:qFormat/>
    <w:rsid w:val="00B86C76"/>
    <w:pPr>
      <w:keepNext/>
      <w:keepLines/>
      <w:spacing w:before="200" w:after="0"/>
      <w:outlineLvl w:val="5"/>
    </w:pPr>
    <w:rPr>
      <w:rFonts w:ascii="Arial" w:eastAsiaTheme="majorEastAsia" w:hAnsi="Arial" w:cstheme="majorBidi"/>
      <w:i/>
      <w:iCs/>
      <w:color w:val="000000" w:themeColor="text1"/>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CBD"/>
    <w:rPr>
      <w:rFonts w:ascii="Arial" w:eastAsiaTheme="majorEastAsia" w:hAnsi="Arial" w:cstheme="majorBidi"/>
      <w:b/>
      <w:bCs/>
      <w:caps/>
      <w:sz w:val="28"/>
      <w:szCs w:val="28"/>
    </w:rPr>
  </w:style>
  <w:style w:type="character" w:customStyle="1" w:styleId="Heading2Char">
    <w:name w:val="Heading 2 Char"/>
    <w:basedOn w:val="DefaultParagraphFont"/>
    <w:link w:val="Heading2"/>
    <w:rsid w:val="00774CBD"/>
    <w:rPr>
      <w:rFonts w:ascii="Arial" w:hAnsi="Arial"/>
      <w:b/>
      <w:sz w:val="24"/>
    </w:rPr>
  </w:style>
  <w:style w:type="character" w:customStyle="1" w:styleId="Heading3Char">
    <w:name w:val="Heading 3 Char"/>
    <w:basedOn w:val="DefaultParagraphFont"/>
    <w:link w:val="Heading3"/>
    <w:rsid w:val="00774CBD"/>
    <w:rPr>
      <w:rFonts w:ascii="Arial" w:eastAsiaTheme="majorEastAsia" w:hAnsi="Arial" w:cstheme="majorBidi"/>
      <w:b/>
      <w:bCs/>
      <w:sz w:val="24"/>
      <w:u w:val="single"/>
    </w:rPr>
  </w:style>
  <w:style w:type="character" w:customStyle="1" w:styleId="Heading4Char">
    <w:name w:val="Heading 4 Char"/>
    <w:basedOn w:val="DefaultParagraphFont"/>
    <w:link w:val="Heading4"/>
    <w:rsid w:val="00774CBD"/>
    <w:rPr>
      <w:rFonts w:ascii="Arial" w:eastAsiaTheme="majorEastAsia" w:hAnsi="Arial" w:cstheme="majorBidi"/>
      <w:b/>
      <w:bCs/>
      <w:iCs/>
      <w:color w:val="000000" w:themeColor="text1"/>
    </w:rPr>
  </w:style>
  <w:style w:type="character" w:customStyle="1" w:styleId="Heading5Char">
    <w:name w:val="Heading 5 Char"/>
    <w:basedOn w:val="DefaultParagraphFont"/>
    <w:link w:val="Heading5"/>
    <w:rsid w:val="00774CBD"/>
    <w:rPr>
      <w:rFonts w:ascii="Arial" w:eastAsiaTheme="majorEastAsia" w:hAnsi="Arial" w:cstheme="majorBidi"/>
      <w:b/>
      <w:i/>
      <w:color w:val="000000" w:themeColor="text1"/>
    </w:rPr>
  </w:style>
  <w:style w:type="character" w:customStyle="1" w:styleId="Heading6Char">
    <w:name w:val="Heading 6 Char"/>
    <w:basedOn w:val="DefaultParagraphFont"/>
    <w:link w:val="Heading6"/>
    <w:rsid w:val="00B86C76"/>
    <w:rPr>
      <w:rFonts w:ascii="Arial" w:eastAsiaTheme="majorEastAsia" w:hAnsi="Arial" w:cstheme="majorBidi"/>
      <w:i/>
      <w:iCs/>
      <w:color w:val="000000" w:themeColor="text1"/>
    </w:rPr>
  </w:style>
  <w:style w:type="character" w:customStyle="1" w:styleId="Heading7Char">
    <w:name w:val="Heading 7 Char"/>
    <w:basedOn w:val="DefaultParagraphFont"/>
    <w:link w:val="Heading7"/>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link w:val="ListBulletChar"/>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59"/>
    <w:rsid w:val="00AE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Header1Char">
    <w:name w:val="PI Header 1 Char"/>
    <w:basedOn w:val="DefaultParagraphFont"/>
    <w:link w:val="PIHeader1"/>
    <w:locked/>
    <w:rsid w:val="00AE521B"/>
    <w:rPr>
      <w:rFonts w:ascii="Arial" w:hAnsi="Arial" w:cs="Arial"/>
      <w:b/>
    </w:rPr>
  </w:style>
  <w:style w:type="paragraph" w:customStyle="1" w:styleId="PIHeader1">
    <w:name w:val="PI Header 1"/>
    <w:basedOn w:val="Normal"/>
    <w:link w:val="PIHeader1Char"/>
    <w:qFormat/>
    <w:rsid w:val="00AE521B"/>
    <w:pPr>
      <w:keepNext/>
      <w:suppressAutoHyphens/>
      <w:spacing w:before="240" w:after="120" w:line="240" w:lineRule="auto"/>
      <w:ind w:left="1440" w:hanging="1440"/>
      <w:outlineLvl w:val="1"/>
    </w:pPr>
    <w:rPr>
      <w:rFonts w:ascii="Arial" w:hAnsi="Arial" w:cs="Arial"/>
      <w:b/>
    </w:rPr>
  </w:style>
  <w:style w:type="character" w:customStyle="1" w:styleId="PI-TextChar">
    <w:name w:val="PI - Text Char"/>
    <w:basedOn w:val="DefaultParagraphFont"/>
    <w:link w:val="PI-Text"/>
    <w:locked/>
    <w:rsid w:val="00AE521B"/>
    <w:rPr>
      <w:rFonts w:ascii="Arial" w:hAnsi="Arial" w:cs="Arial"/>
      <w:lang w:val="en-GB"/>
    </w:rPr>
  </w:style>
  <w:style w:type="paragraph" w:customStyle="1" w:styleId="PI-Text">
    <w:name w:val="PI - Text"/>
    <w:basedOn w:val="Normal"/>
    <w:link w:val="PI-TextChar"/>
    <w:qFormat/>
    <w:rsid w:val="00AE521B"/>
    <w:pPr>
      <w:suppressAutoHyphens/>
      <w:spacing w:before="120" w:after="120" w:line="360" w:lineRule="auto"/>
    </w:pPr>
    <w:rPr>
      <w:rFonts w:ascii="Arial" w:hAnsi="Arial" w:cs="Arial"/>
      <w:lang w:val="en-GB"/>
    </w:rPr>
  </w:style>
  <w:style w:type="paragraph" w:customStyle="1" w:styleId="PI-Bullets">
    <w:name w:val="PI - Bullets"/>
    <w:basedOn w:val="ListParagraph"/>
    <w:link w:val="PI-BulletsChar"/>
    <w:qFormat/>
    <w:rsid w:val="00AE521B"/>
    <w:pPr>
      <w:numPr>
        <w:numId w:val="11"/>
      </w:numPr>
      <w:suppressAutoHyphens/>
      <w:spacing w:after="100" w:line="240" w:lineRule="auto"/>
    </w:pPr>
    <w:rPr>
      <w:rFonts w:ascii="Arial" w:eastAsia="Times New Roman" w:hAnsi="Arial" w:cs="Times New Roman"/>
      <w:szCs w:val="20"/>
      <w:lang w:eastAsia="en-AU"/>
    </w:rPr>
  </w:style>
  <w:style w:type="character" w:customStyle="1" w:styleId="PI-BulletsChar">
    <w:name w:val="PI - Bullets Char"/>
    <w:basedOn w:val="DefaultParagraphFont"/>
    <w:link w:val="PI-Bullets"/>
    <w:rsid w:val="00AE521B"/>
    <w:rPr>
      <w:rFonts w:ascii="Arial" w:eastAsia="Times New Roman" w:hAnsi="Arial" w:cs="Times New Roman"/>
      <w:szCs w:val="20"/>
      <w:lang w:eastAsia="en-AU"/>
    </w:rPr>
  </w:style>
  <w:style w:type="character" w:customStyle="1" w:styleId="PIHeader2Char">
    <w:name w:val="PI Header 2 Char"/>
    <w:basedOn w:val="DefaultParagraphFont"/>
    <w:link w:val="PIHeader2"/>
    <w:locked/>
    <w:rsid w:val="00AE521B"/>
    <w:rPr>
      <w:rFonts w:ascii="Arial" w:hAnsi="Arial"/>
      <w:b/>
      <w:u w:val="single"/>
    </w:rPr>
  </w:style>
  <w:style w:type="paragraph" w:customStyle="1" w:styleId="PIHeader2">
    <w:name w:val="PI Header 2"/>
    <w:basedOn w:val="Normal"/>
    <w:link w:val="PIHeader2Char"/>
    <w:qFormat/>
    <w:rsid w:val="00AE521B"/>
    <w:pPr>
      <w:keepNext/>
      <w:suppressAutoHyphens/>
      <w:spacing w:before="120" w:after="120" w:line="240" w:lineRule="auto"/>
      <w:ind w:left="1440" w:hanging="1440"/>
      <w:outlineLvl w:val="2"/>
    </w:pPr>
    <w:rPr>
      <w:rFonts w:ascii="Arial" w:hAnsi="Arial"/>
      <w:b/>
      <w:u w:val="single"/>
    </w:rPr>
  </w:style>
  <w:style w:type="character" w:customStyle="1" w:styleId="PIHeader3Char">
    <w:name w:val="PI Header 3 Char"/>
    <w:basedOn w:val="DefaultParagraphFont"/>
    <w:link w:val="PIHeader3"/>
    <w:locked/>
    <w:rsid w:val="007D43DB"/>
    <w:rPr>
      <w:rFonts w:ascii="Arial" w:hAnsi="Arial"/>
      <w:b/>
    </w:rPr>
  </w:style>
  <w:style w:type="paragraph" w:customStyle="1" w:styleId="PIHeader3">
    <w:name w:val="PI Header 3"/>
    <w:basedOn w:val="Normal"/>
    <w:link w:val="PIHeader3Char"/>
    <w:qFormat/>
    <w:rsid w:val="007D43DB"/>
    <w:pPr>
      <w:keepNext/>
      <w:suppressAutoHyphens/>
      <w:spacing w:before="120" w:after="120" w:line="240" w:lineRule="auto"/>
      <w:ind w:left="1440" w:hanging="1440"/>
      <w:outlineLvl w:val="2"/>
    </w:pPr>
    <w:rPr>
      <w:rFonts w:ascii="Arial" w:hAnsi="Arial"/>
      <w:b/>
    </w:rPr>
  </w:style>
  <w:style w:type="paragraph" w:styleId="CommentSubject">
    <w:name w:val="annotation subject"/>
    <w:basedOn w:val="CommentText"/>
    <w:next w:val="CommentText"/>
    <w:link w:val="CommentSubjectChar"/>
    <w:rsid w:val="007D43DB"/>
    <w:pPr>
      <w:spacing w:after="160" w:line="259" w:lineRule="auto"/>
    </w:pPr>
    <w:rPr>
      <w:rFonts w:asciiTheme="minorHAnsi" w:eastAsiaTheme="minorEastAsia" w:hAnsiTheme="minorHAnsi"/>
      <w:b/>
      <w:bCs/>
      <w:szCs w:val="22"/>
      <w:lang w:eastAsia="ja-JP"/>
    </w:rPr>
  </w:style>
  <w:style w:type="character" w:customStyle="1" w:styleId="CommentSubjectChar">
    <w:name w:val="Comment Subject Char"/>
    <w:basedOn w:val="CommentTextChar"/>
    <w:link w:val="CommentSubject"/>
    <w:rsid w:val="007D43DB"/>
    <w:rPr>
      <w:rFonts w:ascii="Cambria" w:eastAsiaTheme="minorEastAsia" w:hAnsi="Cambria"/>
      <w:b/>
      <w:bCs/>
      <w:sz w:val="20"/>
      <w:szCs w:val="20"/>
      <w:lang w:eastAsia="ja-JP"/>
    </w:rPr>
  </w:style>
  <w:style w:type="paragraph" w:customStyle="1" w:styleId="Text">
    <w:name w:val="Text"/>
    <w:aliases w:val="本文,JP Body Text"/>
    <w:basedOn w:val="Normal"/>
    <w:link w:val="TextChar"/>
    <w:qFormat/>
    <w:rsid w:val="007D43DB"/>
    <w:pPr>
      <w:spacing w:before="120" w:after="120" w:line="360" w:lineRule="auto"/>
    </w:pPr>
    <w:rPr>
      <w:rFonts w:eastAsiaTheme="minorEastAsia"/>
      <w:lang w:eastAsia="ja-JP"/>
    </w:rPr>
  </w:style>
  <w:style w:type="character" w:customStyle="1" w:styleId="TextChar">
    <w:name w:val="Text Char"/>
    <w:link w:val="Text"/>
    <w:rsid w:val="007D43DB"/>
    <w:rPr>
      <w:rFonts w:eastAsiaTheme="minorEastAsia"/>
      <w:lang w:eastAsia="ja-JP"/>
    </w:rPr>
  </w:style>
  <w:style w:type="paragraph" w:customStyle="1" w:styleId="TextItalicized">
    <w:name w:val="Text Italicized"/>
    <w:basedOn w:val="Normal"/>
    <w:link w:val="TextItalicizedChar"/>
    <w:rsid w:val="007D43DB"/>
    <w:pPr>
      <w:spacing w:after="160" w:line="259" w:lineRule="auto"/>
    </w:pPr>
    <w:rPr>
      <w:rFonts w:ascii="Times New Roman" w:eastAsia="MS Mincho" w:hAnsi="Times New Roman"/>
      <w:i/>
      <w:iCs/>
      <w:color w:val="000000"/>
      <w:sz w:val="24"/>
      <w:lang w:eastAsia="ja-JP"/>
    </w:rPr>
  </w:style>
  <w:style w:type="character" w:customStyle="1" w:styleId="TextItalicizedChar">
    <w:name w:val="Text Italicized Char"/>
    <w:basedOn w:val="DefaultParagraphFont"/>
    <w:link w:val="TextItalicized"/>
    <w:rsid w:val="007D43DB"/>
    <w:rPr>
      <w:rFonts w:ascii="Times New Roman" w:eastAsia="MS Mincho" w:hAnsi="Times New Roman"/>
      <w:i/>
      <w:iCs/>
      <w:color w:val="000000"/>
      <w:sz w:val="24"/>
      <w:lang w:eastAsia="ja-JP"/>
    </w:rPr>
  </w:style>
  <w:style w:type="paragraph" w:customStyle="1" w:styleId="Default">
    <w:name w:val="Default"/>
    <w:rsid w:val="007D43D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followingxmchange">
    <w:name w:val="following_xmchange"/>
    <w:basedOn w:val="DefaultParagraphFont"/>
    <w:rsid w:val="007D43DB"/>
  </w:style>
  <w:style w:type="character" w:customStyle="1" w:styleId="apple-converted-space">
    <w:name w:val="apple-converted-space"/>
    <w:basedOn w:val="DefaultParagraphFont"/>
    <w:rsid w:val="007D43DB"/>
  </w:style>
  <w:style w:type="character" w:customStyle="1" w:styleId="xmchange">
    <w:name w:val="xmchange"/>
    <w:basedOn w:val="DefaultParagraphFont"/>
    <w:rsid w:val="007D43DB"/>
  </w:style>
  <w:style w:type="paragraph" w:customStyle="1" w:styleId="TableCenterAlign">
    <w:name w:val="TableCenterAlign"/>
    <w:basedOn w:val="Normal"/>
    <w:link w:val="TableCenterAlignChar"/>
    <w:rsid w:val="007D43DB"/>
    <w:pPr>
      <w:spacing w:before="60" w:after="60" w:line="240" w:lineRule="atLeast"/>
      <w:jc w:val="center"/>
    </w:pPr>
    <w:rPr>
      <w:rFonts w:eastAsiaTheme="minorEastAsia"/>
      <w:lang w:eastAsia="ja-JP"/>
    </w:rPr>
  </w:style>
  <w:style w:type="paragraph" w:styleId="NormalWeb">
    <w:name w:val="Normal (Web)"/>
    <w:basedOn w:val="Normal"/>
    <w:uiPriority w:val="99"/>
    <w:rsid w:val="007D43DB"/>
    <w:pPr>
      <w:spacing w:before="100" w:beforeAutospacing="1" w:after="100" w:afterAutospacing="1" w:line="259" w:lineRule="auto"/>
    </w:pPr>
    <w:rPr>
      <w:rFonts w:ascii="Arial Unicode MS" w:eastAsia="Arial Unicode MS" w:hAnsi="Arial Unicode MS" w:cs="Arial Unicode MS"/>
      <w:lang w:eastAsia="ja-JP"/>
    </w:rPr>
  </w:style>
  <w:style w:type="paragraph" w:styleId="Caption">
    <w:name w:val="caption"/>
    <w:basedOn w:val="Normal"/>
    <w:next w:val="Text"/>
    <w:qFormat/>
    <w:rsid w:val="00BB029B"/>
    <w:pPr>
      <w:keepNext/>
      <w:spacing w:before="300" w:after="100" w:line="259" w:lineRule="auto"/>
      <w:jc w:val="center"/>
    </w:pPr>
    <w:rPr>
      <w:rFonts w:ascii="Arial" w:eastAsiaTheme="minorEastAsia" w:hAnsi="Arial"/>
      <w:b/>
      <w:lang w:eastAsia="ja-JP"/>
    </w:rPr>
  </w:style>
  <w:style w:type="character" w:customStyle="1" w:styleId="ListBulletChar">
    <w:name w:val="List Bullet Char"/>
    <w:basedOn w:val="DefaultParagraphFont"/>
    <w:link w:val="ListBullet"/>
    <w:rsid w:val="007D43DB"/>
    <w:rPr>
      <w:rFonts w:ascii="Cambria" w:hAnsi="Cambria"/>
    </w:rPr>
  </w:style>
  <w:style w:type="paragraph" w:customStyle="1" w:styleId="DraftingNotesAgency">
    <w:name w:val="Drafting Notes (Agency)"/>
    <w:basedOn w:val="Normal"/>
    <w:next w:val="Normal"/>
    <w:link w:val="DraftingNotesAgencyChar"/>
    <w:rsid w:val="007D43DB"/>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basedOn w:val="DefaultParagraphFont"/>
    <w:link w:val="DraftingNotesAgency"/>
    <w:rsid w:val="007D43DB"/>
    <w:rPr>
      <w:rFonts w:ascii="Courier New" w:eastAsia="Verdana" w:hAnsi="Courier New"/>
      <w:i/>
      <w:color w:val="339966"/>
      <w:szCs w:val="18"/>
      <w:lang w:val="en-GB" w:eastAsia="en-GB"/>
    </w:rPr>
  </w:style>
  <w:style w:type="paragraph" w:styleId="Revision">
    <w:name w:val="Revision"/>
    <w:hidden/>
    <w:uiPriority w:val="99"/>
    <w:semiHidden/>
    <w:rsid w:val="007D43DB"/>
    <w:pPr>
      <w:spacing w:after="0" w:line="240" w:lineRule="auto"/>
    </w:pPr>
    <w:rPr>
      <w:rFonts w:ascii="Arial" w:eastAsia="Times New Roman" w:hAnsi="Arial" w:cs="Times New Roman"/>
      <w:szCs w:val="24"/>
      <w:lang w:val="en-US"/>
    </w:rPr>
  </w:style>
  <w:style w:type="character" w:customStyle="1" w:styleId="StyleTextItalicizedLatinArial11ptBoldAuto">
    <w:name w:val="Style Text Italicized + (Latin) Arial 11 pt Bold Auto"/>
    <w:basedOn w:val="DefaultParagraphFont"/>
    <w:uiPriority w:val="1"/>
    <w:rsid w:val="007D43DB"/>
    <w:rPr>
      <w:rFonts w:ascii="Arial" w:hAnsi="Arial" w:cs="Arial"/>
      <w:b/>
      <w:color w:val="auto"/>
      <w:sz w:val="22"/>
      <w:szCs w:val="22"/>
    </w:rPr>
  </w:style>
  <w:style w:type="paragraph" w:customStyle="1" w:styleId="Heading3-Italic">
    <w:name w:val="Heading 3 - Italic"/>
    <w:aliases w:val="no bold,no underline"/>
    <w:basedOn w:val="Heading2"/>
    <w:rsid w:val="007D43DB"/>
    <w:pPr>
      <w:keepNext/>
      <w:tabs>
        <w:tab w:val="num" w:pos="1440"/>
      </w:tabs>
      <w:spacing w:before="120" w:after="120" w:line="259" w:lineRule="auto"/>
      <w:ind w:left="1440" w:hanging="1440"/>
    </w:pPr>
    <w:rPr>
      <w:rFonts w:asciiTheme="minorHAnsi" w:eastAsiaTheme="minorEastAsia" w:hAnsiTheme="minorHAnsi"/>
      <w:b w:val="0"/>
      <w:bCs/>
      <w:i/>
      <w:smallCaps/>
      <w:sz w:val="22"/>
      <w:lang w:eastAsia="ja-JP"/>
    </w:rPr>
  </w:style>
  <w:style w:type="paragraph" w:styleId="Title">
    <w:name w:val="Title"/>
    <w:basedOn w:val="Normal"/>
    <w:link w:val="TitleChar"/>
    <w:qFormat/>
    <w:rsid w:val="007D43DB"/>
    <w:pPr>
      <w:spacing w:before="240" w:after="60" w:line="259" w:lineRule="auto"/>
      <w:jc w:val="center"/>
      <w:outlineLvl w:val="0"/>
    </w:pPr>
    <w:rPr>
      <w:rFonts w:eastAsiaTheme="minorEastAsia"/>
      <w:b/>
      <w:kern w:val="28"/>
      <w:sz w:val="32"/>
      <w:lang w:eastAsia="ja-JP"/>
    </w:rPr>
  </w:style>
  <w:style w:type="character" w:customStyle="1" w:styleId="TitleChar">
    <w:name w:val="Title Char"/>
    <w:basedOn w:val="DefaultParagraphFont"/>
    <w:link w:val="Title"/>
    <w:rsid w:val="007D43DB"/>
    <w:rPr>
      <w:rFonts w:eastAsiaTheme="minorEastAsia"/>
      <w:b/>
      <w:kern w:val="28"/>
      <w:sz w:val="32"/>
      <w:lang w:eastAsia="ja-JP"/>
    </w:rPr>
  </w:style>
  <w:style w:type="paragraph" w:customStyle="1" w:styleId="Heading7Bold">
    <w:name w:val="Heading 7Bold"/>
    <w:basedOn w:val="Normal"/>
    <w:next w:val="Text"/>
    <w:rsid w:val="007D43DB"/>
    <w:pPr>
      <w:keepNext/>
      <w:spacing w:before="120" w:after="120" w:line="259" w:lineRule="auto"/>
    </w:pPr>
    <w:rPr>
      <w:rFonts w:eastAsiaTheme="minorEastAsia"/>
      <w:b/>
      <w:lang w:eastAsia="ja-JP"/>
    </w:rPr>
  </w:style>
  <w:style w:type="paragraph" w:customStyle="1" w:styleId="Heading8BoldItalic">
    <w:name w:val="Heading 8BoldItalic"/>
    <w:basedOn w:val="Normal"/>
    <w:next w:val="Text"/>
    <w:rsid w:val="007D43DB"/>
    <w:pPr>
      <w:keepNext/>
      <w:spacing w:before="120" w:after="120" w:line="259" w:lineRule="auto"/>
    </w:pPr>
    <w:rPr>
      <w:rFonts w:eastAsiaTheme="minorEastAsia"/>
      <w:b/>
      <w:i/>
      <w:lang w:eastAsia="ja-JP"/>
    </w:rPr>
  </w:style>
  <w:style w:type="paragraph" w:customStyle="1" w:styleId="Heading9Italic">
    <w:name w:val="Heading 9Italic"/>
    <w:basedOn w:val="Normal"/>
    <w:next w:val="Text"/>
    <w:rsid w:val="007D43DB"/>
    <w:pPr>
      <w:keepNext/>
      <w:spacing w:before="120" w:after="120" w:line="259" w:lineRule="auto"/>
    </w:pPr>
    <w:rPr>
      <w:rFonts w:eastAsiaTheme="minorEastAsia"/>
      <w:i/>
      <w:lang w:eastAsia="ja-JP"/>
    </w:rPr>
  </w:style>
  <w:style w:type="paragraph" w:customStyle="1" w:styleId="CenterBold">
    <w:name w:val="CenterBold"/>
    <w:basedOn w:val="Normal"/>
    <w:next w:val="Normal"/>
    <w:rsid w:val="007D43DB"/>
    <w:pPr>
      <w:keepNext/>
      <w:keepLines/>
      <w:spacing w:before="300" w:after="120" w:line="259" w:lineRule="auto"/>
      <w:jc w:val="center"/>
    </w:pPr>
    <w:rPr>
      <w:rFonts w:eastAsiaTheme="minorEastAsia"/>
      <w:b/>
      <w:lang w:eastAsia="ja-JP"/>
    </w:rPr>
  </w:style>
  <w:style w:type="paragraph" w:customStyle="1" w:styleId="Confidential">
    <w:name w:val="Confidential"/>
    <w:basedOn w:val="Normal"/>
    <w:semiHidden/>
    <w:rsid w:val="007D43DB"/>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160" w:line="300" w:lineRule="atLeast"/>
      <w:jc w:val="center"/>
    </w:pPr>
    <w:rPr>
      <w:rFonts w:eastAsiaTheme="minorEastAsia"/>
      <w:lang w:eastAsia="ja-JP"/>
    </w:rPr>
  </w:style>
  <w:style w:type="paragraph" w:customStyle="1" w:styleId="CoverPage">
    <w:name w:val="CoverPage"/>
    <w:basedOn w:val="CenterBold"/>
    <w:semiHidden/>
    <w:rsid w:val="007D43DB"/>
    <w:pPr>
      <w:spacing w:before="400" w:after="400"/>
    </w:pPr>
    <w:rPr>
      <w:sz w:val="24"/>
    </w:rPr>
  </w:style>
  <w:style w:type="paragraph" w:customStyle="1" w:styleId="FigureLegend">
    <w:name w:val="FigureLegend"/>
    <w:basedOn w:val="Text"/>
    <w:rsid w:val="007D43DB"/>
    <w:pPr>
      <w:keepLines/>
      <w:spacing w:after="0" w:line="240" w:lineRule="auto"/>
    </w:pPr>
    <w:rPr>
      <w:sz w:val="18"/>
    </w:rPr>
  </w:style>
  <w:style w:type="paragraph" w:customStyle="1" w:styleId="FlushLeftBold">
    <w:name w:val="FlushLeftBold"/>
    <w:basedOn w:val="Normal"/>
    <w:next w:val="Text"/>
    <w:rsid w:val="007D43DB"/>
    <w:pPr>
      <w:keepNext/>
      <w:keepLines/>
      <w:spacing w:before="120" w:after="120" w:line="259" w:lineRule="auto"/>
    </w:pPr>
    <w:rPr>
      <w:rFonts w:eastAsiaTheme="minorEastAsia"/>
      <w:b/>
      <w:lang w:eastAsia="ja-JP"/>
    </w:rPr>
  </w:style>
  <w:style w:type="paragraph" w:customStyle="1" w:styleId="FootnoteLine">
    <w:name w:val="FootnoteLine"/>
    <w:basedOn w:val="Normal"/>
    <w:next w:val="Normal"/>
    <w:semiHidden/>
    <w:rsid w:val="007D43DB"/>
    <w:pPr>
      <w:pBdr>
        <w:bottom w:val="single" w:sz="6" w:space="6" w:color="auto"/>
      </w:pBdr>
      <w:spacing w:after="160" w:line="160" w:lineRule="atLeast"/>
    </w:pPr>
    <w:rPr>
      <w:rFonts w:eastAsiaTheme="minorEastAsia"/>
      <w:sz w:val="16"/>
      <w:lang w:eastAsia="ja-JP"/>
    </w:rPr>
  </w:style>
  <w:style w:type="paragraph" w:customStyle="1" w:styleId="FootnoteText0">
    <w:name w:val="FootnoteText"/>
    <w:basedOn w:val="TableLeftAlign"/>
    <w:next w:val="Text"/>
    <w:rsid w:val="007D43DB"/>
    <w:pPr>
      <w:keepLines/>
      <w:spacing w:before="0" w:after="0" w:line="240" w:lineRule="auto"/>
      <w:ind w:left="144" w:hanging="144"/>
    </w:pPr>
    <w:rPr>
      <w:sz w:val="18"/>
    </w:rPr>
  </w:style>
  <w:style w:type="paragraph" w:customStyle="1" w:styleId="TableLeftAlign">
    <w:name w:val="TableLeftAlign"/>
    <w:basedOn w:val="Normal"/>
    <w:rsid w:val="007D43DB"/>
    <w:pPr>
      <w:spacing w:before="60" w:after="60" w:line="240" w:lineRule="atLeast"/>
    </w:pPr>
    <w:rPr>
      <w:rFonts w:eastAsiaTheme="minorEastAsia"/>
      <w:lang w:eastAsia="ja-JP"/>
    </w:rPr>
  </w:style>
  <w:style w:type="paragraph" w:customStyle="1" w:styleId="Insert">
    <w:name w:val="Insert"/>
    <w:basedOn w:val="Normal"/>
    <w:rsid w:val="007D43DB"/>
    <w:pPr>
      <w:spacing w:before="100" w:after="100" w:line="259" w:lineRule="auto"/>
      <w:jc w:val="center"/>
    </w:pPr>
    <w:rPr>
      <w:rFonts w:eastAsiaTheme="minorEastAsia"/>
      <w:lang w:eastAsia="ja-JP"/>
    </w:rPr>
  </w:style>
  <w:style w:type="character" w:styleId="PageNumber">
    <w:name w:val="page number"/>
    <w:basedOn w:val="DefaultParagraphFont"/>
    <w:rsid w:val="007D43DB"/>
  </w:style>
  <w:style w:type="paragraph" w:customStyle="1" w:styleId="TextList">
    <w:name w:val="TextList"/>
    <w:basedOn w:val="Text"/>
    <w:rsid w:val="007D43DB"/>
    <w:pPr>
      <w:spacing w:after="100" w:line="280" w:lineRule="atLeast"/>
      <w:ind w:left="360" w:hanging="360"/>
    </w:pPr>
  </w:style>
  <w:style w:type="paragraph" w:customStyle="1" w:styleId="RefList">
    <w:name w:val="RefList#"/>
    <w:basedOn w:val="TextList"/>
    <w:rsid w:val="007D43DB"/>
    <w:pPr>
      <w:keepLines/>
      <w:spacing w:after="0" w:line="240" w:lineRule="auto"/>
    </w:pPr>
  </w:style>
  <w:style w:type="paragraph" w:customStyle="1" w:styleId="RefListAlpha">
    <w:name w:val="RefListAlpha"/>
    <w:basedOn w:val="Text"/>
    <w:rsid w:val="007D43DB"/>
    <w:pPr>
      <w:keepLines/>
      <w:spacing w:line="240" w:lineRule="auto"/>
    </w:pPr>
  </w:style>
  <w:style w:type="paragraph" w:customStyle="1" w:styleId="RightTabBold">
    <w:name w:val="RightTabBold"/>
    <w:basedOn w:val="Normal"/>
    <w:semiHidden/>
    <w:rsid w:val="007D43DB"/>
    <w:pPr>
      <w:tabs>
        <w:tab w:val="right" w:pos="8640"/>
      </w:tabs>
      <w:spacing w:before="100" w:after="100" w:line="259" w:lineRule="auto"/>
    </w:pPr>
    <w:rPr>
      <w:rFonts w:eastAsiaTheme="minorEastAsia"/>
      <w:b/>
      <w:lang w:eastAsia="ja-JP"/>
    </w:rPr>
  </w:style>
  <w:style w:type="paragraph" w:customStyle="1" w:styleId="SectionBreak">
    <w:name w:val="SectionBreak"/>
    <w:basedOn w:val="Normal"/>
    <w:next w:val="Text"/>
    <w:semiHidden/>
    <w:rsid w:val="007D43DB"/>
    <w:pPr>
      <w:spacing w:after="160" w:line="259" w:lineRule="auto"/>
    </w:pPr>
    <w:rPr>
      <w:rFonts w:eastAsiaTheme="minorEastAsia"/>
      <w:lang w:eastAsia="ja-JP"/>
    </w:rPr>
  </w:style>
  <w:style w:type="paragraph" w:styleId="TableofFigures">
    <w:name w:val="table of figures"/>
    <w:basedOn w:val="Text"/>
    <w:next w:val="Text"/>
    <w:rsid w:val="007D43DB"/>
    <w:pPr>
      <w:keepLines/>
      <w:tabs>
        <w:tab w:val="right" w:leader="dot" w:pos="8640"/>
      </w:tabs>
      <w:spacing w:before="0" w:line="240" w:lineRule="auto"/>
      <w:ind w:left="1426" w:right="1080" w:hanging="1426"/>
    </w:pPr>
    <w:rPr>
      <w:color w:val="0000FF"/>
    </w:rPr>
  </w:style>
  <w:style w:type="paragraph" w:customStyle="1" w:styleId="TextBullet">
    <w:name w:val="TextBullet"/>
    <w:basedOn w:val="Normal"/>
    <w:rsid w:val="007D43DB"/>
    <w:pPr>
      <w:numPr>
        <w:numId w:val="13"/>
      </w:numPr>
      <w:spacing w:after="100" w:line="259" w:lineRule="auto"/>
    </w:pPr>
    <w:rPr>
      <w:rFonts w:eastAsiaTheme="minorEastAsia"/>
      <w:lang w:eastAsia="ja-JP"/>
    </w:rPr>
  </w:style>
  <w:style w:type="paragraph" w:customStyle="1" w:styleId="TextDash">
    <w:name w:val="TextDash"/>
    <w:basedOn w:val="TextBullet"/>
    <w:rsid w:val="007D43DB"/>
    <w:pPr>
      <w:numPr>
        <w:numId w:val="12"/>
      </w:numPr>
    </w:pPr>
  </w:style>
  <w:style w:type="paragraph" w:customStyle="1" w:styleId="TextIndent">
    <w:name w:val="TextIndent"/>
    <w:basedOn w:val="Text"/>
    <w:rsid w:val="007D43DB"/>
    <w:pPr>
      <w:spacing w:line="280" w:lineRule="atLeast"/>
      <w:ind w:left="360"/>
    </w:pPr>
  </w:style>
  <w:style w:type="paragraph" w:customStyle="1" w:styleId="TextSingleSpace">
    <w:name w:val="TextSingleSpace"/>
    <w:basedOn w:val="Text"/>
    <w:rsid w:val="007D43DB"/>
    <w:pPr>
      <w:spacing w:line="240" w:lineRule="auto"/>
    </w:pPr>
  </w:style>
  <w:style w:type="paragraph" w:styleId="TOC1">
    <w:name w:val="toc 1"/>
    <w:basedOn w:val="Text"/>
    <w:next w:val="Text"/>
    <w:autoRedefine/>
    <w:rsid w:val="007D43DB"/>
    <w:pPr>
      <w:keepLines/>
      <w:tabs>
        <w:tab w:val="right" w:leader="dot" w:pos="8640"/>
      </w:tabs>
      <w:spacing w:before="200" w:after="0" w:line="240" w:lineRule="auto"/>
      <w:ind w:left="547" w:right="1080" w:hanging="547"/>
    </w:pPr>
    <w:rPr>
      <w:noProof/>
      <w:color w:val="0000FF"/>
    </w:rPr>
  </w:style>
  <w:style w:type="paragraph" w:styleId="TOC2">
    <w:name w:val="toc 2"/>
    <w:basedOn w:val="TOC1"/>
    <w:next w:val="Text"/>
    <w:autoRedefine/>
    <w:rsid w:val="007D43DB"/>
    <w:pPr>
      <w:tabs>
        <w:tab w:val="left" w:pos="1267"/>
      </w:tabs>
      <w:spacing w:before="60"/>
      <w:ind w:left="1267" w:hanging="720"/>
    </w:pPr>
  </w:style>
  <w:style w:type="paragraph" w:styleId="TOC3">
    <w:name w:val="toc 3"/>
    <w:basedOn w:val="TOC2"/>
    <w:next w:val="Text"/>
    <w:autoRedefine/>
    <w:rsid w:val="007D43DB"/>
    <w:pPr>
      <w:tabs>
        <w:tab w:val="clear" w:pos="1267"/>
        <w:tab w:val="left" w:pos="2246"/>
      </w:tabs>
      <w:ind w:left="2261" w:hanging="994"/>
    </w:pPr>
  </w:style>
  <w:style w:type="paragraph" w:styleId="TOC4">
    <w:name w:val="toc 4"/>
    <w:basedOn w:val="TOC3"/>
    <w:next w:val="Text"/>
    <w:autoRedefine/>
    <w:rsid w:val="007D43DB"/>
    <w:pPr>
      <w:ind w:left="3384" w:hanging="1123"/>
    </w:pPr>
  </w:style>
  <w:style w:type="paragraph" w:styleId="TOC5">
    <w:name w:val="toc 5"/>
    <w:basedOn w:val="TOC2"/>
    <w:next w:val="Text"/>
    <w:autoRedefine/>
    <w:rsid w:val="007D43DB"/>
  </w:style>
  <w:style w:type="paragraph" w:styleId="TOC6">
    <w:name w:val="toc 6"/>
    <w:basedOn w:val="TOC2"/>
    <w:next w:val="Text"/>
    <w:autoRedefine/>
    <w:rsid w:val="007D43DB"/>
  </w:style>
  <w:style w:type="paragraph" w:styleId="TOC7">
    <w:name w:val="toc 7"/>
    <w:basedOn w:val="Normal"/>
    <w:next w:val="Normal"/>
    <w:autoRedefine/>
    <w:rsid w:val="007D43DB"/>
    <w:pPr>
      <w:tabs>
        <w:tab w:val="right" w:leader="dot" w:pos="8640"/>
      </w:tabs>
      <w:spacing w:after="160" w:line="259" w:lineRule="auto"/>
      <w:ind w:left="1320"/>
    </w:pPr>
    <w:rPr>
      <w:rFonts w:eastAsiaTheme="minorEastAsia"/>
      <w:lang w:eastAsia="ja-JP"/>
    </w:rPr>
  </w:style>
  <w:style w:type="paragraph" w:styleId="TOC8">
    <w:name w:val="toc 8"/>
    <w:basedOn w:val="Normal"/>
    <w:next w:val="Normal"/>
    <w:autoRedefine/>
    <w:rsid w:val="007D43DB"/>
    <w:pPr>
      <w:tabs>
        <w:tab w:val="right" w:leader="dot" w:pos="8640"/>
      </w:tabs>
      <w:spacing w:after="160" w:line="259" w:lineRule="auto"/>
      <w:ind w:left="1540"/>
    </w:pPr>
    <w:rPr>
      <w:rFonts w:eastAsiaTheme="minorEastAsia"/>
      <w:lang w:eastAsia="ja-JP"/>
    </w:rPr>
  </w:style>
  <w:style w:type="paragraph" w:styleId="TOC9">
    <w:name w:val="toc 9"/>
    <w:basedOn w:val="Normal"/>
    <w:next w:val="Normal"/>
    <w:autoRedefine/>
    <w:rsid w:val="007D43DB"/>
    <w:pPr>
      <w:tabs>
        <w:tab w:val="right" w:leader="dot" w:pos="8640"/>
      </w:tabs>
      <w:spacing w:after="160" w:line="259" w:lineRule="auto"/>
      <w:ind w:left="1760"/>
    </w:pPr>
    <w:rPr>
      <w:rFonts w:eastAsiaTheme="minorEastAsia"/>
      <w:lang w:eastAsia="ja-JP"/>
    </w:rPr>
  </w:style>
  <w:style w:type="paragraph" w:customStyle="1" w:styleId="Heading0">
    <w:name w:val="Heading 0"/>
    <w:basedOn w:val="Normal"/>
    <w:next w:val="Text"/>
    <w:rsid w:val="007D43DB"/>
    <w:pPr>
      <w:keepNext/>
      <w:pageBreakBefore/>
      <w:spacing w:before="120" w:after="120" w:line="259" w:lineRule="auto"/>
      <w:ind w:left="1440" w:hanging="1440"/>
    </w:pPr>
    <w:rPr>
      <w:rFonts w:eastAsiaTheme="minorEastAsia"/>
      <w:b/>
      <w:lang w:eastAsia="ja-JP"/>
    </w:rPr>
  </w:style>
  <w:style w:type="paragraph" w:customStyle="1" w:styleId="NumberRestart">
    <w:name w:val="NumberRestart"/>
    <w:basedOn w:val="Text"/>
    <w:semiHidden/>
    <w:rsid w:val="007D43DB"/>
    <w:pPr>
      <w:numPr>
        <w:numId w:val="14"/>
      </w:numPr>
      <w:tabs>
        <w:tab w:val="clear" w:pos="1440"/>
      </w:tabs>
      <w:ind w:left="720" w:hanging="360"/>
      <w:outlineLvl w:val="0"/>
    </w:pPr>
  </w:style>
  <w:style w:type="paragraph" w:styleId="DocumentMap">
    <w:name w:val="Document Map"/>
    <w:basedOn w:val="Normal"/>
    <w:link w:val="DocumentMapChar"/>
    <w:rsid w:val="007D43DB"/>
    <w:pPr>
      <w:shd w:val="clear" w:color="auto" w:fill="000080"/>
      <w:spacing w:after="160" w:line="259" w:lineRule="auto"/>
    </w:pPr>
    <w:rPr>
      <w:rFonts w:ascii="Tahoma" w:eastAsiaTheme="minorEastAsia" w:hAnsi="Tahoma" w:cs="Tahoma"/>
      <w:lang w:eastAsia="ja-JP"/>
    </w:rPr>
  </w:style>
  <w:style w:type="character" w:customStyle="1" w:styleId="DocumentMapChar">
    <w:name w:val="Document Map Char"/>
    <w:basedOn w:val="DefaultParagraphFont"/>
    <w:link w:val="DocumentMap"/>
    <w:rsid w:val="007D43DB"/>
    <w:rPr>
      <w:rFonts w:ascii="Tahoma" w:eastAsiaTheme="minorEastAsia" w:hAnsi="Tahoma" w:cs="Tahoma"/>
      <w:shd w:val="clear" w:color="auto" w:fill="000080"/>
      <w:lang w:eastAsia="ja-JP"/>
    </w:rPr>
  </w:style>
  <w:style w:type="paragraph" w:customStyle="1" w:styleId="TablePageNumber">
    <w:name w:val="TablePageNumber"/>
    <w:basedOn w:val="Normal"/>
    <w:next w:val="Text"/>
    <w:rsid w:val="007D43DB"/>
    <w:pPr>
      <w:spacing w:after="160" w:line="240" w:lineRule="atLeast"/>
      <w:jc w:val="right"/>
    </w:pPr>
    <w:rPr>
      <w:rFonts w:eastAsiaTheme="minorEastAsia"/>
      <w:sz w:val="20"/>
      <w:lang w:eastAsia="ja-JP"/>
    </w:rPr>
  </w:style>
  <w:style w:type="character" w:customStyle="1" w:styleId="TableCenterAlignChar">
    <w:name w:val="TableCenterAlign Char"/>
    <w:link w:val="TableCenterAlign"/>
    <w:rsid w:val="007D43DB"/>
    <w:rPr>
      <w:rFonts w:eastAsiaTheme="minorEastAsia"/>
      <w:lang w:eastAsia="ja-JP"/>
    </w:rPr>
  </w:style>
  <w:style w:type="paragraph" w:customStyle="1" w:styleId="SynopsisIndent">
    <w:name w:val="SynopsisIndent"/>
    <w:basedOn w:val="Normal"/>
    <w:uiPriority w:val="99"/>
    <w:rsid w:val="007D43DB"/>
    <w:pPr>
      <w:tabs>
        <w:tab w:val="left" w:pos="780"/>
        <w:tab w:val="left" w:pos="4316"/>
        <w:tab w:val="left" w:pos="5148"/>
      </w:tabs>
      <w:spacing w:after="120" w:line="259" w:lineRule="auto"/>
      <w:ind w:left="317"/>
    </w:pPr>
    <w:rPr>
      <w:rFonts w:eastAsiaTheme="minorEastAsia"/>
      <w:b/>
      <w:bCs/>
      <w:lang w:eastAsia="ja-JP"/>
    </w:rPr>
  </w:style>
  <w:style w:type="character" w:styleId="FollowedHyperlink">
    <w:name w:val="FollowedHyperlink"/>
    <w:basedOn w:val="DefaultParagraphFont"/>
    <w:semiHidden/>
    <w:unhideWhenUsed/>
    <w:rsid w:val="007D43DB"/>
    <w:rPr>
      <w:color w:val="800080" w:themeColor="followedHyperlink"/>
      <w:u w:val="single"/>
    </w:rPr>
  </w:style>
  <w:style w:type="character" w:customStyle="1" w:styleId="ListParagraphChar">
    <w:name w:val="List Paragraph Char"/>
    <w:basedOn w:val="DefaultParagraphFont"/>
    <w:link w:val="ListParagraph"/>
    <w:uiPriority w:val="34"/>
    <w:rsid w:val="007D43DB"/>
    <w:rPr>
      <w:rFonts w:ascii="Cambria" w:hAnsi="Cambria"/>
    </w:rPr>
  </w:style>
  <w:style w:type="paragraph" w:customStyle="1" w:styleId="PI-TableHeader">
    <w:name w:val="PI - Table Header"/>
    <w:basedOn w:val="PI-Text"/>
    <w:rsid w:val="007D43DB"/>
    <w:pPr>
      <w:jc w:val="center"/>
    </w:pPr>
    <w:rPr>
      <w:rFonts w:eastAsia="Times New Roman" w:cs="Times New Roman"/>
      <w:b/>
      <w:bCs/>
      <w:szCs w:val="20"/>
      <w:lang w:eastAsia="en-AU"/>
    </w:rPr>
  </w:style>
  <w:style w:type="paragraph" w:customStyle="1" w:styleId="PI-TableText">
    <w:name w:val="PI - Table Text"/>
    <w:basedOn w:val="PI-Text"/>
    <w:rsid w:val="007D43DB"/>
    <w:rPr>
      <w:rFonts w:eastAsia="Times New Roman"/>
      <w:sz w:val="20"/>
      <w:szCs w:val="20"/>
      <w:lang w:eastAsia="en-AU"/>
    </w:rPr>
  </w:style>
  <w:style w:type="paragraph" w:customStyle="1" w:styleId="first">
    <w:name w:val="first"/>
    <w:basedOn w:val="Normal"/>
    <w:rsid w:val="007D43DB"/>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ableColumnHead">
    <w:name w:val="Table Column Head"/>
    <w:basedOn w:val="Normal"/>
    <w:next w:val="Normal"/>
    <w:qFormat/>
    <w:rsid w:val="007D43DB"/>
    <w:pPr>
      <w:keepNext/>
      <w:keepLines/>
      <w:widowControl w:val="0"/>
      <w:spacing w:before="40" w:after="20" w:line="240" w:lineRule="auto"/>
      <w:jc w:val="center"/>
    </w:pPr>
    <w:rPr>
      <w:rFonts w:ascii="Times New Roman" w:eastAsia="Times New Roman" w:hAnsi="Times New Roman" w:cs="Times New Roman"/>
      <w:b/>
      <w:sz w:val="20"/>
      <w:szCs w:val="20"/>
      <w:lang w:eastAsia="ja-JP"/>
    </w:rPr>
  </w:style>
  <w:style w:type="paragraph" w:customStyle="1" w:styleId="TableTextCenter">
    <w:name w:val="Table Text Center"/>
    <w:basedOn w:val="Normal"/>
    <w:qFormat/>
    <w:rsid w:val="007D43DB"/>
    <w:pPr>
      <w:keepNext/>
      <w:spacing w:before="50" w:after="50" w:line="240" w:lineRule="auto"/>
      <w:jc w:val="center"/>
    </w:pPr>
    <w:rPr>
      <w:rFonts w:ascii="Times New Roman" w:eastAsia="Times New Roman" w:hAnsi="Times New Roman" w:cs="Times New Roman"/>
      <w:sz w:val="20"/>
      <w:szCs w:val="24"/>
      <w:lang w:eastAsia="ja-JP"/>
    </w:rPr>
  </w:style>
  <w:style w:type="paragraph" w:customStyle="1" w:styleId="TableTextLeft">
    <w:name w:val="Table Text Left"/>
    <w:basedOn w:val="Normal"/>
    <w:link w:val="TableTextLeftChar"/>
    <w:qFormat/>
    <w:rsid w:val="007D43DB"/>
    <w:pPr>
      <w:keepNext/>
      <w:spacing w:before="50" w:after="50" w:line="240" w:lineRule="auto"/>
    </w:pPr>
    <w:rPr>
      <w:rFonts w:ascii="Times New Roman" w:eastAsia="Times New Roman" w:hAnsi="Times New Roman" w:cs="Times New Roman"/>
      <w:sz w:val="20"/>
      <w:szCs w:val="24"/>
      <w:lang w:eastAsia="ja-JP"/>
    </w:rPr>
  </w:style>
  <w:style w:type="paragraph" w:customStyle="1" w:styleId="TableFigureNote">
    <w:name w:val="Table/Figure Note"/>
    <w:basedOn w:val="Normal"/>
    <w:qFormat/>
    <w:rsid w:val="007D43DB"/>
    <w:pPr>
      <w:spacing w:before="40" w:after="0" w:line="220" w:lineRule="exact"/>
      <w:ind w:left="144" w:hanging="144"/>
    </w:pPr>
    <w:rPr>
      <w:rFonts w:ascii="Times New Roman" w:eastAsia="Times New Roman" w:hAnsi="Times New Roman" w:cs="Times New Roman"/>
      <w:sz w:val="20"/>
      <w:szCs w:val="24"/>
      <w:lang w:eastAsia="ja-JP"/>
    </w:rPr>
  </w:style>
  <w:style w:type="character" w:customStyle="1" w:styleId="TableTextLeftChar">
    <w:name w:val="Table Text Left Char"/>
    <w:link w:val="TableTextLeft"/>
    <w:rsid w:val="007D43DB"/>
    <w:rPr>
      <w:rFonts w:ascii="Times New Roman" w:eastAsia="Times New Roman" w:hAnsi="Times New Roman" w:cs="Times New Roman"/>
      <w:sz w:val="20"/>
      <w:szCs w:val="24"/>
      <w:lang w:eastAsia="ja-JP"/>
    </w:rPr>
  </w:style>
  <w:style w:type="numbering" w:customStyle="1" w:styleId="Bullet">
    <w:name w:val="Bullet"/>
    <w:basedOn w:val="NoList"/>
    <w:uiPriority w:val="99"/>
    <w:rsid w:val="007D43DB"/>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9200">
      <w:bodyDiv w:val="1"/>
      <w:marLeft w:val="0"/>
      <w:marRight w:val="0"/>
      <w:marTop w:val="0"/>
      <w:marBottom w:val="0"/>
      <w:divBdr>
        <w:top w:val="none" w:sz="0" w:space="0" w:color="auto"/>
        <w:left w:val="none" w:sz="0" w:space="0" w:color="auto"/>
        <w:bottom w:val="none" w:sz="0" w:space="0" w:color="auto"/>
        <w:right w:val="none" w:sz="0" w:space="0" w:color="auto"/>
      </w:divBdr>
    </w:div>
    <w:div w:id="839663199">
      <w:bodyDiv w:val="1"/>
      <w:marLeft w:val="0"/>
      <w:marRight w:val="0"/>
      <w:marTop w:val="0"/>
      <w:marBottom w:val="0"/>
      <w:divBdr>
        <w:top w:val="none" w:sz="0" w:space="0" w:color="auto"/>
        <w:left w:val="none" w:sz="0" w:space="0" w:color="auto"/>
        <w:bottom w:val="none" w:sz="0" w:space="0" w:color="auto"/>
        <w:right w:val="none" w:sz="0" w:space="0" w:color="auto"/>
      </w:divBdr>
    </w:div>
    <w:div w:id="12969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ga.gov.au/reporting-problems" TargetMode="External"/><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5FE9-0C01-4766-9049-CB208CE287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6CC0E0-3608-45AB-9600-99979D20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13214</Words>
  <Characters>75320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Blinatumomab</dc:title>
  <dc:subject>prescription medicines</dc:subject>
  <dc:creator/>
  <cp:keywords/>
  <cp:lastModifiedBy>LACK, Janet</cp:lastModifiedBy>
  <cp:revision>3</cp:revision>
  <cp:lastPrinted>2017-11-30T21:49:00Z</cp:lastPrinted>
  <dcterms:created xsi:type="dcterms:W3CDTF">2019-10-16T05:54:00Z</dcterms:created>
  <dcterms:modified xsi:type="dcterms:W3CDTF">2019-10-16T05:57:00Z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b801f4fb-af3b-483d-87b3-d4b27194130d</vt:lpwstr>
  </property>
  <property fmtid="{D5CDD505-2E9C-101B-9397-08002B2CF9AE}" pid="3" name="bjSaver">
    <vt:lpwstr>rWvtO+m2gxbMm2cuWXXAtzFaK9GWO9So</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uid="03e9b10b-a1f9-4a88-9630-476473f62285" value="" /&gt;&lt;element uid="7349a702-6462-4442-88eb-c64cd513835c" value="" /&gt;&lt;element uid="ba0343df-3220-4244-9388-1298e2abc028" value="" /&gt;&lt;/sisl&gt;</vt:lpwstr>
  </property>
  <property fmtid="{D5CDD505-2E9C-101B-9397-08002B2CF9AE}" pid="6" name="bjDocumentSecurityLabel">
    <vt:lpwstr>Confidential - General Business</vt:lpwstr>
  </property>
</Properties>
</file>