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5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4"/>
      </w:tblGrid>
      <w:tr w:rsidR="008E7846" w:rsidRPr="00487162" w:rsidTr="00BC307B">
        <w:trPr>
          <w:trHeight w:val="1897"/>
        </w:trPr>
        <w:tc>
          <w:tcPr>
            <w:tcW w:w="5944" w:type="dxa"/>
            <w:tcBorders>
              <w:top w:val="nil"/>
              <w:left w:val="nil"/>
              <w:bottom w:val="nil"/>
              <w:right w:val="nil"/>
            </w:tcBorders>
          </w:tcPr>
          <w:p w:rsidR="008E7846" w:rsidRDefault="0059719E" w:rsidP="00BC307B">
            <w:pPr>
              <w:tabs>
                <w:tab w:val="left" w:pos="2281"/>
              </w:tabs>
              <w:rPr>
                <w:rFonts w:ascii="Arial" w:hAnsi="Arial" w:cs="Arial"/>
                <w:b/>
                <w:color w:val="002C47"/>
                <w:sz w:val="36"/>
                <w:szCs w:val="36"/>
              </w:rPr>
            </w:pPr>
            <w:r>
              <w:rPr>
                <w:rFonts w:ascii="Arial" w:hAnsi="Arial" w:cs="Arial"/>
                <w:b/>
                <w:color w:val="002C47"/>
                <w:sz w:val="36"/>
                <w:szCs w:val="36"/>
              </w:rPr>
              <w:t>June 2014</w:t>
            </w:r>
          </w:p>
          <w:p w:rsidR="009667D7" w:rsidRPr="00096AA7" w:rsidRDefault="009667D7" w:rsidP="0059719E">
            <w:pPr>
              <w:rPr>
                <w:rFonts w:ascii="Arial" w:hAnsi="Arial" w:cs="Arial"/>
                <w:b/>
                <w:color w:val="002C47"/>
                <w:sz w:val="36"/>
                <w:szCs w:val="36"/>
              </w:rPr>
            </w:pPr>
            <w:r>
              <w:rPr>
                <w:rFonts w:ascii="Arial" w:hAnsi="Arial" w:cs="Arial"/>
                <w:b/>
                <w:color w:val="002C47"/>
                <w:sz w:val="36"/>
                <w:szCs w:val="36"/>
              </w:rPr>
              <w:t>Updated August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59719E">
            <w:pPr>
              <w:pStyle w:val="Title"/>
              <w:rPr>
                <w:color w:val="FFFFFF" w:themeColor="background1"/>
              </w:rPr>
            </w:pPr>
            <w:r w:rsidRPr="00A964D1">
              <w:rPr>
                <w:color w:val="FFFFFF" w:themeColor="background1"/>
              </w:rPr>
              <w:t xml:space="preserve">Australian Public Assessment Report for </w:t>
            </w:r>
            <w:proofErr w:type="spellStart"/>
            <w:r w:rsidR="0059719E" w:rsidRPr="0059719E">
              <w:rPr>
                <w:color w:val="FFFFFF" w:themeColor="background1"/>
              </w:rPr>
              <w:t>Bimatoprost</w:t>
            </w:r>
            <w:proofErr w:type="spellEnd"/>
          </w:p>
        </w:tc>
      </w:tr>
      <w:tr w:rsidR="0032583B" w:rsidRPr="00B64760" w:rsidTr="0032583B">
        <w:tc>
          <w:tcPr>
            <w:tcW w:w="9079" w:type="dxa"/>
          </w:tcPr>
          <w:p w:rsidR="0032583B" w:rsidRPr="008E7846" w:rsidRDefault="0032583B" w:rsidP="0059719E">
            <w:pPr>
              <w:pStyle w:val="Subtitle"/>
              <w:rPr>
                <w:color w:val="FFFFFF" w:themeColor="background1"/>
              </w:rPr>
            </w:pPr>
            <w:r w:rsidRPr="008E7846">
              <w:rPr>
                <w:color w:val="FFFFFF" w:themeColor="background1"/>
              </w:rPr>
              <w:t>Proprietary Product Name:</w:t>
            </w:r>
            <w:r w:rsidR="00D81834">
              <w:rPr>
                <w:color w:val="FFFFFF" w:themeColor="background1"/>
              </w:rPr>
              <w:t xml:space="preserve"> </w:t>
            </w:r>
            <w:proofErr w:type="spellStart"/>
            <w:r w:rsidR="0059719E" w:rsidRPr="0059719E">
              <w:rPr>
                <w:color w:val="FFFFFF" w:themeColor="background1"/>
              </w:rPr>
              <w:t>Latisse</w:t>
            </w:r>
            <w:proofErr w:type="spellEnd"/>
            <w:r w:rsidR="0059719E" w:rsidRPr="0059719E">
              <w:rPr>
                <w:color w:val="FFFFFF" w:themeColor="background1"/>
              </w:rPr>
              <w:t xml:space="preserve"> </w:t>
            </w:r>
            <w:r w:rsidR="0091264B">
              <w:rPr>
                <w:color w:val="FFFFFF" w:themeColor="background1"/>
              </w:rPr>
              <w:fldChar w:fldCharType="begin"/>
            </w:r>
            <w:r w:rsidR="0091264B">
              <w:rPr>
                <w:color w:val="FFFFFF" w:themeColor="background1"/>
              </w:rPr>
              <w:instrText xml:space="preserve"> MERGEFIELD "TRADE" </w:instrText>
            </w:r>
            <w:r w:rsidR="0091264B">
              <w:rPr>
                <w:color w:val="FFFFFF" w:themeColor="background1"/>
              </w:rPr>
              <w:fldChar w:fldCharType="end"/>
            </w:r>
          </w:p>
        </w:tc>
      </w:tr>
      <w:tr w:rsidR="0032583B" w:rsidRPr="00B64760" w:rsidTr="0032583B">
        <w:trPr>
          <w:trHeight w:val="486"/>
        </w:trPr>
        <w:tc>
          <w:tcPr>
            <w:tcW w:w="9079" w:type="dxa"/>
          </w:tcPr>
          <w:p w:rsidR="0032583B" w:rsidRPr="008E7846" w:rsidRDefault="0032583B" w:rsidP="0059719E">
            <w:pPr>
              <w:pStyle w:val="Subtitle"/>
              <w:rPr>
                <w:color w:val="FFFFFF" w:themeColor="background1"/>
              </w:rPr>
            </w:pPr>
            <w:r w:rsidRPr="008E7846">
              <w:rPr>
                <w:color w:val="FFFFFF" w:themeColor="background1"/>
              </w:rPr>
              <w:t xml:space="preserve">Sponsor: </w:t>
            </w:r>
            <w:r w:rsidR="0059719E" w:rsidRPr="0059719E">
              <w:rPr>
                <w:color w:val="FFFFFF" w:themeColor="background1"/>
              </w:rPr>
              <w:t>Allergan Australia Pty Ltd</w:t>
            </w:r>
            <w:r w:rsidR="00D81834">
              <w:rPr>
                <w:color w:val="FFFFFF" w:themeColor="background1"/>
              </w:rPr>
              <w:t xml:space="preserve">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w:t>
          </w:r>
          <w:bookmarkStart w:id="2" w:name="_GoBack"/>
          <w:bookmarkEnd w:id="2"/>
          <w:r w:rsidRPr="0010788A">
            <w:t>nts</w:t>
          </w:r>
        </w:p>
        <w:p w:rsidR="001A3D8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5464709" w:history="1">
            <w:r w:rsidR="001A3D87" w:rsidRPr="00D05E72">
              <w:rPr>
                <w:rStyle w:val="Hyperlink"/>
                <w:noProof/>
              </w:rPr>
              <w:t>List of commonly used abbreviations</w:t>
            </w:r>
            <w:r w:rsidR="001A3D87">
              <w:rPr>
                <w:noProof/>
                <w:webHidden/>
              </w:rPr>
              <w:tab/>
            </w:r>
            <w:r w:rsidR="001A3D87">
              <w:rPr>
                <w:noProof/>
                <w:webHidden/>
              </w:rPr>
              <w:fldChar w:fldCharType="begin"/>
            </w:r>
            <w:r w:rsidR="001A3D87">
              <w:rPr>
                <w:noProof/>
                <w:webHidden/>
              </w:rPr>
              <w:instrText xml:space="preserve"> PAGEREF _Toc55464709 \h </w:instrText>
            </w:r>
            <w:r w:rsidR="001A3D87">
              <w:rPr>
                <w:noProof/>
                <w:webHidden/>
              </w:rPr>
            </w:r>
            <w:r w:rsidR="001A3D87">
              <w:rPr>
                <w:noProof/>
                <w:webHidden/>
              </w:rPr>
              <w:fldChar w:fldCharType="separate"/>
            </w:r>
            <w:r w:rsidR="001A3D87">
              <w:rPr>
                <w:noProof/>
                <w:webHidden/>
              </w:rPr>
              <w:t>5</w:t>
            </w:r>
            <w:r w:rsidR="001A3D87">
              <w:rPr>
                <w:noProof/>
                <w:webHidden/>
              </w:rPr>
              <w:fldChar w:fldCharType="end"/>
            </w:r>
          </w:hyperlink>
        </w:p>
        <w:p w:rsidR="001A3D87" w:rsidRDefault="001A3D87">
          <w:pPr>
            <w:pStyle w:val="TOC2"/>
            <w:rPr>
              <w:rFonts w:asciiTheme="minorHAnsi" w:eastAsiaTheme="minorEastAsia" w:hAnsiTheme="minorHAnsi" w:cstheme="minorBidi"/>
              <w:b w:val="0"/>
              <w:noProof/>
              <w:sz w:val="22"/>
              <w:lang w:eastAsia="en-AU"/>
            </w:rPr>
          </w:pPr>
          <w:hyperlink w:anchor="_Toc55464710" w:history="1">
            <w:r w:rsidRPr="00D05E72">
              <w:rPr>
                <w:rStyle w:val="Hyperlink"/>
                <w:noProof/>
              </w:rPr>
              <w:t>I. Introduction to product submission</w:t>
            </w:r>
            <w:r>
              <w:rPr>
                <w:noProof/>
                <w:webHidden/>
              </w:rPr>
              <w:tab/>
            </w:r>
            <w:r>
              <w:rPr>
                <w:noProof/>
                <w:webHidden/>
              </w:rPr>
              <w:fldChar w:fldCharType="begin"/>
            </w:r>
            <w:r>
              <w:rPr>
                <w:noProof/>
                <w:webHidden/>
              </w:rPr>
              <w:instrText xml:space="preserve"> PAGEREF _Toc55464710 \h </w:instrText>
            </w:r>
            <w:r>
              <w:rPr>
                <w:noProof/>
                <w:webHidden/>
              </w:rPr>
            </w:r>
            <w:r>
              <w:rPr>
                <w:noProof/>
                <w:webHidden/>
              </w:rPr>
              <w:fldChar w:fldCharType="separate"/>
            </w:r>
            <w:r>
              <w:rPr>
                <w:noProof/>
                <w:webHidden/>
              </w:rPr>
              <w:t>7</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11" w:history="1">
            <w:r w:rsidRPr="00D05E72">
              <w:rPr>
                <w:rStyle w:val="Hyperlink"/>
                <w:noProof/>
                <w:lang w:eastAsia="en-AU"/>
              </w:rPr>
              <w:t>Submission details</w:t>
            </w:r>
            <w:r>
              <w:rPr>
                <w:noProof/>
                <w:webHidden/>
              </w:rPr>
              <w:tab/>
            </w:r>
            <w:r>
              <w:rPr>
                <w:noProof/>
                <w:webHidden/>
              </w:rPr>
              <w:fldChar w:fldCharType="begin"/>
            </w:r>
            <w:r>
              <w:rPr>
                <w:noProof/>
                <w:webHidden/>
              </w:rPr>
              <w:instrText xml:space="preserve"> PAGEREF _Toc55464711 \h </w:instrText>
            </w:r>
            <w:r>
              <w:rPr>
                <w:noProof/>
                <w:webHidden/>
              </w:rPr>
            </w:r>
            <w:r>
              <w:rPr>
                <w:noProof/>
                <w:webHidden/>
              </w:rPr>
              <w:fldChar w:fldCharType="separate"/>
            </w:r>
            <w:r>
              <w:rPr>
                <w:noProof/>
                <w:webHidden/>
              </w:rPr>
              <w:t>7</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12" w:history="1">
            <w:r w:rsidRPr="00D05E72">
              <w:rPr>
                <w:rStyle w:val="Hyperlink"/>
                <w:noProof/>
              </w:rPr>
              <w:t>Product background</w:t>
            </w:r>
            <w:r>
              <w:rPr>
                <w:noProof/>
                <w:webHidden/>
              </w:rPr>
              <w:tab/>
            </w:r>
            <w:r>
              <w:rPr>
                <w:noProof/>
                <w:webHidden/>
              </w:rPr>
              <w:fldChar w:fldCharType="begin"/>
            </w:r>
            <w:r>
              <w:rPr>
                <w:noProof/>
                <w:webHidden/>
              </w:rPr>
              <w:instrText xml:space="preserve"> PAGEREF _Toc55464712 \h </w:instrText>
            </w:r>
            <w:r>
              <w:rPr>
                <w:noProof/>
                <w:webHidden/>
              </w:rPr>
            </w:r>
            <w:r>
              <w:rPr>
                <w:noProof/>
                <w:webHidden/>
              </w:rPr>
              <w:fldChar w:fldCharType="separate"/>
            </w:r>
            <w:r>
              <w:rPr>
                <w:noProof/>
                <w:webHidden/>
              </w:rPr>
              <w:t>7</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13" w:history="1">
            <w:r w:rsidRPr="00D05E72">
              <w:rPr>
                <w:rStyle w:val="Hyperlink"/>
                <w:noProof/>
              </w:rPr>
              <w:t>Regulatory status</w:t>
            </w:r>
            <w:r>
              <w:rPr>
                <w:noProof/>
                <w:webHidden/>
              </w:rPr>
              <w:tab/>
            </w:r>
            <w:r>
              <w:rPr>
                <w:noProof/>
                <w:webHidden/>
              </w:rPr>
              <w:fldChar w:fldCharType="begin"/>
            </w:r>
            <w:r>
              <w:rPr>
                <w:noProof/>
                <w:webHidden/>
              </w:rPr>
              <w:instrText xml:space="preserve"> PAGEREF _Toc55464713 \h </w:instrText>
            </w:r>
            <w:r>
              <w:rPr>
                <w:noProof/>
                <w:webHidden/>
              </w:rPr>
            </w:r>
            <w:r>
              <w:rPr>
                <w:noProof/>
                <w:webHidden/>
              </w:rPr>
              <w:fldChar w:fldCharType="separate"/>
            </w:r>
            <w:r>
              <w:rPr>
                <w:noProof/>
                <w:webHidden/>
              </w:rPr>
              <w:t>8</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14" w:history="1">
            <w:r w:rsidRPr="00D05E72">
              <w:rPr>
                <w:rStyle w:val="Hyperlink"/>
                <w:noProof/>
              </w:rPr>
              <w:t>Product Information</w:t>
            </w:r>
            <w:r>
              <w:rPr>
                <w:noProof/>
                <w:webHidden/>
              </w:rPr>
              <w:tab/>
            </w:r>
            <w:r>
              <w:rPr>
                <w:noProof/>
                <w:webHidden/>
              </w:rPr>
              <w:fldChar w:fldCharType="begin"/>
            </w:r>
            <w:r>
              <w:rPr>
                <w:noProof/>
                <w:webHidden/>
              </w:rPr>
              <w:instrText xml:space="preserve"> PAGEREF _Toc55464714 \h </w:instrText>
            </w:r>
            <w:r>
              <w:rPr>
                <w:noProof/>
                <w:webHidden/>
              </w:rPr>
            </w:r>
            <w:r>
              <w:rPr>
                <w:noProof/>
                <w:webHidden/>
              </w:rPr>
              <w:fldChar w:fldCharType="separate"/>
            </w:r>
            <w:r>
              <w:rPr>
                <w:noProof/>
                <w:webHidden/>
              </w:rPr>
              <w:t>8</w:t>
            </w:r>
            <w:r>
              <w:rPr>
                <w:noProof/>
                <w:webHidden/>
              </w:rPr>
              <w:fldChar w:fldCharType="end"/>
            </w:r>
          </w:hyperlink>
        </w:p>
        <w:p w:rsidR="001A3D87" w:rsidRDefault="001A3D87">
          <w:pPr>
            <w:pStyle w:val="TOC2"/>
            <w:rPr>
              <w:rFonts w:asciiTheme="minorHAnsi" w:eastAsiaTheme="minorEastAsia" w:hAnsiTheme="minorHAnsi" w:cstheme="minorBidi"/>
              <w:b w:val="0"/>
              <w:noProof/>
              <w:sz w:val="22"/>
              <w:lang w:eastAsia="en-AU"/>
            </w:rPr>
          </w:pPr>
          <w:hyperlink w:anchor="_Toc55464715" w:history="1">
            <w:r w:rsidRPr="00D05E72">
              <w:rPr>
                <w:rStyle w:val="Hyperlink"/>
                <w:noProof/>
              </w:rPr>
              <w:t>This product is no longer registered on the Australian Register of Therapeutic Goods and therefore there is no Australian Product Information (PI) available.II. Quality findings</w:t>
            </w:r>
            <w:r>
              <w:rPr>
                <w:noProof/>
                <w:webHidden/>
              </w:rPr>
              <w:tab/>
            </w:r>
            <w:r>
              <w:rPr>
                <w:noProof/>
                <w:webHidden/>
              </w:rPr>
              <w:fldChar w:fldCharType="begin"/>
            </w:r>
            <w:r>
              <w:rPr>
                <w:noProof/>
                <w:webHidden/>
              </w:rPr>
              <w:instrText xml:space="preserve"> PAGEREF _Toc55464715 \h </w:instrText>
            </w:r>
            <w:r>
              <w:rPr>
                <w:noProof/>
                <w:webHidden/>
              </w:rPr>
            </w:r>
            <w:r>
              <w:rPr>
                <w:noProof/>
                <w:webHidden/>
              </w:rPr>
              <w:fldChar w:fldCharType="separate"/>
            </w:r>
            <w:r>
              <w:rPr>
                <w:noProof/>
                <w:webHidden/>
              </w:rPr>
              <w:t>8</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16" w:history="1">
            <w:r w:rsidRPr="00D05E72">
              <w:rPr>
                <w:rStyle w:val="Hyperlink"/>
                <w:noProof/>
              </w:rPr>
              <w:t>Introduction</w:t>
            </w:r>
            <w:r>
              <w:rPr>
                <w:noProof/>
                <w:webHidden/>
              </w:rPr>
              <w:tab/>
            </w:r>
            <w:r>
              <w:rPr>
                <w:noProof/>
                <w:webHidden/>
              </w:rPr>
              <w:fldChar w:fldCharType="begin"/>
            </w:r>
            <w:r>
              <w:rPr>
                <w:noProof/>
                <w:webHidden/>
              </w:rPr>
              <w:instrText xml:space="preserve"> PAGEREF _Toc55464716 \h </w:instrText>
            </w:r>
            <w:r>
              <w:rPr>
                <w:noProof/>
                <w:webHidden/>
              </w:rPr>
            </w:r>
            <w:r>
              <w:rPr>
                <w:noProof/>
                <w:webHidden/>
              </w:rPr>
              <w:fldChar w:fldCharType="separate"/>
            </w:r>
            <w:r>
              <w:rPr>
                <w:noProof/>
                <w:webHidden/>
              </w:rPr>
              <w:t>8</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17" w:history="1">
            <w:r w:rsidRPr="00D05E72">
              <w:rPr>
                <w:rStyle w:val="Hyperlink"/>
                <w:noProof/>
              </w:rPr>
              <w:t>Drug substance (active ingredient)</w:t>
            </w:r>
            <w:r>
              <w:rPr>
                <w:noProof/>
                <w:webHidden/>
              </w:rPr>
              <w:tab/>
            </w:r>
            <w:r>
              <w:rPr>
                <w:noProof/>
                <w:webHidden/>
              </w:rPr>
              <w:fldChar w:fldCharType="begin"/>
            </w:r>
            <w:r>
              <w:rPr>
                <w:noProof/>
                <w:webHidden/>
              </w:rPr>
              <w:instrText xml:space="preserve"> PAGEREF _Toc55464717 \h </w:instrText>
            </w:r>
            <w:r>
              <w:rPr>
                <w:noProof/>
                <w:webHidden/>
              </w:rPr>
            </w:r>
            <w:r>
              <w:rPr>
                <w:noProof/>
                <w:webHidden/>
              </w:rPr>
              <w:fldChar w:fldCharType="separate"/>
            </w:r>
            <w:r>
              <w:rPr>
                <w:noProof/>
                <w:webHidden/>
              </w:rPr>
              <w:t>8</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18" w:history="1">
            <w:r w:rsidRPr="00D05E72">
              <w:rPr>
                <w:rStyle w:val="Hyperlink"/>
                <w:noProof/>
              </w:rPr>
              <w:t>Drug product</w:t>
            </w:r>
            <w:r>
              <w:rPr>
                <w:noProof/>
                <w:webHidden/>
              </w:rPr>
              <w:tab/>
            </w:r>
            <w:r>
              <w:rPr>
                <w:noProof/>
                <w:webHidden/>
              </w:rPr>
              <w:fldChar w:fldCharType="begin"/>
            </w:r>
            <w:r>
              <w:rPr>
                <w:noProof/>
                <w:webHidden/>
              </w:rPr>
              <w:instrText xml:space="preserve"> PAGEREF _Toc55464718 \h </w:instrText>
            </w:r>
            <w:r>
              <w:rPr>
                <w:noProof/>
                <w:webHidden/>
              </w:rPr>
            </w:r>
            <w:r>
              <w:rPr>
                <w:noProof/>
                <w:webHidden/>
              </w:rPr>
              <w:fldChar w:fldCharType="separate"/>
            </w:r>
            <w:r>
              <w:rPr>
                <w:noProof/>
                <w:webHidden/>
              </w:rPr>
              <w:t>9</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19" w:history="1">
            <w:r w:rsidRPr="00D05E72">
              <w:rPr>
                <w:rStyle w:val="Hyperlink"/>
                <w:noProof/>
              </w:rPr>
              <w:t>Biopharmaceutics</w:t>
            </w:r>
            <w:r>
              <w:rPr>
                <w:noProof/>
                <w:webHidden/>
              </w:rPr>
              <w:tab/>
            </w:r>
            <w:r>
              <w:rPr>
                <w:noProof/>
                <w:webHidden/>
              </w:rPr>
              <w:fldChar w:fldCharType="begin"/>
            </w:r>
            <w:r>
              <w:rPr>
                <w:noProof/>
                <w:webHidden/>
              </w:rPr>
              <w:instrText xml:space="preserve"> PAGEREF _Toc55464719 \h </w:instrText>
            </w:r>
            <w:r>
              <w:rPr>
                <w:noProof/>
                <w:webHidden/>
              </w:rPr>
            </w:r>
            <w:r>
              <w:rPr>
                <w:noProof/>
                <w:webHidden/>
              </w:rPr>
              <w:fldChar w:fldCharType="separate"/>
            </w:r>
            <w:r>
              <w:rPr>
                <w:noProof/>
                <w:webHidden/>
              </w:rPr>
              <w:t>9</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20" w:history="1">
            <w:r w:rsidRPr="00D05E72">
              <w:rPr>
                <w:rStyle w:val="Hyperlink"/>
                <w:noProof/>
              </w:rPr>
              <w:t>Quality summary and conclusions</w:t>
            </w:r>
            <w:r>
              <w:rPr>
                <w:noProof/>
                <w:webHidden/>
              </w:rPr>
              <w:tab/>
            </w:r>
            <w:r>
              <w:rPr>
                <w:noProof/>
                <w:webHidden/>
              </w:rPr>
              <w:fldChar w:fldCharType="begin"/>
            </w:r>
            <w:r>
              <w:rPr>
                <w:noProof/>
                <w:webHidden/>
              </w:rPr>
              <w:instrText xml:space="preserve"> PAGEREF _Toc55464720 \h </w:instrText>
            </w:r>
            <w:r>
              <w:rPr>
                <w:noProof/>
                <w:webHidden/>
              </w:rPr>
            </w:r>
            <w:r>
              <w:rPr>
                <w:noProof/>
                <w:webHidden/>
              </w:rPr>
              <w:fldChar w:fldCharType="separate"/>
            </w:r>
            <w:r>
              <w:rPr>
                <w:noProof/>
                <w:webHidden/>
              </w:rPr>
              <w:t>9</w:t>
            </w:r>
            <w:r>
              <w:rPr>
                <w:noProof/>
                <w:webHidden/>
              </w:rPr>
              <w:fldChar w:fldCharType="end"/>
            </w:r>
          </w:hyperlink>
        </w:p>
        <w:p w:rsidR="001A3D87" w:rsidRDefault="001A3D87">
          <w:pPr>
            <w:pStyle w:val="TOC2"/>
            <w:rPr>
              <w:rFonts w:asciiTheme="minorHAnsi" w:eastAsiaTheme="minorEastAsia" w:hAnsiTheme="minorHAnsi" w:cstheme="minorBidi"/>
              <w:b w:val="0"/>
              <w:noProof/>
              <w:sz w:val="22"/>
              <w:lang w:eastAsia="en-AU"/>
            </w:rPr>
          </w:pPr>
          <w:hyperlink w:anchor="_Toc55464721" w:history="1">
            <w:r w:rsidRPr="00D05E72">
              <w:rPr>
                <w:rStyle w:val="Hyperlink"/>
                <w:noProof/>
              </w:rPr>
              <w:t>III. Nonclinical findings</w:t>
            </w:r>
            <w:r>
              <w:rPr>
                <w:noProof/>
                <w:webHidden/>
              </w:rPr>
              <w:tab/>
            </w:r>
            <w:r>
              <w:rPr>
                <w:noProof/>
                <w:webHidden/>
              </w:rPr>
              <w:fldChar w:fldCharType="begin"/>
            </w:r>
            <w:r>
              <w:rPr>
                <w:noProof/>
                <w:webHidden/>
              </w:rPr>
              <w:instrText xml:space="preserve"> PAGEREF _Toc55464721 \h </w:instrText>
            </w:r>
            <w:r>
              <w:rPr>
                <w:noProof/>
                <w:webHidden/>
              </w:rPr>
            </w:r>
            <w:r>
              <w:rPr>
                <w:noProof/>
                <w:webHidden/>
              </w:rPr>
              <w:fldChar w:fldCharType="separate"/>
            </w:r>
            <w:r>
              <w:rPr>
                <w:noProof/>
                <w:webHidden/>
              </w:rPr>
              <w:t>9</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22" w:history="1">
            <w:r w:rsidRPr="00D05E72">
              <w:rPr>
                <w:rStyle w:val="Hyperlink"/>
                <w:noProof/>
              </w:rPr>
              <w:t>Introduction</w:t>
            </w:r>
            <w:r>
              <w:rPr>
                <w:noProof/>
                <w:webHidden/>
              </w:rPr>
              <w:tab/>
            </w:r>
            <w:r>
              <w:rPr>
                <w:noProof/>
                <w:webHidden/>
              </w:rPr>
              <w:fldChar w:fldCharType="begin"/>
            </w:r>
            <w:r>
              <w:rPr>
                <w:noProof/>
                <w:webHidden/>
              </w:rPr>
              <w:instrText xml:space="preserve"> PAGEREF _Toc55464722 \h </w:instrText>
            </w:r>
            <w:r>
              <w:rPr>
                <w:noProof/>
                <w:webHidden/>
              </w:rPr>
            </w:r>
            <w:r>
              <w:rPr>
                <w:noProof/>
                <w:webHidden/>
              </w:rPr>
              <w:fldChar w:fldCharType="separate"/>
            </w:r>
            <w:r>
              <w:rPr>
                <w:noProof/>
                <w:webHidden/>
              </w:rPr>
              <w:t>9</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23" w:history="1">
            <w:r w:rsidRPr="00D05E72">
              <w:rPr>
                <w:rStyle w:val="Hyperlink"/>
                <w:noProof/>
              </w:rPr>
              <w:t>Pharmacology</w:t>
            </w:r>
            <w:r>
              <w:rPr>
                <w:noProof/>
                <w:webHidden/>
              </w:rPr>
              <w:tab/>
            </w:r>
            <w:r>
              <w:rPr>
                <w:noProof/>
                <w:webHidden/>
              </w:rPr>
              <w:fldChar w:fldCharType="begin"/>
            </w:r>
            <w:r>
              <w:rPr>
                <w:noProof/>
                <w:webHidden/>
              </w:rPr>
              <w:instrText xml:space="preserve"> PAGEREF _Toc55464723 \h </w:instrText>
            </w:r>
            <w:r>
              <w:rPr>
                <w:noProof/>
                <w:webHidden/>
              </w:rPr>
            </w:r>
            <w:r>
              <w:rPr>
                <w:noProof/>
                <w:webHidden/>
              </w:rPr>
              <w:fldChar w:fldCharType="separate"/>
            </w:r>
            <w:r>
              <w:rPr>
                <w:noProof/>
                <w:webHidden/>
              </w:rPr>
              <w:t>9</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24" w:history="1">
            <w:r w:rsidRPr="00D05E72">
              <w:rPr>
                <w:rStyle w:val="Hyperlink"/>
                <w:noProof/>
              </w:rPr>
              <w:t>Pharmacokinetics</w:t>
            </w:r>
            <w:r>
              <w:rPr>
                <w:noProof/>
                <w:webHidden/>
              </w:rPr>
              <w:tab/>
            </w:r>
            <w:r>
              <w:rPr>
                <w:noProof/>
                <w:webHidden/>
              </w:rPr>
              <w:fldChar w:fldCharType="begin"/>
            </w:r>
            <w:r>
              <w:rPr>
                <w:noProof/>
                <w:webHidden/>
              </w:rPr>
              <w:instrText xml:space="preserve"> PAGEREF _Toc55464724 \h </w:instrText>
            </w:r>
            <w:r>
              <w:rPr>
                <w:noProof/>
                <w:webHidden/>
              </w:rPr>
            </w:r>
            <w:r>
              <w:rPr>
                <w:noProof/>
                <w:webHidden/>
              </w:rPr>
              <w:fldChar w:fldCharType="separate"/>
            </w:r>
            <w:r>
              <w:rPr>
                <w:noProof/>
                <w:webHidden/>
              </w:rPr>
              <w:t>10</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25" w:history="1">
            <w:r w:rsidRPr="00D05E72">
              <w:rPr>
                <w:rStyle w:val="Hyperlink"/>
                <w:noProof/>
              </w:rPr>
              <w:t>Toxicology</w:t>
            </w:r>
            <w:r>
              <w:rPr>
                <w:noProof/>
                <w:webHidden/>
              </w:rPr>
              <w:tab/>
            </w:r>
            <w:r>
              <w:rPr>
                <w:noProof/>
                <w:webHidden/>
              </w:rPr>
              <w:fldChar w:fldCharType="begin"/>
            </w:r>
            <w:r>
              <w:rPr>
                <w:noProof/>
                <w:webHidden/>
              </w:rPr>
              <w:instrText xml:space="preserve"> PAGEREF _Toc55464725 \h </w:instrText>
            </w:r>
            <w:r>
              <w:rPr>
                <w:noProof/>
                <w:webHidden/>
              </w:rPr>
            </w:r>
            <w:r>
              <w:rPr>
                <w:noProof/>
                <w:webHidden/>
              </w:rPr>
              <w:fldChar w:fldCharType="separate"/>
            </w:r>
            <w:r>
              <w:rPr>
                <w:noProof/>
                <w:webHidden/>
              </w:rPr>
              <w:t>11</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26" w:history="1">
            <w:r w:rsidRPr="00D05E72">
              <w:rPr>
                <w:rStyle w:val="Hyperlink"/>
                <w:noProof/>
              </w:rPr>
              <w:t>Nonclinical summary and conclusions</w:t>
            </w:r>
            <w:r>
              <w:rPr>
                <w:noProof/>
                <w:webHidden/>
              </w:rPr>
              <w:tab/>
            </w:r>
            <w:r>
              <w:rPr>
                <w:noProof/>
                <w:webHidden/>
              </w:rPr>
              <w:fldChar w:fldCharType="begin"/>
            </w:r>
            <w:r>
              <w:rPr>
                <w:noProof/>
                <w:webHidden/>
              </w:rPr>
              <w:instrText xml:space="preserve"> PAGEREF _Toc55464726 \h </w:instrText>
            </w:r>
            <w:r>
              <w:rPr>
                <w:noProof/>
                <w:webHidden/>
              </w:rPr>
            </w:r>
            <w:r>
              <w:rPr>
                <w:noProof/>
                <w:webHidden/>
              </w:rPr>
              <w:fldChar w:fldCharType="separate"/>
            </w:r>
            <w:r>
              <w:rPr>
                <w:noProof/>
                <w:webHidden/>
              </w:rPr>
              <w:t>11</w:t>
            </w:r>
            <w:r>
              <w:rPr>
                <w:noProof/>
                <w:webHidden/>
              </w:rPr>
              <w:fldChar w:fldCharType="end"/>
            </w:r>
          </w:hyperlink>
        </w:p>
        <w:p w:rsidR="001A3D87" w:rsidRDefault="001A3D87">
          <w:pPr>
            <w:pStyle w:val="TOC2"/>
            <w:rPr>
              <w:rFonts w:asciiTheme="minorHAnsi" w:eastAsiaTheme="minorEastAsia" w:hAnsiTheme="minorHAnsi" w:cstheme="minorBidi"/>
              <w:b w:val="0"/>
              <w:noProof/>
              <w:sz w:val="22"/>
              <w:lang w:eastAsia="en-AU"/>
            </w:rPr>
          </w:pPr>
          <w:hyperlink w:anchor="_Toc55464727" w:history="1">
            <w:r w:rsidRPr="00D05E72">
              <w:rPr>
                <w:rStyle w:val="Hyperlink"/>
                <w:noProof/>
              </w:rPr>
              <w:t>IV. Clinical findings</w:t>
            </w:r>
            <w:r>
              <w:rPr>
                <w:noProof/>
                <w:webHidden/>
              </w:rPr>
              <w:tab/>
            </w:r>
            <w:r>
              <w:rPr>
                <w:noProof/>
                <w:webHidden/>
              </w:rPr>
              <w:fldChar w:fldCharType="begin"/>
            </w:r>
            <w:r>
              <w:rPr>
                <w:noProof/>
                <w:webHidden/>
              </w:rPr>
              <w:instrText xml:space="preserve"> PAGEREF _Toc55464727 \h </w:instrText>
            </w:r>
            <w:r>
              <w:rPr>
                <w:noProof/>
                <w:webHidden/>
              </w:rPr>
            </w:r>
            <w:r>
              <w:rPr>
                <w:noProof/>
                <w:webHidden/>
              </w:rPr>
              <w:fldChar w:fldCharType="separate"/>
            </w:r>
            <w:r>
              <w:rPr>
                <w:noProof/>
                <w:webHidden/>
              </w:rPr>
              <w:t>12</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28" w:history="1">
            <w:r w:rsidRPr="00D05E72">
              <w:rPr>
                <w:rStyle w:val="Hyperlink"/>
                <w:noProof/>
              </w:rPr>
              <w:t>Introduction</w:t>
            </w:r>
            <w:r>
              <w:rPr>
                <w:noProof/>
                <w:webHidden/>
              </w:rPr>
              <w:tab/>
            </w:r>
            <w:r>
              <w:rPr>
                <w:noProof/>
                <w:webHidden/>
              </w:rPr>
              <w:fldChar w:fldCharType="begin"/>
            </w:r>
            <w:r>
              <w:rPr>
                <w:noProof/>
                <w:webHidden/>
              </w:rPr>
              <w:instrText xml:space="preserve"> PAGEREF _Toc55464728 \h </w:instrText>
            </w:r>
            <w:r>
              <w:rPr>
                <w:noProof/>
                <w:webHidden/>
              </w:rPr>
            </w:r>
            <w:r>
              <w:rPr>
                <w:noProof/>
                <w:webHidden/>
              </w:rPr>
              <w:fldChar w:fldCharType="separate"/>
            </w:r>
            <w:r>
              <w:rPr>
                <w:noProof/>
                <w:webHidden/>
              </w:rPr>
              <w:t>12</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29" w:history="1">
            <w:r w:rsidRPr="00D05E72">
              <w:rPr>
                <w:rStyle w:val="Hyperlink"/>
                <w:noProof/>
              </w:rPr>
              <w:t>Pharmacokinetics</w:t>
            </w:r>
            <w:r>
              <w:rPr>
                <w:noProof/>
                <w:webHidden/>
              </w:rPr>
              <w:tab/>
            </w:r>
            <w:r>
              <w:rPr>
                <w:noProof/>
                <w:webHidden/>
              </w:rPr>
              <w:fldChar w:fldCharType="begin"/>
            </w:r>
            <w:r>
              <w:rPr>
                <w:noProof/>
                <w:webHidden/>
              </w:rPr>
              <w:instrText xml:space="preserve"> PAGEREF _Toc55464729 \h </w:instrText>
            </w:r>
            <w:r>
              <w:rPr>
                <w:noProof/>
                <w:webHidden/>
              </w:rPr>
            </w:r>
            <w:r>
              <w:rPr>
                <w:noProof/>
                <w:webHidden/>
              </w:rPr>
              <w:fldChar w:fldCharType="separate"/>
            </w:r>
            <w:r>
              <w:rPr>
                <w:noProof/>
                <w:webHidden/>
              </w:rPr>
              <w:t>13</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30" w:history="1">
            <w:r w:rsidRPr="00D05E72">
              <w:rPr>
                <w:rStyle w:val="Hyperlink"/>
                <w:noProof/>
              </w:rPr>
              <w:t>Pharmacodynamics</w:t>
            </w:r>
            <w:r>
              <w:rPr>
                <w:noProof/>
                <w:webHidden/>
              </w:rPr>
              <w:tab/>
            </w:r>
            <w:r>
              <w:rPr>
                <w:noProof/>
                <w:webHidden/>
              </w:rPr>
              <w:fldChar w:fldCharType="begin"/>
            </w:r>
            <w:r>
              <w:rPr>
                <w:noProof/>
                <w:webHidden/>
              </w:rPr>
              <w:instrText xml:space="preserve"> PAGEREF _Toc55464730 \h </w:instrText>
            </w:r>
            <w:r>
              <w:rPr>
                <w:noProof/>
                <w:webHidden/>
              </w:rPr>
            </w:r>
            <w:r>
              <w:rPr>
                <w:noProof/>
                <w:webHidden/>
              </w:rPr>
              <w:fldChar w:fldCharType="separate"/>
            </w:r>
            <w:r>
              <w:rPr>
                <w:noProof/>
                <w:webHidden/>
              </w:rPr>
              <w:t>13</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31" w:history="1">
            <w:r w:rsidRPr="00D05E72">
              <w:rPr>
                <w:rStyle w:val="Hyperlink"/>
                <w:noProof/>
              </w:rPr>
              <w:t>Dosage selection for the pivotal studies</w:t>
            </w:r>
            <w:r>
              <w:rPr>
                <w:noProof/>
                <w:webHidden/>
              </w:rPr>
              <w:tab/>
            </w:r>
            <w:r>
              <w:rPr>
                <w:noProof/>
                <w:webHidden/>
              </w:rPr>
              <w:fldChar w:fldCharType="begin"/>
            </w:r>
            <w:r>
              <w:rPr>
                <w:noProof/>
                <w:webHidden/>
              </w:rPr>
              <w:instrText xml:space="preserve"> PAGEREF _Toc55464731 \h </w:instrText>
            </w:r>
            <w:r>
              <w:rPr>
                <w:noProof/>
                <w:webHidden/>
              </w:rPr>
            </w:r>
            <w:r>
              <w:rPr>
                <w:noProof/>
                <w:webHidden/>
              </w:rPr>
              <w:fldChar w:fldCharType="separate"/>
            </w:r>
            <w:r>
              <w:rPr>
                <w:noProof/>
                <w:webHidden/>
              </w:rPr>
              <w:t>14</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32" w:history="1">
            <w:r w:rsidRPr="00D05E72">
              <w:rPr>
                <w:rStyle w:val="Hyperlink"/>
                <w:noProof/>
              </w:rPr>
              <w:t>Efficacy</w:t>
            </w:r>
            <w:r>
              <w:rPr>
                <w:noProof/>
                <w:webHidden/>
              </w:rPr>
              <w:tab/>
            </w:r>
            <w:r>
              <w:rPr>
                <w:noProof/>
                <w:webHidden/>
              </w:rPr>
              <w:fldChar w:fldCharType="begin"/>
            </w:r>
            <w:r>
              <w:rPr>
                <w:noProof/>
                <w:webHidden/>
              </w:rPr>
              <w:instrText xml:space="preserve"> PAGEREF _Toc55464732 \h </w:instrText>
            </w:r>
            <w:r>
              <w:rPr>
                <w:noProof/>
                <w:webHidden/>
              </w:rPr>
            </w:r>
            <w:r>
              <w:rPr>
                <w:noProof/>
                <w:webHidden/>
              </w:rPr>
              <w:fldChar w:fldCharType="separate"/>
            </w:r>
            <w:r>
              <w:rPr>
                <w:noProof/>
                <w:webHidden/>
              </w:rPr>
              <w:t>14</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33" w:history="1">
            <w:r w:rsidRPr="00D05E72">
              <w:rPr>
                <w:rStyle w:val="Hyperlink"/>
                <w:noProof/>
              </w:rPr>
              <w:t>Safety</w:t>
            </w:r>
            <w:r>
              <w:rPr>
                <w:noProof/>
                <w:webHidden/>
              </w:rPr>
              <w:tab/>
            </w:r>
            <w:r>
              <w:rPr>
                <w:noProof/>
                <w:webHidden/>
              </w:rPr>
              <w:fldChar w:fldCharType="begin"/>
            </w:r>
            <w:r>
              <w:rPr>
                <w:noProof/>
                <w:webHidden/>
              </w:rPr>
              <w:instrText xml:space="preserve"> PAGEREF _Toc55464733 \h </w:instrText>
            </w:r>
            <w:r>
              <w:rPr>
                <w:noProof/>
                <w:webHidden/>
              </w:rPr>
            </w:r>
            <w:r>
              <w:rPr>
                <w:noProof/>
                <w:webHidden/>
              </w:rPr>
              <w:fldChar w:fldCharType="separate"/>
            </w:r>
            <w:r>
              <w:rPr>
                <w:noProof/>
                <w:webHidden/>
              </w:rPr>
              <w:t>16</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34" w:history="1">
            <w:r w:rsidRPr="00D05E72">
              <w:rPr>
                <w:rStyle w:val="Hyperlink"/>
                <w:noProof/>
              </w:rPr>
              <w:t>First round recommendation regarding authorisation</w:t>
            </w:r>
            <w:r>
              <w:rPr>
                <w:noProof/>
                <w:webHidden/>
              </w:rPr>
              <w:tab/>
            </w:r>
            <w:r>
              <w:rPr>
                <w:noProof/>
                <w:webHidden/>
              </w:rPr>
              <w:fldChar w:fldCharType="begin"/>
            </w:r>
            <w:r>
              <w:rPr>
                <w:noProof/>
                <w:webHidden/>
              </w:rPr>
              <w:instrText xml:space="preserve"> PAGEREF _Toc55464734 \h </w:instrText>
            </w:r>
            <w:r>
              <w:rPr>
                <w:noProof/>
                <w:webHidden/>
              </w:rPr>
            </w:r>
            <w:r>
              <w:rPr>
                <w:noProof/>
                <w:webHidden/>
              </w:rPr>
              <w:fldChar w:fldCharType="separate"/>
            </w:r>
            <w:r>
              <w:rPr>
                <w:noProof/>
                <w:webHidden/>
              </w:rPr>
              <w:t>22</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35" w:history="1">
            <w:r w:rsidRPr="00D05E72">
              <w:rPr>
                <w:rStyle w:val="Hyperlink"/>
                <w:noProof/>
              </w:rPr>
              <w:t>Clinical Questions</w:t>
            </w:r>
            <w:r>
              <w:rPr>
                <w:noProof/>
                <w:webHidden/>
              </w:rPr>
              <w:tab/>
            </w:r>
            <w:r>
              <w:rPr>
                <w:noProof/>
                <w:webHidden/>
              </w:rPr>
              <w:fldChar w:fldCharType="begin"/>
            </w:r>
            <w:r>
              <w:rPr>
                <w:noProof/>
                <w:webHidden/>
              </w:rPr>
              <w:instrText xml:space="preserve"> PAGEREF _Toc55464735 \h </w:instrText>
            </w:r>
            <w:r>
              <w:rPr>
                <w:noProof/>
                <w:webHidden/>
              </w:rPr>
            </w:r>
            <w:r>
              <w:rPr>
                <w:noProof/>
                <w:webHidden/>
              </w:rPr>
              <w:fldChar w:fldCharType="separate"/>
            </w:r>
            <w:r>
              <w:rPr>
                <w:noProof/>
                <w:webHidden/>
              </w:rPr>
              <w:t>23</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36" w:history="1">
            <w:r w:rsidRPr="00D05E72">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_Toc55464736 \h </w:instrText>
            </w:r>
            <w:r>
              <w:rPr>
                <w:noProof/>
                <w:webHidden/>
              </w:rPr>
            </w:r>
            <w:r>
              <w:rPr>
                <w:noProof/>
                <w:webHidden/>
              </w:rPr>
              <w:fldChar w:fldCharType="separate"/>
            </w:r>
            <w:r>
              <w:rPr>
                <w:noProof/>
                <w:webHidden/>
              </w:rPr>
              <w:t>24</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37" w:history="1">
            <w:r w:rsidRPr="00D05E72">
              <w:rPr>
                <w:rStyle w:val="Hyperlink"/>
                <w:noProof/>
              </w:rPr>
              <w:t>Second round recommendation regarding authorisation</w:t>
            </w:r>
            <w:r>
              <w:rPr>
                <w:noProof/>
                <w:webHidden/>
              </w:rPr>
              <w:tab/>
            </w:r>
            <w:r>
              <w:rPr>
                <w:noProof/>
                <w:webHidden/>
              </w:rPr>
              <w:fldChar w:fldCharType="begin"/>
            </w:r>
            <w:r>
              <w:rPr>
                <w:noProof/>
                <w:webHidden/>
              </w:rPr>
              <w:instrText xml:space="preserve"> PAGEREF _Toc55464737 \h </w:instrText>
            </w:r>
            <w:r>
              <w:rPr>
                <w:noProof/>
                <w:webHidden/>
              </w:rPr>
            </w:r>
            <w:r>
              <w:rPr>
                <w:noProof/>
                <w:webHidden/>
              </w:rPr>
              <w:fldChar w:fldCharType="separate"/>
            </w:r>
            <w:r>
              <w:rPr>
                <w:noProof/>
                <w:webHidden/>
              </w:rPr>
              <w:t>34</w:t>
            </w:r>
            <w:r>
              <w:rPr>
                <w:noProof/>
                <w:webHidden/>
              </w:rPr>
              <w:fldChar w:fldCharType="end"/>
            </w:r>
          </w:hyperlink>
        </w:p>
        <w:p w:rsidR="001A3D87" w:rsidRDefault="001A3D87">
          <w:pPr>
            <w:pStyle w:val="TOC2"/>
            <w:rPr>
              <w:rFonts w:asciiTheme="minorHAnsi" w:eastAsiaTheme="minorEastAsia" w:hAnsiTheme="minorHAnsi" w:cstheme="minorBidi"/>
              <w:b w:val="0"/>
              <w:noProof/>
              <w:sz w:val="22"/>
              <w:lang w:eastAsia="en-AU"/>
            </w:rPr>
          </w:pPr>
          <w:hyperlink w:anchor="_Toc55464738" w:history="1">
            <w:r w:rsidRPr="00D05E72">
              <w:rPr>
                <w:rStyle w:val="Hyperlink"/>
                <w:noProof/>
              </w:rPr>
              <w:t>V. Pharmacovigilance findings</w:t>
            </w:r>
            <w:r>
              <w:rPr>
                <w:noProof/>
                <w:webHidden/>
              </w:rPr>
              <w:tab/>
            </w:r>
            <w:r>
              <w:rPr>
                <w:noProof/>
                <w:webHidden/>
              </w:rPr>
              <w:fldChar w:fldCharType="begin"/>
            </w:r>
            <w:r>
              <w:rPr>
                <w:noProof/>
                <w:webHidden/>
              </w:rPr>
              <w:instrText xml:space="preserve"> PAGEREF _Toc55464738 \h </w:instrText>
            </w:r>
            <w:r>
              <w:rPr>
                <w:noProof/>
                <w:webHidden/>
              </w:rPr>
            </w:r>
            <w:r>
              <w:rPr>
                <w:noProof/>
                <w:webHidden/>
              </w:rPr>
              <w:fldChar w:fldCharType="separate"/>
            </w:r>
            <w:r>
              <w:rPr>
                <w:noProof/>
                <w:webHidden/>
              </w:rPr>
              <w:t>34</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39" w:history="1">
            <w:r w:rsidRPr="00D05E72">
              <w:rPr>
                <w:rStyle w:val="Hyperlink"/>
                <w:noProof/>
                <w:lang w:eastAsia="en-AU"/>
              </w:rPr>
              <w:t>Risk management plan</w:t>
            </w:r>
            <w:r>
              <w:rPr>
                <w:noProof/>
                <w:webHidden/>
              </w:rPr>
              <w:tab/>
            </w:r>
            <w:r>
              <w:rPr>
                <w:noProof/>
                <w:webHidden/>
              </w:rPr>
              <w:fldChar w:fldCharType="begin"/>
            </w:r>
            <w:r>
              <w:rPr>
                <w:noProof/>
                <w:webHidden/>
              </w:rPr>
              <w:instrText xml:space="preserve"> PAGEREF _Toc55464739 \h </w:instrText>
            </w:r>
            <w:r>
              <w:rPr>
                <w:noProof/>
                <w:webHidden/>
              </w:rPr>
            </w:r>
            <w:r>
              <w:rPr>
                <w:noProof/>
                <w:webHidden/>
              </w:rPr>
              <w:fldChar w:fldCharType="separate"/>
            </w:r>
            <w:r>
              <w:rPr>
                <w:noProof/>
                <w:webHidden/>
              </w:rPr>
              <w:t>34</w:t>
            </w:r>
            <w:r>
              <w:rPr>
                <w:noProof/>
                <w:webHidden/>
              </w:rPr>
              <w:fldChar w:fldCharType="end"/>
            </w:r>
          </w:hyperlink>
        </w:p>
        <w:p w:rsidR="001A3D87" w:rsidRDefault="001A3D87">
          <w:pPr>
            <w:pStyle w:val="TOC2"/>
            <w:rPr>
              <w:rFonts w:asciiTheme="minorHAnsi" w:eastAsiaTheme="minorEastAsia" w:hAnsiTheme="minorHAnsi" w:cstheme="minorBidi"/>
              <w:b w:val="0"/>
              <w:noProof/>
              <w:sz w:val="22"/>
              <w:lang w:eastAsia="en-AU"/>
            </w:rPr>
          </w:pPr>
          <w:hyperlink w:anchor="_Toc55464740" w:history="1">
            <w:r w:rsidRPr="00D05E72">
              <w:rPr>
                <w:rStyle w:val="Hyperlink"/>
                <w:noProof/>
              </w:rPr>
              <w:t>VI. Overall conclusion and risk/benefit assessment</w:t>
            </w:r>
            <w:r>
              <w:rPr>
                <w:noProof/>
                <w:webHidden/>
              </w:rPr>
              <w:tab/>
            </w:r>
            <w:r>
              <w:rPr>
                <w:noProof/>
                <w:webHidden/>
              </w:rPr>
              <w:fldChar w:fldCharType="begin"/>
            </w:r>
            <w:r>
              <w:rPr>
                <w:noProof/>
                <w:webHidden/>
              </w:rPr>
              <w:instrText xml:space="preserve"> PAGEREF _Toc55464740 \h </w:instrText>
            </w:r>
            <w:r>
              <w:rPr>
                <w:noProof/>
                <w:webHidden/>
              </w:rPr>
            </w:r>
            <w:r>
              <w:rPr>
                <w:noProof/>
                <w:webHidden/>
              </w:rPr>
              <w:fldChar w:fldCharType="separate"/>
            </w:r>
            <w:r>
              <w:rPr>
                <w:noProof/>
                <w:webHidden/>
              </w:rPr>
              <w:t>39</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41" w:history="1">
            <w:r w:rsidRPr="00D05E72">
              <w:rPr>
                <w:rStyle w:val="Hyperlink"/>
                <w:noProof/>
              </w:rPr>
              <w:t>Quality</w:t>
            </w:r>
            <w:r>
              <w:rPr>
                <w:noProof/>
                <w:webHidden/>
              </w:rPr>
              <w:tab/>
            </w:r>
            <w:r>
              <w:rPr>
                <w:noProof/>
                <w:webHidden/>
              </w:rPr>
              <w:fldChar w:fldCharType="begin"/>
            </w:r>
            <w:r>
              <w:rPr>
                <w:noProof/>
                <w:webHidden/>
              </w:rPr>
              <w:instrText xml:space="preserve"> PAGEREF _Toc55464741 \h </w:instrText>
            </w:r>
            <w:r>
              <w:rPr>
                <w:noProof/>
                <w:webHidden/>
              </w:rPr>
            </w:r>
            <w:r>
              <w:rPr>
                <w:noProof/>
                <w:webHidden/>
              </w:rPr>
              <w:fldChar w:fldCharType="separate"/>
            </w:r>
            <w:r>
              <w:rPr>
                <w:noProof/>
                <w:webHidden/>
              </w:rPr>
              <w:t>39</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42" w:history="1">
            <w:r w:rsidRPr="00D05E72">
              <w:rPr>
                <w:rStyle w:val="Hyperlink"/>
                <w:noProof/>
              </w:rPr>
              <w:t>Nonclinical</w:t>
            </w:r>
            <w:r>
              <w:rPr>
                <w:noProof/>
                <w:webHidden/>
              </w:rPr>
              <w:tab/>
            </w:r>
            <w:r>
              <w:rPr>
                <w:noProof/>
                <w:webHidden/>
              </w:rPr>
              <w:fldChar w:fldCharType="begin"/>
            </w:r>
            <w:r>
              <w:rPr>
                <w:noProof/>
                <w:webHidden/>
              </w:rPr>
              <w:instrText xml:space="preserve"> PAGEREF _Toc55464742 \h </w:instrText>
            </w:r>
            <w:r>
              <w:rPr>
                <w:noProof/>
                <w:webHidden/>
              </w:rPr>
            </w:r>
            <w:r>
              <w:rPr>
                <w:noProof/>
                <w:webHidden/>
              </w:rPr>
              <w:fldChar w:fldCharType="separate"/>
            </w:r>
            <w:r>
              <w:rPr>
                <w:noProof/>
                <w:webHidden/>
              </w:rPr>
              <w:t>39</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43" w:history="1">
            <w:r w:rsidRPr="00D05E72">
              <w:rPr>
                <w:rStyle w:val="Hyperlink"/>
                <w:noProof/>
              </w:rPr>
              <w:t>Clinical</w:t>
            </w:r>
            <w:r>
              <w:rPr>
                <w:noProof/>
                <w:webHidden/>
              </w:rPr>
              <w:tab/>
            </w:r>
            <w:r>
              <w:rPr>
                <w:noProof/>
                <w:webHidden/>
              </w:rPr>
              <w:fldChar w:fldCharType="begin"/>
            </w:r>
            <w:r>
              <w:rPr>
                <w:noProof/>
                <w:webHidden/>
              </w:rPr>
              <w:instrText xml:space="preserve"> PAGEREF _Toc55464743 \h </w:instrText>
            </w:r>
            <w:r>
              <w:rPr>
                <w:noProof/>
                <w:webHidden/>
              </w:rPr>
            </w:r>
            <w:r>
              <w:rPr>
                <w:noProof/>
                <w:webHidden/>
              </w:rPr>
              <w:fldChar w:fldCharType="separate"/>
            </w:r>
            <w:r>
              <w:rPr>
                <w:noProof/>
                <w:webHidden/>
              </w:rPr>
              <w:t>40</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44" w:history="1">
            <w:r w:rsidRPr="00D05E72">
              <w:rPr>
                <w:rStyle w:val="Hyperlink"/>
                <w:noProof/>
                <w:lang w:eastAsia="en-AU"/>
              </w:rPr>
              <w:t>Risk management plan</w:t>
            </w:r>
            <w:r>
              <w:rPr>
                <w:noProof/>
                <w:webHidden/>
              </w:rPr>
              <w:tab/>
            </w:r>
            <w:r>
              <w:rPr>
                <w:noProof/>
                <w:webHidden/>
              </w:rPr>
              <w:fldChar w:fldCharType="begin"/>
            </w:r>
            <w:r>
              <w:rPr>
                <w:noProof/>
                <w:webHidden/>
              </w:rPr>
              <w:instrText xml:space="preserve"> PAGEREF _Toc55464744 \h </w:instrText>
            </w:r>
            <w:r>
              <w:rPr>
                <w:noProof/>
                <w:webHidden/>
              </w:rPr>
            </w:r>
            <w:r>
              <w:rPr>
                <w:noProof/>
                <w:webHidden/>
              </w:rPr>
              <w:fldChar w:fldCharType="separate"/>
            </w:r>
            <w:r>
              <w:rPr>
                <w:noProof/>
                <w:webHidden/>
              </w:rPr>
              <w:t>47</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45" w:history="1">
            <w:r w:rsidRPr="00D05E72">
              <w:rPr>
                <w:rStyle w:val="Hyperlink"/>
                <w:noProof/>
              </w:rPr>
              <w:t>Risk-benefit analysis</w:t>
            </w:r>
            <w:r>
              <w:rPr>
                <w:noProof/>
                <w:webHidden/>
              </w:rPr>
              <w:tab/>
            </w:r>
            <w:r>
              <w:rPr>
                <w:noProof/>
                <w:webHidden/>
              </w:rPr>
              <w:fldChar w:fldCharType="begin"/>
            </w:r>
            <w:r>
              <w:rPr>
                <w:noProof/>
                <w:webHidden/>
              </w:rPr>
              <w:instrText xml:space="preserve"> PAGEREF _Toc55464745 \h </w:instrText>
            </w:r>
            <w:r>
              <w:rPr>
                <w:noProof/>
                <w:webHidden/>
              </w:rPr>
            </w:r>
            <w:r>
              <w:rPr>
                <w:noProof/>
                <w:webHidden/>
              </w:rPr>
              <w:fldChar w:fldCharType="separate"/>
            </w:r>
            <w:r>
              <w:rPr>
                <w:noProof/>
                <w:webHidden/>
              </w:rPr>
              <w:t>47</w:t>
            </w:r>
            <w:r>
              <w:rPr>
                <w:noProof/>
                <w:webHidden/>
              </w:rPr>
              <w:fldChar w:fldCharType="end"/>
            </w:r>
          </w:hyperlink>
        </w:p>
        <w:p w:rsidR="001A3D87" w:rsidRDefault="001A3D87">
          <w:pPr>
            <w:pStyle w:val="TOC3"/>
            <w:rPr>
              <w:rFonts w:asciiTheme="minorHAnsi" w:eastAsiaTheme="minorEastAsia" w:hAnsiTheme="minorHAnsi" w:cstheme="minorBidi"/>
              <w:noProof/>
              <w:lang w:eastAsia="en-AU"/>
            </w:rPr>
          </w:pPr>
          <w:hyperlink w:anchor="_Toc55464746" w:history="1">
            <w:r w:rsidRPr="00D05E72">
              <w:rPr>
                <w:rStyle w:val="Hyperlink"/>
                <w:noProof/>
              </w:rPr>
              <w:t>Initial outcome</w:t>
            </w:r>
            <w:r>
              <w:rPr>
                <w:noProof/>
                <w:webHidden/>
              </w:rPr>
              <w:tab/>
            </w:r>
            <w:r>
              <w:rPr>
                <w:noProof/>
                <w:webHidden/>
              </w:rPr>
              <w:fldChar w:fldCharType="begin"/>
            </w:r>
            <w:r>
              <w:rPr>
                <w:noProof/>
                <w:webHidden/>
              </w:rPr>
              <w:instrText xml:space="preserve"> PAGEREF _Toc55464746 \h </w:instrText>
            </w:r>
            <w:r>
              <w:rPr>
                <w:noProof/>
                <w:webHidden/>
              </w:rPr>
            </w:r>
            <w:r>
              <w:rPr>
                <w:noProof/>
                <w:webHidden/>
              </w:rPr>
              <w:fldChar w:fldCharType="separate"/>
            </w:r>
            <w:r>
              <w:rPr>
                <w:noProof/>
                <w:webHidden/>
              </w:rPr>
              <w:t>54</w:t>
            </w:r>
            <w:r>
              <w:rPr>
                <w:noProof/>
                <w:webHidden/>
              </w:rPr>
              <w:fldChar w:fldCharType="end"/>
            </w:r>
          </w:hyperlink>
        </w:p>
        <w:p w:rsidR="001A3D87" w:rsidRDefault="001A3D87">
          <w:pPr>
            <w:pStyle w:val="TOC2"/>
            <w:rPr>
              <w:rFonts w:asciiTheme="minorHAnsi" w:eastAsiaTheme="minorEastAsia" w:hAnsiTheme="minorHAnsi" w:cstheme="minorBidi"/>
              <w:b w:val="0"/>
              <w:noProof/>
              <w:sz w:val="22"/>
              <w:lang w:eastAsia="en-AU"/>
            </w:rPr>
          </w:pPr>
          <w:hyperlink w:anchor="_Toc55464747" w:history="1">
            <w:r w:rsidRPr="00D05E72">
              <w:rPr>
                <w:rStyle w:val="Hyperlink"/>
                <w:noProof/>
                <w:lang w:eastAsia="en-AU"/>
              </w:rPr>
              <w:t>Attachment 1. Extract from the Clinical Evaluation Report</w:t>
            </w:r>
            <w:r>
              <w:rPr>
                <w:noProof/>
                <w:webHidden/>
              </w:rPr>
              <w:tab/>
            </w:r>
            <w:r>
              <w:rPr>
                <w:noProof/>
                <w:webHidden/>
              </w:rPr>
              <w:fldChar w:fldCharType="begin"/>
            </w:r>
            <w:r>
              <w:rPr>
                <w:noProof/>
                <w:webHidden/>
              </w:rPr>
              <w:instrText xml:space="preserve"> PAGEREF _Toc55464747 \h </w:instrText>
            </w:r>
            <w:r>
              <w:rPr>
                <w:noProof/>
                <w:webHidden/>
              </w:rPr>
            </w:r>
            <w:r>
              <w:rPr>
                <w:noProof/>
                <w:webHidden/>
              </w:rPr>
              <w:fldChar w:fldCharType="separate"/>
            </w:r>
            <w:r>
              <w:rPr>
                <w:noProof/>
                <w:webHidden/>
              </w:rPr>
              <w:t>64</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59719E" w:rsidRDefault="0059719E" w:rsidP="0059719E">
      <w:pPr>
        <w:pStyle w:val="Heading2"/>
      </w:pPr>
      <w:bookmarkStart w:id="4" w:name="_Toc351716269"/>
      <w:bookmarkStart w:id="5" w:name="_Toc351718881"/>
      <w:bookmarkStart w:id="6" w:name="_Toc355338616"/>
      <w:bookmarkStart w:id="7" w:name="_Toc356306144"/>
      <w:bookmarkStart w:id="8" w:name="_Toc388513969"/>
      <w:bookmarkStart w:id="9" w:name="_Toc55464709"/>
      <w:bookmarkEnd w:id="3"/>
      <w:bookmarkEnd w:id="1"/>
      <w:bookmarkEnd w:id="0"/>
      <w:r w:rsidRPr="00FD119B">
        <w:lastRenderedPageBreak/>
        <w:t xml:space="preserve">List of </w:t>
      </w:r>
      <w:r w:rsidR="00D81834" w:rsidRPr="00FD119B">
        <w:t>common</w:t>
      </w:r>
      <w:r w:rsidR="00D81834">
        <w:t>ly used</w:t>
      </w:r>
      <w:r w:rsidR="00D81834" w:rsidRPr="00FD119B">
        <w:t xml:space="preserve"> </w:t>
      </w:r>
      <w:r w:rsidRPr="00FD119B">
        <w:t>abbreviations</w:t>
      </w:r>
      <w:bookmarkEnd w:id="4"/>
      <w:bookmarkEnd w:id="5"/>
      <w:bookmarkEnd w:id="6"/>
      <w:bookmarkEnd w:id="7"/>
      <w:bookmarkEnd w:id="8"/>
      <w:bookmarkEnd w:id="9"/>
    </w:p>
    <w:tbl>
      <w:tblPr>
        <w:tblStyle w:val="TableTGAblue"/>
        <w:tblW w:w="0" w:type="auto"/>
        <w:tblLayout w:type="fixed"/>
        <w:tblLook w:val="04A0" w:firstRow="1" w:lastRow="0" w:firstColumn="1" w:lastColumn="0" w:noHBand="0" w:noVBand="1"/>
      </w:tblPr>
      <w:tblGrid>
        <w:gridCol w:w="1809"/>
        <w:gridCol w:w="6911"/>
      </w:tblGrid>
      <w:tr w:rsidR="0059719E" w:rsidRPr="00275A7D" w:rsidTr="00275A7D">
        <w:trPr>
          <w:cnfStyle w:val="100000000000" w:firstRow="1" w:lastRow="0" w:firstColumn="0" w:lastColumn="0" w:oddVBand="0" w:evenVBand="0" w:oddHBand="0" w:evenHBand="0" w:firstRowFirstColumn="0" w:firstRowLastColumn="0" w:lastRowFirstColumn="0" w:lastRowLastColumn="0"/>
        </w:trPr>
        <w:tc>
          <w:tcPr>
            <w:tcW w:w="1809" w:type="dxa"/>
          </w:tcPr>
          <w:p w:rsidR="0059719E" w:rsidRPr="00275A7D" w:rsidRDefault="0059719E" w:rsidP="00275A7D">
            <w:pPr>
              <w:ind w:left="0"/>
              <w:rPr>
                <w:sz w:val="20"/>
                <w:szCs w:val="20"/>
              </w:rPr>
            </w:pPr>
            <w:r w:rsidRPr="00275A7D">
              <w:rPr>
                <w:sz w:val="20"/>
                <w:szCs w:val="20"/>
              </w:rPr>
              <w:t>Abbreviation</w:t>
            </w:r>
          </w:p>
        </w:tc>
        <w:tc>
          <w:tcPr>
            <w:tcW w:w="6911" w:type="dxa"/>
          </w:tcPr>
          <w:p w:rsidR="0059719E" w:rsidRPr="00275A7D" w:rsidRDefault="0059719E" w:rsidP="00275A7D">
            <w:pPr>
              <w:ind w:left="0"/>
              <w:rPr>
                <w:sz w:val="20"/>
                <w:szCs w:val="20"/>
              </w:rPr>
            </w:pPr>
            <w:r w:rsidRPr="00275A7D">
              <w:rPr>
                <w:sz w:val="20"/>
                <w:szCs w:val="20"/>
              </w:rPr>
              <w:t>Meaning</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AE</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Adverse Event</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ALT</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Alanine aminotransferase</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AST</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Aspartate aminotransferase</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AOI</w:t>
            </w:r>
          </w:p>
        </w:tc>
        <w:tc>
          <w:tcPr>
            <w:tcW w:w="6911" w:type="dxa"/>
          </w:tcPr>
          <w:p w:rsidR="0059719E" w:rsidRPr="00275A7D" w:rsidRDefault="0059719E" w:rsidP="00275A7D">
            <w:pPr>
              <w:ind w:left="0"/>
              <w:rPr>
                <w:rFonts w:cs="TimesNewRomanPSMT"/>
                <w:sz w:val="20"/>
                <w:szCs w:val="20"/>
                <w:lang w:eastAsia="zh-TW"/>
              </w:rPr>
            </w:pPr>
            <w:r w:rsidRPr="00275A7D">
              <w:rPr>
                <w:rFonts w:cs="TimesNewRomanPSMT"/>
                <w:sz w:val="20"/>
                <w:szCs w:val="20"/>
                <w:lang w:eastAsia="zh-TW"/>
              </w:rPr>
              <w:t>Area of interest: the specific region that includes all eyelashes for a given eye</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BAK</w:t>
            </w:r>
          </w:p>
        </w:tc>
        <w:tc>
          <w:tcPr>
            <w:tcW w:w="6911" w:type="dxa"/>
          </w:tcPr>
          <w:p w:rsidR="0059719E" w:rsidRPr="00275A7D" w:rsidRDefault="0059719E" w:rsidP="00275A7D">
            <w:pPr>
              <w:rPr>
                <w:rFonts w:cs="TimesNewRomanPSMT"/>
                <w:sz w:val="20"/>
                <w:szCs w:val="20"/>
                <w:lang w:eastAsia="zh-TW"/>
              </w:rPr>
            </w:pPr>
            <w:proofErr w:type="spellStart"/>
            <w:r w:rsidRPr="00275A7D">
              <w:rPr>
                <w:rFonts w:cs="TimesNewRomanPSMT"/>
                <w:sz w:val="20"/>
                <w:szCs w:val="20"/>
                <w:lang w:eastAsia="zh-TW"/>
              </w:rPr>
              <w:t>Benzalkonium</w:t>
            </w:r>
            <w:proofErr w:type="spellEnd"/>
            <w:r w:rsidRPr="00275A7D">
              <w:rPr>
                <w:rFonts w:cs="TimesNewRomanPSMT"/>
                <w:sz w:val="20"/>
                <w:szCs w:val="20"/>
                <w:lang w:eastAsia="zh-TW"/>
              </w:rPr>
              <w:t xml:space="preserve"> chloride</w:t>
            </w:r>
          </w:p>
        </w:tc>
      </w:tr>
      <w:tr w:rsidR="0059719E" w:rsidRPr="00275A7D" w:rsidTr="00275A7D">
        <w:tc>
          <w:tcPr>
            <w:tcW w:w="1809" w:type="dxa"/>
          </w:tcPr>
          <w:p w:rsidR="0059719E" w:rsidRPr="00275A7D" w:rsidRDefault="0059719E" w:rsidP="00275A7D">
            <w:pPr>
              <w:rPr>
                <w:rFonts w:cs="TimesNewRomanPSMT"/>
                <w:sz w:val="20"/>
                <w:szCs w:val="20"/>
                <w:lang w:eastAsia="zh-TW"/>
              </w:rPr>
            </w:pPr>
            <w:proofErr w:type="spellStart"/>
            <w:r w:rsidRPr="00275A7D">
              <w:rPr>
                <w:rFonts w:cs="TimesNewRomanPSMT"/>
                <w:sz w:val="20"/>
                <w:szCs w:val="20"/>
                <w:lang w:eastAsia="zh-TW"/>
              </w:rPr>
              <w:t>Bim</w:t>
            </w:r>
            <w:proofErr w:type="spellEnd"/>
          </w:p>
        </w:tc>
        <w:tc>
          <w:tcPr>
            <w:tcW w:w="6911" w:type="dxa"/>
          </w:tcPr>
          <w:p w:rsidR="0059719E" w:rsidRPr="00275A7D" w:rsidRDefault="0059719E" w:rsidP="00275A7D">
            <w:pPr>
              <w:rPr>
                <w:rFonts w:cs="TimesNewRomanPSMT"/>
                <w:sz w:val="20"/>
                <w:szCs w:val="20"/>
                <w:lang w:eastAsia="zh-TW"/>
              </w:rPr>
            </w:pPr>
            <w:proofErr w:type="spellStart"/>
            <w:r w:rsidRPr="00275A7D">
              <w:rPr>
                <w:rFonts w:cs="TimesNewRomanPSMT"/>
                <w:sz w:val="20"/>
                <w:szCs w:val="20"/>
                <w:lang w:eastAsia="zh-TW"/>
              </w:rPr>
              <w:t>Bimatoprost</w:t>
            </w:r>
            <w:proofErr w:type="spellEnd"/>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CER</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Clinical evaluation report</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CRF </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Case report form</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CSR</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Clinical study report</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DIA</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Digital Image Analyses</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ECOG</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Eastern Cooperative Oncology Group</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ESQ</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Eyelash Satisfaction Questionnaire</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FDA </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Food and Drug Administration</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GCP</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Good clinical practice </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GEA</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Global eyelash assessment</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GGT</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Gamma </w:t>
            </w:r>
            <w:proofErr w:type="spellStart"/>
            <w:r w:rsidRPr="00275A7D">
              <w:rPr>
                <w:rFonts w:cs="TimesNewRomanPSMT"/>
                <w:sz w:val="20"/>
                <w:szCs w:val="20"/>
                <w:lang w:eastAsia="zh-TW"/>
              </w:rPr>
              <w:t>glutamyl</w:t>
            </w:r>
            <w:proofErr w:type="spellEnd"/>
            <w:r w:rsidRPr="00275A7D">
              <w:rPr>
                <w:rFonts w:cs="TimesNewRomanPSMT"/>
                <w:sz w:val="20"/>
                <w:szCs w:val="20"/>
                <w:lang w:eastAsia="zh-TW"/>
              </w:rPr>
              <w:t xml:space="preserve"> </w:t>
            </w:r>
            <w:proofErr w:type="spellStart"/>
            <w:r w:rsidRPr="00275A7D">
              <w:rPr>
                <w:rFonts w:cs="TimesNewRomanPSMT"/>
                <w:sz w:val="20"/>
                <w:szCs w:val="20"/>
                <w:lang w:eastAsia="zh-TW"/>
              </w:rPr>
              <w:t>transpeptidase</w:t>
            </w:r>
            <w:proofErr w:type="spellEnd"/>
          </w:p>
        </w:tc>
      </w:tr>
      <w:tr w:rsidR="0059719E" w:rsidRPr="00275A7D" w:rsidTr="00275A7D">
        <w:tc>
          <w:tcPr>
            <w:tcW w:w="1809" w:type="dxa"/>
          </w:tcPr>
          <w:p w:rsidR="0059719E" w:rsidRPr="00275A7D" w:rsidRDefault="0059719E" w:rsidP="00275A7D">
            <w:pPr>
              <w:rPr>
                <w:rFonts w:cs="TimesNewRomanPSMT"/>
                <w:sz w:val="20"/>
                <w:szCs w:val="20"/>
                <w:lang w:eastAsia="zh-TW"/>
              </w:rPr>
            </w:pPr>
            <w:proofErr w:type="spellStart"/>
            <w:r w:rsidRPr="00275A7D">
              <w:rPr>
                <w:rFonts w:cs="TimesNewRomanPSMT"/>
                <w:sz w:val="20"/>
                <w:szCs w:val="20"/>
                <w:lang w:eastAsia="zh-TW"/>
              </w:rPr>
              <w:t>hct</w:t>
            </w:r>
            <w:proofErr w:type="spellEnd"/>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haematocrit</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ICH </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International Conference on Harmonisation</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IEC</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Institutional ethics committee</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IOP</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Intraocular pressure</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IRB </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Institutional Review Board</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ITT</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Intention to treat</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IVRS </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Interactive voice response system</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IWRS </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Interactive web response system</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LDH</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Lactate dehydrogenase</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lastRenderedPageBreak/>
              <w:t xml:space="preserve">LOCF </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Last observation carried forward</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MedDRA </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Medical Dictionary for Regulatory Activities</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mm </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millimetres</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mmHg </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millimetres of mercury</w:t>
            </w:r>
          </w:p>
        </w:tc>
      </w:tr>
      <w:tr w:rsidR="0059719E" w:rsidRPr="00275A7D" w:rsidTr="00275A7D">
        <w:tc>
          <w:tcPr>
            <w:tcW w:w="1809" w:type="dxa"/>
          </w:tcPr>
          <w:p w:rsidR="0059719E" w:rsidRPr="00275A7D" w:rsidRDefault="0059719E" w:rsidP="00275A7D">
            <w:pPr>
              <w:rPr>
                <w:sz w:val="20"/>
                <w:szCs w:val="20"/>
                <w:lang w:bidi="en-US"/>
              </w:rPr>
            </w:pPr>
            <w:r w:rsidRPr="00275A7D">
              <w:rPr>
                <w:sz w:val="20"/>
                <w:szCs w:val="20"/>
                <w:lang w:bidi="en-US"/>
              </w:rPr>
              <w:t>NOS</w:t>
            </w:r>
          </w:p>
        </w:tc>
        <w:tc>
          <w:tcPr>
            <w:tcW w:w="6911" w:type="dxa"/>
          </w:tcPr>
          <w:p w:rsidR="0059719E" w:rsidRPr="00275A7D" w:rsidRDefault="0059719E" w:rsidP="00275A7D">
            <w:pPr>
              <w:rPr>
                <w:sz w:val="20"/>
                <w:szCs w:val="20"/>
                <w:lang w:bidi="en-US"/>
              </w:rPr>
            </w:pPr>
            <w:r w:rsidRPr="00275A7D">
              <w:rPr>
                <w:sz w:val="20"/>
                <w:szCs w:val="20"/>
                <w:lang w:bidi="en-US"/>
              </w:rPr>
              <w:t>Not otherwise specified</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OH</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Ocular hypertension</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OTC</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Over the counter</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OU</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Each eye</w:t>
            </w:r>
          </w:p>
        </w:tc>
      </w:tr>
      <w:tr w:rsidR="0059719E" w:rsidRPr="00275A7D" w:rsidTr="00275A7D">
        <w:tc>
          <w:tcPr>
            <w:tcW w:w="1809" w:type="dxa"/>
          </w:tcPr>
          <w:p w:rsidR="0059719E" w:rsidRPr="00275A7D" w:rsidRDefault="0059719E" w:rsidP="00275A7D">
            <w:pPr>
              <w:rPr>
                <w:rFonts w:cs="TimesNewRomanPSMT"/>
                <w:sz w:val="20"/>
                <w:szCs w:val="20"/>
                <w:lang w:eastAsia="zh-TW"/>
              </w:rPr>
            </w:pPr>
            <w:proofErr w:type="spellStart"/>
            <w:r w:rsidRPr="00275A7D">
              <w:rPr>
                <w:rFonts w:cs="TimesNewRomanPSMT"/>
                <w:sz w:val="20"/>
                <w:szCs w:val="20"/>
                <w:lang w:eastAsia="zh-TW"/>
              </w:rPr>
              <w:t>Pbo</w:t>
            </w:r>
            <w:proofErr w:type="spellEnd"/>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Placebo</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PI</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Product information</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Pixel</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the smallest discrete component of a digital image</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PK</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Pharmacokinetic</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PP</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Per protocol</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PRO </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Patient reported outcomes</w:t>
            </w:r>
          </w:p>
        </w:tc>
      </w:tr>
      <w:tr w:rsidR="0059719E" w:rsidRPr="00275A7D" w:rsidTr="00275A7D">
        <w:tc>
          <w:tcPr>
            <w:tcW w:w="1809" w:type="dxa"/>
          </w:tcPr>
          <w:p w:rsidR="0059719E" w:rsidRPr="00275A7D" w:rsidRDefault="0059719E" w:rsidP="00275A7D">
            <w:pPr>
              <w:rPr>
                <w:sz w:val="20"/>
                <w:szCs w:val="20"/>
                <w:lang w:bidi="en-US"/>
              </w:rPr>
            </w:pPr>
            <w:r w:rsidRPr="00275A7D">
              <w:rPr>
                <w:sz w:val="20"/>
                <w:szCs w:val="20"/>
                <w:lang w:bidi="en-US"/>
              </w:rPr>
              <w:t>PSUR</w:t>
            </w:r>
          </w:p>
        </w:tc>
        <w:tc>
          <w:tcPr>
            <w:tcW w:w="6911" w:type="dxa"/>
          </w:tcPr>
          <w:p w:rsidR="0059719E" w:rsidRPr="00275A7D" w:rsidRDefault="0059719E" w:rsidP="00275A7D">
            <w:pPr>
              <w:rPr>
                <w:sz w:val="20"/>
                <w:szCs w:val="20"/>
                <w:lang w:bidi="en-US"/>
              </w:rPr>
            </w:pPr>
            <w:r w:rsidRPr="00275A7D">
              <w:rPr>
                <w:sz w:val="20"/>
                <w:szCs w:val="20"/>
                <w:lang w:bidi="en-US"/>
              </w:rPr>
              <w:t>Periodic safety update report</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QD</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Daily</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SAE</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Serious Adverse Event</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SD</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Standard deviation</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SOC</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System organ class</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SOP </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Standard operating procedure</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spline </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a narrow area approximately 5 pixels wide, bisecting the AOI (area of interest)</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TP1</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Treatment period 1 (0-6 months)</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TP2</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Treatment period 2 (6-12 months)</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 xml:space="preserve">US </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United States</w:t>
            </w:r>
          </w:p>
        </w:tc>
      </w:tr>
      <w:tr w:rsidR="0059719E" w:rsidRPr="00275A7D" w:rsidTr="00275A7D">
        <w:tc>
          <w:tcPr>
            <w:tcW w:w="1809"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VA</w:t>
            </w:r>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Visual acuity</w:t>
            </w:r>
          </w:p>
        </w:tc>
      </w:tr>
      <w:tr w:rsidR="0059719E" w:rsidRPr="00275A7D" w:rsidTr="00275A7D">
        <w:tc>
          <w:tcPr>
            <w:tcW w:w="1809" w:type="dxa"/>
          </w:tcPr>
          <w:p w:rsidR="0059719E" w:rsidRPr="00275A7D" w:rsidRDefault="0059719E" w:rsidP="00275A7D">
            <w:pPr>
              <w:rPr>
                <w:rFonts w:cs="TimesNewRomanPSMT"/>
                <w:sz w:val="20"/>
                <w:szCs w:val="20"/>
                <w:lang w:eastAsia="zh-TW"/>
              </w:rPr>
            </w:pPr>
            <w:proofErr w:type="spellStart"/>
            <w:r w:rsidRPr="00275A7D">
              <w:rPr>
                <w:rFonts w:cs="TimesNewRomanPSMT"/>
                <w:sz w:val="20"/>
                <w:szCs w:val="20"/>
                <w:lang w:eastAsia="zh-TW"/>
              </w:rPr>
              <w:t>Veh</w:t>
            </w:r>
            <w:proofErr w:type="spellEnd"/>
          </w:p>
        </w:tc>
        <w:tc>
          <w:tcPr>
            <w:tcW w:w="6911" w:type="dxa"/>
          </w:tcPr>
          <w:p w:rsidR="0059719E" w:rsidRPr="00275A7D" w:rsidRDefault="0059719E" w:rsidP="00275A7D">
            <w:pPr>
              <w:rPr>
                <w:rFonts w:cs="TimesNewRomanPSMT"/>
                <w:sz w:val="20"/>
                <w:szCs w:val="20"/>
                <w:lang w:eastAsia="zh-TW"/>
              </w:rPr>
            </w:pPr>
            <w:r w:rsidRPr="00275A7D">
              <w:rPr>
                <w:rFonts w:cs="TimesNewRomanPSMT"/>
                <w:sz w:val="20"/>
                <w:szCs w:val="20"/>
                <w:lang w:eastAsia="zh-TW"/>
              </w:rPr>
              <w:t>Vehicle</w:t>
            </w:r>
          </w:p>
        </w:tc>
      </w:tr>
    </w:tbl>
    <w:p w:rsidR="0059719E" w:rsidRPr="00FD119B" w:rsidRDefault="0059719E" w:rsidP="0059719E">
      <w:pPr>
        <w:spacing w:before="0" w:after="200" w:line="0" w:lineRule="auto"/>
        <w:rPr>
          <w:b/>
          <w:i/>
          <w:sz w:val="24"/>
          <w:szCs w:val="24"/>
        </w:rPr>
      </w:pPr>
      <w:r w:rsidRPr="00FD119B">
        <w:rPr>
          <w:b/>
          <w:i/>
          <w:sz w:val="24"/>
          <w:szCs w:val="24"/>
        </w:rPr>
        <w:br w:type="page"/>
      </w:r>
    </w:p>
    <w:p w:rsidR="0059719E" w:rsidRDefault="0059719E" w:rsidP="0059719E">
      <w:pPr>
        <w:pStyle w:val="Heading2"/>
      </w:pPr>
      <w:bookmarkStart w:id="10" w:name="_Toc388513970"/>
      <w:bookmarkStart w:id="11" w:name="_Toc55464710"/>
      <w:r>
        <w:lastRenderedPageBreak/>
        <w:t>I. Introduction to product submission</w:t>
      </w:r>
      <w:bookmarkEnd w:id="10"/>
      <w:bookmarkEnd w:id="11"/>
    </w:p>
    <w:p w:rsidR="0059719E" w:rsidRDefault="0059719E" w:rsidP="0059719E">
      <w:pPr>
        <w:pStyle w:val="Heading3"/>
        <w:rPr>
          <w:lang w:eastAsia="en-AU"/>
        </w:rPr>
      </w:pPr>
      <w:bookmarkStart w:id="12" w:name="_Toc247691502"/>
      <w:bookmarkStart w:id="13" w:name="_Toc314842483"/>
      <w:bookmarkStart w:id="14" w:name="_Toc388513971"/>
      <w:bookmarkStart w:id="15" w:name="_Toc55464711"/>
      <w:r>
        <w:rPr>
          <w:lang w:eastAsia="en-AU"/>
        </w:rPr>
        <w:t>Submission details</w:t>
      </w:r>
      <w:bookmarkEnd w:id="12"/>
      <w:bookmarkEnd w:id="13"/>
      <w:bookmarkEnd w:id="14"/>
      <w:bookmarkEnd w:id="15"/>
    </w:p>
    <w:tbl>
      <w:tblPr>
        <w:tblW w:w="9214" w:type="dxa"/>
        <w:tblInd w:w="108" w:type="dxa"/>
        <w:tblLook w:val="01E0" w:firstRow="1" w:lastRow="1" w:firstColumn="1" w:lastColumn="1" w:noHBand="0" w:noVBand="0"/>
      </w:tblPr>
      <w:tblGrid>
        <w:gridCol w:w="2907"/>
        <w:gridCol w:w="6307"/>
      </w:tblGrid>
      <w:tr w:rsidR="0059719E" w:rsidRPr="003D1E62" w:rsidTr="00275A7D">
        <w:trPr>
          <w:trHeight w:hRule="exact" w:val="454"/>
        </w:trPr>
        <w:tc>
          <w:tcPr>
            <w:tcW w:w="2907" w:type="dxa"/>
          </w:tcPr>
          <w:p w:rsidR="0059719E" w:rsidRPr="003D1E62" w:rsidRDefault="0059719E" w:rsidP="009B4203">
            <w:pPr>
              <w:rPr>
                <w:i/>
              </w:rPr>
            </w:pPr>
            <w:r>
              <w:rPr>
                <w:i/>
              </w:rPr>
              <w:t>Type of s</w:t>
            </w:r>
            <w:r w:rsidRPr="003D1E62">
              <w:rPr>
                <w:i/>
              </w:rPr>
              <w:t>ubmission</w:t>
            </w:r>
            <w:r>
              <w:rPr>
                <w:i/>
              </w:rPr>
              <w:t>:</w:t>
            </w:r>
          </w:p>
        </w:tc>
        <w:tc>
          <w:tcPr>
            <w:tcW w:w="6307" w:type="dxa"/>
          </w:tcPr>
          <w:p w:rsidR="0059719E" w:rsidRPr="003D1E62" w:rsidRDefault="0059719E" w:rsidP="009B4203">
            <w:r>
              <w:t>Extension of indications; New trade name and new dosage form</w:t>
            </w:r>
          </w:p>
        </w:tc>
      </w:tr>
      <w:tr w:rsidR="0059719E" w:rsidRPr="003D1E62" w:rsidTr="00275A7D">
        <w:trPr>
          <w:trHeight w:hRule="exact" w:val="454"/>
        </w:trPr>
        <w:tc>
          <w:tcPr>
            <w:tcW w:w="2907" w:type="dxa"/>
          </w:tcPr>
          <w:p w:rsidR="0059719E" w:rsidRPr="003D1E62" w:rsidRDefault="0059719E" w:rsidP="009B4203">
            <w:r w:rsidRPr="003D1E62">
              <w:rPr>
                <w:i/>
              </w:rPr>
              <w:t>Decision</w:t>
            </w:r>
            <w:r w:rsidRPr="003D1E62">
              <w:t>:</w:t>
            </w:r>
          </w:p>
        </w:tc>
        <w:tc>
          <w:tcPr>
            <w:tcW w:w="6307" w:type="dxa"/>
          </w:tcPr>
          <w:p w:rsidR="0059719E" w:rsidRPr="00530E32" w:rsidRDefault="0059719E" w:rsidP="009B4203">
            <w:r w:rsidRPr="00530E32">
              <w:t>Rejected</w:t>
            </w:r>
          </w:p>
        </w:tc>
      </w:tr>
      <w:tr w:rsidR="0059719E" w:rsidRPr="003D1E62" w:rsidTr="00275A7D">
        <w:trPr>
          <w:trHeight w:hRule="exact" w:val="454"/>
        </w:trPr>
        <w:tc>
          <w:tcPr>
            <w:tcW w:w="2907" w:type="dxa"/>
          </w:tcPr>
          <w:p w:rsidR="0059719E" w:rsidRPr="003D1E62" w:rsidRDefault="0059719E" w:rsidP="009B4203">
            <w:pPr>
              <w:rPr>
                <w:i/>
              </w:rPr>
            </w:pPr>
            <w:r w:rsidRPr="003D1E62">
              <w:rPr>
                <w:i/>
              </w:rPr>
              <w:t xml:space="preserve">Date of </w:t>
            </w:r>
            <w:r>
              <w:rPr>
                <w:i/>
              </w:rPr>
              <w:t>Initial TGA D</w:t>
            </w:r>
            <w:r w:rsidRPr="003D1E62">
              <w:rPr>
                <w:i/>
              </w:rPr>
              <w:t>ecision:</w:t>
            </w:r>
          </w:p>
        </w:tc>
        <w:tc>
          <w:tcPr>
            <w:tcW w:w="6307" w:type="dxa"/>
          </w:tcPr>
          <w:p w:rsidR="0059719E" w:rsidRPr="00530E32" w:rsidRDefault="0059719E" w:rsidP="009B4203">
            <w:r w:rsidRPr="00530E32">
              <w:t>18 November 2013</w:t>
            </w:r>
          </w:p>
        </w:tc>
      </w:tr>
      <w:tr w:rsidR="0059719E" w:rsidRPr="003D1E62" w:rsidTr="00275A7D">
        <w:trPr>
          <w:trHeight w:hRule="exact" w:val="454"/>
        </w:trPr>
        <w:tc>
          <w:tcPr>
            <w:tcW w:w="2907" w:type="dxa"/>
          </w:tcPr>
          <w:p w:rsidR="0059719E" w:rsidRPr="003D1E62" w:rsidRDefault="0059719E" w:rsidP="009B4203">
            <w:pPr>
              <w:rPr>
                <w:i/>
              </w:rPr>
            </w:pPr>
            <w:r>
              <w:rPr>
                <w:i/>
              </w:rPr>
              <w:t>Date of Final TGA Decision</w:t>
            </w:r>
          </w:p>
        </w:tc>
        <w:tc>
          <w:tcPr>
            <w:tcW w:w="6307" w:type="dxa"/>
          </w:tcPr>
          <w:p w:rsidR="0059719E" w:rsidRPr="00530E32" w:rsidRDefault="0059719E" w:rsidP="009B4203">
            <w:r w:rsidRPr="00530E32">
              <w:t>9 April 2014</w:t>
            </w:r>
          </w:p>
        </w:tc>
      </w:tr>
      <w:tr w:rsidR="00275A7D" w:rsidRPr="003D1E62" w:rsidTr="00275A7D">
        <w:trPr>
          <w:trHeight w:hRule="exact" w:val="454"/>
        </w:trPr>
        <w:tc>
          <w:tcPr>
            <w:tcW w:w="2907" w:type="dxa"/>
          </w:tcPr>
          <w:p w:rsidR="00275A7D" w:rsidRDefault="00275A7D" w:rsidP="009B4203">
            <w:pPr>
              <w:rPr>
                <w:i/>
              </w:rPr>
            </w:pPr>
            <w:r>
              <w:rPr>
                <w:rStyle w:val="FootnoteReference"/>
              </w:rPr>
              <w:footnoteReference w:id="1"/>
            </w:r>
            <w:r>
              <w:t>AAT</w:t>
            </w:r>
          </w:p>
        </w:tc>
        <w:tc>
          <w:tcPr>
            <w:tcW w:w="6307" w:type="dxa"/>
          </w:tcPr>
          <w:p w:rsidR="00275A7D" w:rsidRPr="00530E32" w:rsidRDefault="00275A7D" w:rsidP="009B4203">
            <w:r>
              <w:t>Approved</w:t>
            </w:r>
          </w:p>
        </w:tc>
      </w:tr>
      <w:tr w:rsidR="00275A7D" w:rsidRPr="003D1E62" w:rsidTr="00275A7D">
        <w:trPr>
          <w:trHeight w:hRule="exact" w:val="454"/>
        </w:trPr>
        <w:tc>
          <w:tcPr>
            <w:tcW w:w="2907" w:type="dxa"/>
          </w:tcPr>
          <w:p w:rsidR="00275A7D" w:rsidRDefault="00275A7D" w:rsidP="009B4203">
            <w:pPr>
              <w:rPr>
                <w:i/>
              </w:rPr>
            </w:pPr>
            <w:r w:rsidRPr="00BC307B">
              <w:rPr>
                <w:i/>
              </w:rPr>
              <w:t>Date of AAT decisi</w:t>
            </w:r>
            <w:r>
              <w:t>on:</w:t>
            </w:r>
          </w:p>
        </w:tc>
        <w:tc>
          <w:tcPr>
            <w:tcW w:w="6307" w:type="dxa"/>
          </w:tcPr>
          <w:p w:rsidR="00275A7D" w:rsidRPr="00530E32" w:rsidRDefault="00275A7D" w:rsidP="009B4203">
            <w:r>
              <w:t>6 October 2015</w:t>
            </w:r>
          </w:p>
        </w:tc>
      </w:tr>
      <w:tr w:rsidR="0059719E" w:rsidRPr="00487162" w:rsidTr="00275A7D">
        <w:tc>
          <w:tcPr>
            <w:tcW w:w="2907" w:type="dxa"/>
          </w:tcPr>
          <w:p w:rsidR="00BF5218" w:rsidRDefault="00BF5218" w:rsidP="009B4203">
            <w:pPr>
              <w:rPr>
                <w:i/>
              </w:rPr>
            </w:pPr>
            <w:r w:rsidRPr="00BF5218">
              <w:rPr>
                <w:i/>
              </w:rPr>
              <w:t>Date of entry onto ARTG</w:t>
            </w:r>
            <w:r>
              <w:rPr>
                <w:i/>
              </w:rPr>
              <w:t>:</w:t>
            </w:r>
          </w:p>
          <w:p w:rsidR="00527785" w:rsidRDefault="00A80A55" w:rsidP="009B4203">
            <w:pPr>
              <w:rPr>
                <w:i/>
              </w:rPr>
            </w:pPr>
            <w:r>
              <w:rPr>
                <w:i/>
              </w:rPr>
              <w:t>Date ARTG entry cancelled</w:t>
            </w:r>
            <w:r>
              <w:rPr>
                <w:rStyle w:val="FootnoteReference"/>
                <w:i/>
              </w:rPr>
              <w:footnoteReference w:id="2"/>
            </w:r>
            <w:r>
              <w:rPr>
                <w:i/>
              </w:rPr>
              <w:t>:</w:t>
            </w:r>
          </w:p>
          <w:p w:rsidR="0059719E" w:rsidRPr="00487162" w:rsidRDefault="0059719E" w:rsidP="009B4203">
            <w:pPr>
              <w:rPr>
                <w:i/>
              </w:rPr>
            </w:pPr>
            <w:r>
              <w:rPr>
                <w:i/>
              </w:rPr>
              <w:t>Active ingredient(s):</w:t>
            </w:r>
          </w:p>
        </w:tc>
        <w:tc>
          <w:tcPr>
            <w:tcW w:w="6307" w:type="dxa"/>
          </w:tcPr>
          <w:p w:rsidR="00BF5218" w:rsidRDefault="00BF5218" w:rsidP="009B4203">
            <w:r>
              <w:t>14 July 2016</w:t>
            </w:r>
          </w:p>
          <w:p w:rsidR="00527785" w:rsidRDefault="00A80A55" w:rsidP="009B4203">
            <w:r>
              <w:t>22 August 2017</w:t>
            </w:r>
          </w:p>
          <w:p w:rsidR="0059719E" w:rsidRPr="00487162" w:rsidRDefault="0059719E" w:rsidP="009B4203">
            <w:proofErr w:type="spellStart"/>
            <w:r w:rsidRPr="00BB1D6F">
              <w:t>Bimatoprost</w:t>
            </w:r>
            <w:proofErr w:type="spellEnd"/>
          </w:p>
        </w:tc>
      </w:tr>
      <w:tr w:rsidR="0059719E" w:rsidRPr="00487162" w:rsidTr="00275A7D">
        <w:tc>
          <w:tcPr>
            <w:tcW w:w="2907" w:type="dxa"/>
          </w:tcPr>
          <w:p w:rsidR="0059719E" w:rsidRPr="00487162" w:rsidRDefault="0059719E" w:rsidP="009B4203">
            <w:pPr>
              <w:rPr>
                <w:i/>
              </w:rPr>
            </w:pPr>
            <w:r w:rsidRPr="00487162">
              <w:rPr>
                <w:i/>
              </w:rPr>
              <w:t>Product</w:t>
            </w:r>
            <w:r>
              <w:rPr>
                <w:i/>
              </w:rPr>
              <w:t xml:space="preserve"> name(s):</w:t>
            </w:r>
          </w:p>
        </w:tc>
        <w:tc>
          <w:tcPr>
            <w:tcW w:w="6307" w:type="dxa"/>
          </w:tcPr>
          <w:p w:rsidR="0059719E" w:rsidRPr="00487162" w:rsidRDefault="0059719E" w:rsidP="009B4203">
            <w:proofErr w:type="spellStart"/>
            <w:r>
              <w:t>Latisse</w:t>
            </w:r>
            <w:proofErr w:type="spellEnd"/>
          </w:p>
        </w:tc>
      </w:tr>
      <w:tr w:rsidR="0059719E" w:rsidRPr="00487162" w:rsidTr="00275A7D">
        <w:tc>
          <w:tcPr>
            <w:tcW w:w="2907" w:type="dxa"/>
          </w:tcPr>
          <w:p w:rsidR="0059719E" w:rsidRPr="00487162" w:rsidRDefault="0059719E" w:rsidP="009B4203">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rsidR="0059719E" w:rsidRDefault="0059719E" w:rsidP="009B4203">
            <w:r w:rsidRPr="00BB1D6F">
              <w:t>Allergan Australia Pty Ltd.</w:t>
            </w:r>
          </w:p>
          <w:p w:rsidR="0059719E" w:rsidRPr="00487162" w:rsidRDefault="0059719E" w:rsidP="009B4203">
            <w:r>
              <w:t>Locked Bag 1514 Pymble NSW 2073</w:t>
            </w:r>
          </w:p>
        </w:tc>
      </w:tr>
      <w:tr w:rsidR="0059719E" w:rsidRPr="00487162" w:rsidTr="00275A7D">
        <w:tc>
          <w:tcPr>
            <w:tcW w:w="2907" w:type="dxa"/>
          </w:tcPr>
          <w:p w:rsidR="0059719E" w:rsidRPr="00487162" w:rsidRDefault="0059719E" w:rsidP="009B4203">
            <w:pPr>
              <w:rPr>
                <w:i/>
              </w:rPr>
            </w:pPr>
            <w:r>
              <w:rPr>
                <w:i/>
              </w:rPr>
              <w:t>Dose form(s):</w:t>
            </w:r>
          </w:p>
        </w:tc>
        <w:tc>
          <w:tcPr>
            <w:tcW w:w="6307" w:type="dxa"/>
          </w:tcPr>
          <w:p w:rsidR="0059719E" w:rsidRPr="00487162" w:rsidRDefault="0059719E" w:rsidP="009B4203">
            <w:r>
              <w:t>Solution 3 mL</w:t>
            </w:r>
          </w:p>
        </w:tc>
      </w:tr>
      <w:tr w:rsidR="0059719E" w:rsidRPr="00487162" w:rsidTr="00275A7D">
        <w:tc>
          <w:tcPr>
            <w:tcW w:w="2907" w:type="dxa"/>
          </w:tcPr>
          <w:p w:rsidR="0059719E" w:rsidRPr="00487162" w:rsidRDefault="0059719E" w:rsidP="009B4203">
            <w:pPr>
              <w:rPr>
                <w:i/>
              </w:rPr>
            </w:pPr>
            <w:r w:rsidRPr="00487162">
              <w:rPr>
                <w:i/>
              </w:rPr>
              <w:t xml:space="preserve">Strength(s): </w:t>
            </w:r>
          </w:p>
        </w:tc>
        <w:tc>
          <w:tcPr>
            <w:tcW w:w="6307" w:type="dxa"/>
          </w:tcPr>
          <w:p w:rsidR="0059719E" w:rsidRPr="00487162" w:rsidRDefault="0059719E" w:rsidP="009B4203">
            <w:r w:rsidRPr="00BB1D6F">
              <w:t>300 µg/mL (0.03% w</w:t>
            </w:r>
            <w:r>
              <w:t>eight</w:t>
            </w:r>
            <w:r w:rsidRPr="00BB1D6F">
              <w:t>/v</w:t>
            </w:r>
            <w:r>
              <w:t>olume (w/v)</w:t>
            </w:r>
            <w:r w:rsidRPr="00BB1D6F">
              <w:t>)</w:t>
            </w:r>
          </w:p>
        </w:tc>
      </w:tr>
      <w:tr w:rsidR="0059719E" w:rsidRPr="00487162" w:rsidTr="00275A7D">
        <w:tc>
          <w:tcPr>
            <w:tcW w:w="2907" w:type="dxa"/>
          </w:tcPr>
          <w:p w:rsidR="0059719E" w:rsidRPr="00487162" w:rsidRDefault="0059719E" w:rsidP="009B4203">
            <w:pPr>
              <w:rPr>
                <w:i/>
              </w:rPr>
            </w:pPr>
            <w:r w:rsidRPr="00487162">
              <w:rPr>
                <w:i/>
              </w:rPr>
              <w:t>Container(s):</w:t>
            </w:r>
          </w:p>
        </w:tc>
        <w:tc>
          <w:tcPr>
            <w:tcW w:w="6307" w:type="dxa"/>
          </w:tcPr>
          <w:p w:rsidR="0059719E" w:rsidRPr="00BB1D6F" w:rsidRDefault="0059719E" w:rsidP="009B4203">
            <w:r w:rsidRPr="00BB1D6F">
              <w:t xml:space="preserve">Low Density Polyethylene </w:t>
            </w:r>
            <w:r>
              <w:t>(</w:t>
            </w:r>
            <w:r w:rsidRPr="005B0459">
              <w:t>LDPE</w:t>
            </w:r>
            <w:r>
              <w:t>)</w:t>
            </w:r>
            <w:r w:rsidRPr="005B0459">
              <w:t xml:space="preserve"> </w:t>
            </w:r>
            <w:r>
              <w:t xml:space="preserve">3 mL </w:t>
            </w:r>
            <w:r w:rsidRPr="005B0459">
              <w:t xml:space="preserve">bottle </w:t>
            </w:r>
            <w:r>
              <w:t>and Sterile</w:t>
            </w:r>
            <w:r w:rsidRPr="005B0459">
              <w:t xml:space="preserve"> Single use Disposable Applicators</w:t>
            </w:r>
            <w:r>
              <w:t xml:space="preserve">. </w:t>
            </w:r>
          </w:p>
        </w:tc>
      </w:tr>
      <w:tr w:rsidR="0059719E" w:rsidRPr="00487162" w:rsidTr="00275A7D">
        <w:tc>
          <w:tcPr>
            <w:tcW w:w="2907" w:type="dxa"/>
          </w:tcPr>
          <w:p w:rsidR="0059719E" w:rsidRPr="00530E32" w:rsidRDefault="0059719E" w:rsidP="009B4203">
            <w:pPr>
              <w:rPr>
                <w:i/>
              </w:rPr>
            </w:pPr>
            <w:r w:rsidRPr="00530E32">
              <w:rPr>
                <w:i/>
              </w:rPr>
              <w:t>Pack size(s):</w:t>
            </w:r>
          </w:p>
        </w:tc>
        <w:tc>
          <w:tcPr>
            <w:tcW w:w="6307" w:type="dxa"/>
          </w:tcPr>
          <w:p w:rsidR="0059719E" w:rsidRPr="00530E32" w:rsidRDefault="0059719E" w:rsidP="009B4203">
            <w:r w:rsidRPr="00530E32">
              <w:t>1</w:t>
            </w:r>
            <w:r>
              <w:t xml:space="preserve"> x</w:t>
            </w:r>
            <w:r w:rsidRPr="00530E32">
              <w:t xml:space="preserve"> </w:t>
            </w:r>
            <w:r>
              <w:t xml:space="preserve">3 mL </w:t>
            </w:r>
            <w:r w:rsidRPr="00530E32">
              <w:t>bottle plus 60 sterile single use applicators (packaged as 6 blister trays, each containing 10 sterile applicators)</w:t>
            </w:r>
          </w:p>
        </w:tc>
      </w:tr>
      <w:tr w:rsidR="0059719E" w:rsidRPr="00487162" w:rsidTr="00275A7D">
        <w:tc>
          <w:tcPr>
            <w:tcW w:w="2907" w:type="dxa"/>
          </w:tcPr>
          <w:p w:rsidR="0059719E" w:rsidRPr="00530E32" w:rsidRDefault="0059719E" w:rsidP="009B4203">
            <w:pPr>
              <w:rPr>
                <w:i/>
              </w:rPr>
            </w:pPr>
            <w:r w:rsidRPr="00530E32">
              <w:rPr>
                <w:i/>
              </w:rPr>
              <w:t>Approved therapeutic use:</w:t>
            </w:r>
          </w:p>
        </w:tc>
        <w:tc>
          <w:tcPr>
            <w:tcW w:w="6307" w:type="dxa"/>
          </w:tcPr>
          <w:p w:rsidR="0059719E" w:rsidRPr="00530E32" w:rsidRDefault="0059719E" w:rsidP="00AE1C67">
            <w:pPr>
              <w:rPr>
                <w:rFonts w:eastAsia="MS Mincho"/>
                <w:lang w:eastAsia="ja-JP"/>
              </w:rPr>
            </w:pPr>
            <w:r w:rsidRPr="00530E32">
              <w:t>Not applicable</w:t>
            </w:r>
          </w:p>
        </w:tc>
      </w:tr>
      <w:tr w:rsidR="0059719E" w:rsidRPr="00487162" w:rsidTr="00275A7D">
        <w:tc>
          <w:tcPr>
            <w:tcW w:w="2907" w:type="dxa"/>
          </w:tcPr>
          <w:p w:rsidR="0059719E" w:rsidRPr="00487162" w:rsidRDefault="0059719E" w:rsidP="009B4203">
            <w:pPr>
              <w:rPr>
                <w:i/>
              </w:rPr>
            </w:pPr>
            <w:r w:rsidRPr="00487162">
              <w:rPr>
                <w:i/>
              </w:rPr>
              <w:t>Route(s) of administration:</w:t>
            </w:r>
          </w:p>
        </w:tc>
        <w:tc>
          <w:tcPr>
            <w:tcW w:w="6307" w:type="dxa"/>
          </w:tcPr>
          <w:p w:rsidR="0059719E" w:rsidRPr="00487162" w:rsidRDefault="0059719E" w:rsidP="009B4203">
            <w:r>
              <w:t>Topical</w:t>
            </w:r>
          </w:p>
        </w:tc>
      </w:tr>
      <w:tr w:rsidR="0059719E" w:rsidRPr="00487162" w:rsidTr="00275A7D">
        <w:tc>
          <w:tcPr>
            <w:tcW w:w="2907" w:type="dxa"/>
          </w:tcPr>
          <w:p w:rsidR="0059719E" w:rsidRPr="00487162" w:rsidRDefault="0059719E" w:rsidP="009B4203">
            <w:pPr>
              <w:rPr>
                <w:i/>
              </w:rPr>
            </w:pPr>
            <w:r w:rsidRPr="00487162">
              <w:rPr>
                <w:i/>
              </w:rPr>
              <w:t>Dosage:</w:t>
            </w:r>
          </w:p>
        </w:tc>
        <w:tc>
          <w:tcPr>
            <w:tcW w:w="6307" w:type="dxa"/>
          </w:tcPr>
          <w:p w:rsidR="0059719E" w:rsidRPr="00487162" w:rsidRDefault="00A80A55" w:rsidP="009B4203">
            <w:pPr>
              <w:spacing w:before="60" w:after="0"/>
              <w:jc w:val="both"/>
            </w:pPr>
            <w:r>
              <w:rPr>
                <w:color w:val="000000"/>
                <w:lang w:val="en-GB"/>
              </w:rPr>
              <w:t>Not applicable</w:t>
            </w:r>
          </w:p>
        </w:tc>
      </w:tr>
      <w:tr w:rsidR="0059719E" w:rsidRPr="00487162" w:rsidTr="00275A7D">
        <w:tc>
          <w:tcPr>
            <w:tcW w:w="2907" w:type="dxa"/>
          </w:tcPr>
          <w:p w:rsidR="0059719E" w:rsidRPr="00487162" w:rsidRDefault="0059719E" w:rsidP="009B4203">
            <w:pPr>
              <w:rPr>
                <w:i/>
              </w:rPr>
            </w:pPr>
            <w:r w:rsidRPr="00487162">
              <w:rPr>
                <w:i/>
              </w:rPr>
              <w:t xml:space="preserve">ARTG </w:t>
            </w:r>
            <w:r>
              <w:rPr>
                <w:i/>
              </w:rPr>
              <w:t>n</w:t>
            </w:r>
            <w:r w:rsidRPr="00487162">
              <w:rPr>
                <w:i/>
              </w:rPr>
              <w:t>umber (s)</w:t>
            </w:r>
            <w:r>
              <w:rPr>
                <w:i/>
              </w:rPr>
              <w:t>:</w:t>
            </w:r>
          </w:p>
        </w:tc>
        <w:tc>
          <w:tcPr>
            <w:tcW w:w="6307" w:type="dxa"/>
          </w:tcPr>
          <w:p w:rsidR="0059719E" w:rsidRPr="00487162" w:rsidRDefault="00A80A55" w:rsidP="00A80A55">
            <w:r>
              <w:t>not applicable</w:t>
            </w:r>
          </w:p>
        </w:tc>
      </w:tr>
    </w:tbl>
    <w:p w:rsidR="0059719E" w:rsidRDefault="0059719E" w:rsidP="0059719E">
      <w:pPr>
        <w:pStyle w:val="Heading3"/>
      </w:pPr>
      <w:bookmarkStart w:id="16" w:name="_Toc247691503"/>
      <w:bookmarkStart w:id="17" w:name="_Toc314842484"/>
      <w:bookmarkStart w:id="18" w:name="_Toc388513972"/>
      <w:bookmarkStart w:id="19" w:name="_Toc55464712"/>
      <w:r>
        <w:t>Product background</w:t>
      </w:r>
      <w:bookmarkEnd w:id="16"/>
      <w:bookmarkEnd w:id="17"/>
      <w:bookmarkEnd w:id="18"/>
      <w:bookmarkEnd w:id="19"/>
    </w:p>
    <w:p w:rsidR="0059719E" w:rsidRPr="00E400AC" w:rsidRDefault="0059719E" w:rsidP="0059719E">
      <w:bookmarkStart w:id="20" w:name="_Toc314842485"/>
      <w:bookmarkStart w:id="21" w:name="_Toc247691504"/>
      <w:r w:rsidRPr="00E400AC">
        <w:t xml:space="preserve">This </w:t>
      </w:r>
      <w:r w:rsidRPr="00940A89">
        <w:t xml:space="preserve">AusPAR describes the </w:t>
      </w:r>
      <w:r w:rsidRPr="00E400AC">
        <w:t xml:space="preserve">application </w:t>
      </w:r>
      <w:r>
        <w:t xml:space="preserve">by Allergan Pty Ltd </w:t>
      </w:r>
      <w:r w:rsidRPr="00E400AC">
        <w:t>to registe</w:t>
      </w:r>
      <w:r>
        <w:t xml:space="preserve">r </w:t>
      </w:r>
      <w:proofErr w:type="spellStart"/>
      <w:r>
        <w:t>Latisse</w:t>
      </w:r>
      <w:proofErr w:type="spellEnd"/>
      <w:r>
        <w:t xml:space="preserve"> (</w:t>
      </w:r>
      <w:proofErr w:type="spellStart"/>
      <w:r>
        <w:t>bimatoprost</w:t>
      </w:r>
      <w:proofErr w:type="spellEnd"/>
      <w:r>
        <w:t xml:space="preserve"> 0.3 mg/mL topical solution)</w:t>
      </w:r>
      <w:r w:rsidRPr="00E400AC">
        <w:t xml:space="preserve"> for the following therapeutic indication:</w:t>
      </w:r>
    </w:p>
    <w:p w:rsidR="0059719E" w:rsidRPr="00E400AC" w:rsidRDefault="0059719E" w:rsidP="0059719E">
      <w:pPr>
        <w:ind w:left="720"/>
        <w:rPr>
          <w:i/>
        </w:rPr>
      </w:pPr>
      <w:r w:rsidRPr="00E400AC">
        <w:rPr>
          <w:i/>
        </w:rPr>
        <w:lastRenderedPageBreak/>
        <w:t xml:space="preserve">For treatment of </w:t>
      </w:r>
      <w:proofErr w:type="spellStart"/>
      <w:r w:rsidRPr="00E400AC">
        <w:rPr>
          <w:i/>
        </w:rPr>
        <w:t>hypotrichosis</w:t>
      </w:r>
      <w:proofErr w:type="spellEnd"/>
      <w:r w:rsidRPr="00E400AC">
        <w:rPr>
          <w:i/>
        </w:rPr>
        <w:t xml:space="preserve"> of the eyelashes by increasing their growth, including length, thickness and darkness.</w:t>
      </w:r>
    </w:p>
    <w:p w:rsidR="0059719E" w:rsidRDefault="0059719E" w:rsidP="0059719E">
      <w:pPr>
        <w:pStyle w:val="Standard"/>
        <w:rPr>
          <w:kern w:val="2"/>
        </w:rPr>
      </w:pPr>
      <w:proofErr w:type="spellStart"/>
      <w:r w:rsidRPr="004809BB">
        <w:rPr>
          <w:kern w:val="2"/>
        </w:rPr>
        <w:t>Bimatoprost</w:t>
      </w:r>
      <w:proofErr w:type="spellEnd"/>
      <w:r w:rsidRPr="004809BB">
        <w:rPr>
          <w:kern w:val="2"/>
        </w:rPr>
        <w:t xml:space="preserve"> is a synthetic </w:t>
      </w:r>
      <w:proofErr w:type="spellStart"/>
      <w:r w:rsidRPr="004809BB">
        <w:rPr>
          <w:kern w:val="2"/>
        </w:rPr>
        <w:t>prostamide</w:t>
      </w:r>
      <w:proofErr w:type="spellEnd"/>
      <w:r w:rsidRPr="004809BB">
        <w:rPr>
          <w:kern w:val="2"/>
        </w:rPr>
        <w:t xml:space="preserve"> (prostaglandin </w:t>
      </w:r>
      <w:proofErr w:type="spellStart"/>
      <w:r w:rsidRPr="004809BB">
        <w:rPr>
          <w:kern w:val="2"/>
        </w:rPr>
        <w:t>ethanolamide</w:t>
      </w:r>
      <w:proofErr w:type="spellEnd"/>
      <w:r w:rsidRPr="004809BB">
        <w:rPr>
          <w:kern w:val="2"/>
        </w:rPr>
        <w:t>), structurally related to prostaglandin F</w:t>
      </w:r>
      <w:r w:rsidRPr="004809BB">
        <w:rPr>
          <w:kern w:val="2"/>
          <w:vertAlign w:val="subscript"/>
        </w:rPr>
        <w:t>2</w:t>
      </w:r>
      <w:r>
        <w:rPr>
          <w:kern w:val="2"/>
          <w:vertAlign w:val="subscript"/>
        </w:rPr>
        <w:sym w:font="Symbol" w:char="F061"/>
      </w:r>
      <w:r w:rsidRPr="004809BB">
        <w:rPr>
          <w:kern w:val="2"/>
        </w:rPr>
        <w:t xml:space="preserve"> (PGF</w:t>
      </w:r>
      <w:r w:rsidRPr="004809BB">
        <w:rPr>
          <w:kern w:val="2"/>
          <w:vertAlign w:val="subscript"/>
        </w:rPr>
        <w:t>2</w:t>
      </w:r>
      <w:r>
        <w:rPr>
          <w:kern w:val="2"/>
          <w:vertAlign w:val="subscript"/>
        </w:rPr>
        <w:sym w:font="Symbol" w:char="F061"/>
      </w:r>
      <w:r w:rsidRPr="004809BB">
        <w:rPr>
          <w:kern w:val="2"/>
        </w:rPr>
        <w:t>).</w:t>
      </w:r>
    </w:p>
    <w:p w:rsidR="0059719E" w:rsidRDefault="0059719E" w:rsidP="0059719E">
      <w:pPr>
        <w:pStyle w:val="Standard"/>
        <w:rPr>
          <w:kern w:val="2"/>
        </w:rPr>
      </w:pPr>
      <w:r w:rsidRPr="00EA38D1">
        <w:rPr>
          <w:kern w:val="2"/>
        </w:rPr>
        <w:t xml:space="preserve">When treating with </w:t>
      </w:r>
      <w:proofErr w:type="spellStart"/>
      <w:r w:rsidRPr="00EA38D1">
        <w:t>Latisse</w:t>
      </w:r>
      <w:proofErr w:type="spellEnd"/>
      <w:r w:rsidRPr="00EA38D1">
        <w:rPr>
          <w:kern w:val="2"/>
        </w:rPr>
        <w:t>, one drop of solution is to be applied to the upper eyelid margin at the base of the eyelashes per day</w:t>
      </w:r>
      <w:r w:rsidRPr="004E2F70">
        <w:t xml:space="preserve"> using an applicator</w:t>
      </w:r>
      <w:r w:rsidRPr="004E2F70">
        <w:rPr>
          <w:kern w:val="2"/>
        </w:rPr>
        <w:t xml:space="preserve">. </w:t>
      </w:r>
      <w:r w:rsidRPr="004E2F70">
        <w:t>A new sterile applicator is to be used for each eye. The lower eyelash line is not to be treated.</w:t>
      </w:r>
      <w:r w:rsidRPr="00A01760">
        <w:rPr>
          <w:kern w:val="2"/>
        </w:rPr>
        <w:t xml:space="preserve"> </w:t>
      </w:r>
    </w:p>
    <w:p w:rsidR="0059719E" w:rsidRPr="00E400AC" w:rsidRDefault="0059719E" w:rsidP="0059719E">
      <w:r>
        <w:t xml:space="preserve">This application for registration of </w:t>
      </w:r>
      <w:proofErr w:type="spellStart"/>
      <w:r>
        <w:t>Latisse</w:t>
      </w:r>
      <w:proofErr w:type="spellEnd"/>
      <w:r>
        <w:t xml:space="preserve"> involves</w:t>
      </w:r>
      <w:r w:rsidRPr="00E400AC">
        <w:t>:</w:t>
      </w:r>
    </w:p>
    <w:p w:rsidR="0059719E" w:rsidRPr="00E400AC" w:rsidRDefault="0059719E" w:rsidP="0059719E">
      <w:pPr>
        <w:pStyle w:val="ListBullet"/>
        <w:numPr>
          <w:ilvl w:val="0"/>
          <w:numId w:val="3"/>
        </w:numPr>
      </w:pPr>
      <w:r w:rsidRPr="00E400AC">
        <w:t xml:space="preserve">A new </w:t>
      </w:r>
      <w:r>
        <w:t xml:space="preserve">route of administration and </w:t>
      </w:r>
      <w:r w:rsidRPr="00E400AC">
        <w:t>dosage form</w:t>
      </w:r>
      <w:r>
        <w:t>:</w:t>
      </w:r>
      <w:r w:rsidRPr="00E400AC">
        <w:t xml:space="preserve"> 3</w:t>
      </w:r>
      <w:r>
        <w:t xml:space="preserve"> </w:t>
      </w:r>
      <w:r w:rsidRPr="00E400AC">
        <w:t>mL fill in 5</w:t>
      </w:r>
      <w:r>
        <w:t xml:space="preserve"> </w:t>
      </w:r>
      <w:r w:rsidRPr="00E400AC">
        <w:t>mL dropper bottle plus 60 sterile, single use, applicators. The package is classifi</w:t>
      </w:r>
      <w:r>
        <w:t xml:space="preserve">ed as a medicinal kit (Section 7B </w:t>
      </w:r>
      <w:r w:rsidRPr="00F76F00">
        <w:rPr>
          <w:i/>
        </w:rPr>
        <w:t>Therapeutic Goods Act</w:t>
      </w:r>
      <w:r w:rsidRPr="00E400AC">
        <w:t xml:space="preserve"> 1989).</w:t>
      </w:r>
    </w:p>
    <w:p w:rsidR="0059719E" w:rsidRPr="005D1113" w:rsidRDefault="0059719E" w:rsidP="00275A7D">
      <w:pPr>
        <w:pStyle w:val="ListBullet"/>
        <w:rPr>
          <w:strike/>
        </w:rPr>
      </w:pPr>
      <w:r w:rsidRPr="00E400AC">
        <w:t>New indication</w:t>
      </w:r>
      <w:r w:rsidRPr="005D1113">
        <w:t xml:space="preserve">. </w:t>
      </w:r>
    </w:p>
    <w:p w:rsidR="0059719E" w:rsidRPr="00E400AC" w:rsidRDefault="0059719E" w:rsidP="0059719E">
      <w:pPr>
        <w:pStyle w:val="ListBullet"/>
        <w:numPr>
          <w:ilvl w:val="0"/>
          <w:numId w:val="3"/>
        </w:numPr>
      </w:pPr>
      <w:r w:rsidRPr="00E400AC">
        <w:t>A new tradename (</w:t>
      </w:r>
      <w:proofErr w:type="spellStart"/>
      <w:r w:rsidRPr="00E400AC">
        <w:t>Latisse</w:t>
      </w:r>
      <w:proofErr w:type="spellEnd"/>
      <w:r w:rsidRPr="00E400AC">
        <w:t>)</w:t>
      </w:r>
    </w:p>
    <w:p w:rsidR="0059719E" w:rsidRPr="00E400AC" w:rsidRDefault="0059719E" w:rsidP="0059719E">
      <w:r>
        <w:t>This</w:t>
      </w:r>
      <w:r w:rsidRPr="00E400AC">
        <w:t xml:space="preserve"> is a re-submissi</w:t>
      </w:r>
      <w:r>
        <w:t>on the original application</w:t>
      </w:r>
      <w:r w:rsidRPr="00E400AC">
        <w:t xml:space="preserve"> </w:t>
      </w:r>
      <w:r>
        <w:t xml:space="preserve">which </w:t>
      </w:r>
      <w:r w:rsidRPr="00E400AC">
        <w:t>was wi</w:t>
      </w:r>
      <w:r>
        <w:t>thdrawn by the sponsor prior to presentation to</w:t>
      </w:r>
      <w:r w:rsidRPr="00E400AC">
        <w:t xml:space="preserve"> </w:t>
      </w:r>
      <w:r>
        <w:t>the TGA’s Advisory Committee on Prescription Medicines (ACPM)</w:t>
      </w:r>
      <w:r w:rsidRPr="00E400AC">
        <w:t>.</w:t>
      </w:r>
    </w:p>
    <w:p w:rsidR="0059719E" w:rsidRPr="003F31A2" w:rsidRDefault="0059719E" w:rsidP="0059719E">
      <w:pPr>
        <w:pStyle w:val="Heading3"/>
      </w:pPr>
      <w:bookmarkStart w:id="22" w:name="_Toc388513973"/>
      <w:bookmarkStart w:id="23" w:name="_Toc55464713"/>
      <w:r>
        <w:t>Regulatory status</w:t>
      </w:r>
      <w:bookmarkEnd w:id="20"/>
      <w:bookmarkEnd w:id="22"/>
      <w:bookmarkEnd w:id="23"/>
      <w:r>
        <w:t xml:space="preserve"> </w:t>
      </w:r>
      <w:bookmarkEnd w:id="21"/>
    </w:p>
    <w:p w:rsidR="0059719E" w:rsidRDefault="0059719E" w:rsidP="0059719E">
      <w:bookmarkStart w:id="24" w:name="_Toc247691505"/>
      <w:bookmarkStart w:id="25" w:name="_Toc314842486"/>
      <w:proofErr w:type="spellStart"/>
      <w:r w:rsidRPr="00B47BFD">
        <w:t>Latisse</w:t>
      </w:r>
      <w:proofErr w:type="spellEnd"/>
      <w:r w:rsidRPr="00B47BFD">
        <w:t xml:space="preserve"> topical solution for treatment of </w:t>
      </w:r>
      <w:proofErr w:type="spellStart"/>
      <w:r w:rsidRPr="00B47BFD">
        <w:t>hypotrichosis</w:t>
      </w:r>
      <w:proofErr w:type="spellEnd"/>
      <w:r w:rsidRPr="00B47BFD">
        <w:t xml:space="preserve"> has been registered in the USA (2008) and Canada (2009)</w:t>
      </w:r>
      <w:r>
        <w:t>. An application to the EU was withdrawn.</w:t>
      </w:r>
      <w:r w:rsidRPr="00B47BFD">
        <w:t xml:space="preserve"> </w:t>
      </w:r>
    </w:p>
    <w:p w:rsidR="00431C05" w:rsidRDefault="00431C05" w:rsidP="00431C05">
      <w:pPr>
        <w:pStyle w:val="Heading3"/>
      </w:pPr>
      <w:bookmarkStart w:id="26" w:name="_Toc443666072"/>
      <w:bookmarkStart w:id="27" w:name="_Toc55464714"/>
      <w:r>
        <w:t>Product Information</w:t>
      </w:r>
      <w:bookmarkEnd w:id="26"/>
      <w:bookmarkEnd w:id="27"/>
    </w:p>
    <w:p w:rsidR="0059719E" w:rsidRPr="003602A9" w:rsidRDefault="00431C05" w:rsidP="0059719E">
      <w:pPr>
        <w:pStyle w:val="Heading2"/>
        <w:ind w:left="-11"/>
      </w:pPr>
      <w:bookmarkStart w:id="28" w:name="_Toc55464715"/>
      <w:r w:rsidRPr="00940A89">
        <w:t>Th</w:t>
      </w:r>
      <w:r>
        <w:t xml:space="preserve">is product is no longer registered on the Australian Register of Therapeutic Goods and therefore there is no Australian Product Information (PI) </w:t>
      </w:r>
      <w:proofErr w:type="spellStart"/>
      <w:r>
        <w:t>available</w:t>
      </w:r>
      <w:r w:rsidRPr="00940A89">
        <w:t>.</w:t>
      </w:r>
      <w:bookmarkStart w:id="29" w:name="_Toc247691506"/>
      <w:bookmarkStart w:id="30" w:name="_Toc314842487"/>
      <w:bookmarkStart w:id="31" w:name="_Toc388513974"/>
      <w:bookmarkEnd w:id="24"/>
      <w:bookmarkEnd w:id="25"/>
      <w:r w:rsidR="0059719E">
        <w:t>II</w:t>
      </w:r>
      <w:proofErr w:type="spellEnd"/>
      <w:r w:rsidR="0059719E">
        <w:t>. Quality findings</w:t>
      </w:r>
      <w:bookmarkEnd w:id="29"/>
      <w:bookmarkEnd w:id="30"/>
      <w:bookmarkEnd w:id="31"/>
      <w:bookmarkEnd w:id="28"/>
    </w:p>
    <w:p w:rsidR="0059719E" w:rsidRDefault="0059719E" w:rsidP="0059719E">
      <w:pPr>
        <w:pStyle w:val="Heading3"/>
      </w:pPr>
      <w:bookmarkStart w:id="32" w:name="_Toc388513975"/>
      <w:bookmarkStart w:id="33" w:name="_Toc247691507"/>
      <w:bookmarkStart w:id="34" w:name="_Toc314842488"/>
      <w:bookmarkStart w:id="35" w:name="_Toc55464716"/>
      <w:r w:rsidRPr="00940A89">
        <w:t>Introduction</w:t>
      </w:r>
      <w:bookmarkEnd w:id="32"/>
      <w:bookmarkEnd w:id="35"/>
      <w:r w:rsidRPr="00940A89">
        <w:t xml:space="preserve"> </w:t>
      </w:r>
    </w:p>
    <w:p w:rsidR="0059719E" w:rsidRDefault="0059719E" w:rsidP="0059719E">
      <w:r>
        <w:t xml:space="preserve">The proposed product and the applicators are supplied together in one package, as a “medicinal kit”. </w:t>
      </w:r>
    </w:p>
    <w:p w:rsidR="0059719E" w:rsidRPr="00D4322F" w:rsidRDefault="0059719E" w:rsidP="0059719E">
      <w:r>
        <w:t xml:space="preserve">There are no British Pharmacopeia (BP)/European Pharmacopeia (Ph. Eur.)/or US Pharmacopeia (USP) monographs for </w:t>
      </w:r>
      <w:proofErr w:type="spellStart"/>
      <w:r>
        <w:t>bimatoprost</w:t>
      </w:r>
      <w:proofErr w:type="spellEnd"/>
      <w:r>
        <w:t xml:space="preserve"> or products containing it.</w:t>
      </w:r>
    </w:p>
    <w:p w:rsidR="0059719E" w:rsidRPr="00A821AF" w:rsidRDefault="0059719E" w:rsidP="0059719E">
      <w:pPr>
        <w:pStyle w:val="Heading3"/>
      </w:pPr>
      <w:bookmarkStart w:id="36" w:name="_Toc388513976"/>
      <w:bookmarkStart w:id="37" w:name="_Toc55464717"/>
      <w:r w:rsidRPr="008751DC">
        <w:t xml:space="preserve">Drug </w:t>
      </w:r>
      <w:r>
        <w:t>s</w:t>
      </w:r>
      <w:r w:rsidRPr="008751DC">
        <w:t>ubstance</w:t>
      </w:r>
      <w:r>
        <w:t xml:space="preserve"> (active ingredient)</w:t>
      </w:r>
      <w:bookmarkEnd w:id="33"/>
      <w:bookmarkEnd w:id="34"/>
      <w:bookmarkEnd w:id="36"/>
      <w:bookmarkEnd w:id="37"/>
    </w:p>
    <w:p w:rsidR="0059719E" w:rsidRDefault="0059719E" w:rsidP="0059719E">
      <w:r>
        <w:t xml:space="preserve">The details of the drug substance have been evaluated by the TGA in a previous submission, including the manufacture sites of </w:t>
      </w:r>
      <w:proofErr w:type="spellStart"/>
      <w:r>
        <w:t>bimatoprost</w:t>
      </w:r>
      <w:proofErr w:type="spellEnd"/>
      <w:r>
        <w:t xml:space="preserve">, apart from editorial updating of test method numbers (but not the methods themselves), which are the same independent of manufacturing site. These changes are acceptable. </w:t>
      </w:r>
    </w:p>
    <w:p w:rsidR="0059719E" w:rsidRPr="00A821AF" w:rsidRDefault="0059719E" w:rsidP="0059719E">
      <w:pPr>
        <w:pStyle w:val="Heading3"/>
      </w:pPr>
      <w:bookmarkStart w:id="38" w:name="_Toc247691508"/>
      <w:bookmarkStart w:id="39" w:name="_Toc314842490"/>
      <w:bookmarkStart w:id="40" w:name="_Toc388513977"/>
      <w:bookmarkStart w:id="41" w:name="_Toc55464718"/>
      <w:r w:rsidRPr="008751DC">
        <w:lastRenderedPageBreak/>
        <w:t xml:space="preserve">Drug </w:t>
      </w:r>
      <w:r>
        <w:t>p</w:t>
      </w:r>
      <w:r w:rsidRPr="008751DC">
        <w:t>roduct</w:t>
      </w:r>
      <w:bookmarkEnd w:id="38"/>
      <w:bookmarkEnd w:id="39"/>
      <w:bookmarkEnd w:id="40"/>
      <w:bookmarkEnd w:id="41"/>
    </w:p>
    <w:p w:rsidR="0059719E" w:rsidRDefault="0059719E" w:rsidP="0059719E">
      <w:r>
        <w:t xml:space="preserve">The differences in this application compared to the previous submission relate to the additional sites for manufacturing of filled bottles and additional sites for sterilisation of empty bottles, bottle caps and tips. These are acceptable, as additional </w:t>
      </w:r>
      <w:r w:rsidR="009B4203">
        <w:t xml:space="preserve">evidence for </w:t>
      </w:r>
      <w:r>
        <w:t xml:space="preserve">Good Manufacturing Practice (GMP) pre-clearance for additional sites have been provided. </w:t>
      </w:r>
    </w:p>
    <w:p w:rsidR="0059719E" w:rsidRDefault="0059719E" w:rsidP="0059719E">
      <w:r>
        <w:t xml:space="preserve">The differences between this submission and the previously approved submission have been accepted with </w:t>
      </w:r>
      <w:r w:rsidR="009B4203">
        <w:t xml:space="preserve">respect </w:t>
      </w:r>
      <w:r>
        <w:t>to finished product specifications including justifications for impurities levels at release and expiry</w:t>
      </w:r>
      <w:r w:rsidR="009B4203">
        <w:t>.</w:t>
      </w:r>
      <w:r>
        <w:t xml:space="preserve"> </w:t>
      </w:r>
    </w:p>
    <w:p w:rsidR="0059719E" w:rsidRPr="00C03860" w:rsidRDefault="0059719E" w:rsidP="0059719E">
      <w:r w:rsidRPr="00C03860">
        <w:t>The stability data support the proposed shelf-life of 2 years stored below 25°C for the unopened product and 4 weeks in-use shelf-life for opened product.</w:t>
      </w:r>
    </w:p>
    <w:p w:rsidR="0059719E" w:rsidRPr="00C03860" w:rsidRDefault="0059719E" w:rsidP="0059719E">
      <w:r w:rsidRPr="00C03860">
        <w:t xml:space="preserve">The chemistry and quality control aspects of the draft PI have been finalised to the satisfactory of the </w:t>
      </w:r>
      <w:r>
        <w:t>quality</w:t>
      </w:r>
      <w:r w:rsidRPr="00C03860">
        <w:t xml:space="preserve"> evaluator; as well as the carton and bottle labels and the Provisional ARTG Records.</w:t>
      </w:r>
    </w:p>
    <w:p w:rsidR="0059719E" w:rsidRDefault="0059719E" w:rsidP="0059719E">
      <w:pPr>
        <w:pStyle w:val="Heading3"/>
      </w:pPr>
      <w:bookmarkStart w:id="42" w:name="_Toc314842491"/>
      <w:bookmarkStart w:id="43" w:name="_Toc388513978"/>
      <w:bookmarkStart w:id="44" w:name="_Toc55464719"/>
      <w:r>
        <w:t>Biopharmaceutics</w:t>
      </w:r>
      <w:bookmarkEnd w:id="42"/>
      <w:bookmarkEnd w:id="43"/>
      <w:bookmarkEnd w:id="44"/>
    </w:p>
    <w:p w:rsidR="0059719E" w:rsidRDefault="0059719E" w:rsidP="0059719E">
      <w:bookmarkStart w:id="45" w:name="_Toc314842492"/>
      <w:r w:rsidRPr="00B370C8">
        <w:t>No bioavailability data</w:t>
      </w:r>
      <w:r>
        <w:t xml:space="preserve"> are required as the proposed product is intended to act locally, without systemic absorption. The quality evaluator has not reviewed the pharmacokinetic section of the PI.</w:t>
      </w:r>
    </w:p>
    <w:p w:rsidR="0059719E" w:rsidRPr="008751DC" w:rsidRDefault="0059719E" w:rsidP="0059719E">
      <w:pPr>
        <w:pStyle w:val="Heading3"/>
      </w:pPr>
      <w:bookmarkStart w:id="46" w:name="_Toc247691509"/>
      <w:bookmarkStart w:id="47" w:name="_Toc314842493"/>
      <w:bookmarkStart w:id="48" w:name="_Toc388513979"/>
      <w:bookmarkStart w:id="49" w:name="_Toc55464720"/>
      <w:bookmarkEnd w:id="45"/>
      <w:r>
        <w:t>Quality s</w:t>
      </w:r>
      <w:r w:rsidRPr="008751DC">
        <w:t>ummary</w:t>
      </w:r>
      <w:r>
        <w:t xml:space="preserve"> and conclusions</w:t>
      </w:r>
      <w:bookmarkEnd w:id="46"/>
      <w:bookmarkEnd w:id="47"/>
      <w:bookmarkEnd w:id="48"/>
      <w:bookmarkEnd w:id="49"/>
    </w:p>
    <w:p w:rsidR="0059719E" w:rsidRDefault="0059719E" w:rsidP="0059719E">
      <w:r>
        <w:t>All issues raised with regards to sterility aspect</w:t>
      </w:r>
      <w:r w:rsidR="009B4203">
        <w:t>s</w:t>
      </w:r>
      <w:r>
        <w:t xml:space="preserve"> have been adequately addressed during Second Round evaluation. </w:t>
      </w:r>
    </w:p>
    <w:p w:rsidR="0059719E" w:rsidRPr="00933322" w:rsidRDefault="0059719E" w:rsidP="0059719E">
      <w:r w:rsidRPr="00933322">
        <w:t>Overall,</w:t>
      </w:r>
    </w:p>
    <w:p w:rsidR="0059719E" w:rsidRDefault="0059719E" w:rsidP="0059719E">
      <w:pPr>
        <w:pStyle w:val="ListBullet"/>
        <w:numPr>
          <w:ilvl w:val="0"/>
          <w:numId w:val="3"/>
        </w:numPr>
      </w:pPr>
      <w:r w:rsidRPr="00A90DBC">
        <w:t xml:space="preserve">There are no outstanding issues from </w:t>
      </w:r>
      <w:r>
        <w:t>quality</w:t>
      </w:r>
      <w:r w:rsidRPr="00A90DBC">
        <w:t xml:space="preserve"> </w:t>
      </w:r>
      <w:r>
        <w:t xml:space="preserve">or sterility </w:t>
      </w:r>
      <w:r w:rsidRPr="00A90DBC">
        <w:t>perspective</w:t>
      </w:r>
      <w:r>
        <w:t>; hence</w:t>
      </w:r>
      <w:r w:rsidRPr="00A90DBC">
        <w:t xml:space="preserve"> approval can be recommended</w:t>
      </w:r>
      <w:r>
        <w:t xml:space="preserve"> from chemistry, quality control and biopharmaceutics perspective</w:t>
      </w:r>
      <w:r w:rsidRPr="00A90DBC">
        <w:t>.</w:t>
      </w:r>
      <w:r>
        <w:t xml:space="preserve"> </w:t>
      </w:r>
    </w:p>
    <w:p w:rsidR="0059719E" w:rsidRPr="00933322" w:rsidRDefault="0059719E" w:rsidP="0059719E">
      <w:pPr>
        <w:pStyle w:val="ListBullet"/>
        <w:numPr>
          <w:ilvl w:val="0"/>
          <w:numId w:val="3"/>
        </w:numPr>
      </w:pPr>
      <w:r w:rsidRPr="00933322">
        <w:t>Given that this is a “new</w:t>
      </w:r>
      <w:r>
        <w:t xml:space="preserve"> route of administration and</w:t>
      </w:r>
      <w:r w:rsidRPr="00933322">
        <w:t xml:space="preserve"> dosage form</w:t>
      </w:r>
      <w:r>
        <w:t>”</w:t>
      </w:r>
      <w:r w:rsidRPr="00933322">
        <w:t xml:space="preserve"> and </w:t>
      </w:r>
      <w:r>
        <w:t xml:space="preserve">an “extension of </w:t>
      </w:r>
      <w:r w:rsidRPr="00933322">
        <w:t>indication”</w:t>
      </w:r>
      <w:r>
        <w:t xml:space="preserve"> </w:t>
      </w:r>
      <w:r w:rsidRPr="00933322">
        <w:t>no new issues</w:t>
      </w:r>
      <w:r w:rsidR="00C33EA4">
        <w:t xml:space="preserve"> were identified which required</w:t>
      </w:r>
      <w:r w:rsidRPr="00933322">
        <w:t xml:space="preserve"> </w:t>
      </w:r>
      <w:r>
        <w:t xml:space="preserve">details </w:t>
      </w:r>
      <w:r w:rsidR="00C33EA4">
        <w:t>of the product to be</w:t>
      </w:r>
      <w:r w:rsidRPr="00933322">
        <w:t xml:space="preserve"> present</w:t>
      </w:r>
      <w:r>
        <w:t>ed</w:t>
      </w:r>
      <w:r w:rsidRPr="00933322">
        <w:t xml:space="preserve"> </w:t>
      </w:r>
      <w:r>
        <w:t xml:space="preserve">for consideration by </w:t>
      </w:r>
      <w:r w:rsidRPr="00933322">
        <w:t xml:space="preserve">the Pharmaceutical Subcommittee of ACPM (PSC). </w:t>
      </w:r>
    </w:p>
    <w:p w:rsidR="0059719E" w:rsidRDefault="0059719E" w:rsidP="0059719E">
      <w:pPr>
        <w:pStyle w:val="Heading2"/>
      </w:pPr>
      <w:bookmarkStart w:id="50" w:name="_Toc196046439"/>
      <w:bookmarkStart w:id="51" w:name="_Toc247691510"/>
      <w:bookmarkStart w:id="52" w:name="_Toc314842494"/>
      <w:bookmarkStart w:id="53" w:name="_Toc388513980"/>
      <w:bookmarkStart w:id="54" w:name="_Toc55464721"/>
      <w:r>
        <w:t>III. Nonclinical</w:t>
      </w:r>
      <w:bookmarkEnd w:id="50"/>
      <w:r>
        <w:t xml:space="preserve"> findings</w:t>
      </w:r>
      <w:bookmarkEnd w:id="51"/>
      <w:bookmarkEnd w:id="52"/>
      <w:bookmarkEnd w:id="53"/>
      <w:bookmarkEnd w:id="54"/>
    </w:p>
    <w:p w:rsidR="0059719E" w:rsidRDefault="0059719E" w:rsidP="0059719E">
      <w:pPr>
        <w:pStyle w:val="Heading3"/>
      </w:pPr>
      <w:bookmarkStart w:id="55" w:name="_Toc247691511"/>
      <w:bookmarkStart w:id="56" w:name="_Toc314842495"/>
      <w:bookmarkStart w:id="57" w:name="_Toc388513981"/>
      <w:bookmarkStart w:id="58" w:name="_Toc55464722"/>
      <w:r>
        <w:t>Introduction</w:t>
      </w:r>
      <w:bookmarkEnd w:id="55"/>
      <w:bookmarkEnd w:id="56"/>
      <w:bookmarkEnd w:id="57"/>
      <w:bookmarkEnd w:id="58"/>
      <w:r>
        <w:tab/>
      </w:r>
    </w:p>
    <w:p w:rsidR="0059719E" w:rsidRPr="004334C7" w:rsidRDefault="0059719E" w:rsidP="0059719E">
      <w:r>
        <w:t xml:space="preserve">Nonclinical data submitted in support of the extension of indication and new route of administration comprised pharmacology studies investigating the effect of </w:t>
      </w:r>
      <w:proofErr w:type="spellStart"/>
      <w:r>
        <w:t>bimatoprost</w:t>
      </w:r>
      <w:proofErr w:type="spellEnd"/>
      <w:r>
        <w:t xml:space="preserve"> on hair growth and pharmacokinetic studies on dermal absorption.</w:t>
      </w:r>
    </w:p>
    <w:p w:rsidR="0059719E" w:rsidRDefault="0059719E" w:rsidP="0059719E">
      <w:pPr>
        <w:pStyle w:val="Heading3"/>
      </w:pPr>
      <w:bookmarkStart w:id="59" w:name="_Toc247691512"/>
      <w:bookmarkStart w:id="60" w:name="_Toc314842496"/>
      <w:bookmarkStart w:id="61" w:name="_Toc388513982"/>
      <w:bookmarkStart w:id="62" w:name="_Toc55464723"/>
      <w:r w:rsidRPr="00020030">
        <w:t>Pharmacology</w:t>
      </w:r>
      <w:bookmarkEnd w:id="59"/>
      <w:bookmarkEnd w:id="60"/>
      <w:bookmarkEnd w:id="61"/>
      <w:bookmarkEnd w:id="62"/>
    </w:p>
    <w:p w:rsidR="0059719E" w:rsidRPr="004809BB" w:rsidRDefault="0059719E" w:rsidP="0059719E">
      <w:proofErr w:type="spellStart"/>
      <w:r w:rsidRPr="004809BB">
        <w:t>Bimatoprost</w:t>
      </w:r>
      <w:proofErr w:type="spellEnd"/>
      <w:r w:rsidRPr="004809BB">
        <w:t xml:space="preserve"> is a synthetic </w:t>
      </w:r>
      <w:proofErr w:type="spellStart"/>
      <w:r w:rsidRPr="004809BB">
        <w:t>prostamide</w:t>
      </w:r>
      <w:proofErr w:type="spellEnd"/>
      <w:r w:rsidRPr="004809BB">
        <w:t xml:space="preserve"> (prostaglandin </w:t>
      </w:r>
      <w:proofErr w:type="spellStart"/>
      <w:r w:rsidRPr="004809BB">
        <w:t>ethanolamide</w:t>
      </w:r>
      <w:proofErr w:type="spellEnd"/>
      <w:r w:rsidRPr="004809BB">
        <w:t>), structurally related to prostaglandin F</w:t>
      </w:r>
      <w:r w:rsidRPr="004809BB">
        <w:rPr>
          <w:vertAlign w:val="subscript"/>
        </w:rPr>
        <w:t>2</w:t>
      </w:r>
      <w:r>
        <w:rPr>
          <w:vertAlign w:val="subscript"/>
        </w:rPr>
        <w:sym w:font="Symbol" w:char="F061"/>
      </w:r>
      <w:r w:rsidRPr="004809BB">
        <w:t xml:space="preserve"> (PGF</w:t>
      </w:r>
      <w:r w:rsidRPr="004809BB">
        <w:rPr>
          <w:vertAlign w:val="subscript"/>
        </w:rPr>
        <w:t>2</w:t>
      </w:r>
      <w:r>
        <w:rPr>
          <w:vertAlign w:val="subscript"/>
        </w:rPr>
        <w:sym w:font="Symbol" w:char="F061"/>
      </w:r>
      <w:r w:rsidRPr="004809BB">
        <w:t>).</w:t>
      </w:r>
    </w:p>
    <w:p w:rsidR="0059719E" w:rsidRPr="00FF54EB" w:rsidRDefault="0059719E" w:rsidP="0059719E">
      <w:r>
        <w:t>T</w:t>
      </w:r>
      <w:r w:rsidRPr="0076088D">
        <w:t xml:space="preserve">opical ocular administration of </w:t>
      </w:r>
      <w:r>
        <w:t xml:space="preserve">the </w:t>
      </w:r>
      <w:r w:rsidRPr="0076088D">
        <w:t xml:space="preserve">commercial </w:t>
      </w:r>
      <w:r w:rsidRPr="00B44415">
        <w:t xml:space="preserve">/ </w:t>
      </w:r>
      <w:proofErr w:type="spellStart"/>
      <w:r w:rsidRPr="00B44415">
        <w:t>Latisse</w:t>
      </w:r>
      <w:proofErr w:type="spellEnd"/>
      <w:r w:rsidRPr="0076088D">
        <w:t xml:space="preserve"> formulation</w:t>
      </w:r>
      <w:r>
        <w:t xml:space="preserve"> (0.03% </w:t>
      </w:r>
      <w:proofErr w:type="spellStart"/>
      <w:r w:rsidRPr="00FF54EB">
        <w:t>bimatoprost</w:t>
      </w:r>
      <w:proofErr w:type="spellEnd"/>
      <w:r w:rsidRPr="00FF54EB">
        <w:t xml:space="preserve">) once daily for two weeks significantly increased eyelash length, thickness and number in female C57BL/6 mice. The increase in eyelash number appeared related to an increased number of eyelash follicles containing two hairs, not an increase in the </w:t>
      </w:r>
      <w:r w:rsidRPr="00FF54EB">
        <w:lastRenderedPageBreak/>
        <w:t xml:space="preserve">number of hair follicles. No signs of inflammation, </w:t>
      </w:r>
      <w:proofErr w:type="spellStart"/>
      <w:r w:rsidRPr="00FF54EB">
        <w:t>hyperproliferation</w:t>
      </w:r>
      <w:proofErr w:type="spellEnd"/>
      <w:r w:rsidRPr="00FF54EB">
        <w:t xml:space="preserve"> or other unwanted side effects were noted. While there is no validated animal model for eyelash </w:t>
      </w:r>
      <w:proofErr w:type="spellStart"/>
      <w:r w:rsidRPr="00FF54EB">
        <w:t>hypotrichosis</w:t>
      </w:r>
      <w:proofErr w:type="spellEnd"/>
      <w:r w:rsidRPr="00FF54EB">
        <w:t xml:space="preserve">, the C57BL/6 mouse is a useful model for studying the biology of hair growth. Although the human hair cycle (a mosaic pattern) is different to </w:t>
      </w:r>
      <w:r w:rsidR="00620073">
        <w:t xml:space="preserve">that in </w:t>
      </w:r>
      <w:r w:rsidRPr="00FF54EB">
        <w:t>mice (a synchronous pattern), it is noted that the structure of the hair follicles in the two species is almost the same.</w:t>
      </w:r>
      <w:bookmarkStart w:id="63" w:name="_Ref385409630"/>
      <w:r>
        <w:rPr>
          <w:rStyle w:val="FootnoteReference"/>
          <w:kern w:val="2"/>
        </w:rPr>
        <w:footnoteReference w:id="3"/>
      </w:r>
      <w:bookmarkEnd w:id="63"/>
    </w:p>
    <w:p w:rsidR="0059719E" w:rsidRPr="00FF54EB" w:rsidRDefault="0059719E" w:rsidP="0059719E">
      <w:proofErr w:type="spellStart"/>
      <w:r w:rsidRPr="00FF54EB">
        <w:t>Bimatoprost</w:t>
      </w:r>
      <w:proofErr w:type="spellEnd"/>
      <w:r w:rsidRPr="00FF54EB">
        <w:t xml:space="preserve"> </w:t>
      </w:r>
      <w:r>
        <w:t xml:space="preserve">(≥10 </w:t>
      </w:r>
      <w:proofErr w:type="spellStart"/>
      <w:r>
        <w:t>nM</w:t>
      </w:r>
      <w:proofErr w:type="spellEnd"/>
      <w:r>
        <w:t xml:space="preserve">) </w:t>
      </w:r>
      <w:r w:rsidRPr="00FF54EB">
        <w:t xml:space="preserve">was shown to increase hair synthesis </w:t>
      </w:r>
      <w:r w:rsidRPr="00B44415">
        <w:t>in vitro</w:t>
      </w:r>
      <w:r w:rsidRPr="00FF54EB">
        <w:t xml:space="preserve"> in cultured human scalp hair follicles </w:t>
      </w:r>
      <w:r>
        <w:t>in the growing (</w:t>
      </w:r>
      <w:proofErr w:type="spellStart"/>
      <w:r>
        <w:t>anagen</w:t>
      </w:r>
      <w:proofErr w:type="spellEnd"/>
      <w:r>
        <w:t>) phase</w:t>
      </w:r>
      <w:r w:rsidRPr="00FF54EB">
        <w:t xml:space="preserve">, acting via a </w:t>
      </w:r>
      <w:proofErr w:type="spellStart"/>
      <w:r w:rsidRPr="00FF54EB">
        <w:t>prostamide</w:t>
      </w:r>
      <w:proofErr w:type="spellEnd"/>
      <w:r>
        <w:t xml:space="preserve"> </w:t>
      </w:r>
      <w:r w:rsidRPr="00FF54EB">
        <w:t>receptor dependent mechanism.</w:t>
      </w:r>
    </w:p>
    <w:p w:rsidR="0059719E" w:rsidRDefault="0059719E" w:rsidP="0059719E">
      <w:r w:rsidRPr="00FF54EB">
        <w:t>Effects on hair growth are reported for other members of the class, as well as PGF</w:t>
      </w:r>
      <w:r w:rsidRPr="00FF54EB">
        <w:rPr>
          <w:vertAlign w:val="subscript"/>
        </w:rPr>
        <w:t>2</w:t>
      </w:r>
      <w:r>
        <w:rPr>
          <w:vertAlign w:val="subscript"/>
        </w:rPr>
        <w:sym w:font="Symbol" w:char="F061"/>
      </w:r>
      <w:r w:rsidRPr="00FF54EB">
        <w:t xml:space="preserve">. Application of 100 </w:t>
      </w:r>
      <w:r>
        <w:t>µ</w:t>
      </w:r>
      <w:r w:rsidRPr="00FF54EB">
        <w:t>L of PGF</w:t>
      </w:r>
      <w:r w:rsidRPr="00FF54EB">
        <w:rPr>
          <w:vertAlign w:val="subscript"/>
        </w:rPr>
        <w:t>2</w:t>
      </w:r>
      <w:r>
        <w:rPr>
          <w:vertAlign w:val="subscript"/>
        </w:rPr>
        <w:sym w:font="Symbol" w:char="F061"/>
      </w:r>
      <w:r w:rsidRPr="00FF54EB">
        <w:t xml:space="preserve">, </w:t>
      </w:r>
      <w:proofErr w:type="spellStart"/>
      <w:r w:rsidRPr="00FF54EB">
        <w:t>latanoprost</w:t>
      </w:r>
      <w:proofErr w:type="spellEnd"/>
      <w:r w:rsidRPr="00FF54EB">
        <w:t xml:space="preserve"> (</w:t>
      </w:r>
      <w:proofErr w:type="spellStart"/>
      <w:r w:rsidRPr="00B44415">
        <w:t>Xalatan</w:t>
      </w:r>
      <w:proofErr w:type="spellEnd"/>
      <w:r w:rsidRPr="00FF54EB">
        <w:t xml:space="preserve">; 0.005%) or isopropyl </w:t>
      </w:r>
      <w:proofErr w:type="spellStart"/>
      <w:r w:rsidRPr="00FF54EB">
        <w:t>unoprostone</w:t>
      </w:r>
      <w:proofErr w:type="spellEnd"/>
      <w:r w:rsidRPr="00FF54EB">
        <w:t xml:space="preserve"> (</w:t>
      </w:r>
      <w:proofErr w:type="spellStart"/>
      <w:r w:rsidRPr="00B44415">
        <w:t>Rescula</w:t>
      </w:r>
      <w:proofErr w:type="spellEnd"/>
      <w:r w:rsidRPr="00FF54EB">
        <w:t xml:space="preserve">; 0.12%) to the dorsal skin of </w:t>
      </w:r>
      <w:r>
        <w:t xml:space="preserve">C57BL/6 </w:t>
      </w:r>
      <w:r w:rsidRPr="00FF54EB">
        <w:t>mice once daily for three weeks showed stimulatory effects on hair growth.</w:t>
      </w:r>
      <w:r w:rsidRPr="00B44415">
        <w:rPr>
          <w:vertAlign w:val="superscript"/>
        </w:rPr>
        <w:fldChar w:fldCharType="begin"/>
      </w:r>
      <w:r w:rsidRPr="00B44415">
        <w:rPr>
          <w:vertAlign w:val="superscript"/>
        </w:rPr>
        <w:instrText xml:space="preserve"> NOTEREF _Ref385409630 \h </w:instrText>
      </w:r>
      <w:r>
        <w:rPr>
          <w:vertAlign w:val="superscript"/>
        </w:rPr>
        <w:instrText xml:space="preserve"> \* MERGEFORMAT </w:instrText>
      </w:r>
      <w:r w:rsidRPr="00B44415">
        <w:rPr>
          <w:vertAlign w:val="superscript"/>
        </w:rPr>
      </w:r>
      <w:r w:rsidRPr="00B44415">
        <w:rPr>
          <w:vertAlign w:val="superscript"/>
        </w:rPr>
        <w:fldChar w:fldCharType="separate"/>
      </w:r>
      <w:r w:rsidR="00D8252A">
        <w:rPr>
          <w:vertAlign w:val="superscript"/>
        </w:rPr>
        <w:t>2</w:t>
      </w:r>
      <w:r w:rsidRPr="00B44415">
        <w:rPr>
          <w:vertAlign w:val="superscript"/>
        </w:rPr>
        <w:fldChar w:fldCharType="end"/>
      </w:r>
      <w:r w:rsidRPr="00FF54EB">
        <w:t xml:space="preserve"> All three agents were shown to stimulate murine hair follicles and the follicular melanocytes in both the </w:t>
      </w:r>
      <w:proofErr w:type="spellStart"/>
      <w:r w:rsidRPr="00FF54EB">
        <w:t>telogen</w:t>
      </w:r>
      <w:proofErr w:type="spellEnd"/>
      <w:r w:rsidRPr="00FF54EB">
        <w:t xml:space="preserve"> and </w:t>
      </w:r>
      <w:proofErr w:type="spellStart"/>
      <w:r w:rsidRPr="00FF54EB">
        <w:t>anagen</w:t>
      </w:r>
      <w:proofErr w:type="spellEnd"/>
      <w:r w:rsidRPr="00FF54EB">
        <w:t xml:space="preserve"> phases. Similarly, </w:t>
      </w:r>
      <w:proofErr w:type="spellStart"/>
      <w:r w:rsidRPr="00FF54EB">
        <w:t>latanoprost</w:t>
      </w:r>
      <w:proofErr w:type="spellEnd"/>
      <w:r w:rsidRPr="00FF54EB">
        <w:t xml:space="preserve"> (0.</w:t>
      </w:r>
      <w:r>
        <w:t>5 mL) applied to the scalp of 5 to</w:t>
      </w:r>
      <w:r w:rsidRPr="00FF54EB">
        <w:t>15 year old stump-tailed macaques with moderate to advanced degree of baldness for 5 out of 7 days/week for 4 months at 50 µg/mL with and without an additional 3 months dosing at 500 </w:t>
      </w:r>
      <w:r>
        <w:t>µ</w:t>
      </w:r>
      <w:r w:rsidRPr="00FF54EB">
        <w:t>g/mL, was associated with minimal and moderate to marked hair regrowth, respectively.</w:t>
      </w:r>
      <w:r>
        <w:rPr>
          <w:rStyle w:val="FootnoteReference"/>
          <w:kern w:val="2"/>
        </w:rPr>
        <w:footnoteReference w:id="4"/>
      </w:r>
    </w:p>
    <w:p w:rsidR="0059719E" w:rsidRDefault="0059719E" w:rsidP="0059719E">
      <w:pPr>
        <w:pStyle w:val="Heading3"/>
      </w:pPr>
      <w:bookmarkStart w:id="64" w:name="_Toc247691513"/>
      <w:bookmarkStart w:id="65" w:name="_Toc314842497"/>
      <w:bookmarkStart w:id="66" w:name="_Toc388513983"/>
      <w:bookmarkStart w:id="67" w:name="_Toc55464724"/>
      <w:r>
        <w:t>Pharmacokinetics</w:t>
      </w:r>
      <w:bookmarkEnd w:id="64"/>
      <w:bookmarkEnd w:id="65"/>
      <w:bookmarkEnd w:id="66"/>
      <w:bookmarkEnd w:id="67"/>
    </w:p>
    <w:p w:rsidR="0059719E" w:rsidRDefault="0059719E" w:rsidP="0059719E">
      <w:bookmarkStart w:id="68" w:name="_Toc247691514"/>
      <w:bookmarkStart w:id="69" w:name="_Toc314842498"/>
      <w:r>
        <w:t xml:space="preserve">Limited skin penetration of </w:t>
      </w:r>
      <w:proofErr w:type="spellStart"/>
      <w:r>
        <w:t>bimatoprost</w:t>
      </w:r>
      <w:proofErr w:type="spellEnd"/>
      <w:r>
        <w:t xml:space="preserve"> was demonstrated in a study in mice. </w:t>
      </w:r>
      <w:r w:rsidRPr="00957BA1">
        <w:t xml:space="preserve">Skin and blood concentrations of </w:t>
      </w:r>
      <w:proofErr w:type="spellStart"/>
      <w:r w:rsidRPr="00957BA1">
        <w:t>bimatoprost</w:t>
      </w:r>
      <w:proofErr w:type="spellEnd"/>
      <w:r w:rsidRPr="00957BA1">
        <w:t xml:space="preserve"> increase</w:t>
      </w:r>
      <w:r>
        <w:t>d</w:t>
      </w:r>
      <w:r w:rsidRPr="00957BA1">
        <w:t xml:space="preserve"> in a dose-dependent manner following </w:t>
      </w:r>
      <w:r>
        <w:t xml:space="preserve">application of </w:t>
      </w:r>
      <w:r w:rsidRPr="00957BA1">
        <w:t>0.1</w:t>
      </w:r>
      <w:r>
        <w:t> </w:t>
      </w:r>
      <w:r w:rsidRPr="00957BA1">
        <w:t>mL of a 0.01</w:t>
      </w:r>
      <w:r>
        <w:t xml:space="preserve"> to </w:t>
      </w:r>
      <w:r w:rsidRPr="00957BA1">
        <w:t>0.06% gel formulation to a</w:t>
      </w:r>
      <w:r>
        <w:t xml:space="preserve"> 12 cm</w:t>
      </w:r>
      <w:r w:rsidRPr="00957BA1">
        <w:rPr>
          <w:vertAlign w:val="superscript"/>
        </w:rPr>
        <w:t>2</w:t>
      </w:r>
      <w:r w:rsidRPr="00957BA1">
        <w:t xml:space="preserve"> area on the back </w:t>
      </w:r>
      <w:r>
        <w:t>(</w:t>
      </w:r>
      <w:r w:rsidRPr="00957BA1">
        <w:t>clipped of hair)</w:t>
      </w:r>
      <w:r>
        <w:t>, with s</w:t>
      </w:r>
      <w:r w:rsidRPr="00957BA1">
        <w:t xml:space="preserve">ystemic </w:t>
      </w:r>
      <w:proofErr w:type="spellStart"/>
      <w:r w:rsidRPr="00957BA1">
        <w:t>bimatoprost</w:t>
      </w:r>
      <w:proofErr w:type="spellEnd"/>
      <w:r w:rsidRPr="00957BA1">
        <w:t xml:space="preserve"> exposure represent</w:t>
      </w:r>
      <w:r>
        <w:t>ing</w:t>
      </w:r>
      <w:r w:rsidRPr="00957BA1">
        <w:t xml:space="preserve"> &lt;0.1% of that for skin (based on </w:t>
      </w:r>
      <w:r>
        <w:t>area under the concentration time curve (</w:t>
      </w:r>
      <w:r w:rsidRPr="00957BA1">
        <w:t>AUC</w:t>
      </w:r>
      <w:r>
        <w:t>)</w:t>
      </w:r>
      <w:r w:rsidRPr="00957BA1">
        <w:t xml:space="preserve">). </w:t>
      </w:r>
      <w:proofErr w:type="spellStart"/>
      <w:r w:rsidRPr="00957BA1">
        <w:t>Bimatoprost</w:t>
      </w:r>
      <w:proofErr w:type="spellEnd"/>
      <w:r w:rsidRPr="00957BA1">
        <w:t xml:space="preserve"> appeared to accumulate in skin</w:t>
      </w:r>
      <w:r>
        <w:t>,</w:t>
      </w:r>
      <w:r w:rsidRPr="00957BA1">
        <w:t xml:space="preserve"> but not blood</w:t>
      </w:r>
      <w:r>
        <w:t>,</w:t>
      </w:r>
      <w:r w:rsidRPr="00957BA1">
        <w:t xml:space="preserve"> following repeated dosing </w:t>
      </w:r>
      <w:r>
        <w:t xml:space="preserve">at </w:t>
      </w:r>
      <w:r w:rsidRPr="00957BA1">
        <w:t>30</w:t>
      </w:r>
      <w:r>
        <w:t xml:space="preserve"> or </w:t>
      </w:r>
      <w:r w:rsidRPr="00957BA1">
        <w:t xml:space="preserve">60 </w:t>
      </w:r>
      <w:r>
        <w:t>µ</w:t>
      </w:r>
      <w:r w:rsidRPr="00957BA1">
        <w:t>g</w:t>
      </w:r>
      <w:r>
        <w:t>/day</w:t>
      </w:r>
      <w:r w:rsidRPr="00957BA1">
        <w:t xml:space="preserve"> for 21 days. Based on pharmacokinetic modelling, following multiple daily dermal applications of </w:t>
      </w:r>
      <w:proofErr w:type="spellStart"/>
      <w:r w:rsidRPr="00957BA1">
        <w:t>bimatoprost</w:t>
      </w:r>
      <w:proofErr w:type="spellEnd"/>
      <w:r w:rsidRPr="00957BA1">
        <w:t>, skin exposure at steady state is not anticipated to be more than 3</w:t>
      </w:r>
      <w:r>
        <w:t xml:space="preserve"> times</w:t>
      </w:r>
      <w:r w:rsidRPr="00957BA1">
        <w:t xml:space="preserve"> the exposure achieved following a single dose, with steady-state achieved in less than one week.</w:t>
      </w:r>
    </w:p>
    <w:p w:rsidR="0059719E" w:rsidRDefault="0059719E" w:rsidP="0059719E">
      <w:r>
        <w:t xml:space="preserve">The limited dermal penetration of </w:t>
      </w:r>
      <w:proofErr w:type="spellStart"/>
      <w:r>
        <w:t>bimatoprost</w:t>
      </w:r>
      <w:proofErr w:type="spellEnd"/>
      <w:r>
        <w:t xml:space="preserve"> seen in mice stands in contrast with the significant scleral penetration of the drug observed </w:t>
      </w:r>
      <w:r w:rsidRPr="00B44415">
        <w:t>in vitro</w:t>
      </w:r>
      <w:r>
        <w:t xml:space="preserve"> in experiments with human eyeballs (Study PK</w:t>
      </w:r>
      <w:r>
        <w:noBreakHyphen/>
        <w:t>93</w:t>
      </w:r>
      <w:r>
        <w:noBreakHyphen/>
        <w:t>078</w:t>
      </w:r>
      <w:r w:rsidRPr="00820E8D">
        <w:t>; evaluated in the original application</w:t>
      </w:r>
      <w:r>
        <w:t xml:space="preserve"> . The predictive value of the mouse study is diminished, though, by anticipated differences in permeability between dorsal and eyelid skin.</w:t>
      </w:r>
    </w:p>
    <w:p w:rsidR="0059719E" w:rsidRPr="00910AB9" w:rsidRDefault="0059719E" w:rsidP="0059719E">
      <w:r>
        <w:t>Human eyelid skin penetration of &lt;1.5% is reported for fluticasone propionate</w:t>
      </w:r>
      <w:r>
        <w:rPr>
          <w:rStyle w:val="FootnoteReference"/>
        </w:rPr>
        <w:footnoteReference w:id="5"/>
      </w:r>
      <w:r>
        <w:t xml:space="preserve">, and comparable low penetration can be expected for </w:t>
      </w:r>
      <w:proofErr w:type="spellStart"/>
      <w:r>
        <w:t>bimatoprost</w:t>
      </w:r>
      <w:proofErr w:type="spellEnd"/>
      <w:r>
        <w:t xml:space="preserve"> given the similarity in molecular weight and </w:t>
      </w:r>
      <w:proofErr w:type="spellStart"/>
      <w:r>
        <w:t>lipophilicity</w:t>
      </w:r>
      <w:proofErr w:type="spellEnd"/>
      <w:r>
        <w:t xml:space="preserve"> (physicochemical properties that influence dermal absorption)</w:t>
      </w:r>
      <w:r w:rsidRPr="00E405FD">
        <w:rPr>
          <w:w w:val="50"/>
        </w:rPr>
        <w:t> </w:t>
      </w:r>
      <w:r>
        <w:t xml:space="preserve">between </w:t>
      </w:r>
      <w:r w:rsidRPr="00910AB9">
        <w:t xml:space="preserve">the two compounds (molecular weights of 415.58 for </w:t>
      </w:r>
      <w:proofErr w:type="spellStart"/>
      <w:r w:rsidRPr="00910AB9">
        <w:t>bimatoprost</w:t>
      </w:r>
      <w:proofErr w:type="spellEnd"/>
      <w:r w:rsidRPr="00910AB9">
        <w:t xml:space="preserve"> and 500.70 for fluticasone propionate; log P values of 3.41 and 3.70, respectively). Bioavailability of </w:t>
      </w:r>
      <w:proofErr w:type="spellStart"/>
      <w:r w:rsidRPr="00910AB9">
        <w:t>bimatoprost</w:t>
      </w:r>
      <w:proofErr w:type="spellEnd"/>
      <w:r w:rsidRPr="00910AB9">
        <w:t xml:space="preserve"> by the topical ocular ro</w:t>
      </w:r>
      <w:r>
        <w:t>ute is considerably higher (56%</w:t>
      </w:r>
      <w:r w:rsidRPr="00910AB9">
        <w:t xml:space="preserve">). Lower systemic exposure with </w:t>
      </w:r>
      <w:proofErr w:type="spellStart"/>
      <w:r w:rsidRPr="00B44415">
        <w:t>Latisse</w:t>
      </w:r>
      <w:proofErr w:type="spellEnd"/>
      <w:r w:rsidRPr="00910AB9">
        <w:t xml:space="preserve"> is further indicated by the smaller dose </w:t>
      </w:r>
      <w:r w:rsidRPr="00910AB9">
        <w:lastRenderedPageBreak/>
        <w:t>administered (</w:t>
      </w:r>
      <w:r>
        <w:t xml:space="preserve">that is, one drop applied to the </w:t>
      </w:r>
      <w:r w:rsidRPr="00910AB9">
        <w:t xml:space="preserve">applicator and then applied to </w:t>
      </w:r>
      <w:r>
        <w:t>the</w:t>
      </w:r>
      <w:r w:rsidRPr="00910AB9">
        <w:t xml:space="preserve"> small area of skin </w:t>
      </w:r>
      <w:r>
        <w:t>compared to</w:t>
      </w:r>
      <w:r w:rsidRPr="00910AB9">
        <w:t xml:space="preserve"> one drop direct to the eye).</w:t>
      </w:r>
    </w:p>
    <w:p w:rsidR="0059719E" w:rsidRDefault="0059719E" w:rsidP="0059719E">
      <w:pPr>
        <w:pStyle w:val="Heading3"/>
      </w:pPr>
      <w:bookmarkStart w:id="70" w:name="_Toc388513984"/>
      <w:bookmarkStart w:id="71" w:name="_Toc55464725"/>
      <w:r w:rsidRPr="00B44415">
        <w:t>Toxicology</w:t>
      </w:r>
      <w:bookmarkEnd w:id="68"/>
      <w:bookmarkEnd w:id="69"/>
      <w:bookmarkEnd w:id="70"/>
      <w:bookmarkEnd w:id="71"/>
    </w:p>
    <w:p w:rsidR="0059719E" w:rsidRPr="00E9642B" w:rsidRDefault="0059719E" w:rsidP="0059719E">
      <w:pPr>
        <w:pStyle w:val="Standard"/>
        <w:rPr>
          <w:kern w:val="2"/>
        </w:rPr>
      </w:pPr>
      <w:bookmarkStart w:id="72" w:name="_Toc247691515"/>
      <w:bookmarkStart w:id="73" w:name="_Toc314842499"/>
      <w:r w:rsidRPr="00C21923">
        <w:rPr>
          <w:kern w:val="2"/>
        </w:rPr>
        <w:t>No repeat-dose toxicity studies by the dermal route have been conducted</w:t>
      </w:r>
      <w:r>
        <w:rPr>
          <w:kern w:val="2"/>
        </w:rPr>
        <w:t>. However, d</w:t>
      </w:r>
      <w:r w:rsidRPr="00013B3A">
        <w:rPr>
          <w:kern w:val="2"/>
        </w:rPr>
        <w:t xml:space="preserve">istribution studies in monkeys demonstrated considerable radioactivity in ocular tissues, including the eyelids, after both single and multiple </w:t>
      </w:r>
      <w:r>
        <w:rPr>
          <w:kern w:val="2"/>
        </w:rPr>
        <w:t xml:space="preserve">topical </w:t>
      </w:r>
      <w:r w:rsidRPr="00013B3A">
        <w:rPr>
          <w:kern w:val="2"/>
        </w:rPr>
        <w:t xml:space="preserve">ocular doses of </w:t>
      </w:r>
      <w:r>
        <w:rPr>
          <w:kern w:val="2"/>
        </w:rPr>
        <w:t>radioactively labelled (</w:t>
      </w:r>
      <w:r w:rsidRPr="00013B3A">
        <w:rPr>
          <w:kern w:val="2"/>
          <w:vertAlign w:val="superscript"/>
        </w:rPr>
        <w:t>3</w:t>
      </w:r>
      <w:r w:rsidRPr="00013B3A">
        <w:rPr>
          <w:kern w:val="2"/>
        </w:rPr>
        <w:t>H</w:t>
      </w:r>
      <w:r>
        <w:rPr>
          <w:kern w:val="2"/>
        </w:rPr>
        <w:t>)</w:t>
      </w:r>
      <w:r w:rsidRPr="00013B3A">
        <w:rPr>
          <w:kern w:val="2"/>
        </w:rPr>
        <w:t>-</w:t>
      </w:r>
      <w:proofErr w:type="spellStart"/>
      <w:r w:rsidRPr="00013B3A">
        <w:rPr>
          <w:kern w:val="2"/>
        </w:rPr>
        <w:t>bimatoprost</w:t>
      </w:r>
      <w:proofErr w:type="spellEnd"/>
      <w:r w:rsidRPr="00013B3A">
        <w:rPr>
          <w:kern w:val="2"/>
        </w:rPr>
        <w:t xml:space="preserve"> (0.1%). The tissue concentrations were higher than those predicted by the sponsor’s skin absorption model in mice</w:t>
      </w:r>
      <w:r>
        <w:rPr>
          <w:kern w:val="2"/>
        </w:rPr>
        <w:t>, and this</w:t>
      </w:r>
      <w:r w:rsidRPr="00013B3A">
        <w:rPr>
          <w:kern w:val="2"/>
        </w:rPr>
        <w:t xml:space="preserve"> is likely related to exposure of the mucosal surface of the eyelid after ocular instillation. </w:t>
      </w:r>
      <w:r>
        <w:rPr>
          <w:kern w:val="2"/>
        </w:rPr>
        <w:t>G</w:t>
      </w:r>
      <w:r w:rsidRPr="00013B3A">
        <w:rPr>
          <w:kern w:val="2"/>
        </w:rPr>
        <w:t xml:space="preserve">reater absorption into the eyelid is </w:t>
      </w:r>
      <w:r>
        <w:rPr>
          <w:kern w:val="2"/>
        </w:rPr>
        <w:t>anticipated</w:t>
      </w:r>
      <w:r w:rsidRPr="00013B3A">
        <w:rPr>
          <w:kern w:val="2"/>
        </w:rPr>
        <w:t xml:space="preserve"> with topical ocular </w:t>
      </w:r>
      <w:r>
        <w:rPr>
          <w:kern w:val="2"/>
        </w:rPr>
        <w:t>compared to</w:t>
      </w:r>
      <w:r w:rsidRPr="00013B3A">
        <w:rPr>
          <w:kern w:val="2"/>
        </w:rPr>
        <w:t xml:space="preserve"> topical dermal administration</w:t>
      </w:r>
      <w:r>
        <w:rPr>
          <w:kern w:val="2"/>
        </w:rPr>
        <w:t>.</w:t>
      </w:r>
      <w:r w:rsidRPr="00013B3A">
        <w:rPr>
          <w:w w:val="50"/>
          <w:kern w:val="2"/>
        </w:rPr>
        <w:t> </w:t>
      </w:r>
      <w:r w:rsidRPr="00E9642B">
        <w:rPr>
          <w:kern w:val="2"/>
        </w:rPr>
        <w:t xml:space="preserve">Long-term studies involving topical ocular administration of </w:t>
      </w:r>
      <w:proofErr w:type="spellStart"/>
      <w:r w:rsidRPr="00E9642B">
        <w:rPr>
          <w:kern w:val="2"/>
        </w:rPr>
        <w:t>bimatoprost</w:t>
      </w:r>
      <w:proofErr w:type="spellEnd"/>
      <w:r w:rsidRPr="00E9642B">
        <w:rPr>
          <w:kern w:val="2"/>
        </w:rPr>
        <w:t xml:space="preserve"> to rabbits (up to 6 months duration) and monkeys (up to 12 months) produced adequate exposure of the eyelids without signs of </w:t>
      </w:r>
      <w:proofErr w:type="spellStart"/>
      <w:r w:rsidRPr="00E9642B">
        <w:rPr>
          <w:kern w:val="2"/>
        </w:rPr>
        <w:t>histomorphological</w:t>
      </w:r>
      <w:proofErr w:type="spellEnd"/>
      <w:r w:rsidRPr="00E9642B">
        <w:rPr>
          <w:kern w:val="2"/>
        </w:rPr>
        <w:t xml:space="preserve"> changes to skin. Skin hyperpigmentation, reported as an adverse event in </w:t>
      </w:r>
      <w:proofErr w:type="spellStart"/>
      <w:r w:rsidRPr="008D7998">
        <w:t>Latisse</w:t>
      </w:r>
      <w:proofErr w:type="spellEnd"/>
      <w:r w:rsidRPr="00E9642B">
        <w:rPr>
          <w:kern w:val="2"/>
        </w:rPr>
        <w:t xml:space="preserve"> trial participants in draft </w:t>
      </w:r>
      <w:r>
        <w:rPr>
          <w:kern w:val="2"/>
        </w:rPr>
        <w:t>Product Information document</w:t>
      </w:r>
      <w:r w:rsidRPr="00E9642B">
        <w:rPr>
          <w:kern w:val="2"/>
        </w:rPr>
        <w:t>, was not observed in previously evaluated nonclinical studies</w:t>
      </w:r>
      <w:r>
        <w:rPr>
          <w:kern w:val="2"/>
        </w:rPr>
        <w:t xml:space="preserve">. </w:t>
      </w:r>
      <w:r w:rsidRPr="00E9642B">
        <w:rPr>
          <w:kern w:val="2"/>
        </w:rPr>
        <w:t xml:space="preserve">Ocular effects seen in laboratory animal species (transient conjunctival hyperaemia, signs of ocular discomfort, increased </w:t>
      </w:r>
      <w:proofErr w:type="spellStart"/>
      <w:r w:rsidRPr="00E9642B">
        <w:rPr>
          <w:kern w:val="2"/>
        </w:rPr>
        <w:t>iridial</w:t>
      </w:r>
      <w:proofErr w:type="spellEnd"/>
      <w:r w:rsidRPr="00E9642B">
        <w:rPr>
          <w:kern w:val="2"/>
        </w:rPr>
        <w:t xml:space="preserve"> pigmentation and an increase in the prominence of the periocular sulci) are less likely in patients treated with </w:t>
      </w:r>
      <w:proofErr w:type="spellStart"/>
      <w:r w:rsidRPr="008D7998">
        <w:t>Latisse</w:t>
      </w:r>
      <w:proofErr w:type="spellEnd"/>
      <w:r w:rsidR="00620073">
        <w:t xml:space="preserve"> </w:t>
      </w:r>
      <w:r w:rsidRPr="00E9642B">
        <w:rPr>
          <w:kern w:val="2"/>
        </w:rPr>
        <w:t>given the different route and lower dose/exposure.</w:t>
      </w:r>
    </w:p>
    <w:p w:rsidR="0059719E" w:rsidRDefault="0059719E" w:rsidP="0059719E">
      <w:pPr>
        <w:pStyle w:val="Standard"/>
        <w:rPr>
          <w:kern w:val="2"/>
        </w:rPr>
      </w:pPr>
      <w:r w:rsidRPr="00C21923">
        <w:rPr>
          <w:kern w:val="2"/>
        </w:rPr>
        <w:t xml:space="preserve">Systemic safety has been adequately established in previously evaluated repeat-dose toxicity studies conducted by the ocular, </w:t>
      </w:r>
      <w:r>
        <w:rPr>
          <w:kern w:val="2"/>
        </w:rPr>
        <w:t>oral (</w:t>
      </w:r>
      <w:r w:rsidRPr="00C21923">
        <w:rPr>
          <w:kern w:val="2"/>
        </w:rPr>
        <w:t>PO</w:t>
      </w:r>
      <w:r>
        <w:rPr>
          <w:kern w:val="2"/>
        </w:rPr>
        <w:t>)</w:t>
      </w:r>
      <w:r w:rsidRPr="00C21923">
        <w:rPr>
          <w:kern w:val="2"/>
        </w:rPr>
        <w:t xml:space="preserve"> and/or </w:t>
      </w:r>
      <w:r>
        <w:rPr>
          <w:kern w:val="2"/>
        </w:rPr>
        <w:t>intravenous (</w:t>
      </w:r>
      <w:r w:rsidRPr="00C21923">
        <w:rPr>
          <w:kern w:val="2"/>
        </w:rPr>
        <w:t>IV</w:t>
      </w:r>
      <w:r>
        <w:rPr>
          <w:kern w:val="2"/>
        </w:rPr>
        <w:t>)</w:t>
      </w:r>
      <w:r w:rsidRPr="00C21923">
        <w:rPr>
          <w:kern w:val="2"/>
        </w:rPr>
        <w:t xml:space="preserve"> routes in mice, rats and/or monkeys. </w:t>
      </w:r>
      <w:proofErr w:type="spellStart"/>
      <w:r w:rsidRPr="00C21923">
        <w:rPr>
          <w:kern w:val="2"/>
        </w:rPr>
        <w:t>Animal:human</w:t>
      </w:r>
      <w:proofErr w:type="spellEnd"/>
      <w:r w:rsidRPr="00C21923">
        <w:rPr>
          <w:kern w:val="2"/>
        </w:rPr>
        <w:t xml:space="preserve"> expo</w:t>
      </w:r>
      <w:r>
        <w:rPr>
          <w:kern w:val="2"/>
        </w:rPr>
        <w:t xml:space="preserve">sure margins at the No Observable Effect Levels (NOELs) were </w:t>
      </w:r>
      <w:r w:rsidRPr="00C21923">
        <w:rPr>
          <w:kern w:val="2"/>
        </w:rPr>
        <w:t>very large with respect to topical ocular administration, and will be larger still with respect to dermal administration.</w:t>
      </w:r>
    </w:p>
    <w:p w:rsidR="0059719E" w:rsidRPr="00E04370" w:rsidRDefault="0059719E" w:rsidP="0059719E">
      <w:pPr>
        <w:pStyle w:val="WhiteSpace"/>
        <w:rPr>
          <w:kern w:val="2"/>
          <w:sz w:val="6"/>
          <w:szCs w:val="6"/>
        </w:rPr>
      </w:pPr>
    </w:p>
    <w:p w:rsidR="0059719E" w:rsidRDefault="0059719E" w:rsidP="0059719E">
      <w:pPr>
        <w:pStyle w:val="Heading4"/>
      </w:pPr>
      <w:r>
        <w:t>Pregnancy classification</w:t>
      </w:r>
    </w:p>
    <w:p w:rsidR="0059719E" w:rsidRDefault="0059719E" w:rsidP="0059719E">
      <w:pPr>
        <w:pStyle w:val="Standard"/>
        <w:rPr>
          <w:kern w:val="2"/>
        </w:rPr>
      </w:pPr>
      <w:r>
        <w:rPr>
          <w:kern w:val="2"/>
        </w:rPr>
        <w:t>The sponsor proposes Pregnancy Category B3</w:t>
      </w:r>
      <w:r>
        <w:rPr>
          <w:rStyle w:val="FootnoteReference"/>
          <w:kern w:val="2"/>
        </w:rPr>
        <w:footnoteReference w:id="6"/>
      </w:r>
      <w:r>
        <w:rPr>
          <w:kern w:val="2"/>
        </w:rPr>
        <w:t xml:space="preserve">. </w:t>
      </w:r>
      <w:r w:rsidR="00620073">
        <w:rPr>
          <w:kern w:val="2"/>
        </w:rPr>
        <w:t>This</w:t>
      </w:r>
      <w:r>
        <w:rPr>
          <w:kern w:val="2"/>
        </w:rPr>
        <w:t> is considered appropriate.</w:t>
      </w:r>
    </w:p>
    <w:p w:rsidR="0059719E" w:rsidRDefault="0059719E" w:rsidP="0059719E">
      <w:pPr>
        <w:pStyle w:val="Heading3"/>
      </w:pPr>
      <w:bookmarkStart w:id="74" w:name="_Toc388513985"/>
      <w:bookmarkStart w:id="75" w:name="_Toc55464726"/>
      <w:r>
        <w:t>Nonclinical summary and conclusions</w:t>
      </w:r>
      <w:bookmarkEnd w:id="72"/>
      <w:bookmarkEnd w:id="73"/>
      <w:bookmarkEnd w:id="74"/>
      <w:bookmarkEnd w:id="75"/>
    </w:p>
    <w:p w:rsidR="0059719E" w:rsidRDefault="0059719E" w:rsidP="0059719E">
      <w:pPr>
        <w:pStyle w:val="Standard"/>
        <w:numPr>
          <w:ilvl w:val="0"/>
          <w:numId w:val="30"/>
        </w:numPr>
        <w:spacing w:after="180"/>
        <w:ind w:left="369" w:hanging="227"/>
        <w:rPr>
          <w:kern w:val="2"/>
        </w:rPr>
      </w:pPr>
      <w:bookmarkStart w:id="76" w:name="_Toc196046462"/>
      <w:bookmarkStart w:id="77" w:name="_Toc247691516"/>
      <w:bookmarkStart w:id="78" w:name="_Toc314842500"/>
      <w:bookmarkStart w:id="79" w:name="_Toc163441353"/>
      <w:bookmarkStart w:id="80" w:name="_Toc163441348"/>
      <w:r>
        <w:rPr>
          <w:kern w:val="2"/>
        </w:rPr>
        <w:t>Nonclinical studies on pharmacology and pharmacokinetics were submitted in support of the application.</w:t>
      </w:r>
    </w:p>
    <w:p w:rsidR="0059719E" w:rsidRDefault="0059719E" w:rsidP="0059719E">
      <w:pPr>
        <w:pStyle w:val="Standard"/>
        <w:numPr>
          <w:ilvl w:val="0"/>
          <w:numId w:val="30"/>
        </w:numPr>
        <w:spacing w:after="180"/>
        <w:ind w:left="369" w:hanging="227"/>
        <w:rPr>
          <w:kern w:val="2"/>
        </w:rPr>
      </w:pPr>
      <w:r>
        <w:rPr>
          <w:kern w:val="2"/>
        </w:rPr>
        <w:t xml:space="preserve">An eyelash enhancing effect of </w:t>
      </w:r>
      <w:proofErr w:type="spellStart"/>
      <w:r>
        <w:rPr>
          <w:kern w:val="2"/>
        </w:rPr>
        <w:t>bimatoprost</w:t>
      </w:r>
      <w:proofErr w:type="spellEnd"/>
      <w:r>
        <w:rPr>
          <w:kern w:val="2"/>
        </w:rPr>
        <w:t xml:space="preserve"> was demonstrated in mice after topical ocular administration of the clinical formulation. </w:t>
      </w:r>
      <w:proofErr w:type="spellStart"/>
      <w:r>
        <w:rPr>
          <w:kern w:val="2"/>
        </w:rPr>
        <w:t>Bimatoprost</w:t>
      </w:r>
      <w:proofErr w:type="spellEnd"/>
      <w:r>
        <w:rPr>
          <w:kern w:val="2"/>
        </w:rPr>
        <w:t xml:space="preserve"> was also shown to increase the growth of human scalp hair follicles </w:t>
      </w:r>
      <w:r w:rsidRPr="008D7998">
        <w:rPr>
          <w:kern w:val="2"/>
          <w:szCs w:val="22"/>
        </w:rPr>
        <w:t>in vitro</w:t>
      </w:r>
      <w:r w:rsidRPr="008D7998">
        <w:rPr>
          <w:kern w:val="2"/>
        </w:rPr>
        <w:t>.</w:t>
      </w:r>
    </w:p>
    <w:p w:rsidR="0059719E" w:rsidRDefault="0059719E" w:rsidP="0059719E">
      <w:pPr>
        <w:pStyle w:val="Standard"/>
        <w:numPr>
          <w:ilvl w:val="0"/>
          <w:numId w:val="30"/>
        </w:numPr>
        <w:spacing w:after="180"/>
        <w:ind w:left="369" w:hanging="227"/>
        <w:rPr>
          <w:kern w:val="2"/>
        </w:rPr>
      </w:pPr>
      <w:r>
        <w:rPr>
          <w:kern w:val="2"/>
        </w:rPr>
        <w:t xml:space="preserve">Limited dermal penetration of </w:t>
      </w:r>
      <w:proofErr w:type="spellStart"/>
      <w:r>
        <w:rPr>
          <w:kern w:val="2"/>
        </w:rPr>
        <w:t>bimatoprost</w:t>
      </w:r>
      <w:proofErr w:type="spellEnd"/>
      <w:r>
        <w:rPr>
          <w:kern w:val="2"/>
        </w:rPr>
        <w:t xml:space="preserve"> was evident in mice following topical application to dorsal skin (systemic exposure, &lt;0.1% of that in skin).</w:t>
      </w:r>
    </w:p>
    <w:p w:rsidR="0059719E" w:rsidRDefault="0059719E" w:rsidP="0059719E">
      <w:pPr>
        <w:pStyle w:val="Standard"/>
        <w:numPr>
          <w:ilvl w:val="0"/>
          <w:numId w:val="30"/>
        </w:numPr>
        <w:spacing w:after="180"/>
        <w:ind w:left="369" w:hanging="227"/>
        <w:rPr>
          <w:kern w:val="2"/>
        </w:rPr>
      </w:pPr>
      <w:r>
        <w:rPr>
          <w:kern w:val="2"/>
        </w:rPr>
        <w:t xml:space="preserve">With the different route of administration and the different means of application (dermal application of a drop applied to an applicator compared to direct administration of a drop to the eye), systemic exposure to </w:t>
      </w:r>
      <w:proofErr w:type="spellStart"/>
      <w:r>
        <w:rPr>
          <w:kern w:val="2"/>
        </w:rPr>
        <w:t>bimatoprost</w:t>
      </w:r>
      <w:proofErr w:type="spellEnd"/>
      <w:r>
        <w:rPr>
          <w:kern w:val="2"/>
        </w:rPr>
        <w:t xml:space="preserve"> with this product is expected to be lower. .</w:t>
      </w:r>
    </w:p>
    <w:p w:rsidR="0059719E" w:rsidRPr="00333F1C" w:rsidRDefault="0059719E" w:rsidP="0059719E">
      <w:pPr>
        <w:pStyle w:val="Standard"/>
        <w:numPr>
          <w:ilvl w:val="0"/>
          <w:numId w:val="30"/>
        </w:numPr>
        <w:spacing w:after="180"/>
        <w:ind w:left="369" w:hanging="227"/>
        <w:rPr>
          <w:kern w:val="2"/>
        </w:rPr>
      </w:pPr>
      <w:r>
        <w:rPr>
          <w:kern w:val="2"/>
        </w:rPr>
        <w:lastRenderedPageBreak/>
        <w:t xml:space="preserve">No repeat-dose dermal toxicity studies were conducted, but existing toxicity studies conducted by the topical ocular, PO and IV routes, are sufficient to support the local (dermal) and systemic safety of the product. No </w:t>
      </w:r>
      <w:proofErr w:type="spellStart"/>
      <w:r>
        <w:rPr>
          <w:kern w:val="2"/>
        </w:rPr>
        <w:t>histomorphological</w:t>
      </w:r>
      <w:proofErr w:type="spellEnd"/>
      <w:r>
        <w:rPr>
          <w:kern w:val="2"/>
        </w:rPr>
        <w:t xml:space="preserve"> changes to eyelid skin were observed in rabbits or monkeys, with the drug shown to be absorbed into the eyelid after topical ocular dosing. </w:t>
      </w:r>
      <w:r w:rsidRPr="00333F1C">
        <w:rPr>
          <w:kern w:val="2"/>
        </w:rPr>
        <w:t xml:space="preserve">Ocular effects seen in laboratory animal species (transient conjunctival hyperaemia, signs of ocular discomfort, increased </w:t>
      </w:r>
      <w:proofErr w:type="spellStart"/>
      <w:r w:rsidRPr="00333F1C">
        <w:rPr>
          <w:kern w:val="2"/>
        </w:rPr>
        <w:t>iridial</w:t>
      </w:r>
      <w:proofErr w:type="spellEnd"/>
      <w:r w:rsidRPr="00333F1C">
        <w:rPr>
          <w:kern w:val="2"/>
        </w:rPr>
        <w:t xml:space="preserve"> pigmentation and an increase in the prominence of the periocular sulci) are less likely in patients treated with </w:t>
      </w:r>
      <w:proofErr w:type="spellStart"/>
      <w:r w:rsidRPr="008D7998">
        <w:t>Latisse</w:t>
      </w:r>
      <w:proofErr w:type="spellEnd"/>
      <w:r w:rsidRPr="00333F1C">
        <w:rPr>
          <w:kern w:val="2"/>
        </w:rPr>
        <w:t xml:space="preserve"> given the different route and lower dose/exposure.</w:t>
      </w:r>
    </w:p>
    <w:p w:rsidR="0059719E" w:rsidRPr="007A4197" w:rsidRDefault="0059719E" w:rsidP="0059719E">
      <w:pPr>
        <w:pStyle w:val="Standard"/>
        <w:numPr>
          <w:ilvl w:val="0"/>
          <w:numId w:val="29"/>
        </w:numPr>
        <w:tabs>
          <w:tab w:val="left" w:pos="369"/>
        </w:tabs>
        <w:spacing w:after="180"/>
        <w:rPr>
          <w:kern w:val="2"/>
        </w:rPr>
      </w:pPr>
      <w:r w:rsidRPr="007A4197">
        <w:rPr>
          <w:kern w:val="2"/>
        </w:rPr>
        <w:t xml:space="preserve">There are no nonclinical objections to registration of </w:t>
      </w:r>
      <w:proofErr w:type="spellStart"/>
      <w:r w:rsidRPr="008D7998">
        <w:t>Latisse</w:t>
      </w:r>
      <w:proofErr w:type="spellEnd"/>
      <w:r w:rsidRPr="007A4197">
        <w:rPr>
          <w:kern w:val="2"/>
        </w:rPr>
        <w:t>.</w:t>
      </w:r>
    </w:p>
    <w:p w:rsidR="0059719E" w:rsidRDefault="0059719E" w:rsidP="0059719E">
      <w:pPr>
        <w:pStyle w:val="ListBullet"/>
        <w:numPr>
          <w:ilvl w:val="0"/>
          <w:numId w:val="3"/>
        </w:numPr>
      </w:pPr>
      <w:r w:rsidRPr="007A4197">
        <w:t xml:space="preserve">The </w:t>
      </w:r>
      <w:r>
        <w:t xml:space="preserve">nonclinical evaluator also recommended changes to the </w:t>
      </w:r>
      <w:r w:rsidRPr="007A4197">
        <w:t xml:space="preserve">draft Product Information </w:t>
      </w:r>
      <w:r>
        <w:t>but these are beyond the scope of this AusPAR.</w:t>
      </w:r>
    </w:p>
    <w:p w:rsidR="0059719E" w:rsidRPr="00254787" w:rsidRDefault="0059719E" w:rsidP="0059719E">
      <w:pPr>
        <w:pStyle w:val="Heading2"/>
      </w:pPr>
      <w:bookmarkStart w:id="81" w:name="_Toc388513986"/>
      <w:bookmarkStart w:id="82" w:name="_Toc55464727"/>
      <w:r>
        <w:t xml:space="preserve">IV. </w:t>
      </w:r>
      <w:r w:rsidRPr="00254787">
        <w:t>Clinical</w:t>
      </w:r>
      <w:bookmarkEnd w:id="76"/>
      <w:r>
        <w:t xml:space="preserve"> findings</w:t>
      </w:r>
      <w:bookmarkEnd w:id="77"/>
      <w:bookmarkEnd w:id="78"/>
      <w:bookmarkEnd w:id="81"/>
      <w:bookmarkEnd w:id="82"/>
    </w:p>
    <w:p w:rsidR="0059719E" w:rsidRDefault="0059719E" w:rsidP="0059719E">
      <w:bookmarkStart w:id="83" w:name="_Toc196046463"/>
      <w:r>
        <w:t xml:space="preserve">A summary of the </w:t>
      </w:r>
      <w:r w:rsidRPr="00FD70B8">
        <w:t xml:space="preserve">clinical findings is presented in this section. </w:t>
      </w:r>
      <w:r>
        <w:t xml:space="preserve">Further details of these </w:t>
      </w:r>
      <w:r w:rsidRPr="00FD70B8">
        <w:t xml:space="preserve">clinical findings can be found in Attachment </w:t>
      </w:r>
      <w:r>
        <w:t>1</w:t>
      </w:r>
      <w:r w:rsidRPr="00FD70B8">
        <w:t>.</w:t>
      </w:r>
    </w:p>
    <w:p w:rsidR="0059719E" w:rsidRDefault="0059719E" w:rsidP="0059719E">
      <w:pPr>
        <w:pStyle w:val="Heading3"/>
      </w:pPr>
      <w:bookmarkStart w:id="84" w:name="_Toc247691517"/>
      <w:bookmarkStart w:id="85" w:name="_Toc314842501"/>
      <w:bookmarkStart w:id="86" w:name="_Toc388513987"/>
      <w:bookmarkStart w:id="87" w:name="_Toc55464728"/>
      <w:r w:rsidRPr="00254787">
        <w:t>Introduction</w:t>
      </w:r>
      <w:bookmarkEnd w:id="83"/>
      <w:bookmarkEnd w:id="84"/>
      <w:bookmarkEnd w:id="85"/>
      <w:bookmarkEnd w:id="86"/>
      <w:bookmarkEnd w:id="87"/>
    </w:p>
    <w:p w:rsidR="0059719E" w:rsidRDefault="0059719E" w:rsidP="0059719E">
      <w:pPr>
        <w:pStyle w:val="Heading4"/>
      </w:pPr>
      <w:bookmarkStart w:id="88" w:name="_Toc196046464"/>
      <w:bookmarkStart w:id="89" w:name="_Toc247691518"/>
      <w:bookmarkStart w:id="90" w:name="_Toc314842502"/>
      <w:r w:rsidRPr="00605AD4">
        <w:t>Clinical Rationale</w:t>
      </w:r>
    </w:p>
    <w:p w:rsidR="0059719E" w:rsidRPr="001D42C8" w:rsidRDefault="0059719E" w:rsidP="0059719E">
      <w:r w:rsidRPr="001D42C8">
        <w:t xml:space="preserve">The </w:t>
      </w:r>
      <w:r>
        <w:t>s</w:t>
      </w:r>
      <w:r w:rsidRPr="001D42C8">
        <w:t>ponsor stated that eyelashes protect the eye from particles getting into it and so help prevent pain and possible infection. This occurs because particl</w:t>
      </w:r>
      <w:r>
        <w:t>es hitting the eyelashes produce a</w:t>
      </w:r>
      <w:r w:rsidRPr="001D42C8">
        <w:t xml:space="preserve"> blink reflex. There was also a claim that eyelash prominence can have a positive psychological effect on patients which can then result in a positive effect on quality of life. </w:t>
      </w:r>
      <w:proofErr w:type="spellStart"/>
      <w:r w:rsidRPr="001D42C8">
        <w:t>Hypotrichosis</w:t>
      </w:r>
      <w:proofErr w:type="spellEnd"/>
      <w:r w:rsidRPr="001D42C8">
        <w:t xml:space="preserve"> of the eyelashes was defined as ‘</w:t>
      </w:r>
      <w:r w:rsidRPr="008D7998">
        <w:rPr>
          <w:i/>
        </w:rPr>
        <w:t>inadequate or not enough eyelashes</w:t>
      </w:r>
      <w:r w:rsidRPr="001D42C8">
        <w:t xml:space="preserve">’. The causes of this were listed as idiopathic, post alopecia-inducing medication such as chemotherapy and secondary to systemic conditions such as hypothyroidism or alopecia </w:t>
      </w:r>
      <w:proofErr w:type="spellStart"/>
      <w:r w:rsidRPr="001D42C8">
        <w:t>areata</w:t>
      </w:r>
      <w:proofErr w:type="spellEnd"/>
      <w:r w:rsidRPr="001D42C8">
        <w:t xml:space="preserve">. As there are currently no approved products for </w:t>
      </w:r>
      <w:proofErr w:type="spellStart"/>
      <w:r w:rsidRPr="001D42C8">
        <w:t>hyopot</w:t>
      </w:r>
      <w:r>
        <w:t>richosis</w:t>
      </w:r>
      <w:proofErr w:type="spellEnd"/>
      <w:r>
        <w:t xml:space="preserve"> of the eyelashes, the s</w:t>
      </w:r>
      <w:r w:rsidRPr="001D42C8">
        <w:t>ponsor claims this is an area of unmet need.</w:t>
      </w:r>
    </w:p>
    <w:p w:rsidR="0059719E" w:rsidRDefault="0059719E" w:rsidP="0059719E">
      <w:pPr>
        <w:pStyle w:val="Heading4"/>
      </w:pPr>
      <w:r w:rsidRPr="00605AD4">
        <w:t>Contents of the clinical dossier</w:t>
      </w:r>
    </w:p>
    <w:p w:rsidR="0059719E" w:rsidRPr="001D42C8" w:rsidRDefault="0059719E" w:rsidP="0059719E">
      <w:r w:rsidRPr="001D42C8">
        <w:t>The submission contained the following clinical information:</w:t>
      </w:r>
    </w:p>
    <w:p w:rsidR="0059719E" w:rsidRPr="001D42C8" w:rsidRDefault="0059719E" w:rsidP="0059719E">
      <w:pPr>
        <w:pStyle w:val="ListBullet"/>
        <w:numPr>
          <w:ilvl w:val="0"/>
          <w:numId w:val="3"/>
        </w:numPr>
      </w:pPr>
      <w:r w:rsidRPr="001D42C8">
        <w:t>two pivotal efficacy/safety studies (192024-0386 and 12 month reports and 192024-032).</w:t>
      </w:r>
    </w:p>
    <w:p w:rsidR="0059719E" w:rsidRPr="001D42C8" w:rsidRDefault="0059719E" w:rsidP="0059719E">
      <w:pPr>
        <w:pStyle w:val="ListBullet"/>
        <w:numPr>
          <w:ilvl w:val="0"/>
          <w:numId w:val="3"/>
        </w:numPr>
      </w:pPr>
      <w:r w:rsidRPr="001D42C8">
        <w:t>one phase IV efficacy/safety study (192024-039).</w:t>
      </w:r>
    </w:p>
    <w:p w:rsidR="0059719E" w:rsidRPr="001D42C8" w:rsidRDefault="0059719E" w:rsidP="0059719E">
      <w:pPr>
        <w:pStyle w:val="ListBullet"/>
        <w:numPr>
          <w:ilvl w:val="0"/>
          <w:numId w:val="3"/>
        </w:numPr>
      </w:pPr>
      <w:r w:rsidRPr="001D42C8">
        <w:t>one dose-finding phase II</w:t>
      </w:r>
      <w:r>
        <w:t xml:space="preserve"> </w:t>
      </w:r>
      <w:r w:rsidRPr="001D42C8">
        <w:t>study (192024-051).</w:t>
      </w:r>
    </w:p>
    <w:p w:rsidR="0059719E" w:rsidRPr="001D42C8" w:rsidRDefault="0059719E" w:rsidP="0059719E">
      <w:pPr>
        <w:pStyle w:val="ListBullet"/>
        <w:numPr>
          <w:ilvl w:val="0"/>
          <w:numId w:val="3"/>
        </w:numPr>
      </w:pPr>
      <w:r w:rsidRPr="001D42C8">
        <w:t>one non-treatment study evaluating the efficacy assessment scale (192024-033).</w:t>
      </w:r>
    </w:p>
    <w:p w:rsidR="0059719E" w:rsidRPr="001D42C8" w:rsidRDefault="0059719E" w:rsidP="0059719E">
      <w:pPr>
        <w:pStyle w:val="ListBullet"/>
        <w:numPr>
          <w:ilvl w:val="0"/>
          <w:numId w:val="3"/>
        </w:numPr>
      </w:pPr>
      <w:r w:rsidRPr="001D42C8">
        <w:t>one study using human biomaterials (BIO-10-876).</w:t>
      </w:r>
    </w:p>
    <w:p w:rsidR="0059719E" w:rsidRPr="001D42C8" w:rsidRDefault="0059719E" w:rsidP="0059719E">
      <w:pPr>
        <w:pStyle w:val="ListBullet"/>
        <w:numPr>
          <w:ilvl w:val="0"/>
          <w:numId w:val="3"/>
        </w:numPr>
      </w:pPr>
      <w:r w:rsidRPr="001D42C8">
        <w:t>one stability study in human blood (PK-01-024).</w:t>
      </w:r>
    </w:p>
    <w:p w:rsidR="0059719E" w:rsidRPr="001D42C8" w:rsidRDefault="0059719E" w:rsidP="0059719E">
      <w:pPr>
        <w:pStyle w:val="ListBullet"/>
        <w:numPr>
          <w:ilvl w:val="0"/>
          <w:numId w:val="3"/>
        </w:numPr>
      </w:pPr>
      <w:r w:rsidRPr="001D42C8">
        <w:t>one efficacy/safety study in a different indication (192024-031) and a Patient Reported Outcome dossier (eyelash satisfaction questionnaire).</w:t>
      </w:r>
    </w:p>
    <w:p w:rsidR="0059719E" w:rsidRPr="001D42C8" w:rsidRDefault="0059719E" w:rsidP="0059719E">
      <w:pPr>
        <w:pStyle w:val="ListBullet"/>
        <w:numPr>
          <w:ilvl w:val="0"/>
          <w:numId w:val="3"/>
        </w:numPr>
      </w:pPr>
      <w:r w:rsidRPr="001D42C8">
        <w:t xml:space="preserve">one </w:t>
      </w:r>
      <w:r>
        <w:t>Periodic Safety Update Report (</w:t>
      </w:r>
      <w:r w:rsidRPr="001D42C8">
        <w:t>PSUR</w:t>
      </w:r>
      <w:r>
        <w:t>)</w:t>
      </w:r>
      <w:r w:rsidRPr="001D42C8">
        <w:t xml:space="preserve"> (March 2011 to Feb 2012).</w:t>
      </w:r>
    </w:p>
    <w:p w:rsidR="0059719E" w:rsidRDefault="0059719E" w:rsidP="0059719E">
      <w:pPr>
        <w:pStyle w:val="ListBullet"/>
        <w:numPr>
          <w:ilvl w:val="0"/>
          <w:numId w:val="3"/>
        </w:numPr>
        <w:rPr>
          <w:lang w:eastAsia="ja-JP"/>
        </w:rPr>
      </w:pPr>
      <w:r w:rsidRPr="001D42C8">
        <w:t xml:space="preserve">Literature references and tables for the </w:t>
      </w:r>
      <w:r>
        <w:t xml:space="preserve">sponsor’s </w:t>
      </w:r>
      <w:r w:rsidRPr="001D42C8">
        <w:t>Integrated Summary of Efficacy and Integrated Summary of Safety.</w:t>
      </w:r>
    </w:p>
    <w:p w:rsidR="0059719E" w:rsidRDefault="0059719E" w:rsidP="0059719E">
      <w:pPr>
        <w:pStyle w:val="Heading4"/>
      </w:pPr>
      <w:r w:rsidRPr="00605AD4">
        <w:lastRenderedPageBreak/>
        <w:t>Paediatric data</w:t>
      </w:r>
    </w:p>
    <w:p w:rsidR="0059719E" w:rsidRPr="00AA0844" w:rsidRDefault="0059719E" w:rsidP="0059719E">
      <w:r w:rsidRPr="00D4322F">
        <w:t>The submission did not include paediatric data</w:t>
      </w:r>
    </w:p>
    <w:p w:rsidR="0059719E" w:rsidRDefault="0059719E" w:rsidP="0059719E">
      <w:pPr>
        <w:pStyle w:val="Heading4"/>
      </w:pPr>
      <w:r w:rsidRPr="00605AD4">
        <w:t>Good clinical practice</w:t>
      </w:r>
    </w:p>
    <w:p w:rsidR="0059719E" w:rsidRPr="00D4322F" w:rsidRDefault="0059719E" w:rsidP="0059719E">
      <w:r w:rsidRPr="00D4322F">
        <w:t>All clinical trials included in the dossier contained a statement that they were conducted according to Good Clinical Practice guidelines and local ethical and regulatory requirements.</w:t>
      </w:r>
    </w:p>
    <w:p w:rsidR="0059719E" w:rsidRPr="00254787" w:rsidRDefault="0059719E" w:rsidP="0059719E">
      <w:pPr>
        <w:pStyle w:val="Heading3"/>
      </w:pPr>
      <w:bookmarkStart w:id="91" w:name="_Toc388513988"/>
      <w:bookmarkStart w:id="92" w:name="_Toc55464729"/>
      <w:r w:rsidRPr="00254787">
        <w:t>Pharmacokinetics</w:t>
      </w:r>
      <w:bookmarkEnd w:id="79"/>
      <w:bookmarkEnd w:id="88"/>
      <w:bookmarkEnd w:id="89"/>
      <w:bookmarkEnd w:id="90"/>
      <w:bookmarkEnd w:id="91"/>
      <w:bookmarkEnd w:id="92"/>
    </w:p>
    <w:p w:rsidR="0059719E" w:rsidRDefault="0059719E" w:rsidP="0059719E">
      <w:pPr>
        <w:pStyle w:val="Heading4"/>
      </w:pPr>
      <w:r>
        <w:t xml:space="preserve">Studies providing pharmacokinetic data </w:t>
      </w:r>
    </w:p>
    <w:p w:rsidR="0059719E" w:rsidRDefault="0059719E" w:rsidP="0059719E">
      <w:r>
        <w:t xml:space="preserve">No additional clinical pharmacology studies were conducted. A justification for not providing </w:t>
      </w:r>
      <w:proofErr w:type="spellStart"/>
      <w:r>
        <w:t>biopharmaceutic</w:t>
      </w:r>
      <w:proofErr w:type="spellEnd"/>
      <w:r>
        <w:t xml:space="preserve"> studies was included in in the sponsor’s submission. The sponsor’s justification was based on the following points:</w:t>
      </w:r>
    </w:p>
    <w:p w:rsidR="0059719E" w:rsidRPr="00AA0844" w:rsidRDefault="0059719E" w:rsidP="0059719E">
      <w:pPr>
        <w:pStyle w:val="ListBullet"/>
        <w:numPr>
          <w:ilvl w:val="0"/>
          <w:numId w:val="3"/>
        </w:numPr>
        <w:rPr>
          <w:i/>
        </w:rPr>
      </w:pPr>
      <w:r w:rsidRPr="00AA0844">
        <w:rPr>
          <w:i/>
        </w:rPr>
        <w:t>“</w:t>
      </w:r>
      <w:proofErr w:type="spellStart"/>
      <w:r w:rsidRPr="00AA0844">
        <w:rPr>
          <w:i/>
        </w:rPr>
        <w:t>Latisse</w:t>
      </w:r>
      <w:proofErr w:type="spellEnd"/>
      <w:r w:rsidRPr="00AA0844">
        <w:rPr>
          <w:i/>
        </w:rPr>
        <w:t xml:space="preserve"> is administered with an applicator used to apply </w:t>
      </w:r>
      <w:proofErr w:type="spellStart"/>
      <w:r w:rsidRPr="00AA0844">
        <w:rPr>
          <w:i/>
        </w:rPr>
        <w:t>bimatoprost</w:t>
      </w:r>
      <w:proofErr w:type="spellEnd"/>
      <w:r w:rsidRPr="00AA0844">
        <w:rPr>
          <w:i/>
        </w:rPr>
        <w:t xml:space="preserve"> to the eyelid margins and is designed to deliver a fraction of a 1 drop </w:t>
      </w:r>
      <w:proofErr w:type="spellStart"/>
      <w:r w:rsidRPr="00AA0844">
        <w:rPr>
          <w:i/>
        </w:rPr>
        <w:t>bimatoprost</w:t>
      </w:r>
      <w:proofErr w:type="spellEnd"/>
      <w:r w:rsidRPr="00AA0844">
        <w:rPr>
          <w:i/>
        </w:rPr>
        <w:t xml:space="preserve"> dose. With this application method administration, absorption of </w:t>
      </w:r>
      <w:proofErr w:type="spellStart"/>
      <w:r w:rsidRPr="00AA0844">
        <w:rPr>
          <w:i/>
        </w:rPr>
        <w:t>bimatoprost</w:t>
      </w:r>
      <w:proofErr w:type="spellEnd"/>
      <w:r w:rsidRPr="00AA0844">
        <w:rPr>
          <w:i/>
        </w:rPr>
        <w:t xml:space="preserve"> is limited by the protective skin barrier and the small surface area upon which the dose is applied.</w:t>
      </w:r>
    </w:p>
    <w:p w:rsidR="0059719E" w:rsidRDefault="0059719E" w:rsidP="0059719E">
      <w:pPr>
        <w:pStyle w:val="ListBullet"/>
        <w:numPr>
          <w:ilvl w:val="0"/>
          <w:numId w:val="3"/>
        </w:numPr>
      </w:pPr>
      <w:r w:rsidRPr="008D7998">
        <w:rPr>
          <w:i/>
        </w:rPr>
        <w:t xml:space="preserve">After ocular administration, the systemic exposure of </w:t>
      </w:r>
      <w:proofErr w:type="spellStart"/>
      <w:r w:rsidRPr="008D7998">
        <w:rPr>
          <w:i/>
        </w:rPr>
        <w:t>bimatoprost</w:t>
      </w:r>
      <w:proofErr w:type="spellEnd"/>
      <w:r w:rsidRPr="008D7998">
        <w:rPr>
          <w:i/>
        </w:rPr>
        <w:t xml:space="preserve"> is very low with no accumulation over time.”</w:t>
      </w:r>
    </w:p>
    <w:p w:rsidR="0059719E" w:rsidRDefault="0059719E" w:rsidP="0059719E">
      <w:pPr>
        <w:ind w:left="360"/>
      </w:pPr>
      <w:r>
        <w:t>Comment: this appears to the same justification as discussed in the Clinical Evaluation Report for the initial submission and the evaluator agrees with the two latter points. Data were not presented in the clinical dossier on the actual amount of one drop that is administered via the use of the applicator.</w:t>
      </w:r>
    </w:p>
    <w:p w:rsidR="0059719E" w:rsidRPr="00D4322F" w:rsidRDefault="0059719E" w:rsidP="0059719E">
      <w:r>
        <w:t xml:space="preserve">The sponsor included a stability study of </w:t>
      </w:r>
      <w:proofErr w:type="spellStart"/>
      <w:r>
        <w:t>bimatoprost</w:t>
      </w:r>
      <w:proofErr w:type="spellEnd"/>
      <w:r>
        <w:t xml:space="preserve"> (AGN 192024) and its metabolite AGN191522 in human blood after storage at -20°C for 12 months (PK-01-024). , The study found both compounds were stable, as measured by concentrations within the 80 to 120% stability criteria, during 12 months storage.</w:t>
      </w:r>
    </w:p>
    <w:p w:rsidR="0059719E" w:rsidRDefault="0059719E" w:rsidP="0059719E">
      <w:pPr>
        <w:pStyle w:val="Heading4"/>
      </w:pPr>
      <w:r>
        <w:t>Evaluator’s conclusions on pharmacokinetics</w:t>
      </w:r>
    </w:p>
    <w:p w:rsidR="0059719E" w:rsidRPr="00D4322F" w:rsidRDefault="0059719E" w:rsidP="0059719E">
      <w:r w:rsidRPr="00D4322F">
        <w:t>The route of administration at the eyelid margin rather than to the ocular surface is expected to result in an even lower systemic exposure. This may be assisted by the use of the</w:t>
      </w:r>
      <w:r>
        <w:t xml:space="preserve"> specific applicator which the s</w:t>
      </w:r>
      <w:r w:rsidRPr="00D4322F">
        <w:t>ponsor states delivers a dose of under one drop, although details of this information were not provided.</w:t>
      </w:r>
    </w:p>
    <w:p w:rsidR="0059719E" w:rsidRDefault="0059719E" w:rsidP="0059719E">
      <w:pPr>
        <w:pStyle w:val="Heading3"/>
      </w:pPr>
      <w:bookmarkStart w:id="93" w:name="_Toc196046481"/>
      <w:bookmarkStart w:id="94" w:name="_Toc247691520"/>
      <w:bookmarkStart w:id="95" w:name="_Toc314842503"/>
      <w:bookmarkStart w:id="96" w:name="_Toc388513989"/>
      <w:bookmarkStart w:id="97" w:name="_Toc55464730"/>
      <w:r w:rsidRPr="00254787">
        <w:t>Pharmacodynamics</w:t>
      </w:r>
      <w:bookmarkEnd w:id="80"/>
      <w:bookmarkEnd w:id="93"/>
      <w:bookmarkEnd w:id="94"/>
      <w:bookmarkEnd w:id="95"/>
      <w:bookmarkEnd w:id="96"/>
      <w:bookmarkEnd w:id="97"/>
    </w:p>
    <w:p w:rsidR="0059719E" w:rsidRPr="008D7998" w:rsidRDefault="0059719E" w:rsidP="0059719E">
      <w:pPr>
        <w:pStyle w:val="Heading4"/>
      </w:pPr>
      <w:r>
        <w:t>Studies providing pharmacodynamic data</w:t>
      </w:r>
    </w:p>
    <w:p w:rsidR="0059719E" w:rsidRPr="00D4322F" w:rsidRDefault="0059719E" w:rsidP="0059719E">
      <w:r w:rsidRPr="00D4322F">
        <w:t xml:space="preserve">There was only one study submitted with the clinical data which provided pharmacodynamic </w:t>
      </w:r>
      <w:r w:rsidRPr="00254F33">
        <w:t>data (BIO-10-876</w:t>
      </w:r>
      <w:r w:rsidRPr="00D4322F">
        <w:t xml:space="preserve">). This was a nonclinical study on the mechanism of action of </w:t>
      </w:r>
      <w:proofErr w:type="spellStart"/>
      <w:r w:rsidRPr="00D4322F">
        <w:t>bimatoprost</w:t>
      </w:r>
      <w:proofErr w:type="spellEnd"/>
      <w:r w:rsidRPr="00D4322F">
        <w:t xml:space="preserve"> for hair growth. No other data were submitted and in vivo drug-drug interaction studies have not been conducted due to the low systemic absorption.</w:t>
      </w:r>
    </w:p>
    <w:p w:rsidR="0059719E" w:rsidRPr="008D7998" w:rsidRDefault="0059719E" w:rsidP="0059719E">
      <w:pPr>
        <w:pStyle w:val="Heading4"/>
      </w:pPr>
      <w:r>
        <w:t>Evaluator’s conclusions on pharmacodynamics</w:t>
      </w:r>
    </w:p>
    <w:p w:rsidR="0059719E" w:rsidRPr="00D4322F" w:rsidRDefault="0059719E" w:rsidP="0059719E">
      <w:proofErr w:type="spellStart"/>
      <w:r w:rsidRPr="00D4322F">
        <w:t>Bimatoprost</w:t>
      </w:r>
      <w:proofErr w:type="spellEnd"/>
      <w:r w:rsidRPr="00D4322F">
        <w:t xml:space="preserve"> is a synthetic </w:t>
      </w:r>
      <w:proofErr w:type="spellStart"/>
      <w:r w:rsidRPr="00D4322F">
        <w:t>prostamide</w:t>
      </w:r>
      <w:proofErr w:type="spellEnd"/>
      <w:r w:rsidRPr="00D4322F">
        <w:t xml:space="preserve"> analogue, structurally related to prostaglandin F</w:t>
      </w:r>
      <w:r w:rsidRPr="008D7998">
        <w:rPr>
          <w:vertAlign w:val="subscript"/>
        </w:rPr>
        <w:t>2</w:t>
      </w:r>
      <w:r w:rsidRPr="008D7998">
        <w:rPr>
          <w:vertAlign w:val="subscript"/>
        </w:rPr>
        <w:sym w:font="Symbol" w:char="F061"/>
      </w:r>
      <w:r w:rsidRPr="00D4322F">
        <w:t xml:space="preserve"> (PGF</w:t>
      </w:r>
      <w:r w:rsidRPr="008D7998">
        <w:rPr>
          <w:vertAlign w:val="subscript"/>
        </w:rPr>
        <w:t>2</w:t>
      </w:r>
      <w:r w:rsidRPr="008D7998">
        <w:rPr>
          <w:vertAlign w:val="subscript"/>
        </w:rPr>
        <w:sym w:font="Symbol" w:char="F061"/>
      </w:r>
      <w:r w:rsidRPr="00D4322F">
        <w:t xml:space="preserve">). The precise mechanism of action through which </w:t>
      </w:r>
      <w:proofErr w:type="spellStart"/>
      <w:r w:rsidRPr="00D4322F">
        <w:t>bimatoprost</w:t>
      </w:r>
      <w:proofErr w:type="spellEnd"/>
      <w:r w:rsidRPr="00D4322F">
        <w:t xml:space="preserve"> causes eyelash </w:t>
      </w:r>
      <w:r w:rsidRPr="00D4322F">
        <w:lastRenderedPageBreak/>
        <w:t xml:space="preserve">growth is currently unknown although it believed to be via a direct action on </w:t>
      </w:r>
      <w:proofErr w:type="spellStart"/>
      <w:r w:rsidRPr="00D4322F">
        <w:t>prostanoid</w:t>
      </w:r>
      <w:proofErr w:type="spellEnd"/>
      <w:r w:rsidRPr="00D4322F">
        <w:t xml:space="preserve"> receptors on the hair follicle.</w:t>
      </w:r>
    </w:p>
    <w:p w:rsidR="0059719E" w:rsidRPr="008D7998" w:rsidRDefault="0059719E" w:rsidP="0059719E">
      <w:pPr>
        <w:pStyle w:val="Heading3"/>
      </w:pPr>
      <w:bookmarkStart w:id="98" w:name="_Toc388513990"/>
      <w:bookmarkStart w:id="99" w:name="_Toc55464731"/>
      <w:r>
        <w:t>Dosage selection for the pivotal studies</w:t>
      </w:r>
      <w:bookmarkEnd w:id="98"/>
      <w:bookmarkEnd w:id="99"/>
    </w:p>
    <w:p w:rsidR="0059719E" w:rsidRDefault="0059719E" w:rsidP="0059719E">
      <w:r>
        <w:t xml:space="preserve">Study 192024-051 assessed the safety and efficacy of two lower doses, </w:t>
      </w:r>
      <w:proofErr w:type="spellStart"/>
      <w:r>
        <w:t>bimatoprost</w:t>
      </w:r>
      <w:proofErr w:type="spellEnd"/>
      <w:r>
        <w:t xml:space="preserve"> 0.005% and </w:t>
      </w:r>
      <w:proofErr w:type="spellStart"/>
      <w:r>
        <w:t>bimatoprost</w:t>
      </w:r>
      <w:proofErr w:type="spellEnd"/>
      <w:r>
        <w:t xml:space="preserve"> 0.015% (</w:t>
      </w:r>
      <w:proofErr w:type="spellStart"/>
      <w:r>
        <w:t>Bim</w:t>
      </w:r>
      <w:proofErr w:type="spellEnd"/>
      <w:r>
        <w:t xml:space="preserve"> 0.005% and </w:t>
      </w:r>
      <w:proofErr w:type="spellStart"/>
      <w:r>
        <w:t>Bim</w:t>
      </w:r>
      <w:proofErr w:type="spellEnd"/>
      <w:r>
        <w:t xml:space="preserve"> 0.015%), of a new formulation in increasing eyelash prominence (including length, thickness/fullness, darkness, and overall prominence) after 3 months of treatment in healthy female Caucasian subjects with </w:t>
      </w:r>
      <w:proofErr w:type="spellStart"/>
      <w:r>
        <w:t>hypotrichosis</w:t>
      </w:r>
      <w:proofErr w:type="spellEnd"/>
      <w:r>
        <w:t xml:space="preserve"> of the eyelashes. </w:t>
      </w:r>
    </w:p>
    <w:p w:rsidR="0059719E" w:rsidRDefault="0059719E" w:rsidP="0059719E">
      <w:r>
        <w:t xml:space="preserve">Results showed efficacy of all three doses on the measures of eyelash length and thickness. A significantly greater response was found with </w:t>
      </w:r>
      <w:proofErr w:type="spellStart"/>
      <w:r>
        <w:t>Latisse</w:t>
      </w:r>
      <w:proofErr w:type="spellEnd"/>
      <w:r>
        <w:t xml:space="preserve"> (</w:t>
      </w:r>
      <w:proofErr w:type="spellStart"/>
      <w:r>
        <w:t>bimatoprost</w:t>
      </w:r>
      <w:proofErr w:type="spellEnd"/>
      <w:r>
        <w:t xml:space="preserve"> 0.03% compared to the lowest dose of </w:t>
      </w:r>
      <w:proofErr w:type="spellStart"/>
      <w:r>
        <w:t>bimatoprost</w:t>
      </w:r>
      <w:proofErr w:type="spellEnd"/>
      <w:r>
        <w:t xml:space="preserve"> 0.005%) on measures of eyelash length, thickness and prominence. </w:t>
      </w:r>
      <w:proofErr w:type="spellStart"/>
      <w:r>
        <w:t>Latisse</w:t>
      </w:r>
      <w:proofErr w:type="spellEnd"/>
      <w:r>
        <w:t xml:space="preserve"> was also statistically significantly better than </w:t>
      </w:r>
      <w:proofErr w:type="spellStart"/>
      <w:r>
        <w:t>bimatoprost</w:t>
      </w:r>
      <w:proofErr w:type="spellEnd"/>
      <w:r>
        <w:t xml:space="preserve"> 0.015% on improvement in eyelash length though not on eyelash thickening, darkness or prominence. A dose-response relationship was evident.</w:t>
      </w:r>
    </w:p>
    <w:p w:rsidR="0059719E" w:rsidRDefault="0059719E" w:rsidP="0059719E">
      <w:pPr>
        <w:ind w:left="360"/>
      </w:pPr>
      <w:r>
        <w:t xml:space="preserve">Comments: </w:t>
      </w:r>
    </w:p>
    <w:p w:rsidR="0059719E" w:rsidRDefault="0059719E" w:rsidP="0059719E">
      <w:pPr>
        <w:pStyle w:val="ListBullet"/>
        <w:numPr>
          <w:ilvl w:val="0"/>
          <w:numId w:val="3"/>
        </w:numPr>
        <w:ind w:left="720"/>
      </w:pPr>
      <w:r>
        <w:t>This was a Phase II pilot study conducted in 2010 after the pivotal trials and so was not used to select the dose for the pivotal trials</w:t>
      </w:r>
      <w:r w:rsidR="00996F53">
        <w:t xml:space="preserve">. </w:t>
      </w:r>
      <w:r>
        <w:t>The sponsor provided no discussion on dose selection for the pivotal trials</w:t>
      </w:r>
      <w:r w:rsidR="00996F53">
        <w:t xml:space="preserve">. </w:t>
      </w:r>
      <w:r>
        <w:t xml:space="preserve">The study provided retrospective evidence of a dose response with improved efficacy with </w:t>
      </w:r>
      <w:proofErr w:type="spellStart"/>
      <w:r>
        <w:t>Latisse</w:t>
      </w:r>
      <w:proofErr w:type="spellEnd"/>
      <w:r>
        <w:t xml:space="preserve"> over the lower doses.</w:t>
      </w:r>
    </w:p>
    <w:p w:rsidR="0059719E" w:rsidRDefault="0059719E" w:rsidP="0059719E">
      <w:pPr>
        <w:pStyle w:val="ListBullet"/>
        <w:numPr>
          <w:ilvl w:val="0"/>
          <w:numId w:val="3"/>
        </w:numPr>
        <w:ind w:left="720"/>
      </w:pPr>
      <w:r>
        <w:t>A minimum effective dose was not identified as efficacy was seen at the lowest dose.</w:t>
      </w:r>
    </w:p>
    <w:p w:rsidR="0059719E" w:rsidRPr="00254787" w:rsidRDefault="0059719E" w:rsidP="0059719E">
      <w:pPr>
        <w:pStyle w:val="Heading3"/>
      </w:pPr>
      <w:bookmarkStart w:id="100" w:name="_Toc163441372"/>
      <w:bookmarkStart w:id="101" w:name="_Toc196046485"/>
      <w:bookmarkStart w:id="102" w:name="_Toc247691521"/>
      <w:bookmarkStart w:id="103" w:name="_Toc314842504"/>
      <w:bookmarkStart w:id="104" w:name="_Toc388513991"/>
      <w:bookmarkStart w:id="105" w:name="_Toc55464732"/>
      <w:r w:rsidRPr="00254787">
        <w:t>Efficacy</w:t>
      </w:r>
      <w:bookmarkEnd w:id="100"/>
      <w:bookmarkEnd w:id="101"/>
      <w:bookmarkEnd w:id="102"/>
      <w:bookmarkEnd w:id="103"/>
      <w:bookmarkEnd w:id="104"/>
      <w:bookmarkEnd w:id="105"/>
    </w:p>
    <w:p w:rsidR="0059719E" w:rsidRDefault="0059719E" w:rsidP="0059719E">
      <w:pPr>
        <w:pStyle w:val="Heading4"/>
      </w:pPr>
      <w:bookmarkStart w:id="106" w:name="_Toc184439992"/>
      <w:bookmarkStart w:id="107" w:name="_Toc184440279"/>
      <w:bookmarkStart w:id="108" w:name="_Toc184444657"/>
      <w:bookmarkStart w:id="109" w:name="_Toc196046487"/>
      <w:r w:rsidRPr="008C14C2">
        <w:t>Studies providing efficacy data</w:t>
      </w:r>
    </w:p>
    <w:p w:rsidR="0059719E" w:rsidRPr="008C14C2" w:rsidRDefault="0059719E" w:rsidP="0059719E">
      <w:r>
        <w:t>The following studies were provided:</w:t>
      </w:r>
    </w:p>
    <w:p w:rsidR="0059719E" w:rsidRPr="00254F33" w:rsidRDefault="0059719E" w:rsidP="0059719E">
      <w:pPr>
        <w:pStyle w:val="ListBullet"/>
        <w:numPr>
          <w:ilvl w:val="0"/>
          <w:numId w:val="3"/>
        </w:numPr>
      </w:pPr>
      <w:r w:rsidRPr="001D42C8">
        <w:t>two pivotal efficacy/safety studies (</w:t>
      </w:r>
      <w:r w:rsidRPr="00254F33">
        <w:t>192024-038</w:t>
      </w:r>
      <w:r>
        <w:t>(</w:t>
      </w:r>
      <w:r w:rsidRPr="00254F33">
        <w:t>6 and 12 month reports</w:t>
      </w:r>
      <w:r>
        <w:t>)</w:t>
      </w:r>
      <w:r w:rsidRPr="00254F33">
        <w:t xml:space="preserve"> and 192024-032).</w:t>
      </w:r>
    </w:p>
    <w:p w:rsidR="0059719E" w:rsidRPr="00254F33" w:rsidRDefault="0059719E" w:rsidP="0059719E">
      <w:pPr>
        <w:pStyle w:val="ListBullet"/>
        <w:numPr>
          <w:ilvl w:val="0"/>
          <w:numId w:val="3"/>
        </w:numPr>
      </w:pPr>
      <w:r w:rsidRPr="00254F33">
        <w:t>one Phase IV efficacy/safety study (192024-039).</w:t>
      </w:r>
    </w:p>
    <w:p w:rsidR="0059719E" w:rsidRPr="00254F33" w:rsidRDefault="0059719E" w:rsidP="0059719E">
      <w:pPr>
        <w:pStyle w:val="ListBullet"/>
        <w:numPr>
          <w:ilvl w:val="0"/>
          <w:numId w:val="3"/>
        </w:numPr>
      </w:pPr>
      <w:r w:rsidRPr="00254F33">
        <w:t>one non-treatment study evaluating the efficacy assessment scale (192024-033).</w:t>
      </w:r>
    </w:p>
    <w:p w:rsidR="0059719E" w:rsidRDefault="0059719E" w:rsidP="0059719E">
      <w:pPr>
        <w:pStyle w:val="Heading4"/>
      </w:pPr>
      <w:r>
        <w:t>Evaluator’s conclusions on efficacy</w:t>
      </w:r>
    </w:p>
    <w:p w:rsidR="0059719E" w:rsidRDefault="0059719E" w:rsidP="0059719E">
      <w:r>
        <w:t xml:space="preserve">Following the finding of adverse events of eyelash growth during the development of </w:t>
      </w:r>
      <w:proofErr w:type="spellStart"/>
      <w:r>
        <w:t>bimatoprost</w:t>
      </w:r>
      <w:proofErr w:type="spellEnd"/>
      <w:r>
        <w:t xml:space="preserve"> as an ocular hypotensive, the sponsor has undertaken a clinical development program in the indication of “</w:t>
      </w:r>
      <w:r w:rsidRPr="008C14C2">
        <w:rPr>
          <w:i/>
        </w:rPr>
        <w:t xml:space="preserve">eyelash </w:t>
      </w:r>
      <w:proofErr w:type="spellStart"/>
      <w:r w:rsidRPr="008C14C2">
        <w:rPr>
          <w:i/>
        </w:rPr>
        <w:t>hypotrichosis</w:t>
      </w:r>
      <w:proofErr w:type="spellEnd"/>
      <w:r>
        <w:t>”. This condition has been defined as “</w:t>
      </w:r>
      <w:r w:rsidRPr="008C14C2">
        <w:rPr>
          <w:i/>
        </w:rPr>
        <w:t>inadequate or not enough eyelashes</w:t>
      </w:r>
      <w:r>
        <w:t xml:space="preserve">” and eyelash prominence was objectively measured using the Global Eyelash Assessment (GEA scale) with </w:t>
      </w:r>
      <w:proofErr w:type="spellStart"/>
      <w:r>
        <w:t>photonumeric</w:t>
      </w:r>
      <w:proofErr w:type="spellEnd"/>
      <w:r>
        <w:t xml:space="preserve"> guide. This was a four point scale (1=minimal, 2=moderate, 3=marked, 4=very marked) and the validity of this score was assessed in Study 192024-033. This found the agreement within </w:t>
      </w:r>
      <w:proofErr w:type="spellStart"/>
      <w:r>
        <w:t>raters</w:t>
      </w:r>
      <w:proofErr w:type="spellEnd"/>
      <w:r>
        <w:t xml:space="preserve"> (intra-</w:t>
      </w:r>
      <w:proofErr w:type="spellStart"/>
      <w:r>
        <w:t>rater</w:t>
      </w:r>
      <w:proofErr w:type="spellEnd"/>
      <w:r>
        <w:t xml:space="preserve"> reliability) and agreement between </w:t>
      </w:r>
      <w:proofErr w:type="spellStart"/>
      <w:r>
        <w:t>raters</w:t>
      </w:r>
      <w:proofErr w:type="spellEnd"/>
      <w:r>
        <w:t xml:space="preserve"> (inter-</w:t>
      </w:r>
      <w:proofErr w:type="spellStart"/>
      <w:r>
        <w:t>rater</w:t>
      </w:r>
      <w:proofErr w:type="spellEnd"/>
      <w:r>
        <w:t xml:space="preserve"> reliability) was adequate and so is considered a reliable tool to grade eyelash prominence.</w:t>
      </w:r>
    </w:p>
    <w:p w:rsidR="0059719E" w:rsidRDefault="0059719E" w:rsidP="0059719E">
      <w:r>
        <w:t xml:space="preserve">The clinical development program in eyelash </w:t>
      </w:r>
      <w:proofErr w:type="spellStart"/>
      <w:r>
        <w:t>hypotrichosis</w:t>
      </w:r>
      <w:proofErr w:type="spellEnd"/>
      <w:r>
        <w:t xml:space="preserve"> (GEA score of 1 or 2) was largely conducted in patients with idiopathic </w:t>
      </w:r>
      <w:proofErr w:type="spellStart"/>
      <w:r>
        <w:t>hypotrichosis</w:t>
      </w:r>
      <w:proofErr w:type="spellEnd"/>
      <w:r>
        <w:t xml:space="preserve"> and one trial also assessed a population post-chemotherapy. The trials were conducted in women who were </w:t>
      </w:r>
      <w:r>
        <w:lastRenderedPageBreak/>
        <w:t>predominantly Caucasian. There was a US post approval study conducted in African Americans.</w:t>
      </w:r>
    </w:p>
    <w:p w:rsidR="0059719E" w:rsidRDefault="0059719E" w:rsidP="0059719E">
      <w:r>
        <w:t>The dose chosen for the clinical development in this indication was the same as the dose used in glaucoma and ocular hypertension (one drop daily per eye of the 0.03% solution). A dose-ranging study was included in the dossier which assessed lower doses (0.005% and 0.015%) of a different formulation. The study found a dose response and some improvement in efficacy with the proposed dose (0.03%) over the lower doses.</w:t>
      </w:r>
    </w:p>
    <w:p w:rsidR="0059719E" w:rsidRDefault="0059719E" w:rsidP="0059719E">
      <w:r>
        <w:t>There were two pivotal trials (192024-032 and 038). Study 032 had been evaluated in the previous submission and used the GEA score for inclusion and the primary endpoint. Study 192024-038 used both the objective GEA score and a patient reported measure (</w:t>
      </w:r>
      <w:r w:rsidRPr="002729C6">
        <w:t xml:space="preserve">the </w:t>
      </w:r>
      <w:r w:rsidRPr="002729C6">
        <w:rPr>
          <w:rFonts w:cs="TimesNewRomanPSMT"/>
          <w:lang w:eastAsia="zh-TW"/>
        </w:rPr>
        <w:t>Eyelash Satisfaction Questionnaire</w:t>
      </w:r>
      <w:r w:rsidRPr="002729C6">
        <w:t xml:space="preserve"> (ESQ</w:t>
      </w:r>
      <w:r>
        <w:t>)) for inclusion and its composite primary endpoint. Both studies measured response rates after 4 months of treatment.</w:t>
      </w:r>
    </w:p>
    <w:p w:rsidR="0059719E" w:rsidRDefault="0059719E" w:rsidP="0059719E">
      <w:r>
        <w:t xml:space="preserve">These two studies met their respective primary endpoints as after 4 months of treatment there was a statistically significant greater response rates with </w:t>
      </w:r>
      <w:proofErr w:type="spellStart"/>
      <w:r>
        <w:t>bimatoprost</w:t>
      </w:r>
      <w:proofErr w:type="spellEnd"/>
      <w:r>
        <w:t xml:space="preserve">. In Study 038, approximately 40% of subjects with idiopathic </w:t>
      </w:r>
      <w:proofErr w:type="spellStart"/>
      <w:r>
        <w:t>hypotrichosis</w:t>
      </w:r>
      <w:proofErr w:type="spellEnd"/>
      <w:r>
        <w:t xml:space="preserve"> responded (as measured by the composite endpoint of at least 1 grade increase from baseline GEA score and at least 3 points increase from baseline score on the ESQ Domain 2 (which measured satisfaction with eyelash attributes relating to feelings of confidence, attractiveness, and professionalism) compared to 7% in the vehicle group. The effect difference was less marked in the post chemotherapy group (38% versus 18%) which may be due to the more severe </w:t>
      </w:r>
      <w:proofErr w:type="spellStart"/>
      <w:r>
        <w:t>hypotrichosis</w:t>
      </w:r>
      <w:proofErr w:type="spellEnd"/>
      <w:r>
        <w:t xml:space="preserve"> at baseline and the natural regrowth of eyelashes in this population. Results were robust with confirmation across secondary endpoints and analysis populations. Response was evident from Month 2 and was maintained over 12 months of treatment at levels achieved after 6 months of treatment. On cessation of </w:t>
      </w:r>
      <w:proofErr w:type="spellStart"/>
      <w:r>
        <w:t>bimatoprost</w:t>
      </w:r>
      <w:proofErr w:type="spellEnd"/>
      <w:r>
        <w:t>, the response declined by 6 months.</w:t>
      </w:r>
    </w:p>
    <w:p w:rsidR="0059719E" w:rsidRDefault="0059719E" w:rsidP="0059719E">
      <w:r>
        <w:t xml:space="preserve">In Study 192024-032, 4 months treatment with </w:t>
      </w:r>
      <w:proofErr w:type="spellStart"/>
      <w:r>
        <w:t>bimatoprost</w:t>
      </w:r>
      <w:proofErr w:type="spellEnd"/>
      <w:r>
        <w:t xml:space="preserve"> in healthy subjects with eyelash </w:t>
      </w:r>
      <w:proofErr w:type="spellStart"/>
      <w:r>
        <w:t>hypotrichosis</w:t>
      </w:r>
      <w:proofErr w:type="spellEnd"/>
      <w:r>
        <w:t xml:space="preserve"> resulted in a statistically significant improvement of at least 1 grade in the GEA score in 78.1% of subjects compared to 18.4% treated with vehicle.</w:t>
      </w:r>
    </w:p>
    <w:p w:rsidR="0059719E" w:rsidRDefault="0059719E" w:rsidP="0059719E">
      <w:r>
        <w:t xml:space="preserve">In Study 192024-039, which included 89 African American/Black subjects with eyelash </w:t>
      </w:r>
      <w:proofErr w:type="spellStart"/>
      <w:r>
        <w:t>hypotrichosis</w:t>
      </w:r>
      <w:proofErr w:type="spellEnd"/>
      <w:r>
        <w:t xml:space="preserve">, it was found that after 4 months treatment with </w:t>
      </w:r>
      <w:proofErr w:type="spellStart"/>
      <w:r>
        <w:t>bimatoprost</w:t>
      </w:r>
      <w:proofErr w:type="spellEnd"/>
      <w:r>
        <w:t xml:space="preserve"> there was a borderline statistically significant improvement of at least 1 grade in the GEA score in 69.6% of subjects compared to 48.8% treated with vehicle (p=0.046). There was no significant differences (apart from eyelash thickness) reported by subjects on the ESQ. The study had a high response rate to vehicle which was not explained by the sponsor and a question has been raised.</w:t>
      </w:r>
    </w:p>
    <w:p w:rsidR="0059719E" w:rsidRDefault="0059719E" w:rsidP="0059719E">
      <w:r>
        <w:t>Data from Studies 192024-032 and 039 were retrospectively analysed using the same inclusion criteria and composite endpoint as used in Study 192024-038. The number of subjects in this subgroup for analysis was 214 in Study 192024-032 and 50 in 192024-039. The proportion of responders on the composite endpoint (</w:t>
      </w:r>
      <w:proofErr w:type="spellStart"/>
      <w:r>
        <w:t>bimatoprost</w:t>
      </w:r>
      <w:proofErr w:type="spellEnd"/>
      <w:r>
        <w:t xml:space="preserve"> versus vehicle) was 54.6% versus 5.7% (p&lt;0.001) in Study 032 and 39.1% versus 25.9% (p=0.373) in Study 039 compared to 40.2% versus 6.8% (p&lt;0.001) in the idiopathi</w:t>
      </w:r>
      <w:r w:rsidR="00275A7D">
        <w:t>c group in Study 038 (Table 8).</w:t>
      </w:r>
    </w:p>
    <w:p w:rsidR="0059719E" w:rsidRDefault="0059719E" w:rsidP="0059719E">
      <w:r>
        <w:t>Efficacy data were supported by findings on eyelash length, thickness and darkness which were assessed via digital image analysis. Efficacy was consistent across age subgroups and non-Caucasians. There were, however, very limited data in other ethnic groups such as Asian</w:t>
      </w:r>
      <w:r w:rsidR="00275A7D">
        <w:t>s.</w:t>
      </w:r>
    </w:p>
    <w:p w:rsidR="0059719E" w:rsidRPr="00D4322F" w:rsidRDefault="0059719E" w:rsidP="0059719E">
      <w:r>
        <w:t>There were no paediatric data in this indication.</w:t>
      </w:r>
    </w:p>
    <w:p w:rsidR="0059719E" w:rsidRPr="002E238E" w:rsidRDefault="0059719E" w:rsidP="0059719E">
      <w:pPr>
        <w:pStyle w:val="Heading3"/>
      </w:pPr>
      <w:bookmarkStart w:id="110" w:name="_Toc163441378"/>
      <w:bookmarkStart w:id="111" w:name="_Toc196046495"/>
      <w:bookmarkStart w:id="112" w:name="_Toc247691522"/>
      <w:bookmarkStart w:id="113" w:name="_Toc314842505"/>
      <w:bookmarkStart w:id="114" w:name="_Toc388513992"/>
      <w:bookmarkStart w:id="115" w:name="_Toc55464733"/>
      <w:bookmarkEnd w:id="106"/>
      <w:bookmarkEnd w:id="107"/>
      <w:bookmarkEnd w:id="108"/>
      <w:bookmarkEnd w:id="109"/>
      <w:r w:rsidRPr="002E238E">
        <w:lastRenderedPageBreak/>
        <w:t>Safety</w:t>
      </w:r>
      <w:bookmarkEnd w:id="110"/>
      <w:bookmarkEnd w:id="111"/>
      <w:bookmarkEnd w:id="112"/>
      <w:bookmarkEnd w:id="113"/>
      <w:bookmarkEnd w:id="114"/>
      <w:bookmarkEnd w:id="115"/>
    </w:p>
    <w:p w:rsidR="0059719E" w:rsidRDefault="0059719E" w:rsidP="0059719E">
      <w:pPr>
        <w:pStyle w:val="Heading4"/>
      </w:pPr>
      <w:bookmarkStart w:id="116" w:name="_Toc247691524"/>
      <w:bookmarkStart w:id="117" w:name="_Toc314842508"/>
      <w:bookmarkStart w:id="118" w:name="_Toc196046504"/>
      <w:bookmarkStart w:id="119" w:name="_Toc163441390"/>
      <w:r w:rsidRPr="00605AD4">
        <w:t xml:space="preserve">Studies providing safety </w:t>
      </w:r>
      <w:r w:rsidRPr="008C14C2">
        <w:t>data</w:t>
      </w:r>
    </w:p>
    <w:p w:rsidR="0059719E" w:rsidRPr="00187137" w:rsidRDefault="0059719E" w:rsidP="0059719E">
      <w:pPr>
        <w:pStyle w:val="Heading5"/>
      </w:pPr>
      <w:r w:rsidRPr="00187137">
        <w:t>Pivotal efficacy studies</w:t>
      </w:r>
    </w:p>
    <w:p w:rsidR="0059719E" w:rsidRPr="001D42C8" w:rsidRDefault="0059719E" w:rsidP="0059719E">
      <w:r>
        <w:t>In the pivotal efficacy S</w:t>
      </w:r>
      <w:r w:rsidRPr="001D42C8">
        <w:t>tudies 192024-032 and 192024-038, the following safety data were collected:</w:t>
      </w:r>
    </w:p>
    <w:p w:rsidR="0059719E" w:rsidRPr="001D42C8" w:rsidRDefault="0059719E" w:rsidP="0059719E">
      <w:pPr>
        <w:pStyle w:val="Bullet1"/>
        <w:spacing w:after="120"/>
        <w:rPr>
          <w:kern w:val="0"/>
          <w:szCs w:val="22"/>
        </w:rPr>
      </w:pPr>
      <w:r w:rsidRPr="001D42C8">
        <w:rPr>
          <w:kern w:val="0"/>
          <w:szCs w:val="22"/>
        </w:rPr>
        <w:t xml:space="preserve">General adverse events (AEs) were assessed by questioning at study visits. AEs of special interest included conjunctival hyperaemia, iris hyperpigmentation, skin hyperpigmentation, decreased IOP, </w:t>
      </w:r>
      <w:proofErr w:type="spellStart"/>
      <w:r w:rsidRPr="001D42C8">
        <w:rPr>
          <w:kern w:val="0"/>
          <w:szCs w:val="22"/>
        </w:rPr>
        <w:t>madarosis</w:t>
      </w:r>
      <w:proofErr w:type="spellEnd"/>
      <w:r w:rsidRPr="001D42C8">
        <w:rPr>
          <w:kern w:val="0"/>
          <w:szCs w:val="22"/>
        </w:rPr>
        <w:t xml:space="preserve"> and </w:t>
      </w:r>
      <w:proofErr w:type="spellStart"/>
      <w:r w:rsidRPr="001D42C8">
        <w:rPr>
          <w:kern w:val="0"/>
          <w:szCs w:val="22"/>
        </w:rPr>
        <w:t>enophthalmos</w:t>
      </w:r>
      <w:proofErr w:type="spellEnd"/>
      <w:r w:rsidRPr="001D42C8">
        <w:rPr>
          <w:kern w:val="0"/>
          <w:szCs w:val="22"/>
        </w:rPr>
        <w:t>.</w:t>
      </w:r>
    </w:p>
    <w:p w:rsidR="0059719E" w:rsidRPr="001D42C8" w:rsidRDefault="0059719E" w:rsidP="0059719E">
      <w:pPr>
        <w:pStyle w:val="Bullet1"/>
        <w:spacing w:after="120"/>
        <w:rPr>
          <w:kern w:val="0"/>
          <w:szCs w:val="22"/>
        </w:rPr>
      </w:pPr>
      <w:r w:rsidRPr="001D42C8">
        <w:rPr>
          <w:kern w:val="0"/>
          <w:szCs w:val="22"/>
        </w:rPr>
        <w:t xml:space="preserve">Eye-related assessments included </w:t>
      </w:r>
      <w:r w:rsidRPr="001D42C8">
        <w:rPr>
          <w:kern w:val="0"/>
          <w:szCs w:val="22"/>
          <w:lang w:eastAsia="zh-TW"/>
        </w:rPr>
        <w:t xml:space="preserve">ophthalmic examination which included dilated ophthalmoscopy, </w:t>
      </w:r>
      <w:proofErr w:type="spellStart"/>
      <w:r w:rsidRPr="001D42C8">
        <w:rPr>
          <w:kern w:val="0"/>
          <w:szCs w:val="22"/>
          <w:lang w:eastAsia="zh-TW"/>
        </w:rPr>
        <w:t>biomicroscopy</w:t>
      </w:r>
      <w:proofErr w:type="spellEnd"/>
      <w:r w:rsidRPr="001D42C8">
        <w:rPr>
          <w:kern w:val="0"/>
          <w:szCs w:val="22"/>
          <w:lang w:eastAsia="zh-TW"/>
        </w:rPr>
        <w:t>, intraocular pressure (IOP) measurement, iris colour assessment and best-corrected visual acuity. IOP was measured twice in each eye at e</w:t>
      </w:r>
      <w:r>
        <w:rPr>
          <w:kern w:val="0"/>
          <w:szCs w:val="22"/>
          <w:lang w:eastAsia="zh-TW"/>
        </w:rPr>
        <w:t>ach designated visit (at least M</w:t>
      </w:r>
      <w:r w:rsidRPr="001D42C8">
        <w:rPr>
          <w:kern w:val="0"/>
          <w:szCs w:val="22"/>
          <w:lang w:eastAsia="zh-TW"/>
        </w:rPr>
        <w:t>onths 1 and 4 as well as 6, 8 and 12 in 192024-038). A third measurement was taken if the difference was &gt;2 mmHg between the first two measurements.</w:t>
      </w:r>
    </w:p>
    <w:p w:rsidR="0059719E" w:rsidRPr="001D42C8" w:rsidRDefault="0059719E" w:rsidP="0059719E">
      <w:pPr>
        <w:pStyle w:val="Bullet1"/>
        <w:spacing w:after="120"/>
        <w:rPr>
          <w:kern w:val="0"/>
          <w:szCs w:val="22"/>
        </w:rPr>
      </w:pPr>
      <w:r w:rsidRPr="001D42C8">
        <w:rPr>
          <w:kern w:val="0"/>
          <w:szCs w:val="22"/>
          <w:lang w:eastAsia="zh-TW"/>
        </w:rPr>
        <w:t>Other assessments included physical examinations, vital signs, and urine pregnancy testing for females of childbearing potential</w:t>
      </w:r>
    </w:p>
    <w:p w:rsidR="0059719E" w:rsidRPr="001D42C8" w:rsidRDefault="0059719E" w:rsidP="0059719E">
      <w:pPr>
        <w:pStyle w:val="Bullet1"/>
        <w:spacing w:after="120"/>
        <w:rPr>
          <w:kern w:val="0"/>
          <w:szCs w:val="22"/>
        </w:rPr>
      </w:pPr>
      <w:r w:rsidRPr="001D42C8">
        <w:rPr>
          <w:kern w:val="0"/>
          <w:szCs w:val="22"/>
        </w:rPr>
        <w:t>Laboratory tests were not performed.</w:t>
      </w:r>
    </w:p>
    <w:p w:rsidR="0059719E" w:rsidRPr="00187137" w:rsidRDefault="0059719E" w:rsidP="0059719E">
      <w:pPr>
        <w:pStyle w:val="Heading4"/>
        <w:numPr>
          <w:ilvl w:val="2"/>
          <w:numId w:val="0"/>
        </w:numPr>
        <w:tabs>
          <w:tab w:val="num" w:pos="1134"/>
        </w:tabs>
        <w:adjustRightInd w:val="0"/>
        <w:snapToGrid w:val="0"/>
        <w:spacing w:before="120" w:after="120"/>
        <w:ind w:left="1134" w:hanging="964"/>
      </w:pPr>
      <w:r w:rsidRPr="00187137">
        <w:t>Pivotal studies that assessed safety as a primary outcome</w:t>
      </w:r>
    </w:p>
    <w:p w:rsidR="0059719E" w:rsidRPr="001D42C8" w:rsidRDefault="0059719E" w:rsidP="0059719E">
      <w:r w:rsidRPr="001D42C8">
        <w:t>There were no pivotal studies assessing safety as the primary outcome.</w:t>
      </w:r>
    </w:p>
    <w:p w:rsidR="0059719E" w:rsidRPr="00187137" w:rsidRDefault="0059719E" w:rsidP="0059719E">
      <w:pPr>
        <w:pStyle w:val="Heading4"/>
        <w:numPr>
          <w:ilvl w:val="2"/>
          <w:numId w:val="0"/>
        </w:numPr>
        <w:tabs>
          <w:tab w:val="num" w:pos="1134"/>
        </w:tabs>
        <w:adjustRightInd w:val="0"/>
        <w:snapToGrid w:val="0"/>
        <w:spacing w:before="120" w:after="120"/>
        <w:ind w:left="1134" w:hanging="964"/>
      </w:pPr>
      <w:r w:rsidRPr="00187137">
        <w:t>Dose-response and non-pivotal efficacy studies</w:t>
      </w:r>
    </w:p>
    <w:p w:rsidR="0059719E" w:rsidRPr="001D42C8" w:rsidRDefault="0059719E" w:rsidP="0059719E">
      <w:r w:rsidRPr="001D42C8">
        <w:t>The dose-response and non-pivotal efficacy studies provided safety data, as follows:</w:t>
      </w:r>
    </w:p>
    <w:p w:rsidR="0059719E" w:rsidRPr="001D42C8" w:rsidRDefault="0059719E" w:rsidP="0059719E">
      <w:pPr>
        <w:pStyle w:val="ListBullet"/>
        <w:numPr>
          <w:ilvl w:val="0"/>
          <w:numId w:val="3"/>
        </w:numPr>
      </w:pPr>
      <w:r w:rsidRPr="001D42C8">
        <w:t xml:space="preserve">Study 192024-051 provided data on </w:t>
      </w:r>
      <w:r w:rsidRPr="001D42C8">
        <w:rPr>
          <w:lang w:eastAsia="zh-TW"/>
        </w:rPr>
        <w:t>adverse events, physical examinations, vital signs (blood pressure and pulse rate) and pregnancy testing.</w:t>
      </w:r>
    </w:p>
    <w:p w:rsidR="0059719E" w:rsidRPr="001D42C8" w:rsidRDefault="0059719E" w:rsidP="0059719E">
      <w:pPr>
        <w:pStyle w:val="ListBullet"/>
        <w:numPr>
          <w:ilvl w:val="0"/>
          <w:numId w:val="3"/>
        </w:numPr>
      </w:pPr>
      <w:r w:rsidRPr="001D42C8">
        <w:t>Study 192024-039 provided the same data as the pivotal studies as well as periocular dermal pigmentation examination.</w:t>
      </w:r>
    </w:p>
    <w:p w:rsidR="0059719E" w:rsidRPr="001D42C8" w:rsidRDefault="0059719E" w:rsidP="0059719E">
      <w:pPr>
        <w:rPr>
          <w:rFonts w:cs="TimesNewRomanPSMT"/>
          <w:lang w:eastAsia="zh-TW"/>
        </w:rPr>
      </w:pPr>
      <w:r w:rsidRPr="001D42C8">
        <w:t xml:space="preserve">Data from the three main </w:t>
      </w:r>
      <w:proofErr w:type="spellStart"/>
      <w:r>
        <w:rPr>
          <w:rFonts w:cs="TimesNewRomanPSMT"/>
          <w:lang w:eastAsia="zh-TW"/>
        </w:rPr>
        <w:t>Latisse</w:t>
      </w:r>
      <w:proofErr w:type="spellEnd"/>
      <w:r w:rsidRPr="001D42C8">
        <w:rPr>
          <w:rFonts w:cs="TimesNewRomanPSMT"/>
          <w:lang w:eastAsia="zh-TW"/>
        </w:rPr>
        <w:t xml:space="preserve"> studies (192024-032, 192024-038 and </w:t>
      </w:r>
      <w:bookmarkStart w:id="120" w:name="_Ref269204367"/>
      <w:r w:rsidRPr="001D42C8">
        <w:rPr>
          <w:rFonts w:cs="TimesNewRomanPSMT"/>
          <w:lang w:eastAsia="zh-TW"/>
        </w:rPr>
        <w:t xml:space="preserve">192024-039) were pooled for the safety analysis. The treatment period was 4 months in </w:t>
      </w:r>
      <w:r>
        <w:rPr>
          <w:rFonts w:cs="TimesNewRomanPSMT"/>
          <w:lang w:eastAsia="zh-TW"/>
        </w:rPr>
        <w:t>S</w:t>
      </w:r>
      <w:r w:rsidRPr="001D42C8">
        <w:rPr>
          <w:rFonts w:cs="TimesNewRomanPSMT"/>
          <w:lang w:eastAsia="zh-TW"/>
        </w:rPr>
        <w:t>tudies 192024-032 and 039 and 12 months in 192024-032. A primary analysis of safety data included t</w:t>
      </w:r>
      <w:r>
        <w:rPr>
          <w:rFonts w:cs="TimesNewRomanPSMT"/>
          <w:lang w:eastAsia="zh-TW"/>
        </w:rPr>
        <w:t>he 4 month treatment period of S</w:t>
      </w:r>
      <w:r w:rsidRPr="001D42C8">
        <w:rPr>
          <w:rFonts w:cs="TimesNewRomanPSMT"/>
          <w:lang w:eastAsia="zh-TW"/>
        </w:rPr>
        <w:t xml:space="preserve">tudies 192024-032 and 039 and the first 6 months of 038. A final analysis of safety data included </w:t>
      </w:r>
      <w:r>
        <w:rPr>
          <w:rFonts w:cs="TimesNewRomanPSMT"/>
          <w:lang w:eastAsia="zh-TW"/>
        </w:rPr>
        <w:t>S</w:t>
      </w:r>
      <w:r w:rsidRPr="001D42C8">
        <w:rPr>
          <w:rFonts w:cs="TimesNewRomanPSMT"/>
          <w:lang w:eastAsia="zh-TW"/>
        </w:rPr>
        <w:t xml:space="preserve">tudies 192024-032 and 039 (4 month treatment period) and the 12 months of 038 and was used as the basis of the </w:t>
      </w:r>
      <w:r>
        <w:rPr>
          <w:rFonts w:cs="TimesNewRomanPSMT"/>
          <w:lang w:eastAsia="zh-TW"/>
        </w:rPr>
        <w:t xml:space="preserve">sponsor’s </w:t>
      </w:r>
      <w:r w:rsidRPr="001D42C8">
        <w:rPr>
          <w:rFonts w:cs="TimesNewRomanPSMT"/>
          <w:lang w:eastAsia="zh-TW"/>
        </w:rPr>
        <w:t>Summary of Clinical Safety (“pooled safety data”). Supportive safety data were derived from the 6 long term (</w:t>
      </w:r>
      <w:r>
        <w:rPr>
          <w:rFonts w:cs="TimesNewRomanPSMT"/>
          <w:lang w:eastAsia="zh-TW"/>
        </w:rPr>
        <w:t>≥</w:t>
      </w:r>
      <w:r w:rsidRPr="001D42C8">
        <w:rPr>
          <w:rFonts w:cs="TimesNewRomanPSMT"/>
          <w:lang w:eastAsia="zh-TW"/>
        </w:rPr>
        <w:t xml:space="preserve">1 year) studies with </w:t>
      </w:r>
      <w:proofErr w:type="spellStart"/>
      <w:r w:rsidRPr="001D42C8">
        <w:rPr>
          <w:rFonts w:cs="TimesNewRomanPSMT"/>
          <w:lang w:eastAsia="zh-TW"/>
        </w:rPr>
        <w:t>bimatoprost</w:t>
      </w:r>
      <w:proofErr w:type="spellEnd"/>
      <w:r w:rsidRPr="001D42C8">
        <w:rPr>
          <w:rFonts w:cs="TimesNewRomanPSMT"/>
          <w:lang w:eastAsia="zh-TW"/>
        </w:rPr>
        <w:t xml:space="preserve"> 0.03% in glaucoma.</w:t>
      </w:r>
    </w:p>
    <w:bookmarkEnd w:id="120"/>
    <w:p w:rsidR="0059719E" w:rsidRDefault="0059719E" w:rsidP="0059719E">
      <w:pPr>
        <w:pStyle w:val="Heading4"/>
      </w:pPr>
      <w:r w:rsidRPr="00605AD4">
        <w:t>Patient exposure</w:t>
      </w:r>
    </w:p>
    <w:p w:rsidR="0059719E" w:rsidRPr="001D42C8" w:rsidRDefault="0059719E" w:rsidP="0059719E">
      <w:pPr>
        <w:autoSpaceDE w:val="0"/>
        <w:autoSpaceDN w:val="0"/>
        <w:adjustRightInd w:val="0"/>
      </w:pPr>
      <w:r w:rsidRPr="001D42C8">
        <w:t xml:space="preserve">There were 733 subjects in the pooled safety database, 604 with idiopathic and 129 with </w:t>
      </w:r>
      <w:r>
        <w:t xml:space="preserve">post chemotherapy </w:t>
      </w:r>
      <w:proofErr w:type="spellStart"/>
      <w:r w:rsidRPr="00FD277E">
        <w:t>hypotrichosis</w:t>
      </w:r>
      <w:proofErr w:type="spellEnd"/>
      <w:r w:rsidRPr="00FD277E">
        <w:t xml:space="preserve"> (Table 1).</w:t>
      </w:r>
      <w:r w:rsidRPr="001D42C8">
        <w:t xml:space="preserve"> Of these, 541 subjects received at least 1 dose of </w:t>
      </w:r>
      <w:proofErr w:type="spellStart"/>
      <w:r>
        <w:t>Latisse</w:t>
      </w:r>
      <w:proofErr w:type="spellEnd"/>
      <w:r w:rsidRPr="001D42C8">
        <w:t xml:space="preserve"> and 276 at least one dose of vehicle (and no prior treatment with </w:t>
      </w:r>
      <w:proofErr w:type="spellStart"/>
      <w:r w:rsidRPr="001D42C8">
        <w:t>bimatoprost</w:t>
      </w:r>
      <w:proofErr w:type="spellEnd"/>
      <w:r w:rsidRPr="001D42C8">
        <w:t xml:space="preserve">). There were 413 subjects with idiopathic and 128 with </w:t>
      </w:r>
      <w:r>
        <w:t xml:space="preserve">post chemotherapy </w:t>
      </w:r>
      <w:proofErr w:type="spellStart"/>
      <w:r w:rsidRPr="001D42C8">
        <w:t>hypotrichosis</w:t>
      </w:r>
      <w:proofErr w:type="spellEnd"/>
      <w:r w:rsidRPr="001D42C8">
        <w:t xml:space="preserve"> who were treated with </w:t>
      </w:r>
      <w:proofErr w:type="spellStart"/>
      <w:r w:rsidRPr="001D42C8">
        <w:t>bimatoprost</w:t>
      </w:r>
      <w:proofErr w:type="spellEnd"/>
      <w:r w:rsidRPr="001D42C8">
        <w:rPr>
          <w:rStyle w:val="FootnoteReference"/>
        </w:rPr>
        <w:footnoteReference w:id="7"/>
      </w:r>
      <w:r w:rsidRPr="001D42C8">
        <w:t xml:space="preserve"> </w:t>
      </w:r>
    </w:p>
    <w:p w:rsidR="0059719E" w:rsidRPr="001D42C8" w:rsidRDefault="0059719E" w:rsidP="0059719E">
      <w:r w:rsidRPr="001D42C8">
        <w:t xml:space="preserve">In the overall pooled analysis population, the median treatment duration for </w:t>
      </w:r>
      <w:proofErr w:type="spellStart"/>
      <w:r w:rsidRPr="001D42C8">
        <w:t>bimatoprost</w:t>
      </w:r>
      <w:proofErr w:type="spellEnd"/>
      <w:r w:rsidRPr="001D42C8">
        <w:t xml:space="preserve"> was 182 days and for vehicle was 118 days due</w:t>
      </w:r>
      <w:r>
        <w:t xml:space="preserve"> to the inclusion of data from S</w:t>
      </w:r>
      <w:r w:rsidRPr="001D42C8">
        <w:t xml:space="preserve">tudy 192024-038 where </w:t>
      </w:r>
      <w:proofErr w:type="spellStart"/>
      <w:r w:rsidRPr="001D42C8">
        <w:t>bimatoprost</w:t>
      </w:r>
      <w:proofErr w:type="spellEnd"/>
      <w:r w:rsidRPr="001D42C8">
        <w:t xml:space="preserve"> could be received for up to 12 months. For the 214 </w:t>
      </w:r>
      <w:r w:rsidRPr="001D42C8">
        <w:lastRenderedPageBreak/>
        <w:t>subjects in this group (</w:t>
      </w:r>
      <w:proofErr w:type="spellStart"/>
      <w:r w:rsidRPr="001D42C8">
        <w:t>Bim</w:t>
      </w:r>
      <w:proofErr w:type="spellEnd"/>
      <w:r w:rsidRPr="001D42C8">
        <w:t>/</w:t>
      </w:r>
      <w:proofErr w:type="spellStart"/>
      <w:r w:rsidRPr="001D42C8">
        <w:t>Bim</w:t>
      </w:r>
      <w:proofErr w:type="spellEnd"/>
      <w:r w:rsidRPr="001D42C8">
        <w:t xml:space="preserve">), the median and mean exposure was 364 days and 335 days, respectively. The number of subjects exposed to </w:t>
      </w:r>
      <w:proofErr w:type="spellStart"/>
      <w:r w:rsidRPr="001D42C8">
        <w:t>bimatoprost</w:t>
      </w:r>
      <w:proofErr w:type="spellEnd"/>
      <w:r w:rsidRPr="001D42C8">
        <w:t xml:space="preserve"> over time is shown </w:t>
      </w:r>
      <w:r w:rsidRPr="00FD277E">
        <w:t xml:space="preserve">in Table </w:t>
      </w:r>
      <w:r>
        <w:t>2</w:t>
      </w:r>
      <w:r w:rsidRPr="00FD277E">
        <w:t>.</w:t>
      </w:r>
      <w:r w:rsidRPr="001D42C8">
        <w:t xml:space="preserve"> There were 183 subjects who had at least 48 weeks treatment with </w:t>
      </w:r>
      <w:proofErr w:type="spellStart"/>
      <w:r w:rsidRPr="001D42C8">
        <w:t>bimatoprost</w:t>
      </w:r>
      <w:proofErr w:type="spellEnd"/>
      <w:r w:rsidRPr="001D42C8">
        <w:t xml:space="preserve">, 97 with idiopathic and 86 with </w:t>
      </w:r>
      <w:r>
        <w:t xml:space="preserve">post chemotherapy </w:t>
      </w:r>
      <w:proofErr w:type="spellStart"/>
      <w:r w:rsidRPr="001D42C8">
        <w:t>hypotrichosis</w:t>
      </w:r>
      <w:proofErr w:type="spellEnd"/>
      <w:r w:rsidRPr="001D42C8">
        <w:t xml:space="preserve">. In </w:t>
      </w:r>
      <w:r>
        <w:t>S</w:t>
      </w:r>
      <w:r w:rsidRPr="001D42C8">
        <w:t xml:space="preserve">tudy 192024-051, the mean treatment duration was approximately 88 days in the three </w:t>
      </w:r>
      <w:proofErr w:type="spellStart"/>
      <w:r w:rsidRPr="001D42C8">
        <w:t>bimatoprost</w:t>
      </w:r>
      <w:proofErr w:type="spellEnd"/>
      <w:r w:rsidRPr="001D42C8">
        <w:t xml:space="preserve"> groups.</w:t>
      </w:r>
    </w:p>
    <w:p w:rsidR="0059719E" w:rsidRDefault="0059719E" w:rsidP="0059719E">
      <w:r w:rsidRPr="001D42C8">
        <w:t xml:space="preserve">In the safety database, the </w:t>
      </w:r>
      <w:proofErr w:type="spellStart"/>
      <w:r w:rsidRPr="001D42C8">
        <w:t>bimatoprost</w:t>
      </w:r>
      <w:proofErr w:type="spellEnd"/>
      <w:r w:rsidRPr="001D42C8">
        <w:t>-treated subjects had a mean age of 49.6 years (range 22 to 77), 98.7% were females (there were only 7 males), 75.8% were Caucasian, 13.9% Black, 5.5% Asian, 3.9% Hispanic, 57.2% had light iris colour, 34.8% had a baseline GEA score of 1 (minimal) and 65.2% had a score of 2 (moderate).</w:t>
      </w:r>
    </w:p>
    <w:p w:rsidR="0059719E" w:rsidRDefault="0059719E" w:rsidP="0059719E">
      <w:pPr>
        <w:pStyle w:val="TableTitle"/>
      </w:pPr>
      <w:r>
        <w:t xml:space="preserve">Table 1. Total number of subjects in pooled analysis populations from the pooled </w:t>
      </w:r>
      <w:proofErr w:type="spellStart"/>
      <w:r>
        <w:t>Latisse</w:t>
      </w:r>
      <w:proofErr w:type="spellEnd"/>
      <w:r>
        <w:t xml:space="preserve"> studies</w:t>
      </w:r>
    </w:p>
    <w:p w:rsidR="0059719E" w:rsidRDefault="0059719E" w:rsidP="0059719E">
      <w:r>
        <w:rPr>
          <w:noProof/>
          <w:lang w:eastAsia="en-AU"/>
        </w:rPr>
        <w:drawing>
          <wp:inline distT="0" distB="0" distL="0" distR="0" wp14:anchorId="220F91DC" wp14:editId="4A5B7AF0">
            <wp:extent cx="4381500" cy="1844842"/>
            <wp:effectExtent l="0" t="0" r="0" b="0"/>
            <wp:docPr id="19" name="Picture 19" descr="Table 1. Total number of subjects in pooled analysis populations from the pooled Latis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37" t="2239" r="1437" b="2211"/>
                    <a:stretch/>
                  </pic:blipFill>
                  <pic:spPr bwMode="auto">
                    <a:xfrm>
                      <a:off x="0" y="0"/>
                      <a:ext cx="4392706" cy="1849561"/>
                    </a:xfrm>
                    <a:prstGeom prst="rect">
                      <a:avLst/>
                    </a:prstGeom>
                    <a:ln>
                      <a:noFill/>
                    </a:ln>
                    <a:extLst>
                      <a:ext uri="{53640926-AAD7-44D8-BBD7-CCE9431645EC}">
                        <a14:shadowObscured xmlns:a14="http://schemas.microsoft.com/office/drawing/2010/main"/>
                      </a:ext>
                    </a:extLst>
                  </pic:spPr>
                </pic:pic>
              </a:graphicData>
            </a:graphic>
          </wp:inline>
        </w:drawing>
      </w:r>
    </w:p>
    <w:p w:rsidR="0059719E" w:rsidRDefault="0059719E" w:rsidP="0059719E">
      <w:pPr>
        <w:pStyle w:val="TableTitle"/>
      </w:pPr>
      <w:r>
        <w:t xml:space="preserve">Table 2. Number (%) of subjects exposed to study treatment by cumulative time interval in the pooled </w:t>
      </w:r>
      <w:proofErr w:type="spellStart"/>
      <w:r>
        <w:t>Latisse</w:t>
      </w:r>
      <w:proofErr w:type="spellEnd"/>
      <w:r>
        <w:t xml:space="preserve"> studies (safety population)</w:t>
      </w:r>
    </w:p>
    <w:p w:rsidR="0059719E" w:rsidRDefault="0059719E" w:rsidP="00275A7D">
      <w:r>
        <w:rPr>
          <w:noProof/>
          <w:lang w:eastAsia="en-AU"/>
        </w:rPr>
        <w:drawing>
          <wp:inline distT="0" distB="0" distL="0" distR="0" wp14:anchorId="3288371C" wp14:editId="2EB6F28F">
            <wp:extent cx="4725019" cy="3295650"/>
            <wp:effectExtent l="0" t="0" r="0" b="0"/>
            <wp:docPr id="20" name="Picture 20" descr="Table 2. Number (%) of subjects exposed to study treatment by cumulative time interval in the pooled Latisse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26" r="1513"/>
                    <a:stretch/>
                  </pic:blipFill>
                  <pic:spPr bwMode="auto">
                    <a:xfrm>
                      <a:off x="0" y="0"/>
                      <a:ext cx="4728168" cy="3297846"/>
                    </a:xfrm>
                    <a:prstGeom prst="rect">
                      <a:avLst/>
                    </a:prstGeom>
                    <a:ln>
                      <a:noFill/>
                    </a:ln>
                    <a:extLst>
                      <a:ext uri="{53640926-AAD7-44D8-BBD7-CCE9431645EC}">
                        <a14:shadowObscured xmlns:a14="http://schemas.microsoft.com/office/drawing/2010/main"/>
                      </a:ext>
                    </a:extLst>
                  </pic:spPr>
                </pic:pic>
              </a:graphicData>
            </a:graphic>
          </wp:inline>
        </w:drawing>
      </w:r>
    </w:p>
    <w:p w:rsidR="0059719E" w:rsidRDefault="0059719E" w:rsidP="0059719E">
      <w:pPr>
        <w:pStyle w:val="Heading4"/>
      </w:pPr>
      <w:r w:rsidRPr="00605AD4">
        <w:t>Safety issues with the potential for major regulatory impact</w:t>
      </w:r>
    </w:p>
    <w:p w:rsidR="0059719E" w:rsidRPr="00D4322F" w:rsidRDefault="0059719E" w:rsidP="0059719E">
      <w:r>
        <w:t>None.</w:t>
      </w:r>
    </w:p>
    <w:p w:rsidR="0059719E" w:rsidRDefault="0059719E" w:rsidP="0059719E">
      <w:pPr>
        <w:pStyle w:val="Heading4"/>
      </w:pPr>
      <w:proofErr w:type="spellStart"/>
      <w:r w:rsidRPr="00605AD4">
        <w:lastRenderedPageBreak/>
        <w:t>Postmarketing</w:t>
      </w:r>
      <w:proofErr w:type="spellEnd"/>
      <w:r w:rsidRPr="00605AD4">
        <w:t xml:space="preserve"> data</w:t>
      </w:r>
    </w:p>
    <w:p w:rsidR="0059719E" w:rsidRDefault="0059719E" w:rsidP="0059719E">
      <w:pPr>
        <w:autoSpaceDE w:val="0"/>
        <w:autoSpaceDN w:val="0"/>
        <w:adjustRightInd w:val="0"/>
      </w:pPr>
      <w:r w:rsidRPr="001D42C8">
        <w:t xml:space="preserve">Marketing of </w:t>
      </w:r>
      <w:proofErr w:type="spellStart"/>
      <w:r>
        <w:t>Latisse</w:t>
      </w:r>
      <w:proofErr w:type="spellEnd"/>
      <w:r w:rsidRPr="001D42C8">
        <w:t xml:space="preserve"> commenced in January 2009 an</w:t>
      </w:r>
      <w:r>
        <w:t>d through to December 2011 the s</w:t>
      </w:r>
      <w:r w:rsidRPr="001D42C8">
        <w:t xml:space="preserve">ponsor estimates 395,307 patient-years of exposure. During this time, there have been 3346 case reports (7253 adverse event terms), 1316 of which came from health care professionals. The most frequent events are listed </w:t>
      </w:r>
      <w:r w:rsidRPr="00E834AC">
        <w:t xml:space="preserve">in Table </w:t>
      </w:r>
      <w:r>
        <w:t>3</w:t>
      </w:r>
      <w:r w:rsidRPr="001D42C8">
        <w:t xml:space="preserve">. </w:t>
      </w:r>
      <w:proofErr w:type="spellStart"/>
      <w:r w:rsidRPr="001D42C8">
        <w:t>Madarosis</w:t>
      </w:r>
      <w:proofErr w:type="spellEnd"/>
      <w:r w:rsidRPr="001D42C8">
        <w:t xml:space="preserve"> was the second most frequent event, after ocular hyperaemia. There were 5 reports of </w:t>
      </w:r>
      <w:proofErr w:type="spellStart"/>
      <w:r w:rsidRPr="001D42C8">
        <w:t>enophthalmos</w:t>
      </w:r>
      <w:proofErr w:type="spellEnd"/>
      <w:r w:rsidRPr="001D42C8">
        <w:t>. There were also 19 serious, unlisted AEs, 12 of which were medically</w:t>
      </w:r>
      <w:r>
        <w:t xml:space="preserve"> </w:t>
      </w:r>
      <w:r w:rsidRPr="001D42C8">
        <w:t>confirmed. These cases included keratitis, eye infections and an anaphylactic reaction.</w:t>
      </w:r>
    </w:p>
    <w:p w:rsidR="0059719E" w:rsidRDefault="0059719E" w:rsidP="0059719E">
      <w:pPr>
        <w:pStyle w:val="TableTitle"/>
      </w:pPr>
      <w:r>
        <w:t xml:space="preserve">Table 3. Most commonly reported </w:t>
      </w:r>
      <w:proofErr w:type="spellStart"/>
      <w:r>
        <w:t>postmarketing</w:t>
      </w:r>
      <w:proofErr w:type="spellEnd"/>
      <w:r>
        <w:t xml:space="preserve"> non serious adverse event preferred terms</w:t>
      </w:r>
    </w:p>
    <w:p w:rsidR="0059719E" w:rsidRPr="001D42C8" w:rsidRDefault="0059719E" w:rsidP="0059719E">
      <w:pPr>
        <w:autoSpaceDE w:val="0"/>
        <w:autoSpaceDN w:val="0"/>
        <w:adjustRightInd w:val="0"/>
      </w:pPr>
      <w:r>
        <w:rPr>
          <w:noProof/>
          <w:lang w:eastAsia="en-AU"/>
        </w:rPr>
        <w:drawing>
          <wp:inline distT="0" distB="0" distL="0" distR="0" wp14:anchorId="3B841311" wp14:editId="54DC5914">
            <wp:extent cx="3397469" cy="2868724"/>
            <wp:effectExtent l="0" t="0" r="0" b="0"/>
            <wp:docPr id="27" name="Picture 27" descr="Table 3. Most commonly reported postmarketing non serious adverse event preferred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97910" cy="2869096"/>
                    </a:xfrm>
                    <a:prstGeom prst="rect">
                      <a:avLst/>
                    </a:prstGeom>
                  </pic:spPr>
                </pic:pic>
              </a:graphicData>
            </a:graphic>
          </wp:inline>
        </w:drawing>
      </w:r>
    </w:p>
    <w:p w:rsidR="0059719E" w:rsidRPr="001D42C8" w:rsidRDefault="0059719E" w:rsidP="0059719E">
      <w:pPr>
        <w:autoSpaceDE w:val="0"/>
        <w:autoSpaceDN w:val="0"/>
        <w:adjustRightInd w:val="0"/>
      </w:pPr>
      <w:r w:rsidRPr="001D42C8">
        <w:t xml:space="preserve">In addition a </w:t>
      </w:r>
      <w:r>
        <w:t>Periodic Safety Update Report (</w:t>
      </w:r>
      <w:r w:rsidRPr="001D42C8">
        <w:t>PSUR</w:t>
      </w:r>
      <w:r>
        <w:t>)</w:t>
      </w:r>
      <w:r w:rsidRPr="001D42C8">
        <w:t xml:space="preserve"> for</w:t>
      </w:r>
      <w:r>
        <w:t xml:space="preserve"> all the sponsor’s approved products containing </w:t>
      </w:r>
      <w:proofErr w:type="spellStart"/>
      <w:r>
        <w:t>bimatoprost</w:t>
      </w:r>
      <w:proofErr w:type="spellEnd"/>
      <w:r>
        <w:t xml:space="preserve"> including</w:t>
      </w:r>
      <w:r w:rsidRPr="001D42C8">
        <w:t xml:space="preserve"> </w:t>
      </w:r>
      <w:proofErr w:type="spellStart"/>
      <w:r>
        <w:t>Latisse</w:t>
      </w:r>
      <w:proofErr w:type="spellEnd"/>
      <w:r w:rsidRPr="001D42C8">
        <w:t xml:space="preserve"> for the period 1 March 2011 to 29 February 2012 was included in </w:t>
      </w:r>
      <w:r>
        <w:t>the submission. This was the second</w:t>
      </w:r>
      <w:r w:rsidRPr="001D42C8">
        <w:t xml:space="preserve"> </w:t>
      </w:r>
      <w:r>
        <w:t xml:space="preserve">PSUR </w:t>
      </w:r>
      <w:r w:rsidRPr="001D42C8">
        <w:t xml:space="preserve">for </w:t>
      </w:r>
      <w:proofErr w:type="spellStart"/>
      <w:r>
        <w:t>Latisse</w:t>
      </w:r>
      <w:proofErr w:type="spellEnd"/>
      <w:r>
        <w:t>. During the period the s</w:t>
      </w:r>
      <w:r w:rsidRPr="001D42C8">
        <w:t xml:space="preserve">ponsor estimated the patient exposure to </w:t>
      </w:r>
      <w:proofErr w:type="spellStart"/>
      <w:r>
        <w:t>Latisse</w:t>
      </w:r>
      <w:proofErr w:type="spellEnd"/>
      <w:r w:rsidRPr="001D42C8">
        <w:t xml:space="preserve"> was 628,930 patient years. During this period the core data sheet was updated and events of eye pain</w:t>
      </w:r>
      <w:r>
        <w:t xml:space="preserve"> for eye drops</w:t>
      </w:r>
      <w:r w:rsidRPr="001D42C8">
        <w:t xml:space="preserve"> and </w:t>
      </w:r>
      <w:proofErr w:type="spellStart"/>
      <w:r w:rsidRPr="001D42C8">
        <w:t>enophthalmos</w:t>
      </w:r>
      <w:proofErr w:type="spellEnd"/>
      <w:r w:rsidRPr="001D42C8">
        <w:t xml:space="preserve"> for </w:t>
      </w:r>
      <w:proofErr w:type="spellStart"/>
      <w:r>
        <w:t>Latisse</w:t>
      </w:r>
      <w:proofErr w:type="spellEnd"/>
      <w:r w:rsidRPr="001D42C8">
        <w:t xml:space="preserve"> were added. The PSUR contained 1,028 case reports, with 2,434 adverse event terms, that were related to </w:t>
      </w:r>
      <w:proofErr w:type="spellStart"/>
      <w:r>
        <w:t>Latisse</w:t>
      </w:r>
      <w:proofErr w:type="spellEnd"/>
      <w:r w:rsidRPr="001D42C8">
        <w:t xml:space="preserve">. Of these, 292 cases were reported from health care professionals. There were was one serious case from a health care professional of optic nerve injury and increase </w:t>
      </w:r>
      <w:r>
        <w:t>in intraocular pressure (</w:t>
      </w:r>
      <w:r w:rsidRPr="001D42C8">
        <w:t>IOP</w:t>
      </w:r>
      <w:r>
        <w:t>)</w:t>
      </w:r>
      <w:r w:rsidRPr="001D42C8">
        <w:t xml:space="preserve">. There was also a consumer report of bacterial infection of a premature neonate with a fatal outcome following the mother’s exposure during the first 2 weeks of pregnancy. Of the reported events, 47.6% were in the eye disorders </w:t>
      </w:r>
      <w:r>
        <w:t>System Organ Class</w:t>
      </w:r>
      <w:r w:rsidRPr="001D42C8">
        <w:t xml:space="preserve"> SOC with a rate of 0.621 per 1000 units sold. The next most frequent SOC was skin and subcutaneous tissue disorders with an event reporting rate of 0.302 per 1,000 units sold. There were 197 reports of lack of efficacy and 311 cases involving misuse or medication error and 43 cases of off-label use. In cumulative analysis there have been 8 cases of </w:t>
      </w:r>
      <w:proofErr w:type="spellStart"/>
      <w:r w:rsidRPr="001D42C8">
        <w:t>enophthalmos</w:t>
      </w:r>
      <w:proofErr w:type="spellEnd"/>
      <w:r w:rsidRPr="001D42C8">
        <w:t xml:space="preserve"> which were considered ‘relevant’ by the </w:t>
      </w:r>
      <w:r>
        <w:t>s</w:t>
      </w:r>
      <w:r w:rsidRPr="001D42C8">
        <w:t>ponsor, none was serious.</w:t>
      </w:r>
    </w:p>
    <w:p w:rsidR="0059719E" w:rsidRPr="00605AD4" w:rsidRDefault="0059719E" w:rsidP="0059719E">
      <w:pPr>
        <w:pStyle w:val="Heading4"/>
      </w:pPr>
      <w:r w:rsidRPr="00605AD4">
        <w:t>Evaluator’s conclusions on safety</w:t>
      </w:r>
    </w:p>
    <w:p w:rsidR="0059719E" w:rsidRDefault="0059719E" w:rsidP="0059719E">
      <w:r>
        <w:t xml:space="preserve">The pooled safety database for </w:t>
      </w:r>
      <w:proofErr w:type="spellStart"/>
      <w:r>
        <w:t>bimatoprost</w:t>
      </w:r>
      <w:proofErr w:type="spellEnd"/>
      <w:r>
        <w:t xml:space="preserve"> included 733 subjects from 3 randomised controlled trials. Of these, 541 subjects received at least 1 dose of </w:t>
      </w:r>
      <w:proofErr w:type="spellStart"/>
      <w:r>
        <w:t>Latisse</w:t>
      </w:r>
      <w:proofErr w:type="spellEnd"/>
      <w:r>
        <w:t xml:space="preserve"> and 276 at least one dose of vehicle (and no prior treatment with </w:t>
      </w:r>
      <w:proofErr w:type="spellStart"/>
      <w:r>
        <w:t>bimatoprost</w:t>
      </w:r>
      <w:proofErr w:type="spellEnd"/>
      <w:r>
        <w:t xml:space="preserve">). There were 413 subjects with idiopathic and 128 with post chemotherapy </w:t>
      </w:r>
      <w:proofErr w:type="spellStart"/>
      <w:r>
        <w:t>hypotrichosis</w:t>
      </w:r>
      <w:proofErr w:type="spellEnd"/>
      <w:r>
        <w:t xml:space="preserve"> who were treated with </w:t>
      </w:r>
      <w:proofErr w:type="spellStart"/>
      <w:r>
        <w:t>bimatoprost</w:t>
      </w:r>
      <w:proofErr w:type="spellEnd"/>
      <w:r>
        <w:t xml:space="preserve">. The median treatment duration for </w:t>
      </w:r>
      <w:proofErr w:type="spellStart"/>
      <w:r>
        <w:t>bimatoprost</w:t>
      </w:r>
      <w:proofErr w:type="spellEnd"/>
      <w:r>
        <w:t xml:space="preserve"> was 182 days and for </w:t>
      </w:r>
      <w:r>
        <w:lastRenderedPageBreak/>
        <w:t xml:space="preserve">vehicle was 118 days. There were 183 subjects who had at least 48 weeks of treatment with </w:t>
      </w:r>
      <w:proofErr w:type="spellStart"/>
      <w:r>
        <w:t>bimatoprost</w:t>
      </w:r>
      <w:proofErr w:type="spellEnd"/>
      <w:r>
        <w:t xml:space="preserve">, 97 of whom with idiopathic and 86 with post chemotherapy </w:t>
      </w:r>
      <w:proofErr w:type="spellStart"/>
      <w:r>
        <w:t>hypotrichosis</w:t>
      </w:r>
      <w:proofErr w:type="spellEnd"/>
      <w:r>
        <w:t>.</w:t>
      </w:r>
    </w:p>
    <w:p w:rsidR="0059719E" w:rsidRDefault="0059719E" w:rsidP="0059719E">
      <w:r>
        <w:t xml:space="preserve">The adverse event (AE) rate was higher with </w:t>
      </w:r>
      <w:proofErr w:type="spellStart"/>
      <w:r>
        <w:t>bimatoprost</w:t>
      </w:r>
      <w:proofErr w:type="spellEnd"/>
      <w:r>
        <w:t xml:space="preserve"> than vehicle (50% versus 32%) as was the rate of treatment-related AEs (23% and 9%). The most frequent AEs were eye disorders (28% versus 13%) with the majority classed as treatment related (19% versus 8%). The most common eye disorders were: conjunctival hyperaemia (7.2% versus 1.4%), punctate keratitis (3.1% versus 1.8%), eyelid pruritus (3.7% versus 2.9%), eyelid erythema (3.9% versus 1.1%), eye pruritus (2.6% versus 0.7%), dry eye (2.2% versus 0.7%) and blepharitis (1.3% versus 0.4). Skin pigmentation was the other main AE occurring at a higher rate with </w:t>
      </w:r>
      <w:proofErr w:type="spellStart"/>
      <w:r>
        <w:t>bimatoprost</w:t>
      </w:r>
      <w:proofErr w:type="spellEnd"/>
      <w:r>
        <w:t xml:space="preserve"> (3.9% versus 0.4%). Other AEs of note were </w:t>
      </w:r>
      <w:proofErr w:type="spellStart"/>
      <w:r>
        <w:t>madarosis</w:t>
      </w:r>
      <w:proofErr w:type="spellEnd"/>
      <w:r>
        <w:t xml:space="preserve"> (absence of eyelashes) (0.9% versus 0%) and </w:t>
      </w:r>
      <w:proofErr w:type="spellStart"/>
      <w:r>
        <w:t>enophthalmos</w:t>
      </w:r>
      <w:proofErr w:type="spellEnd"/>
      <w:r>
        <w:t xml:space="preserve"> (0.2% versus 0%).</w:t>
      </w:r>
    </w:p>
    <w:p w:rsidR="0059719E" w:rsidRDefault="0059719E" w:rsidP="0059719E">
      <w:r>
        <w:t xml:space="preserve">There was one unrelated death in the clinical program from a presumed pulmonary embolism following breast reconstructive surgery. Serious AEs (SAEs) were more frequent with </w:t>
      </w:r>
      <w:proofErr w:type="spellStart"/>
      <w:r>
        <w:t>bimatoprost</w:t>
      </w:r>
      <w:proofErr w:type="spellEnd"/>
      <w:r>
        <w:t xml:space="preserve"> (5.2% versus 1.8%) particularly in the post chemotherapy group (see below). No SAE was considered treatment-related and there were no eye-related SAEs. The discontinuation rate due to AEs was 3.7% with </w:t>
      </w:r>
      <w:proofErr w:type="spellStart"/>
      <w:r>
        <w:t>bimatoprost</w:t>
      </w:r>
      <w:proofErr w:type="spellEnd"/>
      <w:r>
        <w:t xml:space="preserve"> compared to 2.9% with vehicle. The most frequent AEs leading to discontinuation were eye disorders (2.2%) and in particular conjunctival hyperaemia, erythema of the eyelid, dry eye and eye irritation.</w:t>
      </w:r>
    </w:p>
    <w:p w:rsidR="0059719E" w:rsidRDefault="0059719E" w:rsidP="0059719E">
      <w:r>
        <w:t xml:space="preserve">The post chemotherapy group had a higher rate of AEs (68% versus 46%) than the healthy adults with idiopathic </w:t>
      </w:r>
      <w:proofErr w:type="spellStart"/>
      <w:r>
        <w:t>hypotrichosis</w:t>
      </w:r>
      <w:proofErr w:type="spellEnd"/>
      <w:r>
        <w:t xml:space="preserve"> (45% versus 31%). The rate of eye disorders was notably greater in the post chemotherapy group than the idiopathic group (36% versus 25%) and in particular conjunctival hyperaemia (14.8% versus 4.8%). In addition, this group had a higher rate of SAEs (13.3% versus 6.1% with vehicle) compared to the idiopathic group (2.7% versus 1.2%). </w:t>
      </w:r>
    </w:p>
    <w:p w:rsidR="0059719E" w:rsidRDefault="0059719E" w:rsidP="0059719E">
      <w:pPr>
        <w:ind w:left="720"/>
      </w:pPr>
      <w:r>
        <w:t xml:space="preserve">Comment: As none of the SAEs was an eye disorder or felt to be treatment related, it may be that the difference in SAE rates was due to the small sample size of the post chemotherapy patients treated with vehicle (n=33). </w:t>
      </w:r>
    </w:p>
    <w:p w:rsidR="0059719E" w:rsidRDefault="0059719E" w:rsidP="0059719E">
      <w:r>
        <w:t>Over 12 months of treatment the AE rate was 63% with 31% having treatment-related AEs and the rate of SAEs was 8.4%. The rate of frequent eye disorders, apart from eyelid hyperaemia, did not generally increase in the second 6 months of treatment in either the idiopathic or post chemotherapy groups. There was not any notable rebound in events on treatment discontinuation.</w:t>
      </w:r>
    </w:p>
    <w:p w:rsidR="0059719E" w:rsidRDefault="0059719E" w:rsidP="0059719E">
      <w:r>
        <w:t>There was no dose response evident on the rate of AEs in the dose-ranging study and the highest AE rate was with the middle concentration of 0.015%. As the study used different formulations with a higher level of BAK in the lower doses, this may be confounded results.</w:t>
      </w:r>
    </w:p>
    <w:p w:rsidR="0059719E" w:rsidRDefault="0059719E" w:rsidP="0059719E">
      <w:r>
        <w:t xml:space="preserve">Detailed eye assessments were conducted during the studies. Intraocular pressure (IOP) measurements found a small decrease in mean IOP (-1.24 versus -0.55 mmHg). This is not felt to be clinically relevant. There were 2 AEs of low IOP (≤ 5 mmHg) which resulted in study discontinuation although one was in the vehicle group. Other cases of low IOP (≤ 7 mmHg) were not persistent and variation between visits was noted. </w:t>
      </w:r>
      <w:proofErr w:type="spellStart"/>
      <w:r>
        <w:t>Biomicroscopy</w:t>
      </w:r>
      <w:proofErr w:type="spellEnd"/>
      <w:r>
        <w:t xml:space="preserve"> and ophthalmoscopy noted the findings of </w:t>
      </w:r>
      <w:proofErr w:type="spellStart"/>
      <w:r>
        <w:t>conjuctival</w:t>
      </w:r>
      <w:proofErr w:type="spellEnd"/>
      <w:r>
        <w:t xml:space="preserve"> hyperaemia, eyelid erythema. Iris hyperpigmentation was assessed via a non-validated scale and findings were inconclusive. There was no notable change</w:t>
      </w:r>
      <w:r w:rsidR="00275A7D">
        <w:t xml:space="preserve"> in best correct visual acuity.</w:t>
      </w:r>
    </w:p>
    <w:p w:rsidR="0059719E" w:rsidRDefault="0059719E" w:rsidP="0059719E">
      <w:r>
        <w:t xml:space="preserve">Laboratory assessments were not undertaken due to the low systemic absorption of </w:t>
      </w:r>
      <w:proofErr w:type="spellStart"/>
      <w:r>
        <w:t>bimatoprost</w:t>
      </w:r>
      <w:proofErr w:type="spellEnd"/>
      <w:r>
        <w:t xml:space="preserve">. </w:t>
      </w:r>
    </w:p>
    <w:p w:rsidR="0059719E" w:rsidRDefault="0059719E" w:rsidP="0059719E">
      <w:proofErr w:type="spellStart"/>
      <w:r>
        <w:lastRenderedPageBreak/>
        <w:t>Postmarketing</w:t>
      </w:r>
      <w:proofErr w:type="spellEnd"/>
      <w:r>
        <w:t xml:space="preserve"> data noted events of ocular hyperaemia, </w:t>
      </w:r>
      <w:proofErr w:type="spellStart"/>
      <w:r>
        <w:t>madarosis</w:t>
      </w:r>
      <w:proofErr w:type="spellEnd"/>
      <w:r>
        <w:t xml:space="preserve">, </w:t>
      </w:r>
      <w:proofErr w:type="spellStart"/>
      <w:r>
        <w:t>enophthalmos</w:t>
      </w:r>
      <w:proofErr w:type="spellEnd"/>
      <w:r>
        <w:t xml:space="preserve"> and serious events of keratitis, eye infections and anaphylactic reaction. In addition, the evaluator noted events of lack of efficacy, misuse or medication error and off-label use. </w:t>
      </w:r>
    </w:p>
    <w:p w:rsidR="0059719E" w:rsidRDefault="0059719E" w:rsidP="0059719E">
      <w:r>
        <w:t xml:space="preserve">Safety findings were consistent across the age groups but Black subjects had a higher rate of skin pigmentation. There were too few males to draw conclusions and the number of Asians were low (n=30). There is a lack of data in pregnancy and lactation and the product should be avoided in these groups, particularly due to the </w:t>
      </w:r>
      <w:proofErr w:type="spellStart"/>
      <w:r>
        <w:t>embryofoetal</w:t>
      </w:r>
      <w:proofErr w:type="spellEnd"/>
      <w:r>
        <w:t xml:space="preserve"> risks of </w:t>
      </w:r>
      <w:proofErr w:type="spellStart"/>
      <w:r>
        <w:t>bimatoprost</w:t>
      </w:r>
      <w:proofErr w:type="spellEnd"/>
      <w:r>
        <w:t xml:space="preserve"> from nonclinical studies. Safety has not been established in the paediatric population.</w:t>
      </w:r>
    </w:p>
    <w:p w:rsidR="0059719E" w:rsidRPr="00605AD4" w:rsidRDefault="0059719E" w:rsidP="0059719E">
      <w:r>
        <w:t xml:space="preserve">Co-administration of </w:t>
      </w:r>
      <w:proofErr w:type="spellStart"/>
      <w:r>
        <w:t>Latisse</w:t>
      </w:r>
      <w:proofErr w:type="spellEnd"/>
      <w:r>
        <w:t xml:space="preserve"> with other prostaglandins</w:t>
      </w:r>
      <w:r w:rsidR="00D81834">
        <w:t xml:space="preserve"> </w:t>
      </w:r>
      <w:r>
        <w:t>is not recommended due a risk of reduced efficacy of the prostaglandins.</w:t>
      </w:r>
    </w:p>
    <w:p w:rsidR="0059719E" w:rsidRPr="00552BDF" w:rsidRDefault="0059719E" w:rsidP="0059719E">
      <w:pPr>
        <w:pStyle w:val="Heading4"/>
      </w:pPr>
      <w:r w:rsidRPr="00605AD4">
        <w:t xml:space="preserve">First </w:t>
      </w:r>
      <w:r w:rsidR="001A3D87" w:rsidRPr="00605AD4">
        <w:t>round benefit-risk assessment</w:t>
      </w:r>
    </w:p>
    <w:p w:rsidR="0059719E" w:rsidRPr="001D42C8" w:rsidRDefault="0059719E" w:rsidP="0059719E">
      <w:pPr>
        <w:pStyle w:val="Heading5"/>
      </w:pPr>
      <w:bookmarkStart w:id="121" w:name="_Toc236802592"/>
      <w:bookmarkStart w:id="122" w:name="_Toc241374331"/>
      <w:bookmarkStart w:id="123" w:name="_Ref272160836"/>
      <w:bookmarkStart w:id="124" w:name="_Toc272414693"/>
      <w:bookmarkStart w:id="125" w:name="_Toc290846331"/>
      <w:bookmarkStart w:id="126" w:name="_Toc356979967"/>
      <w:bookmarkStart w:id="127" w:name="_Toc385334164"/>
      <w:r w:rsidRPr="001D42C8">
        <w:t>First round assessment of benefits</w:t>
      </w:r>
      <w:bookmarkEnd w:id="121"/>
      <w:bookmarkEnd w:id="122"/>
      <w:bookmarkEnd w:id="123"/>
      <w:bookmarkEnd w:id="124"/>
      <w:bookmarkEnd w:id="125"/>
      <w:bookmarkEnd w:id="126"/>
      <w:bookmarkEnd w:id="127"/>
    </w:p>
    <w:p w:rsidR="0059719E" w:rsidRPr="001D42C8" w:rsidRDefault="0059719E" w:rsidP="0059719E">
      <w:r w:rsidRPr="001D42C8">
        <w:t xml:space="preserve">The benefits of </w:t>
      </w:r>
      <w:proofErr w:type="spellStart"/>
      <w:r w:rsidRPr="001D42C8">
        <w:t>bimatoprost</w:t>
      </w:r>
      <w:proofErr w:type="spellEnd"/>
      <w:r w:rsidRPr="001D42C8">
        <w:t xml:space="preserve"> 0.03% in the proposed usage are:</w:t>
      </w:r>
    </w:p>
    <w:p w:rsidR="0059719E" w:rsidRPr="001D42C8" w:rsidRDefault="0059719E" w:rsidP="0059719E">
      <w:pPr>
        <w:pStyle w:val="ListBullet"/>
        <w:numPr>
          <w:ilvl w:val="0"/>
          <w:numId w:val="3"/>
        </w:numPr>
      </w:pPr>
      <w:r w:rsidRPr="001D42C8">
        <w:t>A response rate of 39% (compared to 11% with vehicle) after 4 months of treatment on the composite endpoint which took into account physician and patient ratings of eyelash improvement</w:t>
      </w:r>
      <w:r>
        <w:rPr>
          <w:rStyle w:val="FootnoteReference"/>
        </w:rPr>
        <w:footnoteReference w:id="8"/>
      </w:r>
    </w:p>
    <w:p w:rsidR="0059719E" w:rsidRPr="001D42C8" w:rsidRDefault="0059719E" w:rsidP="0059719E">
      <w:pPr>
        <w:pStyle w:val="ListBullet"/>
        <w:numPr>
          <w:ilvl w:val="0"/>
          <w:numId w:val="3"/>
        </w:numPr>
      </w:pPr>
      <w:r w:rsidRPr="001D42C8">
        <w:t>Results were statistically significant and supported by secondary endpoints eyelash length, thickness/fullness and darkness. Results were also consistent with the other main controlled trial.</w:t>
      </w:r>
    </w:p>
    <w:p w:rsidR="0059719E" w:rsidRPr="001D42C8" w:rsidRDefault="0059719E" w:rsidP="0059719E">
      <w:pPr>
        <w:pStyle w:val="ListBullet"/>
        <w:numPr>
          <w:ilvl w:val="0"/>
          <w:numId w:val="3"/>
        </w:numPr>
      </w:pPr>
      <w:r w:rsidRPr="001D42C8">
        <w:t xml:space="preserve">Efficacy was seen in patients with idiopathic </w:t>
      </w:r>
      <w:proofErr w:type="spellStart"/>
      <w:r w:rsidRPr="001D42C8">
        <w:t>hypotrichosis</w:t>
      </w:r>
      <w:proofErr w:type="spellEnd"/>
      <w:r w:rsidRPr="001D42C8">
        <w:t xml:space="preserve"> and those with </w:t>
      </w:r>
      <w:r>
        <w:t xml:space="preserve">post chemotherapy </w:t>
      </w:r>
      <w:proofErr w:type="spellStart"/>
      <w:r w:rsidRPr="001D42C8">
        <w:t>hypotrichosis</w:t>
      </w:r>
      <w:proofErr w:type="spellEnd"/>
      <w:r w:rsidRPr="001D42C8">
        <w:t>, although the benefit was less in this latter population which may have been a result of natural regrowth with time.</w:t>
      </w:r>
    </w:p>
    <w:p w:rsidR="0059719E" w:rsidRPr="001D42C8" w:rsidRDefault="0059719E" w:rsidP="0059719E">
      <w:pPr>
        <w:pStyle w:val="ListBullet"/>
        <w:numPr>
          <w:ilvl w:val="0"/>
          <w:numId w:val="3"/>
        </w:numPr>
      </w:pPr>
      <w:r w:rsidRPr="001D42C8">
        <w:t>The product was generally well tolerated with a low risk of serious AEs or adverse event-related treatment discontinuation.</w:t>
      </w:r>
    </w:p>
    <w:p w:rsidR="0059719E" w:rsidRPr="001D42C8" w:rsidRDefault="0059719E" w:rsidP="0059719E">
      <w:pPr>
        <w:pStyle w:val="ListBullet"/>
        <w:numPr>
          <w:ilvl w:val="0"/>
          <w:numId w:val="3"/>
        </w:numPr>
      </w:pPr>
      <w:r w:rsidRPr="001D42C8">
        <w:t>There is already an established safety database due to the product’s use in ocular hypertension.</w:t>
      </w:r>
    </w:p>
    <w:p w:rsidR="0059719E" w:rsidRPr="001D42C8" w:rsidRDefault="0059719E" w:rsidP="0059719E">
      <w:pPr>
        <w:pStyle w:val="Heading5"/>
      </w:pPr>
      <w:bookmarkStart w:id="128" w:name="_Toc236802596"/>
      <w:bookmarkStart w:id="129" w:name="_Toc241374334"/>
      <w:bookmarkStart w:id="130" w:name="_Ref272160964"/>
      <w:bookmarkStart w:id="131" w:name="_Toc272414694"/>
      <w:bookmarkStart w:id="132" w:name="_Toc290846332"/>
      <w:bookmarkStart w:id="133" w:name="_Toc356979968"/>
      <w:bookmarkStart w:id="134" w:name="_Toc385334165"/>
      <w:r w:rsidRPr="001D42C8">
        <w:t>First round assessment of risks</w:t>
      </w:r>
      <w:bookmarkEnd w:id="128"/>
      <w:bookmarkEnd w:id="129"/>
      <w:bookmarkEnd w:id="130"/>
      <w:bookmarkEnd w:id="131"/>
      <w:bookmarkEnd w:id="132"/>
      <w:bookmarkEnd w:id="133"/>
      <w:bookmarkEnd w:id="134"/>
    </w:p>
    <w:p w:rsidR="0059719E" w:rsidRPr="001D42C8" w:rsidRDefault="0059719E" w:rsidP="0059719E">
      <w:r w:rsidRPr="001D42C8">
        <w:t xml:space="preserve">The risks of </w:t>
      </w:r>
      <w:proofErr w:type="spellStart"/>
      <w:r w:rsidRPr="001D42C8">
        <w:t>bimatoprost</w:t>
      </w:r>
      <w:proofErr w:type="spellEnd"/>
      <w:r w:rsidRPr="001D42C8">
        <w:t xml:space="preserve"> 0.03% in the proposed usage are:</w:t>
      </w:r>
    </w:p>
    <w:p w:rsidR="0059719E" w:rsidRPr="001D42C8" w:rsidRDefault="0059719E" w:rsidP="0059719E">
      <w:pPr>
        <w:pStyle w:val="ListBullet"/>
        <w:numPr>
          <w:ilvl w:val="0"/>
          <w:numId w:val="3"/>
        </w:numPr>
      </w:pPr>
      <w:r w:rsidRPr="001D42C8">
        <w:t xml:space="preserve">A notable risk of eye disorders (about one quarter of subjects after 4 months of treatment), in particular conjunctival hyperaemia, punctuate keratitis, eyelid and eye pruritus, eyelid erythema, dry eye and blepharitis. There were also less frequent eye disorders of </w:t>
      </w:r>
      <w:proofErr w:type="spellStart"/>
      <w:r w:rsidRPr="001D42C8">
        <w:t>enophthalmos</w:t>
      </w:r>
      <w:proofErr w:type="spellEnd"/>
      <w:r w:rsidRPr="001D42C8">
        <w:t xml:space="preserve"> and </w:t>
      </w:r>
      <w:proofErr w:type="spellStart"/>
      <w:r w:rsidRPr="001D42C8">
        <w:t>madarosis</w:t>
      </w:r>
      <w:proofErr w:type="spellEnd"/>
      <w:r w:rsidRPr="001D42C8">
        <w:t xml:space="preserve"> (loss of eyelashes).</w:t>
      </w:r>
    </w:p>
    <w:p w:rsidR="0059719E" w:rsidRPr="001D42C8" w:rsidRDefault="0059719E" w:rsidP="0059719E">
      <w:pPr>
        <w:pStyle w:val="ListBullet"/>
        <w:numPr>
          <w:ilvl w:val="0"/>
          <w:numId w:val="3"/>
        </w:numPr>
      </w:pPr>
      <w:r w:rsidRPr="001D42C8">
        <w:t>Eyelid skin hyperpigmentation, including an increased risk of this in Black patients and iris hyperpigmentation which may be permanent.</w:t>
      </w:r>
    </w:p>
    <w:p w:rsidR="0059719E" w:rsidRPr="001D42C8" w:rsidRDefault="0059719E" w:rsidP="0059719E">
      <w:pPr>
        <w:pStyle w:val="ListBullet"/>
        <w:numPr>
          <w:ilvl w:val="0"/>
          <w:numId w:val="3"/>
        </w:numPr>
      </w:pPr>
      <w:r w:rsidRPr="001D42C8">
        <w:t>Possible effects of decrease intraocular pressure, although clinically relevant reductions were not evident in the development program.</w:t>
      </w:r>
    </w:p>
    <w:p w:rsidR="0059719E" w:rsidRPr="001D42C8" w:rsidRDefault="0059719E" w:rsidP="0059719E">
      <w:pPr>
        <w:pStyle w:val="ListBullet"/>
        <w:numPr>
          <w:ilvl w:val="0"/>
          <w:numId w:val="3"/>
        </w:numPr>
      </w:pPr>
      <w:r w:rsidRPr="001D42C8">
        <w:t xml:space="preserve">A greater risk of adverse events, including the eye disorders of conjunctival hyperaemia and punctuate keratitis, in patients post-chemotherapy. </w:t>
      </w:r>
    </w:p>
    <w:p w:rsidR="0059719E" w:rsidRPr="001D42C8" w:rsidRDefault="0059719E" w:rsidP="0059719E">
      <w:pPr>
        <w:pStyle w:val="ListBullet"/>
        <w:numPr>
          <w:ilvl w:val="0"/>
          <w:numId w:val="3"/>
        </w:numPr>
      </w:pPr>
      <w:r w:rsidRPr="001D42C8">
        <w:t>The potential for misuse or off-label use such as application to the lower eyelid or eyebrows or use of an increased dose.</w:t>
      </w:r>
    </w:p>
    <w:p w:rsidR="0059719E" w:rsidRPr="001D42C8" w:rsidRDefault="0059719E" w:rsidP="0059719E">
      <w:pPr>
        <w:pStyle w:val="ListBullet"/>
        <w:numPr>
          <w:ilvl w:val="0"/>
          <w:numId w:val="3"/>
        </w:numPr>
      </w:pPr>
      <w:r w:rsidRPr="001D42C8">
        <w:t>No data on patients with ocular disease, in pregnancy or lactation and little data in males or Asians.</w:t>
      </w:r>
    </w:p>
    <w:p w:rsidR="0059719E" w:rsidRPr="001D42C8" w:rsidRDefault="0059719E" w:rsidP="0059719E">
      <w:pPr>
        <w:pStyle w:val="Heading5"/>
      </w:pPr>
      <w:bookmarkStart w:id="135" w:name="_Toc236802597"/>
      <w:bookmarkStart w:id="136" w:name="_Toc241374335"/>
      <w:bookmarkStart w:id="137" w:name="_Toc272414695"/>
      <w:bookmarkStart w:id="138" w:name="_Toc290846333"/>
      <w:bookmarkStart w:id="139" w:name="_Toc356979969"/>
      <w:bookmarkStart w:id="140" w:name="_Toc385334166"/>
      <w:r w:rsidRPr="001D42C8">
        <w:lastRenderedPageBreak/>
        <w:t>First round assessment of benefit-risk balance</w:t>
      </w:r>
      <w:bookmarkEnd w:id="135"/>
      <w:bookmarkEnd w:id="136"/>
      <w:bookmarkEnd w:id="137"/>
      <w:bookmarkEnd w:id="138"/>
      <w:bookmarkEnd w:id="139"/>
      <w:bookmarkEnd w:id="140"/>
    </w:p>
    <w:p w:rsidR="0059719E" w:rsidRPr="001D42C8" w:rsidRDefault="0059719E" w:rsidP="0059719E">
      <w:r w:rsidRPr="001D42C8">
        <w:t xml:space="preserve">The initial </w:t>
      </w:r>
      <w:proofErr w:type="spellStart"/>
      <w:r>
        <w:t>Latisse</w:t>
      </w:r>
      <w:proofErr w:type="spellEnd"/>
      <w:r w:rsidRPr="001D42C8">
        <w:t xml:space="preserve"> submission in 2009 was supported by one clinical trial, 192024-032 together with the study validating the primary endpoint scale (192024-033). After t</w:t>
      </w:r>
      <w:r>
        <w:t>he first round evaluation, the s</w:t>
      </w:r>
      <w:r w:rsidRPr="001D42C8">
        <w:t xml:space="preserve">ponsor submitted further clinical data of </w:t>
      </w:r>
      <w:proofErr w:type="spellStart"/>
      <w:r w:rsidRPr="001D42C8">
        <w:t>bimatoprost</w:t>
      </w:r>
      <w:proofErr w:type="spellEnd"/>
      <w:r w:rsidRPr="001D42C8">
        <w:t xml:space="preserve"> in a glaucoma population. After the second round evaluation, the evaluator summarised a number of deficiencies which included:</w:t>
      </w:r>
    </w:p>
    <w:p w:rsidR="0059719E" w:rsidRPr="001D42C8" w:rsidRDefault="0059719E" w:rsidP="0059719E">
      <w:pPr>
        <w:pStyle w:val="ListBullet"/>
        <w:numPr>
          <w:ilvl w:val="0"/>
          <w:numId w:val="3"/>
        </w:numPr>
      </w:pPr>
      <w:r w:rsidRPr="001D42C8">
        <w:t>Poorly understood pharmacodynamics in relation to human eyelash growth.</w:t>
      </w:r>
    </w:p>
    <w:p w:rsidR="0059719E" w:rsidRPr="001D42C8" w:rsidRDefault="0059719E" w:rsidP="0059719E">
      <w:pPr>
        <w:pStyle w:val="ListBullet"/>
        <w:numPr>
          <w:ilvl w:val="0"/>
          <w:numId w:val="3"/>
        </w:numPr>
      </w:pPr>
      <w:r w:rsidRPr="001D42C8">
        <w:t xml:space="preserve">No clinical trial establishing the dose. </w:t>
      </w:r>
    </w:p>
    <w:p w:rsidR="0059719E" w:rsidRPr="001D42C8" w:rsidRDefault="0059719E" w:rsidP="0059719E">
      <w:pPr>
        <w:pStyle w:val="ListBullet"/>
        <w:numPr>
          <w:ilvl w:val="0"/>
          <w:numId w:val="3"/>
        </w:numPr>
      </w:pPr>
      <w:r w:rsidRPr="001D42C8">
        <w:t xml:space="preserve">A lack of data on persistence of efficacy with long-term use and the effect on treatment cessation. </w:t>
      </w:r>
    </w:p>
    <w:p w:rsidR="0059719E" w:rsidRPr="001D42C8" w:rsidRDefault="0059719E" w:rsidP="0059719E">
      <w:pPr>
        <w:pStyle w:val="ListBullet"/>
        <w:numPr>
          <w:ilvl w:val="0"/>
          <w:numId w:val="3"/>
        </w:numPr>
      </w:pPr>
      <w:r w:rsidRPr="001D42C8">
        <w:t>A lack of efficacy and safety data in the Asian population which would be relevant in Australia.</w:t>
      </w:r>
    </w:p>
    <w:p w:rsidR="0059719E" w:rsidRPr="001D42C8" w:rsidRDefault="0059719E" w:rsidP="0059719E">
      <w:pPr>
        <w:pStyle w:val="ListBullet"/>
        <w:numPr>
          <w:ilvl w:val="0"/>
          <w:numId w:val="3"/>
        </w:numPr>
      </w:pPr>
      <w:r w:rsidRPr="001D42C8">
        <w:t>Safety data not meeting guideline requirements and a failure to assess on the effect on IOP.</w:t>
      </w:r>
    </w:p>
    <w:p w:rsidR="0059719E" w:rsidRPr="001D42C8" w:rsidRDefault="0059719E" w:rsidP="0059719E">
      <w:r w:rsidRPr="001D42C8">
        <w:t>In this re</w:t>
      </w:r>
      <w:r>
        <w:t>-</w:t>
      </w:r>
      <w:r w:rsidRPr="001D42C8">
        <w:t>submission th</w:t>
      </w:r>
      <w:r>
        <w:t>e evaluator has found that the s</w:t>
      </w:r>
      <w:r w:rsidRPr="001D42C8">
        <w:t xml:space="preserve">ponsor has addressed most of these data gaps. There is now more information on pharmacodynamics, although the precise mechanism of action had not been fully elucidated. A dose-ranging study (192024-051) was submitted which gave evidence of a dose response and the proposed dose having the greatest efficacy without a compromise in safety. The study, however, did not define the minimum effective dose, used a formulation with a higher concentration of BAK in the lower doses, and was conducted subsequent to the pivotal trials and so did not inform dose selection. The resubmission also included two further randomised controlled trials (192024-038 and 039), with the former assessing long persistence of efficacy to 12 months and the effect of treatment cessation after 6 months. The studies included detailed ocular safety assessments, including IOP measurements and the combined patient population from the three controlled trials now meets relevant </w:t>
      </w:r>
      <w:r w:rsidRPr="00AC1C98">
        <w:t>guideline requirements.</w:t>
      </w:r>
      <w:r>
        <w:rPr>
          <w:rStyle w:val="FootnoteReference"/>
        </w:rPr>
        <w:footnoteReference w:id="9"/>
      </w:r>
    </w:p>
    <w:p w:rsidR="0059719E" w:rsidRPr="001D42C8" w:rsidRDefault="0059719E" w:rsidP="0059719E">
      <w:r w:rsidRPr="001D42C8">
        <w:t>Efficacy in the pivotal trial was assessed by a combination of physician rating of eyelash prominence and patient rating of satisfaction with eyelashes. In addition, secondary endpoints included assessment of eyelashes by digital photography. The two main controlled trials met their primary endpoints and were supported by objective measurements of eyelash length, thickness</w:t>
      </w:r>
      <w:r>
        <w:t xml:space="preserve"> and</w:t>
      </w:r>
      <w:r w:rsidRPr="001D42C8">
        <w:t xml:space="preserve"> darkness. Given the positive response across the three assessment areas, the evaluator is satisfied that the results are reliable. As the condition may be considered cosmetic in nature rather than one which necessitates clinical intervention, it was important to see positive results on the composite endpoint which took into account both the patient’s and physician’s assessment of efficacy.</w:t>
      </w:r>
    </w:p>
    <w:p w:rsidR="0059719E" w:rsidRPr="001D42C8" w:rsidRDefault="0059719E" w:rsidP="0059719E">
      <w:r w:rsidRPr="001D42C8">
        <w:t xml:space="preserve">In the patients with eyelash loss post-chemotherapy, efficacy with </w:t>
      </w:r>
      <w:proofErr w:type="spellStart"/>
      <w:r w:rsidRPr="001D42C8">
        <w:t>bimatoprost</w:t>
      </w:r>
      <w:proofErr w:type="spellEnd"/>
      <w:r w:rsidRPr="001D42C8">
        <w:t xml:space="preserve"> was less marked in terms of difference in response rates over vehicle. This is likely due to natural regrowth of the hairs with time. These subjects did not commence treatment until chemotherapy-related symptoms (apart from hair loss) had resolved. Despite this, they were found to be more sensitive to the adverse effects of </w:t>
      </w:r>
      <w:proofErr w:type="spellStart"/>
      <w:r w:rsidRPr="001D42C8">
        <w:t>bimatoprost</w:t>
      </w:r>
      <w:proofErr w:type="spellEnd"/>
      <w:r w:rsidRPr="001D42C8">
        <w:t xml:space="preserve">, particularly eye-related events. There was also a higher rate of SAEs in this population when treated with </w:t>
      </w:r>
      <w:proofErr w:type="spellStart"/>
      <w:r w:rsidRPr="001D42C8">
        <w:t>bimatoprost</w:t>
      </w:r>
      <w:proofErr w:type="spellEnd"/>
      <w:r w:rsidRPr="001D42C8">
        <w:t xml:space="preserve"> compared to vehicle (although these events were not eye disorders or deemed treatment-related). This may be a factor of the small sample size in the vehicle group and the </w:t>
      </w:r>
      <w:r>
        <w:t>s</w:t>
      </w:r>
      <w:r w:rsidRPr="001D42C8">
        <w:t xml:space="preserve">ponsor has been asked to further explain the finding. As there is a good chance the </w:t>
      </w:r>
      <w:proofErr w:type="spellStart"/>
      <w:r w:rsidRPr="001D42C8">
        <w:t>hypotrichosis</w:t>
      </w:r>
      <w:proofErr w:type="spellEnd"/>
      <w:r w:rsidRPr="001D42C8">
        <w:t xml:space="preserve"> in this population may resolve with the passage of time, these</w:t>
      </w:r>
      <w:r w:rsidR="00996F53">
        <w:t xml:space="preserve"> </w:t>
      </w:r>
      <w:r w:rsidRPr="001D42C8">
        <w:t xml:space="preserve">efficacy and safety issues need to be thoroughly covered in the PI so an informed decision regarding treatment can be made for this population. Nevertheless, the evaluator does not </w:t>
      </w:r>
      <w:r w:rsidRPr="001D42C8">
        <w:lastRenderedPageBreak/>
        <w:t>believe the moderate increase in AE rates completely outweigh the lower comparative efficacy.</w:t>
      </w:r>
    </w:p>
    <w:p w:rsidR="0059719E" w:rsidRDefault="0059719E" w:rsidP="0059719E">
      <w:pPr>
        <w:rPr>
          <w:i/>
        </w:rPr>
      </w:pPr>
      <w:r>
        <w:t>The s</w:t>
      </w:r>
      <w:r w:rsidRPr="001D42C8">
        <w:t>ponsor has proposed a broad indication of</w:t>
      </w:r>
      <w:r w:rsidRPr="001D42C8">
        <w:rPr>
          <w:i/>
        </w:rPr>
        <w:t xml:space="preserve"> </w:t>
      </w:r>
    </w:p>
    <w:p w:rsidR="0059719E" w:rsidRDefault="0059719E" w:rsidP="0059719E">
      <w:pPr>
        <w:ind w:left="709" w:firstLine="11"/>
      </w:pPr>
      <w:proofErr w:type="spellStart"/>
      <w:r w:rsidRPr="001D42C8">
        <w:rPr>
          <w:i/>
        </w:rPr>
        <w:t>hypotrichosis</w:t>
      </w:r>
      <w:proofErr w:type="spellEnd"/>
      <w:r w:rsidRPr="001D42C8">
        <w:rPr>
          <w:i/>
        </w:rPr>
        <w:t xml:space="preserve"> of the eyelashes by increasing their growth including length, thickness, and darkness.</w:t>
      </w:r>
      <w:r w:rsidRPr="001D42C8">
        <w:t xml:space="preserve"> </w:t>
      </w:r>
    </w:p>
    <w:p w:rsidR="0059719E" w:rsidRPr="001D42C8" w:rsidRDefault="0059719E" w:rsidP="0059719E">
      <w:r w:rsidRPr="001D42C8">
        <w:t xml:space="preserve">The clinical development program only assessed adult subjects with idiopathic and </w:t>
      </w:r>
      <w:r>
        <w:t xml:space="preserve">post chemotherapy </w:t>
      </w:r>
      <w:proofErr w:type="spellStart"/>
      <w:r w:rsidRPr="001D42C8">
        <w:t>hypotrichosis</w:t>
      </w:r>
      <w:proofErr w:type="spellEnd"/>
      <w:r w:rsidRPr="001D42C8">
        <w:t xml:space="preserve">. Subjects with </w:t>
      </w:r>
      <w:proofErr w:type="spellStart"/>
      <w:r w:rsidRPr="001D42C8">
        <w:t>hypotrichosis</w:t>
      </w:r>
      <w:proofErr w:type="spellEnd"/>
      <w:r w:rsidRPr="001D42C8">
        <w:t xml:space="preserve"> from other disorders, such as skin conditions, were excluded. The indication needs to be reworded to cover adults only and the two populations studied. In addition, as “</w:t>
      </w:r>
      <w:proofErr w:type="spellStart"/>
      <w:r w:rsidRPr="00552BDF">
        <w:rPr>
          <w:i/>
        </w:rPr>
        <w:t>hypotrichosis</w:t>
      </w:r>
      <w:proofErr w:type="spellEnd"/>
      <w:r w:rsidRPr="00552BDF">
        <w:rPr>
          <w:i/>
        </w:rPr>
        <w:t xml:space="preserve"> of the eyelashes</w:t>
      </w:r>
      <w:r w:rsidRPr="001D42C8">
        <w:t>” is not a commonly recognised medical condition, this should be defined.</w:t>
      </w:r>
    </w:p>
    <w:p w:rsidR="0059719E" w:rsidRPr="001D42C8" w:rsidRDefault="0059719E" w:rsidP="0059719E">
      <w:proofErr w:type="spellStart"/>
      <w:r w:rsidRPr="001D42C8">
        <w:t>Bimatoprost</w:t>
      </w:r>
      <w:proofErr w:type="spellEnd"/>
      <w:r w:rsidRPr="001D42C8">
        <w:t xml:space="preserve"> already has a significant safety database following 11 years of marketing and the resubmission included a moderately sized safety database with 541 subjects exposed, with 183 for at least 48 weeks. This is very relevant as the evaluator believes the proposed usage is more along the lines of a cosmetic for which a high level of safety would be expected. The dermal, compared to ocular, administration appeared to result in a lower rate of adverse events</w:t>
      </w:r>
      <w:r>
        <w:t xml:space="preserve"> than for an eye drop containing </w:t>
      </w:r>
      <w:proofErr w:type="spellStart"/>
      <w:r>
        <w:t>bimatoprost</w:t>
      </w:r>
      <w:proofErr w:type="spellEnd"/>
      <w:r w:rsidRPr="001D42C8">
        <w:t xml:space="preserve"> and the low systemic absorption of the product following ocular administration is reassuring. The safety assessment of </w:t>
      </w:r>
      <w:proofErr w:type="spellStart"/>
      <w:r w:rsidRPr="001D42C8">
        <w:t>bimatoprost</w:t>
      </w:r>
      <w:proofErr w:type="spellEnd"/>
      <w:r w:rsidRPr="001D42C8">
        <w:t xml:space="preserve"> found that adverse events were largely confined to the eye, with no serious ocular events and a low treatment discontinuation rate due to adverse events. To confirm these findings, a summary of adverse events by severity and </w:t>
      </w:r>
      <w:r>
        <w:t>System Organ Class (</w:t>
      </w:r>
      <w:r w:rsidRPr="001D42C8">
        <w:t>SOC</w:t>
      </w:r>
      <w:r>
        <w:t>)</w:t>
      </w:r>
      <w:r w:rsidRPr="001D42C8">
        <w:t xml:space="preserve"> has been requested as it was not found in the dossier.</w:t>
      </w:r>
    </w:p>
    <w:p w:rsidR="0059719E" w:rsidRPr="001D42C8" w:rsidRDefault="0059719E" w:rsidP="0059719E">
      <w:r w:rsidRPr="001D42C8">
        <w:t>The development program included very few males and this needs stating in the product informa</w:t>
      </w:r>
      <w:r>
        <w:t xml:space="preserve">tion. Asian subjects were under </w:t>
      </w:r>
      <w:r w:rsidRPr="001D42C8">
        <w:t>represented and further information has been requested. There are a lack of data in pregnancy and lactation and, given the non</w:t>
      </w:r>
      <w:r>
        <w:t>-</w:t>
      </w:r>
      <w:r w:rsidRPr="001D42C8">
        <w:t>critical nature of this treatment, the evaluator has proposed stronger wording in the product information regarding the avoidance of treatment in these two groups. It is noted that a paediatric study is planned however, as there are no data in children, the indication needs to be limited to adults.</w:t>
      </w:r>
    </w:p>
    <w:p w:rsidR="0059719E" w:rsidRPr="001D42C8" w:rsidRDefault="0059719E" w:rsidP="0059719E">
      <w:r w:rsidRPr="001D42C8">
        <w:t>One potential risk is that there could be misuse or off-label use of the product. It is also uncertain if treating physicians will be aware of what constitutes “</w:t>
      </w:r>
      <w:r w:rsidRPr="00552BDF">
        <w:rPr>
          <w:i/>
        </w:rPr>
        <w:t>inadequate or not enough eyelashes</w:t>
      </w:r>
      <w:r>
        <w:t>”. The s</w:t>
      </w:r>
      <w:r w:rsidRPr="001D42C8">
        <w:t>ponsor should define in the Risk Management Plan how these issues will be addressed and monitored.</w:t>
      </w:r>
    </w:p>
    <w:p w:rsidR="0059719E" w:rsidRPr="00586F98" w:rsidRDefault="0059719E" w:rsidP="0059719E">
      <w:pPr>
        <w:rPr>
          <w:lang w:eastAsia="ja-JP"/>
        </w:rPr>
      </w:pPr>
      <w:r w:rsidRPr="001D42C8">
        <w:t xml:space="preserve">In summary, this product is proposed in an indication which is not critical, and may in fact be felt by some to be cosmetic. In addition, despite the finding of benefit over vehicle, after four months of treatment a positive response was only found in approximately 40% of subjects. Nonetheless, efficacy over vehicle was convincingly demonstrated in the pivotal trials, the product was relatively safe, deficiencies in the initial submission have been largely addressed and it is a condition for which there are no other treatments available. Given this, the evaluator finds the benefit-risk balance of </w:t>
      </w:r>
      <w:proofErr w:type="spellStart"/>
      <w:r w:rsidRPr="001D42C8">
        <w:t>bimatoprost</w:t>
      </w:r>
      <w:proofErr w:type="spellEnd"/>
      <w:r w:rsidRPr="001D42C8">
        <w:t xml:space="preserve"> 0.03% in the treatment of eyelash </w:t>
      </w:r>
      <w:proofErr w:type="spellStart"/>
      <w:r w:rsidRPr="001D42C8">
        <w:t>hypotrichosis</w:t>
      </w:r>
      <w:proofErr w:type="spellEnd"/>
      <w:r w:rsidRPr="001D42C8">
        <w:t xml:space="preserve"> </w:t>
      </w:r>
      <w:r>
        <w:t>p</w:t>
      </w:r>
      <w:r w:rsidRPr="001D42C8">
        <w:t xml:space="preserve">ositive. This assumes the recommendations regarding the product indication and </w:t>
      </w:r>
      <w:r>
        <w:t>Consumer Medicines Information (</w:t>
      </w:r>
      <w:r w:rsidRPr="001D42C8">
        <w:t>CMI</w:t>
      </w:r>
      <w:r>
        <w:t>)</w:t>
      </w:r>
      <w:r w:rsidRPr="001D42C8">
        <w:t xml:space="preserve"> are adopted and there are satisfactory answers to the questions </w:t>
      </w:r>
      <w:r>
        <w:t xml:space="preserve">below (see </w:t>
      </w:r>
      <w:r w:rsidRPr="00AC0FE8">
        <w:rPr>
          <w:i/>
        </w:rPr>
        <w:t>Clinical questions</w:t>
      </w:r>
      <w:r>
        <w:t>)</w:t>
      </w:r>
      <w:r w:rsidRPr="001D42C8">
        <w:t>.</w:t>
      </w:r>
    </w:p>
    <w:p w:rsidR="0059719E" w:rsidRPr="00AC0FE8" w:rsidRDefault="0059719E" w:rsidP="0059719E">
      <w:pPr>
        <w:pStyle w:val="Heading3"/>
        <w:rPr>
          <w:rFonts w:eastAsia="Cambria"/>
        </w:rPr>
      </w:pPr>
      <w:bookmarkStart w:id="141" w:name="_Toc388513993"/>
      <w:bookmarkStart w:id="142" w:name="_Toc55464734"/>
      <w:r w:rsidRPr="00605AD4">
        <w:rPr>
          <w:rFonts w:eastAsia="Cambria"/>
        </w:rPr>
        <w:t xml:space="preserve">First </w:t>
      </w:r>
      <w:r w:rsidR="001A3D87" w:rsidRPr="00605AD4">
        <w:rPr>
          <w:rFonts w:eastAsia="Cambria"/>
        </w:rPr>
        <w:t>round recommendation regarding authorisation</w:t>
      </w:r>
      <w:bookmarkEnd w:id="141"/>
      <w:bookmarkEnd w:id="142"/>
    </w:p>
    <w:p w:rsidR="0059719E" w:rsidRDefault="0059719E" w:rsidP="0059719E">
      <w:r>
        <w:t xml:space="preserve">The evaluator recommends approval of authorisation of </w:t>
      </w:r>
      <w:proofErr w:type="spellStart"/>
      <w:r>
        <w:t>bimatoprost</w:t>
      </w:r>
      <w:proofErr w:type="spellEnd"/>
      <w:r>
        <w:t xml:space="preserve"> ophthalmic solution 0.03% in the treatment of eyelash </w:t>
      </w:r>
      <w:proofErr w:type="spellStart"/>
      <w:r>
        <w:t>hypotrichosis</w:t>
      </w:r>
      <w:proofErr w:type="spellEnd"/>
      <w:r>
        <w:t xml:space="preserve"> subject to: </w:t>
      </w:r>
    </w:p>
    <w:p w:rsidR="0059719E" w:rsidRDefault="0059719E" w:rsidP="0059719E">
      <w:r>
        <w:t>•</w:t>
      </w:r>
      <w:r>
        <w:tab/>
        <w:t>Satisfactory responses to questions (see below).</w:t>
      </w:r>
    </w:p>
    <w:p w:rsidR="0059719E" w:rsidRDefault="0059719E" w:rsidP="0059719E">
      <w:r>
        <w:t>•</w:t>
      </w:r>
      <w:r>
        <w:tab/>
        <w:t>Adoption of changes suggested for the product information and CMI.</w:t>
      </w:r>
    </w:p>
    <w:p w:rsidR="0059719E" w:rsidRPr="00605AD4" w:rsidRDefault="00996F53" w:rsidP="0059719E">
      <w:r>
        <w:lastRenderedPageBreak/>
        <w:t>The a</w:t>
      </w:r>
      <w:r w:rsidR="0059719E">
        <w:t>lteration of the indication to include</w:t>
      </w:r>
      <w:r>
        <w:t xml:space="preserve"> a statement</w:t>
      </w:r>
      <w:r w:rsidR="0059719E">
        <w:t xml:space="preserve"> that the product is only to be used in adults and in those patient groups in which it has been studied (idiopathic and post-chemotherapy).</w:t>
      </w:r>
    </w:p>
    <w:p w:rsidR="0059719E" w:rsidRPr="00605AD4" w:rsidRDefault="0059719E" w:rsidP="0059719E">
      <w:pPr>
        <w:pStyle w:val="Heading3"/>
        <w:rPr>
          <w:rFonts w:eastAsia="Cambria"/>
        </w:rPr>
      </w:pPr>
      <w:bookmarkStart w:id="143" w:name="_Toc388513994"/>
      <w:bookmarkStart w:id="144" w:name="_Toc55464735"/>
      <w:r w:rsidRPr="00605AD4">
        <w:rPr>
          <w:rFonts w:eastAsia="Cambria"/>
        </w:rPr>
        <w:t>Clinical Questions</w:t>
      </w:r>
      <w:bookmarkEnd w:id="143"/>
      <w:bookmarkEnd w:id="144"/>
    </w:p>
    <w:p w:rsidR="0059719E" w:rsidRDefault="0059719E" w:rsidP="0059719E">
      <w:pPr>
        <w:pStyle w:val="Heading4"/>
      </w:pPr>
      <w:bookmarkStart w:id="145" w:name="_Toc385334169"/>
      <w:r>
        <w:t>Pharmacokinetics</w:t>
      </w:r>
      <w:bookmarkEnd w:id="145"/>
    </w:p>
    <w:p w:rsidR="0059719E" w:rsidRPr="00586F98" w:rsidRDefault="0059719E" w:rsidP="0059719E">
      <w:pPr>
        <w:pStyle w:val="Numberbullet0"/>
        <w:numPr>
          <w:ilvl w:val="0"/>
          <w:numId w:val="25"/>
        </w:numPr>
        <w:rPr>
          <w:lang w:eastAsia="ja-JP"/>
        </w:rPr>
      </w:pPr>
      <w:r w:rsidRPr="0024403F">
        <w:rPr>
          <w:lang w:eastAsia="ja-JP"/>
        </w:rPr>
        <w:t xml:space="preserve">It was claimed in the clinical dossier that the applicator used to apply </w:t>
      </w:r>
      <w:proofErr w:type="spellStart"/>
      <w:r>
        <w:rPr>
          <w:lang w:eastAsia="ja-JP"/>
        </w:rPr>
        <w:t>Latisse</w:t>
      </w:r>
      <w:proofErr w:type="spellEnd"/>
      <w:r w:rsidRPr="0024403F">
        <w:rPr>
          <w:lang w:eastAsia="ja-JP"/>
        </w:rPr>
        <w:t xml:space="preserve"> to the eyelid margin delivers a fraction of one drop. The evaluator could not locate data to confirm this. Ca</w:t>
      </w:r>
      <w:r>
        <w:rPr>
          <w:lang w:eastAsia="ja-JP"/>
        </w:rPr>
        <w:t>n the s</w:t>
      </w:r>
      <w:r w:rsidRPr="0024403F">
        <w:rPr>
          <w:lang w:eastAsia="ja-JP"/>
        </w:rPr>
        <w:t xml:space="preserve">ponsor provide evidence that the dosage of </w:t>
      </w:r>
      <w:proofErr w:type="spellStart"/>
      <w:r>
        <w:rPr>
          <w:lang w:eastAsia="ja-JP"/>
        </w:rPr>
        <w:t>Latisse</w:t>
      </w:r>
      <w:proofErr w:type="spellEnd"/>
      <w:r w:rsidRPr="0024403F">
        <w:rPr>
          <w:lang w:eastAsia="ja-JP"/>
        </w:rPr>
        <w:t xml:space="preserve"> delivered by the applicator is less than one drop</w:t>
      </w:r>
      <w:r w:rsidR="00996F53">
        <w:rPr>
          <w:lang w:eastAsia="ja-JP"/>
        </w:rPr>
        <w:t>?</w:t>
      </w:r>
      <w:r w:rsidRPr="0024403F">
        <w:rPr>
          <w:lang w:eastAsia="ja-JP"/>
        </w:rPr>
        <w:t xml:space="preserve"> </w:t>
      </w:r>
      <w:r w:rsidR="00996F53">
        <w:rPr>
          <w:lang w:eastAsia="ja-JP"/>
        </w:rPr>
        <w:t>And e</w:t>
      </w:r>
      <w:r w:rsidRPr="0024403F">
        <w:rPr>
          <w:lang w:eastAsia="ja-JP"/>
        </w:rPr>
        <w:t>xplain if patients can apply more than one drop to the applicator.</w:t>
      </w:r>
    </w:p>
    <w:p w:rsidR="0059719E" w:rsidRDefault="0059719E" w:rsidP="0059719E">
      <w:pPr>
        <w:pStyle w:val="Heading4"/>
      </w:pPr>
      <w:bookmarkStart w:id="146" w:name="_Toc385334170"/>
      <w:r>
        <w:t>Pharmacodynamics</w:t>
      </w:r>
      <w:bookmarkEnd w:id="146"/>
    </w:p>
    <w:p w:rsidR="0059719E" w:rsidRPr="00586F98" w:rsidRDefault="0059719E" w:rsidP="0059719E">
      <w:pPr>
        <w:rPr>
          <w:lang w:eastAsia="ja-JP"/>
        </w:rPr>
      </w:pPr>
      <w:r>
        <w:rPr>
          <w:lang w:eastAsia="ja-JP"/>
        </w:rPr>
        <w:t>Nil.</w:t>
      </w:r>
    </w:p>
    <w:p w:rsidR="0059719E" w:rsidRDefault="0059719E" w:rsidP="0059719E">
      <w:pPr>
        <w:pStyle w:val="Heading4"/>
      </w:pPr>
      <w:bookmarkStart w:id="147" w:name="_Toc385334171"/>
      <w:r>
        <w:t>Efficacy</w:t>
      </w:r>
      <w:bookmarkEnd w:id="147"/>
    </w:p>
    <w:p w:rsidR="0059719E" w:rsidRPr="001D42C8" w:rsidRDefault="0059719E" w:rsidP="0059719E">
      <w:pPr>
        <w:pStyle w:val="Numberbullet0"/>
        <w:numPr>
          <w:ilvl w:val="0"/>
          <w:numId w:val="25"/>
        </w:numPr>
      </w:pPr>
      <w:r w:rsidRPr="001D42C8">
        <w:t xml:space="preserve">The clinical development program included in the dossier includes relatively few Asian subjects. Discuss available efficacy data for Asian subjects and whether specific efficacy information relating to the Asian racial group should be included in the product information. </w:t>
      </w:r>
    </w:p>
    <w:p w:rsidR="0059719E" w:rsidRPr="00586F98" w:rsidRDefault="0059719E" w:rsidP="0059719E">
      <w:pPr>
        <w:pStyle w:val="Numberbullet0"/>
        <w:numPr>
          <w:ilvl w:val="0"/>
          <w:numId w:val="25"/>
        </w:numPr>
        <w:rPr>
          <w:lang w:eastAsia="ja-JP"/>
        </w:rPr>
      </w:pPr>
      <w:r w:rsidRPr="001D42C8">
        <w:t xml:space="preserve">In </w:t>
      </w:r>
      <w:r>
        <w:t>S</w:t>
      </w:r>
      <w:r w:rsidRPr="001D42C8">
        <w:t>tudy 192024-039 there was a notably high response rate on the primary efficacy outcome in African American subjects receiving vehicle (48.8%). The comparative rate in the vehicle group in study 192024-032 was 18.4%. Explain the reasons for this finding.</w:t>
      </w:r>
    </w:p>
    <w:p w:rsidR="0059719E" w:rsidRDefault="0059719E" w:rsidP="0059719E">
      <w:pPr>
        <w:pStyle w:val="Heading4"/>
      </w:pPr>
      <w:bookmarkStart w:id="148" w:name="_Toc385334172"/>
      <w:r>
        <w:t>Safety</w:t>
      </w:r>
      <w:bookmarkEnd w:id="148"/>
    </w:p>
    <w:p w:rsidR="0059719E" w:rsidRPr="001D42C8" w:rsidRDefault="0059719E" w:rsidP="0059719E">
      <w:pPr>
        <w:pStyle w:val="Numberbullet0"/>
        <w:numPr>
          <w:ilvl w:val="0"/>
          <w:numId w:val="25"/>
        </w:numPr>
      </w:pPr>
      <w:r w:rsidRPr="001D42C8">
        <w:t xml:space="preserve">Present and discuss rates of mild, moderate and severe AEs in the three main efficacy/safety studies (192024-032, 038 and 039). Include rates for all AEs together with a breakdown by SOC for the overall, idiopathic and </w:t>
      </w:r>
      <w:r>
        <w:t xml:space="preserve">post chemotherapy </w:t>
      </w:r>
      <w:r w:rsidRPr="001D42C8">
        <w:t>populations.</w:t>
      </w:r>
    </w:p>
    <w:p w:rsidR="0059719E" w:rsidRPr="001D42C8" w:rsidRDefault="0059719E" w:rsidP="0059719E">
      <w:pPr>
        <w:pStyle w:val="Numberbullet0"/>
        <w:numPr>
          <w:ilvl w:val="0"/>
          <w:numId w:val="25"/>
        </w:numPr>
      </w:pPr>
      <w:r w:rsidRPr="001D42C8">
        <w:t xml:space="preserve">The clinical development program included in the dossier includes relatively few Asian subjects. In addition it was noted that African Americans had a slightly different safety profile with a higher rate of skin pigmentation which suggests there may be varying safety findings in different racial groups. What safety data are available in Asian subjects? Discuss these findings. Discuss also whether specific safety information relating to the Asian racial group should be included in the </w:t>
      </w:r>
      <w:r>
        <w:t>PI</w:t>
      </w:r>
      <w:r w:rsidRPr="001D42C8">
        <w:t xml:space="preserve">. </w:t>
      </w:r>
    </w:p>
    <w:p w:rsidR="0059719E" w:rsidRDefault="0059719E" w:rsidP="0059719E">
      <w:pPr>
        <w:pStyle w:val="Numberbullet0"/>
        <w:numPr>
          <w:ilvl w:val="0"/>
          <w:numId w:val="27"/>
        </w:numPr>
      </w:pPr>
      <w:r w:rsidRPr="001D42C8">
        <w:t xml:space="preserve">The rate of SAEs was notably higher in the </w:t>
      </w:r>
      <w:r>
        <w:t xml:space="preserve">post chemotherapy </w:t>
      </w:r>
      <w:r w:rsidRPr="001D42C8">
        <w:t xml:space="preserve">group treated with </w:t>
      </w:r>
      <w:proofErr w:type="spellStart"/>
      <w:r w:rsidRPr="001D42C8">
        <w:t>bimatoprost</w:t>
      </w:r>
      <w:proofErr w:type="spellEnd"/>
      <w:r w:rsidRPr="001D42C8">
        <w:t xml:space="preserve"> (13.3%</w:t>
      </w:r>
      <w:r>
        <w:t xml:space="preserve"> versus </w:t>
      </w:r>
      <w:r w:rsidRPr="001D42C8">
        <w:t>6.1%) compared to the idiopathic group (2.7%</w:t>
      </w:r>
      <w:r>
        <w:t xml:space="preserve"> versus </w:t>
      </w:r>
      <w:r w:rsidRPr="001D42C8">
        <w:t xml:space="preserve">1.2%). While it was explained that there were no eye-related SAEs nor treatment-related SAEs in </w:t>
      </w:r>
      <w:r>
        <w:t xml:space="preserve">post chemotherapy </w:t>
      </w:r>
      <w:r w:rsidRPr="001D42C8">
        <w:t>patients, this finding needs further explanation. Discuss the implication of the sample size on the finding.</w:t>
      </w:r>
      <w:r>
        <w:t xml:space="preserve"> </w:t>
      </w:r>
    </w:p>
    <w:p w:rsidR="0059719E" w:rsidRPr="00605AD4" w:rsidRDefault="0059719E" w:rsidP="0059719E">
      <w:pPr>
        <w:pStyle w:val="Heading3"/>
      </w:pPr>
      <w:bookmarkStart w:id="149" w:name="_Toc388513995"/>
      <w:bookmarkStart w:id="150" w:name="_Toc55464736"/>
      <w:r w:rsidRPr="00605AD4">
        <w:lastRenderedPageBreak/>
        <w:t xml:space="preserve">Second </w:t>
      </w:r>
      <w:r w:rsidR="001A3D87" w:rsidRPr="00605AD4">
        <w:t>round evaluation of clinical data submitted in response to questions</w:t>
      </w:r>
      <w:bookmarkEnd w:id="149"/>
      <w:bookmarkEnd w:id="150"/>
    </w:p>
    <w:p w:rsidR="0059719E" w:rsidRPr="00605AD4" w:rsidRDefault="0059719E" w:rsidP="0059719E">
      <w:pPr>
        <w:pStyle w:val="Heading4"/>
      </w:pPr>
      <w:r w:rsidRPr="00605AD4">
        <w:t xml:space="preserve">Second </w:t>
      </w:r>
      <w:r w:rsidR="001A3D87" w:rsidRPr="00605AD4">
        <w:t>round benefit-risk assessment</w:t>
      </w:r>
    </w:p>
    <w:p w:rsidR="0059719E" w:rsidRPr="000F40AE" w:rsidRDefault="0059719E" w:rsidP="0059719E">
      <w:pPr>
        <w:pStyle w:val="Heading5"/>
      </w:pPr>
      <w:bookmarkStart w:id="151" w:name="_Toc385334174"/>
      <w:r w:rsidRPr="000F40AE">
        <w:t xml:space="preserve">Question </w:t>
      </w:r>
      <w:r>
        <w:t>1</w:t>
      </w:r>
      <w:r w:rsidRPr="000F40AE">
        <w:t>.</w:t>
      </w:r>
      <w:bookmarkEnd w:id="151"/>
    </w:p>
    <w:p w:rsidR="0059719E" w:rsidRPr="000F40AE" w:rsidRDefault="0059719E" w:rsidP="0059719E">
      <w:pPr>
        <w:pStyle w:val="Heading6"/>
      </w:pPr>
      <w:r>
        <w:t>Sponsor’s response</w:t>
      </w:r>
    </w:p>
    <w:p w:rsidR="0059719E" w:rsidRPr="000F40AE" w:rsidRDefault="0059719E" w:rsidP="0059719E">
      <w:r w:rsidRPr="000F40AE">
        <w:t xml:space="preserve">Two studies were conducted evaluating this issue. In the first, 36 subjects applied one drop of </w:t>
      </w:r>
      <w:proofErr w:type="spellStart"/>
      <w:r>
        <w:t>Latisse</w:t>
      </w:r>
      <w:proofErr w:type="spellEnd"/>
      <w:r w:rsidRPr="000F40AE">
        <w:t xml:space="preserve"> vehicle to the applicator and then applied the vehicle on the eyelid margin. The applicator was weighed before and after application. The mean (</w:t>
      </w:r>
      <w:r>
        <w:t>standard deviation (</w:t>
      </w:r>
      <w:r w:rsidRPr="000F40AE">
        <w:t>SD</w:t>
      </w:r>
      <w:r>
        <w:t>)</w:t>
      </w:r>
      <w:r w:rsidRPr="000F40AE">
        <w:t xml:space="preserve">) amount of solution applied was 2.1 (1.19) </w:t>
      </w:r>
      <w:r>
        <w:t>µ</w:t>
      </w:r>
      <w:r w:rsidRPr="000F40AE">
        <w:t>L. The standard volume of an eye</w:t>
      </w:r>
      <w:r>
        <w:t xml:space="preserve"> </w:t>
      </w:r>
      <w:r w:rsidRPr="000F40AE">
        <w:t>drop expelled from</w:t>
      </w:r>
      <w:r>
        <w:t xml:space="preserve"> the</w:t>
      </w:r>
      <w:r w:rsidRPr="000F40AE">
        <w:t xml:space="preserve"> </w:t>
      </w:r>
      <w:proofErr w:type="spellStart"/>
      <w:r>
        <w:t>Latisse</w:t>
      </w:r>
      <w:proofErr w:type="spellEnd"/>
      <w:r w:rsidRPr="000F40AE">
        <w:t xml:space="preserve"> bottle was reported at approximately 30 </w:t>
      </w:r>
      <w:r>
        <w:t>µ</w:t>
      </w:r>
      <w:r w:rsidRPr="000F40AE">
        <w:t>L. Therefore, less than one drop is applied to the eyelid margin.</w:t>
      </w:r>
    </w:p>
    <w:p w:rsidR="0059719E" w:rsidRPr="00FD277E" w:rsidRDefault="0059719E" w:rsidP="0059719E">
      <w:r w:rsidRPr="000F40AE">
        <w:t xml:space="preserve">In the second study, eye drop application was compared to dermal application to the upper eyelid margin using dye. A supplied photo shows less green dye visible with the dermal </w:t>
      </w:r>
      <w:r w:rsidRPr="00FD277E">
        <w:t xml:space="preserve">application (Figure </w:t>
      </w:r>
      <w:r>
        <w:t>1</w:t>
      </w:r>
      <w:r w:rsidRPr="00FD277E">
        <w:t>).</w:t>
      </w:r>
    </w:p>
    <w:p w:rsidR="0059719E" w:rsidRDefault="0059719E" w:rsidP="0059719E">
      <w:pPr>
        <w:pStyle w:val="FigureTitle"/>
      </w:pPr>
      <w:r>
        <w:t>Figure 1. Comparison of exposure to solution applied as an eye drop compared to dermal application</w:t>
      </w:r>
    </w:p>
    <w:p w:rsidR="0059719E" w:rsidRPr="000F40AE" w:rsidRDefault="0059719E" w:rsidP="001A3D87">
      <w:r>
        <w:rPr>
          <w:noProof/>
          <w:lang w:eastAsia="en-AU"/>
        </w:rPr>
        <w:drawing>
          <wp:inline distT="0" distB="0" distL="0" distR="0" wp14:anchorId="24522F4E" wp14:editId="7FED9168">
            <wp:extent cx="3838575" cy="2552474"/>
            <wp:effectExtent l="0" t="0" r="0" b="0"/>
            <wp:docPr id="29" name="Picture 29" descr="Figure 1. Comparison of exposure to solution applied as an eyedrop compared to dermal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06" t="2545" r="1896"/>
                    <a:stretch/>
                  </pic:blipFill>
                  <pic:spPr bwMode="auto">
                    <a:xfrm>
                      <a:off x="0" y="0"/>
                      <a:ext cx="3837212" cy="2551568"/>
                    </a:xfrm>
                    <a:prstGeom prst="rect">
                      <a:avLst/>
                    </a:prstGeom>
                    <a:ln>
                      <a:noFill/>
                    </a:ln>
                    <a:extLst>
                      <a:ext uri="{53640926-AAD7-44D8-BBD7-CCE9431645EC}">
                        <a14:shadowObscured xmlns:a14="http://schemas.microsoft.com/office/drawing/2010/main"/>
                      </a:ext>
                    </a:extLst>
                  </pic:spPr>
                </pic:pic>
              </a:graphicData>
            </a:graphic>
          </wp:inline>
        </w:drawing>
      </w:r>
    </w:p>
    <w:p w:rsidR="0059719E" w:rsidRPr="000F40AE" w:rsidRDefault="0059719E" w:rsidP="0059719E">
      <w:pPr>
        <w:autoSpaceDE w:val="0"/>
        <w:autoSpaceDN w:val="0"/>
        <w:adjustRightInd w:val="0"/>
        <w:rPr>
          <w:i/>
        </w:rPr>
      </w:pPr>
      <w:r>
        <w:t>The s</w:t>
      </w:r>
      <w:r w:rsidRPr="000F40AE">
        <w:t>ponsor stated that</w:t>
      </w:r>
      <w:r>
        <w:t xml:space="preserve"> </w:t>
      </w:r>
      <w:r w:rsidRPr="000F40AE">
        <w:t>“</w:t>
      </w:r>
      <w:r w:rsidRPr="000F40AE">
        <w:rPr>
          <w:i/>
        </w:rPr>
        <w:t>a</w:t>
      </w:r>
      <w:r w:rsidRPr="000F40AE">
        <w:rPr>
          <w:rFonts w:eastAsia="TimesNewRoman" w:cs="TimesNewRoman"/>
          <w:i/>
          <w:lang w:eastAsia="zh-TW"/>
        </w:rPr>
        <w:t xml:space="preserve">lthough it is possible for a patient to try to apply more than a single drop of </w:t>
      </w:r>
      <w:proofErr w:type="spellStart"/>
      <w:r>
        <w:rPr>
          <w:rFonts w:eastAsia="TimesNewRoman" w:cs="TimesNewRoman"/>
          <w:i/>
          <w:lang w:eastAsia="zh-TW"/>
        </w:rPr>
        <w:t>Latisse</w:t>
      </w:r>
      <w:proofErr w:type="spellEnd"/>
      <w:r w:rsidRPr="000F40AE">
        <w:rPr>
          <w:rFonts w:eastAsia="TimesNewRoman" w:cs="TimesNewRoman"/>
          <w:i/>
          <w:lang w:eastAsia="zh-TW"/>
        </w:rPr>
        <w:t xml:space="preserve"> to the applicator, this practice would simply cause the product to be used faster. In the event that a patient applies too much solution to an applicator and excess solution is applied to the treatment area, the directions for use in the proposed product information (PI) and consumer medicine information (CMI) direct the patient to blot excess product after application. These directions are intended to provide for a targeted application of the appropriate dose to the treatment area.”</w:t>
      </w:r>
    </w:p>
    <w:p w:rsidR="0059719E" w:rsidRPr="000F40AE" w:rsidRDefault="0059719E" w:rsidP="0059719E">
      <w:pPr>
        <w:pStyle w:val="Heading6"/>
      </w:pPr>
      <w:r w:rsidRPr="000F40AE">
        <w:t xml:space="preserve">Evaluator’s comments </w:t>
      </w:r>
    </w:p>
    <w:p w:rsidR="0059719E" w:rsidRPr="000F40AE" w:rsidRDefault="0059719E" w:rsidP="0059719E">
      <w:r w:rsidRPr="000F40AE">
        <w:t xml:space="preserve">From this data it is seen that less than one drop is delivered, however it is still feasible that patients may overuse the product. </w:t>
      </w:r>
    </w:p>
    <w:p w:rsidR="0059719E" w:rsidRPr="000F40AE" w:rsidRDefault="0059719E" w:rsidP="0059719E">
      <w:pPr>
        <w:pStyle w:val="Heading5"/>
      </w:pPr>
      <w:bookmarkStart w:id="152" w:name="_Toc385334175"/>
      <w:r w:rsidRPr="000F40AE">
        <w:t xml:space="preserve">Question </w:t>
      </w:r>
      <w:r>
        <w:t>2</w:t>
      </w:r>
      <w:r w:rsidRPr="000F40AE">
        <w:t>.</w:t>
      </w:r>
      <w:r>
        <w:t xml:space="preserve"> Part A</w:t>
      </w:r>
      <w:bookmarkEnd w:id="152"/>
    </w:p>
    <w:p w:rsidR="0059719E" w:rsidRPr="000F40AE" w:rsidRDefault="0059719E" w:rsidP="0059719E">
      <w:pPr>
        <w:pStyle w:val="Heading6"/>
      </w:pPr>
      <w:r w:rsidRPr="000F40AE">
        <w:t xml:space="preserve">Sponsor’s </w:t>
      </w:r>
      <w:r>
        <w:t>response</w:t>
      </w:r>
    </w:p>
    <w:p w:rsidR="0059719E" w:rsidRPr="00AC0FE8" w:rsidRDefault="0059719E" w:rsidP="0059719E">
      <w:pPr>
        <w:autoSpaceDE w:val="0"/>
        <w:autoSpaceDN w:val="0"/>
        <w:adjustRightInd w:val="0"/>
        <w:rPr>
          <w:rFonts w:eastAsia="TimesNewRoman" w:cs="TimesNewRoman"/>
          <w:lang w:eastAsia="zh-TW"/>
        </w:rPr>
      </w:pPr>
      <w:r w:rsidRPr="00AC0FE8">
        <w:rPr>
          <w:rFonts w:eastAsia="TimesNewRoman" w:cs="TimesNewRoman"/>
          <w:lang w:eastAsia="zh-TW"/>
        </w:rPr>
        <w:t xml:space="preserve">Because </w:t>
      </w:r>
      <w:proofErr w:type="spellStart"/>
      <w:r w:rsidRPr="00AC0FE8">
        <w:rPr>
          <w:rFonts w:eastAsia="TimesNewRoman" w:cs="TimesNewRoman"/>
          <w:lang w:eastAsia="zh-TW"/>
        </w:rPr>
        <w:t>bimatoprost</w:t>
      </w:r>
      <w:proofErr w:type="spellEnd"/>
      <w:r w:rsidRPr="00AC0FE8">
        <w:rPr>
          <w:rFonts w:eastAsia="TimesNewRoman" w:cs="TimesNewRoman"/>
          <w:lang w:eastAsia="zh-TW"/>
        </w:rPr>
        <w:t xml:space="preserve"> acts on the eyelash hair growth cycle, the efficacy of </w:t>
      </w:r>
      <w:proofErr w:type="spellStart"/>
      <w:r w:rsidRPr="00AC0FE8">
        <w:rPr>
          <w:rFonts w:eastAsia="TimesNewRoman" w:cs="TimesNewRoman"/>
          <w:lang w:eastAsia="zh-TW"/>
        </w:rPr>
        <w:t>Latisse</w:t>
      </w:r>
      <w:proofErr w:type="spellEnd"/>
      <w:r w:rsidRPr="00AC0FE8">
        <w:rPr>
          <w:rFonts w:eastAsia="TimesNewRoman" w:cs="TimesNewRoman"/>
          <w:lang w:eastAsia="zh-TW"/>
        </w:rPr>
        <w:t xml:space="preserve"> is therefore predicted to be similar across all populations. Approvals for </w:t>
      </w:r>
      <w:proofErr w:type="spellStart"/>
      <w:r w:rsidRPr="00AC0FE8">
        <w:rPr>
          <w:rFonts w:eastAsia="TimesNewRoman" w:cs="TimesNewRoman"/>
          <w:lang w:eastAsia="zh-TW"/>
        </w:rPr>
        <w:t>Latisse</w:t>
      </w:r>
      <w:proofErr w:type="spellEnd"/>
      <w:r w:rsidRPr="00AC0FE8">
        <w:rPr>
          <w:rFonts w:eastAsia="TimesNewRoman" w:cs="TimesNewRoman"/>
          <w:lang w:eastAsia="zh-TW"/>
        </w:rPr>
        <w:t xml:space="preserve"> have been granted in the following Asian countries without specific language in the label relating to efficacy in specific racial groups: Singapore, Korea, Hong Kong, Vietnam, Taiwan, Philippines, and Thailand. </w:t>
      </w:r>
    </w:p>
    <w:p w:rsidR="0059719E" w:rsidRPr="000F40AE" w:rsidRDefault="0059719E" w:rsidP="0059719E">
      <w:pPr>
        <w:autoSpaceDE w:val="0"/>
        <w:autoSpaceDN w:val="0"/>
        <w:adjustRightInd w:val="0"/>
        <w:rPr>
          <w:rFonts w:eastAsia="TimesNewRoman" w:cs="TimesNewRoman"/>
          <w:color w:val="000000"/>
          <w:lang w:eastAsia="zh-TW"/>
        </w:rPr>
      </w:pPr>
      <w:r w:rsidRPr="00AC0FE8">
        <w:rPr>
          <w:rFonts w:eastAsia="TimesNewRoman" w:cs="TimesNewRoman"/>
          <w:color w:val="000000"/>
          <w:lang w:eastAsia="zh-TW"/>
        </w:rPr>
        <w:lastRenderedPageBreak/>
        <w:t>Since the current submission on 28 September 2012, 2 safety and efficacy studies have been completed in Asian subjects</w:t>
      </w:r>
      <w:r w:rsidRPr="000F40AE">
        <w:rPr>
          <w:rFonts w:eastAsia="TimesNewRoman" w:cs="TimesNewRoman"/>
          <w:i/>
          <w:color w:val="000000"/>
          <w:lang w:eastAsia="zh-TW"/>
        </w:rPr>
        <w:t xml:space="preserve">: </w:t>
      </w:r>
      <w:r w:rsidRPr="000F40AE">
        <w:rPr>
          <w:rFonts w:eastAsia="TimesNewRoman" w:cs="TimesNewRoman"/>
          <w:color w:val="000000"/>
          <w:lang w:eastAsia="zh-TW"/>
        </w:rPr>
        <w:t>The clinical study reports for these two studies were included in the response.</w:t>
      </w:r>
    </w:p>
    <w:p w:rsidR="0059719E" w:rsidRPr="000F40AE" w:rsidRDefault="0059719E" w:rsidP="0059719E">
      <w:pPr>
        <w:autoSpaceDE w:val="0"/>
        <w:autoSpaceDN w:val="0"/>
        <w:adjustRightInd w:val="0"/>
      </w:pPr>
      <w:r w:rsidRPr="000F40AE">
        <w:t xml:space="preserve">Studies 192024-059 and -067 were multicentre, double-masked, randomised, parallel-group, 5 month, </w:t>
      </w:r>
      <w:r>
        <w:t>P</w:t>
      </w:r>
      <w:r w:rsidRPr="000F40AE">
        <w:t xml:space="preserve">hase III studies which evaluated the safety and efficacy of </w:t>
      </w:r>
      <w:proofErr w:type="spellStart"/>
      <w:r w:rsidRPr="000F40AE">
        <w:t>bimatoprost</w:t>
      </w:r>
      <w:proofErr w:type="spellEnd"/>
      <w:r w:rsidRPr="000F40AE">
        <w:t xml:space="preserve"> solution 0.03% compared with vehicle in increasing overall eyelash prominence following once daily topical application to the upper eyelid margins of adult, Japanese subjects. Study 192024-059 enrolled 173 (88 </w:t>
      </w:r>
      <w:proofErr w:type="spellStart"/>
      <w:r w:rsidRPr="000F40AE">
        <w:t>bimatoprost</w:t>
      </w:r>
      <w:proofErr w:type="spellEnd"/>
      <w:r w:rsidRPr="000F40AE">
        <w:t xml:space="preserve"> and 85 vehicle) subjects with idiopathic </w:t>
      </w:r>
      <w:proofErr w:type="spellStart"/>
      <w:r w:rsidRPr="000F40AE">
        <w:t>hypotrichosis</w:t>
      </w:r>
      <w:proofErr w:type="spellEnd"/>
      <w:r w:rsidRPr="000F40AE">
        <w:t xml:space="preserve"> of the eyelashes; 192024-067 enrolled 36 (18 in each of the </w:t>
      </w:r>
      <w:proofErr w:type="spellStart"/>
      <w:r w:rsidRPr="000F40AE">
        <w:t>bimatoprost</w:t>
      </w:r>
      <w:proofErr w:type="spellEnd"/>
      <w:r w:rsidRPr="000F40AE">
        <w:t xml:space="preserve"> and vehicle groups) adult subjects with </w:t>
      </w:r>
      <w:proofErr w:type="spellStart"/>
      <w:r w:rsidRPr="000F40AE">
        <w:t>hypotrichosis</w:t>
      </w:r>
      <w:proofErr w:type="spellEnd"/>
      <w:r w:rsidRPr="000F40AE">
        <w:t xml:space="preserve"> of the eyelashes post-chemotherapy. Both studies had the primary endpoint of </w:t>
      </w:r>
      <w:r>
        <w:t>≥</w:t>
      </w:r>
      <w:r w:rsidRPr="000F40AE">
        <w:t xml:space="preserve">1 grade increase in the GEA scale after 4 months treatment. </w:t>
      </w:r>
    </w:p>
    <w:p w:rsidR="0059719E" w:rsidRPr="00FD277E" w:rsidRDefault="0059719E" w:rsidP="0059719E">
      <w:pPr>
        <w:autoSpaceDE w:val="0"/>
        <w:autoSpaceDN w:val="0"/>
        <w:adjustRightInd w:val="0"/>
      </w:pPr>
      <w:r>
        <w:t>In S</w:t>
      </w:r>
      <w:r w:rsidRPr="000F40AE">
        <w:t xml:space="preserve">tudy 192024-059 at </w:t>
      </w:r>
      <w:r>
        <w:t>M</w:t>
      </w:r>
      <w:r w:rsidRPr="000F40AE">
        <w:t xml:space="preserve">onth 4, the proportion of subjects with at least 1 grade increase in the GEA score was 77.3% and 17.6% in the </w:t>
      </w:r>
      <w:proofErr w:type="spellStart"/>
      <w:r w:rsidRPr="000F40AE">
        <w:t>bimatoprost</w:t>
      </w:r>
      <w:proofErr w:type="spellEnd"/>
      <w:r w:rsidRPr="000F40AE">
        <w:t xml:space="preserve"> and vehicle groups, respectively (p&lt;0.001). In the </w:t>
      </w:r>
      <w:r>
        <w:t xml:space="preserve">post chemotherapy </w:t>
      </w:r>
      <w:r w:rsidRPr="000F40AE">
        <w:t xml:space="preserve">Japanese subjects in 192024-067, the proportion who had at least one grade improvement on the GEA score was 88.9% in the </w:t>
      </w:r>
      <w:proofErr w:type="spellStart"/>
      <w:r w:rsidRPr="000F40AE">
        <w:t>bimatoprost</w:t>
      </w:r>
      <w:proofErr w:type="spellEnd"/>
      <w:r w:rsidRPr="000F40AE">
        <w:t xml:space="preserve"> and 27.8% in the vehicle group (p&lt;0.001). In the idiopathic group, the proportion of subjects with at least a 2 grade increase in GEA was 36.4%</w:t>
      </w:r>
      <w:r>
        <w:t xml:space="preserve"> versus </w:t>
      </w:r>
      <w:r w:rsidRPr="000F40AE">
        <w:t>1.2% (p&lt;</w:t>
      </w:r>
      <w:r w:rsidRPr="00FD277E">
        <w:t xml:space="preserve">0.001) (Table </w:t>
      </w:r>
      <w:r>
        <w:t>4</w:t>
      </w:r>
      <w:r w:rsidRPr="00FD277E">
        <w:t>).</w:t>
      </w:r>
      <w:r w:rsidRPr="000F40AE">
        <w:t xml:space="preserve"> However, in the post chemotherapy group, the rate of at least 2 grades increase in GEA score was not significantly different (27.8%</w:t>
      </w:r>
      <w:r>
        <w:t xml:space="preserve"> versus </w:t>
      </w:r>
      <w:r w:rsidRPr="000F40AE">
        <w:t xml:space="preserve">5.6% p=0.177) </w:t>
      </w:r>
      <w:r w:rsidRPr="00FD277E">
        <w:t xml:space="preserve">(Table </w:t>
      </w:r>
      <w:r>
        <w:t>5</w:t>
      </w:r>
      <w:r w:rsidRPr="00FD277E">
        <w:t xml:space="preserve">). </w:t>
      </w:r>
    </w:p>
    <w:p w:rsidR="0059719E" w:rsidRPr="000F40AE" w:rsidRDefault="0059719E" w:rsidP="0059719E">
      <w:pPr>
        <w:autoSpaceDE w:val="0"/>
        <w:autoSpaceDN w:val="0"/>
        <w:adjustRightInd w:val="0"/>
      </w:pPr>
      <w:r w:rsidRPr="00FD277E">
        <w:t>The mean (192024-059) and median (192024-067) percentage change</w:t>
      </w:r>
      <w:r w:rsidRPr="000F40AE">
        <w:t xml:space="preserve"> in eyelash length, thickness and darkness was significantly better with </w:t>
      </w:r>
      <w:proofErr w:type="spellStart"/>
      <w:r w:rsidRPr="000F40AE">
        <w:t>bimatoprost</w:t>
      </w:r>
      <w:proofErr w:type="spellEnd"/>
      <w:r w:rsidRPr="000F40AE">
        <w:t xml:space="preserve"> than vehicle in both the idiopathic population and the </w:t>
      </w:r>
      <w:r>
        <w:t xml:space="preserve">post chemotherapy </w:t>
      </w:r>
      <w:r w:rsidRPr="00FD277E">
        <w:t xml:space="preserve">groups (Tables </w:t>
      </w:r>
      <w:r>
        <w:t>4</w:t>
      </w:r>
      <w:r w:rsidRPr="00FD277E">
        <w:t xml:space="preserve"> and </w:t>
      </w:r>
      <w:r>
        <w:t>5</w:t>
      </w:r>
      <w:r w:rsidRPr="00FD277E">
        <w:t>).</w:t>
      </w:r>
    </w:p>
    <w:p w:rsidR="0059719E" w:rsidRDefault="0059719E" w:rsidP="0059719E">
      <w:pPr>
        <w:autoSpaceDE w:val="0"/>
        <w:autoSpaceDN w:val="0"/>
        <w:adjustRightInd w:val="0"/>
      </w:pPr>
      <w:r w:rsidRPr="000F40AE">
        <w:t xml:space="preserve">The </w:t>
      </w:r>
      <w:r>
        <w:t>s</w:t>
      </w:r>
      <w:r w:rsidRPr="000F40AE">
        <w:t xml:space="preserve">ponsor concluded by stating: </w:t>
      </w:r>
    </w:p>
    <w:p w:rsidR="0059719E" w:rsidRDefault="0059719E" w:rsidP="0059719E">
      <w:pPr>
        <w:autoSpaceDE w:val="0"/>
        <w:autoSpaceDN w:val="0"/>
        <w:adjustRightInd w:val="0"/>
        <w:rPr>
          <w:rFonts w:eastAsia="TimesNewRoman" w:cs="TimesNewRoman"/>
          <w:i/>
          <w:color w:val="000000"/>
          <w:lang w:eastAsia="zh-TW"/>
        </w:rPr>
      </w:pPr>
      <w:r w:rsidRPr="000F40AE">
        <w:rPr>
          <w:rFonts w:eastAsia="TimesNewRoman" w:cs="TimesNewRoman"/>
          <w:i/>
          <w:color w:val="000000"/>
          <w:lang w:eastAsia="zh-TW"/>
        </w:rPr>
        <w:t xml:space="preserve">Although ethnically Japanese subjects may not be broadly representative of all Asian ethnicities, the mechanism of action of </w:t>
      </w:r>
      <w:proofErr w:type="spellStart"/>
      <w:r w:rsidRPr="000F40AE">
        <w:rPr>
          <w:rFonts w:eastAsia="TimesNewRoman" w:cs="TimesNewRoman"/>
          <w:i/>
          <w:color w:val="000000"/>
          <w:lang w:eastAsia="zh-TW"/>
        </w:rPr>
        <w:t>bimatoprost</w:t>
      </w:r>
      <w:proofErr w:type="spellEnd"/>
      <w:r w:rsidRPr="000F40AE">
        <w:rPr>
          <w:rFonts w:eastAsia="TimesNewRoman" w:cs="TimesNewRoman"/>
          <w:i/>
          <w:color w:val="000000"/>
          <w:lang w:eastAsia="zh-TW"/>
        </w:rPr>
        <w:t xml:space="preserve"> is predicted to be similar across populations and there is no reason to expect that other Asian populations would experience different efficacy or safety results. As such, Allergan does not believe there is a need to include wording within the Product Information that specifically addresses the Asian population.</w:t>
      </w:r>
    </w:p>
    <w:p w:rsidR="0059719E" w:rsidRDefault="0059719E" w:rsidP="0059719E">
      <w:pPr>
        <w:pStyle w:val="TableTitle"/>
        <w:rPr>
          <w:lang w:eastAsia="zh-TW"/>
        </w:rPr>
      </w:pPr>
      <w:r>
        <w:rPr>
          <w:lang w:eastAsia="zh-TW"/>
        </w:rPr>
        <w:t xml:space="preserve">Table 4. </w:t>
      </w:r>
      <w:r w:rsidRPr="00FD277E">
        <w:rPr>
          <w:lang w:eastAsia="zh-TW"/>
        </w:rPr>
        <w:t>192024-059</w:t>
      </w:r>
      <w:r>
        <w:rPr>
          <w:lang w:eastAsia="zh-TW"/>
        </w:rPr>
        <w:t xml:space="preserve"> Summary of primary and secondary efficacy results at the primary </w:t>
      </w:r>
      <w:proofErr w:type="spellStart"/>
      <w:r>
        <w:rPr>
          <w:lang w:eastAsia="zh-TW"/>
        </w:rPr>
        <w:t>timepoint</w:t>
      </w:r>
      <w:proofErr w:type="spellEnd"/>
      <w:r>
        <w:rPr>
          <w:lang w:eastAsia="zh-TW"/>
        </w:rPr>
        <w:t xml:space="preserve"> for efficacy analyses, Month 4 (ITT population).</w:t>
      </w:r>
    </w:p>
    <w:p w:rsidR="0059719E" w:rsidRDefault="0059719E" w:rsidP="0059719E">
      <w:pPr>
        <w:autoSpaceDE w:val="0"/>
        <w:autoSpaceDN w:val="0"/>
        <w:adjustRightInd w:val="0"/>
        <w:rPr>
          <w:i/>
        </w:rPr>
      </w:pPr>
      <w:r>
        <w:rPr>
          <w:noProof/>
          <w:lang w:eastAsia="en-AU"/>
        </w:rPr>
        <w:drawing>
          <wp:inline distT="0" distB="0" distL="0" distR="0" wp14:anchorId="57F04D53" wp14:editId="38D33D73">
            <wp:extent cx="3738093" cy="2457450"/>
            <wp:effectExtent l="0" t="0" r="0" b="0"/>
            <wp:docPr id="30" name="Picture 30" descr="Table 4. Summary of primary and secondary efficacy results at the primary timepoint for efficacy analyses, Month 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00" t="3165" r="1787"/>
                    <a:stretch/>
                  </pic:blipFill>
                  <pic:spPr bwMode="auto">
                    <a:xfrm>
                      <a:off x="0" y="0"/>
                      <a:ext cx="3743735" cy="2461159"/>
                    </a:xfrm>
                    <a:prstGeom prst="rect">
                      <a:avLst/>
                    </a:prstGeom>
                    <a:ln>
                      <a:noFill/>
                    </a:ln>
                    <a:extLst>
                      <a:ext uri="{53640926-AAD7-44D8-BBD7-CCE9431645EC}">
                        <a14:shadowObscured xmlns:a14="http://schemas.microsoft.com/office/drawing/2010/main"/>
                      </a:ext>
                    </a:extLst>
                  </pic:spPr>
                </pic:pic>
              </a:graphicData>
            </a:graphic>
          </wp:inline>
        </w:drawing>
      </w:r>
    </w:p>
    <w:p w:rsidR="0059719E" w:rsidRPr="00FD277E" w:rsidRDefault="0059719E" w:rsidP="0059719E">
      <w:pPr>
        <w:pStyle w:val="TableTitle"/>
      </w:pPr>
      <w:r w:rsidRPr="00FD277E">
        <w:lastRenderedPageBreak/>
        <w:t xml:space="preserve">Table </w:t>
      </w:r>
      <w:r>
        <w:t>5</w:t>
      </w:r>
      <w:r w:rsidRPr="00FD277E">
        <w:t xml:space="preserve">. 192024-067 Summary of primary and secondary efficacy results at the primary </w:t>
      </w:r>
      <w:proofErr w:type="spellStart"/>
      <w:r w:rsidRPr="00FD277E">
        <w:t>timepoint</w:t>
      </w:r>
      <w:proofErr w:type="spellEnd"/>
      <w:r w:rsidRPr="00FD277E">
        <w:t xml:space="preserve"> for efficacy analyses, Month 4 (ITT population).</w:t>
      </w:r>
    </w:p>
    <w:p w:rsidR="0059719E" w:rsidRPr="000F40AE" w:rsidRDefault="0059719E" w:rsidP="0059719E">
      <w:pPr>
        <w:autoSpaceDE w:val="0"/>
        <w:autoSpaceDN w:val="0"/>
        <w:adjustRightInd w:val="0"/>
        <w:rPr>
          <w:i/>
        </w:rPr>
      </w:pPr>
      <w:r>
        <w:rPr>
          <w:noProof/>
          <w:lang w:eastAsia="en-AU"/>
        </w:rPr>
        <w:drawing>
          <wp:inline distT="0" distB="0" distL="0" distR="0" wp14:anchorId="1AE92585" wp14:editId="7D511064">
            <wp:extent cx="4004441" cy="2596897"/>
            <wp:effectExtent l="0" t="0" r="0" b="0"/>
            <wp:docPr id="31" name="Picture 31" descr="Table 5. 192024-067 Summary of primary and secondary efficacy results at the primary timepoint for efficacy analyses, Month 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1322" cy="2601360"/>
                    </a:xfrm>
                    <a:prstGeom prst="rect">
                      <a:avLst/>
                    </a:prstGeom>
                  </pic:spPr>
                </pic:pic>
              </a:graphicData>
            </a:graphic>
          </wp:inline>
        </w:drawing>
      </w:r>
    </w:p>
    <w:p w:rsidR="0059719E" w:rsidRPr="000F40AE" w:rsidRDefault="0059719E" w:rsidP="0059719E">
      <w:pPr>
        <w:pStyle w:val="Heading6"/>
      </w:pPr>
      <w:r>
        <w:t>Evaluator’s comments</w:t>
      </w:r>
    </w:p>
    <w:p w:rsidR="0059719E" w:rsidRPr="000F40AE" w:rsidRDefault="0059719E" w:rsidP="0059719E">
      <w:r w:rsidRPr="000F40AE">
        <w:t xml:space="preserve">The new data presented from the two clinical trials in Japanese subjects with idiopathic and </w:t>
      </w:r>
      <w:r>
        <w:t xml:space="preserve">post chemotherapy </w:t>
      </w:r>
      <w:proofErr w:type="spellStart"/>
      <w:r w:rsidRPr="000F40AE">
        <w:t>hypotrichosis</w:t>
      </w:r>
      <w:proofErr w:type="spellEnd"/>
      <w:r w:rsidRPr="000F40AE">
        <w:t xml:space="preserve"> are consistent with the data evaluated in the first round. The evaluator agrees that there does not appear to be a difference in efficacy in Japanese subjects. It is agreed that specific wording in the PI for Asian subjects does not appear warranted.</w:t>
      </w:r>
    </w:p>
    <w:p w:rsidR="0059719E" w:rsidRPr="000F40AE" w:rsidRDefault="0059719E" w:rsidP="0059719E">
      <w:pPr>
        <w:pStyle w:val="Heading5"/>
      </w:pPr>
      <w:bookmarkStart w:id="153" w:name="_Toc385334176"/>
      <w:r w:rsidRPr="000F40AE">
        <w:t xml:space="preserve">Question </w:t>
      </w:r>
      <w:r>
        <w:t>2 Part B</w:t>
      </w:r>
      <w:bookmarkEnd w:id="153"/>
    </w:p>
    <w:p w:rsidR="0059719E" w:rsidRPr="000F40AE" w:rsidRDefault="0059719E" w:rsidP="0059719E">
      <w:pPr>
        <w:pStyle w:val="Heading6"/>
      </w:pPr>
      <w:r>
        <w:t>Sponsor’s response</w:t>
      </w:r>
    </w:p>
    <w:p w:rsidR="0059719E" w:rsidRDefault="0059719E" w:rsidP="0059719E">
      <w:r>
        <w:t>The s</w:t>
      </w:r>
      <w:r w:rsidRPr="000F40AE">
        <w:t xml:space="preserve">ponsor agreed that the vehicle response rate in </w:t>
      </w:r>
      <w:r>
        <w:t>S</w:t>
      </w:r>
      <w:r w:rsidRPr="000F40AE">
        <w:t xml:space="preserve">tudy 192024-039 was higher than in other studies but stated that this was not noted when assessing response of </w:t>
      </w:r>
      <w:r>
        <w:t>≥</w:t>
      </w:r>
      <w:r w:rsidRPr="000F40AE">
        <w:t xml:space="preserve">2 grades on the GEA </w:t>
      </w:r>
      <w:r w:rsidRPr="00AC0FE8">
        <w:t>(Table 6). It was</w:t>
      </w:r>
      <w:r w:rsidRPr="000F40AE">
        <w:t xml:space="preserve"> noted that in 2 of 5 clinical sites there was 100% vehicle response and so the Sponsor proposed that the result may have been due to investigator variability.</w:t>
      </w:r>
    </w:p>
    <w:p w:rsidR="0059719E" w:rsidRDefault="0059719E" w:rsidP="0059719E">
      <w:pPr>
        <w:pStyle w:val="TableTitle"/>
      </w:pPr>
      <w:r w:rsidRPr="0059719E">
        <w:t xml:space="preserve">Table 6. Number (%) of subjects with idiopathic </w:t>
      </w:r>
      <w:proofErr w:type="spellStart"/>
      <w:r w:rsidRPr="0059719E">
        <w:t>hypotrichosis</w:t>
      </w:r>
      <w:proofErr w:type="spellEnd"/>
      <w:r w:rsidRPr="0059719E">
        <w:t xml:space="preserve"> achieving at least 1 grade and at least a 2 grade increase from baseline in GEA score at Month 4 (Studies 192024-32, -038, -039 and -059; ITT population).</w:t>
      </w:r>
    </w:p>
    <w:p w:rsidR="0059719E" w:rsidRPr="00EA38D1" w:rsidRDefault="0059719E" w:rsidP="0059719E">
      <w:pPr>
        <w:rPr>
          <w:sz w:val="20"/>
          <w:szCs w:val="20"/>
        </w:rPr>
      </w:pPr>
      <w:r>
        <w:rPr>
          <w:noProof/>
          <w:lang w:eastAsia="en-AU"/>
        </w:rPr>
        <w:drawing>
          <wp:inline distT="0" distB="0" distL="0" distR="0" wp14:anchorId="29EECB8F" wp14:editId="4903F0C2">
            <wp:extent cx="5131608" cy="1581150"/>
            <wp:effectExtent l="0" t="0" r="0" b="0"/>
            <wp:docPr id="32" name="Picture 32" descr="Table 6. Number (%) of subjects with idiopathic hypotrichosis achieving at least 1 grade and at least a 2 grade increase from baseline in GEA score at Month 4 (Studies 192024-32, -038, -039 and -059;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50012" cy="1586821"/>
                    </a:xfrm>
                    <a:prstGeom prst="rect">
                      <a:avLst/>
                    </a:prstGeom>
                  </pic:spPr>
                </pic:pic>
              </a:graphicData>
            </a:graphic>
          </wp:inline>
        </w:drawing>
      </w:r>
    </w:p>
    <w:p w:rsidR="0059719E" w:rsidRPr="000F40AE" w:rsidRDefault="0059719E" w:rsidP="0059719E">
      <w:pPr>
        <w:pStyle w:val="Heading6"/>
      </w:pPr>
      <w:r>
        <w:t>Evaluator’s comments</w:t>
      </w:r>
    </w:p>
    <w:p w:rsidR="0059719E" w:rsidRPr="000F40AE" w:rsidRDefault="0059719E" w:rsidP="0059719E">
      <w:r w:rsidRPr="000F40AE">
        <w:t>This proposal also suggests the GEA scale may not be reliable in the African American population.</w:t>
      </w:r>
    </w:p>
    <w:p w:rsidR="0059719E" w:rsidRPr="000F40AE" w:rsidRDefault="0059719E" w:rsidP="0059719E">
      <w:pPr>
        <w:pStyle w:val="Heading5"/>
      </w:pPr>
      <w:bookmarkStart w:id="154" w:name="_Toc385334177"/>
      <w:r>
        <w:lastRenderedPageBreak/>
        <w:t>Question 3 Part A</w:t>
      </w:r>
      <w:r w:rsidRPr="000F40AE">
        <w:t>.</w:t>
      </w:r>
      <w:bookmarkEnd w:id="154"/>
    </w:p>
    <w:p w:rsidR="0059719E" w:rsidRPr="000F40AE" w:rsidRDefault="0059719E" w:rsidP="0059719E">
      <w:pPr>
        <w:pStyle w:val="Heading6"/>
      </w:pPr>
      <w:r>
        <w:t>Sponsor’s response</w:t>
      </w:r>
    </w:p>
    <w:p w:rsidR="0059719E" w:rsidRDefault="0059719E" w:rsidP="0059719E">
      <w:r w:rsidRPr="000F40AE">
        <w:t xml:space="preserve">In the overall study population, the rate of mild AEs was 25.9% and 15.6% in the </w:t>
      </w:r>
      <w:proofErr w:type="spellStart"/>
      <w:r w:rsidRPr="000F40AE">
        <w:t>bimatoprost</w:t>
      </w:r>
      <w:proofErr w:type="spellEnd"/>
      <w:r w:rsidRPr="000F40AE">
        <w:t xml:space="preserve"> and vehicle groups, respectively. The rate of moderate AEs was 17.0%</w:t>
      </w:r>
      <w:r>
        <w:t xml:space="preserve"> versus </w:t>
      </w:r>
      <w:r w:rsidRPr="000F40AE">
        <w:t xml:space="preserve">12.3% and </w:t>
      </w:r>
      <w:r>
        <w:t xml:space="preserve">the rate of </w:t>
      </w:r>
      <w:r w:rsidRPr="000F40AE">
        <w:t>severe AEs was 6.8%</w:t>
      </w:r>
      <w:r>
        <w:t xml:space="preserve"> versus </w:t>
      </w:r>
      <w:r w:rsidRPr="000F40AE">
        <w:t xml:space="preserve">4.3% </w:t>
      </w:r>
      <w:r w:rsidRPr="00762CBE">
        <w:t xml:space="preserve">(Table </w:t>
      </w:r>
      <w:r>
        <w:t>7</w:t>
      </w:r>
      <w:r w:rsidRPr="00762CBE">
        <w:t xml:space="preserve">). In the </w:t>
      </w:r>
      <w:r>
        <w:t xml:space="preserve">post chemotherapy </w:t>
      </w:r>
      <w:r w:rsidRPr="00762CBE">
        <w:t xml:space="preserve">group the rate of mild (33.6% versus 27.3%), moderate (23.4% versus 12.1%) and severe AEs (11.7% versus 6.1%) was consistently greater in those treated with </w:t>
      </w:r>
      <w:proofErr w:type="spellStart"/>
      <w:r w:rsidRPr="00762CBE">
        <w:t>bimatoprost</w:t>
      </w:r>
      <w:proofErr w:type="spellEnd"/>
      <w:r w:rsidRPr="00762CBE">
        <w:t xml:space="preserve"> (Table 22). The</w:t>
      </w:r>
      <w:r w:rsidRPr="000F40AE">
        <w:t xml:space="preserve"> rate of moderate and severe AEs by SOC is presented </w:t>
      </w:r>
      <w:r w:rsidRPr="00762CBE">
        <w:t xml:space="preserve">in Table </w:t>
      </w:r>
      <w:r>
        <w:t>8</w:t>
      </w:r>
      <w:r w:rsidRPr="00762CBE">
        <w:t>.</w:t>
      </w:r>
      <w:r w:rsidRPr="000F40AE">
        <w:t xml:space="preserve"> Events in the SOC of </w:t>
      </w:r>
      <w:r>
        <w:t>E</w:t>
      </w:r>
      <w:r w:rsidRPr="000F40AE">
        <w:t>y</w:t>
      </w:r>
      <w:r>
        <w:t>e disorders and I</w:t>
      </w:r>
      <w:r w:rsidRPr="000F40AE">
        <w:t xml:space="preserve">njury/poisoning/procedural complications (both study populations) and </w:t>
      </w:r>
      <w:r>
        <w:t>I</w:t>
      </w:r>
      <w:r w:rsidRPr="000F40AE">
        <w:t xml:space="preserve">nfections/infestations (for the </w:t>
      </w:r>
      <w:r>
        <w:t xml:space="preserve">post chemotherapy </w:t>
      </w:r>
      <w:r w:rsidRPr="000F40AE">
        <w:t xml:space="preserve">population) were noted to have occurred at higher rates in the </w:t>
      </w:r>
      <w:proofErr w:type="spellStart"/>
      <w:r w:rsidRPr="000F40AE">
        <w:t>bimatoprost</w:t>
      </w:r>
      <w:proofErr w:type="spellEnd"/>
      <w:r w:rsidRPr="000F40AE">
        <w:t xml:space="preserve"> groups.</w:t>
      </w:r>
    </w:p>
    <w:p w:rsidR="0059719E" w:rsidRDefault="0059719E" w:rsidP="0059719E">
      <w:pPr>
        <w:pStyle w:val="TableTitle"/>
      </w:pPr>
      <w:r>
        <w:t xml:space="preserve">Table 7. Number (%) of subjects reporting adverse events by maximum severity in the integrated </w:t>
      </w:r>
      <w:proofErr w:type="spellStart"/>
      <w:r>
        <w:t>Latisse</w:t>
      </w:r>
      <w:proofErr w:type="spellEnd"/>
      <w:r>
        <w:t xml:space="preserve"> studies (Safety population).</w:t>
      </w:r>
    </w:p>
    <w:p w:rsidR="0059719E" w:rsidRDefault="0059719E" w:rsidP="0059719E">
      <w:r>
        <w:rPr>
          <w:noProof/>
          <w:lang w:eastAsia="en-AU"/>
        </w:rPr>
        <w:drawing>
          <wp:inline distT="0" distB="0" distL="0" distR="0" wp14:anchorId="37382B14" wp14:editId="00D967A0">
            <wp:extent cx="4834753" cy="2190750"/>
            <wp:effectExtent l="0" t="0" r="0" b="0"/>
            <wp:docPr id="33" name="Picture 33" descr="Table 7. Number (%) of subjects reporting adverse events by maximum severity in the integrated Latisse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961" r="2124"/>
                    <a:stretch/>
                  </pic:blipFill>
                  <pic:spPr bwMode="auto">
                    <a:xfrm>
                      <a:off x="0" y="0"/>
                      <a:ext cx="4838412" cy="2192408"/>
                    </a:xfrm>
                    <a:prstGeom prst="rect">
                      <a:avLst/>
                    </a:prstGeom>
                    <a:ln>
                      <a:noFill/>
                    </a:ln>
                    <a:extLst>
                      <a:ext uri="{53640926-AAD7-44D8-BBD7-CCE9431645EC}">
                        <a14:shadowObscured xmlns:a14="http://schemas.microsoft.com/office/drawing/2010/main"/>
                      </a:ext>
                    </a:extLst>
                  </pic:spPr>
                </pic:pic>
              </a:graphicData>
            </a:graphic>
          </wp:inline>
        </w:drawing>
      </w:r>
    </w:p>
    <w:p w:rsidR="001A3D87" w:rsidRDefault="0059719E" w:rsidP="001A3D87">
      <w:pPr>
        <w:pStyle w:val="TableTitle"/>
      </w:pPr>
      <w:r>
        <w:lastRenderedPageBreak/>
        <w:t>Table 8. Number (%) of subjects reporting adverse events of moderate or severe severity, by System organ Class (Studies 192024-32, -038, -039 Safety population).</w:t>
      </w:r>
    </w:p>
    <w:p w:rsidR="0059719E" w:rsidRDefault="0059719E" w:rsidP="001A3D87">
      <w:r>
        <w:rPr>
          <w:noProof/>
          <w:lang w:eastAsia="en-AU"/>
        </w:rPr>
        <w:drawing>
          <wp:inline distT="0" distB="0" distL="0" distR="0" wp14:anchorId="2F6911EF" wp14:editId="6CE1C920">
            <wp:extent cx="4918949" cy="5962650"/>
            <wp:effectExtent l="0" t="0" r="0" b="0"/>
            <wp:docPr id="35" name="Picture 35" descr="Table 8. Number (%) of subjects reporting adverse events of moderate or severe severity, by System organ Class (Studies 192024-32, -038, -039 and -059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31966" cy="5978429"/>
                    </a:xfrm>
                    <a:prstGeom prst="rect">
                      <a:avLst/>
                    </a:prstGeom>
                  </pic:spPr>
                </pic:pic>
              </a:graphicData>
            </a:graphic>
          </wp:inline>
        </w:drawing>
      </w:r>
    </w:p>
    <w:p w:rsidR="0059719E" w:rsidRDefault="0059719E" w:rsidP="0059719E">
      <w:pPr>
        <w:pStyle w:val="TableTitle"/>
        <w:keepLines/>
      </w:pPr>
      <w:r>
        <w:lastRenderedPageBreak/>
        <w:t>Table 8 continued. Number (%) of subjects reporting adverse events of moderate or severe severity, by System organ Class (Studies 192024-32, -038, -039).</w:t>
      </w:r>
    </w:p>
    <w:p w:rsidR="0059719E" w:rsidRPr="000F40AE" w:rsidRDefault="0059719E" w:rsidP="001A3D87">
      <w:r w:rsidRPr="00F40709">
        <w:rPr>
          <w:noProof/>
          <w:lang w:eastAsia="en-AU"/>
        </w:rPr>
        <w:drawing>
          <wp:inline distT="0" distB="0" distL="0" distR="0" wp14:anchorId="2CEDCB06" wp14:editId="399260C0">
            <wp:extent cx="4682359" cy="5422731"/>
            <wp:effectExtent l="0" t="0" r="0" b="0"/>
            <wp:docPr id="34" name="Picture 34" descr="Table 8 continued. Number (%) of subjects reporting adverse events of moderate or severe severity, by System organ Class (Studies 192024-32, -038, -039 and -059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84017" cy="5424652"/>
                    </a:xfrm>
                    <a:prstGeom prst="rect">
                      <a:avLst/>
                    </a:prstGeom>
                  </pic:spPr>
                </pic:pic>
              </a:graphicData>
            </a:graphic>
          </wp:inline>
        </w:drawing>
      </w:r>
    </w:p>
    <w:p w:rsidR="0059719E" w:rsidRDefault="0059719E" w:rsidP="0059719E">
      <w:pPr>
        <w:autoSpaceDE w:val="0"/>
        <w:autoSpaceDN w:val="0"/>
        <w:adjustRightInd w:val="0"/>
        <w:rPr>
          <w:rFonts w:eastAsia="TimesNewRoman" w:cs="TimesNewRoman"/>
          <w:lang w:eastAsia="zh-TW"/>
        </w:rPr>
      </w:pPr>
      <w:r w:rsidRPr="000F40AE">
        <w:t xml:space="preserve">There were 4 </w:t>
      </w:r>
      <w:proofErr w:type="spellStart"/>
      <w:r w:rsidRPr="000F40AE">
        <w:t>bimatoprost</w:t>
      </w:r>
      <w:proofErr w:type="spellEnd"/>
      <w:r w:rsidRPr="000F40AE">
        <w:t>-treated subje</w:t>
      </w:r>
      <w:r>
        <w:t xml:space="preserve">cts (4/541; 0.7%) and 2 vehicle </w:t>
      </w:r>
      <w:r w:rsidRPr="000F40AE">
        <w:t xml:space="preserve">treated subjects (2/276; 0.7%) with severe adverse events in the eye disorders SOC; all 6 subjects were in the idiopathic </w:t>
      </w:r>
      <w:proofErr w:type="spellStart"/>
      <w:r w:rsidRPr="000F40AE">
        <w:t>hypotrichosis</w:t>
      </w:r>
      <w:proofErr w:type="spellEnd"/>
      <w:r w:rsidRPr="000F40AE">
        <w:t xml:space="preserve"> population. For the </w:t>
      </w:r>
      <w:proofErr w:type="spellStart"/>
      <w:r w:rsidRPr="000F40AE">
        <w:t>bimatoprost</w:t>
      </w:r>
      <w:proofErr w:type="spellEnd"/>
      <w:r>
        <w:t xml:space="preserve"> </w:t>
      </w:r>
      <w:r w:rsidRPr="000F40AE">
        <w:t xml:space="preserve">treated subjects, the severe events were: conjunctival hyperaemia, conjunctivitis allergic, and eyelid disorder and eye pruritus/eye irritation. The </w:t>
      </w:r>
      <w:r>
        <w:t>s</w:t>
      </w:r>
      <w:r w:rsidRPr="000F40AE">
        <w:t xml:space="preserve">ponsor reported that the severe events in the </w:t>
      </w:r>
      <w:r>
        <w:t xml:space="preserve">post chemotherapy </w:t>
      </w:r>
      <w:r w:rsidRPr="000F40AE">
        <w:t xml:space="preserve">population were generally related to SAEs and the only severe events that were not SAEs were: </w:t>
      </w:r>
      <w:r>
        <w:rPr>
          <w:rFonts w:eastAsia="TimesNewRoman" w:cs="TimesNewRoman"/>
          <w:lang w:eastAsia="zh-TW"/>
        </w:rPr>
        <w:t xml:space="preserve">device </w:t>
      </w:r>
      <w:r w:rsidRPr="000F40AE">
        <w:rPr>
          <w:rFonts w:eastAsia="TimesNewRoman" w:cs="TimesNewRoman"/>
          <w:lang w:eastAsia="zh-TW"/>
        </w:rPr>
        <w:t xml:space="preserve">related infection, breast cellulitis, radiation skin injury, arthralgia and bronchospasm. It was concluded that </w:t>
      </w:r>
    </w:p>
    <w:p w:rsidR="0059719E" w:rsidRPr="000F40AE" w:rsidRDefault="0059719E" w:rsidP="0059719E">
      <w:pPr>
        <w:autoSpaceDE w:val="0"/>
        <w:autoSpaceDN w:val="0"/>
        <w:adjustRightInd w:val="0"/>
      </w:pPr>
      <w:r w:rsidRPr="000F40AE">
        <w:rPr>
          <w:rFonts w:eastAsia="TimesNewRoman" w:cs="TimesNewRoman"/>
          <w:lang w:eastAsia="zh-TW"/>
        </w:rPr>
        <w:t>“</w:t>
      </w:r>
      <w:r w:rsidRPr="000F40AE">
        <w:rPr>
          <w:rFonts w:eastAsia="TimesNewRoman" w:cs="TimesNewRoman"/>
          <w:i/>
          <w:lang w:eastAsia="zh-TW"/>
        </w:rPr>
        <w:t xml:space="preserve">the adverse events reported as severe by </w:t>
      </w:r>
      <w:proofErr w:type="spellStart"/>
      <w:r w:rsidRPr="000F40AE">
        <w:rPr>
          <w:rFonts w:eastAsia="TimesNewRoman" w:cs="TimesNewRoman"/>
          <w:i/>
          <w:lang w:eastAsia="zh-TW"/>
        </w:rPr>
        <w:t>postchemotherapy</w:t>
      </w:r>
      <w:proofErr w:type="spellEnd"/>
      <w:r w:rsidRPr="000F40AE">
        <w:rPr>
          <w:rFonts w:eastAsia="TimesNewRoman" w:cs="TimesNewRoman"/>
          <w:i/>
          <w:lang w:eastAsia="zh-TW"/>
        </w:rPr>
        <w:t xml:space="preserve"> subjects were systemic events, unrelated to the study treatment, and considered related to underlying cancer diagnosis or its treatment</w:t>
      </w:r>
      <w:r w:rsidRPr="000F40AE">
        <w:rPr>
          <w:rFonts w:eastAsia="TimesNewRoman" w:cs="TimesNewRoman"/>
          <w:lang w:eastAsia="zh-TW"/>
        </w:rPr>
        <w:t>.”</w:t>
      </w:r>
    </w:p>
    <w:p w:rsidR="0059719E" w:rsidRPr="000F40AE" w:rsidRDefault="0059719E" w:rsidP="0059719E">
      <w:pPr>
        <w:pStyle w:val="Heading6"/>
      </w:pPr>
      <w:r w:rsidRPr="000F40AE">
        <w:t>Evaluator’s comments</w:t>
      </w:r>
    </w:p>
    <w:p w:rsidR="0059719E" w:rsidRPr="000F40AE" w:rsidRDefault="0059719E" w:rsidP="0059719E">
      <w:r w:rsidRPr="000F40AE">
        <w:t xml:space="preserve">The data presented on mild, moderate and severe AEs did not reveal any new safety issues. The data on the higher incidence of AEs and in particular eye disorders in the </w:t>
      </w:r>
      <w:r>
        <w:t xml:space="preserve">post chemotherapy </w:t>
      </w:r>
      <w:r w:rsidRPr="000F40AE">
        <w:t xml:space="preserve">population needs to be included in the PI and cover adverse events not adverse reactions (as discussed </w:t>
      </w:r>
      <w:r>
        <w:t>above</w:t>
      </w:r>
      <w:r w:rsidRPr="000F40AE">
        <w:t>).</w:t>
      </w:r>
    </w:p>
    <w:p w:rsidR="0059719E" w:rsidRPr="000F40AE" w:rsidRDefault="0059719E" w:rsidP="0059719E">
      <w:pPr>
        <w:pStyle w:val="Heading5"/>
      </w:pPr>
      <w:bookmarkStart w:id="155" w:name="_Toc385334178"/>
      <w:r w:rsidRPr="000F40AE">
        <w:lastRenderedPageBreak/>
        <w:t xml:space="preserve">Question </w:t>
      </w:r>
      <w:r>
        <w:t>3 P</w:t>
      </w:r>
      <w:r w:rsidRPr="000F40AE">
        <w:t xml:space="preserve">art </w:t>
      </w:r>
      <w:r>
        <w:t>B</w:t>
      </w:r>
      <w:r w:rsidRPr="000F40AE">
        <w:t>.</w:t>
      </w:r>
      <w:bookmarkEnd w:id="155"/>
    </w:p>
    <w:p w:rsidR="0059719E" w:rsidRPr="000F40AE" w:rsidRDefault="0059719E" w:rsidP="0059719E">
      <w:pPr>
        <w:pStyle w:val="Heading6"/>
      </w:pPr>
      <w:r w:rsidRPr="000F40AE">
        <w:t>Sponsor’s response</w:t>
      </w:r>
    </w:p>
    <w:p w:rsidR="0059719E" w:rsidRDefault="0059719E" w:rsidP="0059719E">
      <w:r w:rsidRPr="000F40AE">
        <w:t xml:space="preserve">Studies 192024-032, -038, and -039 included 47 Asian subjects (6.4% of the overall safety population) Subgroup analyses of adverse events indicated no difference in overall adverse event reporting rate in Asian subjects </w:t>
      </w:r>
      <w:r w:rsidRPr="00AC1C98">
        <w:t xml:space="preserve">(Table </w:t>
      </w:r>
      <w:r>
        <w:t>9</w:t>
      </w:r>
      <w:r w:rsidRPr="00AC1C98">
        <w:t>). Comparing</w:t>
      </w:r>
      <w:r w:rsidRPr="000F40AE">
        <w:t xml:space="preserve"> data from the two Japanese studies (192042-059 and 192024-067) to the studies conducted in the US and EU, the adverse event rate was comparable in the Japanese population with idiopathic </w:t>
      </w:r>
      <w:proofErr w:type="spellStart"/>
      <w:r w:rsidRPr="00AC1C98">
        <w:t>hypotrichosis</w:t>
      </w:r>
      <w:proofErr w:type="spellEnd"/>
      <w:r w:rsidRPr="00AC1C98">
        <w:t xml:space="preserve"> (Table </w:t>
      </w:r>
      <w:r>
        <w:t>10</w:t>
      </w:r>
      <w:r w:rsidRPr="00AC1C98">
        <w:t>). The</w:t>
      </w:r>
      <w:r w:rsidRPr="000F40AE">
        <w:t xml:space="preserve"> AE rate was higher in the Japanese </w:t>
      </w:r>
      <w:r>
        <w:t xml:space="preserve">post chemotherapy </w:t>
      </w:r>
      <w:r w:rsidRPr="000F40AE">
        <w:t xml:space="preserve">group however in this population the vehicle treated subjects had a higher AE rate than the </w:t>
      </w:r>
      <w:proofErr w:type="spellStart"/>
      <w:r w:rsidRPr="000F40AE">
        <w:t>bimatoprost</w:t>
      </w:r>
      <w:proofErr w:type="spellEnd"/>
      <w:r w:rsidRPr="000F40AE">
        <w:t xml:space="preserve"> group (72%</w:t>
      </w:r>
      <w:r>
        <w:t xml:space="preserve"> versus </w:t>
      </w:r>
      <w:r w:rsidRPr="000F40AE">
        <w:t xml:space="preserve">61%) </w:t>
      </w:r>
      <w:r w:rsidRPr="00AC1C98">
        <w:t xml:space="preserve">(Table </w:t>
      </w:r>
      <w:r>
        <w:t>10</w:t>
      </w:r>
      <w:r w:rsidRPr="00AC1C98">
        <w:t>). The</w:t>
      </w:r>
      <w:r w:rsidRPr="000F40AE">
        <w:t xml:space="preserve"> AE profile was similar between the Japanese study and the integrated safety database for the idiopathic population </w:t>
      </w:r>
      <w:r w:rsidRPr="00AC1C98">
        <w:t xml:space="preserve">(Table </w:t>
      </w:r>
      <w:r>
        <w:t>11</w:t>
      </w:r>
      <w:r w:rsidRPr="00AC1C98">
        <w:t>).</w:t>
      </w:r>
      <w:r w:rsidRPr="000F40AE">
        <w:t xml:space="preserve"> Data were presented for the </w:t>
      </w:r>
      <w:r>
        <w:t xml:space="preserve">post chemotherapy </w:t>
      </w:r>
      <w:r w:rsidRPr="000F40AE">
        <w:t>population however the numbers are too small to draw conclusions</w:t>
      </w:r>
      <w:r>
        <w:t>. The s</w:t>
      </w:r>
      <w:r w:rsidRPr="000F40AE">
        <w:t xml:space="preserve">ponsor concludes that </w:t>
      </w:r>
    </w:p>
    <w:p w:rsidR="0059719E" w:rsidRDefault="0059719E" w:rsidP="0059719E">
      <w:pPr>
        <w:rPr>
          <w:rFonts w:eastAsia="TimesNewRoman" w:cs="TimesNewRoman"/>
          <w:i/>
          <w:color w:val="000000"/>
          <w:lang w:eastAsia="zh-TW"/>
        </w:rPr>
      </w:pPr>
      <w:r w:rsidRPr="000F40AE">
        <w:t>“</w:t>
      </w:r>
      <w:r w:rsidRPr="000F40AE">
        <w:rPr>
          <w:i/>
        </w:rPr>
        <w:t>the</w:t>
      </w:r>
      <w:r w:rsidRPr="000F40AE">
        <w:t xml:space="preserve"> </w:t>
      </w:r>
      <w:r w:rsidRPr="000F40AE">
        <w:rPr>
          <w:rFonts w:eastAsia="TimesNewRoman" w:cs="TimesNewRoman"/>
          <w:i/>
          <w:color w:val="000000"/>
          <w:lang w:eastAsia="zh-TW"/>
        </w:rPr>
        <w:t xml:space="preserve">safety profile of </w:t>
      </w:r>
      <w:proofErr w:type="spellStart"/>
      <w:r>
        <w:rPr>
          <w:rFonts w:eastAsia="TimesNewRoman" w:cs="TimesNewRoman"/>
          <w:i/>
          <w:color w:val="000000"/>
          <w:lang w:eastAsia="zh-TW"/>
        </w:rPr>
        <w:t>Latisse</w:t>
      </w:r>
      <w:proofErr w:type="spellEnd"/>
      <w:r w:rsidRPr="000F40AE">
        <w:rPr>
          <w:rFonts w:eastAsia="TimesNewRoman" w:cs="TimesNewRoman"/>
          <w:i/>
          <w:color w:val="000000"/>
          <w:lang w:eastAsia="zh-TW"/>
        </w:rPr>
        <w:t xml:space="preserve"> has been demonstrated to be similar in the populations of Studies </w:t>
      </w:r>
      <w:r w:rsidRPr="000F40AE">
        <w:rPr>
          <w:rFonts w:eastAsia="TimesNewRoman" w:cs="TimesNewRoman"/>
          <w:i/>
          <w:lang w:eastAsia="zh-TW"/>
        </w:rPr>
        <w:t>192024-059</w:t>
      </w:r>
      <w:r w:rsidRPr="000F40AE">
        <w:rPr>
          <w:rFonts w:eastAsia="TimesNewRoman" w:cs="TimesNewRoman"/>
          <w:i/>
          <w:color w:val="0000FF"/>
          <w:lang w:eastAsia="zh-TW"/>
        </w:rPr>
        <w:t xml:space="preserve"> </w:t>
      </w:r>
      <w:r w:rsidRPr="000F40AE">
        <w:rPr>
          <w:rFonts w:eastAsia="TimesNewRoman" w:cs="TimesNewRoman"/>
          <w:i/>
          <w:color w:val="000000"/>
          <w:lang w:eastAsia="zh-TW"/>
        </w:rPr>
        <w:t xml:space="preserve">(idiopathic </w:t>
      </w:r>
      <w:proofErr w:type="spellStart"/>
      <w:r w:rsidRPr="000F40AE">
        <w:rPr>
          <w:rFonts w:eastAsia="TimesNewRoman" w:cs="TimesNewRoman"/>
          <w:i/>
          <w:color w:val="000000"/>
          <w:lang w:eastAsia="zh-TW"/>
        </w:rPr>
        <w:t>hypotrichosis</w:t>
      </w:r>
      <w:proofErr w:type="spellEnd"/>
      <w:r w:rsidRPr="000F40AE">
        <w:rPr>
          <w:rFonts w:eastAsia="TimesNewRoman" w:cs="TimesNewRoman"/>
          <w:i/>
          <w:color w:val="000000"/>
          <w:lang w:eastAsia="zh-TW"/>
        </w:rPr>
        <w:t xml:space="preserve"> subjects) and 192024-067(</w:t>
      </w:r>
      <w:proofErr w:type="spellStart"/>
      <w:r w:rsidRPr="000F40AE">
        <w:rPr>
          <w:rFonts w:eastAsia="TimesNewRoman" w:cs="TimesNewRoman"/>
          <w:i/>
          <w:color w:val="000000"/>
          <w:lang w:eastAsia="zh-TW"/>
        </w:rPr>
        <w:t>postchemotherapy</w:t>
      </w:r>
      <w:proofErr w:type="spellEnd"/>
      <w:r w:rsidRPr="000F40AE">
        <w:rPr>
          <w:rFonts w:eastAsia="TimesNewRoman" w:cs="TimesNewRoman"/>
          <w:i/>
          <w:color w:val="000000"/>
          <w:lang w:eastAsia="zh-TW"/>
        </w:rPr>
        <w:t xml:space="preserve"> subjects) (in Japan) compared with the populations of the integrated studies of </w:t>
      </w:r>
      <w:proofErr w:type="spellStart"/>
      <w:r>
        <w:rPr>
          <w:rFonts w:eastAsia="TimesNewRoman" w:cs="TimesNewRoman"/>
          <w:i/>
          <w:color w:val="000000"/>
          <w:lang w:eastAsia="zh-TW"/>
        </w:rPr>
        <w:t>Latisse</w:t>
      </w:r>
      <w:proofErr w:type="spellEnd"/>
      <w:r w:rsidRPr="000F40AE">
        <w:rPr>
          <w:rFonts w:eastAsia="TimesNewRoman" w:cs="TimesNewRoman"/>
          <w:i/>
          <w:color w:val="000000"/>
          <w:lang w:eastAsia="zh-TW"/>
        </w:rPr>
        <w:t xml:space="preserve"> (192024-032, -038, and -039; in US and EU) presented in the current submission. Thus, Allergan believes that there is no need to include specific safety information relating to the Asian racial group in the product information</w:t>
      </w:r>
      <w:r>
        <w:rPr>
          <w:rFonts w:eastAsia="TimesNewRoman" w:cs="TimesNewRoman"/>
          <w:i/>
          <w:color w:val="000000"/>
          <w:lang w:eastAsia="zh-TW"/>
        </w:rPr>
        <w:t>.</w:t>
      </w:r>
    </w:p>
    <w:p w:rsidR="0059719E" w:rsidRDefault="0059719E" w:rsidP="0059719E">
      <w:pPr>
        <w:pStyle w:val="TableTitle"/>
        <w:rPr>
          <w:rFonts w:eastAsia="TimesNewRoman" w:cs="TimesNewRoman"/>
          <w:i/>
          <w:color w:val="000000"/>
          <w:lang w:eastAsia="zh-TW"/>
        </w:rPr>
      </w:pPr>
      <w:r w:rsidRPr="00AC1C98">
        <w:t xml:space="preserve">Table </w:t>
      </w:r>
      <w:r>
        <w:t>9</w:t>
      </w:r>
      <w:r w:rsidRPr="00AC1C98">
        <w:t xml:space="preserve">. Number (%) of subjects with key adverse events in the integrated </w:t>
      </w:r>
      <w:proofErr w:type="spellStart"/>
      <w:r w:rsidRPr="00AC1C98">
        <w:t>Latisse</w:t>
      </w:r>
      <w:proofErr w:type="spellEnd"/>
      <w:r w:rsidRPr="00AC1C98">
        <w:t xml:space="preserve"> studies, Overall population and Asian subpopulation</w:t>
      </w:r>
      <w:r>
        <w:t xml:space="preserve"> (Safety population).</w:t>
      </w:r>
    </w:p>
    <w:p w:rsidR="0059719E" w:rsidRDefault="0059719E" w:rsidP="001A3D87">
      <w:r>
        <w:rPr>
          <w:noProof/>
          <w:lang w:eastAsia="en-AU"/>
        </w:rPr>
        <w:drawing>
          <wp:inline distT="0" distB="0" distL="0" distR="0" wp14:anchorId="3F9668BC" wp14:editId="083CDCFA">
            <wp:extent cx="4186315" cy="3507828"/>
            <wp:effectExtent l="0" t="0" r="0" b="0"/>
            <wp:docPr id="38" name="Picture 38" descr="Table 9. Number (%) of subjects with key adverse events in the integrated Latisse studies, Overall population and Asian subpopulatio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88050" cy="3509282"/>
                    </a:xfrm>
                    <a:prstGeom prst="rect">
                      <a:avLst/>
                    </a:prstGeom>
                  </pic:spPr>
                </pic:pic>
              </a:graphicData>
            </a:graphic>
          </wp:inline>
        </w:drawing>
      </w:r>
    </w:p>
    <w:p w:rsidR="0059719E" w:rsidRDefault="0059719E" w:rsidP="0059719E">
      <w:pPr>
        <w:pStyle w:val="TableTitle"/>
        <w:rPr>
          <w:rFonts w:eastAsia="TimesNewRoman" w:cs="TimesNewRoman"/>
          <w:i/>
          <w:color w:val="000000"/>
          <w:lang w:eastAsia="zh-TW"/>
        </w:rPr>
      </w:pPr>
      <w:r>
        <w:lastRenderedPageBreak/>
        <w:t xml:space="preserve">Table 10. </w:t>
      </w:r>
      <w:r w:rsidRPr="00AC1C98">
        <w:t xml:space="preserve">Number (%) of subjects </w:t>
      </w:r>
      <w:r>
        <w:t>reporting</w:t>
      </w:r>
      <w:r w:rsidRPr="00AC1C98">
        <w:t xml:space="preserve"> adverse events</w:t>
      </w:r>
      <w:r>
        <w:t xml:space="preserve"> through Month 4 of Studies 192024-032, -038, -039 (US and EU) and Studies 192024-059 and -067 (Japan) (Safety population).</w:t>
      </w:r>
    </w:p>
    <w:p w:rsidR="0059719E" w:rsidRDefault="0059719E" w:rsidP="0059719E">
      <w:r>
        <w:rPr>
          <w:noProof/>
          <w:lang w:eastAsia="en-AU"/>
        </w:rPr>
        <w:drawing>
          <wp:inline distT="0" distB="0" distL="0" distR="0" wp14:anchorId="21F60CC8" wp14:editId="775523B4">
            <wp:extent cx="4642945" cy="1485643"/>
            <wp:effectExtent l="0" t="0" r="0" b="0"/>
            <wp:docPr id="39" name="Picture 39" descr="Table 10. Number (%) of subjects reporting adverse events through Month 4 of Studies 192024-021, -038, -039 (US and EU) and Studies 192024-059 and -067 (Japa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43548" cy="1485836"/>
                    </a:xfrm>
                    <a:prstGeom prst="rect">
                      <a:avLst/>
                    </a:prstGeom>
                  </pic:spPr>
                </pic:pic>
              </a:graphicData>
            </a:graphic>
          </wp:inline>
        </w:drawing>
      </w:r>
    </w:p>
    <w:p w:rsidR="0059719E" w:rsidRDefault="0059719E" w:rsidP="0059719E">
      <w:pPr>
        <w:pStyle w:val="TableTitle"/>
      </w:pPr>
      <w:r>
        <w:t xml:space="preserve">Table 11. Number of idiopathic </w:t>
      </w:r>
      <w:proofErr w:type="spellStart"/>
      <w:r>
        <w:t>hypotrichosis</w:t>
      </w:r>
      <w:proofErr w:type="spellEnd"/>
      <w:r>
        <w:t xml:space="preserve"> subjects in Study 192024-059 and the Integrated safety database reporting common (≥2% in either treatment group in either study/integrated database) adverse events through Month 4 of treatment (Safety population)</w:t>
      </w:r>
    </w:p>
    <w:p w:rsidR="0059719E" w:rsidRDefault="0059719E" w:rsidP="0059719E">
      <w:r>
        <w:rPr>
          <w:noProof/>
          <w:lang w:eastAsia="en-AU"/>
        </w:rPr>
        <w:drawing>
          <wp:inline distT="0" distB="0" distL="0" distR="0" wp14:anchorId="1847A26F" wp14:editId="0F2F4156">
            <wp:extent cx="4772025" cy="5688704"/>
            <wp:effectExtent l="0" t="0" r="0" b="7620"/>
            <wp:docPr id="41" name="Picture 41" descr="Table 11. Number of idiopathic hypotrichosis subjects in Study 192024-059 and the Integrated safety database reporting common (≥2% in either treatment group in either study/integrated database) adverse events through Month 4 of treatmen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75759" cy="5693156"/>
                    </a:xfrm>
                    <a:prstGeom prst="rect">
                      <a:avLst/>
                    </a:prstGeom>
                  </pic:spPr>
                </pic:pic>
              </a:graphicData>
            </a:graphic>
          </wp:inline>
        </w:drawing>
      </w:r>
    </w:p>
    <w:p w:rsidR="0059719E" w:rsidRPr="000F40AE" w:rsidRDefault="0059719E" w:rsidP="0059719E">
      <w:pPr>
        <w:pStyle w:val="Heading6"/>
      </w:pPr>
      <w:r w:rsidRPr="000F40AE">
        <w:lastRenderedPageBreak/>
        <w:t>Evaluator’s comments</w:t>
      </w:r>
    </w:p>
    <w:p w:rsidR="0059719E" w:rsidRPr="000F40AE" w:rsidRDefault="0059719E" w:rsidP="0059719E">
      <w:r w:rsidRPr="000F40AE">
        <w:t>The evaluator agrees that there do not appear to be any specific safety issues in Asian subjects.</w:t>
      </w:r>
    </w:p>
    <w:p w:rsidR="0059719E" w:rsidRPr="000F40AE" w:rsidRDefault="0059719E" w:rsidP="0059719E">
      <w:pPr>
        <w:pStyle w:val="Heading5"/>
      </w:pPr>
      <w:bookmarkStart w:id="156" w:name="_Toc385334179"/>
      <w:r w:rsidRPr="000F40AE">
        <w:t xml:space="preserve">Question </w:t>
      </w:r>
      <w:r>
        <w:t>3</w:t>
      </w:r>
      <w:r w:rsidRPr="000F40AE">
        <w:t xml:space="preserve"> </w:t>
      </w:r>
      <w:r>
        <w:t>P</w:t>
      </w:r>
      <w:r w:rsidRPr="000F40AE">
        <w:t xml:space="preserve">art </w:t>
      </w:r>
      <w:r>
        <w:t>C</w:t>
      </w:r>
      <w:r w:rsidRPr="000F40AE">
        <w:t>.</w:t>
      </w:r>
      <w:bookmarkEnd w:id="156"/>
    </w:p>
    <w:p w:rsidR="0059719E" w:rsidRPr="000F40AE" w:rsidRDefault="0059719E" w:rsidP="0059719E">
      <w:pPr>
        <w:pStyle w:val="Heading6"/>
      </w:pPr>
      <w:r w:rsidRPr="000F40AE">
        <w:t>Sponsor’s response</w:t>
      </w:r>
    </w:p>
    <w:p w:rsidR="0059719E" w:rsidRPr="000F40AE" w:rsidRDefault="0059719E" w:rsidP="0059719E">
      <w:r>
        <w:t>The s</w:t>
      </w:r>
      <w:r w:rsidRPr="000F40AE">
        <w:t xml:space="preserve">ponsor states the safety profile of </w:t>
      </w:r>
      <w:proofErr w:type="spellStart"/>
      <w:r w:rsidRPr="000F40AE">
        <w:t>bimatoprost</w:t>
      </w:r>
      <w:proofErr w:type="spellEnd"/>
      <w:r w:rsidRPr="000F40AE">
        <w:t xml:space="preserve"> is similar across racial groups, apart from the increased rat</w:t>
      </w:r>
      <w:r>
        <w:t>e of skin hyperpigmentation in B</w:t>
      </w:r>
      <w:r w:rsidRPr="000F40AE">
        <w:t xml:space="preserve">lack </w:t>
      </w:r>
      <w:r w:rsidRPr="00B47BFD">
        <w:t>subjects (Table 12).</w:t>
      </w:r>
      <w:r w:rsidRPr="000F40AE">
        <w:t xml:space="preserve"> It was stated that </w:t>
      </w:r>
      <w:proofErr w:type="spellStart"/>
      <w:r w:rsidRPr="000F40AE">
        <w:t>bimatoprost</w:t>
      </w:r>
      <w:proofErr w:type="spellEnd"/>
      <w:r w:rsidRPr="000F40AE">
        <w:t xml:space="preserve"> results in increased </w:t>
      </w:r>
      <w:proofErr w:type="spellStart"/>
      <w:r w:rsidRPr="000F40AE">
        <w:t>melanogenesis</w:t>
      </w:r>
      <w:proofErr w:type="spellEnd"/>
      <w:r w:rsidRPr="000F40AE">
        <w:t xml:space="preserve"> and transfer of melanosomes to basal keratinocytes in the absence of melanocyte proliferation and atypia. This is via a direct effect on the enzyme </w:t>
      </w:r>
      <w:proofErr w:type="spellStart"/>
      <w:r w:rsidRPr="000F40AE">
        <w:t>tyrosinase</w:t>
      </w:r>
      <w:proofErr w:type="spellEnd"/>
      <w:r w:rsidRPr="000F40AE">
        <w:t>. Due to the increased melanin in dark skin, a higher incidence of skin pigmentation change is expected.</w:t>
      </w:r>
    </w:p>
    <w:p w:rsidR="0059719E" w:rsidRDefault="0059719E" w:rsidP="0059719E">
      <w:pPr>
        <w:rPr>
          <w:i/>
        </w:rPr>
      </w:pPr>
      <w:r w:rsidRPr="000F40AE">
        <w:rPr>
          <w:i/>
        </w:rPr>
        <w:t xml:space="preserve">“In the Adverse Effects section of the proposed PI for </w:t>
      </w:r>
      <w:proofErr w:type="spellStart"/>
      <w:r>
        <w:rPr>
          <w:i/>
        </w:rPr>
        <w:t>Latisse</w:t>
      </w:r>
      <w:proofErr w:type="spellEnd"/>
      <w:r w:rsidRPr="000F40AE">
        <w:rPr>
          <w:i/>
        </w:rPr>
        <w:t xml:space="preserve">, it is stated that “The incidence of peri-ocular skin pigmentation was higher in </w:t>
      </w:r>
      <w:r w:rsidR="00D81834">
        <w:rPr>
          <w:i/>
        </w:rPr>
        <w:t>African-American</w:t>
      </w:r>
      <w:r w:rsidRPr="000F40AE">
        <w:rPr>
          <w:i/>
        </w:rPr>
        <w:t xml:space="preserve"> patients compared with Caucasian patients (16.0% v</w:t>
      </w:r>
      <w:r w:rsidR="00D81834">
        <w:rPr>
          <w:i/>
        </w:rPr>
        <w:t>ersus</w:t>
      </w:r>
      <w:r w:rsidRPr="000F40AE">
        <w:rPr>
          <w:i/>
        </w:rPr>
        <w:t xml:space="preserve"> 1.0%).”</w:t>
      </w:r>
    </w:p>
    <w:p w:rsidR="0059719E" w:rsidRDefault="0059719E" w:rsidP="0059719E">
      <w:pPr>
        <w:pStyle w:val="TableTitle"/>
      </w:pPr>
      <w:r>
        <w:t>Table 12</w:t>
      </w:r>
      <w:r w:rsidRPr="00AC1C98">
        <w:t xml:space="preserve">. Number (%) of subjects with key adverse events in the integrated </w:t>
      </w:r>
      <w:proofErr w:type="spellStart"/>
      <w:r w:rsidRPr="00AC1C98">
        <w:t>Latisse</w:t>
      </w:r>
      <w:proofErr w:type="spellEnd"/>
      <w:r w:rsidRPr="00AC1C98">
        <w:t xml:space="preserve"> studies by Race (Safety population)</w:t>
      </w:r>
    </w:p>
    <w:p w:rsidR="0059719E" w:rsidRDefault="0059719E" w:rsidP="001A3D87">
      <w:r>
        <w:rPr>
          <w:noProof/>
          <w:lang w:eastAsia="en-AU"/>
        </w:rPr>
        <w:drawing>
          <wp:inline distT="0" distB="0" distL="0" distR="0" wp14:anchorId="22EA3EE2" wp14:editId="0F7B3840">
            <wp:extent cx="4264590" cy="5155324"/>
            <wp:effectExtent l="0" t="0" r="0" b="0"/>
            <wp:docPr id="37" name="Picture 37" descr="Table 12. Number (%) of subjects with key adverse events in the integrated Latisse studies by Ra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65144" cy="5155993"/>
                    </a:xfrm>
                    <a:prstGeom prst="rect">
                      <a:avLst/>
                    </a:prstGeom>
                  </pic:spPr>
                </pic:pic>
              </a:graphicData>
            </a:graphic>
          </wp:inline>
        </w:drawing>
      </w:r>
    </w:p>
    <w:p w:rsidR="0059719E" w:rsidRPr="000F40AE" w:rsidRDefault="0059719E" w:rsidP="0059719E">
      <w:pPr>
        <w:pStyle w:val="Heading6"/>
      </w:pPr>
      <w:r>
        <w:t>Evaluator’s comments</w:t>
      </w:r>
    </w:p>
    <w:p w:rsidR="0059719E" w:rsidRPr="000F40AE" w:rsidRDefault="0059719E" w:rsidP="0059719E">
      <w:r w:rsidRPr="000F40AE">
        <w:t xml:space="preserve">The evaluator accepts the reasoning for the skin pigmentation changes in </w:t>
      </w:r>
      <w:r w:rsidR="00D81834">
        <w:t>African-American</w:t>
      </w:r>
      <w:r w:rsidR="00D81834" w:rsidRPr="000F40AE">
        <w:t xml:space="preserve"> </w:t>
      </w:r>
      <w:r w:rsidRPr="000F40AE">
        <w:t>subjects.</w:t>
      </w:r>
    </w:p>
    <w:p w:rsidR="0059719E" w:rsidRPr="000F40AE" w:rsidRDefault="0059719E" w:rsidP="0059719E">
      <w:pPr>
        <w:pStyle w:val="Heading5"/>
      </w:pPr>
      <w:bookmarkStart w:id="157" w:name="_Toc385334180"/>
      <w:r w:rsidRPr="000F40AE">
        <w:lastRenderedPageBreak/>
        <w:t xml:space="preserve">Question </w:t>
      </w:r>
      <w:r>
        <w:t>4</w:t>
      </w:r>
      <w:bookmarkEnd w:id="157"/>
    </w:p>
    <w:p w:rsidR="0059719E" w:rsidRPr="000F40AE" w:rsidRDefault="0059719E" w:rsidP="0059719E">
      <w:pPr>
        <w:pStyle w:val="Heading6"/>
      </w:pPr>
      <w:r w:rsidRPr="000F40AE">
        <w:t>Sponsor’s response</w:t>
      </w:r>
    </w:p>
    <w:p w:rsidR="0059719E" w:rsidRPr="000F40AE" w:rsidRDefault="0059719E" w:rsidP="0059719E">
      <w:r w:rsidRPr="000F40AE">
        <w:t xml:space="preserve">There were 17 SAEs in </w:t>
      </w:r>
      <w:proofErr w:type="spellStart"/>
      <w:r w:rsidRPr="000F40AE">
        <w:t>bimatoprost</w:t>
      </w:r>
      <w:proofErr w:type="spellEnd"/>
      <w:r w:rsidRPr="000F40AE">
        <w:t xml:space="preserve">-treated </w:t>
      </w:r>
      <w:r>
        <w:t xml:space="preserve">post chemotherapy </w:t>
      </w:r>
      <w:r w:rsidRPr="000F40AE">
        <w:t xml:space="preserve">subjects, 9 attributed to underlying cancer history and 8 related to medical history. None were considered related to </w:t>
      </w:r>
      <w:proofErr w:type="spellStart"/>
      <w:r>
        <w:t>Latisse</w:t>
      </w:r>
      <w:proofErr w:type="spellEnd"/>
      <w:r w:rsidRPr="000F40AE">
        <w:t xml:space="preserve">. In addition, in the </w:t>
      </w:r>
      <w:r>
        <w:t xml:space="preserve">post chemotherapy </w:t>
      </w:r>
      <w:r w:rsidRPr="000F40AE">
        <w:t xml:space="preserve">group the rate of SAEs during the second 6 months of </w:t>
      </w:r>
      <w:proofErr w:type="spellStart"/>
      <w:r w:rsidRPr="000F40AE">
        <w:t>bimatoprost</w:t>
      </w:r>
      <w:proofErr w:type="spellEnd"/>
      <w:r w:rsidRPr="000F40AE">
        <w:t xml:space="preserve"> treatment was similar to the first 6 months (6.7%</w:t>
      </w:r>
      <w:r>
        <w:t xml:space="preserve"> versus </w:t>
      </w:r>
      <w:r w:rsidRPr="000F40AE">
        <w:t>8.6%).</w:t>
      </w:r>
    </w:p>
    <w:p w:rsidR="0059719E" w:rsidRPr="000F40AE" w:rsidRDefault="0059719E" w:rsidP="0059719E">
      <w:r>
        <w:t>The s</w:t>
      </w:r>
      <w:r w:rsidRPr="000F40AE">
        <w:t>ponsor stated that “</w:t>
      </w:r>
      <w:r w:rsidRPr="000F40AE">
        <w:rPr>
          <w:rFonts w:eastAsia="TimesNewRoman" w:cs="TimesNewRoman"/>
          <w:i/>
          <w:lang w:eastAsia="zh-TW"/>
        </w:rPr>
        <w:t xml:space="preserve">Allergan believes that the greater serious adverse event reporting rate in the </w:t>
      </w:r>
      <w:proofErr w:type="spellStart"/>
      <w:r w:rsidRPr="000F40AE">
        <w:rPr>
          <w:rFonts w:eastAsia="TimesNewRoman" w:cs="TimesNewRoman"/>
          <w:i/>
          <w:lang w:eastAsia="zh-TW"/>
        </w:rPr>
        <w:t>postchemotherapy</w:t>
      </w:r>
      <w:proofErr w:type="spellEnd"/>
      <w:r w:rsidRPr="000F40AE">
        <w:rPr>
          <w:rFonts w:eastAsia="TimesNewRoman" w:cs="TimesNewRoman"/>
          <w:i/>
          <w:lang w:eastAsia="zh-TW"/>
        </w:rPr>
        <w:t xml:space="preserve"> population in Study 192024-038 compared with idiopathic </w:t>
      </w:r>
      <w:proofErr w:type="spellStart"/>
      <w:r w:rsidRPr="000F40AE">
        <w:rPr>
          <w:rFonts w:eastAsia="TimesNewRoman" w:cs="TimesNewRoman"/>
          <w:i/>
          <w:lang w:eastAsia="zh-TW"/>
        </w:rPr>
        <w:t>hypotrichosis</w:t>
      </w:r>
      <w:proofErr w:type="spellEnd"/>
      <w:r w:rsidRPr="000F40AE">
        <w:rPr>
          <w:rFonts w:eastAsia="TimesNewRoman" w:cs="TimesNewRoman"/>
          <w:i/>
          <w:lang w:eastAsia="zh-TW"/>
        </w:rPr>
        <w:t xml:space="preserve"> population in Studies 192024-032, -038, and -039 is related to the underlying diagnosis of cancer as well as complications from its recurrence or treatment in the </w:t>
      </w:r>
      <w:proofErr w:type="spellStart"/>
      <w:r w:rsidRPr="000F40AE">
        <w:rPr>
          <w:rFonts w:eastAsia="TimesNewRoman" w:cs="TimesNewRoman"/>
          <w:i/>
          <w:lang w:eastAsia="zh-TW"/>
        </w:rPr>
        <w:t>postchemotherapy</w:t>
      </w:r>
      <w:proofErr w:type="spellEnd"/>
      <w:r w:rsidRPr="000F40AE">
        <w:rPr>
          <w:rFonts w:eastAsia="TimesNewRoman" w:cs="TimesNewRoman"/>
          <w:i/>
          <w:lang w:eastAsia="zh-TW"/>
        </w:rPr>
        <w:t xml:space="preserve"> subjects. All of serious adverse events reported in the </w:t>
      </w:r>
      <w:proofErr w:type="spellStart"/>
      <w:r w:rsidRPr="000F40AE">
        <w:rPr>
          <w:rFonts w:eastAsia="TimesNewRoman" w:cs="TimesNewRoman"/>
          <w:i/>
          <w:lang w:eastAsia="zh-TW"/>
        </w:rPr>
        <w:t>bimatoprost</w:t>
      </w:r>
      <w:proofErr w:type="spellEnd"/>
      <w:r w:rsidRPr="000F40AE">
        <w:rPr>
          <w:rFonts w:eastAsia="TimesNewRoman" w:cs="TimesNewRoman"/>
          <w:i/>
          <w:lang w:eastAsia="zh-TW"/>
        </w:rPr>
        <w:t xml:space="preserve">-treated </w:t>
      </w:r>
      <w:proofErr w:type="spellStart"/>
      <w:r w:rsidRPr="000F40AE">
        <w:rPr>
          <w:rFonts w:eastAsia="TimesNewRoman" w:cs="TimesNewRoman"/>
          <w:i/>
          <w:lang w:eastAsia="zh-TW"/>
        </w:rPr>
        <w:t>postchemotherapy</w:t>
      </w:r>
      <w:proofErr w:type="spellEnd"/>
      <w:r w:rsidRPr="000F40AE">
        <w:rPr>
          <w:rFonts w:eastAsia="TimesNewRoman" w:cs="TimesNewRoman"/>
          <w:i/>
          <w:lang w:eastAsia="zh-TW"/>
        </w:rPr>
        <w:t xml:space="preserve"> subjects could be either directly attributed or considered as likely to be related to cancer or complications from its treatment. When serious adverse event reporting rates are compared in the </w:t>
      </w:r>
      <w:proofErr w:type="spellStart"/>
      <w:r w:rsidRPr="000F40AE">
        <w:rPr>
          <w:rFonts w:eastAsia="TimesNewRoman" w:cs="TimesNewRoman"/>
          <w:i/>
          <w:lang w:eastAsia="zh-TW"/>
        </w:rPr>
        <w:t>postchemotherapy</w:t>
      </w:r>
      <w:proofErr w:type="spellEnd"/>
      <w:r w:rsidRPr="000F40AE">
        <w:rPr>
          <w:rFonts w:eastAsia="TimesNewRoman" w:cs="TimesNewRoman"/>
          <w:i/>
          <w:lang w:eastAsia="zh-TW"/>
        </w:rPr>
        <w:t xml:space="preserve"> population using a 6-month treatment duration in the </w:t>
      </w:r>
      <w:proofErr w:type="spellStart"/>
      <w:r w:rsidRPr="000F40AE">
        <w:rPr>
          <w:rFonts w:eastAsia="TimesNewRoman" w:cs="TimesNewRoman"/>
          <w:i/>
          <w:lang w:eastAsia="zh-TW"/>
        </w:rPr>
        <w:t>bimatoprost</w:t>
      </w:r>
      <w:proofErr w:type="spellEnd"/>
      <w:r w:rsidRPr="000F40AE">
        <w:rPr>
          <w:rFonts w:eastAsia="TimesNewRoman" w:cs="TimesNewRoman"/>
          <w:i/>
          <w:lang w:eastAsia="zh-TW"/>
        </w:rPr>
        <w:t xml:space="preserve"> and vehicle groups, the reporting rates are similar (8.6% versus 6.1%), which further supports the assessment of no causal relationship between the serious adverse events and </w:t>
      </w:r>
      <w:proofErr w:type="spellStart"/>
      <w:r>
        <w:rPr>
          <w:rFonts w:eastAsia="TimesNewRoman" w:cs="TimesNewRoman"/>
          <w:i/>
          <w:lang w:eastAsia="zh-TW"/>
        </w:rPr>
        <w:t>Latisse</w:t>
      </w:r>
      <w:proofErr w:type="spellEnd"/>
      <w:r w:rsidRPr="000F40AE">
        <w:rPr>
          <w:rFonts w:eastAsia="TimesNewRoman" w:cs="TimesNewRoman"/>
          <w:i/>
          <w:lang w:eastAsia="zh-TW"/>
        </w:rPr>
        <w:t xml:space="preserve"> treatment</w:t>
      </w:r>
      <w:r w:rsidRPr="000F40AE">
        <w:rPr>
          <w:rFonts w:eastAsia="TimesNewRoman" w:cs="TimesNewRoman"/>
          <w:lang w:eastAsia="zh-TW"/>
        </w:rPr>
        <w:t>.”</w:t>
      </w:r>
    </w:p>
    <w:p w:rsidR="0059719E" w:rsidRPr="000F40AE" w:rsidRDefault="0059719E" w:rsidP="0059719E">
      <w:pPr>
        <w:pStyle w:val="Heading6"/>
      </w:pPr>
      <w:r w:rsidRPr="000F40AE">
        <w:t>Evaluator’s comments</w:t>
      </w:r>
    </w:p>
    <w:p w:rsidR="0059719E" w:rsidRPr="00586F98" w:rsidRDefault="0059719E" w:rsidP="0059719E">
      <w:pPr>
        <w:rPr>
          <w:lang w:eastAsia="ja-JP"/>
        </w:rPr>
      </w:pPr>
      <w:r w:rsidRPr="000F40AE">
        <w:t xml:space="preserve">The evaluator agrees the SAEs in this population appear related to background medical history. This apparent differential in SAE rates in the </w:t>
      </w:r>
      <w:r>
        <w:t xml:space="preserve">post chemotherapy </w:t>
      </w:r>
      <w:r w:rsidRPr="000F40AE">
        <w:t xml:space="preserve">group between the </w:t>
      </w:r>
      <w:proofErr w:type="spellStart"/>
      <w:r w:rsidRPr="000F40AE">
        <w:t>bimatoprost</w:t>
      </w:r>
      <w:proofErr w:type="spellEnd"/>
      <w:r w:rsidRPr="000F40AE">
        <w:t xml:space="preserve"> and vehicle groups may be a factor of small sample size in the vehicle-treated subjects (n=33).</w:t>
      </w:r>
    </w:p>
    <w:p w:rsidR="0059719E" w:rsidRDefault="0059719E" w:rsidP="0059719E">
      <w:pPr>
        <w:pStyle w:val="Heading4"/>
      </w:pPr>
      <w:bookmarkStart w:id="158" w:name="_Toc385334181"/>
      <w:r>
        <w:t>Second round benefit-risk assessment</w:t>
      </w:r>
      <w:bookmarkEnd w:id="158"/>
    </w:p>
    <w:p w:rsidR="0059719E" w:rsidRPr="000F40AE" w:rsidRDefault="0059719E" w:rsidP="0059719E">
      <w:pPr>
        <w:pStyle w:val="Heading5"/>
      </w:pPr>
      <w:bookmarkStart w:id="159" w:name="_Toc272414709"/>
      <w:bookmarkStart w:id="160" w:name="_Toc290846349"/>
      <w:bookmarkStart w:id="161" w:name="_Toc290888886"/>
      <w:bookmarkStart w:id="162" w:name="_Toc356979986"/>
      <w:bookmarkStart w:id="163" w:name="_Toc385334182"/>
      <w:r w:rsidRPr="000F40AE">
        <w:t>Second round assessment of benefits</w:t>
      </w:r>
      <w:bookmarkEnd w:id="159"/>
      <w:bookmarkEnd w:id="160"/>
      <w:bookmarkEnd w:id="161"/>
      <w:bookmarkEnd w:id="162"/>
      <w:bookmarkEnd w:id="163"/>
    </w:p>
    <w:p w:rsidR="0059719E" w:rsidRPr="000F40AE" w:rsidRDefault="0059719E" w:rsidP="0059719E">
      <w:r w:rsidRPr="000F40AE">
        <w:t xml:space="preserve">After consideration of the responses to clinical questions, the benefits of </w:t>
      </w:r>
      <w:proofErr w:type="spellStart"/>
      <w:r w:rsidRPr="000F40AE">
        <w:t>bimatoprost</w:t>
      </w:r>
      <w:proofErr w:type="spellEnd"/>
      <w:r w:rsidRPr="000F40AE">
        <w:t xml:space="preserve"> 0.03% in the proposed usage are unchanged from those identified </w:t>
      </w:r>
      <w:r>
        <w:t>in the First Round Evaluation</w:t>
      </w:r>
      <w:r w:rsidRPr="000F40AE">
        <w:t>.</w:t>
      </w:r>
    </w:p>
    <w:p w:rsidR="0059719E" w:rsidRPr="000F40AE" w:rsidRDefault="0059719E" w:rsidP="0059719E">
      <w:pPr>
        <w:pStyle w:val="Heading5"/>
      </w:pPr>
      <w:bookmarkStart w:id="164" w:name="_Toc272414710"/>
      <w:bookmarkStart w:id="165" w:name="_Toc290846350"/>
      <w:bookmarkStart w:id="166" w:name="_Toc290888887"/>
      <w:bookmarkStart w:id="167" w:name="_Toc356979987"/>
      <w:bookmarkStart w:id="168" w:name="_Toc385334183"/>
      <w:r w:rsidRPr="000F40AE">
        <w:t>Second round assessment of risks</w:t>
      </w:r>
      <w:bookmarkEnd w:id="164"/>
      <w:bookmarkEnd w:id="165"/>
      <w:bookmarkEnd w:id="166"/>
      <w:bookmarkEnd w:id="167"/>
      <w:bookmarkEnd w:id="168"/>
    </w:p>
    <w:p w:rsidR="0059719E" w:rsidRPr="000F40AE" w:rsidRDefault="0059719E" w:rsidP="0059719E">
      <w:pPr>
        <w:autoSpaceDE w:val="0"/>
        <w:autoSpaceDN w:val="0"/>
        <w:adjustRightInd w:val="0"/>
      </w:pPr>
      <w:r w:rsidRPr="000F40AE">
        <w:t xml:space="preserve">After consideration of the responses to clinical questions, the risks of </w:t>
      </w:r>
      <w:proofErr w:type="spellStart"/>
      <w:r w:rsidRPr="000F40AE">
        <w:t>bimatoprost</w:t>
      </w:r>
      <w:proofErr w:type="spellEnd"/>
      <w:r w:rsidRPr="000F40AE">
        <w:t xml:space="preserve"> 0.03% in the proposed usage are unchanged from those identified </w:t>
      </w:r>
      <w:r>
        <w:t>in the First Round Evaluation</w:t>
      </w:r>
      <w:r w:rsidRPr="000F40AE">
        <w:t xml:space="preserve"> with the exception that efficacy and safety data on </w:t>
      </w:r>
      <w:proofErr w:type="spellStart"/>
      <w:r w:rsidRPr="000F40AE">
        <w:t>bimatoprost</w:t>
      </w:r>
      <w:proofErr w:type="spellEnd"/>
      <w:r w:rsidRPr="000F40AE">
        <w:t xml:space="preserve"> use in Japanese subjects were submitted and found to be in line with overall pivotal studies’ population. </w:t>
      </w:r>
    </w:p>
    <w:p w:rsidR="0059719E" w:rsidRPr="000F40AE" w:rsidRDefault="0059719E" w:rsidP="0059719E">
      <w:pPr>
        <w:pStyle w:val="Heading5"/>
      </w:pPr>
      <w:bookmarkStart w:id="169" w:name="_Toc272414711"/>
      <w:bookmarkStart w:id="170" w:name="_Toc290846351"/>
      <w:bookmarkStart w:id="171" w:name="_Toc290888888"/>
      <w:bookmarkStart w:id="172" w:name="_Toc356979988"/>
      <w:bookmarkStart w:id="173" w:name="_Toc385334184"/>
      <w:r w:rsidRPr="000F40AE">
        <w:t>Second round assessment of benefit-risk balance</w:t>
      </w:r>
      <w:bookmarkEnd w:id="169"/>
      <w:bookmarkEnd w:id="170"/>
      <w:bookmarkEnd w:id="171"/>
      <w:bookmarkEnd w:id="172"/>
      <w:bookmarkEnd w:id="173"/>
    </w:p>
    <w:p w:rsidR="0059719E" w:rsidRPr="000F40AE" w:rsidRDefault="0059719E" w:rsidP="0059719E">
      <w:r w:rsidRPr="000F40AE">
        <w:t xml:space="preserve">The second round of data included a review of AEs by severity and SOC. This did not reveal any new safety issues. The risk of eye disorders has been adequately defined in the draft PI. The severe events in the </w:t>
      </w:r>
      <w:r>
        <w:t xml:space="preserve">post chemotherapy </w:t>
      </w:r>
      <w:r w:rsidRPr="000F40AE">
        <w:t xml:space="preserve">population were examined and appeared related to the underlying medical condition. The data on the higher incidence of AEs, and in particular eye disorders, in the </w:t>
      </w:r>
      <w:r>
        <w:t xml:space="preserve">post chemotherapy </w:t>
      </w:r>
      <w:r w:rsidRPr="000F40AE">
        <w:t>population needs to be included in the PI.</w:t>
      </w:r>
    </w:p>
    <w:p w:rsidR="0059719E" w:rsidRPr="000F40AE" w:rsidRDefault="0059719E" w:rsidP="0059719E">
      <w:r w:rsidRPr="000F40AE">
        <w:t xml:space="preserve">The lack of data in Asian subjects was addressed by the submission of two clinical trials in Japanese subjects. These studies, one in the idiopathic and one in the </w:t>
      </w:r>
      <w:r>
        <w:t xml:space="preserve">post chemotherapy </w:t>
      </w:r>
      <w:r w:rsidRPr="000F40AE">
        <w:t>population, found similar efficacy and no additional safety signals as compared to the EU and US populations. The evaluator agrees that no additional wording is required in the PI in relation to Asian subjects.</w:t>
      </w:r>
    </w:p>
    <w:p w:rsidR="0059719E" w:rsidRPr="000F40AE" w:rsidRDefault="0059719E" w:rsidP="0059719E">
      <w:r w:rsidRPr="000F40AE">
        <w:t>Comments relating to the proposed indication (</w:t>
      </w:r>
      <w:proofErr w:type="spellStart"/>
      <w:r w:rsidRPr="000F40AE">
        <w:rPr>
          <w:i/>
        </w:rPr>
        <w:t>hypotrichosis</w:t>
      </w:r>
      <w:proofErr w:type="spellEnd"/>
      <w:r w:rsidRPr="000F40AE">
        <w:rPr>
          <w:i/>
        </w:rPr>
        <w:t xml:space="preserve"> of the eyelashes by increasing their growth including length, thickness, and darkness)</w:t>
      </w:r>
      <w:r w:rsidRPr="000F40AE">
        <w:t xml:space="preserve"> have not yet been addressed as outlined in the comments on the PI in first round evaluation. The evaluator still </w:t>
      </w:r>
      <w:r w:rsidRPr="000F40AE">
        <w:lastRenderedPageBreak/>
        <w:t xml:space="preserve">recommends that, as subjects with </w:t>
      </w:r>
      <w:proofErr w:type="spellStart"/>
      <w:r w:rsidRPr="000F40AE">
        <w:t>hypotrichosis</w:t>
      </w:r>
      <w:proofErr w:type="spellEnd"/>
      <w:r w:rsidRPr="000F40AE">
        <w:t xml:space="preserve"> from other disorders, such as skin conditions, were excluded from the</w:t>
      </w:r>
      <w:r w:rsidRPr="000F40AE">
        <w:rPr>
          <w:i/>
        </w:rPr>
        <w:t xml:space="preserve"> </w:t>
      </w:r>
      <w:r w:rsidRPr="000F40AE">
        <w:t xml:space="preserve">clinical development program, the indication needs to be clear that treatment is for adult subjects with idiopathic and </w:t>
      </w:r>
      <w:r>
        <w:t xml:space="preserve">post chemotherapy </w:t>
      </w:r>
      <w:proofErr w:type="spellStart"/>
      <w:r w:rsidRPr="000F40AE">
        <w:t>hypotrichosis</w:t>
      </w:r>
      <w:proofErr w:type="spellEnd"/>
      <w:r w:rsidRPr="000F40AE">
        <w:t xml:space="preserve"> only. This should be further covered in the specific section on </w:t>
      </w:r>
      <w:r w:rsidRPr="00B47BFD">
        <w:rPr>
          <w:i/>
        </w:rPr>
        <w:t>Special Populations</w:t>
      </w:r>
      <w:r w:rsidRPr="000F40AE">
        <w:t xml:space="preserve"> in the PI.</w:t>
      </w:r>
    </w:p>
    <w:p w:rsidR="0059719E" w:rsidRPr="000F40AE" w:rsidRDefault="0059719E" w:rsidP="0059719E">
      <w:r w:rsidRPr="000F40AE">
        <w:t>In addition, it is recommended that treatment should be limited to 12 months duration. This is due to clinical data being limited to 12 months, the fact that treatment is not intended to be an ongoing therapy and also to discourage potential excessive or continual use.</w:t>
      </w:r>
    </w:p>
    <w:p w:rsidR="0059719E" w:rsidRPr="00586F98" w:rsidRDefault="0059719E" w:rsidP="0059719E">
      <w:pPr>
        <w:rPr>
          <w:lang w:eastAsia="ja-JP"/>
        </w:rPr>
      </w:pPr>
      <w:r w:rsidRPr="000F40AE">
        <w:t xml:space="preserve">Taking into account these issues, the evaluator continues to find the benefit-risk balance of </w:t>
      </w:r>
      <w:proofErr w:type="spellStart"/>
      <w:r w:rsidRPr="000F40AE">
        <w:t>bimatoprost</w:t>
      </w:r>
      <w:proofErr w:type="spellEnd"/>
      <w:r w:rsidRPr="000F40AE">
        <w:t xml:space="preserve"> 0.03% in the treatment of eyelash </w:t>
      </w:r>
      <w:proofErr w:type="spellStart"/>
      <w:r w:rsidRPr="000F40AE">
        <w:t>hypotrichosis</w:t>
      </w:r>
      <w:proofErr w:type="spellEnd"/>
      <w:r w:rsidRPr="000F40AE">
        <w:t xml:space="preserve"> is positive. This assumes the recommendations outlined regarding the product information, including indication, and CMI are adopted.</w:t>
      </w:r>
    </w:p>
    <w:p w:rsidR="0059719E" w:rsidRDefault="0059719E" w:rsidP="0059719E">
      <w:pPr>
        <w:pStyle w:val="Heading3"/>
      </w:pPr>
      <w:bookmarkStart w:id="174" w:name="_Toc385334185"/>
      <w:bookmarkStart w:id="175" w:name="_Toc388513996"/>
      <w:bookmarkStart w:id="176" w:name="_Toc55464737"/>
      <w:r>
        <w:t>Second round recommendation regarding authorisation</w:t>
      </w:r>
      <w:bookmarkEnd w:id="174"/>
      <w:bookmarkEnd w:id="175"/>
      <w:bookmarkEnd w:id="176"/>
    </w:p>
    <w:p w:rsidR="0059719E" w:rsidRPr="000F40AE" w:rsidRDefault="0059719E" w:rsidP="0059719E">
      <w:r w:rsidRPr="000F40AE">
        <w:t xml:space="preserve">The evaluator recommends approval of authorisation of </w:t>
      </w:r>
      <w:proofErr w:type="spellStart"/>
      <w:r w:rsidRPr="000F40AE">
        <w:t>bimatoprost</w:t>
      </w:r>
      <w:proofErr w:type="spellEnd"/>
      <w:r w:rsidRPr="000F40AE">
        <w:t xml:space="preserve"> ophthalmic solution 0.03% in the treatment of eyelash </w:t>
      </w:r>
      <w:proofErr w:type="spellStart"/>
      <w:r w:rsidRPr="000F40AE">
        <w:t>hypotrichosis</w:t>
      </w:r>
      <w:proofErr w:type="spellEnd"/>
      <w:r w:rsidRPr="000F40AE">
        <w:t xml:space="preserve"> subject to: </w:t>
      </w:r>
    </w:p>
    <w:p w:rsidR="0059719E" w:rsidRPr="000F40AE" w:rsidRDefault="0059719E" w:rsidP="0059719E">
      <w:pPr>
        <w:pStyle w:val="ListBullet"/>
        <w:numPr>
          <w:ilvl w:val="0"/>
          <w:numId w:val="3"/>
        </w:numPr>
      </w:pPr>
      <w:r w:rsidRPr="000F40AE">
        <w:t xml:space="preserve">Adoption of </w:t>
      </w:r>
      <w:r w:rsidRPr="00B47BFD">
        <w:t>changes</w:t>
      </w:r>
      <w:r w:rsidRPr="000F40AE">
        <w:t xml:space="preserve"> suggested for the product information and consumer medicine</w:t>
      </w:r>
      <w:r w:rsidR="00087B4D">
        <w:t xml:space="preserve"> </w:t>
      </w:r>
      <w:r w:rsidRPr="000F40AE">
        <w:t>information .</w:t>
      </w:r>
    </w:p>
    <w:p w:rsidR="0059719E" w:rsidRPr="00586F98" w:rsidRDefault="0059719E" w:rsidP="0059719E">
      <w:pPr>
        <w:pStyle w:val="ListBullet"/>
        <w:numPr>
          <w:ilvl w:val="0"/>
          <w:numId w:val="3"/>
        </w:numPr>
        <w:rPr>
          <w:lang w:eastAsia="ja-JP"/>
        </w:rPr>
      </w:pPr>
      <w:r w:rsidRPr="000F40AE">
        <w:t>Alteration of the indication to include that the product is only to be used in adults, in those patient groups in which it has been studied (idiopathic and post-chemotherapy) and that treatment duration be limited to 12 months.</w:t>
      </w:r>
    </w:p>
    <w:p w:rsidR="0059719E" w:rsidRPr="00E41208" w:rsidRDefault="0059719E" w:rsidP="0059719E">
      <w:pPr>
        <w:pStyle w:val="Heading2"/>
      </w:pPr>
      <w:bookmarkStart w:id="177" w:name="_Toc388513997"/>
      <w:bookmarkStart w:id="178" w:name="_Toc55464738"/>
      <w:r w:rsidRPr="00E41208">
        <w:t xml:space="preserve">V. Pharmacovigilance </w:t>
      </w:r>
      <w:r>
        <w:t>f</w:t>
      </w:r>
      <w:r w:rsidRPr="00E41208">
        <w:t>indings</w:t>
      </w:r>
      <w:bookmarkEnd w:id="116"/>
      <w:bookmarkEnd w:id="117"/>
      <w:bookmarkEnd w:id="177"/>
      <w:bookmarkEnd w:id="178"/>
    </w:p>
    <w:p w:rsidR="0059719E" w:rsidRDefault="0059719E" w:rsidP="0059719E">
      <w:pPr>
        <w:pStyle w:val="Heading3"/>
        <w:rPr>
          <w:lang w:eastAsia="en-AU"/>
        </w:rPr>
      </w:pPr>
      <w:bookmarkStart w:id="179" w:name="_Toc247691526"/>
      <w:bookmarkStart w:id="180" w:name="_Toc314842509"/>
      <w:bookmarkStart w:id="181" w:name="_Toc388513998"/>
      <w:bookmarkStart w:id="182" w:name="_Toc55464739"/>
      <w:r>
        <w:rPr>
          <w:lang w:eastAsia="en-AU"/>
        </w:rPr>
        <w:t>Risk management plan</w:t>
      </w:r>
      <w:bookmarkEnd w:id="179"/>
      <w:bookmarkEnd w:id="180"/>
      <w:bookmarkEnd w:id="181"/>
      <w:bookmarkEnd w:id="182"/>
    </w:p>
    <w:p w:rsidR="0059719E" w:rsidRPr="00AC3C4A" w:rsidRDefault="0059719E" w:rsidP="0059719E">
      <w:r w:rsidRPr="00AC3C4A">
        <w:t>The sponsor submitted a Risk Management Plan</w:t>
      </w:r>
      <w:r>
        <w:t>,</w:t>
      </w:r>
      <w:r w:rsidRPr="00AC3C4A">
        <w:t xml:space="preserve"> EU RMP version 1.3 dated 29 May 2012 [data lock point 31 December 2011] and </w:t>
      </w:r>
      <w:r>
        <w:t xml:space="preserve">an </w:t>
      </w:r>
      <w:r w:rsidRPr="00AC3C4A">
        <w:t>Australian-specific Annex (12 July 2012)</w:t>
      </w:r>
      <w:r>
        <w:t xml:space="preserve"> </w:t>
      </w:r>
      <w:r w:rsidRPr="00AC3C4A">
        <w:t>which was reviewed by the TGA’s Office of Product Review (OPR).</w:t>
      </w:r>
    </w:p>
    <w:p w:rsidR="0059719E" w:rsidRDefault="0059719E" w:rsidP="0059719E">
      <w:pPr>
        <w:pStyle w:val="Heading4"/>
        <w:rPr>
          <w:lang w:eastAsia="en-AU"/>
        </w:rPr>
      </w:pPr>
      <w:r>
        <w:rPr>
          <w:lang w:eastAsia="en-AU"/>
        </w:rPr>
        <w:t>Safety specification</w:t>
      </w:r>
    </w:p>
    <w:p w:rsidR="0059719E" w:rsidRDefault="0059719E" w:rsidP="0059719E">
      <w:pPr>
        <w:rPr>
          <w:lang w:eastAsia="en-AU"/>
        </w:rPr>
      </w:pPr>
      <w:r>
        <w:rPr>
          <w:lang w:eastAsia="en-AU"/>
        </w:rPr>
        <w:t>The sponsor provided a summary of ongoing safety concerns which are shown at Table 13.</w:t>
      </w:r>
    </w:p>
    <w:p w:rsidR="0059719E" w:rsidRDefault="0059719E" w:rsidP="0059719E">
      <w:pPr>
        <w:pStyle w:val="TableTitle"/>
        <w:rPr>
          <w:lang w:eastAsia="en-AU"/>
        </w:rPr>
      </w:pPr>
      <w:r>
        <w:rPr>
          <w:lang w:eastAsia="en-AU"/>
        </w:rPr>
        <w:t>Table 13. Summary of Ongoing Safety Concerns</w:t>
      </w:r>
    </w:p>
    <w:tbl>
      <w:tblPr>
        <w:tblStyle w:val="TableTGAblue"/>
        <w:tblW w:w="0" w:type="auto"/>
        <w:tblInd w:w="108" w:type="dxa"/>
        <w:tblLook w:val="04A0" w:firstRow="1" w:lastRow="0" w:firstColumn="1" w:lastColumn="0" w:noHBand="0" w:noVBand="1"/>
      </w:tblPr>
      <w:tblGrid>
        <w:gridCol w:w="2694"/>
        <w:gridCol w:w="5528"/>
      </w:tblGrid>
      <w:tr w:rsidR="0059719E" w:rsidRPr="001A3D87" w:rsidTr="00D81834">
        <w:trPr>
          <w:cnfStyle w:val="100000000000" w:firstRow="1" w:lastRow="0" w:firstColumn="0" w:lastColumn="0" w:oddVBand="0" w:evenVBand="0" w:oddHBand="0" w:evenHBand="0" w:firstRowFirstColumn="0" w:firstRowLastColumn="0" w:lastRowFirstColumn="0" w:lastRowLastColumn="0"/>
        </w:trPr>
        <w:tc>
          <w:tcPr>
            <w:tcW w:w="8222" w:type="dxa"/>
            <w:gridSpan w:val="2"/>
          </w:tcPr>
          <w:p w:rsidR="0059719E" w:rsidRPr="001A3D87" w:rsidRDefault="0059719E" w:rsidP="001A3D87">
            <w:pPr>
              <w:rPr>
                <w:b w:val="0"/>
                <w:sz w:val="20"/>
                <w:szCs w:val="20"/>
              </w:rPr>
            </w:pPr>
            <w:r w:rsidRPr="001A3D87">
              <w:rPr>
                <w:sz w:val="20"/>
                <w:szCs w:val="20"/>
              </w:rPr>
              <w:t xml:space="preserve">Summary of Ongoing Concerns: </w:t>
            </w:r>
            <w:proofErr w:type="spellStart"/>
            <w:r w:rsidRPr="001A3D87">
              <w:rPr>
                <w:sz w:val="20"/>
                <w:szCs w:val="20"/>
              </w:rPr>
              <w:t>Latisse</w:t>
            </w:r>
            <w:proofErr w:type="spellEnd"/>
          </w:p>
        </w:tc>
      </w:tr>
      <w:tr w:rsidR="0059719E" w:rsidRPr="001A3D87" w:rsidTr="001A3D87">
        <w:tc>
          <w:tcPr>
            <w:tcW w:w="2694" w:type="dxa"/>
          </w:tcPr>
          <w:p w:rsidR="0059719E" w:rsidRPr="001A3D87" w:rsidRDefault="0059719E" w:rsidP="001A3D87">
            <w:pPr>
              <w:rPr>
                <w:sz w:val="20"/>
                <w:szCs w:val="20"/>
              </w:rPr>
            </w:pPr>
            <w:r w:rsidRPr="001A3D87">
              <w:rPr>
                <w:sz w:val="20"/>
                <w:szCs w:val="20"/>
              </w:rPr>
              <w:t>Important identified risks</w:t>
            </w:r>
          </w:p>
        </w:tc>
        <w:tc>
          <w:tcPr>
            <w:tcW w:w="5528" w:type="dxa"/>
          </w:tcPr>
          <w:p w:rsidR="0059719E" w:rsidRPr="001A3D87" w:rsidRDefault="0059719E" w:rsidP="001A3D87">
            <w:pPr>
              <w:rPr>
                <w:sz w:val="20"/>
                <w:szCs w:val="20"/>
              </w:rPr>
            </w:pPr>
            <w:r w:rsidRPr="001A3D87">
              <w:rPr>
                <w:sz w:val="20"/>
                <w:szCs w:val="20"/>
              </w:rPr>
              <w:t>Iris hyperpigmentation</w:t>
            </w:r>
          </w:p>
          <w:p w:rsidR="0059719E" w:rsidRPr="001A3D87" w:rsidRDefault="0059719E" w:rsidP="001A3D87">
            <w:pPr>
              <w:rPr>
                <w:sz w:val="20"/>
                <w:szCs w:val="20"/>
              </w:rPr>
            </w:pPr>
            <w:proofErr w:type="spellStart"/>
            <w:r w:rsidRPr="001A3D87">
              <w:rPr>
                <w:sz w:val="20"/>
                <w:szCs w:val="20"/>
              </w:rPr>
              <w:t>Enophthalmos</w:t>
            </w:r>
            <w:proofErr w:type="spellEnd"/>
            <w:r w:rsidRPr="001A3D87">
              <w:rPr>
                <w:sz w:val="20"/>
                <w:szCs w:val="20"/>
              </w:rPr>
              <w:t xml:space="preserve"> (Deepened eyelid sulcus)</w:t>
            </w:r>
          </w:p>
          <w:p w:rsidR="0059719E" w:rsidRPr="001A3D87" w:rsidRDefault="0059719E" w:rsidP="001A3D87">
            <w:pPr>
              <w:rPr>
                <w:sz w:val="20"/>
                <w:szCs w:val="20"/>
              </w:rPr>
            </w:pPr>
            <w:r w:rsidRPr="001A3D87">
              <w:rPr>
                <w:sz w:val="20"/>
                <w:szCs w:val="20"/>
              </w:rPr>
              <w:t>Periorbital Tissue Hyperpigmentation</w:t>
            </w:r>
          </w:p>
          <w:p w:rsidR="0059719E" w:rsidRPr="001A3D87" w:rsidRDefault="0059719E" w:rsidP="001A3D87">
            <w:pPr>
              <w:rPr>
                <w:sz w:val="20"/>
                <w:szCs w:val="20"/>
              </w:rPr>
            </w:pPr>
            <w:r w:rsidRPr="001A3D87">
              <w:rPr>
                <w:sz w:val="20"/>
                <w:szCs w:val="20"/>
              </w:rPr>
              <w:t>Conjunctival hyperaemia</w:t>
            </w:r>
          </w:p>
          <w:p w:rsidR="0059719E" w:rsidRPr="001A3D87" w:rsidRDefault="0059719E" w:rsidP="001A3D87">
            <w:pPr>
              <w:rPr>
                <w:sz w:val="20"/>
                <w:szCs w:val="20"/>
              </w:rPr>
            </w:pPr>
            <w:r w:rsidRPr="001A3D87">
              <w:rPr>
                <w:sz w:val="20"/>
                <w:szCs w:val="20"/>
              </w:rPr>
              <w:t>Eye irritation</w:t>
            </w:r>
          </w:p>
          <w:p w:rsidR="0059719E" w:rsidRPr="001A3D87" w:rsidRDefault="0059719E" w:rsidP="001A3D87">
            <w:pPr>
              <w:rPr>
                <w:sz w:val="20"/>
                <w:szCs w:val="20"/>
              </w:rPr>
            </w:pPr>
            <w:r w:rsidRPr="001A3D87">
              <w:rPr>
                <w:sz w:val="20"/>
                <w:szCs w:val="20"/>
              </w:rPr>
              <w:t>Eye pruritus</w:t>
            </w:r>
          </w:p>
          <w:p w:rsidR="0059719E" w:rsidRPr="001A3D87" w:rsidRDefault="0059719E" w:rsidP="001A3D87">
            <w:pPr>
              <w:rPr>
                <w:sz w:val="20"/>
                <w:szCs w:val="20"/>
              </w:rPr>
            </w:pPr>
            <w:r w:rsidRPr="001A3D87">
              <w:rPr>
                <w:sz w:val="20"/>
                <w:szCs w:val="20"/>
              </w:rPr>
              <w:t>Punctate keratitis</w:t>
            </w:r>
          </w:p>
        </w:tc>
      </w:tr>
      <w:tr w:rsidR="0059719E" w:rsidRPr="001A3D87" w:rsidTr="001A3D87">
        <w:tc>
          <w:tcPr>
            <w:tcW w:w="2694" w:type="dxa"/>
          </w:tcPr>
          <w:p w:rsidR="0059719E" w:rsidRPr="001A3D87" w:rsidRDefault="0059719E" w:rsidP="001A3D87">
            <w:pPr>
              <w:rPr>
                <w:sz w:val="20"/>
                <w:szCs w:val="20"/>
              </w:rPr>
            </w:pPr>
            <w:r w:rsidRPr="001A3D87">
              <w:rPr>
                <w:sz w:val="20"/>
                <w:szCs w:val="20"/>
              </w:rPr>
              <w:lastRenderedPageBreak/>
              <w:t>Important potential risk</w:t>
            </w:r>
          </w:p>
        </w:tc>
        <w:tc>
          <w:tcPr>
            <w:tcW w:w="5528" w:type="dxa"/>
          </w:tcPr>
          <w:p w:rsidR="0059719E" w:rsidRPr="001A3D87" w:rsidRDefault="0059719E" w:rsidP="001A3D87">
            <w:pPr>
              <w:rPr>
                <w:sz w:val="20"/>
                <w:szCs w:val="20"/>
              </w:rPr>
            </w:pPr>
            <w:r w:rsidRPr="001A3D87">
              <w:rPr>
                <w:sz w:val="20"/>
                <w:szCs w:val="20"/>
              </w:rPr>
              <w:t>Intraocular pressure decreased</w:t>
            </w:r>
          </w:p>
          <w:p w:rsidR="0059719E" w:rsidRPr="001A3D87" w:rsidRDefault="0059719E" w:rsidP="001A3D87">
            <w:pPr>
              <w:rPr>
                <w:sz w:val="20"/>
                <w:szCs w:val="20"/>
              </w:rPr>
            </w:pPr>
            <w:proofErr w:type="spellStart"/>
            <w:r w:rsidRPr="001A3D87">
              <w:rPr>
                <w:sz w:val="20"/>
                <w:szCs w:val="20"/>
              </w:rPr>
              <w:t>Hypotony</w:t>
            </w:r>
            <w:proofErr w:type="spellEnd"/>
            <w:r w:rsidRPr="001A3D87">
              <w:rPr>
                <w:sz w:val="20"/>
                <w:szCs w:val="20"/>
              </w:rPr>
              <w:t xml:space="preserve"> of eye</w:t>
            </w:r>
          </w:p>
        </w:tc>
      </w:tr>
      <w:tr w:rsidR="0059719E" w:rsidRPr="001A3D87" w:rsidTr="001A3D87">
        <w:tc>
          <w:tcPr>
            <w:tcW w:w="2694" w:type="dxa"/>
          </w:tcPr>
          <w:p w:rsidR="0059719E" w:rsidRPr="001A3D87" w:rsidRDefault="0059719E" w:rsidP="001A3D87">
            <w:pPr>
              <w:rPr>
                <w:sz w:val="20"/>
                <w:szCs w:val="20"/>
              </w:rPr>
            </w:pPr>
            <w:r w:rsidRPr="001A3D87">
              <w:rPr>
                <w:sz w:val="20"/>
                <w:szCs w:val="20"/>
              </w:rPr>
              <w:t xml:space="preserve">Important missing information </w:t>
            </w:r>
          </w:p>
        </w:tc>
        <w:tc>
          <w:tcPr>
            <w:tcW w:w="5528" w:type="dxa"/>
          </w:tcPr>
          <w:p w:rsidR="0059719E" w:rsidRPr="001A3D87" w:rsidRDefault="0059719E" w:rsidP="001A3D87">
            <w:pPr>
              <w:rPr>
                <w:sz w:val="20"/>
                <w:szCs w:val="20"/>
              </w:rPr>
            </w:pPr>
            <w:r w:rsidRPr="001A3D87">
              <w:rPr>
                <w:sz w:val="20"/>
                <w:szCs w:val="20"/>
              </w:rPr>
              <w:t>Paediatric Use</w:t>
            </w:r>
          </w:p>
          <w:p w:rsidR="0059719E" w:rsidRPr="001A3D87" w:rsidRDefault="0059719E" w:rsidP="001A3D87">
            <w:pPr>
              <w:rPr>
                <w:sz w:val="20"/>
                <w:szCs w:val="20"/>
              </w:rPr>
            </w:pPr>
            <w:r w:rsidRPr="001A3D87">
              <w:rPr>
                <w:sz w:val="20"/>
                <w:szCs w:val="20"/>
              </w:rPr>
              <w:t>Use during Pregnancy &amp; Lactation</w:t>
            </w:r>
          </w:p>
          <w:p w:rsidR="0059719E" w:rsidRPr="001A3D87" w:rsidRDefault="0059719E" w:rsidP="001A3D87">
            <w:pPr>
              <w:rPr>
                <w:sz w:val="20"/>
                <w:szCs w:val="20"/>
              </w:rPr>
            </w:pPr>
            <w:r w:rsidRPr="001A3D87">
              <w:rPr>
                <w:sz w:val="20"/>
                <w:szCs w:val="20"/>
              </w:rPr>
              <w:t>Patients with Known Ocular Disease/Abnormality</w:t>
            </w:r>
          </w:p>
          <w:p w:rsidR="0059719E" w:rsidRPr="001A3D87" w:rsidRDefault="0059719E" w:rsidP="001A3D87">
            <w:pPr>
              <w:rPr>
                <w:sz w:val="20"/>
                <w:szCs w:val="20"/>
              </w:rPr>
            </w:pPr>
            <w:r w:rsidRPr="001A3D87">
              <w:rPr>
                <w:sz w:val="20"/>
                <w:szCs w:val="20"/>
              </w:rPr>
              <w:t>Patients who have Ocular Surgery</w:t>
            </w:r>
          </w:p>
        </w:tc>
      </w:tr>
    </w:tbl>
    <w:p w:rsidR="0059719E" w:rsidRDefault="0059719E" w:rsidP="0059719E">
      <w:pPr>
        <w:pStyle w:val="Heading5"/>
      </w:pPr>
      <w:r>
        <w:t>OPR</w:t>
      </w:r>
      <w:r w:rsidRPr="007B529C">
        <w:t xml:space="preserve"> reviewer comment</w:t>
      </w:r>
    </w:p>
    <w:p w:rsidR="0059719E" w:rsidRPr="006E0D4A" w:rsidRDefault="0059719E" w:rsidP="0059719E">
      <w:pPr>
        <w:rPr>
          <w:rFonts w:eastAsia="MS Mincho"/>
          <w:b/>
          <w:bCs/>
          <w:sz w:val="18"/>
          <w:szCs w:val="18"/>
          <w:lang w:eastAsia="en-AU"/>
        </w:rPr>
      </w:pPr>
      <w:r w:rsidRPr="00827FCA">
        <w:t xml:space="preserve">The potential for off label use with </w:t>
      </w:r>
      <w:proofErr w:type="spellStart"/>
      <w:r w:rsidRPr="00827FCA">
        <w:t>Latisse</w:t>
      </w:r>
      <w:proofErr w:type="spellEnd"/>
      <w:r w:rsidRPr="00827FCA">
        <w:t xml:space="preserve"> is significant. It is the evaluator</w:t>
      </w:r>
      <w:r>
        <w:t>’s recommendation that off-</w:t>
      </w:r>
      <w:r w:rsidRPr="00827FCA">
        <w:t xml:space="preserve">label use should be listed as an important potential risk in the RMP and that monitoring and discussion of off-label use form a standard part of future PSUR for </w:t>
      </w:r>
      <w:proofErr w:type="spellStart"/>
      <w:r w:rsidRPr="00827FCA">
        <w:t>Latisse</w:t>
      </w:r>
      <w:proofErr w:type="spellEnd"/>
      <w:r w:rsidRPr="00827FCA">
        <w:t>.</w:t>
      </w:r>
    </w:p>
    <w:p w:rsidR="0059719E" w:rsidRDefault="0059719E" w:rsidP="0059719E">
      <w:pPr>
        <w:pStyle w:val="Heading4"/>
        <w:rPr>
          <w:lang w:eastAsia="en-AU"/>
        </w:rPr>
      </w:pPr>
      <w:r>
        <w:rPr>
          <w:lang w:eastAsia="en-AU"/>
        </w:rPr>
        <w:t>Pharmacovigilance plan</w:t>
      </w:r>
    </w:p>
    <w:p w:rsidR="0059719E" w:rsidRPr="00827FCA" w:rsidRDefault="0059719E" w:rsidP="0059719E">
      <w:pPr>
        <w:rPr>
          <w:sz w:val="21"/>
          <w:szCs w:val="21"/>
        </w:rPr>
      </w:pPr>
      <w:r w:rsidRPr="00827FCA">
        <w:rPr>
          <w:sz w:val="21"/>
          <w:szCs w:val="21"/>
        </w:rPr>
        <w:t xml:space="preserve">Routine pharmacovigilance activities are proposed by the sponsor to monitor the safety profile of </w:t>
      </w:r>
      <w:proofErr w:type="spellStart"/>
      <w:r w:rsidRPr="00827FCA">
        <w:rPr>
          <w:sz w:val="21"/>
          <w:szCs w:val="21"/>
        </w:rPr>
        <w:t>Latisse</w:t>
      </w:r>
      <w:proofErr w:type="spellEnd"/>
      <w:r w:rsidRPr="00827FCA">
        <w:rPr>
          <w:sz w:val="21"/>
          <w:szCs w:val="21"/>
        </w:rPr>
        <w:t>.</w:t>
      </w:r>
      <w:r>
        <w:rPr>
          <w:sz w:val="21"/>
          <w:szCs w:val="21"/>
        </w:rPr>
        <w:t xml:space="preserve"> </w:t>
      </w:r>
      <w:r w:rsidRPr="00827FCA">
        <w:rPr>
          <w:sz w:val="21"/>
          <w:szCs w:val="21"/>
        </w:rPr>
        <w:t xml:space="preserve">Additional pharmacovigilance activities are addressing the areas of missing information relating to </w:t>
      </w:r>
      <w:r w:rsidRPr="00827FCA">
        <w:rPr>
          <w:rFonts w:eastAsia="MS Mincho"/>
          <w:sz w:val="21"/>
          <w:szCs w:val="21"/>
          <w:lang w:eastAsia="en-AU"/>
        </w:rPr>
        <w:t>paediatric exposure</w:t>
      </w:r>
      <w:r w:rsidRPr="00827FCA">
        <w:rPr>
          <w:sz w:val="21"/>
          <w:szCs w:val="21"/>
        </w:rPr>
        <w:t xml:space="preserve"> and use in Black patients. </w:t>
      </w:r>
    </w:p>
    <w:p w:rsidR="0059719E" w:rsidRPr="00827FCA" w:rsidRDefault="0059719E" w:rsidP="0059719E">
      <w:pPr>
        <w:rPr>
          <w:sz w:val="21"/>
          <w:szCs w:val="21"/>
        </w:rPr>
      </w:pPr>
      <w:r w:rsidRPr="00827FCA">
        <w:rPr>
          <w:sz w:val="21"/>
          <w:szCs w:val="21"/>
        </w:rPr>
        <w:t>The following additional pharmacovigilance activities (FDA post-marketing commitment) will address important missing information.</w:t>
      </w:r>
    </w:p>
    <w:p w:rsidR="0059719E" w:rsidRPr="00827FCA" w:rsidRDefault="0059719E" w:rsidP="0059719E">
      <w:pPr>
        <w:pStyle w:val="ListBullet"/>
        <w:numPr>
          <w:ilvl w:val="0"/>
          <w:numId w:val="3"/>
        </w:numPr>
        <w:rPr>
          <w:lang w:eastAsia="en-AU"/>
        </w:rPr>
      </w:pPr>
      <w:r w:rsidRPr="00827FCA">
        <w:rPr>
          <w:lang w:eastAsia="en-AU"/>
        </w:rPr>
        <w:t xml:space="preserve">Conduct a clinical study for the treatment of </w:t>
      </w:r>
      <w:proofErr w:type="spellStart"/>
      <w:r w:rsidRPr="00827FCA">
        <w:rPr>
          <w:lang w:eastAsia="en-AU"/>
        </w:rPr>
        <w:t>hypotrichosis</w:t>
      </w:r>
      <w:proofErr w:type="spellEnd"/>
      <w:r w:rsidRPr="00827FCA">
        <w:rPr>
          <w:lang w:eastAsia="en-AU"/>
        </w:rPr>
        <w:t xml:space="preserve"> in paediatric patients. This study (192024-040) began in 2010 and enrolled patients aged 5 to 17 years</w:t>
      </w:r>
      <w:r>
        <w:rPr>
          <w:lang w:eastAsia="en-AU"/>
        </w:rPr>
        <w:t xml:space="preserve">. Patient groups include: post </w:t>
      </w:r>
      <w:r w:rsidRPr="00827FCA">
        <w:rPr>
          <w:lang w:eastAsia="en-AU"/>
        </w:rPr>
        <w:t xml:space="preserve">chemotherapy, alopecia </w:t>
      </w:r>
      <w:proofErr w:type="spellStart"/>
      <w:r w:rsidRPr="00827FCA">
        <w:rPr>
          <w:lang w:eastAsia="en-AU"/>
        </w:rPr>
        <w:t>areata</w:t>
      </w:r>
      <w:proofErr w:type="spellEnd"/>
      <w:r w:rsidRPr="00827FCA">
        <w:rPr>
          <w:lang w:eastAsia="en-AU"/>
        </w:rPr>
        <w:t xml:space="preserve"> patients who have experienced eyelash </w:t>
      </w:r>
      <w:proofErr w:type="spellStart"/>
      <w:r w:rsidRPr="00827FCA">
        <w:rPr>
          <w:lang w:eastAsia="en-AU"/>
        </w:rPr>
        <w:t>hypotrichosis</w:t>
      </w:r>
      <w:proofErr w:type="spellEnd"/>
      <w:r w:rsidRPr="00827FCA">
        <w:rPr>
          <w:lang w:eastAsia="en-AU"/>
        </w:rPr>
        <w:t xml:space="preserve"> and eyelash </w:t>
      </w:r>
      <w:proofErr w:type="spellStart"/>
      <w:r w:rsidRPr="00827FCA">
        <w:rPr>
          <w:lang w:eastAsia="en-AU"/>
        </w:rPr>
        <w:t>hypotrichosis</w:t>
      </w:r>
      <w:proofErr w:type="spellEnd"/>
      <w:r w:rsidRPr="00827FCA">
        <w:rPr>
          <w:lang w:eastAsia="en-AU"/>
        </w:rPr>
        <w:t xml:space="preserve"> in healthy adolescents. The results of the study and CSR will be submitted by Dec</w:t>
      </w:r>
      <w:r>
        <w:rPr>
          <w:lang w:eastAsia="en-AU"/>
        </w:rPr>
        <w:t>ember</w:t>
      </w:r>
      <w:r w:rsidRPr="00827FCA">
        <w:rPr>
          <w:lang w:eastAsia="en-AU"/>
        </w:rPr>
        <w:t xml:space="preserve"> 2012.</w:t>
      </w:r>
      <w:r>
        <w:rPr>
          <w:lang w:eastAsia="en-AU"/>
        </w:rPr>
        <w:t xml:space="preserve"> </w:t>
      </w:r>
    </w:p>
    <w:p w:rsidR="0059719E" w:rsidRDefault="0059719E" w:rsidP="0059719E">
      <w:pPr>
        <w:pStyle w:val="ListBullet"/>
        <w:numPr>
          <w:ilvl w:val="0"/>
          <w:numId w:val="3"/>
        </w:numPr>
        <w:rPr>
          <w:lang w:eastAsia="en-AU"/>
        </w:rPr>
      </w:pPr>
      <w:r>
        <w:rPr>
          <w:lang w:eastAsia="en-AU"/>
        </w:rPr>
        <w:t>Perform a randomis</w:t>
      </w:r>
      <w:r w:rsidRPr="00827FCA">
        <w:rPr>
          <w:lang w:eastAsia="en-AU"/>
        </w:rPr>
        <w:t xml:space="preserve">ed, controlled, comparative study of </w:t>
      </w:r>
      <w:proofErr w:type="spellStart"/>
      <w:r w:rsidRPr="00827FCA">
        <w:rPr>
          <w:lang w:eastAsia="en-AU"/>
        </w:rPr>
        <w:t>Latisse</w:t>
      </w:r>
      <w:proofErr w:type="spellEnd"/>
      <w:r w:rsidRPr="00827FCA">
        <w:rPr>
          <w:lang w:eastAsia="en-AU"/>
        </w:rPr>
        <w:t xml:space="preserve"> </w:t>
      </w:r>
      <w:r>
        <w:rPr>
          <w:lang w:eastAsia="en-AU"/>
        </w:rPr>
        <w:t>in at least 50 B</w:t>
      </w:r>
      <w:r w:rsidRPr="00827FCA">
        <w:rPr>
          <w:lang w:eastAsia="en-AU"/>
        </w:rPr>
        <w:t>lack</w:t>
      </w:r>
      <w:r>
        <w:rPr>
          <w:lang w:eastAsia="en-AU"/>
        </w:rPr>
        <w:t xml:space="preserve"> </w:t>
      </w:r>
      <w:r w:rsidRPr="00827FCA">
        <w:rPr>
          <w:lang w:eastAsia="en-AU"/>
        </w:rPr>
        <w:t>patients. This study (192024-039) was initiated in 2009 and completed in 2010. The clinical study report was submitted to FDA on 18</w:t>
      </w:r>
      <w:r>
        <w:rPr>
          <w:lang w:eastAsia="en-AU"/>
        </w:rPr>
        <w:t xml:space="preserve"> February </w:t>
      </w:r>
      <w:r w:rsidRPr="00827FCA">
        <w:rPr>
          <w:lang w:eastAsia="en-AU"/>
        </w:rPr>
        <w:t>2011</w:t>
      </w:r>
      <w:r>
        <w:rPr>
          <w:lang w:eastAsia="en-AU"/>
        </w:rPr>
        <w:t xml:space="preserve"> and included in the resubmission of the </w:t>
      </w:r>
      <w:proofErr w:type="spellStart"/>
      <w:r>
        <w:rPr>
          <w:lang w:eastAsia="en-AU"/>
        </w:rPr>
        <w:t>Latisse</w:t>
      </w:r>
      <w:proofErr w:type="spellEnd"/>
      <w:r>
        <w:rPr>
          <w:lang w:eastAsia="en-AU"/>
        </w:rPr>
        <w:t xml:space="preserve"> application to the TGA</w:t>
      </w:r>
      <w:r w:rsidDel="00B44A41">
        <w:rPr>
          <w:lang w:eastAsia="en-AU"/>
        </w:rPr>
        <w:t xml:space="preserve"> </w:t>
      </w:r>
      <w:r>
        <w:rPr>
          <w:lang w:eastAsia="en-AU"/>
        </w:rPr>
        <w:t>Risk minimisation activities</w:t>
      </w:r>
    </w:p>
    <w:p w:rsidR="0059719E" w:rsidRDefault="0059719E" w:rsidP="0059719E">
      <w:pPr>
        <w:rPr>
          <w:lang w:eastAsia="en-AU"/>
        </w:rPr>
      </w:pPr>
      <w:bookmarkStart w:id="183" w:name="_Toc247691527"/>
      <w:r>
        <w:rPr>
          <w:lang w:eastAsia="en-AU"/>
        </w:rPr>
        <w:t xml:space="preserve">The important identified risks discussed in the </w:t>
      </w:r>
      <w:proofErr w:type="spellStart"/>
      <w:r>
        <w:rPr>
          <w:lang w:eastAsia="en-AU"/>
        </w:rPr>
        <w:t>Latisse</w:t>
      </w:r>
      <w:proofErr w:type="spellEnd"/>
      <w:r>
        <w:rPr>
          <w:lang w:eastAsia="en-AU"/>
        </w:rPr>
        <w:t xml:space="preserve"> EU RMP are addressed in the </w:t>
      </w:r>
      <w:r w:rsidRPr="00AC3C4A">
        <w:rPr>
          <w:i/>
          <w:lang w:eastAsia="en-AU"/>
        </w:rPr>
        <w:t>Precautions</w:t>
      </w:r>
      <w:r>
        <w:rPr>
          <w:lang w:eastAsia="en-AU"/>
        </w:rPr>
        <w:t xml:space="preserve"> and </w:t>
      </w:r>
      <w:r w:rsidRPr="00AC3C4A">
        <w:rPr>
          <w:i/>
          <w:lang w:eastAsia="en-AU"/>
        </w:rPr>
        <w:t>Adverse effects</w:t>
      </w:r>
      <w:r>
        <w:rPr>
          <w:lang w:eastAsia="en-AU"/>
        </w:rPr>
        <w:t xml:space="preserve"> sections of the Australian PI. These routine risk minimisation activities are adequate to inform and educate physicians about the risks associated with </w:t>
      </w:r>
      <w:proofErr w:type="spellStart"/>
      <w:r>
        <w:rPr>
          <w:lang w:eastAsia="en-AU"/>
        </w:rPr>
        <w:t>Latisse</w:t>
      </w:r>
      <w:proofErr w:type="spellEnd"/>
      <w:r>
        <w:rPr>
          <w:lang w:eastAsia="en-AU"/>
        </w:rPr>
        <w:t>.</w:t>
      </w:r>
    </w:p>
    <w:p w:rsidR="0059719E" w:rsidRDefault="0059719E" w:rsidP="0059719E">
      <w:pPr>
        <w:rPr>
          <w:lang w:eastAsia="en-AU"/>
        </w:rPr>
      </w:pPr>
      <w:r>
        <w:rPr>
          <w:lang w:eastAsia="en-AU"/>
        </w:rPr>
        <w:t xml:space="preserve">No additional, enhanced risk minimisation activities as part of the RMP are currently being implemented for </w:t>
      </w:r>
      <w:proofErr w:type="spellStart"/>
      <w:r>
        <w:rPr>
          <w:lang w:eastAsia="en-AU"/>
        </w:rPr>
        <w:t>Latisse</w:t>
      </w:r>
      <w:proofErr w:type="spellEnd"/>
      <w:r>
        <w:rPr>
          <w:lang w:eastAsia="en-AU"/>
        </w:rPr>
        <w:t xml:space="preserve"> overseas.).</w:t>
      </w:r>
    </w:p>
    <w:p w:rsidR="0059719E" w:rsidRDefault="0059719E" w:rsidP="0059719E">
      <w:pPr>
        <w:pStyle w:val="Heading4"/>
        <w:rPr>
          <w:lang w:eastAsia="en-AU"/>
        </w:rPr>
      </w:pPr>
      <w:r w:rsidRPr="006F25B8">
        <w:rPr>
          <w:lang w:eastAsia="en-AU"/>
        </w:rPr>
        <w:t xml:space="preserve">Reconciliation of issues outlined in the RMP report </w:t>
      </w:r>
    </w:p>
    <w:p w:rsidR="0059719E" w:rsidRDefault="0059719E" w:rsidP="0059719E">
      <w:pPr>
        <w:rPr>
          <w:lang w:eastAsia="en-AU"/>
        </w:rPr>
      </w:pPr>
      <w:r>
        <w:rPr>
          <w:lang w:eastAsia="en-AU"/>
        </w:rPr>
        <w:t>The following is a summary of</w:t>
      </w:r>
      <w:r w:rsidR="00D81834">
        <w:rPr>
          <w:lang w:eastAsia="en-AU"/>
        </w:rPr>
        <w:t xml:space="preserve"> </w:t>
      </w:r>
      <w:r>
        <w:rPr>
          <w:lang w:eastAsia="en-AU"/>
        </w:rPr>
        <w:t xml:space="preserve"> the OPR’s first round evaluation of the RMP, the sponsor’s responses to issues raised by the OPR and the OPR’s evaluation of the sponsor’s responses.</w:t>
      </w:r>
    </w:p>
    <w:p w:rsidR="0059719E" w:rsidRDefault="0059719E" w:rsidP="0059719E">
      <w:pPr>
        <w:pStyle w:val="Heading5"/>
      </w:pPr>
      <w:r w:rsidRPr="0070082D">
        <w:lastRenderedPageBreak/>
        <w:t>Recommendation</w:t>
      </w:r>
      <w:r>
        <w:t>s</w:t>
      </w:r>
      <w:r w:rsidRPr="0070082D">
        <w:t xml:space="preserve"> in RMP evaluation report</w:t>
      </w:r>
      <w:r>
        <w:t>:</w:t>
      </w:r>
    </w:p>
    <w:p w:rsidR="0059719E" w:rsidRPr="00C72E0E" w:rsidRDefault="0059719E" w:rsidP="0059719E">
      <w:pPr>
        <w:pStyle w:val="Heading5"/>
        <w:numPr>
          <w:ilvl w:val="0"/>
          <w:numId w:val="40"/>
        </w:numPr>
        <w:rPr>
          <w:rFonts w:ascii="Arial" w:eastAsia="Cambria" w:hAnsi="Arial" w:cs="Arial"/>
        </w:rPr>
      </w:pPr>
      <w:r w:rsidRPr="00C72E0E">
        <w:rPr>
          <w:rFonts w:eastAsia="TimesNewRoman"/>
        </w:rPr>
        <w:t xml:space="preserve">It is recommended to the Delegate that if </w:t>
      </w:r>
      <w:proofErr w:type="spellStart"/>
      <w:r w:rsidRPr="00C72E0E">
        <w:rPr>
          <w:rFonts w:eastAsia="TimesNewRoman"/>
        </w:rPr>
        <w:t>Latisse</w:t>
      </w:r>
      <w:proofErr w:type="spellEnd"/>
      <w:r w:rsidRPr="00C72E0E">
        <w:rPr>
          <w:rFonts w:eastAsia="TimesNewRoman"/>
        </w:rPr>
        <w:t xml:space="preserve"> was to gain registration as a therapeutic good for the listed indication, it would need to be solely indicated for individuals with a </w:t>
      </w:r>
      <w:r w:rsidRPr="00C72E0E">
        <w:rPr>
          <w:rFonts w:eastAsia="TimesNewRoman" w:cs="TimesNewRoman,Italic"/>
          <w:iCs/>
        </w:rPr>
        <w:t xml:space="preserve">diagnosed medical disorder </w:t>
      </w:r>
      <w:r w:rsidRPr="00C72E0E">
        <w:rPr>
          <w:rFonts w:eastAsia="TimesNewRoman"/>
        </w:rPr>
        <w:t xml:space="preserve">resulting in eyelash </w:t>
      </w:r>
      <w:proofErr w:type="spellStart"/>
      <w:r w:rsidRPr="00C72E0E">
        <w:rPr>
          <w:rFonts w:eastAsia="TimesNewRoman"/>
        </w:rPr>
        <w:t>hypotrichosis</w:t>
      </w:r>
      <w:proofErr w:type="spellEnd"/>
      <w:r w:rsidRPr="00C72E0E">
        <w:rPr>
          <w:rFonts w:eastAsia="TimesNewRoman"/>
        </w:rPr>
        <w:t>/loss</w:t>
      </w:r>
    </w:p>
    <w:p w:rsidR="0059719E" w:rsidRDefault="0059719E" w:rsidP="0059719E">
      <w:pPr>
        <w:pStyle w:val="Heading6"/>
      </w:pPr>
      <w:r w:rsidRPr="0070082D">
        <w:t>Sponsor’s response</w:t>
      </w:r>
    </w:p>
    <w:p w:rsidR="0059719E" w:rsidRPr="0014303C" w:rsidRDefault="0059719E" w:rsidP="0059719E">
      <w:r w:rsidRPr="0014303C">
        <w:t xml:space="preserve">The RMP evaluator has suggested that if </w:t>
      </w:r>
      <w:proofErr w:type="spellStart"/>
      <w:r>
        <w:t>Latisse</w:t>
      </w:r>
      <w:proofErr w:type="spellEnd"/>
      <w:r w:rsidRPr="0014303C">
        <w:t xml:space="preserve"> were to gain registration as a therapeutic good it would need to be solely indicated for individuals with a diagnosed medical disorder resulting in eyelash </w:t>
      </w:r>
      <w:proofErr w:type="spellStart"/>
      <w:r w:rsidRPr="0014303C">
        <w:t>hypotrichosis</w:t>
      </w:r>
      <w:proofErr w:type="spellEnd"/>
      <w:r w:rsidRPr="0014303C">
        <w:t>. The basis for this appears to be a discussion concerning</w:t>
      </w:r>
      <w:r>
        <w:t xml:space="preserve"> </w:t>
      </w:r>
      <w:r w:rsidRPr="0014303C">
        <w:t xml:space="preserve">the different definitions of cosmetic versus therapeutic goods. </w:t>
      </w:r>
      <w:r>
        <w:t>The sponsor does</w:t>
      </w:r>
      <w:r w:rsidRPr="0014303C">
        <w:t xml:space="preserve"> not believe this argument to be relevant to </w:t>
      </w:r>
      <w:proofErr w:type="spellStart"/>
      <w:r>
        <w:t>Latisse</w:t>
      </w:r>
      <w:proofErr w:type="spellEnd"/>
      <w:r w:rsidRPr="0014303C">
        <w:t xml:space="preserve">. </w:t>
      </w:r>
      <w:proofErr w:type="spellStart"/>
      <w:r>
        <w:t>Latisse</w:t>
      </w:r>
      <w:proofErr w:type="spellEnd"/>
      <w:r w:rsidRPr="0014303C">
        <w:t xml:space="preserve"> could not be classed as a cosmetic good in Australia. In general terms, anything that makes a therapeutic claim or has a physiological effect on the body is a therapeutic good. Additionally, any product containing a substance in Schedule 4 of the Standard for the Uniform Scheduling of Medicines and Poisons (</w:t>
      </w:r>
      <w:r>
        <w:t>for example,</w:t>
      </w:r>
      <w:r w:rsidRPr="0014303C">
        <w:t xml:space="preserve"> </w:t>
      </w:r>
      <w:proofErr w:type="spellStart"/>
      <w:r w:rsidRPr="0014303C">
        <w:t>bimatoprost</w:t>
      </w:r>
      <w:proofErr w:type="spellEnd"/>
      <w:r w:rsidRPr="0014303C">
        <w:t xml:space="preserve">) would also. Indeed, in this regard there are products already available on the Australian market as therapeutic goods which affect a change in bodily appearance that results from no underlying medical disorder. For example, a product for a similar type of indication, </w:t>
      </w:r>
      <w:proofErr w:type="spellStart"/>
      <w:r w:rsidRPr="0014303C">
        <w:t>Propecia</w:t>
      </w:r>
      <w:proofErr w:type="spellEnd"/>
      <w:r w:rsidRPr="0014303C">
        <w:t xml:space="preserve"> for male pattern baldness, has been classified as a prescription only therapeutic good, even though there is no requirement for patients to have an underlying medical condition causing their baldness. </w:t>
      </w:r>
      <w:proofErr w:type="spellStart"/>
      <w:r w:rsidRPr="0014303C">
        <w:t>Similarily</w:t>
      </w:r>
      <w:proofErr w:type="spellEnd"/>
      <w:r w:rsidRPr="0014303C">
        <w:t xml:space="preserve">, </w:t>
      </w:r>
      <w:proofErr w:type="spellStart"/>
      <w:r w:rsidRPr="0014303C">
        <w:t>Vaniqa</w:t>
      </w:r>
      <w:proofErr w:type="spellEnd"/>
      <w:r w:rsidRPr="0014303C">
        <w:t xml:space="preserve"> is a prescription product indicated for delaying the regrowth of unwanted facial hair, following depilation, in women. There is no restriction within the indication of this product that requires the unwanted facial hair to be caused by an underlying medical disorder. </w:t>
      </w:r>
    </w:p>
    <w:p w:rsidR="0059719E" w:rsidRDefault="0059719E" w:rsidP="0059719E">
      <w:r w:rsidRPr="0014303C">
        <w:t xml:space="preserve">However, it does not follow that a product must be indicated for a specific condition caused by an underlying medical disorder simply because a product is classed as a therapeutic good. The definition quoted by the RMP evaluator for a therapeutic use would include products that prevent or alleviate a defect. In the case of </w:t>
      </w:r>
      <w:proofErr w:type="spellStart"/>
      <w:r>
        <w:t>Latisse</w:t>
      </w:r>
      <w:proofErr w:type="spellEnd"/>
      <w:r w:rsidRPr="0014303C">
        <w:t xml:space="preserve"> the defect is </w:t>
      </w:r>
      <w:proofErr w:type="spellStart"/>
      <w:r w:rsidRPr="0014303C">
        <w:t>hypotrichosis</w:t>
      </w:r>
      <w:proofErr w:type="spellEnd"/>
      <w:r w:rsidRPr="0014303C">
        <w:t xml:space="preserve"> of the eyelashes.</w:t>
      </w:r>
    </w:p>
    <w:p w:rsidR="0059719E" w:rsidRPr="0014303C" w:rsidRDefault="0059719E" w:rsidP="0059719E">
      <w:r w:rsidRPr="0014303C">
        <w:t xml:space="preserve">It would appear therefore that there are prior examples of products in related indications that have not been required to have a specific underlying medical disorder included in the indication. </w:t>
      </w:r>
    </w:p>
    <w:p w:rsidR="0059719E" w:rsidRDefault="0059719E" w:rsidP="0059719E">
      <w:r>
        <w:t>The sponsor</w:t>
      </w:r>
      <w:r w:rsidRPr="0014303C">
        <w:t xml:space="preserve"> therefore believe</w:t>
      </w:r>
      <w:r>
        <w:t>s</w:t>
      </w:r>
      <w:r w:rsidRPr="0014303C">
        <w:t xml:space="preserve"> that the indication for </w:t>
      </w:r>
      <w:proofErr w:type="spellStart"/>
      <w:r>
        <w:t>Latisse</w:t>
      </w:r>
      <w:proofErr w:type="spellEnd"/>
      <w:r w:rsidRPr="0014303C">
        <w:t xml:space="preserve"> should not be restricted to </w:t>
      </w:r>
      <w:proofErr w:type="spellStart"/>
      <w:r w:rsidRPr="0014303C">
        <w:t>hypotrichosis</w:t>
      </w:r>
      <w:proofErr w:type="spellEnd"/>
      <w:r w:rsidRPr="0014303C">
        <w:t xml:space="preserve"> of the eyelashes caused by an underlying medical disorder. This is particularly so given that the </w:t>
      </w:r>
      <w:proofErr w:type="spellStart"/>
      <w:r>
        <w:t>Latisse</w:t>
      </w:r>
      <w:proofErr w:type="spellEnd"/>
      <w:r w:rsidRPr="0014303C">
        <w:t xml:space="preserve"> clinical trial program enrolled subjects with diverse </w:t>
      </w:r>
      <w:proofErr w:type="spellStart"/>
      <w:r w:rsidRPr="0014303C">
        <w:t>etiologies</w:t>
      </w:r>
      <w:proofErr w:type="spellEnd"/>
      <w:r w:rsidRPr="0014303C">
        <w:t xml:space="preserve"> of </w:t>
      </w:r>
      <w:proofErr w:type="spellStart"/>
      <w:r w:rsidRPr="0014303C">
        <w:t>hypotrichosis</w:t>
      </w:r>
      <w:proofErr w:type="spellEnd"/>
      <w:r w:rsidRPr="0014303C">
        <w:t xml:space="preserve"> including dissatisfaction with eyelash length to post-chemotherapy induced </w:t>
      </w:r>
      <w:proofErr w:type="spellStart"/>
      <w:r w:rsidRPr="0014303C">
        <w:t>hypotrichosis</w:t>
      </w:r>
      <w:proofErr w:type="spellEnd"/>
      <w:r w:rsidRPr="0014303C">
        <w:t xml:space="preserve">. This data demonstrates safety and efficacy in these widely varying patient populations, and therefore the indication should remain as </w:t>
      </w:r>
      <w:proofErr w:type="spellStart"/>
      <w:r w:rsidRPr="0014303C">
        <w:t>hypotrichosis</w:t>
      </w:r>
      <w:proofErr w:type="spellEnd"/>
      <w:r w:rsidRPr="0014303C">
        <w:t xml:space="preserve"> of the eyelashes. This indication is in line with the indications approved by regulatory agencies worldwide In addition, the safety profile of </w:t>
      </w:r>
      <w:proofErr w:type="spellStart"/>
      <w:r>
        <w:t>Latisse</w:t>
      </w:r>
      <w:proofErr w:type="spellEnd"/>
      <w:r w:rsidRPr="0014303C">
        <w:t xml:space="preserve"> is acceptable for the indication requested. With the approved indications listed in Table 24, </w:t>
      </w:r>
      <w:proofErr w:type="spellStart"/>
      <w:r>
        <w:t>Latisse</w:t>
      </w:r>
      <w:proofErr w:type="spellEnd"/>
      <w:r w:rsidRPr="0014303C">
        <w:t xml:space="preserve"> has accumulated over 4 years of </w:t>
      </w:r>
      <w:proofErr w:type="spellStart"/>
      <w:r w:rsidRPr="0014303C">
        <w:t>postmarketing</w:t>
      </w:r>
      <w:proofErr w:type="spellEnd"/>
      <w:r w:rsidRPr="0014303C">
        <w:t xml:space="preserve"> experience with approximately 2,145,340 patient-years exposure. The most commonly reported adverse events include ocular </w:t>
      </w:r>
      <w:proofErr w:type="spellStart"/>
      <w:r w:rsidRPr="0014303C">
        <w:t>hyperemia</w:t>
      </w:r>
      <w:proofErr w:type="spellEnd"/>
      <w:r w:rsidRPr="0014303C">
        <w:t xml:space="preserve">, </w:t>
      </w:r>
      <w:proofErr w:type="spellStart"/>
      <w:r w:rsidRPr="0014303C">
        <w:t>madarosis</w:t>
      </w:r>
      <w:proofErr w:type="spellEnd"/>
      <w:r w:rsidRPr="0014303C">
        <w:t xml:space="preserve">, eyelid erythema and eyelid pruritus. These local events resolve upon discontinuation of </w:t>
      </w:r>
      <w:proofErr w:type="spellStart"/>
      <w:r>
        <w:t>Latisse</w:t>
      </w:r>
      <w:proofErr w:type="spellEnd"/>
      <w:r w:rsidRPr="0014303C">
        <w:t xml:space="preserve"> and would</w:t>
      </w:r>
      <w:r>
        <w:t xml:space="preserve"> </w:t>
      </w:r>
      <w:r w:rsidRPr="0014303C">
        <w:t xml:space="preserve">support an indication that is not limited to </w:t>
      </w:r>
      <w:proofErr w:type="spellStart"/>
      <w:r w:rsidRPr="0014303C">
        <w:t>hypotrichosis</w:t>
      </w:r>
      <w:proofErr w:type="spellEnd"/>
      <w:r w:rsidRPr="0014303C">
        <w:t xml:space="preserve"> caused only by a diagnosed medical condition. </w:t>
      </w:r>
      <w:r>
        <w:t>The sponsor</w:t>
      </w:r>
      <w:r w:rsidRPr="0014303C">
        <w:t xml:space="preserve"> also wish</w:t>
      </w:r>
      <w:r>
        <w:t>ed</w:t>
      </w:r>
      <w:r w:rsidRPr="0014303C">
        <w:t xml:space="preserve"> to comment upon the suggestion from the RMP evaluator in the RMP Evaluator Report, that the prescribing of </w:t>
      </w:r>
      <w:proofErr w:type="spellStart"/>
      <w:r>
        <w:t>Latisse</w:t>
      </w:r>
      <w:proofErr w:type="spellEnd"/>
      <w:r w:rsidRPr="0014303C">
        <w:t xml:space="preserve"> be restricted to specialist physicians. Patients with </w:t>
      </w:r>
      <w:proofErr w:type="spellStart"/>
      <w:r w:rsidRPr="0014303C">
        <w:t>hypotrichosis</w:t>
      </w:r>
      <w:proofErr w:type="spellEnd"/>
      <w:r w:rsidRPr="0014303C">
        <w:t xml:space="preserve"> in a localised area such as the eyelashes would be able to easily self-diagnose the condition by visual examination. As such these patients are most likely, in the first instance, to seek the opinion of their general practitioner (GP) or to approach a cosmetic physician who </w:t>
      </w:r>
      <w:r w:rsidRPr="0014303C">
        <w:lastRenderedPageBreak/>
        <w:t xml:space="preserve">works specifically in the area of aesthetic medicine. These healthcare professionals have the expertise to diagnose insufficient or inadequate eyelash growth, and as the first place a patient would seek advice, are best able to prescribe use of </w:t>
      </w:r>
      <w:proofErr w:type="spellStart"/>
      <w:r>
        <w:t>Latisse</w:t>
      </w:r>
      <w:proofErr w:type="spellEnd"/>
      <w:r w:rsidRPr="0014303C">
        <w:t xml:space="preserve">. Limiting prescribing of </w:t>
      </w:r>
      <w:proofErr w:type="spellStart"/>
      <w:r>
        <w:t>Latisse</w:t>
      </w:r>
      <w:proofErr w:type="spellEnd"/>
      <w:r w:rsidRPr="0014303C">
        <w:t xml:space="preserve"> to a specialist area such as dermatology would cause patients additional time and expense in that they would need to visit their GP or cosmetic physician and then be referred to a specialist. This is unnecessary as the diagnosis of inadequate or insufficient eyelash growth can adequately be managed by non-specialist healthcare professionals. If indeed a specialist diagnosis was required in particular instances these healthcare professionals could refer patients to those other specialists as required.</w:t>
      </w:r>
    </w:p>
    <w:p w:rsidR="0059719E" w:rsidRDefault="0059719E" w:rsidP="0059719E">
      <w:pPr>
        <w:pStyle w:val="Heading6"/>
      </w:pPr>
      <w:r w:rsidRPr="0070082D">
        <w:t>OPR evaluator’s comment</w:t>
      </w:r>
    </w:p>
    <w:p w:rsidR="0059719E" w:rsidRDefault="0059719E" w:rsidP="0059719E">
      <w:r w:rsidRPr="0014303C">
        <w:t xml:space="preserve">It remains a concern that there is a high risk that </w:t>
      </w:r>
      <w:proofErr w:type="spellStart"/>
      <w:r w:rsidRPr="0014303C">
        <w:t>Latisse</w:t>
      </w:r>
      <w:proofErr w:type="spellEnd"/>
      <w:r w:rsidRPr="0014303C">
        <w:t xml:space="preserve"> would be used for cosmetic reasons including as stated by the sponsor </w:t>
      </w:r>
      <w:r w:rsidRPr="0014303C">
        <w:rPr>
          <w:i/>
        </w:rPr>
        <w:t xml:space="preserve">“dissatisfaction with eyelash length”. </w:t>
      </w:r>
      <w:r w:rsidRPr="0014303C">
        <w:t>Similarly it is of concern that</w:t>
      </w:r>
      <w:r w:rsidRPr="0014303C">
        <w:rPr>
          <w:i/>
        </w:rPr>
        <w:t xml:space="preserve"> </w:t>
      </w:r>
      <w:r w:rsidRPr="0014303C">
        <w:t xml:space="preserve">the sponsor is relying on self-diagnosis by patients. The sponsor reports that </w:t>
      </w:r>
      <w:r w:rsidRPr="0014303C">
        <w:rPr>
          <w:i/>
        </w:rPr>
        <w:t xml:space="preserve">“Patients with </w:t>
      </w:r>
      <w:proofErr w:type="spellStart"/>
      <w:r w:rsidRPr="0014303C">
        <w:rPr>
          <w:i/>
        </w:rPr>
        <w:t>hypotrichosis</w:t>
      </w:r>
      <w:proofErr w:type="spellEnd"/>
      <w:r w:rsidRPr="0014303C">
        <w:rPr>
          <w:i/>
        </w:rPr>
        <w:t xml:space="preserve"> in a localised area such as the eyelashes would be able to easily self-diagnose the condition by visual examination”. </w:t>
      </w:r>
      <w:r w:rsidRPr="0014303C">
        <w:t>Both examples rely on subjective rather than clinical assessments.</w:t>
      </w:r>
    </w:p>
    <w:p w:rsidR="0059719E" w:rsidRDefault="0059719E" w:rsidP="0059719E">
      <w:r w:rsidRPr="0014303C">
        <w:t>Given the strong potential for significant off</w:t>
      </w:r>
      <w:r>
        <w:t xml:space="preserve"> </w:t>
      </w:r>
      <w:r w:rsidRPr="0014303C">
        <w:t xml:space="preserve">label use, it remains the recommendation of the evaluator that the prescribing of </w:t>
      </w:r>
      <w:proofErr w:type="spellStart"/>
      <w:r>
        <w:t>Latisse</w:t>
      </w:r>
      <w:proofErr w:type="spellEnd"/>
      <w:r w:rsidRPr="0014303C">
        <w:t xml:space="preserve"> be restricted to specialist physicians.</w:t>
      </w:r>
    </w:p>
    <w:p w:rsidR="0059719E" w:rsidRPr="00C72E0E" w:rsidRDefault="0059719E" w:rsidP="0059719E">
      <w:pPr>
        <w:pStyle w:val="ListParagraph"/>
        <w:numPr>
          <w:ilvl w:val="0"/>
          <w:numId w:val="40"/>
        </w:numPr>
        <w:spacing w:before="100" w:beforeAutospacing="1" w:after="100" w:afterAutospacing="1" w:line="240" w:lineRule="auto"/>
        <w:rPr>
          <w:rStyle w:val="Heading5Char"/>
          <w:rFonts w:eastAsia="Cambria"/>
        </w:rPr>
      </w:pPr>
      <w:r>
        <w:rPr>
          <w:rFonts w:asciiTheme="minorHAnsi" w:eastAsia="TimesNewRoman" w:hAnsiTheme="minorHAnsi" w:cs="TimesNewRoman"/>
          <w:sz w:val="18"/>
          <w:szCs w:val="18"/>
        </w:rPr>
        <w:t>.</w:t>
      </w:r>
      <w:r w:rsidRPr="00C72E0E">
        <w:rPr>
          <w:rStyle w:val="Heading5Char"/>
          <w:rFonts w:eastAsia="TimesNewRoman"/>
        </w:rPr>
        <w:t>It is recommended that the sponsor confirms if the results of the study (192024-040) are now available and these results be included in the PSUR and if needed the RMP updated based on the study results.</w:t>
      </w:r>
    </w:p>
    <w:p w:rsidR="0059719E" w:rsidRDefault="0059719E" w:rsidP="0059719E">
      <w:pPr>
        <w:pStyle w:val="Heading6"/>
      </w:pPr>
      <w:r>
        <w:t>Sponsor’s response</w:t>
      </w:r>
    </w:p>
    <w:p w:rsidR="0059719E" w:rsidRPr="0059719E" w:rsidRDefault="0059719E" w:rsidP="0059719E">
      <w:r w:rsidRPr="0014303C">
        <w:rPr>
          <w:rFonts w:asciiTheme="minorHAnsi" w:eastAsia="TimesNewRoman" w:hAnsiTheme="minorHAnsi" w:cs="TimesNewRoman"/>
          <w:sz w:val="18"/>
          <w:szCs w:val="18"/>
        </w:rPr>
        <w:t xml:space="preserve">Allergan confirms that the results of the study (192024-040, </w:t>
      </w:r>
      <w:r w:rsidRPr="0014303C">
        <w:rPr>
          <w:rFonts w:asciiTheme="minorHAnsi" w:eastAsia="TimesNewRoman" w:hAnsiTheme="minorHAnsi" w:cs="TimesNewRoman,Italic"/>
          <w:i/>
          <w:iCs/>
          <w:sz w:val="18"/>
          <w:szCs w:val="18"/>
        </w:rPr>
        <w:t xml:space="preserve">A </w:t>
      </w:r>
      <w:proofErr w:type="spellStart"/>
      <w:r w:rsidRPr="0014303C">
        <w:rPr>
          <w:rFonts w:asciiTheme="minorHAnsi" w:eastAsia="TimesNewRoman" w:hAnsiTheme="minorHAnsi" w:cs="TimesNewRoman,Italic"/>
          <w:i/>
          <w:iCs/>
          <w:sz w:val="18"/>
          <w:szCs w:val="18"/>
        </w:rPr>
        <w:t>Multicenter</w:t>
      </w:r>
      <w:proofErr w:type="spellEnd"/>
      <w:r w:rsidRPr="0014303C">
        <w:rPr>
          <w:rFonts w:asciiTheme="minorHAnsi" w:eastAsia="TimesNewRoman" w:hAnsiTheme="minorHAnsi" w:cs="TimesNewRoman,Italic"/>
          <w:i/>
          <w:iCs/>
          <w:sz w:val="18"/>
          <w:szCs w:val="18"/>
        </w:rPr>
        <w:t xml:space="preserve">, Double-Masked, Randomized, </w:t>
      </w:r>
      <w:r w:rsidRPr="0059719E">
        <w:t xml:space="preserve">Parallel-Group Study Assessing the Safety and Efficacy of Once Daily Application of </w:t>
      </w:r>
      <w:proofErr w:type="spellStart"/>
      <w:r w:rsidRPr="0059719E">
        <w:t>Bimatoprost</w:t>
      </w:r>
      <w:proofErr w:type="spellEnd"/>
      <w:r w:rsidRPr="0059719E">
        <w:t xml:space="preserve"> Solution 0.03% Compared to Vehicle When Applied to the Eyelid Margins of </w:t>
      </w:r>
      <w:proofErr w:type="spellStart"/>
      <w:r w:rsidRPr="0059719E">
        <w:t>Pediatric</w:t>
      </w:r>
      <w:proofErr w:type="spellEnd"/>
      <w:r w:rsidRPr="0059719E">
        <w:t xml:space="preserve"> Subjects) are now available and these results will be included in the PSUR.</w:t>
      </w:r>
    </w:p>
    <w:p w:rsidR="0059719E" w:rsidRDefault="0059719E" w:rsidP="0059719E">
      <w:pPr>
        <w:pStyle w:val="Heading6"/>
      </w:pPr>
      <w:r w:rsidRPr="00C131B7">
        <w:t>OPR evaluator’s comment</w:t>
      </w:r>
    </w:p>
    <w:p w:rsidR="0059719E" w:rsidRDefault="0059719E" w:rsidP="0059719E">
      <w:r>
        <w:t>This was</w:t>
      </w:r>
      <w:r w:rsidRPr="0014303C">
        <w:t xml:space="preserve"> </w:t>
      </w:r>
      <w:r>
        <w:t xml:space="preserve">considered </w:t>
      </w:r>
      <w:r w:rsidRPr="0014303C">
        <w:t>acceptable</w:t>
      </w:r>
      <w:r>
        <w:t>.</w:t>
      </w:r>
    </w:p>
    <w:p w:rsidR="0059719E" w:rsidRDefault="0059719E" w:rsidP="0059719E">
      <w:pPr>
        <w:pStyle w:val="Heading5"/>
        <w:numPr>
          <w:ilvl w:val="0"/>
          <w:numId w:val="40"/>
        </w:numPr>
        <w:rPr>
          <w:rFonts w:eastAsia="TimesNewRoman"/>
        </w:rPr>
      </w:pPr>
      <w:r w:rsidRPr="0014303C">
        <w:rPr>
          <w:rFonts w:eastAsia="TimesNewRoman"/>
        </w:rPr>
        <w:t xml:space="preserve">Given the potential for paediatric off label use, it is recommended to the Delegate that the indication associated with </w:t>
      </w:r>
      <w:proofErr w:type="spellStart"/>
      <w:r>
        <w:rPr>
          <w:rFonts w:eastAsia="TimesNewRoman"/>
        </w:rPr>
        <w:t>Latisse</w:t>
      </w:r>
      <w:proofErr w:type="spellEnd"/>
      <w:r w:rsidRPr="0014303C">
        <w:rPr>
          <w:rFonts w:eastAsia="TimesNewRoman"/>
        </w:rPr>
        <w:t xml:space="preserve"> be restricted to persons aged 18 years and older until such time that the results for the study (192024-040) become available. It is recommended that the sponsor confirms if these results (192024-040) are now available and that the results be included and discussed in the next PSUR and if needed the RMP updated based on the study results.</w:t>
      </w:r>
    </w:p>
    <w:p w:rsidR="0059719E" w:rsidRDefault="0059719E" w:rsidP="0059719E">
      <w:pPr>
        <w:pStyle w:val="Heading6"/>
      </w:pPr>
      <w:r>
        <w:t>Sponsor’s response</w:t>
      </w:r>
    </w:p>
    <w:p w:rsidR="0059719E" w:rsidRDefault="0059719E" w:rsidP="0059719E">
      <w:r w:rsidRPr="0014303C">
        <w:t>The results of the 192024-040 p</w:t>
      </w:r>
      <w:r>
        <w:t>a</w:t>
      </w:r>
      <w:r w:rsidRPr="0014303C">
        <w:t xml:space="preserve">ediatric study are now available and will be discussed in the next PSUR. The results of this study demonstrate that </w:t>
      </w:r>
      <w:proofErr w:type="spellStart"/>
      <w:r w:rsidRPr="0014303C">
        <w:t>bimatoprost</w:t>
      </w:r>
      <w:proofErr w:type="spellEnd"/>
      <w:r w:rsidRPr="0014303C">
        <w:t xml:space="preserve"> solution 0.03% applied once daily for 4 months to the upper eyelid margins is an effective treatment for </w:t>
      </w:r>
      <w:proofErr w:type="spellStart"/>
      <w:r w:rsidRPr="0014303C">
        <w:t>hypotrichosis</w:t>
      </w:r>
      <w:proofErr w:type="spellEnd"/>
      <w:r w:rsidRPr="0014303C">
        <w:t xml:space="preserve"> of the eyelashes for the overall study population of p</w:t>
      </w:r>
      <w:r>
        <w:t>a</w:t>
      </w:r>
      <w:r w:rsidRPr="0014303C">
        <w:t xml:space="preserve">ediatric subjects 5 to 17 years of age. The results overall demonstrate that this regimen of </w:t>
      </w:r>
      <w:proofErr w:type="spellStart"/>
      <w:r w:rsidRPr="0014303C">
        <w:t>bimatoprost</w:t>
      </w:r>
      <w:proofErr w:type="spellEnd"/>
      <w:r w:rsidRPr="0014303C">
        <w:t xml:space="preserve"> is safe and well-tolerated in p</w:t>
      </w:r>
      <w:r>
        <w:t>a</w:t>
      </w:r>
      <w:r w:rsidRPr="0014303C">
        <w:t xml:space="preserve">ediatric subjects 5 to 17 years of age. The safety profile in this study is consistent with the known safety profile observed in the completed adult studies of </w:t>
      </w:r>
      <w:proofErr w:type="spellStart"/>
      <w:r w:rsidRPr="0014303C">
        <w:t>bimatoprost</w:t>
      </w:r>
      <w:proofErr w:type="spellEnd"/>
      <w:r w:rsidRPr="0014303C">
        <w:t xml:space="preserve"> compared with vehicle for the treatment of </w:t>
      </w:r>
      <w:proofErr w:type="spellStart"/>
      <w:r w:rsidRPr="0014303C">
        <w:t>hypotrichosis</w:t>
      </w:r>
      <w:proofErr w:type="spellEnd"/>
      <w:r w:rsidRPr="0014303C">
        <w:t xml:space="preserve"> of the eyelashes. Allergan does not propose to develop or market </w:t>
      </w:r>
      <w:proofErr w:type="spellStart"/>
      <w:r>
        <w:t>Latisse</w:t>
      </w:r>
      <w:proofErr w:type="spellEnd"/>
      <w:r w:rsidRPr="0014303C">
        <w:t xml:space="preserve"> for use in individuals under 18 years of age.</w:t>
      </w:r>
    </w:p>
    <w:p w:rsidR="0059719E" w:rsidRPr="00C131B7" w:rsidRDefault="0059719E" w:rsidP="0059719E">
      <w:pPr>
        <w:pStyle w:val="Heading6"/>
      </w:pPr>
      <w:r w:rsidRPr="00C131B7">
        <w:lastRenderedPageBreak/>
        <w:t>OPR evaluator’s comment</w:t>
      </w:r>
    </w:p>
    <w:p w:rsidR="0059719E" w:rsidRDefault="0059719E" w:rsidP="0059719E">
      <w:r>
        <w:t>This wa</w:t>
      </w:r>
      <w:r w:rsidRPr="0014303C">
        <w:t xml:space="preserve">s </w:t>
      </w:r>
      <w:r>
        <w:t xml:space="preserve">considered </w:t>
      </w:r>
      <w:r w:rsidRPr="0014303C">
        <w:t>acceptable</w:t>
      </w:r>
      <w:r>
        <w:t>.</w:t>
      </w:r>
    </w:p>
    <w:p w:rsidR="0059719E" w:rsidRDefault="0059719E" w:rsidP="0059719E">
      <w:pPr>
        <w:pStyle w:val="Heading5"/>
        <w:numPr>
          <w:ilvl w:val="0"/>
          <w:numId w:val="40"/>
        </w:numPr>
        <w:rPr>
          <w:rFonts w:eastAsia="TimesNewRoman"/>
        </w:rPr>
      </w:pPr>
      <w:r w:rsidRPr="0014303C">
        <w:rPr>
          <w:rFonts w:eastAsia="TimesNewRoman"/>
        </w:rPr>
        <w:t xml:space="preserve">The potential for off label use with </w:t>
      </w:r>
      <w:proofErr w:type="spellStart"/>
      <w:r>
        <w:rPr>
          <w:rFonts w:eastAsia="TimesNewRoman"/>
        </w:rPr>
        <w:t>Latisse</w:t>
      </w:r>
      <w:proofErr w:type="spellEnd"/>
      <w:r w:rsidRPr="0014303C">
        <w:rPr>
          <w:rFonts w:eastAsia="TimesNewRoman"/>
        </w:rPr>
        <w:t xml:space="preserve"> is significant. It is the evaluator's recommendation that off label use should be listed as an important potential risk in the RMP and that monitoring and discussion of off-label use form a standard part of future PSUR for </w:t>
      </w:r>
      <w:proofErr w:type="spellStart"/>
      <w:r>
        <w:rPr>
          <w:rFonts w:eastAsia="TimesNewRoman"/>
        </w:rPr>
        <w:t>Latisse</w:t>
      </w:r>
      <w:proofErr w:type="spellEnd"/>
      <w:r w:rsidRPr="0014303C">
        <w:rPr>
          <w:rFonts w:eastAsia="TimesNewRoman"/>
        </w:rPr>
        <w:t>.</w:t>
      </w:r>
    </w:p>
    <w:p w:rsidR="0059719E" w:rsidRDefault="0059719E" w:rsidP="0059719E">
      <w:pPr>
        <w:pStyle w:val="Heading6"/>
      </w:pPr>
      <w:r>
        <w:t>Sponsor’s response</w:t>
      </w:r>
    </w:p>
    <w:p w:rsidR="0059719E" w:rsidRDefault="0059719E" w:rsidP="0059719E">
      <w:r w:rsidRPr="0014303C">
        <w:t>In compliance with current PSUR requirements, Allergan does monitor, analy</w:t>
      </w:r>
      <w:r>
        <w:t>s</w:t>
      </w:r>
      <w:r w:rsidRPr="0014303C">
        <w:t>e and report off label use. The company will discuss this as a potential risk in the RMP, if required.</w:t>
      </w:r>
    </w:p>
    <w:p w:rsidR="0059719E" w:rsidRDefault="0059719E" w:rsidP="0059719E">
      <w:pPr>
        <w:pStyle w:val="Heading6"/>
      </w:pPr>
      <w:r w:rsidRPr="00C131B7">
        <w:t>OPR evaluator’s comment</w:t>
      </w:r>
    </w:p>
    <w:p w:rsidR="0059719E" w:rsidRPr="00C72E0E" w:rsidRDefault="0059719E" w:rsidP="0059719E">
      <w:r>
        <w:t>It wa</w:t>
      </w:r>
      <w:r w:rsidRPr="0014303C">
        <w:t>s recommended this be added as a potential risk in RMP. This is then acceptable.</w:t>
      </w:r>
    </w:p>
    <w:p w:rsidR="0059719E" w:rsidRPr="00C72E0E" w:rsidRDefault="0059719E" w:rsidP="0059719E">
      <w:pPr>
        <w:pStyle w:val="TableTitle"/>
        <w:numPr>
          <w:ilvl w:val="0"/>
          <w:numId w:val="40"/>
        </w:numPr>
        <w:rPr>
          <w:lang w:eastAsia="en-AU"/>
        </w:rPr>
      </w:pPr>
      <w:r w:rsidRPr="00C72E0E">
        <w:rPr>
          <w:lang w:eastAsia="en-AU"/>
        </w:rPr>
        <w:t xml:space="preserve">It is recommended to the Delegate that the sponsor should investigate and seek follow up for all reports of exposure in patients who become pregnant while on </w:t>
      </w:r>
      <w:proofErr w:type="spellStart"/>
      <w:r w:rsidRPr="00C72E0E">
        <w:rPr>
          <w:lang w:eastAsia="en-AU"/>
        </w:rPr>
        <w:t>Latisse</w:t>
      </w:r>
      <w:proofErr w:type="spellEnd"/>
      <w:r w:rsidRPr="00C72E0E">
        <w:rPr>
          <w:lang w:eastAsia="en-AU"/>
        </w:rPr>
        <w:t xml:space="preserve"> to determine the outcome of each event. Close monitoring of women who become pregnant is recommended. It is recommended that the Australian PI be updated to include the sentence "Administration of </w:t>
      </w:r>
      <w:proofErr w:type="spellStart"/>
      <w:r w:rsidRPr="00C72E0E">
        <w:rPr>
          <w:lang w:eastAsia="en-AU"/>
        </w:rPr>
        <w:t>Latisse</w:t>
      </w:r>
      <w:proofErr w:type="spellEnd"/>
      <w:r w:rsidRPr="00C72E0E">
        <w:rPr>
          <w:lang w:eastAsia="en-AU"/>
        </w:rPr>
        <w:t xml:space="preserve"> should cease following confirmation of a pregnancy".</w:t>
      </w:r>
    </w:p>
    <w:p w:rsidR="0059719E" w:rsidRDefault="0059719E" w:rsidP="0059719E">
      <w:pPr>
        <w:pStyle w:val="Heading6"/>
        <w:rPr>
          <w:lang w:eastAsia="en-AU"/>
        </w:rPr>
      </w:pPr>
      <w:r w:rsidRPr="00C72E0E">
        <w:rPr>
          <w:lang w:eastAsia="en-AU"/>
        </w:rPr>
        <w:t>Sponsor’s response</w:t>
      </w:r>
    </w:p>
    <w:p w:rsidR="0059719E" w:rsidRDefault="0059719E" w:rsidP="0059719E">
      <w:pPr>
        <w:rPr>
          <w:lang w:eastAsia="en-AU"/>
        </w:rPr>
      </w:pPr>
      <w:r w:rsidRPr="00C72E0E">
        <w:rPr>
          <w:lang w:eastAsia="en-AU"/>
        </w:rPr>
        <w:t xml:space="preserve">Allergan currently has a process for follow up in patients who report a pregnancy while on any Allergan product including </w:t>
      </w:r>
      <w:proofErr w:type="spellStart"/>
      <w:r w:rsidRPr="00C72E0E">
        <w:rPr>
          <w:lang w:eastAsia="en-AU"/>
        </w:rPr>
        <w:t>Latisse</w:t>
      </w:r>
      <w:proofErr w:type="spellEnd"/>
      <w:r w:rsidRPr="00C72E0E">
        <w:rPr>
          <w:lang w:eastAsia="en-AU"/>
        </w:rPr>
        <w:t xml:space="preserve">. All pregnancies reported are captured in the Allergan Global Safety database which contains all </w:t>
      </w:r>
      <w:proofErr w:type="spellStart"/>
      <w:r w:rsidRPr="00C72E0E">
        <w:rPr>
          <w:lang w:eastAsia="en-AU"/>
        </w:rPr>
        <w:t>postmarketing</w:t>
      </w:r>
      <w:proofErr w:type="spellEnd"/>
      <w:r w:rsidRPr="00C72E0E">
        <w:rPr>
          <w:lang w:eastAsia="en-AU"/>
        </w:rPr>
        <w:t xml:space="preserve"> adverse event reports as well as serious adverse events from clinical trials. When a pregnancy is reported, the reporter is asked to provide an estimated date of conception and /or estimated due date. They are also asked to contact Allergan after delivery to report the outcome of the pregnancy. The estimated date of conception/due date is used to program a reminder to the case owner to follow up with the reporter and obtain an outcome to the pregnancy. The case owner makes three attempts at contacting the reporter once the estimated date of delivery is triggered. Allergan agrees with the recommendation to include the following language regarding pregnancy: "</w:t>
      </w:r>
      <w:proofErr w:type="spellStart"/>
      <w:r w:rsidRPr="00C72E0E">
        <w:rPr>
          <w:lang w:eastAsia="en-AU"/>
        </w:rPr>
        <w:t>Latisse</w:t>
      </w:r>
      <w:proofErr w:type="spellEnd"/>
      <w:r w:rsidRPr="00C72E0E">
        <w:rPr>
          <w:lang w:eastAsia="en-AU"/>
        </w:rPr>
        <w:t xml:space="preserve"> should not be used during pregnancy. Administration of </w:t>
      </w:r>
      <w:proofErr w:type="spellStart"/>
      <w:r w:rsidRPr="00C72E0E">
        <w:rPr>
          <w:lang w:eastAsia="en-AU"/>
        </w:rPr>
        <w:t>Latisse</w:t>
      </w:r>
      <w:proofErr w:type="spellEnd"/>
      <w:r w:rsidRPr="00C72E0E">
        <w:rPr>
          <w:lang w:eastAsia="en-AU"/>
        </w:rPr>
        <w:t xml:space="preserve"> should cease following confirmation of a pregnancy".</w:t>
      </w:r>
    </w:p>
    <w:p w:rsidR="0059719E" w:rsidRDefault="0059719E" w:rsidP="0059719E">
      <w:pPr>
        <w:pStyle w:val="Heading6"/>
        <w:rPr>
          <w:lang w:eastAsia="en-AU"/>
        </w:rPr>
      </w:pPr>
      <w:r w:rsidRPr="00C72E0E">
        <w:rPr>
          <w:lang w:eastAsia="en-AU"/>
        </w:rPr>
        <w:t>OPR evaluator’s comment</w:t>
      </w:r>
    </w:p>
    <w:p w:rsidR="0059719E" w:rsidRPr="00C72E0E" w:rsidRDefault="0059719E" w:rsidP="0059719E">
      <w:pPr>
        <w:rPr>
          <w:lang w:eastAsia="en-AU"/>
        </w:rPr>
      </w:pPr>
      <w:r>
        <w:rPr>
          <w:lang w:eastAsia="en-AU"/>
        </w:rPr>
        <w:t>This was</w:t>
      </w:r>
      <w:r w:rsidRPr="00C72E0E">
        <w:rPr>
          <w:lang w:eastAsia="en-AU"/>
        </w:rPr>
        <w:t xml:space="preserve"> </w:t>
      </w:r>
      <w:r>
        <w:rPr>
          <w:lang w:eastAsia="en-AU"/>
        </w:rPr>
        <w:t xml:space="preserve">considered </w:t>
      </w:r>
      <w:r w:rsidRPr="00C72E0E">
        <w:rPr>
          <w:lang w:eastAsia="en-AU"/>
        </w:rPr>
        <w:t>acceptable</w:t>
      </w:r>
      <w:r>
        <w:rPr>
          <w:lang w:eastAsia="en-AU"/>
        </w:rPr>
        <w:t>.</w:t>
      </w:r>
    </w:p>
    <w:p w:rsidR="0059719E" w:rsidRDefault="0059719E" w:rsidP="0059719E">
      <w:pPr>
        <w:pStyle w:val="Heading5"/>
        <w:rPr>
          <w:lang w:eastAsia="en-AU"/>
        </w:rPr>
      </w:pPr>
      <w:r>
        <w:rPr>
          <w:lang w:eastAsia="en-AU"/>
        </w:rPr>
        <w:t>PI and CMI</w:t>
      </w:r>
    </w:p>
    <w:p w:rsidR="0059719E" w:rsidRDefault="0059719E" w:rsidP="0059719E">
      <w:pPr>
        <w:rPr>
          <w:lang w:eastAsia="en-AU"/>
        </w:rPr>
      </w:pPr>
      <w:r>
        <w:rPr>
          <w:lang w:eastAsia="en-AU"/>
        </w:rPr>
        <w:t xml:space="preserve">The RMP evaluator also recommended changes to the draft PI and </w:t>
      </w:r>
      <w:proofErr w:type="spellStart"/>
      <w:r>
        <w:rPr>
          <w:lang w:eastAsia="en-AU"/>
        </w:rPr>
        <w:t>Coonsumer</w:t>
      </w:r>
      <w:proofErr w:type="spellEnd"/>
      <w:r>
        <w:rPr>
          <w:lang w:eastAsia="en-AU"/>
        </w:rPr>
        <w:t xml:space="preserve"> Medicine Information documents but these are beyond the scope of this AusPAR.</w:t>
      </w:r>
    </w:p>
    <w:p w:rsidR="0059719E" w:rsidRDefault="0059719E" w:rsidP="0059719E">
      <w:pPr>
        <w:pStyle w:val="Heading4"/>
        <w:rPr>
          <w:lang w:eastAsia="en-AU"/>
        </w:rPr>
      </w:pPr>
      <w:r>
        <w:rPr>
          <w:lang w:eastAsia="en-AU"/>
        </w:rPr>
        <w:t>Summary of recommendations</w:t>
      </w:r>
    </w:p>
    <w:p w:rsidR="0059719E" w:rsidRPr="0026181E" w:rsidRDefault="0059719E" w:rsidP="0059719E">
      <w:pPr>
        <w:pStyle w:val="Heading5"/>
      </w:pPr>
      <w:bookmarkStart w:id="184" w:name="_Toc314842510"/>
      <w:r w:rsidRPr="0026181E">
        <w:t>Outstanding issues</w:t>
      </w:r>
    </w:p>
    <w:p w:rsidR="0059719E" w:rsidRPr="0026181E" w:rsidRDefault="0059719E" w:rsidP="0059719E">
      <w:pPr>
        <w:pStyle w:val="Heading6"/>
      </w:pPr>
      <w:r w:rsidRPr="0026181E">
        <w:t xml:space="preserve">Issues in relation to the RMP </w:t>
      </w:r>
    </w:p>
    <w:p w:rsidR="0059719E" w:rsidRPr="0026181E" w:rsidRDefault="0059719E" w:rsidP="0059719E">
      <w:pPr>
        <w:rPr>
          <w:lang w:eastAsia="en-AU"/>
        </w:rPr>
      </w:pPr>
      <w:r w:rsidRPr="0026181E">
        <w:rPr>
          <w:b/>
          <w:lang w:eastAsia="en-AU"/>
        </w:rPr>
        <w:t>Point 1:</w:t>
      </w:r>
      <w:r w:rsidRPr="0026181E">
        <w:rPr>
          <w:lang w:eastAsia="en-AU"/>
        </w:rPr>
        <w:t xml:space="preserve"> It is recommended to the Delegate that if </w:t>
      </w:r>
      <w:proofErr w:type="spellStart"/>
      <w:r w:rsidRPr="0026181E">
        <w:rPr>
          <w:lang w:eastAsia="en-AU"/>
        </w:rPr>
        <w:t>Latisse</w:t>
      </w:r>
      <w:proofErr w:type="spellEnd"/>
      <w:r w:rsidRPr="0026181E">
        <w:rPr>
          <w:lang w:eastAsia="en-AU"/>
        </w:rPr>
        <w:t xml:space="preserve"> is to gain registration as a therapeutic good for the listed indication, it would need to be solely indicated for individuals with a </w:t>
      </w:r>
      <w:r w:rsidRPr="0026181E">
        <w:rPr>
          <w:rFonts w:cs="TimesNewRoman,Italic"/>
          <w:i/>
          <w:iCs/>
          <w:lang w:eastAsia="en-AU"/>
        </w:rPr>
        <w:t xml:space="preserve">diagnosed medical disorder </w:t>
      </w:r>
      <w:r w:rsidRPr="0026181E">
        <w:rPr>
          <w:lang w:eastAsia="en-AU"/>
        </w:rPr>
        <w:t xml:space="preserve">resulting in eyelash </w:t>
      </w:r>
      <w:proofErr w:type="spellStart"/>
      <w:r w:rsidRPr="0026181E">
        <w:rPr>
          <w:lang w:eastAsia="en-AU"/>
        </w:rPr>
        <w:t>hypotrichosis</w:t>
      </w:r>
      <w:proofErr w:type="spellEnd"/>
      <w:r w:rsidRPr="0026181E">
        <w:rPr>
          <w:lang w:eastAsia="en-AU"/>
        </w:rPr>
        <w:t>/loss.</w:t>
      </w:r>
    </w:p>
    <w:p w:rsidR="0059719E" w:rsidRPr="0026181E" w:rsidRDefault="0059719E" w:rsidP="0059719E">
      <w:pPr>
        <w:rPr>
          <w:b/>
          <w:lang w:eastAsia="en-AU"/>
        </w:rPr>
      </w:pPr>
      <w:r w:rsidRPr="0026181E">
        <w:rPr>
          <w:lang w:eastAsia="en-AU"/>
        </w:rPr>
        <w:t xml:space="preserve">The sponsor has argued that prescription of </w:t>
      </w:r>
      <w:proofErr w:type="spellStart"/>
      <w:r w:rsidRPr="0026181E">
        <w:rPr>
          <w:lang w:eastAsia="en-AU"/>
        </w:rPr>
        <w:t>Latisse</w:t>
      </w:r>
      <w:proofErr w:type="spellEnd"/>
      <w:r w:rsidRPr="0026181E">
        <w:rPr>
          <w:lang w:eastAsia="en-AU"/>
        </w:rPr>
        <w:t xml:space="preserve"> would not be restricted to a diagnosed medical disorder and general practitioners and cosmetic physicians should be able to prescribe </w:t>
      </w:r>
      <w:proofErr w:type="spellStart"/>
      <w:r w:rsidRPr="0026181E">
        <w:rPr>
          <w:lang w:eastAsia="en-AU"/>
        </w:rPr>
        <w:t>Latisse</w:t>
      </w:r>
      <w:proofErr w:type="spellEnd"/>
      <w:r w:rsidRPr="0026181E">
        <w:rPr>
          <w:lang w:eastAsia="en-AU"/>
        </w:rPr>
        <w:t>.</w:t>
      </w:r>
    </w:p>
    <w:p w:rsidR="0059719E" w:rsidRPr="0070082D" w:rsidRDefault="0059719E" w:rsidP="0059719E">
      <w:pPr>
        <w:rPr>
          <w:lang w:eastAsia="en-AU"/>
        </w:rPr>
      </w:pPr>
      <w:r w:rsidRPr="0070082D">
        <w:rPr>
          <w:b/>
          <w:lang w:eastAsia="en-AU"/>
        </w:rPr>
        <w:lastRenderedPageBreak/>
        <w:t>Evaluators comment</w:t>
      </w:r>
      <w:r w:rsidRPr="0070082D">
        <w:rPr>
          <w:lang w:eastAsia="en-AU"/>
        </w:rPr>
        <w:t xml:space="preserve">: It remains a concern that there is a high risk that </w:t>
      </w:r>
      <w:proofErr w:type="spellStart"/>
      <w:r w:rsidRPr="0070082D">
        <w:rPr>
          <w:lang w:eastAsia="en-AU"/>
        </w:rPr>
        <w:t>Latisse</w:t>
      </w:r>
      <w:proofErr w:type="spellEnd"/>
      <w:r w:rsidRPr="0070082D">
        <w:rPr>
          <w:lang w:eastAsia="en-AU"/>
        </w:rPr>
        <w:t xml:space="preserve"> would be used for cosmetic reasons including as stated by the sponsor </w:t>
      </w:r>
      <w:r w:rsidRPr="0070082D">
        <w:rPr>
          <w:i/>
          <w:lang w:eastAsia="en-AU"/>
        </w:rPr>
        <w:t xml:space="preserve">“dissatisfaction with eyelash length”. </w:t>
      </w:r>
      <w:r w:rsidRPr="0070082D">
        <w:rPr>
          <w:lang w:eastAsia="en-AU"/>
        </w:rPr>
        <w:t>Similarly it is of concern that</w:t>
      </w:r>
      <w:r w:rsidRPr="0070082D">
        <w:rPr>
          <w:i/>
          <w:lang w:eastAsia="en-AU"/>
        </w:rPr>
        <w:t xml:space="preserve"> </w:t>
      </w:r>
      <w:r w:rsidRPr="0070082D">
        <w:rPr>
          <w:lang w:eastAsia="en-AU"/>
        </w:rPr>
        <w:t xml:space="preserve">the sponsor is relying on self-diagnosis by patients. The sponsor reports that </w:t>
      </w:r>
      <w:r w:rsidRPr="0070082D">
        <w:rPr>
          <w:i/>
          <w:lang w:eastAsia="en-AU"/>
        </w:rPr>
        <w:t xml:space="preserve">“Patients with </w:t>
      </w:r>
      <w:proofErr w:type="spellStart"/>
      <w:r w:rsidRPr="0070082D">
        <w:rPr>
          <w:i/>
          <w:lang w:eastAsia="en-AU"/>
        </w:rPr>
        <w:t>hypotrichosis</w:t>
      </w:r>
      <w:proofErr w:type="spellEnd"/>
      <w:r w:rsidRPr="0070082D">
        <w:rPr>
          <w:i/>
          <w:lang w:eastAsia="en-AU"/>
        </w:rPr>
        <w:t xml:space="preserve"> in a localised area such as the eyelashes would be able to easily self-diagnose the condition by visual examination”. </w:t>
      </w:r>
      <w:r w:rsidRPr="0070082D">
        <w:rPr>
          <w:lang w:eastAsia="en-AU"/>
        </w:rPr>
        <w:t>Both examples rely on subjective rather than clinical assessments.</w:t>
      </w:r>
    </w:p>
    <w:p w:rsidR="0059719E" w:rsidRPr="0070082D" w:rsidRDefault="0059719E" w:rsidP="0059719E">
      <w:pPr>
        <w:rPr>
          <w:b/>
          <w:lang w:eastAsia="en-AU"/>
        </w:rPr>
      </w:pPr>
      <w:r w:rsidRPr="0070082D">
        <w:rPr>
          <w:lang w:eastAsia="en-AU"/>
        </w:rPr>
        <w:t xml:space="preserve">Given the strong potential for significant off-label use, it remains the recommendation of the evaluator that the prescribing of </w:t>
      </w:r>
      <w:proofErr w:type="spellStart"/>
      <w:r w:rsidRPr="0070082D">
        <w:rPr>
          <w:lang w:eastAsia="en-AU"/>
        </w:rPr>
        <w:t>Latisse</w:t>
      </w:r>
      <w:proofErr w:type="spellEnd"/>
      <w:r w:rsidRPr="0070082D">
        <w:rPr>
          <w:lang w:eastAsia="en-AU"/>
        </w:rPr>
        <w:t xml:space="preserve"> be restricted to specialist physicians.</w:t>
      </w:r>
    </w:p>
    <w:p w:rsidR="0059719E" w:rsidRPr="0026181E" w:rsidRDefault="0059719E" w:rsidP="0059719E">
      <w:pPr>
        <w:rPr>
          <w:lang w:eastAsia="en-AU"/>
        </w:rPr>
      </w:pPr>
      <w:r w:rsidRPr="0026181E">
        <w:rPr>
          <w:b/>
          <w:lang w:eastAsia="en-AU"/>
        </w:rPr>
        <w:t>Point 6</w:t>
      </w:r>
      <w:r w:rsidRPr="0026181E">
        <w:rPr>
          <w:lang w:eastAsia="en-AU"/>
        </w:rPr>
        <w:t>: It is noted that Allergan has agreed to include eye irritation and eye pruritus in the patient information leaflet as these are commonly occurring adverse events.</w:t>
      </w:r>
    </w:p>
    <w:p w:rsidR="0059719E" w:rsidRPr="0026181E" w:rsidRDefault="0059719E" w:rsidP="0059719E">
      <w:pPr>
        <w:rPr>
          <w:lang w:eastAsia="en-AU"/>
        </w:rPr>
      </w:pPr>
      <w:r>
        <w:rPr>
          <w:lang w:eastAsia="en-AU"/>
        </w:rPr>
        <w:t>It is suggested to the D</w:t>
      </w:r>
      <w:r w:rsidRPr="0026181E">
        <w:rPr>
          <w:lang w:eastAsia="en-AU"/>
        </w:rPr>
        <w:t>elegate that the following sentence also be added.</w:t>
      </w:r>
      <w:r>
        <w:rPr>
          <w:lang w:eastAsia="en-AU"/>
        </w:rPr>
        <w:t xml:space="preserve"> The wording is taken from the s</w:t>
      </w:r>
      <w:r w:rsidRPr="0026181E">
        <w:rPr>
          <w:lang w:eastAsia="en-AU"/>
        </w:rPr>
        <w:t>ponsor</w:t>
      </w:r>
      <w:r>
        <w:rPr>
          <w:lang w:eastAsia="en-AU"/>
        </w:rPr>
        <w:t>’</w:t>
      </w:r>
      <w:r w:rsidRPr="0026181E">
        <w:rPr>
          <w:lang w:eastAsia="en-AU"/>
        </w:rPr>
        <w:t>s response. “</w:t>
      </w:r>
      <w:r w:rsidRPr="0070082D">
        <w:rPr>
          <w:i/>
          <w:lang w:eastAsia="en-AU"/>
        </w:rPr>
        <w:t xml:space="preserve">These events resolve by discontinuing </w:t>
      </w:r>
      <w:proofErr w:type="spellStart"/>
      <w:r w:rsidRPr="0070082D">
        <w:rPr>
          <w:i/>
          <w:lang w:eastAsia="en-AU"/>
        </w:rPr>
        <w:t>Latisse</w:t>
      </w:r>
      <w:proofErr w:type="spellEnd"/>
      <w:r w:rsidRPr="0070082D">
        <w:rPr>
          <w:i/>
          <w:lang w:eastAsia="en-AU"/>
        </w:rPr>
        <w:t>”.</w:t>
      </w:r>
      <w:r w:rsidRPr="0026181E">
        <w:rPr>
          <w:lang w:eastAsia="en-AU"/>
        </w:rPr>
        <w:t xml:space="preserve"> </w:t>
      </w:r>
    </w:p>
    <w:p w:rsidR="0059719E" w:rsidRPr="0026181E" w:rsidRDefault="0059719E" w:rsidP="0059719E">
      <w:r w:rsidRPr="0026181E">
        <w:rPr>
          <w:lang w:eastAsia="en-AU"/>
        </w:rPr>
        <w:t>Furthermore it is recommended that this information be included in the product information.</w:t>
      </w:r>
    </w:p>
    <w:p w:rsidR="0059719E" w:rsidRPr="0070082D" w:rsidRDefault="0059719E" w:rsidP="0059719E">
      <w:pPr>
        <w:pStyle w:val="Heading6"/>
      </w:pPr>
      <w:r w:rsidRPr="0070082D">
        <w:t xml:space="preserve">Advice from the </w:t>
      </w:r>
      <w:r w:rsidRPr="0070082D">
        <w:rPr>
          <w:rStyle w:val="st1"/>
        </w:rPr>
        <w:t>Advisory Committee on the Safety of Medicines (ACSOM)</w:t>
      </w:r>
    </w:p>
    <w:p w:rsidR="0059719E" w:rsidRDefault="0059719E" w:rsidP="0059719E">
      <w:r w:rsidRPr="0026181E">
        <w:t>ACSOM advice was not sought for this submission.</w:t>
      </w:r>
    </w:p>
    <w:p w:rsidR="0059719E" w:rsidRPr="0026181E" w:rsidRDefault="0059719E" w:rsidP="0059719E">
      <w:pPr>
        <w:pStyle w:val="Heading5"/>
      </w:pPr>
      <w:r w:rsidRPr="0026181E">
        <w:t xml:space="preserve">Suggested wording for conditions of registration </w:t>
      </w:r>
    </w:p>
    <w:p w:rsidR="0059719E" w:rsidRPr="0026181E" w:rsidRDefault="0059719E" w:rsidP="0059719E">
      <w:pPr>
        <w:pStyle w:val="Heading6"/>
      </w:pPr>
      <w:r w:rsidRPr="0026181E">
        <w:t>RMP</w:t>
      </w:r>
    </w:p>
    <w:p w:rsidR="0059719E" w:rsidRPr="0026181E" w:rsidRDefault="0059719E" w:rsidP="0059719E">
      <w:pPr>
        <w:rPr>
          <w:rFonts w:cstheme="majorHAnsi"/>
        </w:rPr>
      </w:pPr>
      <w:r w:rsidRPr="0026181E">
        <w:t xml:space="preserve">Implement RMP </w:t>
      </w:r>
      <w:r w:rsidRPr="0026181E">
        <w:rPr>
          <w:rFonts w:eastAsia="MS Mincho"/>
          <w:lang w:eastAsia="en-AU"/>
        </w:rPr>
        <w:t>EU RMP version 1.3 dated 29 May 2012 [data lock point 31 Dec 2011]</w:t>
      </w:r>
      <w:r>
        <w:rPr>
          <w:rFonts w:eastAsia="MS Mincho"/>
          <w:lang w:eastAsia="en-AU"/>
        </w:rPr>
        <w:t xml:space="preserve"> </w:t>
      </w:r>
      <w:r w:rsidRPr="0026181E">
        <w:rPr>
          <w:rFonts w:cstheme="majorHAnsi"/>
        </w:rPr>
        <w:t>and Australian-specific Annex (</w:t>
      </w:r>
      <w:r w:rsidRPr="0026181E">
        <w:rPr>
          <w:rFonts w:eastAsia="MS Mincho"/>
          <w:lang w:eastAsia="en-AU"/>
        </w:rPr>
        <w:t>12 July 2012</w:t>
      </w:r>
      <w:r w:rsidRPr="0026181E">
        <w:rPr>
          <w:rFonts w:cstheme="majorHAnsi"/>
        </w:rPr>
        <w:t>)</w:t>
      </w:r>
      <w:r w:rsidRPr="0026181E">
        <w:t xml:space="preserve"> and any future updates as a condition of registration.</w:t>
      </w:r>
    </w:p>
    <w:p w:rsidR="0059719E" w:rsidRPr="00792A32" w:rsidRDefault="0059719E" w:rsidP="0059719E">
      <w:pPr>
        <w:pStyle w:val="Heading2"/>
      </w:pPr>
      <w:bookmarkStart w:id="185" w:name="_Toc388513999"/>
      <w:bookmarkStart w:id="186" w:name="_Toc55464740"/>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8"/>
      <w:bookmarkEnd w:id="183"/>
      <w:bookmarkEnd w:id="184"/>
      <w:bookmarkEnd w:id="185"/>
      <w:bookmarkEnd w:id="186"/>
    </w:p>
    <w:p w:rsidR="0059719E" w:rsidRDefault="0059719E" w:rsidP="0059719E">
      <w:bookmarkStart w:id="187" w:name="_Toc247691528"/>
      <w:r>
        <w:t xml:space="preserve">The submission was summarised in the following </w:t>
      </w:r>
      <w:r w:rsidRPr="00EF5C48">
        <w:t xml:space="preserve">Delegate’s </w:t>
      </w:r>
      <w:r>
        <w:t>overview</w:t>
      </w:r>
      <w:r w:rsidRPr="00EF5C48">
        <w:t xml:space="preserve"> and recommendation</w:t>
      </w:r>
      <w:r>
        <w:t>s:</w:t>
      </w:r>
    </w:p>
    <w:p w:rsidR="0059719E" w:rsidRDefault="0059719E" w:rsidP="0059719E">
      <w:pPr>
        <w:pStyle w:val="Heading3"/>
      </w:pPr>
      <w:bookmarkStart w:id="188" w:name="_Toc314842511"/>
      <w:bookmarkStart w:id="189" w:name="_Toc388514000"/>
      <w:bookmarkStart w:id="190" w:name="_Toc55464741"/>
      <w:r>
        <w:t>Quality</w:t>
      </w:r>
      <w:bookmarkEnd w:id="187"/>
      <w:bookmarkEnd w:id="188"/>
      <w:bookmarkEnd w:id="189"/>
      <w:bookmarkEnd w:id="190"/>
    </w:p>
    <w:p w:rsidR="0059719E" w:rsidRPr="00E400AC" w:rsidRDefault="0059719E" w:rsidP="0059719E">
      <w:r w:rsidRPr="00E400AC">
        <w:t>There ar</w:t>
      </w:r>
      <w:r>
        <w:t>e no outstanding quality</w:t>
      </w:r>
      <w:r w:rsidRPr="00E400AC">
        <w:t xml:space="preserve"> issues. Ad</w:t>
      </w:r>
      <w:r>
        <w:t>vice from PSC was not sought.</w:t>
      </w:r>
    </w:p>
    <w:p w:rsidR="0059719E" w:rsidRPr="00C87A46" w:rsidRDefault="0059719E" w:rsidP="0059719E">
      <w:r w:rsidRPr="00E400AC">
        <w:t xml:space="preserve">The stability data </w:t>
      </w:r>
      <w:r>
        <w:t xml:space="preserve">for </w:t>
      </w:r>
      <w:proofErr w:type="spellStart"/>
      <w:r>
        <w:t>Latisse</w:t>
      </w:r>
      <w:proofErr w:type="spellEnd"/>
      <w:r>
        <w:t xml:space="preserve"> support a shelf-life of 2 years </w:t>
      </w:r>
      <w:r w:rsidRPr="00E400AC">
        <w:t>below 25°C for the unopened produc</w:t>
      </w:r>
      <w:r>
        <w:t>t, and 4 weeks</w:t>
      </w:r>
      <w:r w:rsidRPr="00E400AC">
        <w:t xml:space="preserve"> for </w:t>
      </w:r>
      <w:r>
        <w:t xml:space="preserve">the </w:t>
      </w:r>
      <w:r w:rsidRPr="00E400AC">
        <w:t>opened product.</w:t>
      </w:r>
    </w:p>
    <w:p w:rsidR="0059719E" w:rsidRDefault="0059719E" w:rsidP="0059719E">
      <w:pPr>
        <w:pStyle w:val="Heading3"/>
      </w:pPr>
      <w:bookmarkStart w:id="191" w:name="_Toc314842512"/>
      <w:bookmarkStart w:id="192" w:name="_Toc388514001"/>
      <w:bookmarkStart w:id="193" w:name="_Toc55464742"/>
      <w:r>
        <w:t>Nonclinical</w:t>
      </w:r>
      <w:bookmarkEnd w:id="191"/>
      <w:bookmarkEnd w:id="192"/>
      <w:bookmarkEnd w:id="193"/>
    </w:p>
    <w:p w:rsidR="0059719E" w:rsidRPr="00E400AC" w:rsidRDefault="0059719E" w:rsidP="0059719E">
      <w:proofErr w:type="spellStart"/>
      <w:r w:rsidRPr="00E400AC">
        <w:t>Bimatoprost</w:t>
      </w:r>
      <w:proofErr w:type="spellEnd"/>
      <w:r w:rsidRPr="00E400AC">
        <w:t xml:space="preserve"> is a synthetic </w:t>
      </w:r>
      <w:proofErr w:type="spellStart"/>
      <w:r w:rsidRPr="00E400AC">
        <w:t>prostami</w:t>
      </w:r>
      <w:r>
        <w:t>de</w:t>
      </w:r>
      <w:proofErr w:type="spellEnd"/>
      <w:r>
        <w:t xml:space="preserve"> (prostaglandin ethanol amide) and is</w:t>
      </w:r>
      <w:r w:rsidRPr="00E400AC">
        <w:t xml:space="preserve"> structurally related to prostaglandin F</w:t>
      </w:r>
      <w:r w:rsidRPr="00E400AC">
        <w:rPr>
          <w:vertAlign w:val="subscript"/>
        </w:rPr>
        <w:t>2α</w:t>
      </w:r>
      <w:r w:rsidRPr="00E400AC">
        <w:t xml:space="preserve"> (PGF</w:t>
      </w:r>
      <w:r w:rsidRPr="00E400AC">
        <w:rPr>
          <w:vertAlign w:val="subscript"/>
        </w:rPr>
        <w:t>2α</w:t>
      </w:r>
      <w:r w:rsidRPr="00E400AC">
        <w:t>).</w:t>
      </w:r>
    </w:p>
    <w:p w:rsidR="0059719E" w:rsidRDefault="0059719E" w:rsidP="0059719E">
      <w:r w:rsidRPr="00E400AC">
        <w:t xml:space="preserve">The submission relies on nonclinical dossier submitted with the previous </w:t>
      </w:r>
      <w:r>
        <w:t xml:space="preserve">submission </w:t>
      </w:r>
      <w:r w:rsidRPr="00E400AC">
        <w:t>which was with</w:t>
      </w:r>
      <w:r>
        <w:t>drawn by the sponsor</w:t>
      </w:r>
      <w:r w:rsidRPr="00E400AC">
        <w:t xml:space="preserve">. </w:t>
      </w:r>
    </w:p>
    <w:p w:rsidR="0059719E" w:rsidRPr="00E400AC" w:rsidRDefault="0059719E" w:rsidP="0059719E">
      <w:r w:rsidRPr="00E400AC">
        <w:t xml:space="preserve">There are no nonclinical objections to registration based on previously seen data including data relating </w:t>
      </w:r>
      <w:r>
        <w:t xml:space="preserve">to topical, ocular, </w:t>
      </w:r>
      <w:r w:rsidRPr="00E400AC">
        <w:t>oral and intravenous routes.</w:t>
      </w:r>
    </w:p>
    <w:p w:rsidR="0059719E" w:rsidRPr="00E400AC" w:rsidRDefault="0059719E" w:rsidP="0059719E">
      <w:proofErr w:type="spellStart"/>
      <w:r w:rsidRPr="00E400AC">
        <w:t>Bimatoprost</w:t>
      </w:r>
      <w:proofErr w:type="spellEnd"/>
      <w:r w:rsidRPr="00E400AC">
        <w:t xml:space="preserve"> (</w:t>
      </w:r>
      <w:r>
        <w:t>≥ 10nM) has been</w:t>
      </w:r>
      <w:r w:rsidRPr="00E400AC">
        <w:t xml:space="preserve"> shown to increase hair </w:t>
      </w:r>
      <w:r w:rsidRPr="007406FF">
        <w:t>synthesis in vitro in</w:t>
      </w:r>
      <w:r w:rsidRPr="00E400AC">
        <w:t xml:space="preserve"> cultured human scalp hair f</w:t>
      </w:r>
      <w:r>
        <w:t>ollicles in the growing</w:t>
      </w:r>
      <w:r w:rsidRPr="00E400AC">
        <w:t xml:space="preserve"> phase, acting via a </w:t>
      </w:r>
      <w:proofErr w:type="spellStart"/>
      <w:r w:rsidRPr="00E400AC">
        <w:t>prostamide</w:t>
      </w:r>
      <w:proofErr w:type="spellEnd"/>
      <w:r>
        <w:t xml:space="preserve"> </w:t>
      </w:r>
      <w:r w:rsidRPr="00E400AC">
        <w:t>receptor dependent mechanism. Effects on hair growth are reported for other members of the class, as well as PGF</w:t>
      </w:r>
      <w:r w:rsidRPr="00E400AC">
        <w:rPr>
          <w:vertAlign w:val="subscript"/>
        </w:rPr>
        <w:t>2</w:t>
      </w:r>
      <w:r>
        <w:rPr>
          <w:vertAlign w:val="subscript"/>
        </w:rPr>
        <w:sym w:font="Symbol" w:char="F061"/>
      </w:r>
      <w:r w:rsidRPr="00E400AC">
        <w:t xml:space="preserve">. Limited dermal penetration of </w:t>
      </w:r>
      <w:proofErr w:type="spellStart"/>
      <w:r w:rsidRPr="00E400AC">
        <w:t>bimatoprost</w:t>
      </w:r>
      <w:proofErr w:type="spellEnd"/>
      <w:r w:rsidRPr="00E400AC">
        <w:t xml:space="preserve"> was evident in mice following topical application to dorsal skin (systemic exposure, &lt;</w:t>
      </w:r>
      <w:r>
        <w:t xml:space="preserve"> 0.1% of that in skin).</w:t>
      </w:r>
    </w:p>
    <w:p w:rsidR="0059719E" w:rsidRPr="00C87A46" w:rsidRDefault="0059719E" w:rsidP="0059719E">
      <w:r>
        <w:lastRenderedPageBreak/>
        <w:t xml:space="preserve"> A Pregnancy Category B3 is proposed for </w:t>
      </w:r>
      <w:proofErr w:type="spellStart"/>
      <w:r>
        <w:t>Latisse</w:t>
      </w:r>
      <w:proofErr w:type="spellEnd"/>
      <w:r>
        <w:t>.</w:t>
      </w:r>
    </w:p>
    <w:p w:rsidR="0059719E" w:rsidRDefault="0059719E" w:rsidP="0059719E">
      <w:pPr>
        <w:pStyle w:val="Heading3"/>
      </w:pPr>
      <w:bookmarkStart w:id="194" w:name="_Toc247691530"/>
      <w:bookmarkStart w:id="195" w:name="_Toc314842513"/>
      <w:bookmarkStart w:id="196" w:name="_Toc388514002"/>
      <w:bookmarkStart w:id="197" w:name="_Toc55464743"/>
      <w:r>
        <w:t>Clinical</w:t>
      </w:r>
      <w:bookmarkEnd w:id="194"/>
      <w:bookmarkEnd w:id="195"/>
      <w:bookmarkEnd w:id="196"/>
      <w:bookmarkEnd w:id="197"/>
    </w:p>
    <w:p w:rsidR="0059719E" w:rsidRPr="000D3818" w:rsidRDefault="0059719E" w:rsidP="0059719E">
      <w:pPr>
        <w:pStyle w:val="Heading4"/>
      </w:pPr>
      <w:bookmarkStart w:id="198" w:name="_Toc314842514"/>
      <w:r>
        <w:t>Background</w:t>
      </w:r>
    </w:p>
    <w:p w:rsidR="0059719E" w:rsidRPr="00E400AC" w:rsidRDefault="0059719E" w:rsidP="0059719E">
      <w:r>
        <w:t xml:space="preserve">The </w:t>
      </w:r>
      <w:r w:rsidRPr="00E400AC">
        <w:t>clinical evaluati</w:t>
      </w:r>
      <w:r>
        <w:t>on report prepared for the previous submission</w:t>
      </w:r>
      <w:r w:rsidRPr="00E400AC">
        <w:t xml:space="preserve"> concluded that there were a number of de</w:t>
      </w:r>
      <w:r>
        <w:t xml:space="preserve">ficiencies including, among others, poorly understood mechanism of action, </w:t>
      </w:r>
      <w:r w:rsidRPr="00E400AC">
        <w:t>optimal</w:t>
      </w:r>
      <w:r>
        <w:t xml:space="preserve"> dose not identified, persistence of efficacy beyond 4 months with or without treatment was not known, potential use in</w:t>
      </w:r>
      <w:r w:rsidRPr="00E400AC">
        <w:t xml:space="preserve"> population groups </w:t>
      </w:r>
      <w:r>
        <w:t xml:space="preserve">that </w:t>
      </w:r>
      <w:r w:rsidRPr="00E400AC">
        <w:t>had not been adequately studied</w:t>
      </w:r>
      <w:r>
        <w:t xml:space="preserve">, insufficient safety data such as effect on IOP </w:t>
      </w:r>
      <w:r w:rsidRPr="00E400AC">
        <w:t>and th</w:t>
      </w:r>
      <w:r>
        <w:t>e possible role of the excipient</w:t>
      </w:r>
      <w:r w:rsidRPr="00E400AC">
        <w:t xml:space="preserve"> BAK had not been assessed. The </w:t>
      </w:r>
      <w:r>
        <w:t>report recommended rejection.</w:t>
      </w:r>
    </w:p>
    <w:p w:rsidR="0059719E" w:rsidRDefault="0059719E" w:rsidP="0059719E">
      <w:r>
        <w:t>In response, s</w:t>
      </w:r>
      <w:r w:rsidRPr="00E400AC">
        <w:t>upplementary data was submitte</w:t>
      </w:r>
      <w:r>
        <w:t>d and a supplementary clinical evaluation prepared which concluded that</w:t>
      </w:r>
      <w:r w:rsidRPr="00E400AC">
        <w:t xml:space="preserve"> </w:t>
      </w:r>
      <w:r w:rsidRPr="008D2B1E">
        <w:t>the product has not been adequately characterised in terms of mode of action, efficacy, or safety in the proposed usage.</w:t>
      </w:r>
      <w:r w:rsidRPr="00E400AC">
        <w:rPr>
          <w:i/>
        </w:rPr>
        <w:t xml:space="preserve"> </w:t>
      </w:r>
      <w:r w:rsidRPr="008D2B1E">
        <w:t>The clinical evaluator was of the view that for a cosmetic product, a high standard of evidence should be required to support</w:t>
      </w:r>
      <w:r>
        <w:t xml:space="preserve"> registration and </w:t>
      </w:r>
      <w:r w:rsidRPr="00E400AC">
        <w:t xml:space="preserve">recommended </w:t>
      </w:r>
      <w:r>
        <w:t>rejection. The submission</w:t>
      </w:r>
      <w:r w:rsidRPr="00E400AC">
        <w:t xml:space="preserve"> was </w:t>
      </w:r>
      <w:r>
        <w:t>subsequently withdrawn by the sponsor prior to seeking advice from the ACPM.</w:t>
      </w:r>
    </w:p>
    <w:p w:rsidR="0059719E" w:rsidRDefault="0059719E" w:rsidP="0059719E">
      <w:r w:rsidRPr="00E400AC">
        <w:t xml:space="preserve">The </w:t>
      </w:r>
      <w:r>
        <w:t xml:space="preserve">current </w:t>
      </w:r>
      <w:r w:rsidRPr="00E400AC">
        <w:t>clinical dossier contained additiona</w:t>
      </w:r>
      <w:r>
        <w:t xml:space="preserve">l data compared to the clinical </w:t>
      </w:r>
      <w:r w:rsidRPr="00E400AC">
        <w:t>dossier</w:t>
      </w:r>
      <w:r>
        <w:t xml:space="preserve"> submitted with the previous submission</w:t>
      </w:r>
      <w:r w:rsidRPr="00E400AC">
        <w:t>. The clinical evaluator supports approval</w:t>
      </w:r>
      <w:r>
        <w:t>.</w:t>
      </w:r>
    </w:p>
    <w:p w:rsidR="0059719E" w:rsidRDefault="0059719E" w:rsidP="0059719E">
      <w:r>
        <w:t>Studies 192024-033 (evaluation of GEA scale</w:t>
      </w:r>
      <w:r>
        <w:rPr>
          <w:rStyle w:val="FootnoteReference"/>
        </w:rPr>
        <w:footnoteReference w:id="10"/>
      </w:r>
      <w:r>
        <w:t>; see CER) and 192024-032 (4 months efficacy study) were included in the previous dossier. Additional studies now include 192024-038 (pivotal efficacy 12 months study), 192024-039 (Phase VI study in African-Americans) and 192024-051 (dose response). The Study 192024-031 in glaucoma is not relevant to this application.</w:t>
      </w:r>
    </w:p>
    <w:p w:rsidR="0059719E" w:rsidRDefault="0059719E" w:rsidP="0059719E">
      <w:r w:rsidRPr="00E400AC">
        <w:t xml:space="preserve">For </w:t>
      </w:r>
      <w:bookmarkStart w:id="199" w:name="_Toc290846279"/>
      <w:bookmarkStart w:id="200" w:name="_Toc356979931"/>
      <w:r w:rsidRPr="00E400AC">
        <w:t xml:space="preserve">the </w:t>
      </w:r>
      <w:r>
        <w:t>S</w:t>
      </w:r>
      <w:r w:rsidRPr="00E400AC">
        <w:t>tudy 192024-039</w:t>
      </w:r>
      <w:bookmarkEnd w:id="199"/>
      <w:bookmarkEnd w:id="200"/>
      <w:r>
        <w:t xml:space="preserve"> (post-</w:t>
      </w:r>
      <w:r w:rsidRPr="00E400AC">
        <w:t xml:space="preserve">market study in </w:t>
      </w:r>
      <w:r>
        <w:t xml:space="preserve">89 </w:t>
      </w:r>
      <w:r w:rsidRPr="00E400AC">
        <w:t xml:space="preserve">African Americans), </w:t>
      </w:r>
      <w:bookmarkStart w:id="201" w:name="_Toc290846280"/>
      <w:bookmarkStart w:id="202" w:name="_Toc356979932"/>
      <w:r>
        <w:t>S</w:t>
      </w:r>
      <w:r w:rsidRPr="00E400AC">
        <w:t xml:space="preserve">tudy </w:t>
      </w:r>
      <w:bookmarkEnd w:id="201"/>
      <w:r w:rsidRPr="00E400AC">
        <w:t>192024-033</w:t>
      </w:r>
      <w:bookmarkEnd w:id="202"/>
      <w:r w:rsidRPr="00E400AC">
        <w:t xml:space="preserve"> (validation of GEA scale) and for pooled analysis of </w:t>
      </w:r>
      <w:r>
        <w:t>S</w:t>
      </w:r>
      <w:r w:rsidRPr="00E400AC">
        <w:t>tudies</w:t>
      </w:r>
      <w:r>
        <w:t xml:space="preserve"> 192024-32, -38 and -39, please see the accompanying clinical evaluation report (CER-Attachment 1).</w:t>
      </w:r>
    </w:p>
    <w:p w:rsidR="0059719E" w:rsidRPr="00B80298" w:rsidRDefault="0059719E" w:rsidP="0059719E">
      <w:pPr>
        <w:pStyle w:val="Heading4"/>
      </w:pPr>
      <w:r w:rsidRPr="00B80298">
        <w:t>Dose Finding</w:t>
      </w:r>
    </w:p>
    <w:p w:rsidR="0059719E" w:rsidRPr="002009F6" w:rsidRDefault="0059719E" w:rsidP="0059719E">
      <w:pPr>
        <w:pStyle w:val="Heading5"/>
      </w:pPr>
      <w:r w:rsidRPr="002009F6">
        <w:t>Study 192024-051</w:t>
      </w:r>
    </w:p>
    <w:p w:rsidR="0059719E" w:rsidRDefault="0059719E" w:rsidP="0059719E">
      <w:r>
        <w:t>This study has been provided to support the proposed dosing although the results did not initially inform the planning of the Phase III clinical trial which the dose approved in the treatment of glaucoma was selected for testing in the new indication.</w:t>
      </w:r>
    </w:p>
    <w:p w:rsidR="0059719E" w:rsidRDefault="0059719E" w:rsidP="0059719E">
      <w:r>
        <w:t xml:space="preserve">The study was randomised, double blind design. Two lower dose strengths of </w:t>
      </w:r>
      <w:proofErr w:type="spellStart"/>
      <w:r w:rsidRPr="00E400AC">
        <w:t>bimatoprost</w:t>
      </w:r>
      <w:proofErr w:type="spellEnd"/>
      <w:r w:rsidRPr="00E400AC">
        <w:t xml:space="preserve"> </w:t>
      </w:r>
      <w:r>
        <w:t xml:space="preserve">(0.005% and </w:t>
      </w:r>
      <w:r w:rsidRPr="00E400AC">
        <w:t>0.</w:t>
      </w:r>
      <w:r>
        <w:t xml:space="preserve">015%) of a different formulation were compared to the proposed </w:t>
      </w:r>
      <w:proofErr w:type="spellStart"/>
      <w:r>
        <w:t>Latisse</w:t>
      </w:r>
      <w:proofErr w:type="spellEnd"/>
      <w:r w:rsidRPr="00E400AC">
        <w:t xml:space="preserve"> </w:t>
      </w:r>
      <w:r>
        <w:t>(</w:t>
      </w:r>
      <w:proofErr w:type="spellStart"/>
      <w:r>
        <w:t>bimatoprost</w:t>
      </w:r>
      <w:proofErr w:type="spellEnd"/>
      <w:r>
        <w:t xml:space="preserve"> 0.03for dose response with respect to</w:t>
      </w:r>
      <w:r w:rsidRPr="00E400AC">
        <w:t xml:space="preserve"> increasin</w:t>
      </w:r>
      <w:r>
        <w:t>g eyelash prominence (length, thickness</w:t>
      </w:r>
      <w:r w:rsidRPr="00E400AC">
        <w:t>, darkness</w:t>
      </w:r>
      <w:r>
        <w:t xml:space="preserve">, and overall prominence). The duration of treatment was 3 months of treatment. The participating population consisted of </w:t>
      </w:r>
      <w:r w:rsidRPr="00E400AC">
        <w:t xml:space="preserve">healthy </w:t>
      </w:r>
      <w:r>
        <w:t xml:space="preserve">adult </w:t>
      </w:r>
      <w:r w:rsidRPr="00E400AC">
        <w:t xml:space="preserve">female Caucasian subjects with </w:t>
      </w:r>
      <w:proofErr w:type="spellStart"/>
      <w:r>
        <w:t>hypotrichosis</w:t>
      </w:r>
      <w:proofErr w:type="spellEnd"/>
      <w:r>
        <w:t xml:space="preserve"> of the eyelashes (Global Eyelash Assessment (GEA) score of 1 or 2). The groups were comparable at baseline. The study drugs were applied bilaterally to upper eye lid margin once daily for 3 months.</w:t>
      </w:r>
    </w:p>
    <w:p w:rsidR="0059719E" w:rsidRDefault="0059719E" w:rsidP="0059719E">
      <w:r>
        <w:t>A dose response, with respect to the primary efficacy outcome of eye lash length measured using digital image analysis, was evident as shown below (Table 14).</w:t>
      </w:r>
    </w:p>
    <w:p w:rsidR="0059719E" w:rsidRDefault="0059719E" w:rsidP="0059719E">
      <w:pPr>
        <w:pStyle w:val="TableTitle"/>
      </w:pPr>
      <w:r>
        <w:lastRenderedPageBreak/>
        <w:t>Table 14. Study 192024-051 Eyelash length in mm; baseline and change from baseline at each follow up visit (</w:t>
      </w:r>
      <w:proofErr w:type="spellStart"/>
      <w:r>
        <w:t>mITT</w:t>
      </w:r>
      <w:proofErr w:type="spellEnd"/>
      <w:r>
        <w:t xml:space="preserve"> population)</w:t>
      </w:r>
    </w:p>
    <w:tbl>
      <w:tblPr>
        <w:tblStyle w:val="TableTGAblue"/>
        <w:tblW w:w="0" w:type="auto"/>
        <w:tblLook w:val="04A0" w:firstRow="1" w:lastRow="0" w:firstColumn="1" w:lastColumn="0" w:noHBand="0" w:noVBand="1"/>
      </w:tblPr>
      <w:tblGrid>
        <w:gridCol w:w="1984"/>
        <w:gridCol w:w="1941"/>
        <w:gridCol w:w="1570"/>
        <w:gridCol w:w="1407"/>
        <w:gridCol w:w="1134"/>
      </w:tblGrid>
      <w:tr w:rsidR="0059719E" w:rsidRPr="001A3D87" w:rsidTr="001A3D87">
        <w:trPr>
          <w:cnfStyle w:val="100000000000" w:firstRow="1" w:lastRow="0" w:firstColumn="0" w:lastColumn="0" w:oddVBand="0" w:evenVBand="0" w:oddHBand="0" w:evenHBand="0" w:firstRowFirstColumn="0" w:firstRowLastColumn="0" w:lastRowFirstColumn="0" w:lastRowLastColumn="0"/>
        </w:trPr>
        <w:tc>
          <w:tcPr>
            <w:tcW w:w="1984" w:type="dxa"/>
          </w:tcPr>
          <w:p w:rsidR="0059719E" w:rsidRPr="001A3D87" w:rsidRDefault="0059719E" w:rsidP="001A3D87">
            <w:pPr>
              <w:rPr>
                <w:b w:val="0"/>
              </w:rPr>
            </w:pPr>
            <w:r w:rsidRPr="001A3D87">
              <w:rPr>
                <w:b w:val="0"/>
              </w:rPr>
              <w:t>Visit Statistics</w:t>
            </w:r>
          </w:p>
        </w:tc>
        <w:tc>
          <w:tcPr>
            <w:tcW w:w="1941" w:type="dxa"/>
          </w:tcPr>
          <w:p w:rsidR="0059719E" w:rsidRPr="001A3D87" w:rsidRDefault="0059719E" w:rsidP="001A3D87">
            <w:pPr>
              <w:rPr>
                <w:b w:val="0"/>
              </w:rPr>
            </w:pPr>
            <w:proofErr w:type="spellStart"/>
            <w:r w:rsidRPr="001A3D87">
              <w:rPr>
                <w:b w:val="0"/>
              </w:rPr>
              <w:t>Bim</w:t>
            </w:r>
            <w:proofErr w:type="spellEnd"/>
            <w:r w:rsidRPr="001A3D87">
              <w:rPr>
                <w:b w:val="0"/>
              </w:rPr>
              <w:t xml:space="preserve"> 0.005%(n=36)</w:t>
            </w:r>
          </w:p>
        </w:tc>
        <w:tc>
          <w:tcPr>
            <w:tcW w:w="1570" w:type="dxa"/>
          </w:tcPr>
          <w:p w:rsidR="0059719E" w:rsidRPr="001A3D87" w:rsidRDefault="0059719E" w:rsidP="001A3D87">
            <w:pPr>
              <w:rPr>
                <w:b w:val="0"/>
              </w:rPr>
            </w:pPr>
            <w:proofErr w:type="spellStart"/>
            <w:r w:rsidRPr="001A3D87">
              <w:rPr>
                <w:b w:val="0"/>
              </w:rPr>
              <w:t>Bim</w:t>
            </w:r>
            <w:proofErr w:type="spellEnd"/>
            <w:r w:rsidRPr="001A3D87">
              <w:rPr>
                <w:b w:val="0"/>
              </w:rPr>
              <w:t xml:space="preserve"> 0.015% (n=34)</w:t>
            </w:r>
            <w:r w:rsidR="00D81834" w:rsidRPr="001A3D87">
              <w:rPr>
                <w:b w:val="0"/>
              </w:rPr>
              <w:t xml:space="preserve"> </w:t>
            </w:r>
            <w:r w:rsidRPr="001A3D87">
              <w:rPr>
                <w:b w:val="0"/>
              </w:rPr>
              <w:t xml:space="preserve"> </w:t>
            </w:r>
          </w:p>
        </w:tc>
        <w:tc>
          <w:tcPr>
            <w:tcW w:w="1407" w:type="dxa"/>
          </w:tcPr>
          <w:p w:rsidR="0059719E" w:rsidRPr="001A3D87" w:rsidRDefault="0059719E" w:rsidP="001A3D87">
            <w:pPr>
              <w:rPr>
                <w:b w:val="0"/>
              </w:rPr>
            </w:pPr>
            <w:proofErr w:type="spellStart"/>
            <w:r w:rsidRPr="001A3D87">
              <w:rPr>
                <w:b w:val="0"/>
              </w:rPr>
              <w:t>Latisse</w:t>
            </w:r>
            <w:proofErr w:type="spellEnd"/>
            <w:r w:rsidRPr="001A3D87">
              <w:rPr>
                <w:b w:val="0"/>
              </w:rPr>
              <w:t xml:space="preserve"> 0.03%</w:t>
            </w:r>
            <w:r w:rsidR="001A3D87">
              <w:rPr>
                <w:b w:val="0"/>
              </w:rPr>
              <w:t xml:space="preserve"> </w:t>
            </w:r>
            <w:r w:rsidRPr="001A3D87">
              <w:rPr>
                <w:b w:val="0"/>
              </w:rPr>
              <w:t>(n=34)</w:t>
            </w:r>
          </w:p>
        </w:tc>
        <w:tc>
          <w:tcPr>
            <w:tcW w:w="1134" w:type="dxa"/>
          </w:tcPr>
          <w:p w:rsidR="0059719E" w:rsidRPr="001A3D87" w:rsidRDefault="0059719E" w:rsidP="001A3D87">
            <w:pPr>
              <w:rPr>
                <w:b w:val="0"/>
              </w:rPr>
            </w:pPr>
            <w:r w:rsidRPr="001A3D87">
              <w:rPr>
                <w:b w:val="0"/>
              </w:rPr>
              <w:t>P value</w:t>
            </w:r>
          </w:p>
        </w:tc>
      </w:tr>
      <w:tr w:rsidR="0059719E" w:rsidRPr="001A3D87" w:rsidTr="001A3D87">
        <w:tc>
          <w:tcPr>
            <w:tcW w:w="1984" w:type="dxa"/>
          </w:tcPr>
          <w:p w:rsidR="0059719E" w:rsidRPr="001A3D87" w:rsidRDefault="0059719E" w:rsidP="001A3D87">
            <w:r w:rsidRPr="001A3D87">
              <w:t>Day 1</w:t>
            </w:r>
          </w:p>
        </w:tc>
        <w:tc>
          <w:tcPr>
            <w:tcW w:w="1941" w:type="dxa"/>
          </w:tcPr>
          <w:p w:rsidR="0059719E" w:rsidRPr="001A3D87" w:rsidRDefault="0059719E" w:rsidP="001A3D87"/>
        </w:tc>
        <w:tc>
          <w:tcPr>
            <w:tcW w:w="1570" w:type="dxa"/>
          </w:tcPr>
          <w:p w:rsidR="0059719E" w:rsidRPr="001A3D87" w:rsidRDefault="0059719E" w:rsidP="001A3D87"/>
        </w:tc>
        <w:tc>
          <w:tcPr>
            <w:tcW w:w="1407" w:type="dxa"/>
          </w:tcPr>
          <w:p w:rsidR="0059719E" w:rsidRPr="001A3D87" w:rsidRDefault="0059719E" w:rsidP="001A3D87"/>
        </w:tc>
        <w:tc>
          <w:tcPr>
            <w:tcW w:w="1134" w:type="dxa"/>
          </w:tcPr>
          <w:p w:rsidR="0059719E" w:rsidRPr="001A3D87" w:rsidRDefault="0059719E" w:rsidP="001A3D87"/>
        </w:tc>
      </w:tr>
      <w:tr w:rsidR="0059719E" w:rsidRPr="001A3D87" w:rsidTr="001A3D87">
        <w:tc>
          <w:tcPr>
            <w:tcW w:w="1984" w:type="dxa"/>
          </w:tcPr>
          <w:p w:rsidR="0059719E" w:rsidRPr="001A3D87" w:rsidRDefault="0059719E" w:rsidP="001A3D87">
            <w:r w:rsidRPr="001A3D87">
              <w:t>N</w:t>
            </w:r>
          </w:p>
        </w:tc>
        <w:tc>
          <w:tcPr>
            <w:tcW w:w="1941" w:type="dxa"/>
          </w:tcPr>
          <w:p w:rsidR="0059719E" w:rsidRPr="001A3D87" w:rsidRDefault="0059719E" w:rsidP="001A3D87">
            <w:r w:rsidRPr="001A3D87">
              <w:t>36</w:t>
            </w:r>
          </w:p>
        </w:tc>
        <w:tc>
          <w:tcPr>
            <w:tcW w:w="1570" w:type="dxa"/>
          </w:tcPr>
          <w:p w:rsidR="0059719E" w:rsidRPr="001A3D87" w:rsidRDefault="0059719E" w:rsidP="001A3D87">
            <w:r w:rsidRPr="001A3D87">
              <w:t>33</w:t>
            </w:r>
          </w:p>
        </w:tc>
        <w:tc>
          <w:tcPr>
            <w:tcW w:w="1407" w:type="dxa"/>
          </w:tcPr>
          <w:p w:rsidR="0059719E" w:rsidRPr="001A3D87" w:rsidRDefault="0059719E" w:rsidP="001A3D87">
            <w:r w:rsidRPr="001A3D87">
              <w:t>34</w:t>
            </w:r>
          </w:p>
        </w:tc>
        <w:tc>
          <w:tcPr>
            <w:tcW w:w="1134" w:type="dxa"/>
          </w:tcPr>
          <w:p w:rsidR="0059719E" w:rsidRPr="001A3D87" w:rsidRDefault="0059719E" w:rsidP="001A3D87">
            <w:r w:rsidRPr="001A3D87">
              <w:t>0.311</w:t>
            </w:r>
          </w:p>
        </w:tc>
      </w:tr>
      <w:tr w:rsidR="0059719E" w:rsidRPr="001A3D87" w:rsidTr="001A3D87">
        <w:tc>
          <w:tcPr>
            <w:tcW w:w="1984" w:type="dxa"/>
          </w:tcPr>
          <w:p w:rsidR="0059719E" w:rsidRPr="001A3D87" w:rsidRDefault="0059719E" w:rsidP="001A3D87">
            <w:r w:rsidRPr="001A3D87">
              <w:t>Mean</w:t>
            </w:r>
          </w:p>
        </w:tc>
        <w:tc>
          <w:tcPr>
            <w:tcW w:w="1941" w:type="dxa"/>
          </w:tcPr>
          <w:p w:rsidR="0059719E" w:rsidRPr="001A3D87" w:rsidRDefault="0059719E" w:rsidP="001A3D87">
            <w:r w:rsidRPr="001A3D87">
              <w:t>5.65</w:t>
            </w:r>
          </w:p>
        </w:tc>
        <w:tc>
          <w:tcPr>
            <w:tcW w:w="1570" w:type="dxa"/>
          </w:tcPr>
          <w:p w:rsidR="0059719E" w:rsidRPr="001A3D87" w:rsidRDefault="0059719E" w:rsidP="001A3D87">
            <w:r w:rsidRPr="001A3D87">
              <w:t>5.68</w:t>
            </w:r>
          </w:p>
        </w:tc>
        <w:tc>
          <w:tcPr>
            <w:tcW w:w="1407" w:type="dxa"/>
          </w:tcPr>
          <w:p w:rsidR="0059719E" w:rsidRPr="001A3D87" w:rsidRDefault="0059719E" w:rsidP="001A3D87">
            <w:r w:rsidRPr="001A3D87">
              <w:t>5.95</w:t>
            </w:r>
          </w:p>
        </w:tc>
        <w:tc>
          <w:tcPr>
            <w:tcW w:w="1134" w:type="dxa"/>
          </w:tcPr>
          <w:p w:rsidR="0059719E" w:rsidRPr="001A3D87" w:rsidRDefault="0059719E" w:rsidP="001A3D87"/>
        </w:tc>
      </w:tr>
      <w:tr w:rsidR="0059719E" w:rsidRPr="001A3D87" w:rsidTr="001A3D87">
        <w:tc>
          <w:tcPr>
            <w:tcW w:w="1984" w:type="dxa"/>
          </w:tcPr>
          <w:p w:rsidR="0059719E" w:rsidRPr="001A3D87" w:rsidRDefault="0059719E" w:rsidP="001A3D87">
            <w:r w:rsidRPr="001A3D87">
              <w:t>SD</w:t>
            </w:r>
          </w:p>
        </w:tc>
        <w:tc>
          <w:tcPr>
            <w:tcW w:w="1941" w:type="dxa"/>
          </w:tcPr>
          <w:p w:rsidR="0059719E" w:rsidRPr="001A3D87" w:rsidRDefault="0059719E" w:rsidP="001A3D87">
            <w:r w:rsidRPr="001A3D87">
              <w:t>0.763</w:t>
            </w:r>
          </w:p>
        </w:tc>
        <w:tc>
          <w:tcPr>
            <w:tcW w:w="1570" w:type="dxa"/>
          </w:tcPr>
          <w:p w:rsidR="0059719E" w:rsidRPr="001A3D87" w:rsidRDefault="0059719E" w:rsidP="001A3D87">
            <w:r w:rsidRPr="001A3D87">
              <w:t>0.613</w:t>
            </w:r>
          </w:p>
        </w:tc>
        <w:tc>
          <w:tcPr>
            <w:tcW w:w="1407" w:type="dxa"/>
          </w:tcPr>
          <w:p w:rsidR="0059719E" w:rsidRPr="001A3D87" w:rsidRDefault="0059719E" w:rsidP="001A3D87">
            <w:r w:rsidRPr="001A3D87">
              <w:t>0.744</w:t>
            </w:r>
          </w:p>
        </w:tc>
        <w:tc>
          <w:tcPr>
            <w:tcW w:w="1134" w:type="dxa"/>
          </w:tcPr>
          <w:p w:rsidR="0059719E" w:rsidRPr="001A3D87" w:rsidRDefault="0059719E" w:rsidP="001A3D87"/>
        </w:tc>
      </w:tr>
      <w:tr w:rsidR="0059719E" w:rsidRPr="001A3D87" w:rsidTr="001A3D87">
        <w:tc>
          <w:tcPr>
            <w:tcW w:w="1984" w:type="dxa"/>
          </w:tcPr>
          <w:p w:rsidR="0059719E" w:rsidRPr="001A3D87" w:rsidRDefault="0059719E" w:rsidP="001A3D87">
            <w:r w:rsidRPr="001A3D87">
              <w:t>Median</w:t>
            </w:r>
          </w:p>
        </w:tc>
        <w:tc>
          <w:tcPr>
            <w:tcW w:w="1941" w:type="dxa"/>
          </w:tcPr>
          <w:p w:rsidR="0059719E" w:rsidRPr="001A3D87" w:rsidRDefault="0059719E" w:rsidP="001A3D87">
            <w:r w:rsidRPr="001A3D87">
              <w:t>5.80</w:t>
            </w:r>
          </w:p>
        </w:tc>
        <w:tc>
          <w:tcPr>
            <w:tcW w:w="1570" w:type="dxa"/>
          </w:tcPr>
          <w:p w:rsidR="0059719E" w:rsidRPr="001A3D87" w:rsidRDefault="0059719E" w:rsidP="001A3D87">
            <w:r w:rsidRPr="001A3D87">
              <w:t>5.60</w:t>
            </w:r>
          </w:p>
        </w:tc>
        <w:tc>
          <w:tcPr>
            <w:tcW w:w="1407" w:type="dxa"/>
          </w:tcPr>
          <w:p w:rsidR="0059719E" w:rsidRPr="001A3D87" w:rsidRDefault="0059719E" w:rsidP="001A3D87">
            <w:r w:rsidRPr="001A3D87">
              <w:t>6.00</w:t>
            </w:r>
          </w:p>
        </w:tc>
        <w:tc>
          <w:tcPr>
            <w:tcW w:w="1134" w:type="dxa"/>
          </w:tcPr>
          <w:p w:rsidR="0059719E" w:rsidRPr="001A3D87" w:rsidRDefault="0059719E" w:rsidP="001A3D87"/>
        </w:tc>
      </w:tr>
      <w:tr w:rsidR="0059719E" w:rsidRPr="001A3D87" w:rsidTr="001A3D87">
        <w:tc>
          <w:tcPr>
            <w:tcW w:w="1984" w:type="dxa"/>
          </w:tcPr>
          <w:p w:rsidR="0059719E" w:rsidRPr="001A3D87" w:rsidRDefault="0059719E" w:rsidP="001A3D87">
            <w:r w:rsidRPr="001A3D87">
              <w:t>Min</w:t>
            </w:r>
          </w:p>
        </w:tc>
        <w:tc>
          <w:tcPr>
            <w:tcW w:w="1941" w:type="dxa"/>
          </w:tcPr>
          <w:p w:rsidR="0059719E" w:rsidRPr="001A3D87" w:rsidRDefault="0059719E" w:rsidP="001A3D87">
            <w:r w:rsidRPr="001A3D87">
              <w:t>4.1</w:t>
            </w:r>
          </w:p>
        </w:tc>
        <w:tc>
          <w:tcPr>
            <w:tcW w:w="1570" w:type="dxa"/>
          </w:tcPr>
          <w:p w:rsidR="0059719E" w:rsidRPr="001A3D87" w:rsidRDefault="0059719E" w:rsidP="001A3D87">
            <w:r w:rsidRPr="001A3D87">
              <w:t>4.6</w:t>
            </w:r>
          </w:p>
        </w:tc>
        <w:tc>
          <w:tcPr>
            <w:tcW w:w="1407" w:type="dxa"/>
          </w:tcPr>
          <w:p w:rsidR="0059719E" w:rsidRPr="001A3D87" w:rsidRDefault="0059719E" w:rsidP="001A3D87">
            <w:r w:rsidRPr="001A3D87">
              <w:t>4.4</w:t>
            </w:r>
          </w:p>
        </w:tc>
        <w:tc>
          <w:tcPr>
            <w:tcW w:w="1134" w:type="dxa"/>
          </w:tcPr>
          <w:p w:rsidR="0059719E" w:rsidRPr="001A3D87" w:rsidRDefault="0059719E" w:rsidP="001A3D87"/>
        </w:tc>
      </w:tr>
      <w:tr w:rsidR="0059719E" w:rsidRPr="001A3D87" w:rsidTr="001A3D87">
        <w:tc>
          <w:tcPr>
            <w:tcW w:w="1984" w:type="dxa"/>
          </w:tcPr>
          <w:p w:rsidR="0059719E" w:rsidRPr="001A3D87" w:rsidRDefault="0059719E" w:rsidP="001A3D87">
            <w:r w:rsidRPr="001A3D87">
              <w:t>Max</w:t>
            </w:r>
          </w:p>
        </w:tc>
        <w:tc>
          <w:tcPr>
            <w:tcW w:w="1941" w:type="dxa"/>
          </w:tcPr>
          <w:p w:rsidR="0059719E" w:rsidRPr="001A3D87" w:rsidRDefault="0059719E" w:rsidP="001A3D87">
            <w:r w:rsidRPr="001A3D87">
              <w:t>6.9</w:t>
            </w:r>
          </w:p>
        </w:tc>
        <w:tc>
          <w:tcPr>
            <w:tcW w:w="1570" w:type="dxa"/>
          </w:tcPr>
          <w:p w:rsidR="0059719E" w:rsidRPr="001A3D87" w:rsidRDefault="0059719E" w:rsidP="001A3D87">
            <w:r w:rsidRPr="001A3D87">
              <w:t>6.8</w:t>
            </w:r>
          </w:p>
        </w:tc>
        <w:tc>
          <w:tcPr>
            <w:tcW w:w="1407" w:type="dxa"/>
          </w:tcPr>
          <w:p w:rsidR="0059719E" w:rsidRPr="001A3D87" w:rsidRDefault="0059719E" w:rsidP="001A3D87">
            <w:r w:rsidRPr="001A3D87">
              <w:t>8.3</w:t>
            </w:r>
          </w:p>
        </w:tc>
        <w:tc>
          <w:tcPr>
            <w:tcW w:w="1134" w:type="dxa"/>
          </w:tcPr>
          <w:p w:rsidR="0059719E" w:rsidRPr="001A3D87" w:rsidRDefault="0059719E" w:rsidP="001A3D87"/>
        </w:tc>
      </w:tr>
      <w:tr w:rsidR="0059719E" w:rsidRPr="001A3D87" w:rsidTr="001A3D87">
        <w:tc>
          <w:tcPr>
            <w:tcW w:w="1984" w:type="dxa"/>
          </w:tcPr>
          <w:p w:rsidR="0059719E" w:rsidRPr="001A3D87" w:rsidRDefault="0059719E" w:rsidP="001A3D87">
            <w:r w:rsidRPr="001A3D87">
              <w:t>Month 3</w:t>
            </w:r>
          </w:p>
        </w:tc>
        <w:tc>
          <w:tcPr>
            <w:tcW w:w="1941" w:type="dxa"/>
          </w:tcPr>
          <w:p w:rsidR="0059719E" w:rsidRPr="001A3D87" w:rsidRDefault="0059719E" w:rsidP="001A3D87"/>
        </w:tc>
        <w:tc>
          <w:tcPr>
            <w:tcW w:w="1570" w:type="dxa"/>
          </w:tcPr>
          <w:p w:rsidR="0059719E" w:rsidRPr="001A3D87" w:rsidRDefault="0059719E" w:rsidP="001A3D87"/>
        </w:tc>
        <w:tc>
          <w:tcPr>
            <w:tcW w:w="1407" w:type="dxa"/>
          </w:tcPr>
          <w:p w:rsidR="0059719E" w:rsidRPr="001A3D87" w:rsidRDefault="0059719E" w:rsidP="001A3D87"/>
        </w:tc>
        <w:tc>
          <w:tcPr>
            <w:tcW w:w="1134" w:type="dxa"/>
          </w:tcPr>
          <w:p w:rsidR="0059719E" w:rsidRPr="001A3D87" w:rsidRDefault="0059719E" w:rsidP="001A3D87"/>
        </w:tc>
      </w:tr>
      <w:tr w:rsidR="0059719E" w:rsidRPr="001A3D87" w:rsidTr="001A3D87">
        <w:tc>
          <w:tcPr>
            <w:tcW w:w="1984" w:type="dxa"/>
          </w:tcPr>
          <w:p w:rsidR="0059719E" w:rsidRPr="001A3D87" w:rsidRDefault="0059719E" w:rsidP="001A3D87">
            <w:r w:rsidRPr="001A3D87">
              <w:t>N</w:t>
            </w:r>
          </w:p>
        </w:tc>
        <w:tc>
          <w:tcPr>
            <w:tcW w:w="1941" w:type="dxa"/>
          </w:tcPr>
          <w:p w:rsidR="0059719E" w:rsidRPr="001A3D87" w:rsidRDefault="0059719E" w:rsidP="001A3D87">
            <w:r w:rsidRPr="001A3D87">
              <w:t>36</w:t>
            </w:r>
          </w:p>
        </w:tc>
        <w:tc>
          <w:tcPr>
            <w:tcW w:w="1570" w:type="dxa"/>
          </w:tcPr>
          <w:p w:rsidR="0059719E" w:rsidRPr="001A3D87" w:rsidRDefault="0059719E" w:rsidP="001A3D87">
            <w:r w:rsidRPr="001A3D87">
              <w:t>33</w:t>
            </w:r>
          </w:p>
        </w:tc>
        <w:tc>
          <w:tcPr>
            <w:tcW w:w="1407" w:type="dxa"/>
          </w:tcPr>
          <w:p w:rsidR="0059719E" w:rsidRPr="001A3D87" w:rsidRDefault="0059719E" w:rsidP="001A3D87">
            <w:r w:rsidRPr="001A3D87">
              <w:t>34</w:t>
            </w:r>
          </w:p>
        </w:tc>
        <w:tc>
          <w:tcPr>
            <w:tcW w:w="1134" w:type="dxa"/>
          </w:tcPr>
          <w:p w:rsidR="0059719E" w:rsidRPr="001A3D87" w:rsidRDefault="0059719E" w:rsidP="001A3D87">
            <w:r w:rsidRPr="001A3D87">
              <w:t>0.010</w:t>
            </w:r>
          </w:p>
        </w:tc>
      </w:tr>
      <w:tr w:rsidR="0059719E" w:rsidRPr="001A3D87" w:rsidTr="001A3D87">
        <w:tc>
          <w:tcPr>
            <w:tcW w:w="1984" w:type="dxa"/>
          </w:tcPr>
          <w:p w:rsidR="0059719E" w:rsidRPr="001A3D87" w:rsidRDefault="0059719E" w:rsidP="001A3D87">
            <w:r w:rsidRPr="001A3D87">
              <w:t>Mean</w:t>
            </w:r>
          </w:p>
        </w:tc>
        <w:tc>
          <w:tcPr>
            <w:tcW w:w="1941" w:type="dxa"/>
          </w:tcPr>
          <w:p w:rsidR="0059719E" w:rsidRPr="001A3D87" w:rsidRDefault="0059719E" w:rsidP="001A3D87">
            <w:r w:rsidRPr="001A3D87">
              <w:t>0.74</w:t>
            </w:r>
          </w:p>
        </w:tc>
        <w:tc>
          <w:tcPr>
            <w:tcW w:w="1570" w:type="dxa"/>
          </w:tcPr>
          <w:p w:rsidR="0059719E" w:rsidRPr="001A3D87" w:rsidRDefault="0059719E" w:rsidP="001A3D87">
            <w:r w:rsidRPr="001A3D87">
              <w:t>0.92</w:t>
            </w:r>
          </w:p>
        </w:tc>
        <w:tc>
          <w:tcPr>
            <w:tcW w:w="1407" w:type="dxa"/>
          </w:tcPr>
          <w:p w:rsidR="0059719E" w:rsidRPr="001A3D87" w:rsidRDefault="0059719E" w:rsidP="001A3D87">
            <w:r w:rsidRPr="001A3D87">
              <w:t>1.36</w:t>
            </w:r>
          </w:p>
        </w:tc>
        <w:tc>
          <w:tcPr>
            <w:tcW w:w="1134" w:type="dxa"/>
          </w:tcPr>
          <w:p w:rsidR="0059719E" w:rsidRPr="001A3D87" w:rsidRDefault="0059719E" w:rsidP="001A3D87"/>
        </w:tc>
      </w:tr>
      <w:tr w:rsidR="0059719E" w:rsidRPr="001A3D87" w:rsidTr="001A3D87">
        <w:tc>
          <w:tcPr>
            <w:tcW w:w="1984" w:type="dxa"/>
          </w:tcPr>
          <w:p w:rsidR="0059719E" w:rsidRPr="001A3D87" w:rsidRDefault="0059719E" w:rsidP="001A3D87">
            <w:r w:rsidRPr="001A3D87">
              <w:t>SD</w:t>
            </w:r>
          </w:p>
        </w:tc>
        <w:tc>
          <w:tcPr>
            <w:tcW w:w="1941" w:type="dxa"/>
          </w:tcPr>
          <w:p w:rsidR="0059719E" w:rsidRPr="001A3D87" w:rsidRDefault="0059719E" w:rsidP="001A3D87">
            <w:r w:rsidRPr="001A3D87">
              <w:t>0.684</w:t>
            </w:r>
          </w:p>
        </w:tc>
        <w:tc>
          <w:tcPr>
            <w:tcW w:w="1570" w:type="dxa"/>
          </w:tcPr>
          <w:p w:rsidR="0059719E" w:rsidRPr="001A3D87" w:rsidRDefault="0059719E" w:rsidP="001A3D87">
            <w:r w:rsidRPr="001A3D87">
              <w:t>0.668</w:t>
            </w:r>
          </w:p>
        </w:tc>
        <w:tc>
          <w:tcPr>
            <w:tcW w:w="1407" w:type="dxa"/>
          </w:tcPr>
          <w:p w:rsidR="0059719E" w:rsidRPr="001A3D87" w:rsidRDefault="0059719E" w:rsidP="001A3D87">
            <w:r w:rsidRPr="001A3D87">
              <w:t>0.944</w:t>
            </w:r>
          </w:p>
        </w:tc>
        <w:tc>
          <w:tcPr>
            <w:tcW w:w="1134" w:type="dxa"/>
          </w:tcPr>
          <w:p w:rsidR="0059719E" w:rsidRPr="001A3D87" w:rsidRDefault="0059719E" w:rsidP="001A3D87"/>
        </w:tc>
      </w:tr>
      <w:tr w:rsidR="0059719E" w:rsidRPr="001A3D87" w:rsidTr="001A3D87">
        <w:tc>
          <w:tcPr>
            <w:tcW w:w="1984" w:type="dxa"/>
          </w:tcPr>
          <w:p w:rsidR="0059719E" w:rsidRPr="001A3D87" w:rsidRDefault="0059719E" w:rsidP="001A3D87">
            <w:r w:rsidRPr="001A3D87">
              <w:t>Median</w:t>
            </w:r>
          </w:p>
        </w:tc>
        <w:tc>
          <w:tcPr>
            <w:tcW w:w="1941" w:type="dxa"/>
          </w:tcPr>
          <w:p w:rsidR="0059719E" w:rsidRPr="001A3D87" w:rsidRDefault="0059719E" w:rsidP="001A3D87">
            <w:r w:rsidRPr="001A3D87">
              <w:t>0.70</w:t>
            </w:r>
          </w:p>
        </w:tc>
        <w:tc>
          <w:tcPr>
            <w:tcW w:w="1570" w:type="dxa"/>
          </w:tcPr>
          <w:p w:rsidR="0059719E" w:rsidRPr="001A3D87" w:rsidRDefault="0059719E" w:rsidP="001A3D87">
            <w:r w:rsidRPr="001A3D87">
              <w:t>1.00</w:t>
            </w:r>
          </w:p>
        </w:tc>
        <w:tc>
          <w:tcPr>
            <w:tcW w:w="1407" w:type="dxa"/>
          </w:tcPr>
          <w:p w:rsidR="0059719E" w:rsidRPr="001A3D87" w:rsidRDefault="0059719E" w:rsidP="001A3D87">
            <w:r w:rsidRPr="001A3D87">
              <w:t>1.45</w:t>
            </w:r>
          </w:p>
        </w:tc>
        <w:tc>
          <w:tcPr>
            <w:tcW w:w="1134" w:type="dxa"/>
          </w:tcPr>
          <w:p w:rsidR="0059719E" w:rsidRPr="001A3D87" w:rsidRDefault="0059719E" w:rsidP="001A3D87"/>
        </w:tc>
      </w:tr>
      <w:tr w:rsidR="0059719E" w:rsidRPr="001A3D87" w:rsidTr="001A3D87">
        <w:tc>
          <w:tcPr>
            <w:tcW w:w="1984" w:type="dxa"/>
          </w:tcPr>
          <w:p w:rsidR="0059719E" w:rsidRPr="001A3D87" w:rsidRDefault="0059719E" w:rsidP="001A3D87">
            <w:r w:rsidRPr="001A3D87">
              <w:t>Min</w:t>
            </w:r>
          </w:p>
        </w:tc>
        <w:tc>
          <w:tcPr>
            <w:tcW w:w="1941" w:type="dxa"/>
          </w:tcPr>
          <w:p w:rsidR="0059719E" w:rsidRPr="001A3D87" w:rsidRDefault="0059719E" w:rsidP="001A3D87">
            <w:r w:rsidRPr="001A3D87">
              <w:t>-0.6</w:t>
            </w:r>
          </w:p>
        </w:tc>
        <w:tc>
          <w:tcPr>
            <w:tcW w:w="1570" w:type="dxa"/>
          </w:tcPr>
          <w:p w:rsidR="0059719E" w:rsidRPr="001A3D87" w:rsidRDefault="0059719E" w:rsidP="001A3D87">
            <w:r w:rsidRPr="001A3D87">
              <w:t>-0.3</w:t>
            </w:r>
          </w:p>
        </w:tc>
        <w:tc>
          <w:tcPr>
            <w:tcW w:w="1407" w:type="dxa"/>
          </w:tcPr>
          <w:p w:rsidR="0059719E" w:rsidRPr="001A3D87" w:rsidRDefault="0059719E" w:rsidP="001A3D87">
            <w:r w:rsidRPr="001A3D87">
              <w:t>-0.4</w:t>
            </w:r>
          </w:p>
        </w:tc>
        <w:tc>
          <w:tcPr>
            <w:tcW w:w="1134" w:type="dxa"/>
          </w:tcPr>
          <w:p w:rsidR="0059719E" w:rsidRPr="001A3D87" w:rsidRDefault="0059719E" w:rsidP="001A3D87"/>
        </w:tc>
      </w:tr>
      <w:tr w:rsidR="0059719E" w:rsidRPr="001A3D87" w:rsidTr="001A3D87">
        <w:tc>
          <w:tcPr>
            <w:tcW w:w="1984" w:type="dxa"/>
          </w:tcPr>
          <w:p w:rsidR="0059719E" w:rsidRPr="001A3D87" w:rsidRDefault="0059719E" w:rsidP="001A3D87">
            <w:r w:rsidRPr="001A3D87">
              <w:t>Max</w:t>
            </w:r>
          </w:p>
        </w:tc>
        <w:tc>
          <w:tcPr>
            <w:tcW w:w="1941" w:type="dxa"/>
          </w:tcPr>
          <w:p w:rsidR="0059719E" w:rsidRPr="001A3D87" w:rsidRDefault="0059719E" w:rsidP="001A3D87">
            <w:r w:rsidRPr="001A3D87">
              <w:t>2.4</w:t>
            </w:r>
          </w:p>
        </w:tc>
        <w:tc>
          <w:tcPr>
            <w:tcW w:w="1570" w:type="dxa"/>
          </w:tcPr>
          <w:p w:rsidR="0059719E" w:rsidRPr="001A3D87" w:rsidRDefault="0059719E" w:rsidP="001A3D87">
            <w:r w:rsidRPr="001A3D87">
              <w:t>2.3</w:t>
            </w:r>
          </w:p>
        </w:tc>
        <w:tc>
          <w:tcPr>
            <w:tcW w:w="1407" w:type="dxa"/>
          </w:tcPr>
          <w:p w:rsidR="0059719E" w:rsidRPr="001A3D87" w:rsidRDefault="0059719E" w:rsidP="001A3D87">
            <w:r w:rsidRPr="001A3D87">
              <w:t>2.8</w:t>
            </w:r>
          </w:p>
        </w:tc>
        <w:tc>
          <w:tcPr>
            <w:tcW w:w="1134" w:type="dxa"/>
          </w:tcPr>
          <w:p w:rsidR="0059719E" w:rsidRPr="001A3D87" w:rsidRDefault="0059719E" w:rsidP="001A3D87"/>
        </w:tc>
      </w:tr>
      <w:tr w:rsidR="0059719E" w:rsidRPr="001A3D87" w:rsidTr="001A3D87">
        <w:tc>
          <w:tcPr>
            <w:tcW w:w="1984" w:type="dxa"/>
          </w:tcPr>
          <w:p w:rsidR="0059719E" w:rsidRPr="001A3D87" w:rsidRDefault="0059719E" w:rsidP="001A3D87">
            <w:r w:rsidRPr="001A3D87">
              <w:t>P value</w:t>
            </w:r>
          </w:p>
        </w:tc>
        <w:tc>
          <w:tcPr>
            <w:tcW w:w="1941" w:type="dxa"/>
          </w:tcPr>
          <w:p w:rsidR="0059719E" w:rsidRPr="001A3D87" w:rsidRDefault="0059719E" w:rsidP="001A3D87">
            <w:r w:rsidRPr="001A3D87">
              <w:t>&lt;0.001</w:t>
            </w:r>
          </w:p>
        </w:tc>
        <w:tc>
          <w:tcPr>
            <w:tcW w:w="1570" w:type="dxa"/>
          </w:tcPr>
          <w:p w:rsidR="0059719E" w:rsidRPr="001A3D87" w:rsidRDefault="0059719E" w:rsidP="001A3D87">
            <w:r w:rsidRPr="001A3D87">
              <w:t>&lt;0.001</w:t>
            </w:r>
          </w:p>
        </w:tc>
        <w:tc>
          <w:tcPr>
            <w:tcW w:w="1407" w:type="dxa"/>
          </w:tcPr>
          <w:p w:rsidR="0059719E" w:rsidRPr="001A3D87" w:rsidRDefault="0059719E" w:rsidP="001A3D87">
            <w:r w:rsidRPr="001A3D87">
              <w:t>&lt;0.001</w:t>
            </w:r>
          </w:p>
        </w:tc>
        <w:tc>
          <w:tcPr>
            <w:tcW w:w="1134" w:type="dxa"/>
          </w:tcPr>
          <w:p w:rsidR="0059719E" w:rsidRPr="001A3D87" w:rsidRDefault="0059719E" w:rsidP="001A3D87"/>
        </w:tc>
      </w:tr>
      <w:tr w:rsidR="0059719E" w:rsidRPr="001A3D87" w:rsidTr="001A3D87">
        <w:tc>
          <w:tcPr>
            <w:tcW w:w="1984" w:type="dxa"/>
          </w:tcPr>
          <w:p w:rsidR="0059719E" w:rsidRPr="001A3D87" w:rsidRDefault="0059719E" w:rsidP="001A3D87">
            <w:r w:rsidRPr="001A3D87">
              <w:t>90% CI</w:t>
            </w:r>
          </w:p>
        </w:tc>
        <w:tc>
          <w:tcPr>
            <w:tcW w:w="1941" w:type="dxa"/>
          </w:tcPr>
          <w:p w:rsidR="0059719E" w:rsidRPr="001A3D87" w:rsidRDefault="0059719E" w:rsidP="001A3D87">
            <w:r w:rsidRPr="001A3D87">
              <w:t>(0.55, 0.90)</w:t>
            </w:r>
          </w:p>
        </w:tc>
        <w:tc>
          <w:tcPr>
            <w:tcW w:w="1570" w:type="dxa"/>
          </w:tcPr>
          <w:p w:rsidR="0059719E" w:rsidRPr="001A3D87" w:rsidRDefault="0059719E" w:rsidP="001A3D87">
            <w:r w:rsidRPr="001A3D87">
              <w:t>(0.70, 1.15)</w:t>
            </w:r>
          </w:p>
        </w:tc>
        <w:tc>
          <w:tcPr>
            <w:tcW w:w="1407" w:type="dxa"/>
          </w:tcPr>
          <w:p w:rsidR="0059719E" w:rsidRPr="001A3D87" w:rsidRDefault="0059719E" w:rsidP="001A3D87">
            <w:r w:rsidRPr="001A3D87">
              <w:t>(1.10, 1.70)</w:t>
            </w:r>
          </w:p>
        </w:tc>
        <w:tc>
          <w:tcPr>
            <w:tcW w:w="1134" w:type="dxa"/>
          </w:tcPr>
          <w:p w:rsidR="0059719E" w:rsidRPr="001A3D87" w:rsidRDefault="0059719E" w:rsidP="001A3D87"/>
        </w:tc>
      </w:tr>
    </w:tbl>
    <w:p w:rsidR="0059719E" w:rsidRPr="00B80298" w:rsidRDefault="0059719E" w:rsidP="0059719E">
      <w:r>
        <w:t>The results were similar with respect to eyelash thickening, darkening and overall prominence.</w:t>
      </w:r>
    </w:p>
    <w:p w:rsidR="0059719E" w:rsidRPr="00B80298" w:rsidRDefault="0059719E" w:rsidP="0059719E">
      <w:pPr>
        <w:pStyle w:val="Heading4"/>
      </w:pPr>
      <w:r w:rsidRPr="00B80298">
        <w:t>Clinical Efficacy</w:t>
      </w:r>
    </w:p>
    <w:p w:rsidR="0059719E" w:rsidRPr="00646DD0" w:rsidRDefault="0059719E" w:rsidP="0059719E">
      <w:bookmarkStart w:id="203" w:name="_Ref243301615"/>
      <w:bookmarkStart w:id="204" w:name="_Ref271040927"/>
      <w:bookmarkStart w:id="205" w:name="_Ref271040932"/>
      <w:bookmarkStart w:id="206" w:name="_Toc272414653"/>
      <w:bookmarkStart w:id="207" w:name="_Toc290846275"/>
      <w:bookmarkStart w:id="208" w:name="_Toc356979928"/>
      <w:r w:rsidRPr="00646DD0">
        <w:t>Two studies (</w:t>
      </w:r>
      <w:r>
        <w:t>-</w:t>
      </w:r>
      <w:r w:rsidRPr="00646DD0">
        <w:t xml:space="preserve">38 and </w:t>
      </w:r>
      <w:r>
        <w:t>-</w:t>
      </w:r>
      <w:r w:rsidRPr="00646DD0">
        <w:t xml:space="preserve">32) </w:t>
      </w:r>
      <w:r>
        <w:t>are discussed here.</w:t>
      </w:r>
    </w:p>
    <w:p w:rsidR="0059719E" w:rsidRPr="00646DD0" w:rsidRDefault="0059719E" w:rsidP="0059719E">
      <w:pPr>
        <w:pStyle w:val="Heading5"/>
      </w:pPr>
      <w:r w:rsidRPr="00646DD0">
        <w:t xml:space="preserve">Study </w:t>
      </w:r>
      <w:bookmarkEnd w:id="203"/>
      <w:bookmarkEnd w:id="204"/>
      <w:bookmarkEnd w:id="205"/>
      <w:bookmarkEnd w:id="206"/>
      <w:bookmarkEnd w:id="207"/>
      <w:r w:rsidRPr="00646DD0">
        <w:t>192024-038</w:t>
      </w:r>
      <w:bookmarkEnd w:id="208"/>
    </w:p>
    <w:p w:rsidR="0059719E" w:rsidRDefault="0059719E" w:rsidP="0059719E">
      <w:r>
        <w:t>For the purpose of this submission, this trial may be considered as the pivotal efficacy trial.</w:t>
      </w:r>
    </w:p>
    <w:p w:rsidR="0059719E" w:rsidRPr="00E400AC" w:rsidRDefault="0059719E" w:rsidP="0059719E">
      <w:r>
        <w:t>This was a Phase III, randomised, double blind (first 6 months) study to assess</w:t>
      </w:r>
      <w:r w:rsidRPr="00E400AC">
        <w:t xml:space="preserve"> long term </w:t>
      </w:r>
      <w:r>
        <w:t xml:space="preserve">(12 months) efficacy and </w:t>
      </w:r>
      <w:r w:rsidRPr="00E400AC">
        <w:t xml:space="preserve">safety of once daily administration of </w:t>
      </w:r>
      <w:proofErr w:type="spellStart"/>
      <w:r w:rsidRPr="00E400AC">
        <w:t>bimatoprost</w:t>
      </w:r>
      <w:proofErr w:type="spellEnd"/>
      <w:r w:rsidRPr="00E400AC">
        <w:t xml:space="preserve"> </w:t>
      </w:r>
      <w:r>
        <w:t>(</w:t>
      </w:r>
      <w:r w:rsidRPr="00E400AC">
        <w:t>0.03%</w:t>
      </w:r>
      <w:r>
        <w:t>)</w:t>
      </w:r>
      <w:r w:rsidRPr="00E400AC">
        <w:t xml:space="preserve"> compared to </w:t>
      </w:r>
      <w:r>
        <w:t>placebo (</w:t>
      </w:r>
      <w:r w:rsidRPr="00E400AC">
        <w:t>vehicle</w:t>
      </w:r>
      <w:r>
        <w:t>) in adult subjects with</w:t>
      </w:r>
      <w:r w:rsidRPr="00E400AC">
        <w:t xml:space="preserve"> </w:t>
      </w:r>
      <w:r>
        <w:t xml:space="preserve">upper </w:t>
      </w:r>
      <w:r w:rsidRPr="00E400AC">
        <w:t xml:space="preserve">eyelash </w:t>
      </w:r>
      <w:proofErr w:type="spellStart"/>
      <w:r w:rsidRPr="00E400AC">
        <w:t>hypotrichosis</w:t>
      </w:r>
      <w:proofErr w:type="spellEnd"/>
      <w:r w:rsidRPr="00E400AC">
        <w:t xml:space="preserve"> </w:t>
      </w:r>
      <w:r>
        <w:t>(</w:t>
      </w:r>
      <w:r w:rsidRPr="00E400AC">
        <w:t xml:space="preserve">GEA </w:t>
      </w:r>
      <w:r w:rsidRPr="00E400AC">
        <w:lastRenderedPageBreak/>
        <w:t>score 1 or 2</w:t>
      </w:r>
      <w:r>
        <w:t xml:space="preserve"> and ‘disagree’ or ‘very much disagree’ response to each of the 3 questions from ESQ</w:t>
      </w:r>
      <w:r>
        <w:rPr>
          <w:rStyle w:val="FootnoteReference"/>
        </w:rPr>
        <w:footnoteReference w:id="11"/>
      </w:r>
      <w:r>
        <w:t xml:space="preserve"> Domain 2). The aetiology included idiopathic or chemotherapy induced.</w:t>
      </w:r>
    </w:p>
    <w:p w:rsidR="0059719E" w:rsidRPr="00E400AC" w:rsidRDefault="0059719E" w:rsidP="0059719E">
      <w:r>
        <w:t>The subjects</w:t>
      </w:r>
      <w:r w:rsidRPr="00E400AC">
        <w:t xml:space="preserve"> could receive different treatment in the first 6 </w:t>
      </w:r>
      <w:r>
        <w:t xml:space="preserve">months treatment period (TP1) and the second 6 months treatment period (TP2). At baseline, the </w:t>
      </w:r>
      <w:r w:rsidRPr="00E400AC">
        <w:t>subj</w:t>
      </w:r>
      <w:r>
        <w:t>ects were randomised to 3</w:t>
      </w:r>
      <w:r w:rsidRPr="00E400AC">
        <w:t xml:space="preserve"> </w:t>
      </w:r>
      <w:r>
        <w:t xml:space="preserve">parallel </w:t>
      </w:r>
      <w:r w:rsidRPr="00E400AC">
        <w:t>grou</w:t>
      </w:r>
      <w:r>
        <w:t xml:space="preserve">ps: </w:t>
      </w:r>
      <w:proofErr w:type="spellStart"/>
      <w:r>
        <w:t>bimatoprost</w:t>
      </w:r>
      <w:proofErr w:type="spellEnd"/>
      <w:r>
        <w:t xml:space="preserve"> in both TP1/TP2 (</w:t>
      </w:r>
      <w:proofErr w:type="spellStart"/>
      <w:r>
        <w:t>bim</w:t>
      </w:r>
      <w:proofErr w:type="spellEnd"/>
      <w:r>
        <w:t>/</w:t>
      </w:r>
      <w:proofErr w:type="spellStart"/>
      <w:r>
        <w:t>b</w:t>
      </w:r>
      <w:r w:rsidRPr="00E400AC">
        <w:t>im</w:t>
      </w:r>
      <w:proofErr w:type="spellEnd"/>
      <w:r w:rsidRPr="00E400AC">
        <w:t xml:space="preserve">); vehicle </w:t>
      </w:r>
      <w:r>
        <w:t xml:space="preserve">in TP1 and </w:t>
      </w:r>
      <w:proofErr w:type="spellStart"/>
      <w:r>
        <w:t>bimatoprost</w:t>
      </w:r>
      <w:proofErr w:type="spellEnd"/>
      <w:r>
        <w:t xml:space="preserve"> in TP2 (</w:t>
      </w:r>
      <w:proofErr w:type="spellStart"/>
      <w:r>
        <w:t>veh</w:t>
      </w:r>
      <w:proofErr w:type="spellEnd"/>
      <w:r>
        <w:t>/</w:t>
      </w:r>
      <w:proofErr w:type="spellStart"/>
      <w:r>
        <w:t>b</w:t>
      </w:r>
      <w:r w:rsidRPr="00E400AC">
        <w:t>im</w:t>
      </w:r>
      <w:proofErr w:type="spellEnd"/>
      <w:r w:rsidRPr="00E400AC">
        <w:t xml:space="preserve">); or </w:t>
      </w:r>
      <w:proofErr w:type="spellStart"/>
      <w:r w:rsidRPr="00E400AC">
        <w:t>bimatoprost</w:t>
      </w:r>
      <w:proofErr w:type="spellEnd"/>
      <w:r w:rsidRPr="00E400AC">
        <w:t xml:space="preserve"> in TP</w:t>
      </w:r>
      <w:r>
        <w:t>1 and vehicle in TP2 (</w:t>
      </w:r>
      <w:proofErr w:type="spellStart"/>
      <w:r>
        <w:t>bim</w:t>
      </w:r>
      <w:proofErr w:type="spellEnd"/>
      <w:r>
        <w:t>/</w:t>
      </w:r>
      <w:proofErr w:type="spellStart"/>
      <w:r>
        <w:t>veh</w:t>
      </w:r>
      <w:proofErr w:type="spellEnd"/>
      <w:r>
        <w:t>). The subjects in</w:t>
      </w:r>
      <w:r w:rsidRPr="00E400AC">
        <w:t xml:space="preserve"> idiopathic </w:t>
      </w:r>
      <w:proofErr w:type="spellStart"/>
      <w:r w:rsidRPr="00E400AC">
        <w:t>hypotrichosis</w:t>
      </w:r>
      <w:proofErr w:type="spellEnd"/>
      <w:r w:rsidRPr="00E400AC">
        <w:t xml:space="preserve"> subpopulation were rand</w:t>
      </w:r>
      <w:r>
        <w:t>omised to all 3 treatment arms where the s</w:t>
      </w:r>
      <w:r w:rsidRPr="00E400AC">
        <w:t xml:space="preserve">ubjects in the </w:t>
      </w:r>
      <w:r>
        <w:t xml:space="preserve">post chemotherapy </w:t>
      </w:r>
      <w:r w:rsidRPr="00E400AC">
        <w:t>subpopulation were randomise</w:t>
      </w:r>
      <w:r>
        <w:t xml:space="preserve">d to </w:t>
      </w:r>
      <w:proofErr w:type="spellStart"/>
      <w:r>
        <w:t>bim</w:t>
      </w:r>
      <w:proofErr w:type="spellEnd"/>
      <w:r>
        <w:t>/</w:t>
      </w:r>
      <w:proofErr w:type="spellStart"/>
      <w:r>
        <w:t>bim</w:t>
      </w:r>
      <w:proofErr w:type="spellEnd"/>
      <w:r>
        <w:t xml:space="preserve"> or </w:t>
      </w:r>
      <w:proofErr w:type="spellStart"/>
      <w:r>
        <w:t>veh</w:t>
      </w:r>
      <w:proofErr w:type="spellEnd"/>
      <w:r>
        <w:t>/</w:t>
      </w:r>
      <w:proofErr w:type="spellStart"/>
      <w:r>
        <w:t>bim</w:t>
      </w:r>
      <w:proofErr w:type="spellEnd"/>
      <w:r>
        <w:t xml:space="preserve"> groups. All subjects</w:t>
      </w:r>
      <w:r w:rsidRPr="00E400AC">
        <w:t xml:space="preserve"> who received vehicle in TP1 received </w:t>
      </w:r>
      <w:proofErr w:type="spellStart"/>
      <w:r w:rsidRPr="00E400AC">
        <w:t>bimatoprost</w:t>
      </w:r>
      <w:proofErr w:type="spellEnd"/>
      <w:r w:rsidRPr="00E400AC">
        <w:t xml:space="preserve"> in </w:t>
      </w:r>
      <w:r>
        <w:t xml:space="preserve">TP2. The effect of treatment discontinuation was studied in </w:t>
      </w:r>
      <w:proofErr w:type="spellStart"/>
      <w:r>
        <w:t>bim</w:t>
      </w:r>
      <w:proofErr w:type="spellEnd"/>
      <w:r>
        <w:t>/</w:t>
      </w:r>
      <w:proofErr w:type="spellStart"/>
      <w:r>
        <w:t>veh</w:t>
      </w:r>
      <w:proofErr w:type="spellEnd"/>
      <w:r>
        <w:t xml:space="preserve"> group with idiopathic </w:t>
      </w:r>
      <w:proofErr w:type="spellStart"/>
      <w:r>
        <w:t>hyoptrichosis</w:t>
      </w:r>
      <w:proofErr w:type="spellEnd"/>
      <w:r>
        <w:t xml:space="preserve"> (hair regrowth in post chemotherapy group could be expected to be naturally sustained).</w:t>
      </w:r>
    </w:p>
    <w:p w:rsidR="0059719E" w:rsidRDefault="0059719E" w:rsidP="0059719E">
      <w:r w:rsidRPr="00E400AC">
        <w:t xml:space="preserve">Treatment was one drop of </w:t>
      </w:r>
      <w:proofErr w:type="spellStart"/>
      <w:r w:rsidRPr="00E400AC">
        <w:t>bimatoprost</w:t>
      </w:r>
      <w:proofErr w:type="spellEnd"/>
      <w:r w:rsidRPr="00E400AC">
        <w:t xml:space="preserve"> or </w:t>
      </w:r>
      <w:r>
        <w:t xml:space="preserve">vehicle </w:t>
      </w:r>
      <w:r w:rsidRPr="00E400AC">
        <w:t>applied t</w:t>
      </w:r>
      <w:r>
        <w:t>o the upper eyelid margin of the eye once daily in the evening. A separate sterile</w:t>
      </w:r>
      <w:r w:rsidRPr="00E400AC">
        <w:t xml:space="preserve"> a</w:t>
      </w:r>
      <w:r>
        <w:t xml:space="preserve">pplicator was used for each eye. </w:t>
      </w:r>
      <w:r w:rsidRPr="00E400AC">
        <w:t xml:space="preserve">The main efficacy variables were the GEA scale with </w:t>
      </w:r>
      <w:proofErr w:type="spellStart"/>
      <w:r w:rsidRPr="00E400AC">
        <w:t>photonume</w:t>
      </w:r>
      <w:r>
        <w:t>ric</w:t>
      </w:r>
      <w:proofErr w:type="spellEnd"/>
      <w:r>
        <w:t xml:space="preserve"> guide and the ESQ Domain 2. </w:t>
      </w:r>
      <w:r w:rsidRPr="00E400AC">
        <w:t>Other efficacy outcomes included upper eye</w:t>
      </w:r>
      <w:r>
        <w:t>lash length (mm), thickness (</w:t>
      </w:r>
      <w:r w:rsidRPr="00E400AC">
        <w:t>mm</w:t>
      </w:r>
      <w:r w:rsidRPr="00E400AC">
        <w:rPr>
          <w:vertAlign w:val="superscript"/>
        </w:rPr>
        <w:t>2</w:t>
      </w:r>
      <w:r>
        <w:t>) and darkness (intensity units</w:t>
      </w:r>
      <w:r w:rsidRPr="00E400AC">
        <w:t xml:space="preserve"> measured using digital image analysis</w:t>
      </w:r>
      <w:r>
        <w:t>).</w:t>
      </w:r>
    </w:p>
    <w:p w:rsidR="0059719E" w:rsidRPr="00E400AC" w:rsidRDefault="0059719E" w:rsidP="0059719E">
      <w:r w:rsidRPr="00E400AC">
        <w:t>The primary efficacy outcome was t</w:t>
      </w:r>
      <w:r>
        <w:t>he proportion of responders at M</w:t>
      </w:r>
      <w:r w:rsidRPr="00E400AC">
        <w:t xml:space="preserve">onth 4 where responders were defined by a composite endpoint of least a 1 grade </w:t>
      </w:r>
      <w:r>
        <w:t>improvement from baseline in</w:t>
      </w:r>
      <w:r w:rsidRPr="00E400AC">
        <w:t xml:space="preserve"> GEA score and at least a 3 point improvement from </w:t>
      </w:r>
      <w:r>
        <w:t xml:space="preserve">baseline in ESQ Domain 2. </w:t>
      </w:r>
    </w:p>
    <w:p w:rsidR="0059719E" w:rsidRDefault="0059719E" w:rsidP="0059719E">
      <w:r>
        <w:t>At baseline, subjects were stratified by aetiology (</w:t>
      </w:r>
      <w:r w:rsidRPr="00E400AC">
        <w:t>idiopathic</w:t>
      </w:r>
      <w:r>
        <w:t xml:space="preserve"> or post-chemotherapy</w:t>
      </w:r>
      <w:r w:rsidRPr="00E400AC">
        <w:t xml:space="preserve">) in a 2:1:1 ratio to the </w:t>
      </w:r>
      <w:r>
        <w:t>3 treatment groups for idiopathic subjects (</w:t>
      </w:r>
      <w:proofErr w:type="spellStart"/>
      <w:r>
        <w:t>bim</w:t>
      </w:r>
      <w:proofErr w:type="spellEnd"/>
      <w:r>
        <w:t>/</w:t>
      </w:r>
      <w:proofErr w:type="spellStart"/>
      <w:r>
        <w:t>bim</w:t>
      </w:r>
      <w:proofErr w:type="spellEnd"/>
      <w:r>
        <w:t xml:space="preserve">; </w:t>
      </w:r>
      <w:proofErr w:type="spellStart"/>
      <w:r>
        <w:t>bim</w:t>
      </w:r>
      <w:proofErr w:type="spellEnd"/>
      <w:r>
        <w:t>/</w:t>
      </w:r>
      <w:proofErr w:type="spellStart"/>
      <w:r>
        <w:t>veh</w:t>
      </w:r>
      <w:proofErr w:type="spellEnd"/>
      <w:r>
        <w:t xml:space="preserve">; </w:t>
      </w:r>
      <w:proofErr w:type="spellStart"/>
      <w:r>
        <w:t>veh</w:t>
      </w:r>
      <w:proofErr w:type="spellEnd"/>
      <w:r>
        <w:t>/</w:t>
      </w:r>
      <w:proofErr w:type="spellStart"/>
      <w:r>
        <w:t>bim</w:t>
      </w:r>
      <w:proofErr w:type="spellEnd"/>
      <w:r>
        <w:t>) and 3:1 ratio for post chemotherapy subjects (</w:t>
      </w:r>
      <w:proofErr w:type="spellStart"/>
      <w:r>
        <w:t>bim</w:t>
      </w:r>
      <w:proofErr w:type="spellEnd"/>
      <w:r>
        <w:t>/</w:t>
      </w:r>
      <w:proofErr w:type="spellStart"/>
      <w:r>
        <w:t>bim</w:t>
      </w:r>
      <w:proofErr w:type="spellEnd"/>
      <w:r>
        <w:t xml:space="preserve">; </w:t>
      </w:r>
      <w:proofErr w:type="spellStart"/>
      <w:r>
        <w:t>veh</w:t>
      </w:r>
      <w:proofErr w:type="spellEnd"/>
      <w:r>
        <w:t>/</w:t>
      </w:r>
      <w:proofErr w:type="spellStart"/>
      <w:r>
        <w:t>bim</w:t>
      </w:r>
      <w:proofErr w:type="spellEnd"/>
      <w:r>
        <w:t>). A total of</w:t>
      </w:r>
      <w:r w:rsidRPr="00E400AC">
        <w:t xml:space="preserve"> 368 </w:t>
      </w:r>
      <w:r>
        <w:t xml:space="preserve">subjects were </w:t>
      </w:r>
      <w:r w:rsidRPr="00E400AC">
        <w:t xml:space="preserve">randomised (275 and 93 in the </w:t>
      </w:r>
      <w:proofErr w:type="spellStart"/>
      <w:r w:rsidRPr="00E400AC">
        <w:t>bimatoprost</w:t>
      </w:r>
      <w:proofErr w:type="spellEnd"/>
      <w:r w:rsidRPr="00E400AC">
        <w:t xml:space="preserve"> and vehicle gr</w:t>
      </w:r>
      <w:r>
        <w:t xml:space="preserve">oups, respectively) of which 334 </w:t>
      </w:r>
      <w:r w:rsidRPr="00E400AC">
        <w:t xml:space="preserve">continued into the </w:t>
      </w:r>
      <w:r>
        <w:t>second 6 month treatment period.</w:t>
      </w:r>
    </w:p>
    <w:p w:rsidR="0059719E" w:rsidRDefault="0059719E" w:rsidP="0059719E">
      <w:r>
        <w:t xml:space="preserve">At baseline, </w:t>
      </w:r>
      <w:r w:rsidRPr="00E400AC">
        <w:t xml:space="preserve">GEA score was 1 in 39.8% and 2 in 60.2% </w:t>
      </w:r>
      <w:r>
        <w:t xml:space="preserve">participants </w:t>
      </w:r>
      <w:r w:rsidRPr="00E400AC">
        <w:t>and the mean</w:t>
      </w:r>
      <w:r>
        <w:t xml:space="preserve"> score on </w:t>
      </w:r>
      <w:r w:rsidRPr="00E400AC">
        <w:t xml:space="preserve">ESQ </w:t>
      </w:r>
      <w:r>
        <w:t xml:space="preserve">D2 </w:t>
      </w:r>
      <w:r w:rsidRPr="00E400AC">
        <w:t xml:space="preserve">was 4.1 </w:t>
      </w:r>
      <w:r>
        <w:t>± 1.35. Most subjects</w:t>
      </w:r>
      <w:r w:rsidRPr="00E400AC">
        <w:t xml:space="preserve"> </w:t>
      </w:r>
      <w:r>
        <w:t xml:space="preserve">(238/368 65%) </w:t>
      </w:r>
      <w:r w:rsidRPr="00E400AC">
        <w:t xml:space="preserve">had idiopathic </w:t>
      </w:r>
      <w:proofErr w:type="spellStart"/>
      <w:r w:rsidRPr="00E400AC">
        <w:t>hypotrichosis</w:t>
      </w:r>
      <w:proofErr w:type="spellEnd"/>
      <w:r w:rsidRPr="00E400AC">
        <w:t xml:space="preserve"> (</w:t>
      </w:r>
      <w:r>
        <w:t xml:space="preserve">179 </w:t>
      </w:r>
      <w:proofErr w:type="spellStart"/>
      <w:r>
        <w:t>bimatoprost</w:t>
      </w:r>
      <w:proofErr w:type="spellEnd"/>
      <w:r>
        <w:t>; 59 vehicle), while</w:t>
      </w:r>
      <w:r w:rsidRPr="00E400AC">
        <w:t xml:space="preserve"> 130</w:t>
      </w:r>
      <w:r>
        <w:t>/368 (35%)</w:t>
      </w:r>
      <w:r w:rsidRPr="00E400AC">
        <w:t xml:space="preserve"> had chemotherapy-induced </w:t>
      </w:r>
      <w:proofErr w:type="spellStart"/>
      <w:r w:rsidRPr="00E400AC">
        <w:t>hy</w:t>
      </w:r>
      <w:r>
        <w:t>potrichosis</w:t>
      </w:r>
      <w:proofErr w:type="spellEnd"/>
      <w:r>
        <w:t xml:space="preserve"> (96 </w:t>
      </w:r>
      <w:proofErr w:type="spellStart"/>
      <w:r>
        <w:t>bimatoprost</w:t>
      </w:r>
      <w:proofErr w:type="spellEnd"/>
      <w:r>
        <w:t>; 34 vehicle). The mean age was 49.8 years (range 20 to 76 years), majority were Caucasian (82.9%) and predominantly female (98.9%). The main results are presented below:</w:t>
      </w:r>
    </w:p>
    <w:p w:rsidR="0059719E" w:rsidRDefault="0059719E" w:rsidP="0059719E">
      <w:pPr>
        <w:pStyle w:val="TableTitle"/>
      </w:pPr>
      <w:r>
        <w:t>Table 15. Primary composite efficacy variable: Treatment responders by visit (ITT population)</w:t>
      </w:r>
    </w:p>
    <w:p w:rsidR="0059719E" w:rsidRPr="00E400AC" w:rsidRDefault="0059719E" w:rsidP="001A3D87">
      <w:r>
        <w:rPr>
          <w:noProof/>
          <w:lang w:eastAsia="en-AU"/>
        </w:rPr>
        <w:drawing>
          <wp:inline distT="0" distB="0" distL="0" distR="0" wp14:anchorId="0529A20E" wp14:editId="293AAC68">
            <wp:extent cx="5400040" cy="2380656"/>
            <wp:effectExtent l="0" t="0" r="0" b="635"/>
            <wp:docPr id="26" name="Picture 26" descr="Table 15. Primary composite efficacy variable: Treatment responders by visi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062" t="3416" r="2476" b="1537"/>
                    <a:stretch/>
                  </pic:blipFill>
                  <pic:spPr bwMode="auto">
                    <a:xfrm>
                      <a:off x="0" y="0"/>
                      <a:ext cx="5400040" cy="2380656"/>
                    </a:xfrm>
                    <a:prstGeom prst="rect">
                      <a:avLst/>
                    </a:prstGeom>
                    <a:ln>
                      <a:noFill/>
                    </a:ln>
                    <a:extLst>
                      <a:ext uri="{53640926-AAD7-44D8-BBD7-CCE9431645EC}">
                        <a14:shadowObscured xmlns:a14="http://schemas.microsoft.com/office/drawing/2010/main"/>
                      </a:ext>
                    </a:extLst>
                  </pic:spPr>
                </pic:pic>
              </a:graphicData>
            </a:graphic>
          </wp:inline>
        </w:drawing>
      </w:r>
    </w:p>
    <w:p w:rsidR="0059719E" w:rsidRPr="00E400AC" w:rsidRDefault="0059719E" w:rsidP="0059719E">
      <w:pPr>
        <w:spacing w:after="0" w:line="240" w:lineRule="auto"/>
        <w:ind w:left="-284" w:right="-284"/>
        <w:jc w:val="center"/>
      </w:pPr>
    </w:p>
    <w:p w:rsidR="0059719E" w:rsidRDefault="0059719E" w:rsidP="0059719E">
      <w:r>
        <w:lastRenderedPageBreak/>
        <w:t xml:space="preserve">Overall at Month 4 with respect to the composite efficacy endpoint, there were 39.3% </w:t>
      </w:r>
      <w:proofErr w:type="spellStart"/>
      <w:r>
        <w:t>bimatoprost</w:t>
      </w:r>
      <w:proofErr w:type="spellEnd"/>
      <w:r>
        <w:t xml:space="preserve"> treated responders compared to 10.9% in the control group (treatment difference 28.4%, p &lt; 0.001). The proportion of responders in idiopathic group (40.2% versus 6.8%) and post chemotherapy group (37.5% versus 18.2%) similarly favoured treatment with </w:t>
      </w:r>
      <w:proofErr w:type="spellStart"/>
      <w:r>
        <w:t>bimatoprost</w:t>
      </w:r>
      <w:proofErr w:type="spellEnd"/>
      <w:r>
        <w:t xml:space="preserve"> over control.</w:t>
      </w:r>
    </w:p>
    <w:p w:rsidR="0059719E" w:rsidRDefault="0059719E" w:rsidP="0059719E">
      <w:r>
        <w:t xml:space="preserve">The discrimination between </w:t>
      </w:r>
      <w:proofErr w:type="spellStart"/>
      <w:r>
        <w:t>bimatoprost</w:t>
      </w:r>
      <w:proofErr w:type="spellEnd"/>
      <w:r>
        <w:t xml:space="preserve"> and control began showing at 2 months. At 6 months, the responders (</w:t>
      </w:r>
      <w:proofErr w:type="spellStart"/>
      <w:r>
        <w:t>bimatoprost</w:t>
      </w:r>
      <w:proofErr w:type="spellEnd"/>
      <w:r>
        <w:t xml:space="preserve"> versus control) were 47.3% versus 8.7%, 47.5% versus 3.4% and 46.9% versus 18.2% in overall, idiopathic and post chemotherapy groups respectively.</w:t>
      </w:r>
    </w:p>
    <w:p w:rsidR="0059719E" w:rsidRPr="00E400AC" w:rsidRDefault="0059719E" w:rsidP="0059719E">
      <w:r>
        <w:t>The treatment effect was of similar magnitude in idiopathic group and post chemotherapy groups, although higher response rate was noted in post chemotherapy control group (18%) relative to controls in idiopathic group (3.4%) presumably relating to natural hair growth after cessation of chemotherapy in the post chemotherapy group.</w:t>
      </w:r>
    </w:p>
    <w:p w:rsidR="0059719E" w:rsidRDefault="0059719E" w:rsidP="0059719E">
      <w:r>
        <w:t>With continuing treatment, overall there were 55.3% responders (composite endpoint) at 12 months (50.4% in idiopathic group and 61.5% in post chemotherapy group). When treatment was discontinued at 6 months (idiopathic group), the response was maintained up to Month 8 (50.0%) and fell quickly over next 2 months with 11.7% responders remaining by Month 12.</w:t>
      </w:r>
    </w:p>
    <w:p w:rsidR="0059719E" w:rsidRDefault="0059719E" w:rsidP="0059719E">
      <w:pPr>
        <w:pStyle w:val="TableTitle"/>
      </w:pPr>
      <w:r>
        <w:t>Table 16. Number (%) of responders based on primary composite end point (ITT population)</w:t>
      </w:r>
    </w:p>
    <w:p w:rsidR="0059719E" w:rsidRPr="00E400AC" w:rsidRDefault="0059719E" w:rsidP="001A3D87">
      <w:r>
        <w:rPr>
          <w:noProof/>
          <w:lang w:eastAsia="en-AU"/>
        </w:rPr>
        <w:drawing>
          <wp:inline distT="0" distB="0" distL="0" distR="0" wp14:anchorId="4AF4E9E6" wp14:editId="30BDE769">
            <wp:extent cx="4418899" cy="2680138"/>
            <wp:effectExtent l="0" t="0" r="1270" b="6350"/>
            <wp:docPr id="9" name="Picture 9" descr="Table 16. Number (%) of responders based on primary composite end poi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22738" cy="2682467"/>
                    </a:xfrm>
                    <a:prstGeom prst="rect">
                      <a:avLst/>
                    </a:prstGeom>
                  </pic:spPr>
                </pic:pic>
              </a:graphicData>
            </a:graphic>
          </wp:inline>
        </w:drawing>
      </w:r>
    </w:p>
    <w:p w:rsidR="0059719E" w:rsidRDefault="0059719E" w:rsidP="0059719E">
      <w:r>
        <w:t xml:space="preserve">The response rate in post chemotherapy </w:t>
      </w:r>
      <w:proofErr w:type="spellStart"/>
      <w:r>
        <w:t>veh</w:t>
      </w:r>
      <w:proofErr w:type="spellEnd"/>
      <w:r>
        <w:t>/</w:t>
      </w:r>
      <w:proofErr w:type="spellStart"/>
      <w:r>
        <w:t>bim</w:t>
      </w:r>
      <w:proofErr w:type="spellEnd"/>
      <w:r>
        <w:t xml:space="preserve"> group, that is, subjects vehicle for 6 months before switching to </w:t>
      </w:r>
      <w:proofErr w:type="spellStart"/>
      <w:r>
        <w:t>bimatoprost</w:t>
      </w:r>
      <w:proofErr w:type="spellEnd"/>
      <w:r>
        <w:t xml:space="preserve"> increased from 17.6% at 6 months to 67.6% at 12 months.</w:t>
      </w:r>
    </w:p>
    <w:p w:rsidR="0059719E" w:rsidRDefault="0059719E" w:rsidP="0059719E">
      <w:r>
        <w:t>Individual components of the composite endpoint as well as other efficacy outcome at Months 6 and 12 are shown below indicating loss of effect attributable mostly to drop in GEA score/eyelash length:</w:t>
      </w:r>
    </w:p>
    <w:p w:rsidR="0059719E" w:rsidRPr="00E400AC" w:rsidRDefault="0059719E" w:rsidP="0059719E">
      <w:pPr>
        <w:pStyle w:val="TableTitle"/>
      </w:pPr>
      <w:r>
        <w:lastRenderedPageBreak/>
        <w:t>Table 17. Summary of improvement from baseline at the end of each treatment period of Study 192024-038 (ITT population)</w:t>
      </w:r>
    </w:p>
    <w:p w:rsidR="0059719E" w:rsidRPr="00E400AC" w:rsidRDefault="0059719E" w:rsidP="0059719E">
      <w:pPr>
        <w:spacing w:before="0" w:after="0" w:line="240" w:lineRule="auto"/>
        <w:ind w:right="-284"/>
      </w:pPr>
      <w:r>
        <w:rPr>
          <w:noProof/>
          <w:lang w:eastAsia="en-AU"/>
        </w:rPr>
        <w:drawing>
          <wp:inline distT="0" distB="0" distL="0" distR="0" wp14:anchorId="00636C3C" wp14:editId="013BD90C">
            <wp:extent cx="4495800" cy="4097523"/>
            <wp:effectExtent l="0" t="0" r="0" b="0"/>
            <wp:docPr id="28" name="Picture 28" descr="Table 17. Summary of improvement from baseline at the end of each treatment period of Study 192024-038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02" r="5065"/>
                    <a:stretch/>
                  </pic:blipFill>
                  <pic:spPr bwMode="auto">
                    <a:xfrm>
                      <a:off x="0" y="0"/>
                      <a:ext cx="4497925" cy="4099460"/>
                    </a:xfrm>
                    <a:prstGeom prst="rect">
                      <a:avLst/>
                    </a:prstGeom>
                    <a:ln>
                      <a:noFill/>
                    </a:ln>
                    <a:extLst>
                      <a:ext uri="{53640926-AAD7-44D8-BBD7-CCE9431645EC}">
                        <a14:shadowObscured xmlns:a14="http://schemas.microsoft.com/office/drawing/2010/main"/>
                      </a:ext>
                    </a:extLst>
                  </pic:spPr>
                </pic:pic>
              </a:graphicData>
            </a:graphic>
          </wp:inline>
        </w:drawing>
      </w:r>
    </w:p>
    <w:p w:rsidR="0059719E" w:rsidRPr="00646DD0" w:rsidRDefault="0059719E" w:rsidP="0059719E">
      <w:pPr>
        <w:pStyle w:val="Heading5"/>
      </w:pPr>
      <w:bookmarkStart w:id="209" w:name="_Toc290846276"/>
      <w:bookmarkStart w:id="210" w:name="_Toc356979929"/>
      <w:r w:rsidRPr="00646DD0">
        <w:t xml:space="preserve">Study </w:t>
      </w:r>
      <w:bookmarkEnd w:id="209"/>
      <w:r w:rsidRPr="00646DD0">
        <w:t>192024-032</w:t>
      </w:r>
      <w:bookmarkEnd w:id="210"/>
    </w:p>
    <w:p w:rsidR="0059719E" w:rsidRDefault="0059719E" w:rsidP="0059719E">
      <w:r>
        <w:t xml:space="preserve">This study has been evaluated in the previous </w:t>
      </w:r>
      <w:proofErr w:type="spellStart"/>
      <w:r>
        <w:t>Latisse</w:t>
      </w:r>
      <w:proofErr w:type="spellEnd"/>
      <w:r>
        <w:t xml:space="preserve"> submission. This was a randomised, double blind </w:t>
      </w:r>
      <w:r w:rsidRPr="00E400AC">
        <w:t>s</w:t>
      </w:r>
      <w:r>
        <w:t xml:space="preserve">tudy to evaluate </w:t>
      </w:r>
      <w:r w:rsidRPr="00E400AC">
        <w:t xml:space="preserve">efficacy </w:t>
      </w:r>
      <w:r>
        <w:t xml:space="preserve">and safety </w:t>
      </w:r>
      <w:r w:rsidRPr="00E400AC">
        <w:t xml:space="preserve">of </w:t>
      </w:r>
      <w:proofErr w:type="spellStart"/>
      <w:r w:rsidRPr="00E400AC">
        <w:t>bimatoprost</w:t>
      </w:r>
      <w:proofErr w:type="spellEnd"/>
      <w:r w:rsidRPr="00E400AC">
        <w:t xml:space="preserve"> 0.03% solution to increase overall eye</w:t>
      </w:r>
      <w:r>
        <w:t>lash prominence following</w:t>
      </w:r>
      <w:r w:rsidRPr="00E400AC">
        <w:t xml:space="preserve"> applicati</w:t>
      </w:r>
      <w:r>
        <w:t xml:space="preserve">on to the upper eyelid margins following treatment for 4 months. The participating population was similar to the Study 192024-038 except that post chemotherapy subjects were not included and the eligibility criteria did not include ESQ score. </w:t>
      </w:r>
      <w:r w:rsidRPr="00E400AC">
        <w:t>The primary outcome was the proportion of subjects with at least a one grade increase</w:t>
      </w:r>
      <w:r>
        <w:t xml:space="preserve"> in the GEA score at M</w:t>
      </w:r>
      <w:r w:rsidRPr="00E400AC">
        <w:t xml:space="preserve">onth 4. </w:t>
      </w:r>
      <w:r>
        <w:t xml:space="preserve">A total 278 randomised (137 and 141 to </w:t>
      </w:r>
      <w:proofErr w:type="spellStart"/>
      <w:r>
        <w:t>bimatoprost</w:t>
      </w:r>
      <w:proofErr w:type="spellEnd"/>
      <w:r>
        <w:t xml:space="preserve"> and vehicle groups</w:t>
      </w:r>
      <w:r w:rsidRPr="00E400AC">
        <w:t xml:space="preserve"> respectively</w:t>
      </w:r>
      <w:r>
        <w:t xml:space="preserve">). </w:t>
      </w:r>
      <w:r w:rsidRPr="00E400AC">
        <w:t>The mean age of subjects was 49.8 years, 97.1% were female, 80.9% Caucasian and 12.2% Asian. The baseline GEA score was 1 in 20% and 2 in 80%.</w:t>
      </w:r>
      <w:r>
        <w:t xml:space="preserve"> The primary results are shown below indicating earlier (at 4 weeks) and higher response (78% at 4 months) compared to that seen in the Study 1.</w:t>
      </w:r>
    </w:p>
    <w:p w:rsidR="0059719E" w:rsidRDefault="0059719E" w:rsidP="0059719E">
      <w:pPr>
        <w:pStyle w:val="TableTitle"/>
      </w:pPr>
      <w:r>
        <w:lastRenderedPageBreak/>
        <w:t>Figure 2. Percentage of subjects with at least a 1 grade increase from baseline in GEA for treatment and post treatment periods (ITT population)</w:t>
      </w:r>
    </w:p>
    <w:p w:rsidR="0059719E" w:rsidRPr="00E400AC" w:rsidRDefault="0059719E" w:rsidP="001A3D87">
      <w:r>
        <w:rPr>
          <w:noProof/>
          <w:lang w:eastAsia="en-AU"/>
        </w:rPr>
        <w:drawing>
          <wp:inline distT="0" distB="0" distL="0" distR="0" wp14:anchorId="70024B05" wp14:editId="2304E6BB">
            <wp:extent cx="4124325" cy="3527382"/>
            <wp:effectExtent l="0" t="0" r="0" b="0"/>
            <wp:docPr id="13" name="Picture 13" descr="Figure 2. Percentage of subjects with at least a 1 grade increase from baseline in GEA for treatment and post treatment period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26842" cy="3529534"/>
                    </a:xfrm>
                    <a:prstGeom prst="rect">
                      <a:avLst/>
                    </a:prstGeom>
                  </pic:spPr>
                </pic:pic>
              </a:graphicData>
            </a:graphic>
          </wp:inline>
        </w:drawing>
      </w:r>
    </w:p>
    <w:p w:rsidR="0059719E" w:rsidRPr="00B80298" w:rsidRDefault="0059719E" w:rsidP="0059719E">
      <w:pPr>
        <w:pStyle w:val="Heading5"/>
      </w:pPr>
      <w:r w:rsidRPr="00B80298">
        <w:t>Clinical safety</w:t>
      </w:r>
    </w:p>
    <w:p w:rsidR="0059719E" w:rsidRPr="00E400AC" w:rsidRDefault="0059719E" w:rsidP="0059719E">
      <w:r w:rsidRPr="00E400AC">
        <w:t xml:space="preserve">There were 733 subjects in the pooled safety database, 604 with idiopathic and 129 with </w:t>
      </w:r>
      <w:r>
        <w:t xml:space="preserve">post chemotherapy </w:t>
      </w:r>
      <w:proofErr w:type="spellStart"/>
      <w:r>
        <w:t>hypotrichosis</w:t>
      </w:r>
      <w:proofErr w:type="spellEnd"/>
      <w:r>
        <w:t>. A total of</w:t>
      </w:r>
      <w:r w:rsidRPr="00E400AC">
        <w:t xml:space="preserve"> 541 subjects rec</w:t>
      </w:r>
      <w:r>
        <w:t xml:space="preserve">eived at least 1 dose of </w:t>
      </w:r>
      <w:proofErr w:type="spellStart"/>
      <w:r>
        <w:t>Latisse</w:t>
      </w:r>
      <w:proofErr w:type="spellEnd"/>
      <w:r>
        <w:t xml:space="preserve"> (413 </w:t>
      </w:r>
      <w:r w:rsidRPr="00E400AC">
        <w:t xml:space="preserve">with idiopathic and 128 with </w:t>
      </w:r>
      <w:r>
        <w:t xml:space="preserve">post chemotherapy </w:t>
      </w:r>
      <w:proofErr w:type="spellStart"/>
      <w:r>
        <w:t>hypotrichosis</w:t>
      </w:r>
      <w:proofErr w:type="spellEnd"/>
      <w:r>
        <w:t>).</w:t>
      </w:r>
    </w:p>
    <w:p w:rsidR="0059719E" w:rsidRPr="00E400AC" w:rsidRDefault="0059719E" w:rsidP="0059719E">
      <w:r>
        <w:t>In the pooled analysis</w:t>
      </w:r>
      <w:r w:rsidRPr="00E400AC">
        <w:t>, t</w:t>
      </w:r>
      <w:r>
        <w:t>he median treatment duration with</w:t>
      </w:r>
      <w:r w:rsidRPr="00E400AC">
        <w:t xml:space="preserve"> </w:t>
      </w:r>
      <w:proofErr w:type="spellStart"/>
      <w:r w:rsidRPr="00E400AC">
        <w:t>bimatoprost</w:t>
      </w:r>
      <w:proofErr w:type="spellEnd"/>
      <w:r>
        <w:t xml:space="preserve"> was 182 days. A total of</w:t>
      </w:r>
      <w:r w:rsidRPr="00E400AC">
        <w:t xml:space="preserve"> 214 subjects in this group (</w:t>
      </w:r>
      <w:proofErr w:type="spellStart"/>
      <w:r w:rsidRPr="00E400AC">
        <w:t>Bim</w:t>
      </w:r>
      <w:proofErr w:type="spellEnd"/>
      <w:r w:rsidRPr="00E400AC">
        <w:t>/</w:t>
      </w:r>
      <w:proofErr w:type="spellStart"/>
      <w:r w:rsidRPr="00E400AC">
        <w:t>Bim</w:t>
      </w:r>
      <w:proofErr w:type="spellEnd"/>
      <w:r w:rsidRPr="00E400AC">
        <w:t>), the median and mean exposure</w:t>
      </w:r>
      <w:r>
        <w:t xml:space="preserve">s were 364 days and 335 days respectively. A total of 183 subjects </w:t>
      </w:r>
      <w:r w:rsidRPr="00E400AC">
        <w:t xml:space="preserve">had at least 48 weeks </w:t>
      </w:r>
      <w:r>
        <w:t xml:space="preserve">treatment with </w:t>
      </w:r>
      <w:proofErr w:type="spellStart"/>
      <w:r>
        <w:t>bimatoprost</w:t>
      </w:r>
      <w:proofErr w:type="spellEnd"/>
      <w:r>
        <w:t xml:space="preserve"> (</w:t>
      </w:r>
      <w:r w:rsidRPr="00E400AC">
        <w:t xml:space="preserve">97 with idiopathic and 86 with </w:t>
      </w:r>
      <w:r>
        <w:t xml:space="preserve">post chemotherapy </w:t>
      </w:r>
      <w:proofErr w:type="spellStart"/>
      <w:r>
        <w:t>hypotrichosis</w:t>
      </w:r>
      <w:proofErr w:type="spellEnd"/>
      <w:r>
        <w:t>).</w:t>
      </w:r>
    </w:p>
    <w:p w:rsidR="0059719E" w:rsidRDefault="0059719E" w:rsidP="0059719E">
      <w:r w:rsidRPr="00E400AC">
        <w:t xml:space="preserve">The </w:t>
      </w:r>
      <w:r>
        <w:t>rate of adverse events (AE)</w:t>
      </w:r>
      <w:r w:rsidRPr="00E400AC">
        <w:t xml:space="preserve"> was higher with </w:t>
      </w:r>
      <w:proofErr w:type="spellStart"/>
      <w:r w:rsidRPr="00E400AC">
        <w:t>bimatoprost</w:t>
      </w:r>
      <w:proofErr w:type="spellEnd"/>
      <w:r w:rsidRPr="00E400AC">
        <w:t xml:space="preserve"> than vehicle (50%</w:t>
      </w:r>
      <w:r>
        <w:t xml:space="preserve"> versus 32%)</w:t>
      </w:r>
      <w:r w:rsidRPr="00E400AC">
        <w:t>. The most</w:t>
      </w:r>
      <w:r>
        <w:t xml:space="preserve"> frequent AEs were</w:t>
      </w:r>
      <w:r w:rsidRPr="00E400AC">
        <w:t xml:space="preserve"> eye disorders (28%</w:t>
      </w:r>
      <w:r>
        <w:t xml:space="preserve"> versus 13%). The most commonly reported AEs are shown in Table 18.</w:t>
      </w:r>
    </w:p>
    <w:p w:rsidR="0059719E" w:rsidRDefault="0059719E" w:rsidP="0059719E">
      <w:pPr>
        <w:pStyle w:val="TableTitle"/>
      </w:pPr>
      <w:r>
        <w:t>Table 18. Most common Adverse Events</w:t>
      </w:r>
    </w:p>
    <w:tbl>
      <w:tblPr>
        <w:tblStyle w:val="TableTGAblue"/>
        <w:tblW w:w="0" w:type="auto"/>
        <w:tblLook w:val="04A0" w:firstRow="1" w:lastRow="0" w:firstColumn="1" w:lastColumn="0" w:noHBand="0" w:noVBand="1"/>
      </w:tblPr>
      <w:tblGrid>
        <w:gridCol w:w="2552"/>
        <w:gridCol w:w="2056"/>
        <w:gridCol w:w="2056"/>
      </w:tblGrid>
      <w:tr w:rsidR="0059719E" w:rsidRPr="00412302" w:rsidTr="009B4203">
        <w:trPr>
          <w:cnfStyle w:val="100000000000" w:firstRow="1" w:lastRow="0" w:firstColumn="0" w:lastColumn="0" w:oddVBand="0" w:evenVBand="0" w:oddHBand="0" w:evenHBand="0" w:firstRowFirstColumn="0" w:firstRowLastColumn="0" w:lastRowFirstColumn="0" w:lastRowLastColumn="0"/>
        </w:trPr>
        <w:tc>
          <w:tcPr>
            <w:tcW w:w="2552" w:type="dxa"/>
          </w:tcPr>
          <w:p w:rsidR="0059719E" w:rsidRPr="00412302" w:rsidRDefault="0059719E" w:rsidP="001A3D87">
            <w:r>
              <w:t>AE</w:t>
            </w:r>
          </w:p>
        </w:tc>
        <w:tc>
          <w:tcPr>
            <w:tcW w:w="2056" w:type="dxa"/>
          </w:tcPr>
          <w:p w:rsidR="0059719E" w:rsidRPr="00412302" w:rsidRDefault="0059719E" w:rsidP="001A3D87">
            <w:proofErr w:type="spellStart"/>
            <w:r w:rsidRPr="00412302">
              <w:t>Bimatoprost</w:t>
            </w:r>
            <w:proofErr w:type="spellEnd"/>
          </w:p>
        </w:tc>
        <w:tc>
          <w:tcPr>
            <w:tcW w:w="2056" w:type="dxa"/>
          </w:tcPr>
          <w:p w:rsidR="0059719E" w:rsidRPr="00412302" w:rsidRDefault="0059719E" w:rsidP="001A3D87">
            <w:r w:rsidRPr="00412302">
              <w:t>vehicle</w:t>
            </w:r>
          </w:p>
        </w:tc>
      </w:tr>
      <w:tr w:rsidR="0059719E" w:rsidRPr="00412302" w:rsidTr="009B4203">
        <w:tc>
          <w:tcPr>
            <w:tcW w:w="2552" w:type="dxa"/>
          </w:tcPr>
          <w:p w:rsidR="0059719E" w:rsidRPr="00412302" w:rsidRDefault="0059719E" w:rsidP="001A3D87">
            <w:r w:rsidRPr="00412302">
              <w:t>Conjunctival hyperaemia</w:t>
            </w:r>
          </w:p>
        </w:tc>
        <w:tc>
          <w:tcPr>
            <w:tcW w:w="2056" w:type="dxa"/>
          </w:tcPr>
          <w:p w:rsidR="0059719E" w:rsidRPr="00412302" w:rsidRDefault="0059719E" w:rsidP="001A3D87">
            <w:r w:rsidRPr="00412302">
              <w:t>7.2%</w:t>
            </w:r>
          </w:p>
        </w:tc>
        <w:tc>
          <w:tcPr>
            <w:tcW w:w="2056" w:type="dxa"/>
          </w:tcPr>
          <w:p w:rsidR="0059719E" w:rsidRPr="00412302" w:rsidRDefault="0059719E" w:rsidP="001A3D87">
            <w:r w:rsidRPr="00412302">
              <w:t>1.4%</w:t>
            </w:r>
          </w:p>
        </w:tc>
      </w:tr>
      <w:tr w:rsidR="0059719E" w:rsidRPr="00412302" w:rsidTr="009B4203">
        <w:tc>
          <w:tcPr>
            <w:tcW w:w="2552" w:type="dxa"/>
          </w:tcPr>
          <w:p w:rsidR="0059719E" w:rsidRPr="00412302" w:rsidRDefault="0059719E" w:rsidP="001A3D87">
            <w:r w:rsidRPr="00412302">
              <w:t>Punctate keratitis</w:t>
            </w:r>
          </w:p>
        </w:tc>
        <w:tc>
          <w:tcPr>
            <w:tcW w:w="2056" w:type="dxa"/>
          </w:tcPr>
          <w:p w:rsidR="0059719E" w:rsidRPr="00412302" w:rsidRDefault="0059719E" w:rsidP="001A3D87">
            <w:r w:rsidRPr="00412302">
              <w:t>3.1%</w:t>
            </w:r>
          </w:p>
        </w:tc>
        <w:tc>
          <w:tcPr>
            <w:tcW w:w="2056" w:type="dxa"/>
          </w:tcPr>
          <w:p w:rsidR="0059719E" w:rsidRPr="00412302" w:rsidRDefault="0059719E" w:rsidP="001A3D87">
            <w:r w:rsidRPr="00412302">
              <w:t>1.8%</w:t>
            </w:r>
          </w:p>
        </w:tc>
      </w:tr>
      <w:tr w:rsidR="0059719E" w:rsidRPr="00412302" w:rsidTr="009B4203">
        <w:tc>
          <w:tcPr>
            <w:tcW w:w="2552" w:type="dxa"/>
          </w:tcPr>
          <w:p w:rsidR="0059719E" w:rsidRPr="00412302" w:rsidRDefault="0059719E" w:rsidP="001A3D87">
            <w:r w:rsidRPr="00412302">
              <w:t>Eyelid pruritus</w:t>
            </w:r>
          </w:p>
        </w:tc>
        <w:tc>
          <w:tcPr>
            <w:tcW w:w="2056" w:type="dxa"/>
          </w:tcPr>
          <w:p w:rsidR="0059719E" w:rsidRPr="00412302" w:rsidRDefault="0059719E" w:rsidP="001A3D87">
            <w:r w:rsidRPr="00412302">
              <w:t>3.7%</w:t>
            </w:r>
          </w:p>
        </w:tc>
        <w:tc>
          <w:tcPr>
            <w:tcW w:w="2056" w:type="dxa"/>
          </w:tcPr>
          <w:p w:rsidR="0059719E" w:rsidRPr="00412302" w:rsidRDefault="0059719E" w:rsidP="001A3D87">
            <w:r w:rsidRPr="00412302">
              <w:t>2.9%</w:t>
            </w:r>
          </w:p>
        </w:tc>
      </w:tr>
      <w:tr w:rsidR="0059719E" w:rsidRPr="00412302" w:rsidTr="009B4203">
        <w:tc>
          <w:tcPr>
            <w:tcW w:w="2552" w:type="dxa"/>
          </w:tcPr>
          <w:p w:rsidR="0059719E" w:rsidRPr="00412302" w:rsidRDefault="0059719E" w:rsidP="001A3D87">
            <w:r w:rsidRPr="00412302">
              <w:t>Eyelid erythema</w:t>
            </w:r>
          </w:p>
        </w:tc>
        <w:tc>
          <w:tcPr>
            <w:tcW w:w="2056" w:type="dxa"/>
          </w:tcPr>
          <w:p w:rsidR="0059719E" w:rsidRPr="00412302" w:rsidRDefault="0059719E" w:rsidP="001A3D87">
            <w:r w:rsidRPr="00412302">
              <w:t>3.9%</w:t>
            </w:r>
          </w:p>
        </w:tc>
        <w:tc>
          <w:tcPr>
            <w:tcW w:w="2056" w:type="dxa"/>
          </w:tcPr>
          <w:p w:rsidR="0059719E" w:rsidRPr="00412302" w:rsidRDefault="0059719E" w:rsidP="001A3D87">
            <w:r w:rsidRPr="00412302">
              <w:t>1.1%</w:t>
            </w:r>
          </w:p>
        </w:tc>
      </w:tr>
      <w:tr w:rsidR="0059719E" w:rsidRPr="00412302" w:rsidTr="009B4203">
        <w:tc>
          <w:tcPr>
            <w:tcW w:w="2552" w:type="dxa"/>
          </w:tcPr>
          <w:p w:rsidR="0059719E" w:rsidRPr="00412302" w:rsidRDefault="0059719E" w:rsidP="001A3D87">
            <w:r w:rsidRPr="00412302">
              <w:t>Eye pruritus</w:t>
            </w:r>
          </w:p>
        </w:tc>
        <w:tc>
          <w:tcPr>
            <w:tcW w:w="2056" w:type="dxa"/>
          </w:tcPr>
          <w:p w:rsidR="0059719E" w:rsidRPr="00412302" w:rsidRDefault="0059719E" w:rsidP="001A3D87">
            <w:r w:rsidRPr="00412302">
              <w:t>2.6%</w:t>
            </w:r>
          </w:p>
        </w:tc>
        <w:tc>
          <w:tcPr>
            <w:tcW w:w="2056" w:type="dxa"/>
          </w:tcPr>
          <w:p w:rsidR="0059719E" w:rsidRPr="00412302" w:rsidRDefault="0059719E" w:rsidP="001A3D87">
            <w:r w:rsidRPr="00412302">
              <w:t>0.7%</w:t>
            </w:r>
          </w:p>
        </w:tc>
      </w:tr>
      <w:tr w:rsidR="0059719E" w:rsidRPr="00412302" w:rsidTr="009B4203">
        <w:tc>
          <w:tcPr>
            <w:tcW w:w="2552" w:type="dxa"/>
          </w:tcPr>
          <w:p w:rsidR="0059719E" w:rsidRPr="00412302" w:rsidRDefault="0059719E" w:rsidP="001A3D87">
            <w:r w:rsidRPr="00412302">
              <w:t>Dry eye</w:t>
            </w:r>
          </w:p>
        </w:tc>
        <w:tc>
          <w:tcPr>
            <w:tcW w:w="2056" w:type="dxa"/>
          </w:tcPr>
          <w:p w:rsidR="0059719E" w:rsidRPr="00412302" w:rsidRDefault="0059719E" w:rsidP="001A3D87">
            <w:r w:rsidRPr="00412302">
              <w:t>2.2%</w:t>
            </w:r>
          </w:p>
        </w:tc>
        <w:tc>
          <w:tcPr>
            <w:tcW w:w="2056" w:type="dxa"/>
          </w:tcPr>
          <w:p w:rsidR="0059719E" w:rsidRPr="00412302" w:rsidRDefault="0059719E" w:rsidP="001A3D87">
            <w:r w:rsidRPr="00412302">
              <w:t>0.7%</w:t>
            </w:r>
          </w:p>
        </w:tc>
      </w:tr>
      <w:tr w:rsidR="0059719E" w:rsidRPr="00412302" w:rsidTr="009B4203">
        <w:tc>
          <w:tcPr>
            <w:tcW w:w="2552" w:type="dxa"/>
          </w:tcPr>
          <w:p w:rsidR="0059719E" w:rsidRPr="00412302" w:rsidRDefault="0059719E" w:rsidP="001A3D87">
            <w:r w:rsidRPr="00412302">
              <w:lastRenderedPageBreak/>
              <w:t>Blepharitis</w:t>
            </w:r>
          </w:p>
        </w:tc>
        <w:tc>
          <w:tcPr>
            <w:tcW w:w="2056" w:type="dxa"/>
          </w:tcPr>
          <w:p w:rsidR="0059719E" w:rsidRPr="00412302" w:rsidRDefault="0059719E" w:rsidP="001A3D87">
            <w:r w:rsidRPr="00412302">
              <w:t>1.3%</w:t>
            </w:r>
          </w:p>
        </w:tc>
        <w:tc>
          <w:tcPr>
            <w:tcW w:w="2056" w:type="dxa"/>
          </w:tcPr>
          <w:p w:rsidR="0059719E" w:rsidRPr="00412302" w:rsidRDefault="0059719E" w:rsidP="001A3D87">
            <w:r w:rsidRPr="00412302">
              <w:t>0.4%</w:t>
            </w:r>
          </w:p>
        </w:tc>
      </w:tr>
      <w:tr w:rsidR="0059719E" w:rsidRPr="00412302" w:rsidTr="009B4203">
        <w:tc>
          <w:tcPr>
            <w:tcW w:w="2552" w:type="dxa"/>
          </w:tcPr>
          <w:p w:rsidR="0059719E" w:rsidRPr="00412302" w:rsidRDefault="0059719E" w:rsidP="001A3D87">
            <w:r w:rsidRPr="00412302">
              <w:t>Skin pigmentation</w:t>
            </w:r>
          </w:p>
        </w:tc>
        <w:tc>
          <w:tcPr>
            <w:tcW w:w="2056" w:type="dxa"/>
          </w:tcPr>
          <w:p w:rsidR="0059719E" w:rsidRPr="00412302" w:rsidRDefault="0059719E" w:rsidP="001A3D87">
            <w:r w:rsidRPr="00412302">
              <w:t>3.9%</w:t>
            </w:r>
          </w:p>
        </w:tc>
        <w:tc>
          <w:tcPr>
            <w:tcW w:w="2056" w:type="dxa"/>
          </w:tcPr>
          <w:p w:rsidR="0059719E" w:rsidRPr="00412302" w:rsidRDefault="0059719E" w:rsidP="001A3D87">
            <w:r w:rsidRPr="00412302">
              <w:t>0.4%</w:t>
            </w:r>
          </w:p>
        </w:tc>
      </w:tr>
      <w:tr w:rsidR="0059719E" w:rsidRPr="00412302" w:rsidTr="009B4203">
        <w:tc>
          <w:tcPr>
            <w:tcW w:w="2552" w:type="dxa"/>
          </w:tcPr>
          <w:p w:rsidR="0059719E" w:rsidRPr="00412302" w:rsidRDefault="0059719E" w:rsidP="001A3D87">
            <w:proofErr w:type="spellStart"/>
            <w:r w:rsidRPr="00412302">
              <w:t>Madarosis</w:t>
            </w:r>
            <w:proofErr w:type="spellEnd"/>
            <w:r w:rsidRPr="00412302">
              <w:t xml:space="preserve"> (absence of eyelashes)</w:t>
            </w:r>
          </w:p>
        </w:tc>
        <w:tc>
          <w:tcPr>
            <w:tcW w:w="2056" w:type="dxa"/>
          </w:tcPr>
          <w:p w:rsidR="0059719E" w:rsidRPr="00412302" w:rsidRDefault="0059719E" w:rsidP="001A3D87">
            <w:r w:rsidRPr="00412302">
              <w:t>0.9%</w:t>
            </w:r>
          </w:p>
        </w:tc>
        <w:tc>
          <w:tcPr>
            <w:tcW w:w="2056" w:type="dxa"/>
          </w:tcPr>
          <w:p w:rsidR="0059719E" w:rsidRPr="00412302" w:rsidRDefault="0059719E" w:rsidP="001A3D87">
            <w:r w:rsidRPr="00412302">
              <w:t>0.0%</w:t>
            </w:r>
          </w:p>
        </w:tc>
      </w:tr>
      <w:tr w:rsidR="0059719E" w:rsidRPr="00412302" w:rsidTr="009B4203">
        <w:tc>
          <w:tcPr>
            <w:tcW w:w="2552" w:type="dxa"/>
          </w:tcPr>
          <w:p w:rsidR="0059719E" w:rsidRPr="00412302" w:rsidRDefault="0059719E" w:rsidP="001A3D87">
            <w:proofErr w:type="spellStart"/>
            <w:r w:rsidRPr="00412302">
              <w:t>Enophthalmos</w:t>
            </w:r>
            <w:proofErr w:type="spellEnd"/>
          </w:p>
        </w:tc>
        <w:tc>
          <w:tcPr>
            <w:tcW w:w="2056" w:type="dxa"/>
          </w:tcPr>
          <w:p w:rsidR="0059719E" w:rsidRPr="00412302" w:rsidRDefault="0059719E" w:rsidP="001A3D87">
            <w:r w:rsidRPr="00412302">
              <w:t>0.2%</w:t>
            </w:r>
          </w:p>
        </w:tc>
        <w:tc>
          <w:tcPr>
            <w:tcW w:w="2056" w:type="dxa"/>
          </w:tcPr>
          <w:p w:rsidR="0059719E" w:rsidRPr="00412302" w:rsidRDefault="0059719E" w:rsidP="001A3D87">
            <w:r w:rsidRPr="00412302">
              <w:t>0.0%</w:t>
            </w:r>
          </w:p>
        </w:tc>
      </w:tr>
    </w:tbl>
    <w:p w:rsidR="0059719E" w:rsidRPr="00E400AC" w:rsidRDefault="0059719E" w:rsidP="0059719E">
      <w:r w:rsidRPr="00E400AC">
        <w:t>The most frequent AEs leadin</w:t>
      </w:r>
      <w:r>
        <w:t>g to discontinuation were</w:t>
      </w:r>
      <w:r w:rsidRPr="00E400AC">
        <w:t xml:space="preserve"> conjunctival hyperaemia, erythema of the eyelid, dry eye and eye irritation.</w:t>
      </w:r>
    </w:p>
    <w:p w:rsidR="0059719E" w:rsidRPr="00E400AC" w:rsidRDefault="0059719E" w:rsidP="0059719E">
      <w:r>
        <w:t xml:space="preserve">In general, the post chemotherapy </w:t>
      </w:r>
      <w:r w:rsidRPr="00E400AC">
        <w:t xml:space="preserve">group </w:t>
      </w:r>
      <w:r>
        <w:t xml:space="preserve">had a higher rate of AEs than </w:t>
      </w:r>
      <w:r w:rsidRPr="00E400AC">
        <w:t xml:space="preserve">idiopathic </w:t>
      </w:r>
      <w:r>
        <w:t xml:space="preserve">aetiology </w:t>
      </w:r>
      <w:proofErr w:type="spellStart"/>
      <w:r w:rsidRPr="00E400AC">
        <w:t>hypotrichosis</w:t>
      </w:r>
      <w:proofErr w:type="spellEnd"/>
      <w:r w:rsidRPr="00E400AC">
        <w:t xml:space="preserve"> </w:t>
      </w:r>
      <w:r>
        <w:t xml:space="preserve">group. </w:t>
      </w:r>
      <w:r w:rsidRPr="00E400AC">
        <w:t xml:space="preserve">In addition, this group had a higher rate of SAEs (13.3% </w:t>
      </w:r>
      <w:proofErr w:type="spellStart"/>
      <w:r>
        <w:t>bimatoprost</w:t>
      </w:r>
      <w:proofErr w:type="spellEnd"/>
      <w:r>
        <w:t xml:space="preserve"> versus 6.1% vehicle) compared to</w:t>
      </w:r>
      <w:r w:rsidRPr="00E400AC">
        <w:t xml:space="preserve"> idiopathic group (2.7% </w:t>
      </w:r>
      <w:proofErr w:type="spellStart"/>
      <w:r>
        <w:t>bimatoprost</w:t>
      </w:r>
      <w:proofErr w:type="spellEnd"/>
      <w:r>
        <w:t xml:space="preserve"> versus </w:t>
      </w:r>
      <w:r w:rsidRPr="00E400AC">
        <w:t>1.2%</w:t>
      </w:r>
      <w:r>
        <w:t xml:space="preserve"> vehicle).</w:t>
      </w:r>
    </w:p>
    <w:p w:rsidR="0059719E" w:rsidRPr="00E400AC" w:rsidRDefault="0059719E" w:rsidP="0059719E">
      <w:r w:rsidRPr="00E400AC">
        <w:t xml:space="preserve">Over 12 months of treatment the </w:t>
      </w:r>
      <w:r>
        <w:t xml:space="preserve">cumulative AE rate was 63% </w:t>
      </w:r>
      <w:r w:rsidRPr="00E400AC">
        <w:t>and the rate of SAEs wa</w:t>
      </w:r>
      <w:r>
        <w:t xml:space="preserve">s 8.4%. The rate of </w:t>
      </w:r>
      <w:r w:rsidRPr="00E400AC">
        <w:t xml:space="preserve">eye disorders, apart from eyelid hyperaemia, did not </w:t>
      </w:r>
      <w:r>
        <w:t>generally increase in the second six month period.</w:t>
      </w:r>
    </w:p>
    <w:p w:rsidR="0059719E" w:rsidRPr="00E400AC" w:rsidRDefault="0059719E" w:rsidP="0059719E">
      <w:r>
        <w:t xml:space="preserve">Eye assessments </w:t>
      </w:r>
      <w:r w:rsidRPr="00E400AC">
        <w:t>during th</w:t>
      </w:r>
      <w:r>
        <w:t xml:space="preserve">e studies showed a small decrease in mean intraocular pressure (IOP) in the active group compared to the control </w:t>
      </w:r>
      <w:r w:rsidRPr="00E400AC">
        <w:t>(-1.24</w:t>
      </w:r>
      <w:r>
        <w:t xml:space="preserve"> versus </w:t>
      </w:r>
      <w:r w:rsidRPr="00E400AC">
        <w:t>-0.55 mmHg). There were 2 AEs of low IOP (</w:t>
      </w:r>
      <w:r>
        <w:t>≤ 5 mmHg) resulting in study discontinuation (one in</w:t>
      </w:r>
      <w:r w:rsidRPr="00E400AC">
        <w:t xml:space="preserve"> vehicle group</w:t>
      </w:r>
      <w:r>
        <w:t>)</w:t>
      </w:r>
      <w:r w:rsidRPr="00E400AC">
        <w:t>. Other cases of low IOP (</w:t>
      </w:r>
      <w:r>
        <w:t xml:space="preserve">≤ </w:t>
      </w:r>
      <w:r w:rsidRPr="00E400AC">
        <w:t xml:space="preserve">7 </w:t>
      </w:r>
      <w:r>
        <w:t xml:space="preserve">mmHg) were not persistent. </w:t>
      </w:r>
      <w:proofErr w:type="spellStart"/>
      <w:r>
        <w:t>Biomicroscopy</w:t>
      </w:r>
      <w:proofErr w:type="spellEnd"/>
      <w:r w:rsidRPr="00E400AC">
        <w:t xml:space="preserve"> and </w:t>
      </w:r>
      <w:r>
        <w:t>ophthalmoscopy examinations noted</w:t>
      </w:r>
      <w:r w:rsidRPr="00E400AC">
        <w:t xml:space="preserve"> conju</w:t>
      </w:r>
      <w:r>
        <w:t>n</w:t>
      </w:r>
      <w:r w:rsidRPr="00E400AC">
        <w:t>ctival hyperaemia, eyelid eryth</w:t>
      </w:r>
      <w:r>
        <w:t>ema. Findings regarding iris hyperpigmentation (which may be permanent), assessed using a non-validated tool,</w:t>
      </w:r>
      <w:r w:rsidRPr="00E400AC">
        <w:t xml:space="preserve"> were inconclusive. There was no notable change</w:t>
      </w:r>
      <w:r>
        <w:t xml:space="preserve"> in best correct visual acuity.</w:t>
      </w:r>
    </w:p>
    <w:p w:rsidR="0059719E" w:rsidRPr="00E400AC" w:rsidRDefault="0059719E" w:rsidP="0059719E">
      <w:proofErr w:type="spellStart"/>
      <w:r>
        <w:t>Postmarketing</w:t>
      </w:r>
      <w:proofErr w:type="spellEnd"/>
      <w:r>
        <w:t xml:space="preserve"> data are also available noting adverse outcomes</w:t>
      </w:r>
      <w:r w:rsidRPr="00E400AC">
        <w:t xml:space="preserve"> of ocular hyperaemia, </w:t>
      </w:r>
      <w:proofErr w:type="spellStart"/>
      <w:r w:rsidRPr="00E400AC">
        <w:t>madarosis</w:t>
      </w:r>
      <w:proofErr w:type="spellEnd"/>
      <w:r w:rsidRPr="00E400AC">
        <w:t xml:space="preserve">, </w:t>
      </w:r>
      <w:proofErr w:type="spellStart"/>
      <w:r w:rsidRPr="00E400AC">
        <w:t>enophthalmos</w:t>
      </w:r>
      <w:proofErr w:type="spellEnd"/>
      <w:r w:rsidRPr="00E400AC">
        <w:t xml:space="preserve"> and serious events of keratitis, eye infections and anap</w:t>
      </w:r>
      <w:r>
        <w:t xml:space="preserve">hylactic reaction as well as events reported as lack of efficacy, misuse, </w:t>
      </w:r>
      <w:r w:rsidRPr="00E400AC">
        <w:t>medi</w:t>
      </w:r>
      <w:r>
        <w:t>cation error and off-label use.</w:t>
      </w:r>
    </w:p>
    <w:p w:rsidR="0059719E" w:rsidRDefault="0059719E" w:rsidP="0059719E">
      <w:r w:rsidRPr="00E400AC">
        <w:t>Safety findings were consistent across the ag</w:t>
      </w:r>
      <w:r>
        <w:t>e groups. H</w:t>
      </w:r>
      <w:r w:rsidRPr="00E400AC">
        <w:t xml:space="preserve">igher rate of </w:t>
      </w:r>
      <w:r>
        <w:t xml:space="preserve">eyelid </w:t>
      </w:r>
      <w:r w:rsidRPr="00E400AC">
        <w:t>skin pigmentation</w:t>
      </w:r>
      <w:r>
        <w:t xml:space="preserve"> were noted in Blacks. The number of </w:t>
      </w:r>
      <w:r w:rsidRPr="00E400AC">
        <w:t xml:space="preserve">males </w:t>
      </w:r>
      <w:r>
        <w:t xml:space="preserve">was too low </w:t>
      </w:r>
      <w:r w:rsidRPr="00E400AC">
        <w:t xml:space="preserve">to draw </w:t>
      </w:r>
      <w:r>
        <w:t>any gender related conclusions. T</w:t>
      </w:r>
      <w:r w:rsidRPr="00E400AC">
        <w:t>he number of Asians were</w:t>
      </w:r>
      <w:r>
        <w:t xml:space="preserve"> low (n=30). There are no</w:t>
      </w:r>
      <w:r w:rsidRPr="00E400AC">
        <w:t xml:space="preserve"> data </w:t>
      </w:r>
      <w:r>
        <w:t>for use in pregnancy, lactation and children.</w:t>
      </w:r>
    </w:p>
    <w:p w:rsidR="0059719E" w:rsidRPr="00B71343" w:rsidRDefault="0059719E" w:rsidP="0059719E">
      <w:pPr>
        <w:pStyle w:val="Heading5"/>
      </w:pPr>
      <w:r w:rsidRPr="00B71343">
        <w:t>Further information from the sponsor</w:t>
      </w:r>
    </w:p>
    <w:p w:rsidR="0059719E" w:rsidRDefault="0059719E" w:rsidP="0059719E">
      <w:r>
        <w:t>The sponsor was queried regarding the amount of volume/drug contained in one dermal application using the applicator and responded citing 2 studies in which these issues were examined. The mean volume of solution</w:t>
      </w:r>
      <w:r w:rsidRPr="00E400AC">
        <w:t xml:space="preserve"> </w:t>
      </w:r>
      <w:r>
        <w:t xml:space="preserve">with the applicator </w:t>
      </w:r>
      <w:r w:rsidRPr="00E400AC">
        <w:t xml:space="preserve">was </w:t>
      </w:r>
      <w:r>
        <w:t>measured at 2.1 µL. The standard volume of a drop expelled from</w:t>
      </w:r>
      <w:r w:rsidRPr="00E400AC">
        <w:t xml:space="preserve"> </w:t>
      </w:r>
      <w:proofErr w:type="spellStart"/>
      <w:r>
        <w:t>Latisse</w:t>
      </w:r>
      <w:proofErr w:type="spellEnd"/>
      <w:r w:rsidRPr="00E400AC">
        <w:t xml:space="preserve"> bottle</w:t>
      </w:r>
      <w:r>
        <w:t>s was stated to be approximately 30 µ</w:t>
      </w:r>
      <w:r w:rsidRPr="00E400AC">
        <w:t>L. Therefore, less than one drop is applied to the eyelid margin.</w:t>
      </w:r>
      <w:r>
        <w:t xml:space="preserve"> Hence also the conclusion that the maximum applied dose (one drop each upper eyelid per day) is expected to be 15 µg per day.</w:t>
      </w:r>
    </w:p>
    <w:p w:rsidR="0059719E" w:rsidRPr="00482624" w:rsidRDefault="0059719E" w:rsidP="0059719E">
      <w:r>
        <w:t>The s</w:t>
      </w:r>
      <w:r w:rsidRPr="00E400AC">
        <w:t xml:space="preserve">ponsor </w:t>
      </w:r>
      <w:r>
        <w:t xml:space="preserve">also </w:t>
      </w:r>
      <w:r w:rsidRPr="00E400AC">
        <w:t>stated that “</w:t>
      </w:r>
      <w:r w:rsidRPr="00E400AC">
        <w:rPr>
          <w:i/>
        </w:rPr>
        <w:t xml:space="preserve">although it is possible for a patient to try to apply more than a single drop of </w:t>
      </w:r>
      <w:proofErr w:type="spellStart"/>
      <w:r w:rsidRPr="00E400AC">
        <w:rPr>
          <w:i/>
        </w:rPr>
        <w:t>Latisse</w:t>
      </w:r>
      <w:proofErr w:type="spellEnd"/>
      <w:r w:rsidRPr="00E400AC">
        <w:rPr>
          <w:i/>
        </w:rPr>
        <w:t xml:space="preserve"> to the applicator, this practice would simply cause the product to be used faster. In the event that a patient applies too much solution to an applicator and excess solution is applied to the treatment area, the directions for use in the proposed product information (PI) and consumer medicine information (CMI) direct the patient to blot excess </w:t>
      </w:r>
      <w:r w:rsidRPr="00E400AC">
        <w:rPr>
          <w:i/>
        </w:rPr>
        <w:lastRenderedPageBreak/>
        <w:t>product after application. These directions are intended to provide for a targeted application of the appropriate dose to the treatment area.”</w:t>
      </w:r>
    </w:p>
    <w:p w:rsidR="0059719E" w:rsidRPr="00E400AC" w:rsidRDefault="0059719E" w:rsidP="0059719E">
      <w:r w:rsidRPr="00E400AC">
        <w:t xml:space="preserve">The </w:t>
      </w:r>
      <w:r>
        <w:t>sponsor also in</w:t>
      </w:r>
      <w:r w:rsidRPr="00E400AC">
        <w:t>c</w:t>
      </w:r>
      <w:r>
        <w:t>luded clinical study reports for 2 additional</w:t>
      </w:r>
      <w:r w:rsidRPr="00E400AC">
        <w:t xml:space="preserve"> studie</w:t>
      </w:r>
      <w:r>
        <w:t>s in Japanese population. The clinical evaluator considered the results in these studies to be consistent with those seen otherwise in the Caucasian population.</w:t>
      </w:r>
    </w:p>
    <w:p w:rsidR="0059719E" w:rsidRPr="00C87A46" w:rsidRDefault="0059719E" w:rsidP="0059719E">
      <w:r>
        <w:t>The sponsor was also asked about the Study 192024-</w:t>
      </w:r>
      <w:r w:rsidRPr="00482624">
        <w:t xml:space="preserve">039 </w:t>
      </w:r>
      <w:r>
        <w:t xml:space="preserve">(post-market commitment in the US; see CER) regarding </w:t>
      </w:r>
      <w:r w:rsidRPr="00482624">
        <w:t xml:space="preserve">high response rate </w:t>
      </w:r>
      <w:r>
        <w:t>in African Americans</w:t>
      </w:r>
      <w:r w:rsidRPr="00482624">
        <w:t xml:space="preserve"> receiving vehicle (48.8%). </w:t>
      </w:r>
      <w:r>
        <w:t>This finding was unexplained but the sponsor noted that high vehicle response was not found with</w:t>
      </w:r>
      <w:r w:rsidRPr="00E400AC">
        <w:t xml:space="preserve"> </w:t>
      </w:r>
      <w:r>
        <w:t xml:space="preserve">≥ 2 grade GEA and </w:t>
      </w:r>
      <w:r w:rsidRPr="00E400AC">
        <w:t>that in 2 of 5 clinical sites there was 100%</w:t>
      </w:r>
      <w:r>
        <w:t xml:space="preserve"> vehicle response. The clinical evaluator opined that</w:t>
      </w:r>
      <w:r w:rsidRPr="00E400AC">
        <w:t xml:space="preserve"> GEA scale may not be reliable in the African American population.</w:t>
      </w:r>
    </w:p>
    <w:p w:rsidR="0059719E" w:rsidRDefault="0059719E" w:rsidP="0059719E">
      <w:pPr>
        <w:pStyle w:val="Heading3"/>
        <w:rPr>
          <w:lang w:eastAsia="en-AU"/>
        </w:rPr>
      </w:pPr>
      <w:bookmarkStart w:id="211" w:name="_Toc388514003"/>
      <w:bookmarkStart w:id="212" w:name="_Toc55464744"/>
      <w:r>
        <w:rPr>
          <w:lang w:eastAsia="en-AU"/>
        </w:rPr>
        <w:t>Risk management plan</w:t>
      </w:r>
      <w:bookmarkEnd w:id="198"/>
      <w:bookmarkEnd w:id="211"/>
      <w:bookmarkEnd w:id="212"/>
    </w:p>
    <w:p w:rsidR="0059719E" w:rsidRDefault="0059719E" w:rsidP="0059719E">
      <w:r w:rsidRPr="00E400AC">
        <w:t>Please see RMP</w:t>
      </w:r>
      <w:r>
        <w:t xml:space="preserve"> evaluation above. </w:t>
      </w:r>
      <w:r w:rsidRPr="00E400AC">
        <w:t xml:space="preserve">ACSOM advice was </w:t>
      </w:r>
      <w:r>
        <w:t>not sought for this submission.</w:t>
      </w:r>
    </w:p>
    <w:p w:rsidR="0059719E" w:rsidRPr="002C7408" w:rsidRDefault="0059719E" w:rsidP="0059719E">
      <w:r w:rsidRPr="00E400AC">
        <w:t>Implement</w:t>
      </w:r>
      <w:r>
        <w:t>ation of</w:t>
      </w:r>
      <w:r w:rsidRPr="00E400AC">
        <w:t xml:space="preserve"> EU RMP version 1.3 dated 29 May 2012 [data lock point 31 Dec</w:t>
      </w:r>
      <w:r>
        <w:t>ember</w:t>
      </w:r>
      <w:r w:rsidRPr="00E400AC">
        <w:t xml:space="preserve"> 2011] and Australian specific Annex dated 12 July 2012 and any future updates </w:t>
      </w:r>
      <w:r>
        <w:t xml:space="preserve">is recommended </w:t>
      </w:r>
      <w:r w:rsidRPr="00E400AC">
        <w:t xml:space="preserve">as </w:t>
      </w:r>
      <w:r>
        <w:t xml:space="preserve">a </w:t>
      </w:r>
      <w:r w:rsidRPr="00E400AC">
        <w:t>condition of registration.</w:t>
      </w:r>
      <w:r>
        <w:t xml:space="preserve"> A number of PI changes were negotiated with the sponsor during the preparation of Second Round evaluation reports. Among the outstanding issues is recommendation that if </w:t>
      </w:r>
      <w:proofErr w:type="spellStart"/>
      <w:r>
        <w:t>Latisse</w:t>
      </w:r>
      <w:proofErr w:type="spellEnd"/>
      <w:r>
        <w:t xml:space="preserve"> is granted registration, it should be for a</w:t>
      </w:r>
      <w:r w:rsidRPr="00E400AC">
        <w:t xml:space="preserve"> </w:t>
      </w:r>
      <w:r w:rsidRPr="00E400AC">
        <w:rPr>
          <w:i/>
          <w:iCs/>
        </w:rPr>
        <w:t xml:space="preserve">diagnosed medical disorder </w:t>
      </w:r>
      <w:r>
        <w:t>which has resulted</w:t>
      </w:r>
      <w:r w:rsidRPr="00E400AC">
        <w:t xml:space="preserve"> in ey</w:t>
      </w:r>
      <w:r>
        <w:t xml:space="preserve">elash loss. There is further recommendation that prescribing </w:t>
      </w:r>
      <w:r w:rsidRPr="00E400AC">
        <w:t>be restricted to specialist physicians.</w:t>
      </w:r>
    </w:p>
    <w:p w:rsidR="0059719E" w:rsidRDefault="0059719E" w:rsidP="0059719E">
      <w:pPr>
        <w:pStyle w:val="Heading3"/>
      </w:pPr>
      <w:bookmarkStart w:id="213" w:name="_Toc247691531"/>
      <w:bookmarkStart w:id="214" w:name="_Toc314842515"/>
      <w:bookmarkStart w:id="215" w:name="_Toc388514004"/>
      <w:bookmarkStart w:id="216" w:name="_Toc196046505"/>
      <w:bookmarkStart w:id="217" w:name="_Toc196046949"/>
      <w:bookmarkStart w:id="218" w:name="_Toc55464745"/>
      <w:r>
        <w:t>Risk-benefit analysis</w:t>
      </w:r>
      <w:bookmarkEnd w:id="213"/>
      <w:bookmarkEnd w:id="214"/>
      <w:bookmarkEnd w:id="215"/>
      <w:bookmarkEnd w:id="218"/>
    </w:p>
    <w:p w:rsidR="0059719E" w:rsidRDefault="0059719E" w:rsidP="0059719E">
      <w:pPr>
        <w:pStyle w:val="Heading4"/>
      </w:pPr>
      <w:r w:rsidRPr="00D23139">
        <w:t xml:space="preserve">Delegate’s considerations </w:t>
      </w:r>
    </w:p>
    <w:p w:rsidR="0059719E" w:rsidRPr="00B14378" w:rsidRDefault="0059719E" w:rsidP="0059719E">
      <w:r w:rsidRPr="00B14378">
        <w:t>The off-target effects on eyelash growth (lengthening, darkening</w:t>
      </w:r>
      <w:r>
        <w:t xml:space="preserve"> and</w:t>
      </w:r>
      <w:r w:rsidRPr="00B14378">
        <w:t xml:space="preserve"> thickening) and skin/iris pigmentation were noted in the clinical development of </w:t>
      </w:r>
      <w:proofErr w:type="spellStart"/>
      <w:r w:rsidRPr="00B14378">
        <w:t>bimatoprost</w:t>
      </w:r>
      <w:proofErr w:type="spellEnd"/>
      <w:r w:rsidRPr="00B14378">
        <w:t xml:space="preserve"> in glaucoma trials</w:t>
      </w:r>
      <w:r>
        <w:t>.</w:t>
      </w:r>
      <w:r w:rsidRPr="00B14378">
        <w:t xml:space="preserve"> These are also known class effects for these agents (</w:t>
      </w:r>
      <w:proofErr w:type="spellStart"/>
      <w:r w:rsidRPr="00B14378">
        <w:t>prostamides</w:t>
      </w:r>
      <w:proofErr w:type="spellEnd"/>
      <w:r w:rsidRPr="00B14378">
        <w:t xml:space="preserve"> or prostaglandin analogues).</w:t>
      </w:r>
    </w:p>
    <w:p w:rsidR="0059719E" w:rsidRPr="00B14378" w:rsidRDefault="0059719E" w:rsidP="0059719E">
      <w:r w:rsidRPr="00B14378">
        <w:t xml:space="preserve">In undertaking clinical </w:t>
      </w:r>
      <w:r>
        <w:t xml:space="preserve">trials </w:t>
      </w:r>
      <w:r w:rsidRPr="00B14378">
        <w:t xml:space="preserve">in </w:t>
      </w:r>
      <w:proofErr w:type="spellStart"/>
      <w:r w:rsidRPr="00B14378">
        <w:t>hypotrichosis</w:t>
      </w:r>
      <w:proofErr w:type="spellEnd"/>
      <w:r w:rsidRPr="00B14378">
        <w:t>, the condition was described as ‘inadequate or not enough eyelashes’. On the Global Eyelash Assessment (GEA) scale, developed and internally validated by the sponsor (</w:t>
      </w:r>
      <w:r>
        <w:t>S</w:t>
      </w:r>
      <w:r w:rsidRPr="00B14378">
        <w:t xml:space="preserve">tudy </w:t>
      </w:r>
      <w:r>
        <w:t>192024-</w:t>
      </w:r>
      <w:r w:rsidRPr="00B14378">
        <w:t>033), this was defined as GEA scale 1 and 2.</w:t>
      </w:r>
    </w:p>
    <w:p w:rsidR="0059719E" w:rsidRPr="00B14378" w:rsidRDefault="0059719E" w:rsidP="0059719E">
      <w:r w:rsidRPr="00B14378">
        <w:t xml:space="preserve">A previous submission for this agent was prematurely withdrawn by the sponsor in 2011 upon receipt of adverse recommendation in the clinical evaluation report. The sponsor has sought to address those deficiencies in the current submission. This has principally been done by way of provision of a new 12 months duration trial in subjects with </w:t>
      </w:r>
      <w:proofErr w:type="spellStart"/>
      <w:r w:rsidRPr="00B14378">
        <w:t>hypotrichosis</w:t>
      </w:r>
      <w:proofErr w:type="spellEnd"/>
      <w:r w:rsidRPr="00B14378">
        <w:t xml:space="preserve"> of idiopathic or </w:t>
      </w:r>
      <w:r>
        <w:t xml:space="preserve">post chemotherapy </w:t>
      </w:r>
      <w:r w:rsidRPr="00B14378">
        <w:t>aetiology. The study also investigated persistence of effect on withdrawal of treatment. In addition, further efficacy and safety data are now available including those in Japanese subjects and in African Americans.</w:t>
      </w:r>
      <w:r>
        <w:t xml:space="preserve"> The studied population was almost all female including those in the post chemotherapy group.</w:t>
      </w:r>
    </w:p>
    <w:p w:rsidR="0059719E" w:rsidRPr="00B14378" w:rsidRDefault="0059719E" w:rsidP="0059719E">
      <w:r w:rsidRPr="00B14378">
        <w:t>A dose response study, comparing the proposed product with a different formulation (</w:t>
      </w:r>
      <w:r>
        <w:t>S</w:t>
      </w:r>
      <w:r w:rsidRPr="00B14378">
        <w:t xml:space="preserve">tudy </w:t>
      </w:r>
      <w:r>
        <w:t>192024-</w:t>
      </w:r>
      <w:r w:rsidRPr="00B14378">
        <w:t>051) provides some evidence of dose response (dose related mean increase in upper eyelash length from 0.74</w:t>
      </w:r>
      <w:r>
        <w:t xml:space="preserve"> </w:t>
      </w:r>
      <w:r w:rsidRPr="00B14378">
        <w:t>mm to 1.36</w:t>
      </w:r>
      <w:r>
        <w:t xml:space="preserve"> </w:t>
      </w:r>
      <w:r w:rsidRPr="00B14378">
        <w:t>mm) after 3 months of treatment. This, however, did not represent investigation or selection of an optimal dose.</w:t>
      </w:r>
    </w:p>
    <w:p w:rsidR="0059719E" w:rsidRPr="00B14378" w:rsidRDefault="0059719E" w:rsidP="0059719E">
      <w:r w:rsidRPr="00B14378">
        <w:t>In this way, it is considered that more information/data have now been made available with respect to the deficiencies identified in the earlier submission.</w:t>
      </w:r>
    </w:p>
    <w:p w:rsidR="0059719E" w:rsidRPr="00B14378" w:rsidRDefault="0059719E" w:rsidP="0059719E">
      <w:r w:rsidRPr="00B14378">
        <w:lastRenderedPageBreak/>
        <w:t>The pivo</w:t>
      </w:r>
      <w:r>
        <w:t>tal efficacy trial was the new S</w:t>
      </w:r>
      <w:r w:rsidRPr="00B14378">
        <w:t xml:space="preserve">tudy </w:t>
      </w:r>
      <w:r>
        <w:t>192024-</w:t>
      </w:r>
      <w:r w:rsidRPr="00B14378">
        <w:t xml:space="preserve">038. This </w:t>
      </w:r>
      <w:r>
        <w:t>trial was</w:t>
      </w:r>
      <w:r w:rsidRPr="00B14378">
        <w:t xml:space="preserve"> well designed (randomised, controlled, blinded). Subjects with idiopathic and </w:t>
      </w:r>
      <w:r>
        <w:t xml:space="preserve">post chemotherapy </w:t>
      </w:r>
      <w:proofErr w:type="spellStart"/>
      <w:r w:rsidRPr="00B14378">
        <w:t>hypotrichosis</w:t>
      </w:r>
      <w:proofErr w:type="spellEnd"/>
      <w:r w:rsidRPr="00B14378">
        <w:t xml:space="preserve"> were studied with treatment for 12 months, including investigation of withdrawal of treatment at 6 months. The inclusion criteria were tightened (GEA score or 1 or 2 </w:t>
      </w:r>
      <w:r w:rsidRPr="00412302">
        <w:rPr>
          <w:i/>
        </w:rPr>
        <w:t>and</w:t>
      </w:r>
      <w:r w:rsidRPr="00B14378">
        <w:t xml:space="preserve"> ESQ Domain 2 response of ‘disagree’ or ‘very much disagree’) and a conservative composite endpoint was constructed (at least 1 grade improvement in GEA </w:t>
      </w:r>
      <w:r w:rsidRPr="00412302">
        <w:rPr>
          <w:i/>
        </w:rPr>
        <w:t>and</w:t>
      </w:r>
      <w:r w:rsidRPr="00B14378">
        <w:t xml:space="preserve"> at least 3 point improvement in ESQ D2).</w:t>
      </w:r>
    </w:p>
    <w:p w:rsidR="0059719E" w:rsidRPr="00B14378" w:rsidRDefault="0059719E" w:rsidP="0059719E">
      <w:r w:rsidRPr="00B14378">
        <w:t>After 6 months of treatment, the percentage of responders, in terms of composite endpoint, was 47%</w:t>
      </w:r>
      <w:r>
        <w:t xml:space="preserve"> versus </w:t>
      </w:r>
      <w:r w:rsidRPr="00B14378">
        <w:t xml:space="preserve">9% in </w:t>
      </w:r>
      <w:proofErr w:type="spellStart"/>
      <w:r w:rsidRPr="00B14378">
        <w:t>bimatoprost</w:t>
      </w:r>
      <w:proofErr w:type="spellEnd"/>
      <w:r w:rsidRPr="00B14378">
        <w:t xml:space="preserve"> and control (vehicle) groups respectively using ITT population. The treatment difference was statistically significant. Similar response rate was seen in the stratified analysis (idiopathic or </w:t>
      </w:r>
      <w:r>
        <w:t xml:space="preserve">post chemotherapy </w:t>
      </w:r>
      <w:r w:rsidRPr="00B14378">
        <w:t>aetiology) but the response rate was relatively higher in the control gr</w:t>
      </w:r>
      <w:r>
        <w:t>oup in vehicle treated subjects likely representing natural hair growth after completion of chemotherapy.</w:t>
      </w:r>
    </w:p>
    <w:p w:rsidR="0059719E" w:rsidRPr="00B14378" w:rsidRDefault="0059719E" w:rsidP="0059719E">
      <w:r w:rsidRPr="00B14378">
        <w:t xml:space="preserve">Continuing treatment led to response rates of (composite endpoint) 50.4% in </w:t>
      </w:r>
      <w:proofErr w:type="spellStart"/>
      <w:r w:rsidRPr="00B14378">
        <w:t>bimatoprost</w:t>
      </w:r>
      <w:proofErr w:type="spellEnd"/>
      <w:r w:rsidRPr="00B14378">
        <w:t xml:space="preserve"> treated subjects with idiopathic aetiology and 61.5% in subjects with </w:t>
      </w:r>
      <w:r>
        <w:t xml:space="preserve">post chemotherapy </w:t>
      </w:r>
      <w:r w:rsidRPr="00B14378">
        <w:t>aetiology at 12 months.</w:t>
      </w:r>
    </w:p>
    <w:p w:rsidR="0059719E" w:rsidRPr="00B14378" w:rsidRDefault="0059719E" w:rsidP="0059719E">
      <w:r w:rsidRPr="00B14378">
        <w:t>Withdrawal was studied only in the idiopathic aetiology group. Cessation of treatment at 6 months gradually led to loss of response by 12 months (responder rate 48.3%, 51.7%, 50.0%, 20.0% and 11.7% at 6, 7, 8, 10 and 12 months respectively).</w:t>
      </w:r>
    </w:p>
    <w:p w:rsidR="0059719E" w:rsidRDefault="0059719E" w:rsidP="0059719E">
      <w:r w:rsidRPr="00B14378">
        <w:t xml:space="preserve">As noted above, </w:t>
      </w:r>
      <w:proofErr w:type="spellStart"/>
      <w:r w:rsidRPr="00B14378">
        <w:t>bimatoprost</w:t>
      </w:r>
      <w:proofErr w:type="spellEnd"/>
      <w:r w:rsidRPr="00B14378">
        <w:t xml:space="preserve"> treatment is associated with a range of eye/skin related adverse effects as shown by the comparative, pooled safety data</w:t>
      </w:r>
      <w:r>
        <w:t xml:space="preserve"> in Table 19.</w:t>
      </w:r>
    </w:p>
    <w:p w:rsidR="0059719E" w:rsidRPr="00B14378" w:rsidRDefault="0059719E" w:rsidP="0059719E">
      <w:pPr>
        <w:pStyle w:val="TableTitle"/>
      </w:pPr>
      <w:r>
        <w:t xml:space="preserve">Table 19. Comparative pooled safety data for </w:t>
      </w:r>
      <w:proofErr w:type="spellStart"/>
      <w:r>
        <w:t>bimatoprost</w:t>
      </w:r>
      <w:proofErr w:type="spellEnd"/>
    </w:p>
    <w:tbl>
      <w:tblPr>
        <w:tblStyle w:val="TableTGAblue"/>
        <w:tblW w:w="0" w:type="auto"/>
        <w:tblInd w:w="250" w:type="dxa"/>
        <w:tblLook w:val="04A0" w:firstRow="1" w:lastRow="0" w:firstColumn="1" w:lastColumn="0" w:noHBand="0" w:noVBand="1"/>
      </w:tblPr>
      <w:tblGrid>
        <w:gridCol w:w="4536"/>
        <w:gridCol w:w="2126"/>
        <w:gridCol w:w="1560"/>
      </w:tblGrid>
      <w:tr w:rsidR="0059719E" w:rsidRPr="00B14378" w:rsidTr="001A3D87">
        <w:trPr>
          <w:cnfStyle w:val="100000000000" w:firstRow="1" w:lastRow="0" w:firstColumn="0" w:lastColumn="0" w:oddVBand="0" w:evenVBand="0" w:oddHBand="0" w:evenHBand="0" w:firstRowFirstColumn="0" w:firstRowLastColumn="0" w:lastRowFirstColumn="0" w:lastRowLastColumn="0"/>
        </w:trPr>
        <w:tc>
          <w:tcPr>
            <w:tcW w:w="4536" w:type="dxa"/>
          </w:tcPr>
          <w:p w:rsidR="0059719E" w:rsidRPr="00412302" w:rsidRDefault="0059719E" w:rsidP="001A3D87">
            <w:r w:rsidRPr="00412302">
              <w:t>Adverse Event</w:t>
            </w:r>
          </w:p>
        </w:tc>
        <w:tc>
          <w:tcPr>
            <w:tcW w:w="2126" w:type="dxa"/>
          </w:tcPr>
          <w:p w:rsidR="0059719E" w:rsidRPr="00412302" w:rsidRDefault="0059719E" w:rsidP="001A3D87">
            <w:proofErr w:type="spellStart"/>
            <w:r w:rsidRPr="00412302">
              <w:t>Bimatoprost</w:t>
            </w:r>
            <w:proofErr w:type="spellEnd"/>
          </w:p>
        </w:tc>
        <w:tc>
          <w:tcPr>
            <w:tcW w:w="1560" w:type="dxa"/>
          </w:tcPr>
          <w:p w:rsidR="0059719E" w:rsidRPr="00412302" w:rsidRDefault="0059719E" w:rsidP="001A3D87">
            <w:r w:rsidRPr="00412302">
              <w:t>vehicle</w:t>
            </w:r>
          </w:p>
        </w:tc>
      </w:tr>
      <w:tr w:rsidR="0059719E" w:rsidRPr="00B14378" w:rsidTr="001A3D87">
        <w:tc>
          <w:tcPr>
            <w:tcW w:w="4536" w:type="dxa"/>
          </w:tcPr>
          <w:p w:rsidR="0059719E" w:rsidRPr="00412302" w:rsidRDefault="0059719E" w:rsidP="001A3D87">
            <w:r w:rsidRPr="00412302">
              <w:t>Conjunctival hyperaemia</w:t>
            </w:r>
          </w:p>
        </w:tc>
        <w:tc>
          <w:tcPr>
            <w:tcW w:w="2126" w:type="dxa"/>
          </w:tcPr>
          <w:p w:rsidR="0059719E" w:rsidRPr="00412302" w:rsidRDefault="0059719E" w:rsidP="001A3D87">
            <w:r w:rsidRPr="00412302">
              <w:t>7.2%</w:t>
            </w:r>
          </w:p>
        </w:tc>
        <w:tc>
          <w:tcPr>
            <w:tcW w:w="1560" w:type="dxa"/>
          </w:tcPr>
          <w:p w:rsidR="0059719E" w:rsidRPr="00412302" w:rsidRDefault="0059719E" w:rsidP="001A3D87">
            <w:r w:rsidRPr="00412302">
              <w:t>1.4%</w:t>
            </w:r>
          </w:p>
        </w:tc>
      </w:tr>
      <w:tr w:rsidR="0059719E" w:rsidRPr="00B14378" w:rsidTr="001A3D87">
        <w:tc>
          <w:tcPr>
            <w:tcW w:w="4536" w:type="dxa"/>
          </w:tcPr>
          <w:p w:rsidR="0059719E" w:rsidRPr="00412302" w:rsidRDefault="0059719E" w:rsidP="001A3D87">
            <w:r w:rsidRPr="00412302">
              <w:t>Punctate keratitis</w:t>
            </w:r>
          </w:p>
        </w:tc>
        <w:tc>
          <w:tcPr>
            <w:tcW w:w="2126" w:type="dxa"/>
          </w:tcPr>
          <w:p w:rsidR="0059719E" w:rsidRPr="00412302" w:rsidRDefault="0059719E" w:rsidP="001A3D87">
            <w:r w:rsidRPr="00412302">
              <w:t>3.1%</w:t>
            </w:r>
          </w:p>
        </w:tc>
        <w:tc>
          <w:tcPr>
            <w:tcW w:w="1560" w:type="dxa"/>
          </w:tcPr>
          <w:p w:rsidR="0059719E" w:rsidRPr="00412302" w:rsidRDefault="0059719E" w:rsidP="001A3D87">
            <w:r w:rsidRPr="00412302">
              <w:t>1.8%</w:t>
            </w:r>
          </w:p>
        </w:tc>
      </w:tr>
      <w:tr w:rsidR="0059719E" w:rsidRPr="00B14378" w:rsidTr="001A3D87">
        <w:tc>
          <w:tcPr>
            <w:tcW w:w="4536" w:type="dxa"/>
          </w:tcPr>
          <w:p w:rsidR="0059719E" w:rsidRPr="00412302" w:rsidRDefault="0059719E" w:rsidP="001A3D87">
            <w:r w:rsidRPr="00412302">
              <w:t>Eyelid pruritus</w:t>
            </w:r>
          </w:p>
        </w:tc>
        <w:tc>
          <w:tcPr>
            <w:tcW w:w="2126" w:type="dxa"/>
          </w:tcPr>
          <w:p w:rsidR="0059719E" w:rsidRPr="00412302" w:rsidRDefault="0059719E" w:rsidP="001A3D87">
            <w:r w:rsidRPr="00412302">
              <w:t>3.7%</w:t>
            </w:r>
          </w:p>
        </w:tc>
        <w:tc>
          <w:tcPr>
            <w:tcW w:w="1560" w:type="dxa"/>
          </w:tcPr>
          <w:p w:rsidR="0059719E" w:rsidRPr="00412302" w:rsidRDefault="0059719E" w:rsidP="001A3D87">
            <w:r w:rsidRPr="00412302">
              <w:t>2.9%</w:t>
            </w:r>
          </w:p>
        </w:tc>
      </w:tr>
      <w:tr w:rsidR="0059719E" w:rsidRPr="00B14378" w:rsidTr="001A3D87">
        <w:tc>
          <w:tcPr>
            <w:tcW w:w="4536" w:type="dxa"/>
          </w:tcPr>
          <w:p w:rsidR="0059719E" w:rsidRPr="00412302" w:rsidRDefault="0059719E" w:rsidP="001A3D87">
            <w:r w:rsidRPr="00412302">
              <w:t>Eyelid erythema</w:t>
            </w:r>
          </w:p>
        </w:tc>
        <w:tc>
          <w:tcPr>
            <w:tcW w:w="2126" w:type="dxa"/>
          </w:tcPr>
          <w:p w:rsidR="0059719E" w:rsidRPr="00412302" w:rsidRDefault="0059719E" w:rsidP="001A3D87">
            <w:r w:rsidRPr="00412302">
              <w:t>3.9%</w:t>
            </w:r>
          </w:p>
        </w:tc>
        <w:tc>
          <w:tcPr>
            <w:tcW w:w="1560" w:type="dxa"/>
          </w:tcPr>
          <w:p w:rsidR="0059719E" w:rsidRPr="00412302" w:rsidRDefault="0059719E" w:rsidP="001A3D87">
            <w:r w:rsidRPr="00412302">
              <w:t>1.1%</w:t>
            </w:r>
          </w:p>
        </w:tc>
      </w:tr>
      <w:tr w:rsidR="0059719E" w:rsidRPr="00B14378" w:rsidTr="001A3D87">
        <w:tc>
          <w:tcPr>
            <w:tcW w:w="4536" w:type="dxa"/>
          </w:tcPr>
          <w:p w:rsidR="0059719E" w:rsidRPr="00412302" w:rsidRDefault="0059719E" w:rsidP="001A3D87">
            <w:r w:rsidRPr="00412302">
              <w:t>Eye pruritus</w:t>
            </w:r>
          </w:p>
        </w:tc>
        <w:tc>
          <w:tcPr>
            <w:tcW w:w="2126" w:type="dxa"/>
          </w:tcPr>
          <w:p w:rsidR="0059719E" w:rsidRPr="00412302" w:rsidRDefault="0059719E" w:rsidP="001A3D87">
            <w:r w:rsidRPr="00412302">
              <w:t>2.6%</w:t>
            </w:r>
          </w:p>
        </w:tc>
        <w:tc>
          <w:tcPr>
            <w:tcW w:w="1560" w:type="dxa"/>
          </w:tcPr>
          <w:p w:rsidR="0059719E" w:rsidRPr="00412302" w:rsidRDefault="0059719E" w:rsidP="001A3D87">
            <w:r w:rsidRPr="00412302">
              <w:t>0.7%</w:t>
            </w:r>
          </w:p>
        </w:tc>
      </w:tr>
      <w:tr w:rsidR="0059719E" w:rsidRPr="00B14378" w:rsidTr="001A3D87">
        <w:tc>
          <w:tcPr>
            <w:tcW w:w="4536" w:type="dxa"/>
          </w:tcPr>
          <w:p w:rsidR="0059719E" w:rsidRPr="00412302" w:rsidRDefault="0059719E" w:rsidP="001A3D87">
            <w:r w:rsidRPr="00412302">
              <w:t>Dry eye</w:t>
            </w:r>
          </w:p>
        </w:tc>
        <w:tc>
          <w:tcPr>
            <w:tcW w:w="2126" w:type="dxa"/>
          </w:tcPr>
          <w:p w:rsidR="0059719E" w:rsidRPr="00412302" w:rsidRDefault="0059719E" w:rsidP="001A3D87">
            <w:r w:rsidRPr="00412302">
              <w:t>2.2%</w:t>
            </w:r>
          </w:p>
        </w:tc>
        <w:tc>
          <w:tcPr>
            <w:tcW w:w="1560" w:type="dxa"/>
          </w:tcPr>
          <w:p w:rsidR="0059719E" w:rsidRPr="00412302" w:rsidRDefault="0059719E" w:rsidP="001A3D87">
            <w:r w:rsidRPr="00412302">
              <w:t>0.7%</w:t>
            </w:r>
          </w:p>
        </w:tc>
      </w:tr>
      <w:tr w:rsidR="0059719E" w:rsidRPr="00B14378" w:rsidTr="001A3D87">
        <w:tc>
          <w:tcPr>
            <w:tcW w:w="4536" w:type="dxa"/>
          </w:tcPr>
          <w:p w:rsidR="0059719E" w:rsidRPr="00412302" w:rsidRDefault="0059719E" w:rsidP="001A3D87">
            <w:r w:rsidRPr="00412302">
              <w:t>Blepharitis</w:t>
            </w:r>
          </w:p>
        </w:tc>
        <w:tc>
          <w:tcPr>
            <w:tcW w:w="2126" w:type="dxa"/>
          </w:tcPr>
          <w:p w:rsidR="0059719E" w:rsidRPr="00412302" w:rsidRDefault="0059719E" w:rsidP="001A3D87">
            <w:r w:rsidRPr="00412302">
              <w:t>1.3%</w:t>
            </w:r>
          </w:p>
        </w:tc>
        <w:tc>
          <w:tcPr>
            <w:tcW w:w="1560" w:type="dxa"/>
          </w:tcPr>
          <w:p w:rsidR="0059719E" w:rsidRPr="00412302" w:rsidRDefault="0059719E" w:rsidP="001A3D87">
            <w:r w:rsidRPr="00412302">
              <w:t>0.4%</w:t>
            </w:r>
          </w:p>
        </w:tc>
      </w:tr>
      <w:tr w:rsidR="0059719E" w:rsidRPr="00B14378" w:rsidTr="001A3D87">
        <w:tc>
          <w:tcPr>
            <w:tcW w:w="4536" w:type="dxa"/>
          </w:tcPr>
          <w:p w:rsidR="0059719E" w:rsidRPr="00412302" w:rsidRDefault="0059719E" w:rsidP="001A3D87">
            <w:r w:rsidRPr="00412302">
              <w:t>Skin pigmentation</w:t>
            </w:r>
          </w:p>
        </w:tc>
        <w:tc>
          <w:tcPr>
            <w:tcW w:w="2126" w:type="dxa"/>
          </w:tcPr>
          <w:p w:rsidR="0059719E" w:rsidRPr="00412302" w:rsidRDefault="0059719E" w:rsidP="001A3D87">
            <w:r w:rsidRPr="00412302">
              <w:t>3.9%</w:t>
            </w:r>
          </w:p>
        </w:tc>
        <w:tc>
          <w:tcPr>
            <w:tcW w:w="1560" w:type="dxa"/>
          </w:tcPr>
          <w:p w:rsidR="0059719E" w:rsidRPr="00412302" w:rsidRDefault="0059719E" w:rsidP="001A3D87">
            <w:r w:rsidRPr="00412302">
              <w:t>0.4%</w:t>
            </w:r>
          </w:p>
        </w:tc>
      </w:tr>
      <w:tr w:rsidR="0059719E" w:rsidRPr="00B14378" w:rsidTr="001A3D87">
        <w:tc>
          <w:tcPr>
            <w:tcW w:w="4536" w:type="dxa"/>
          </w:tcPr>
          <w:p w:rsidR="0059719E" w:rsidRPr="00412302" w:rsidRDefault="0059719E" w:rsidP="001A3D87">
            <w:proofErr w:type="spellStart"/>
            <w:r w:rsidRPr="00412302">
              <w:t>Madarosis</w:t>
            </w:r>
            <w:proofErr w:type="spellEnd"/>
            <w:r w:rsidRPr="00412302">
              <w:t xml:space="preserve"> (absence of eyelashes)</w:t>
            </w:r>
          </w:p>
        </w:tc>
        <w:tc>
          <w:tcPr>
            <w:tcW w:w="2126" w:type="dxa"/>
          </w:tcPr>
          <w:p w:rsidR="0059719E" w:rsidRPr="00412302" w:rsidRDefault="0059719E" w:rsidP="001A3D87">
            <w:r w:rsidRPr="00412302">
              <w:t>0.9%</w:t>
            </w:r>
          </w:p>
        </w:tc>
        <w:tc>
          <w:tcPr>
            <w:tcW w:w="1560" w:type="dxa"/>
          </w:tcPr>
          <w:p w:rsidR="0059719E" w:rsidRPr="00412302" w:rsidRDefault="0059719E" w:rsidP="001A3D87">
            <w:r w:rsidRPr="00412302">
              <w:t>0.0%</w:t>
            </w:r>
          </w:p>
        </w:tc>
      </w:tr>
      <w:tr w:rsidR="0059719E" w:rsidRPr="00B14378" w:rsidTr="001A3D87">
        <w:tc>
          <w:tcPr>
            <w:tcW w:w="4536" w:type="dxa"/>
          </w:tcPr>
          <w:p w:rsidR="0059719E" w:rsidRPr="00412302" w:rsidRDefault="0059719E" w:rsidP="001A3D87">
            <w:proofErr w:type="spellStart"/>
            <w:r w:rsidRPr="00412302">
              <w:t>Enophthalmos</w:t>
            </w:r>
            <w:proofErr w:type="spellEnd"/>
          </w:p>
        </w:tc>
        <w:tc>
          <w:tcPr>
            <w:tcW w:w="2126" w:type="dxa"/>
          </w:tcPr>
          <w:p w:rsidR="0059719E" w:rsidRPr="00412302" w:rsidRDefault="0059719E" w:rsidP="001A3D87">
            <w:r w:rsidRPr="00412302">
              <w:t>0.2%</w:t>
            </w:r>
          </w:p>
        </w:tc>
        <w:tc>
          <w:tcPr>
            <w:tcW w:w="1560" w:type="dxa"/>
          </w:tcPr>
          <w:p w:rsidR="0059719E" w:rsidRPr="00412302" w:rsidRDefault="0059719E" w:rsidP="001A3D87">
            <w:r w:rsidRPr="00412302">
              <w:t>0.0%</w:t>
            </w:r>
          </w:p>
        </w:tc>
      </w:tr>
    </w:tbl>
    <w:p w:rsidR="0059719E" w:rsidRDefault="0059719E" w:rsidP="0059719E">
      <w:r w:rsidRPr="00B14378">
        <w:t xml:space="preserve">In seeking advice from ACPM, the Delegate is of the view that the effect of </w:t>
      </w:r>
      <w:proofErr w:type="spellStart"/>
      <w:r w:rsidRPr="00B14378">
        <w:t>bimatoprost</w:t>
      </w:r>
      <w:proofErr w:type="spellEnd"/>
      <w:r w:rsidRPr="00B14378">
        <w:t xml:space="preserve"> on eyelash growth has been reliably established. However, this only occurs in association with considerable </w:t>
      </w:r>
      <w:r>
        <w:t>eye-</w:t>
      </w:r>
      <w:r w:rsidRPr="00B14378">
        <w:t>related morbidity with its uncertain long</w:t>
      </w:r>
      <w:r>
        <w:t xml:space="preserve"> </w:t>
      </w:r>
      <w:r w:rsidRPr="00B14378">
        <w:t>term conseq</w:t>
      </w:r>
      <w:r>
        <w:t>uences. The following factors are noteworthy:</w:t>
      </w:r>
    </w:p>
    <w:p w:rsidR="0059719E" w:rsidRPr="00B14378" w:rsidRDefault="0059719E" w:rsidP="0059719E">
      <w:pPr>
        <w:pStyle w:val="ListBullet"/>
        <w:numPr>
          <w:ilvl w:val="0"/>
          <w:numId w:val="3"/>
        </w:numPr>
      </w:pPr>
      <w:r w:rsidRPr="00B14378">
        <w:t>Poorly defined and poorly recognised medical condition.</w:t>
      </w:r>
    </w:p>
    <w:p w:rsidR="0059719E" w:rsidRPr="00B14378" w:rsidRDefault="0059719E" w:rsidP="0059719E">
      <w:pPr>
        <w:pStyle w:val="ListBullet"/>
        <w:numPr>
          <w:ilvl w:val="0"/>
          <w:numId w:val="3"/>
        </w:numPr>
      </w:pPr>
      <w:r w:rsidRPr="00B14378">
        <w:lastRenderedPageBreak/>
        <w:t>Broadly defined population in the indication sought by the sponsor indicative of cosmetic utility rather than medical need.</w:t>
      </w:r>
    </w:p>
    <w:p w:rsidR="0059719E" w:rsidRPr="00B14378" w:rsidRDefault="0059719E" w:rsidP="0059719E">
      <w:pPr>
        <w:pStyle w:val="ListBullet"/>
        <w:numPr>
          <w:ilvl w:val="0"/>
          <w:numId w:val="3"/>
        </w:numPr>
      </w:pPr>
      <w:r w:rsidRPr="00B14378">
        <w:t>Non-response in over 50% treated patients.</w:t>
      </w:r>
    </w:p>
    <w:p w:rsidR="0059719E" w:rsidRPr="00B14378" w:rsidRDefault="0059719E" w:rsidP="0059719E">
      <w:pPr>
        <w:pStyle w:val="ListBullet"/>
        <w:numPr>
          <w:ilvl w:val="0"/>
          <w:numId w:val="3"/>
        </w:numPr>
      </w:pPr>
      <w:r w:rsidRPr="00B14378">
        <w:t>Non-sustained efficacy upon withdrawal of treatment.</w:t>
      </w:r>
    </w:p>
    <w:p w:rsidR="0059719E" w:rsidRPr="00B14378" w:rsidRDefault="0059719E" w:rsidP="0059719E">
      <w:pPr>
        <w:pStyle w:val="ListBullet"/>
        <w:numPr>
          <w:ilvl w:val="0"/>
          <w:numId w:val="3"/>
        </w:numPr>
      </w:pPr>
      <w:r w:rsidRPr="00B14378">
        <w:t>Need for either continuing (based on 12 months treatment data) or repeated (this has not been studied) treatment.</w:t>
      </w:r>
    </w:p>
    <w:p w:rsidR="0059719E" w:rsidRDefault="0059719E" w:rsidP="0059719E">
      <w:pPr>
        <w:pStyle w:val="ListBullet"/>
        <w:numPr>
          <w:ilvl w:val="0"/>
          <w:numId w:val="3"/>
        </w:numPr>
      </w:pPr>
      <w:r w:rsidRPr="00B14378">
        <w:t>Uncertain consequences if inappropriately used in unselected or supervised population outside the context of controlled clinical trials.</w:t>
      </w:r>
    </w:p>
    <w:p w:rsidR="0059719E" w:rsidRPr="00E400AC" w:rsidRDefault="0059719E" w:rsidP="0059719E">
      <w:pPr>
        <w:pStyle w:val="ListBullet"/>
        <w:numPr>
          <w:ilvl w:val="0"/>
          <w:numId w:val="3"/>
        </w:numPr>
      </w:pPr>
      <w:r>
        <w:t xml:space="preserve">Significant (type and frequency of events) and consistent </w:t>
      </w:r>
      <w:r w:rsidRPr="00B14378">
        <w:t xml:space="preserve">adverse effects profile based on both </w:t>
      </w:r>
      <w:proofErr w:type="spellStart"/>
      <w:r w:rsidRPr="00B14378">
        <w:t>hypotrichosis</w:t>
      </w:r>
      <w:proofErr w:type="spellEnd"/>
      <w:r w:rsidRPr="00B14378">
        <w:t xml:space="preserve"> and glaucoma trials.</w:t>
      </w:r>
    </w:p>
    <w:p w:rsidR="0059719E" w:rsidRDefault="0059719E" w:rsidP="0059719E">
      <w:r>
        <w:t>In view of these factors,</w:t>
      </w:r>
      <w:r w:rsidRPr="00B14378">
        <w:t xml:space="preserve"> </w:t>
      </w:r>
      <w:r>
        <w:t xml:space="preserve">the net </w:t>
      </w:r>
      <w:r w:rsidRPr="00B14378">
        <w:t>risk-</w:t>
      </w:r>
      <w:r>
        <w:t xml:space="preserve">benefit does not support approval for general marketing for the proposed use of </w:t>
      </w:r>
      <w:proofErr w:type="spellStart"/>
      <w:r>
        <w:t>bimatoprost</w:t>
      </w:r>
      <w:proofErr w:type="spellEnd"/>
      <w:r>
        <w:t xml:space="preserve"> topical solution in </w:t>
      </w:r>
      <w:proofErr w:type="spellStart"/>
      <w:r>
        <w:t>hypotrichosis</w:t>
      </w:r>
      <w:proofErr w:type="spellEnd"/>
      <w:r>
        <w:t>.</w:t>
      </w:r>
    </w:p>
    <w:p w:rsidR="0059719E" w:rsidRPr="00393E37" w:rsidRDefault="0059719E" w:rsidP="0059719E">
      <w:pPr>
        <w:pStyle w:val="Heading4"/>
      </w:pPr>
      <w:r w:rsidRPr="00393E37">
        <w:t>Proposed course of action</w:t>
      </w:r>
    </w:p>
    <w:p w:rsidR="0059719E" w:rsidRDefault="0059719E" w:rsidP="0059719E">
      <w:r>
        <w:t>Pending advice from the ACPM, t</w:t>
      </w:r>
      <w:r w:rsidRPr="00D650A9">
        <w:t>he sponsor is requested to provide updated PI (annotated copy incorporating recommendations from various areas of th</w:t>
      </w:r>
      <w:r>
        <w:t>e TGA) using the PI at time of submission as the base document in their Pre ACPM response. Further</w:t>
      </w:r>
      <w:r w:rsidRPr="00D650A9">
        <w:t xml:space="preserve"> negotia</w:t>
      </w:r>
      <w:r>
        <w:t>tions may be required in the post ACPM phase before finalisation of this submission.</w:t>
      </w:r>
    </w:p>
    <w:p w:rsidR="0059719E" w:rsidRPr="00D23139" w:rsidRDefault="0059719E" w:rsidP="0059719E">
      <w:pPr>
        <w:pStyle w:val="Heading4"/>
      </w:pPr>
      <w:r w:rsidRPr="00D23139">
        <w:t>Request for ACPM advice</w:t>
      </w:r>
    </w:p>
    <w:p w:rsidR="0059719E" w:rsidRPr="00D650A9" w:rsidRDefault="0059719E" w:rsidP="0059719E">
      <w:pPr>
        <w:spacing w:before="100" w:after="100" w:line="240" w:lineRule="auto"/>
        <w:ind w:left="33"/>
      </w:pPr>
      <w:r>
        <w:t>The Committee wa</w:t>
      </w:r>
      <w:r w:rsidRPr="00D650A9">
        <w:t>s requested to provide advice on the following issues:</w:t>
      </w:r>
    </w:p>
    <w:p w:rsidR="0059719E" w:rsidRPr="00D650A9" w:rsidRDefault="0059719E" w:rsidP="0059719E">
      <w:pPr>
        <w:pStyle w:val="ListBullet"/>
        <w:numPr>
          <w:ilvl w:val="0"/>
          <w:numId w:val="3"/>
        </w:numPr>
      </w:pPr>
      <w:r w:rsidRPr="00D650A9">
        <w:t xml:space="preserve">Advice on </w:t>
      </w:r>
      <w:r>
        <w:t>suitability of approval for general marketing given above issue.</w:t>
      </w:r>
    </w:p>
    <w:p w:rsidR="0059719E" w:rsidRPr="00D650A9" w:rsidRDefault="0059719E" w:rsidP="0059719E">
      <w:pPr>
        <w:pStyle w:val="ListBullet"/>
        <w:numPr>
          <w:ilvl w:val="0"/>
          <w:numId w:val="3"/>
        </w:numPr>
      </w:pPr>
      <w:r>
        <w:t>The C</w:t>
      </w:r>
      <w:r w:rsidRPr="00D650A9">
        <w:t xml:space="preserve">ommittee is also requested to provide advice on any other issues that it thinks may be </w:t>
      </w:r>
      <w:r>
        <w:t>relevant</w:t>
      </w:r>
      <w:r w:rsidRPr="00D650A9">
        <w:t>.</w:t>
      </w:r>
    </w:p>
    <w:p w:rsidR="0059719E" w:rsidRDefault="0059719E" w:rsidP="0059719E">
      <w:pPr>
        <w:pStyle w:val="Heading4"/>
      </w:pPr>
      <w:r w:rsidRPr="00D23139">
        <w:t xml:space="preserve">Response from Sponsor </w:t>
      </w:r>
    </w:p>
    <w:p w:rsidR="0059719E" w:rsidRDefault="0059719E" w:rsidP="0059719E">
      <w:r>
        <w:t xml:space="preserve">Allergan Australia Pty Ltd. refers to the Clinical Evaluation Report (dated 22 May 2013), and agrees with the Clinical Evaluator’s recommendation for approval of </w:t>
      </w:r>
      <w:proofErr w:type="spellStart"/>
      <w:r>
        <w:t>Latisse</w:t>
      </w:r>
      <w:proofErr w:type="spellEnd"/>
      <w:r>
        <w:t xml:space="preserve"> based on a positive benefit-risk balance. Allergan disagrees with the recommendation of the Delegate to not approve </w:t>
      </w:r>
      <w:proofErr w:type="spellStart"/>
      <w:r>
        <w:t>Latisse</w:t>
      </w:r>
      <w:proofErr w:type="spellEnd"/>
      <w:r>
        <w:t xml:space="preserve"> for the treatment of </w:t>
      </w:r>
      <w:proofErr w:type="spellStart"/>
      <w:r>
        <w:t>hypotrichosis</w:t>
      </w:r>
      <w:proofErr w:type="spellEnd"/>
      <w:r>
        <w:t xml:space="preserve"> of the eyelashes. Allergan would like to take this opportunity to discuss the factors that were raised by the Delegate and for which the ACPM advice has been sought.</w:t>
      </w:r>
    </w:p>
    <w:p w:rsidR="0059719E" w:rsidRPr="003878B5" w:rsidRDefault="0059719E" w:rsidP="0059719E">
      <w:pPr>
        <w:pStyle w:val="Heading5"/>
      </w:pPr>
      <w:r w:rsidRPr="003878B5">
        <w:t>Indication and Benefits of Approval</w:t>
      </w:r>
    </w:p>
    <w:p w:rsidR="0059719E" w:rsidRPr="003878B5" w:rsidRDefault="0059719E" w:rsidP="0059719E">
      <w:r w:rsidRPr="003878B5">
        <w:t>Eyelashes serve a functional role by protecting sensitive eye structures against foreign</w:t>
      </w:r>
      <w:r>
        <w:t xml:space="preserve"> </w:t>
      </w:r>
      <w:r w:rsidRPr="003878B5">
        <w:t>particles damaging the ocular surface as well as contributing to appearance. Defined as</w:t>
      </w:r>
      <w:r>
        <w:t xml:space="preserve"> </w:t>
      </w:r>
      <w:r w:rsidRPr="003878B5">
        <w:t xml:space="preserve">inadequate or not enough eyelashes, </w:t>
      </w:r>
      <w:proofErr w:type="spellStart"/>
      <w:r w:rsidRPr="003878B5">
        <w:t>hypotrichosis</w:t>
      </w:r>
      <w:proofErr w:type="spellEnd"/>
      <w:r w:rsidRPr="003878B5">
        <w:t xml:space="preserve"> may be a consequence of aging or</w:t>
      </w:r>
      <w:r>
        <w:t xml:space="preserve"> </w:t>
      </w:r>
      <w:r w:rsidRPr="003878B5">
        <w:t xml:space="preserve">unknown </w:t>
      </w:r>
      <w:proofErr w:type="spellStart"/>
      <w:r w:rsidRPr="003878B5">
        <w:t>etiology</w:t>
      </w:r>
      <w:proofErr w:type="spellEnd"/>
      <w:r w:rsidRPr="003878B5">
        <w:t xml:space="preserve"> (</w:t>
      </w:r>
      <w:r>
        <w:t>that is,</w:t>
      </w:r>
      <w:r w:rsidRPr="003878B5">
        <w:t xml:space="preserve"> idiopathic </w:t>
      </w:r>
      <w:proofErr w:type="spellStart"/>
      <w:r w:rsidRPr="003878B5">
        <w:t>hypotrichosis</w:t>
      </w:r>
      <w:proofErr w:type="spellEnd"/>
      <w:r w:rsidRPr="003878B5">
        <w:t>) or due to an underlying medical condition or</w:t>
      </w:r>
      <w:r>
        <w:t xml:space="preserve"> </w:t>
      </w:r>
      <w:r w:rsidRPr="003878B5">
        <w:t>consequence of treatment (</w:t>
      </w:r>
      <w:r>
        <w:t>such as</w:t>
      </w:r>
      <w:r w:rsidRPr="003878B5">
        <w:t xml:space="preserve"> alopecia</w:t>
      </w:r>
      <w:r>
        <w:t xml:space="preserve"> or</w:t>
      </w:r>
      <w:r w:rsidRPr="003878B5">
        <w:t xml:space="preserve"> chemotherapy). Regardless of its </w:t>
      </w:r>
      <w:proofErr w:type="spellStart"/>
      <w:r w:rsidRPr="003878B5">
        <w:t>etiology</w:t>
      </w:r>
      <w:proofErr w:type="spellEnd"/>
      <w:r w:rsidRPr="003878B5">
        <w:t>,</w:t>
      </w:r>
      <w:r>
        <w:t xml:space="preserve"> </w:t>
      </w:r>
      <w:proofErr w:type="spellStart"/>
      <w:r w:rsidRPr="003878B5">
        <w:t>hypotrichosis</w:t>
      </w:r>
      <w:proofErr w:type="spellEnd"/>
      <w:r w:rsidRPr="003878B5">
        <w:t xml:space="preserve"> of the eyelashes is a sel</w:t>
      </w:r>
      <w:r>
        <w:t>f-evident state, easily recognis</w:t>
      </w:r>
      <w:r w:rsidRPr="003878B5">
        <w:t>ed by patient and</w:t>
      </w:r>
      <w:r>
        <w:t xml:space="preserve"> </w:t>
      </w:r>
      <w:r w:rsidRPr="003878B5">
        <w:t xml:space="preserve">prescriber. Allergan therefore disagrees with the statement made by the Delegate that </w:t>
      </w:r>
      <w:proofErr w:type="spellStart"/>
      <w:r w:rsidRPr="003878B5">
        <w:t>hypotrichosis</w:t>
      </w:r>
      <w:proofErr w:type="spellEnd"/>
      <w:r w:rsidRPr="003878B5">
        <w:t xml:space="preserve"> of the eyelashes is a “</w:t>
      </w:r>
      <w:r w:rsidRPr="009B43AF">
        <w:rPr>
          <w:i/>
        </w:rPr>
        <w:t>poorly defined and poorly recognised medical condition.</w:t>
      </w:r>
      <w:r w:rsidRPr="003878B5">
        <w:t>”</w:t>
      </w:r>
    </w:p>
    <w:p w:rsidR="0059719E" w:rsidRPr="003878B5" w:rsidRDefault="0059719E" w:rsidP="0059719E">
      <w:r w:rsidRPr="003878B5">
        <w:t>Further, the Delegate stated that the “</w:t>
      </w:r>
      <w:r w:rsidRPr="009B43AF">
        <w:rPr>
          <w:i/>
        </w:rPr>
        <w:t>broadly defined population in the indication sought by the sponsor[is] indicative of cosmetic utility rather than medical need</w:t>
      </w:r>
      <w:r w:rsidRPr="003878B5">
        <w:t>.” There are no</w:t>
      </w:r>
      <w:r>
        <w:t xml:space="preserve"> </w:t>
      </w:r>
      <w:r w:rsidRPr="003878B5">
        <w:t xml:space="preserve">products approved in Australia for treating </w:t>
      </w:r>
      <w:proofErr w:type="spellStart"/>
      <w:r w:rsidRPr="003878B5">
        <w:t>hypotrichosis</w:t>
      </w:r>
      <w:proofErr w:type="spellEnd"/>
      <w:r w:rsidRPr="003878B5">
        <w:t xml:space="preserve"> of the eyelashes. </w:t>
      </w:r>
    </w:p>
    <w:p w:rsidR="0059719E" w:rsidRDefault="0059719E" w:rsidP="0059719E">
      <w:r w:rsidRPr="003878B5">
        <w:lastRenderedPageBreak/>
        <w:t>The clinical research and development program conducted by Allergan that forms the basis of</w:t>
      </w:r>
      <w:r>
        <w:t xml:space="preserve"> </w:t>
      </w:r>
      <w:r w:rsidRPr="003878B5">
        <w:t>this submission followed International Conference o</w:t>
      </w:r>
      <w:r>
        <w:t>n Harmonisation (ICH) guidance</w:t>
      </w:r>
      <w:r>
        <w:rPr>
          <w:rStyle w:val="FootnoteReference"/>
        </w:rPr>
        <w:footnoteReference w:id="12"/>
      </w:r>
      <w:r w:rsidRPr="003878B5">
        <w:t xml:space="preserve"> and demonstrates the efficacy and safety of </w:t>
      </w:r>
      <w:proofErr w:type="spellStart"/>
      <w:r>
        <w:t>Latisse</w:t>
      </w:r>
      <w:proofErr w:type="spellEnd"/>
      <w:r w:rsidRPr="003878B5">
        <w:t xml:space="preserve"> in the treatment of </w:t>
      </w:r>
      <w:proofErr w:type="spellStart"/>
      <w:r w:rsidRPr="003878B5">
        <w:t>hypotrichosis</w:t>
      </w:r>
      <w:proofErr w:type="spellEnd"/>
      <w:r w:rsidRPr="003878B5">
        <w:t xml:space="preserve"> of</w:t>
      </w:r>
      <w:r>
        <w:t xml:space="preserve"> eyelashes</w:t>
      </w:r>
      <w:r w:rsidRPr="003878B5">
        <w:t xml:space="preserve">. Allergan is therefore seeking approval of </w:t>
      </w:r>
      <w:proofErr w:type="spellStart"/>
      <w:r>
        <w:t>Latisse</w:t>
      </w:r>
      <w:proofErr w:type="spellEnd"/>
      <w:r w:rsidRPr="003878B5">
        <w:t xml:space="preserve"> through the</w:t>
      </w:r>
      <w:r>
        <w:t xml:space="preserve"> </w:t>
      </w:r>
      <w:r w:rsidRPr="003878B5">
        <w:t>appropriate regulatory procedures in order to allow use of the product for the proposed</w:t>
      </w:r>
      <w:r>
        <w:t xml:space="preserve"> </w:t>
      </w:r>
      <w:r w:rsidRPr="003878B5">
        <w:t>therapeutic indication, which is not intended to be used as a cosmetic.</w:t>
      </w:r>
      <w:r>
        <w:t xml:space="preserve"> </w:t>
      </w:r>
      <w:r w:rsidRPr="003878B5">
        <w:t xml:space="preserve">Registration of </w:t>
      </w:r>
      <w:proofErr w:type="spellStart"/>
      <w:r w:rsidRPr="003878B5">
        <w:t>bimatoprost</w:t>
      </w:r>
      <w:proofErr w:type="spellEnd"/>
      <w:r w:rsidRPr="003878B5">
        <w:t xml:space="preserve"> solution 0.03% (</w:t>
      </w:r>
      <w:proofErr w:type="spellStart"/>
      <w:r>
        <w:t>Latisse</w:t>
      </w:r>
      <w:proofErr w:type="spellEnd"/>
      <w:r w:rsidRPr="003878B5">
        <w:t xml:space="preserve">) for </w:t>
      </w:r>
      <w:proofErr w:type="spellStart"/>
      <w:r w:rsidRPr="003878B5">
        <w:t>hypotrichosis</w:t>
      </w:r>
      <w:proofErr w:type="spellEnd"/>
      <w:r w:rsidRPr="003878B5">
        <w:t xml:space="preserve"> of the eyelashes as a</w:t>
      </w:r>
      <w:r>
        <w:t xml:space="preserve"> </w:t>
      </w:r>
      <w:r w:rsidRPr="003878B5">
        <w:t>pharmaceutical product allows for appropriate control of its manufacture, appropriate</w:t>
      </w:r>
      <w:r>
        <w:t xml:space="preserve"> packaging and labelling with instructions for use that enhance its safety, supply of the product through a prescription, supervision by a physician, as well as ongoing safety reporting. These controls provide a high level of assurance of safe and appropriate use compared with unregulated products.</w:t>
      </w:r>
    </w:p>
    <w:p w:rsidR="0059719E" w:rsidRDefault="0059719E" w:rsidP="0059719E">
      <w:pPr>
        <w:pStyle w:val="Heading5"/>
      </w:pPr>
      <w:r>
        <w:t xml:space="preserve">Efficacy of </w:t>
      </w:r>
      <w:proofErr w:type="spellStart"/>
      <w:r>
        <w:t>Latisse</w:t>
      </w:r>
      <w:proofErr w:type="spellEnd"/>
      <w:r>
        <w:t xml:space="preserve"> </w:t>
      </w:r>
    </w:p>
    <w:p w:rsidR="0059719E" w:rsidRDefault="0059719E" w:rsidP="0059719E">
      <w:r>
        <w:t xml:space="preserve">Because of the broad population base for which this treatment may be utilised, Allergan prospectively evaluated the safety and efficacy of </w:t>
      </w:r>
      <w:proofErr w:type="spellStart"/>
      <w:r>
        <w:t>Latisse</w:t>
      </w:r>
      <w:proofErr w:type="spellEnd"/>
      <w:r>
        <w:t xml:space="preserve"> for patients with idiopathic </w:t>
      </w:r>
      <w:proofErr w:type="spellStart"/>
      <w:r>
        <w:t>hypotrichosis</w:t>
      </w:r>
      <w:proofErr w:type="spellEnd"/>
      <w:r>
        <w:t xml:space="preserve"> (Study 192024-032, -038, and -039) as well as post chemotherapy patients (Study 192024-038). The results of these clinical studies demonstrated excellent efficacy in both populations; as such, the Delegate states that “</w:t>
      </w:r>
      <w:r w:rsidRPr="009B43AF">
        <w:rPr>
          <w:i/>
        </w:rPr>
        <w:t>efficacy has been reliably established</w:t>
      </w:r>
      <w:r>
        <w:t>.”</w:t>
      </w:r>
    </w:p>
    <w:p w:rsidR="0059719E" w:rsidRDefault="0059719E" w:rsidP="0059719E">
      <w:r>
        <w:t>Likewise, the Clinical Evaluator noted that “efficacy over vehicle was convincingly demonstrated in the pivotal trials.” However, in explaining his overall recommendation, the Delegate refers to “</w:t>
      </w:r>
      <w:r w:rsidRPr="009B43AF">
        <w:rPr>
          <w:i/>
        </w:rPr>
        <w:t>non-response in over 50% of patients</w:t>
      </w:r>
      <w:r>
        <w:t>.” Allergan wishes to provide clarification on this point, as this statement is based on only 1 of the studies (Study 192024-038), in which a composite endpoint, including the physician’s Global Eyelash Assessment (GEA) score and patient satisfaction data, was used (following a specific request from a European regulatory agency).</w:t>
      </w:r>
    </w:p>
    <w:p w:rsidR="0059719E" w:rsidRDefault="0059719E" w:rsidP="0059719E">
      <w:r>
        <w:t xml:space="preserve">The GEA scale, as a stand-alone measure, is the best measure of efficacy because it is determined by the physician and represents the physical improvements on eyelash prominence elicited by the drug. It was the designated primary endpoint in the 5 Phase III and 4 studies conducted in the United States and Japan, as requested by the regulatory authorities in those respective countries, and it was the basis of approval in 23 countries (including New Zealand, United States, and Canada). Results on GEA score at the primary Month 4 </w:t>
      </w:r>
      <w:proofErr w:type="spellStart"/>
      <w:r>
        <w:t>timepoint</w:t>
      </w:r>
      <w:proofErr w:type="spellEnd"/>
      <w:r>
        <w:t xml:space="preserve"> show consistent results across studies, with response rates of 69.6% to 78.1% with </w:t>
      </w:r>
      <w:proofErr w:type="spellStart"/>
      <w:r>
        <w:t>bimatoprost</w:t>
      </w:r>
      <w:proofErr w:type="spellEnd"/>
      <w:r>
        <w:t xml:space="preserve"> treatment, which were statistically significantly better than the vehicle responses observed in each study (p ≤ 0.046). These results provide convincing evidence of the efficacy of </w:t>
      </w:r>
      <w:proofErr w:type="spellStart"/>
      <w:r>
        <w:t>Latisse</w:t>
      </w:r>
      <w:proofErr w:type="spellEnd"/>
      <w:r>
        <w:t>, as agreed by the Delegate and Clinical Evaluator in their respective reports.</w:t>
      </w:r>
    </w:p>
    <w:p w:rsidR="0059719E" w:rsidRDefault="0059719E" w:rsidP="0059719E">
      <w:r>
        <w:t>The Delegate also stated that there is “</w:t>
      </w:r>
      <w:r w:rsidRPr="009846F1">
        <w:rPr>
          <w:i/>
        </w:rPr>
        <w:t>non-sustained efficacy upon withdrawal of treatment</w:t>
      </w:r>
      <w:r>
        <w:t>” and that there may be a “</w:t>
      </w:r>
      <w:r w:rsidRPr="004B1C0E">
        <w:rPr>
          <w:i/>
        </w:rPr>
        <w:t>need for either continuing (based on 12 months treatment data) or repeated (this has not been studied) treatment</w:t>
      </w:r>
      <w:r>
        <w:t xml:space="preserve">.” Allergan does not agree that these would be grounds for not approving </w:t>
      </w:r>
      <w:proofErr w:type="spellStart"/>
      <w:r>
        <w:t>Latisse</w:t>
      </w:r>
      <w:proofErr w:type="spellEnd"/>
      <w:r>
        <w:t>. Rather, Allergan contends that, for the majority of pharmacological products available in Australia, efficacy is dependent upon continued treatment and, as a consequence, efficacy would be non-sustained if the treatment was withdrawn.</w:t>
      </w:r>
    </w:p>
    <w:p w:rsidR="0059719E" w:rsidRDefault="0059719E" w:rsidP="0059719E">
      <w:r>
        <w:t>Specific to treatments for hair loss, finasteride (</w:t>
      </w:r>
      <w:proofErr w:type="spellStart"/>
      <w:r>
        <w:t>Propecia</w:t>
      </w:r>
      <w:proofErr w:type="spellEnd"/>
      <w:r>
        <w:t xml:space="preserve">) and </w:t>
      </w:r>
      <w:proofErr w:type="spellStart"/>
      <w:r>
        <w:t>minoxidil</w:t>
      </w:r>
      <w:proofErr w:type="spellEnd"/>
      <w:r>
        <w:t xml:space="preserve"> (</w:t>
      </w:r>
      <w:proofErr w:type="spellStart"/>
      <w:r>
        <w:t>Regaine</w:t>
      </w:r>
      <w:proofErr w:type="spellEnd"/>
      <w:r>
        <w:t xml:space="preserve">), which are approved in Australia, do not produce sustained efficacy after the product is discontinued. For example, the consumer medicine information (CMI) for </w:t>
      </w:r>
      <w:proofErr w:type="spellStart"/>
      <w:r>
        <w:t>Propecia</w:t>
      </w:r>
      <w:proofErr w:type="spellEnd"/>
      <w:r>
        <w:t xml:space="preserve"> (2010) states that “</w:t>
      </w:r>
      <w:r w:rsidRPr="004B1C0E">
        <w:rPr>
          <w:i/>
        </w:rPr>
        <w:t>If you stop taking the tablets your hair loss is likely to resume</w:t>
      </w:r>
      <w:r>
        <w:t xml:space="preserve">,” and the product </w:t>
      </w:r>
      <w:r>
        <w:lastRenderedPageBreak/>
        <w:t>information (PI; 2010) states that “</w:t>
      </w:r>
      <w:r w:rsidRPr="004B1C0E">
        <w:rPr>
          <w:i/>
        </w:rPr>
        <w:t>Continued use is recommended to obtain maximum benefit</w:t>
      </w:r>
      <w:r>
        <w:t xml:space="preserve">.” Likewise, the PI for </w:t>
      </w:r>
      <w:proofErr w:type="spellStart"/>
      <w:r>
        <w:t>Regaine</w:t>
      </w:r>
      <w:proofErr w:type="spellEnd"/>
      <w:r>
        <w:t xml:space="preserve"> (2010) includes the statement: “</w:t>
      </w:r>
      <w:r w:rsidRPr="004B1C0E">
        <w:rPr>
          <w:i/>
        </w:rPr>
        <w:t xml:space="preserve">Following discontinuation of medication, relapse to </w:t>
      </w:r>
      <w:proofErr w:type="spellStart"/>
      <w:r w:rsidRPr="004B1C0E">
        <w:rPr>
          <w:i/>
        </w:rPr>
        <w:t>pretreatment</w:t>
      </w:r>
      <w:proofErr w:type="spellEnd"/>
      <w:r w:rsidRPr="004B1C0E">
        <w:rPr>
          <w:i/>
        </w:rPr>
        <w:t xml:space="preserve"> appearance has been reported to occur within three to four months</w:t>
      </w:r>
      <w:r>
        <w:t>.”</w:t>
      </w:r>
    </w:p>
    <w:p w:rsidR="0059719E" w:rsidRDefault="0059719E" w:rsidP="0059719E">
      <w:r>
        <w:t xml:space="preserve">Similar to these approved products, </w:t>
      </w:r>
      <w:proofErr w:type="spellStart"/>
      <w:r>
        <w:t>bimatoprost</w:t>
      </w:r>
      <w:proofErr w:type="spellEnd"/>
      <w:r>
        <w:t xml:space="preserve"> is not a permanent cure, because it does not affect a permanent change to the hair follicle itself; rather, it impacts a given hair-growth cycle. Once </w:t>
      </w:r>
      <w:proofErr w:type="spellStart"/>
      <w:r>
        <w:t>bimatoprost</w:t>
      </w:r>
      <w:proofErr w:type="spellEnd"/>
      <w:r>
        <w:t xml:space="preserve"> is discontinued, stimulation of the hair follicle naturally ceases and the improvements to eyelashes seen with treatment will diminish over a period of 4 to 6 months, to pre-treatment levels without sequelae (based on data from Study 192024-038). This may be perceived to be a benefit if the patient or physician deem</w:t>
      </w:r>
      <w:r w:rsidR="004F3AC6">
        <w:t>s</w:t>
      </w:r>
      <w:r>
        <w:t xml:space="preserve"> that continued treatment is not appropriate. In addition, side effects noted by the patient (with the exception of iris hyperpigmentation) resolve with discontinuation. If a patient later chooses to restart treatment, there is no reason to expect, based on the established pharmacological profile of the drug that the known safety and efficacy profiles of </w:t>
      </w:r>
      <w:proofErr w:type="spellStart"/>
      <w:r>
        <w:t>Latisse</w:t>
      </w:r>
      <w:proofErr w:type="spellEnd"/>
      <w:r>
        <w:t xml:space="preserve"> would change.</w:t>
      </w:r>
    </w:p>
    <w:p w:rsidR="0059719E" w:rsidRDefault="0059719E" w:rsidP="0059719E">
      <w:pPr>
        <w:pStyle w:val="Heading5"/>
      </w:pPr>
      <w:r>
        <w:t xml:space="preserve">Safety of </w:t>
      </w:r>
      <w:proofErr w:type="spellStart"/>
      <w:r>
        <w:t>Latisse</w:t>
      </w:r>
      <w:proofErr w:type="spellEnd"/>
    </w:p>
    <w:p w:rsidR="0059719E" w:rsidRDefault="0059719E" w:rsidP="0059719E">
      <w:r>
        <w:t>One of the Delegate’s reasons for recommending non-approval is stated as “</w:t>
      </w:r>
      <w:r w:rsidRPr="004B1C0E">
        <w:rPr>
          <w:i/>
        </w:rPr>
        <w:t>uncertain consequences if inappropriately used in unselected or supervised population outside the context of controlled clinical trials</w:t>
      </w:r>
      <w:r>
        <w:t xml:space="preserve">.” This statement could apply to the majority of pharmaceutical products already marketed in Australia. When any newly approved pharmaceutical product is approved and placed on the market, there is always a possibility of inappropriate use, or use in patient populations that were not included in the clinical study data set. However, in the case of </w:t>
      </w:r>
      <w:proofErr w:type="spellStart"/>
      <w:r>
        <w:t>bimatoprost</w:t>
      </w:r>
      <w:proofErr w:type="spellEnd"/>
      <w:r>
        <w:t xml:space="preserve">, Allergan has accrued more than 18 years of clinical experience and 12 years of </w:t>
      </w:r>
      <w:proofErr w:type="spellStart"/>
      <w:r>
        <w:t>postmarketing</w:t>
      </w:r>
      <w:proofErr w:type="spellEnd"/>
      <w:r>
        <w:t xml:space="preserve"> experience (12 years as </w:t>
      </w:r>
      <w:proofErr w:type="spellStart"/>
      <w:r>
        <w:t>bimatoprost</w:t>
      </w:r>
      <w:proofErr w:type="spellEnd"/>
      <w:r>
        <w:t xml:space="preserve"> eye drops in more than 80 countries [including data from Australia] and 4 years as </w:t>
      </w:r>
      <w:proofErr w:type="spellStart"/>
      <w:r>
        <w:t>Latisse</w:t>
      </w:r>
      <w:proofErr w:type="spellEnd"/>
      <w:r>
        <w:t xml:space="preserve"> in 23 countries). It is reassuring to have such a large database from which to characterise a drug’s safety profile prior to its approval.</w:t>
      </w:r>
    </w:p>
    <w:p w:rsidR="0059719E" w:rsidRDefault="0059719E" w:rsidP="0059719E">
      <w:r>
        <w:t xml:space="preserve">The safety profile of </w:t>
      </w:r>
      <w:proofErr w:type="spellStart"/>
      <w:r>
        <w:t>bimatoprost</w:t>
      </w:r>
      <w:proofErr w:type="spellEnd"/>
      <w:r>
        <w:t xml:space="preserve"> 0.03%, has been well characterised and established in the treatment of </w:t>
      </w:r>
      <w:proofErr w:type="spellStart"/>
      <w:r>
        <w:t>hypotrichosis</w:t>
      </w:r>
      <w:proofErr w:type="spellEnd"/>
      <w:r>
        <w:t xml:space="preserve">, as well as in the treatment of glaucoma and ocular hypertension (representing a substantially larger exposure than that of </w:t>
      </w:r>
      <w:proofErr w:type="spellStart"/>
      <w:r>
        <w:t>Latisse</w:t>
      </w:r>
      <w:proofErr w:type="spellEnd"/>
      <w:r>
        <w:t xml:space="preserve">). The low incidence and mild severity of the adverse events reported in Phase III </w:t>
      </w:r>
      <w:proofErr w:type="spellStart"/>
      <w:r>
        <w:t>Latisse</w:t>
      </w:r>
      <w:proofErr w:type="spellEnd"/>
      <w:r>
        <w:t xml:space="preserve"> clinical studies and in the </w:t>
      </w:r>
      <w:proofErr w:type="spellStart"/>
      <w:r>
        <w:t>postmarketing</w:t>
      </w:r>
      <w:proofErr w:type="spellEnd"/>
      <w:r>
        <w:t xml:space="preserve"> database indicate that treatment with </w:t>
      </w:r>
      <w:proofErr w:type="spellStart"/>
      <w:r>
        <w:t>Latisse</w:t>
      </w:r>
      <w:proofErr w:type="spellEnd"/>
      <w:r>
        <w:t xml:space="preserve"> is well tolerated and is not associated with clinically significant systemic or eye related morbidities with short or long term use. The Clinical Evaluator commented that </w:t>
      </w:r>
      <w:r w:rsidRPr="004B1C0E">
        <w:rPr>
          <w:i/>
        </w:rPr>
        <w:t>“…adverse events were largely confined to the eye, with no serious ocular events and a low treatment discontinuation rate due to adverse events</w:t>
      </w:r>
      <w:r>
        <w:t xml:space="preserve">.” Moreover, the </w:t>
      </w:r>
      <w:proofErr w:type="spellStart"/>
      <w:r>
        <w:t>postmarketing</w:t>
      </w:r>
      <w:proofErr w:type="spellEnd"/>
      <w:r>
        <w:t xml:space="preserve"> safety data do not indicate that consequences of use outside of the context of controlled clinical trials are uncertain or different compared with that experienced in controlled clinical trials.</w:t>
      </w:r>
    </w:p>
    <w:p w:rsidR="0059719E" w:rsidRDefault="0059719E" w:rsidP="0059719E">
      <w:r>
        <w:t xml:space="preserve">The clinical trial and </w:t>
      </w:r>
      <w:proofErr w:type="spellStart"/>
      <w:r>
        <w:t>postmarketing</w:t>
      </w:r>
      <w:proofErr w:type="spellEnd"/>
      <w:r>
        <w:t xml:space="preserve"> safety data accrued for </w:t>
      </w:r>
      <w:proofErr w:type="spellStart"/>
      <w:r>
        <w:t>bimatoprost</w:t>
      </w:r>
      <w:proofErr w:type="spellEnd"/>
      <w:r>
        <w:t xml:space="preserve"> also support this position. The subjects evaluated in the </w:t>
      </w:r>
      <w:proofErr w:type="spellStart"/>
      <w:r>
        <w:t>Latisse</w:t>
      </w:r>
      <w:proofErr w:type="spellEnd"/>
      <w:r>
        <w:t xml:space="preserve"> clinical studies represent the full spectrum of patients that may be prescribed </w:t>
      </w:r>
      <w:proofErr w:type="spellStart"/>
      <w:r>
        <w:t>Latisse</w:t>
      </w:r>
      <w:proofErr w:type="spellEnd"/>
      <w:r>
        <w:t xml:space="preserve"> from healthy “idiopathic” to the more compromised “post chemotherapy” subjects, and thus represent and support the proposed indication. The results of </w:t>
      </w:r>
      <w:proofErr w:type="spellStart"/>
      <w:r>
        <w:t>Latisse</w:t>
      </w:r>
      <w:proofErr w:type="spellEnd"/>
      <w:r>
        <w:t xml:space="preserve"> clinical studies demonstrate a good safety profile for both idiopathic and post chemotherapy </w:t>
      </w:r>
      <w:proofErr w:type="spellStart"/>
      <w:r>
        <w:t>hypotrichosis</w:t>
      </w:r>
      <w:proofErr w:type="spellEnd"/>
      <w:r>
        <w:t xml:space="preserve"> subjects. The safety profile was generally similar across the populations, indicating no additional risk associated with </w:t>
      </w:r>
      <w:proofErr w:type="spellStart"/>
      <w:r>
        <w:t>bimatoprost</w:t>
      </w:r>
      <w:proofErr w:type="spellEnd"/>
      <w:r>
        <w:t xml:space="preserve"> use in the </w:t>
      </w:r>
      <w:proofErr w:type="spellStart"/>
      <w:r>
        <w:t>postchemotherapy</w:t>
      </w:r>
      <w:proofErr w:type="spellEnd"/>
      <w:r>
        <w:t xml:space="preserve"> population compared with the idiopathic </w:t>
      </w:r>
      <w:proofErr w:type="spellStart"/>
      <w:r>
        <w:t>hypotrichosis</w:t>
      </w:r>
      <w:proofErr w:type="spellEnd"/>
      <w:r>
        <w:t xml:space="preserve"> population. The higher incidence of some adverse events in the post chemotherapy subjects compared with that of idiopathic </w:t>
      </w:r>
      <w:proofErr w:type="spellStart"/>
      <w:r>
        <w:t>hypotrichosis</w:t>
      </w:r>
      <w:proofErr w:type="spellEnd"/>
      <w:r>
        <w:t xml:space="preserve"> subjects may be related to enduring effects of chemotherapy.</w:t>
      </w:r>
    </w:p>
    <w:p w:rsidR="0059719E" w:rsidRDefault="0059719E" w:rsidP="0059719E">
      <w:r>
        <w:t xml:space="preserve">All of the adverse events in the Eye Disorders System Organ Class (SOC), including punctate keratitis and conjunctival hyperaemia, that were reported by post chemotherapy </w:t>
      </w:r>
      <w:r>
        <w:lastRenderedPageBreak/>
        <w:t xml:space="preserve">subjects during </w:t>
      </w:r>
      <w:proofErr w:type="spellStart"/>
      <w:r>
        <w:t>bimatoprost</w:t>
      </w:r>
      <w:proofErr w:type="spellEnd"/>
      <w:r>
        <w:t xml:space="preserve"> treatment were not serious, mild or moderate in severity, and did not lead to discontinuation from the study (except for 1 case of lacrimation increased, which was deemed unrelated to the treatment).</w:t>
      </w:r>
    </w:p>
    <w:p w:rsidR="0059719E" w:rsidRDefault="0059719E" w:rsidP="0059719E">
      <w:r>
        <w:t>Allergan would like to further respond to the Delegate’s statement about “</w:t>
      </w:r>
      <w:r w:rsidRPr="004B1C0E">
        <w:rPr>
          <w:i/>
        </w:rPr>
        <w:t xml:space="preserve">uncertain consequences if </w:t>
      </w:r>
      <w:proofErr w:type="spellStart"/>
      <w:r w:rsidRPr="004B1C0E">
        <w:rPr>
          <w:i/>
        </w:rPr>
        <w:t>Latisse</w:t>
      </w:r>
      <w:proofErr w:type="spellEnd"/>
      <w:r w:rsidRPr="004B1C0E">
        <w:rPr>
          <w:i/>
        </w:rPr>
        <w:t xml:space="preserve"> is inappropriately used in unselected or supervised populations outside the context of controlled clinical trials.</w:t>
      </w:r>
      <w:r>
        <w:t xml:space="preserve">” Because </w:t>
      </w:r>
      <w:proofErr w:type="spellStart"/>
      <w:r>
        <w:t>Latisse</w:t>
      </w:r>
      <w:proofErr w:type="spellEnd"/>
      <w:r>
        <w:t xml:space="preserve"> will be a prescription product, it is at the discretion of the prescriber to determine whether a patient is a good candidate for the treatment, based on his or her clinical expertise and guidance from the </w:t>
      </w:r>
      <w:proofErr w:type="spellStart"/>
      <w:r>
        <w:t>Latisse</w:t>
      </w:r>
      <w:proofErr w:type="spellEnd"/>
      <w:r>
        <w:t xml:space="preserve"> labelling. Thus, under the regulations for prescription products, patients will be neither unselected nor unsupervised. The CMI will further guide appropriate patient use once the </w:t>
      </w:r>
      <w:proofErr w:type="spellStart"/>
      <w:r>
        <w:t>Latisse</w:t>
      </w:r>
      <w:proofErr w:type="spellEnd"/>
      <w:r>
        <w:t xml:space="preserve"> prescription has been filled. In addition, </w:t>
      </w:r>
      <w:proofErr w:type="spellStart"/>
      <w:r>
        <w:t>Latisse</w:t>
      </w:r>
      <w:proofErr w:type="spellEnd"/>
      <w:r>
        <w:t xml:space="preserve"> approval in Australia as a regulated drug product will allow for monitoring and management of the product including an agreed Risk Management Plan to ensure appropriate use.</w:t>
      </w:r>
    </w:p>
    <w:p w:rsidR="0059719E" w:rsidRDefault="0059719E" w:rsidP="0059719E">
      <w:r>
        <w:t>To address the Delegate’s statement about “</w:t>
      </w:r>
      <w:r w:rsidRPr="004B1C0E">
        <w:rPr>
          <w:i/>
        </w:rPr>
        <w:t>eye-related morbidity with its uncertain long-term consequences</w:t>
      </w:r>
      <w:r>
        <w:t xml:space="preserve">,” Allergan would like to reference the long-term clinical and </w:t>
      </w:r>
      <w:proofErr w:type="spellStart"/>
      <w:r>
        <w:t>postmarketing</w:t>
      </w:r>
      <w:proofErr w:type="spellEnd"/>
      <w:r>
        <w:t xml:space="preserve"> data for </w:t>
      </w:r>
      <w:proofErr w:type="spellStart"/>
      <w:r>
        <w:t>Latisse</w:t>
      </w:r>
      <w:proofErr w:type="spellEnd"/>
      <w:r>
        <w:t xml:space="preserve">. In accordance with ICH E1 guidelines, the long-term safety of </w:t>
      </w:r>
      <w:proofErr w:type="spellStart"/>
      <w:r>
        <w:t>Latisse</w:t>
      </w:r>
      <w:proofErr w:type="spellEnd"/>
      <w:r>
        <w:t xml:space="preserve"> was evaluated in a 12-month study (192024-038), in which a group of subjects (N =214) received treatment with </w:t>
      </w:r>
      <w:proofErr w:type="spellStart"/>
      <w:r>
        <w:t>bimatoprost</w:t>
      </w:r>
      <w:proofErr w:type="spellEnd"/>
      <w:r>
        <w:t xml:space="preserve"> over 2 discrete 6 month periods. No new safety signals emerged during the second 6 month treatment period compared to the safety profile observed in the first 6 months of treatment. The majority of adverse events (preferred terms) that were reported during the second 6 months of the study had been observed during the first 6 months of the study. In addition, the most commonly reported adverse events were in the Eye Disorders SOC (as expected, based on the site of application and the known safety profile) and were reported at a much lower incidence rate in the second 6 month period compared with the first, indicating that long-term use did not increase the risk of experiencing these common adverse events. Overall, the safety data from the group receiving up to 12 months of </w:t>
      </w:r>
      <w:proofErr w:type="spellStart"/>
      <w:r>
        <w:t>bimatoprost</w:t>
      </w:r>
      <w:proofErr w:type="spellEnd"/>
      <w:r>
        <w:t xml:space="preserve"> treatment indicate that continuous long-term treatment does not lead to an increased risk of eye-related morbidity.</w:t>
      </w:r>
    </w:p>
    <w:p w:rsidR="0059719E" w:rsidRDefault="0059719E" w:rsidP="0059719E">
      <w:r>
        <w:t xml:space="preserve">Long-term use (&gt; 365 days or longer) of </w:t>
      </w:r>
      <w:proofErr w:type="spellStart"/>
      <w:r>
        <w:t>Latisse</w:t>
      </w:r>
      <w:proofErr w:type="spellEnd"/>
      <w:r>
        <w:t xml:space="preserve"> in the </w:t>
      </w:r>
      <w:proofErr w:type="spellStart"/>
      <w:r>
        <w:t>postmarketing</w:t>
      </w:r>
      <w:proofErr w:type="spellEnd"/>
      <w:r>
        <w:t xml:space="preserve"> database is reviewed in the current Periodic Safety Update Report (1 March 2012 through 28 February 2013), and supports the findings from the clinical studies that </w:t>
      </w:r>
      <w:proofErr w:type="spellStart"/>
      <w:r>
        <w:t>Latisse</w:t>
      </w:r>
      <w:proofErr w:type="spellEnd"/>
      <w:r>
        <w:t xml:space="preserve"> is safe with long-term use.</w:t>
      </w:r>
    </w:p>
    <w:p w:rsidR="0059719E" w:rsidRDefault="0059719E" w:rsidP="0059719E">
      <w:r>
        <w:t>Lastly, with regard to the Delegate’s statement regarding a “</w:t>
      </w:r>
      <w:r w:rsidRPr="004B1C0E">
        <w:rPr>
          <w:i/>
        </w:rPr>
        <w:t xml:space="preserve">significant (type and frequency of events) and consistent adverse effects profile on both </w:t>
      </w:r>
      <w:proofErr w:type="spellStart"/>
      <w:r w:rsidRPr="004B1C0E">
        <w:rPr>
          <w:i/>
        </w:rPr>
        <w:t>hypotrichosis</w:t>
      </w:r>
      <w:proofErr w:type="spellEnd"/>
      <w:r w:rsidRPr="004B1C0E">
        <w:rPr>
          <w:i/>
        </w:rPr>
        <w:t xml:space="preserve"> and glaucoma trials</w:t>
      </w:r>
      <w:r>
        <w:t xml:space="preserve">,” Allergan would like to offer clarification. As summarised by the Delegate’s report, the most commonly reported adverse events among </w:t>
      </w:r>
      <w:proofErr w:type="spellStart"/>
      <w:r>
        <w:t>bimatoprost</w:t>
      </w:r>
      <w:proofErr w:type="spellEnd"/>
      <w:r>
        <w:t xml:space="preserve"> treated subjects (overall) in the </w:t>
      </w:r>
      <w:proofErr w:type="spellStart"/>
      <w:r>
        <w:t>Latisse</w:t>
      </w:r>
      <w:proofErr w:type="spellEnd"/>
      <w:r>
        <w:t xml:space="preserve"> clinical studies were conjunctival hyperaemia (7.2%), erythema of eyelid (3.9%), skin hyperpigmentation (3.9%), eyelids pruritus (3.7%) and punctate keratitis (3.1%). Eyelids pruritus was the adverse event that occurred most often in the integrated vehicle group (2.9%). Adverse events were mostly mild in severity and did not usually lead to discontinuation from the study. The types of events commonly reported in </w:t>
      </w:r>
      <w:proofErr w:type="spellStart"/>
      <w:r>
        <w:t>Latisse</w:t>
      </w:r>
      <w:proofErr w:type="spellEnd"/>
      <w:r>
        <w:t xml:space="preserve"> studies are consistent with the known pharmacology of </w:t>
      </w:r>
      <w:proofErr w:type="spellStart"/>
      <w:r>
        <w:t>bimatoprost</w:t>
      </w:r>
      <w:proofErr w:type="spellEnd"/>
      <w:r>
        <w:t xml:space="preserve"> and most are expected to resolve with cessation of treatment (with the exception of iris hyperpigmentation). Iris pigmentation is a cosmetic change with no associated safety issue. As such, the potential adverse events with </w:t>
      </w:r>
      <w:proofErr w:type="spellStart"/>
      <w:r>
        <w:t>Latisse</w:t>
      </w:r>
      <w:proofErr w:type="spellEnd"/>
      <w:r>
        <w:t xml:space="preserve"> do not represent significant or clinically meaningful eye-related morbidity. </w:t>
      </w:r>
    </w:p>
    <w:p w:rsidR="0059719E" w:rsidRDefault="0059719E" w:rsidP="0059719E">
      <w:r>
        <w:t xml:space="preserve">With regard to the adverse event profile of </w:t>
      </w:r>
      <w:proofErr w:type="spellStart"/>
      <w:r>
        <w:t>bimatoprost</w:t>
      </w:r>
      <w:proofErr w:type="spellEnd"/>
      <w:r>
        <w:t xml:space="preserve"> across both </w:t>
      </w:r>
      <w:proofErr w:type="spellStart"/>
      <w:r>
        <w:t>hypotrichosis</w:t>
      </w:r>
      <w:proofErr w:type="spellEnd"/>
      <w:r>
        <w:t xml:space="preserve"> and glaucoma studies, clinical safety data from long-term (12 months duration or longer) </w:t>
      </w:r>
      <w:proofErr w:type="spellStart"/>
      <w:r>
        <w:t>bimatoprost</w:t>
      </w:r>
      <w:proofErr w:type="spellEnd"/>
      <w:r>
        <w:t xml:space="preserve"> studies compared with the integrated studies of </w:t>
      </w:r>
      <w:proofErr w:type="spellStart"/>
      <w:r>
        <w:t>Latisse</w:t>
      </w:r>
      <w:proofErr w:type="spellEnd"/>
      <w:r>
        <w:t xml:space="preserve"> demonstrates clearly that the types of commonly reported adverse events were similar across indications. This is reassuring, as these events are well understood through data collected over 18 years of clinical research and 12 years of </w:t>
      </w:r>
      <w:proofErr w:type="spellStart"/>
      <w:r>
        <w:t>postmarketing</w:t>
      </w:r>
      <w:proofErr w:type="spellEnd"/>
      <w:r>
        <w:t xml:space="preserve"> experience and in general, are related to </w:t>
      </w:r>
      <w:r>
        <w:lastRenderedPageBreak/>
        <w:t xml:space="preserve">the known pharmacology of the molecule and is not associated with clinically significant morbidity. However, the incidence of the adverse events reported with </w:t>
      </w:r>
      <w:proofErr w:type="spellStart"/>
      <w:r>
        <w:t>Latisse</w:t>
      </w:r>
      <w:proofErr w:type="spellEnd"/>
      <w:r>
        <w:t xml:space="preserve"> is reduced</w:t>
      </w:r>
      <w:r w:rsidR="004F3AC6">
        <w:t xml:space="preserve"> </w:t>
      </w:r>
      <w:r>
        <w:t xml:space="preserve">compared with that of </w:t>
      </w:r>
      <w:proofErr w:type="spellStart"/>
      <w:r>
        <w:t>bimatoprost</w:t>
      </w:r>
      <w:proofErr w:type="spellEnd"/>
      <w:r>
        <w:t xml:space="preserve"> used in glaucoma.. This is expected based on the considerably smaller dose of </w:t>
      </w:r>
      <w:proofErr w:type="spellStart"/>
      <w:r>
        <w:t>Latisse</w:t>
      </w:r>
      <w:proofErr w:type="spellEnd"/>
      <w:r>
        <w:t xml:space="preserve"> (applied to the eyelid margin) compared with </w:t>
      </w:r>
      <w:proofErr w:type="spellStart"/>
      <w:r>
        <w:t>bimatoprost</w:t>
      </w:r>
      <w:proofErr w:type="spellEnd"/>
      <w:r>
        <w:t xml:space="preserve"> use in glaucoma.</w:t>
      </w:r>
    </w:p>
    <w:p w:rsidR="0059719E" w:rsidRDefault="0059719E" w:rsidP="0059719E">
      <w:pPr>
        <w:pStyle w:val="Heading5"/>
      </w:pPr>
      <w:r>
        <w:t>Benefit/</w:t>
      </w:r>
      <w:r w:rsidR="001A3D87">
        <w:t>risk a</w:t>
      </w:r>
      <w:r>
        <w:t xml:space="preserve">ssessment of </w:t>
      </w:r>
      <w:proofErr w:type="spellStart"/>
      <w:r>
        <w:t>Latisse</w:t>
      </w:r>
      <w:proofErr w:type="spellEnd"/>
    </w:p>
    <w:p w:rsidR="0059719E" w:rsidRDefault="0059719E" w:rsidP="0059719E">
      <w:r>
        <w:t xml:space="preserve">The overall benefit/risk assessment of </w:t>
      </w:r>
      <w:proofErr w:type="spellStart"/>
      <w:r>
        <w:t>Latisse</w:t>
      </w:r>
      <w:proofErr w:type="spellEnd"/>
      <w:r>
        <w:t xml:space="preserve"> is positive, based on the following. </w:t>
      </w:r>
    </w:p>
    <w:p w:rsidR="0059719E" w:rsidRDefault="0059719E" w:rsidP="0059719E">
      <w:pPr>
        <w:pStyle w:val="ListBullet"/>
        <w:numPr>
          <w:ilvl w:val="0"/>
          <w:numId w:val="3"/>
        </w:numPr>
      </w:pPr>
      <w:proofErr w:type="spellStart"/>
      <w:r>
        <w:t>Hypotrichosis</w:t>
      </w:r>
      <w:proofErr w:type="spellEnd"/>
      <w:r>
        <w:t xml:space="preserve"> is self-evident condition that patients and physicians can readily observe. Since </w:t>
      </w:r>
      <w:proofErr w:type="spellStart"/>
      <w:r>
        <w:t>Latisse</w:t>
      </w:r>
      <w:proofErr w:type="spellEnd"/>
      <w:r>
        <w:t xml:space="preserve"> is a prescription product, it can only be prescribed by a physician who will determine whether </w:t>
      </w:r>
      <w:proofErr w:type="spellStart"/>
      <w:r>
        <w:t>Latisse</w:t>
      </w:r>
      <w:proofErr w:type="spellEnd"/>
      <w:r>
        <w:t xml:space="preserve"> is an appropriate treatment for each patient.</w:t>
      </w:r>
    </w:p>
    <w:p w:rsidR="0059719E" w:rsidRDefault="0059719E" w:rsidP="0059719E">
      <w:pPr>
        <w:pStyle w:val="ListBullet"/>
        <w:numPr>
          <w:ilvl w:val="0"/>
          <w:numId w:val="3"/>
        </w:numPr>
      </w:pPr>
      <w:proofErr w:type="spellStart"/>
      <w:r>
        <w:t>Bimatoprost</w:t>
      </w:r>
      <w:proofErr w:type="spellEnd"/>
      <w:r>
        <w:t xml:space="preserve">-treated subjects in </w:t>
      </w:r>
      <w:proofErr w:type="spellStart"/>
      <w:r>
        <w:t>Latisse</w:t>
      </w:r>
      <w:proofErr w:type="spellEnd"/>
      <w:r>
        <w:t xml:space="preserve"> clinical studies experienced substantial efficacy in eyelash prominence, length, thickness and darkness.</w:t>
      </w:r>
    </w:p>
    <w:p w:rsidR="0059719E" w:rsidRDefault="0059719E" w:rsidP="0059719E">
      <w:pPr>
        <w:pStyle w:val="ListBullet"/>
        <w:numPr>
          <w:ilvl w:val="0"/>
          <w:numId w:val="3"/>
        </w:numPr>
      </w:pPr>
      <w:proofErr w:type="spellStart"/>
      <w:r>
        <w:t>Bimatoprost</w:t>
      </w:r>
      <w:proofErr w:type="spellEnd"/>
      <w:r>
        <w:t xml:space="preserve"> treated subjects expressed an overall satisfaction with their eyelashes, as well as satisfaction with the physical and subjective attributes of their eyelashes.</w:t>
      </w:r>
    </w:p>
    <w:p w:rsidR="0059719E" w:rsidRDefault="0059719E" w:rsidP="0059719E">
      <w:pPr>
        <w:pStyle w:val="ListBullet"/>
        <w:numPr>
          <w:ilvl w:val="0"/>
          <w:numId w:val="3"/>
        </w:numPr>
      </w:pPr>
      <w:r>
        <w:t xml:space="preserve">The safety profile demonstrated in the integrated clinical studies of </w:t>
      </w:r>
      <w:proofErr w:type="spellStart"/>
      <w:r>
        <w:t>Latisse</w:t>
      </w:r>
      <w:proofErr w:type="spellEnd"/>
      <w:r>
        <w:t xml:space="preserve"> was favourable. </w:t>
      </w:r>
      <w:r w:rsidRPr="00821C71">
        <w:t xml:space="preserve">Ocular adverse events occurred at a significantly lower rate compared to </w:t>
      </w:r>
      <w:proofErr w:type="spellStart"/>
      <w:r w:rsidRPr="00821C71">
        <w:t>bimatoprost</w:t>
      </w:r>
      <w:proofErr w:type="spellEnd"/>
      <w:r>
        <w:t xml:space="preserve"> use in glaucoma The most common adverse events in </w:t>
      </w:r>
      <w:proofErr w:type="spellStart"/>
      <w:r>
        <w:t>Latisse</w:t>
      </w:r>
      <w:proofErr w:type="spellEnd"/>
      <w:r>
        <w:t xml:space="preserve"> studies were associated with the known pharmacology of </w:t>
      </w:r>
      <w:proofErr w:type="spellStart"/>
      <w:r>
        <w:t>bimatoprost</w:t>
      </w:r>
      <w:proofErr w:type="spellEnd"/>
      <w:r>
        <w:t xml:space="preserve"> and were not of clinical concern.</w:t>
      </w:r>
    </w:p>
    <w:p w:rsidR="0059719E" w:rsidRDefault="0059719E" w:rsidP="0059719E">
      <w:pPr>
        <w:pStyle w:val="ListBullet"/>
        <w:numPr>
          <w:ilvl w:val="0"/>
          <w:numId w:val="3"/>
        </w:numPr>
      </w:pPr>
      <w:r>
        <w:t xml:space="preserve">There is no clinically significant eye related morbidity with </w:t>
      </w:r>
      <w:proofErr w:type="spellStart"/>
      <w:r>
        <w:t>Latisse</w:t>
      </w:r>
      <w:proofErr w:type="spellEnd"/>
      <w:r>
        <w:t xml:space="preserve">. Adverse events in the integrated </w:t>
      </w:r>
      <w:proofErr w:type="spellStart"/>
      <w:r>
        <w:t>Latisse</w:t>
      </w:r>
      <w:proofErr w:type="spellEnd"/>
      <w:r>
        <w:t xml:space="preserve"> clinical studies occurred at a low frequency, were largely mild in severity and reversible and did not usually lead to discontinuation from the study.</w:t>
      </w:r>
    </w:p>
    <w:p w:rsidR="0059719E" w:rsidRDefault="0059719E" w:rsidP="0059719E">
      <w:pPr>
        <w:pStyle w:val="ListBullet"/>
        <w:numPr>
          <w:ilvl w:val="0"/>
          <w:numId w:val="3"/>
        </w:numPr>
      </w:pPr>
      <w:proofErr w:type="spellStart"/>
      <w:r>
        <w:t>Latisse</w:t>
      </w:r>
      <w:proofErr w:type="spellEnd"/>
      <w:r>
        <w:t xml:space="preserve"> is currently approved in 23 countries (including New Zealand, United States, and Canada), and has </w:t>
      </w:r>
      <w:proofErr w:type="spellStart"/>
      <w:r>
        <w:t>postmarketing</w:t>
      </w:r>
      <w:proofErr w:type="spellEnd"/>
      <w:r>
        <w:t xml:space="preserve"> data over a period of more than 4 years. These data indicate an acceptable safety profile and no new safety signals. Allergan is committed to further assessing and verifying the safety profile of </w:t>
      </w:r>
      <w:proofErr w:type="spellStart"/>
      <w:r>
        <w:t>Latisse</w:t>
      </w:r>
      <w:proofErr w:type="spellEnd"/>
      <w:r>
        <w:t xml:space="preserve"> through pharmacovigilance activities.</w:t>
      </w:r>
    </w:p>
    <w:p w:rsidR="0059719E" w:rsidRDefault="0059719E" w:rsidP="0059719E">
      <w:pPr>
        <w:pStyle w:val="ListBullet"/>
        <w:numPr>
          <w:ilvl w:val="0"/>
          <w:numId w:val="3"/>
        </w:numPr>
      </w:pPr>
      <w:r>
        <w:t xml:space="preserve">There is a substantial history of safe use of </w:t>
      </w:r>
      <w:proofErr w:type="spellStart"/>
      <w:r>
        <w:t>bimatoprost</w:t>
      </w:r>
      <w:proofErr w:type="spellEnd"/>
      <w:r>
        <w:t xml:space="preserve"> as an eye drop for the treatment of glaucoma in multiethnic populations around the world, with more than 18 years of clinical experience and 12 years of </w:t>
      </w:r>
      <w:proofErr w:type="spellStart"/>
      <w:r>
        <w:t>postmarketing</w:t>
      </w:r>
      <w:proofErr w:type="spellEnd"/>
      <w:r>
        <w:t xml:space="preserve"> experience at higher total drug exposures than when it is used topically for eyelash growth. The types of adverse events reported in </w:t>
      </w:r>
      <w:proofErr w:type="spellStart"/>
      <w:r>
        <w:t>bimatoprost</w:t>
      </w:r>
      <w:proofErr w:type="spellEnd"/>
      <w:r>
        <w:t xml:space="preserve"> glaucoma studies were similar to those reported with </w:t>
      </w:r>
      <w:proofErr w:type="spellStart"/>
      <w:r>
        <w:t>Latisse</w:t>
      </w:r>
      <w:proofErr w:type="spellEnd"/>
      <w:r>
        <w:t xml:space="preserve"> use; however, due to the considerably smaller exposure with </w:t>
      </w:r>
      <w:proofErr w:type="spellStart"/>
      <w:r>
        <w:t>Latisse</w:t>
      </w:r>
      <w:proofErr w:type="spellEnd"/>
      <w:r>
        <w:t xml:space="preserve">, the incidence of adverse events was much lower in </w:t>
      </w:r>
      <w:proofErr w:type="spellStart"/>
      <w:r>
        <w:t>Latisse</w:t>
      </w:r>
      <w:proofErr w:type="spellEnd"/>
      <w:r>
        <w:t xml:space="preserve"> studies than in </w:t>
      </w:r>
      <w:proofErr w:type="spellStart"/>
      <w:r>
        <w:t>bimatoprost</w:t>
      </w:r>
      <w:proofErr w:type="spellEnd"/>
      <w:r>
        <w:t xml:space="preserve"> glaucoma studies.</w:t>
      </w:r>
    </w:p>
    <w:p w:rsidR="0059719E" w:rsidRDefault="0059719E" w:rsidP="0059719E">
      <w:pPr>
        <w:pStyle w:val="ListBullet"/>
        <w:numPr>
          <w:ilvl w:val="0"/>
          <w:numId w:val="3"/>
        </w:numPr>
      </w:pPr>
      <w:r>
        <w:t xml:space="preserve">The registration of </w:t>
      </w:r>
      <w:proofErr w:type="spellStart"/>
      <w:r>
        <w:t>Latisse</w:t>
      </w:r>
      <w:proofErr w:type="spellEnd"/>
      <w:r>
        <w:t xml:space="preserve"> as a pharmaceutical product allows for appropriate control of labelling, instructions for use, and </w:t>
      </w:r>
      <w:proofErr w:type="spellStart"/>
      <w:r>
        <w:t>postmarketing</w:t>
      </w:r>
      <w:proofErr w:type="spellEnd"/>
      <w:r>
        <w:t xml:space="preserve"> safety reporting, which would ensure appropriate use of </w:t>
      </w:r>
      <w:proofErr w:type="spellStart"/>
      <w:r>
        <w:t>Latisse</w:t>
      </w:r>
      <w:proofErr w:type="spellEnd"/>
      <w:r>
        <w:t xml:space="preserve"> and avoid the risks associated with the use of misbranded eyelash enhancing products that are not regulated. The previous existence of unapproved products in Australia clearly indicates an unmet need for a regulated treatment for </w:t>
      </w:r>
      <w:proofErr w:type="spellStart"/>
      <w:r>
        <w:t>hypotrichosis</w:t>
      </w:r>
      <w:proofErr w:type="spellEnd"/>
      <w:r>
        <w:t xml:space="preserve"> of the eyelashes.</w:t>
      </w:r>
    </w:p>
    <w:p w:rsidR="0059719E" w:rsidRDefault="0059719E" w:rsidP="0059719E">
      <w:pPr>
        <w:pStyle w:val="Heading5"/>
      </w:pPr>
      <w:r>
        <w:t>Conclusion</w:t>
      </w:r>
    </w:p>
    <w:p w:rsidR="0059719E" w:rsidRDefault="0059719E" w:rsidP="0059719E">
      <w:r>
        <w:t xml:space="preserve">In conclusion, the sponsor disagrees with the Delegate’s recommendation. Allergan believes that adequate information on both efficacy and safety has been provided in the application and therefore agree with the recommendation of the Clinical Evaluator that </w:t>
      </w:r>
      <w:proofErr w:type="spellStart"/>
      <w:r>
        <w:t>Latisse</w:t>
      </w:r>
      <w:proofErr w:type="spellEnd"/>
      <w:r>
        <w:t xml:space="preserve"> be approved for the treatment of </w:t>
      </w:r>
      <w:proofErr w:type="spellStart"/>
      <w:r>
        <w:t>hypotrichosis</w:t>
      </w:r>
      <w:proofErr w:type="spellEnd"/>
      <w:r>
        <w:t>, based on a positive benefit-risk assessment.</w:t>
      </w:r>
    </w:p>
    <w:p w:rsidR="0059719E" w:rsidRDefault="0059719E" w:rsidP="0059719E">
      <w:r>
        <w:lastRenderedPageBreak/>
        <w:t xml:space="preserve">The indication was revised prior to ACPM deliberations to include ‘in adults’ and was </w:t>
      </w:r>
    </w:p>
    <w:p w:rsidR="0059719E" w:rsidRDefault="0059719E" w:rsidP="0059719E">
      <w:r>
        <w:t>“</w:t>
      </w:r>
      <w:proofErr w:type="spellStart"/>
      <w:r w:rsidRPr="00C72E0E">
        <w:rPr>
          <w:bCs/>
          <w:i/>
          <w:iCs/>
        </w:rPr>
        <w:t>Latisse</w:t>
      </w:r>
      <w:proofErr w:type="spellEnd"/>
      <w:r w:rsidRPr="00C72E0E">
        <w:rPr>
          <w:bCs/>
          <w:i/>
          <w:iCs/>
        </w:rPr>
        <w:t xml:space="preserve"> is indicated to treat </w:t>
      </w:r>
      <w:proofErr w:type="spellStart"/>
      <w:r w:rsidRPr="00C72E0E">
        <w:rPr>
          <w:bCs/>
          <w:i/>
          <w:iCs/>
        </w:rPr>
        <w:t>hypotrichosis</w:t>
      </w:r>
      <w:proofErr w:type="spellEnd"/>
      <w:r w:rsidRPr="00C72E0E">
        <w:rPr>
          <w:bCs/>
          <w:i/>
          <w:iCs/>
        </w:rPr>
        <w:t xml:space="preserve"> of the eyelashes in adults by increasing their growth including length, thickness, and darkness.”</w:t>
      </w:r>
    </w:p>
    <w:p w:rsidR="0059719E" w:rsidRDefault="0059719E" w:rsidP="0059719E">
      <w:pPr>
        <w:pStyle w:val="Heading4"/>
      </w:pPr>
      <w:r>
        <w:t>Advisory Committee Considerations</w:t>
      </w:r>
    </w:p>
    <w:p w:rsidR="0059719E" w:rsidRDefault="0059719E" w:rsidP="0059719E">
      <w:pPr>
        <w:rPr>
          <w:bCs/>
        </w:rPr>
      </w:pPr>
      <w:r w:rsidRPr="00D23139">
        <w:rPr>
          <w:bCs/>
        </w:rPr>
        <w:t>The Advisory Committee on Prescription Medicines (ACPM), having considered the evaluations and the Delegate’s overview, as well as the sponsor’s response to these documents, advised the following:</w:t>
      </w:r>
    </w:p>
    <w:p w:rsidR="0059719E" w:rsidRPr="00005930" w:rsidRDefault="0059719E" w:rsidP="0059719E">
      <w:pPr>
        <w:spacing w:after="240"/>
        <w:rPr>
          <w:rFonts w:cs="Calibri"/>
          <w:bCs/>
          <w:lang w:val="en-GB"/>
        </w:rPr>
      </w:pPr>
      <w:r w:rsidRPr="00005930">
        <w:rPr>
          <w:rFonts w:cs="Calibri"/>
          <w:bCs/>
          <w:lang w:val="en-GB"/>
        </w:rPr>
        <w:t>The submission seeks to register an extension of indication</w:t>
      </w:r>
      <w:r>
        <w:rPr>
          <w:rFonts w:cs="Calibri"/>
          <w:bCs/>
          <w:lang w:val="en-GB"/>
        </w:rPr>
        <w:t>s</w:t>
      </w:r>
      <w:r w:rsidRPr="00005930">
        <w:rPr>
          <w:rFonts w:cs="Calibri"/>
          <w:b/>
          <w:bCs/>
          <w:lang w:val="en-GB"/>
        </w:rPr>
        <w:t xml:space="preserve"> </w:t>
      </w:r>
      <w:r w:rsidRPr="00005930">
        <w:rPr>
          <w:rFonts w:cs="Calibri"/>
          <w:bCs/>
          <w:lang w:val="en-GB"/>
        </w:rPr>
        <w:t>for a currently registered product</w:t>
      </w:r>
      <w:r>
        <w:rPr>
          <w:rFonts w:cs="Calibri"/>
          <w:bCs/>
          <w:lang w:val="en-GB"/>
        </w:rPr>
        <w:t>. The current product (drug formulation) is proposed to be supplied in a new dosage form under a new tradename for the purposes of the proposed new indication.</w:t>
      </w:r>
    </w:p>
    <w:p w:rsidR="0059719E" w:rsidRPr="00005930" w:rsidRDefault="0059719E" w:rsidP="0059719E">
      <w:pPr>
        <w:spacing w:after="240"/>
        <w:rPr>
          <w:bCs/>
          <w:color w:val="000000" w:themeColor="text1"/>
          <w:lang w:val="en-GB"/>
        </w:rPr>
      </w:pPr>
      <w:r w:rsidRPr="00005930">
        <w:rPr>
          <w:bCs/>
          <w:color w:val="000000" w:themeColor="text1"/>
          <w:lang w:val="en-GB"/>
        </w:rPr>
        <w:t>The ACPM, taking into account the submitted evidence of, safet</w:t>
      </w:r>
      <w:r>
        <w:rPr>
          <w:bCs/>
          <w:color w:val="000000" w:themeColor="text1"/>
          <w:lang w:val="en-GB"/>
        </w:rPr>
        <w:t>y and efficacy agreed with the D</w:t>
      </w:r>
      <w:r w:rsidRPr="00005930">
        <w:rPr>
          <w:bCs/>
          <w:color w:val="000000" w:themeColor="text1"/>
          <w:lang w:val="en-GB"/>
        </w:rPr>
        <w:t xml:space="preserve">elegate that </w:t>
      </w:r>
      <w:proofErr w:type="spellStart"/>
      <w:r w:rsidRPr="00005930">
        <w:rPr>
          <w:bCs/>
          <w:lang w:val="en-GB"/>
        </w:rPr>
        <w:t>Latisse</w:t>
      </w:r>
      <w:proofErr w:type="spellEnd"/>
      <w:r w:rsidRPr="00005930">
        <w:rPr>
          <w:lang w:val="en-GB"/>
        </w:rPr>
        <w:t xml:space="preserve"> </w:t>
      </w:r>
      <w:r w:rsidRPr="00005930">
        <w:rPr>
          <w:bCs/>
          <w:lang w:val="en-GB"/>
        </w:rPr>
        <w:t xml:space="preserve">solution containing 300 </w:t>
      </w:r>
      <w:r>
        <w:rPr>
          <w:bCs/>
          <w:lang w:val="en-GB"/>
        </w:rPr>
        <w:t>µ</w:t>
      </w:r>
      <w:r w:rsidRPr="00005930">
        <w:rPr>
          <w:bCs/>
          <w:lang w:val="en-GB"/>
        </w:rPr>
        <w:t xml:space="preserve">g/mL of </w:t>
      </w:r>
      <w:proofErr w:type="spellStart"/>
      <w:r w:rsidRPr="00005930">
        <w:rPr>
          <w:bCs/>
          <w:lang w:val="en-GB"/>
        </w:rPr>
        <w:t>bimatoprost</w:t>
      </w:r>
      <w:proofErr w:type="spellEnd"/>
      <w:r w:rsidRPr="00005930">
        <w:rPr>
          <w:bCs/>
          <w:color w:val="000000" w:themeColor="text1"/>
          <w:lang w:val="en-GB"/>
        </w:rPr>
        <w:t xml:space="preserve"> has an overall negative benefit-risk profile for the proposed indication.</w:t>
      </w:r>
    </w:p>
    <w:p w:rsidR="0059719E" w:rsidRPr="00005930" w:rsidRDefault="0059719E" w:rsidP="0059719E">
      <w:pPr>
        <w:rPr>
          <w:bCs/>
          <w:iCs/>
          <w:lang w:val="en-GB"/>
        </w:rPr>
      </w:pPr>
      <w:r w:rsidRPr="00005930">
        <w:rPr>
          <w:bCs/>
          <w:iCs/>
          <w:lang w:val="en-GB"/>
        </w:rPr>
        <w:t xml:space="preserve">In making this recommendation the ACPM; </w:t>
      </w:r>
    </w:p>
    <w:p w:rsidR="0059719E" w:rsidRPr="00005930" w:rsidRDefault="0059719E" w:rsidP="0059719E">
      <w:pPr>
        <w:pStyle w:val="ListBullet"/>
        <w:numPr>
          <w:ilvl w:val="0"/>
          <w:numId w:val="3"/>
        </w:numPr>
        <w:rPr>
          <w:lang w:val="en-GB"/>
        </w:rPr>
      </w:pPr>
      <w:r w:rsidRPr="00005930">
        <w:rPr>
          <w:lang w:val="en-GB"/>
        </w:rPr>
        <w:t>Noted the product is efficacious</w:t>
      </w:r>
      <w:r>
        <w:rPr>
          <w:lang w:val="en-GB"/>
        </w:rPr>
        <w:t xml:space="preserve"> and</w:t>
      </w:r>
      <w:r w:rsidRPr="00005930">
        <w:rPr>
          <w:lang w:val="en-GB"/>
        </w:rPr>
        <w:t xml:space="preserve"> the toxicity is known</w:t>
      </w:r>
      <w:r>
        <w:rPr>
          <w:lang w:val="en-GB"/>
        </w:rPr>
        <w:t xml:space="preserve"> but the benefit-risk balance was different to that for the currently approved use in the treatment of glaucoma.</w:t>
      </w:r>
    </w:p>
    <w:p w:rsidR="0059719E" w:rsidRPr="00005930" w:rsidRDefault="0059719E" w:rsidP="0059719E">
      <w:pPr>
        <w:pStyle w:val="ListBullet"/>
        <w:numPr>
          <w:ilvl w:val="0"/>
          <w:numId w:val="3"/>
        </w:numPr>
        <w:rPr>
          <w:lang w:val="en-GB"/>
        </w:rPr>
      </w:pPr>
      <w:r w:rsidRPr="00005930">
        <w:rPr>
          <w:lang w:val="en-GB"/>
        </w:rPr>
        <w:t>Was of the view that the requested condition for the indication was not sufficiently defined or recognised</w:t>
      </w:r>
      <w:r>
        <w:rPr>
          <w:lang w:val="en-GB"/>
        </w:rPr>
        <w:t>,</w:t>
      </w:r>
      <w:r w:rsidRPr="00005930">
        <w:rPr>
          <w:lang w:val="en-GB"/>
        </w:rPr>
        <w:t xml:space="preserve"> </w:t>
      </w:r>
    </w:p>
    <w:p w:rsidR="0059719E" w:rsidRDefault="0059719E" w:rsidP="0059719E">
      <w:pPr>
        <w:rPr>
          <w:bCs/>
          <w:iCs/>
          <w:lang w:val="en-GB"/>
        </w:rPr>
      </w:pPr>
      <w:r w:rsidRPr="00005930">
        <w:rPr>
          <w:bCs/>
          <w:iCs/>
          <w:lang w:val="en-GB"/>
        </w:rPr>
        <w:t xml:space="preserve">Expressed concern that </w:t>
      </w:r>
      <w:r>
        <w:rPr>
          <w:bCs/>
          <w:iCs/>
          <w:lang w:val="en-GB"/>
        </w:rPr>
        <w:t xml:space="preserve">the </w:t>
      </w:r>
      <w:r w:rsidRPr="00005930">
        <w:rPr>
          <w:bCs/>
          <w:iCs/>
          <w:lang w:val="en-GB"/>
        </w:rPr>
        <w:t xml:space="preserve">morbidity burden was not sufficiently </w:t>
      </w:r>
      <w:r>
        <w:rPr>
          <w:bCs/>
          <w:iCs/>
          <w:lang w:val="en-GB"/>
        </w:rPr>
        <w:t>characterised in a recognised population</w:t>
      </w:r>
    </w:p>
    <w:p w:rsidR="0059719E" w:rsidRPr="00F533AB" w:rsidRDefault="0059719E" w:rsidP="0059719E">
      <w:pPr>
        <w:pStyle w:val="Heading3"/>
        <w:rPr>
          <w:rFonts w:asciiTheme="minorHAnsi" w:hAnsiTheme="minorHAnsi"/>
        </w:rPr>
      </w:pPr>
      <w:bookmarkStart w:id="219" w:name="_Toc247691532"/>
      <w:bookmarkStart w:id="220" w:name="_Toc314842516"/>
      <w:bookmarkStart w:id="221" w:name="_Toc388514005"/>
      <w:bookmarkStart w:id="222" w:name="_Toc55464746"/>
      <w:bookmarkEnd w:id="119"/>
      <w:bookmarkEnd w:id="216"/>
      <w:bookmarkEnd w:id="217"/>
      <w:r w:rsidRPr="00F533AB">
        <w:rPr>
          <w:rFonts w:asciiTheme="minorHAnsi" w:hAnsiTheme="minorHAnsi"/>
        </w:rPr>
        <w:t>Initial outcome</w:t>
      </w:r>
      <w:bookmarkEnd w:id="219"/>
      <w:bookmarkEnd w:id="220"/>
      <w:bookmarkEnd w:id="221"/>
      <w:bookmarkEnd w:id="222"/>
    </w:p>
    <w:p w:rsidR="0059719E" w:rsidRDefault="0059719E" w:rsidP="0059719E">
      <w:bookmarkStart w:id="223" w:name="_Toc247691533"/>
      <w:bookmarkStart w:id="224" w:name="_Toc314842517"/>
      <w:r w:rsidRPr="00D23139">
        <w:t xml:space="preserve">Based on a review of quality, safety and efficacy, TGA </w:t>
      </w:r>
      <w:r>
        <w:t xml:space="preserve">rejected the registration of </w:t>
      </w:r>
      <w:proofErr w:type="spellStart"/>
      <w:r>
        <w:t>Latisse</w:t>
      </w:r>
      <w:proofErr w:type="spellEnd"/>
      <w:r>
        <w:t xml:space="preserve"> containing </w:t>
      </w:r>
      <w:proofErr w:type="spellStart"/>
      <w:r>
        <w:t>bimatoprost</w:t>
      </w:r>
      <w:proofErr w:type="spellEnd"/>
      <w:r>
        <w:t xml:space="preserve"> 300 µg/mL (0.3 mg/mL) topical solution for the proposed therapeutic indication </w:t>
      </w:r>
      <w:r w:rsidRPr="00CB4887">
        <w:rPr>
          <w:i/>
        </w:rPr>
        <w:t xml:space="preserve">'to treat </w:t>
      </w:r>
      <w:proofErr w:type="spellStart"/>
      <w:r w:rsidRPr="00CB4887">
        <w:rPr>
          <w:i/>
        </w:rPr>
        <w:t>hypotrichosis</w:t>
      </w:r>
      <w:proofErr w:type="spellEnd"/>
      <w:r w:rsidRPr="00CB4887">
        <w:rPr>
          <w:i/>
        </w:rPr>
        <w:t xml:space="preserve"> of the eyelashes by increasing their growth including length, thickness and darkness'</w:t>
      </w:r>
      <w:r>
        <w:t>.</w:t>
      </w:r>
    </w:p>
    <w:p w:rsidR="0059719E" w:rsidRDefault="0059719E" w:rsidP="0059719E">
      <w:pPr>
        <w:pStyle w:val="Heading4"/>
        <w:rPr>
          <w:color w:val="000000"/>
        </w:rPr>
      </w:pPr>
      <w:r>
        <w:rPr>
          <w:w w:val="110"/>
        </w:rPr>
        <w:t xml:space="preserve">Delegate’s </w:t>
      </w:r>
      <w:r w:rsidR="001A3D87">
        <w:rPr>
          <w:w w:val="110"/>
        </w:rPr>
        <w:t>reasons</w:t>
      </w:r>
      <w:r w:rsidR="001A3D87">
        <w:rPr>
          <w:spacing w:val="-31"/>
          <w:w w:val="110"/>
        </w:rPr>
        <w:t xml:space="preserve"> </w:t>
      </w:r>
      <w:r w:rsidR="001A3D87">
        <w:rPr>
          <w:w w:val="110"/>
        </w:rPr>
        <w:t>for</w:t>
      </w:r>
      <w:r w:rsidR="001A3D87">
        <w:rPr>
          <w:spacing w:val="-33"/>
          <w:w w:val="110"/>
        </w:rPr>
        <w:t xml:space="preserve"> </w:t>
      </w:r>
      <w:r w:rsidR="001A3D87">
        <w:rPr>
          <w:w w:val="110"/>
        </w:rPr>
        <w:t>d</w:t>
      </w:r>
      <w:r>
        <w:rPr>
          <w:w w:val="110"/>
        </w:rPr>
        <w:t>ecision</w:t>
      </w:r>
    </w:p>
    <w:p w:rsidR="0059719E" w:rsidRPr="003677A2" w:rsidRDefault="0059719E" w:rsidP="0059719E">
      <w:r w:rsidRPr="003677A2">
        <w:t>The Delegate considered that efficacy has not been satisfactorily established in relation to the proposed use as the morbidity burden has not been characterised in a recognised population, nearly 50% participants were non-responders and the effect was not sustained in responders after completion of treatment.</w:t>
      </w:r>
    </w:p>
    <w:p w:rsidR="0059719E" w:rsidRPr="003677A2" w:rsidRDefault="0059719E" w:rsidP="0059719E">
      <w:r w:rsidRPr="003677A2">
        <w:t xml:space="preserve">The Delegate considered that safety has not been satisfactorily established in relation to the proposed use. Adverse effects were reported consistently more than in the control vehicle group. The adverse effects of particular concern include punctate keratitis, dry eye, blepharitis and </w:t>
      </w:r>
      <w:proofErr w:type="spellStart"/>
      <w:r w:rsidRPr="003677A2">
        <w:t>madarosis</w:t>
      </w:r>
      <w:proofErr w:type="spellEnd"/>
      <w:r w:rsidRPr="003677A2">
        <w:t xml:space="preserve"> (absence of eyelashes).</w:t>
      </w:r>
    </w:p>
    <w:p w:rsidR="0059719E" w:rsidRDefault="0059719E" w:rsidP="0059719E">
      <w:pPr>
        <w:rPr>
          <w:w w:val="105"/>
        </w:rPr>
      </w:pPr>
      <w:r w:rsidRPr="003677A2">
        <w:t>Consequently, the expected benefit relative to the identified ocular adverse effects in relation to the proposed use of this product in the treatment of '</w:t>
      </w:r>
      <w:proofErr w:type="spellStart"/>
      <w:r w:rsidRPr="003677A2">
        <w:t>hypotrichosis</w:t>
      </w:r>
      <w:proofErr w:type="spellEnd"/>
      <w:r w:rsidRPr="003677A2">
        <w:t xml:space="preserve"> of eyelashes' ('inadequate or not enough eyelashes') in the studied population with</w:t>
      </w:r>
      <w:r w:rsidRPr="008A566C">
        <w:rPr>
          <w:w w:val="107"/>
        </w:rPr>
        <w:t xml:space="preserve"> </w:t>
      </w:r>
      <w:r w:rsidRPr="003677A2">
        <w:t>minimal to moderate symptoms (GEA score 1 or 2) or dissatisfaction with eyelashes, is not</w:t>
      </w:r>
      <w:r w:rsidRPr="008A566C">
        <w:rPr>
          <w:spacing w:val="-13"/>
          <w:w w:val="105"/>
        </w:rPr>
        <w:t xml:space="preserve"> </w:t>
      </w:r>
      <w:r w:rsidRPr="008A566C">
        <w:rPr>
          <w:w w:val="105"/>
        </w:rPr>
        <w:t>favourable.</w:t>
      </w:r>
    </w:p>
    <w:p w:rsidR="0059719E" w:rsidRDefault="0059719E" w:rsidP="0059719E">
      <w:r>
        <w:t xml:space="preserve">Following the initial decision described above, the sponsor sought a review under the provisions of Section 60 of the Therapeutics Goods Act. The Delegate of the Minister for the review noted that paragraph 25(1)(d) of the Therapeutic Goods Act, which requires the goods to be evaluated with regard to whether the quality, safety and efficacy of the </w:t>
      </w:r>
      <w:r>
        <w:lastRenderedPageBreak/>
        <w:t>goods for the purposes for which they are to be used have been satisfactorily established, is of particular relevance.</w:t>
      </w:r>
    </w:p>
    <w:p w:rsidR="0059719E" w:rsidRDefault="0059719E" w:rsidP="0059719E">
      <w:r>
        <w:t>The following is an excerpt from the Delegate of the Minister for the review’s report:</w:t>
      </w:r>
    </w:p>
    <w:p w:rsidR="0059719E" w:rsidRPr="0054089F" w:rsidRDefault="0059719E" w:rsidP="0059719E">
      <w:r w:rsidRPr="0054089F">
        <w:t xml:space="preserve">Following an assessment of the quality, efficacy and safety of </w:t>
      </w:r>
      <w:proofErr w:type="spellStart"/>
      <w:r w:rsidRPr="0054089F">
        <w:t>Latisse</w:t>
      </w:r>
      <w:proofErr w:type="spellEnd"/>
      <w:r w:rsidRPr="0054089F">
        <w:t xml:space="preserve">, </w:t>
      </w:r>
      <w:r>
        <w:t xml:space="preserve">the Delegate </w:t>
      </w:r>
      <w:r w:rsidRPr="0054089F">
        <w:t>confirm</w:t>
      </w:r>
      <w:r>
        <w:t>ed</w:t>
      </w:r>
      <w:r w:rsidRPr="0054089F">
        <w:t xml:space="preserve"> the original decision not to approve the registration for the proposed indication of </w:t>
      </w:r>
      <w:proofErr w:type="spellStart"/>
      <w:r w:rsidRPr="0054089F">
        <w:t>Latisse</w:t>
      </w:r>
      <w:proofErr w:type="spellEnd"/>
      <w:r w:rsidRPr="0054089F">
        <w:t xml:space="preserve"> (</w:t>
      </w:r>
      <w:proofErr w:type="spellStart"/>
      <w:r w:rsidRPr="0054089F">
        <w:t>bimatoprost</w:t>
      </w:r>
      <w:proofErr w:type="spellEnd"/>
      <w:r w:rsidRPr="0054089F">
        <w:t xml:space="preserve"> 0.3mg/ml or 0.03%) on the basis that the safety and efficacy of </w:t>
      </w:r>
      <w:proofErr w:type="spellStart"/>
      <w:r w:rsidRPr="0054089F">
        <w:t>Latisse</w:t>
      </w:r>
      <w:proofErr w:type="spellEnd"/>
      <w:r w:rsidRPr="0054089F">
        <w:t xml:space="preserve"> for the treatment of </w:t>
      </w:r>
      <w:proofErr w:type="spellStart"/>
      <w:r w:rsidRPr="0054089F">
        <w:t>hypotrichosis</w:t>
      </w:r>
      <w:proofErr w:type="spellEnd"/>
      <w:r w:rsidRPr="0054089F">
        <w:t xml:space="preserve"> of the eyelashes by increasing their growth including length, thickness, and darkness, has not been satisfactorily established.</w:t>
      </w:r>
    </w:p>
    <w:p w:rsidR="0059719E" w:rsidRDefault="0059719E" w:rsidP="0059719E">
      <w:pPr>
        <w:pStyle w:val="Heading5"/>
      </w:pPr>
      <w:r>
        <w:t>Safety</w:t>
      </w:r>
    </w:p>
    <w:p w:rsidR="0059719E" w:rsidRPr="0054089F" w:rsidRDefault="0059719E" w:rsidP="0059719E">
      <w:r>
        <w:t>The Delegate of the Minister for the review had</w:t>
      </w:r>
      <w:r w:rsidRPr="0054089F">
        <w:t xml:space="preserve"> very significant concerns about the safety profile of </w:t>
      </w:r>
      <w:proofErr w:type="spellStart"/>
      <w:r w:rsidRPr="0054089F">
        <w:t>bimatoprost</w:t>
      </w:r>
      <w:proofErr w:type="spellEnd"/>
      <w:r w:rsidRPr="0054089F">
        <w:t xml:space="preserve"> 0.03% for the proposed usage.</w:t>
      </w:r>
    </w:p>
    <w:p w:rsidR="0059719E" w:rsidRPr="0054089F" w:rsidRDefault="0059719E" w:rsidP="0059719E">
      <w:pPr>
        <w:pStyle w:val="Numberbullet0"/>
        <w:numPr>
          <w:ilvl w:val="0"/>
          <w:numId w:val="34"/>
        </w:numPr>
      </w:pPr>
      <w:r w:rsidRPr="0054089F">
        <w:t xml:space="preserve">There were significant treatment-related side effects such as </w:t>
      </w:r>
      <w:proofErr w:type="spellStart"/>
      <w:r w:rsidRPr="0054089F">
        <w:t>enophthalmos</w:t>
      </w:r>
      <w:proofErr w:type="spellEnd"/>
      <w:r w:rsidRPr="0054089F">
        <w:t xml:space="preserve"> (sunken eyes) and iris hyperpigmentation both of which may be irreversible. Other significantly concerning side effects included corneal erosions and punctate keratitis, both of which may cause visual impairment long term.</w:t>
      </w:r>
    </w:p>
    <w:p w:rsidR="0059719E" w:rsidRPr="0054089F" w:rsidRDefault="0059719E" w:rsidP="0059719E">
      <w:pPr>
        <w:pStyle w:val="Numberbullet0"/>
        <w:numPr>
          <w:ilvl w:val="0"/>
          <w:numId w:val="27"/>
        </w:numPr>
      </w:pPr>
      <w:r w:rsidRPr="0054089F">
        <w:t>Other unacceptable side effects in a population seeking to improve their physical appearance, aside from discomfort, include unsightly reddening of the eyes or eyelids and darkening of the periorbital skin.</w:t>
      </w:r>
    </w:p>
    <w:p w:rsidR="0059719E" w:rsidRPr="0054089F" w:rsidRDefault="0059719E" w:rsidP="0059719E">
      <w:pPr>
        <w:pStyle w:val="Numberbullet0"/>
        <w:numPr>
          <w:ilvl w:val="0"/>
          <w:numId w:val="27"/>
        </w:numPr>
      </w:pPr>
      <w:r w:rsidRPr="0054089F">
        <w:t>Overall the side effect rates were high, especially in the post</w:t>
      </w:r>
      <w:r>
        <w:t xml:space="preserve"> </w:t>
      </w:r>
      <w:r w:rsidRPr="0054089F">
        <w:t>chemotherapy population (rates of any eye disorders in this group were 35% in Study 192024-</w:t>
      </w:r>
    </w:p>
    <w:p w:rsidR="0059719E" w:rsidRPr="0054089F" w:rsidRDefault="0059719E" w:rsidP="0059719E">
      <w:pPr>
        <w:pStyle w:val="Numberbullet0"/>
        <w:numPr>
          <w:ilvl w:val="0"/>
          <w:numId w:val="0"/>
        </w:numPr>
        <w:ind w:left="425"/>
      </w:pPr>
      <w:r>
        <w:t>Study -</w:t>
      </w:r>
      <w:r w:rsidRPr="0054089F">
        <w:t>038 in the treatment arm including punctate keratitis (7.8%), conjunctiva</w:t>
      </w:r>
      <w:r>
        <w:t>l</w:t>
      </w:r>
      <w:r w:rsidRPr="0054089F">
        <w:t xml:space="preserve"> hyperaemia (14.8%) and eye pruritus (5.5%)), with the first of these having the potential to cause corneal scarring and visual loss. Patients who have received chemotherapy are at an increased risk of infections and keratitis, due to the immune dysfunction which persists for some time after finishing treatment. The natural history is for spontaneous recovery of this iatrogenic eyelash </w:t>
      </w:r>
      <w:proofErr w:type="spellStart"/>
      <w:r w:rsidRPr="0054089F">
        <w:t>hypotrichosis</w:t>
      </w:r>
      <w:proofErr w:type="spellEnd"/>
      <w:r w:rsidRPr="0054089F">
        <w:t xml:space="preserve"> without treatment, and the high risk of side effects do not justify the proposed usage in this population. </w:t>
      </w:r>
      <w:r>
        <w:t>The sponsor’s</w:t>
      </w:r>
      <w:r w:rsidRPr="0054089F">
        <w:t xml:space="preserve"> report</w:t>
      </w:r>
      <w:r>
        <w:t>,</w:t>
      </w:r>
      <w:r w:rsidRPr="0054089F">
        <w:t xml:space="preserve"> in the background information supplied about post-chemotherapy eyelash </w:t>
      </w:r>
      <w:proofErr w:type="spellStart"/>
      <w:r w:rsidRPr="0054089F">
        <w:t>hypotrichosis</w:t>
      </w:r>
      <w:proofErr w:type="spellEnd"/>
      <w:r>
        <w:t>, stated</w:t>
      </w:r>
      <w:r w:rsidRPr="0054089F">
        <w:t xml:space="preserve"> that some patients report not recovering their eyelashes fully but there is no evidence supplied in this population pertaining to this subset.</w:t>
      </w:r>
    </w:p>
    <w:p w:rsidR="0059719E" w:rsidRPr="0054089F" w:rsidRDefault="0059719E" w:rsidP="0059719E">
      <w:pPr>
        <w:pStyle w:val="Numberbullet0"/>
        <w:numPr>
          <w:ilvl w:val="0"/>
          <w:numId w:val="27"/>
        </w:numPr>
      </w:pPr>
      <w:r w:rsidRPr="0054089F">
        <w:t>Without prompt diagnosis and treatment (which would have been available with the close ophthalmological monitoring required in the trial setting), there is the potential for a delay in diagnosis</w:t>
      </w:r>
      <w:r>
        <w:t xml:space="preserve"> and</w:t>
      </w:r>
      <w:r w:rsidRPr="0054089F">
        <w:t xml:space="preserve"> instigation of appropriate treatment and consequently, more harm. This raises concerns about potential prescribing of </w:t>
      </w:r>
      <w:proofErr w:type="spellStart"/>
      <w:r w:rsidRPr="0054089F">
        <w:t>bimatoprost</w:t>
      </w:r>
      <w:proofErr w:type="spellEnd"/>
      <w:r w:rsidRPr="0054089F">
        <w:t xml:space="preserve"> for the proposed usage by those not trained to diagnose and manage such disorders (</w:t>
      </w:r>
      <w:r>
        <w:t>for example</w:t>
      </w:r>
      <w:r w:rsidRPr="0054089F">
        <w:t xml:space="preserve"> punctate keratitis can be caused by chemical irritants or have an infectious aetiology and the treatment varies accordingly).</w:t>
      </w:r>
    </w:p>
    <w:p w:rsidR="0059719E" w:rsidRPr="0054089F" w:rsidRDefault="0059719E" w:rsidP="0059719E">
      <w:pPr>
        <w:pStyle w:val="Numberbullet0"/>
        <w:numPr>
          <w:ilvl w:val="0"/>
          <w:numId w:val="34"/>
        </w:numPr>
      </w:pPr>
      <w:r>
        <w:t>The sponsor</w:t>
      </w:r>
      <w:r w:rsidRPr="0054089F">
        <w:t xml:space="preserve"> identified 8 cases of </w:t>
      </w:r>
      <w:proofErr w:type="spellStart"/>
      <w:r w:rsidRPr="0054089F">
        <w:t>enophthalmos</w:t>
      </w:r>
      <w:proofErr w:type="spellEnd"/>
      <w:r w:rsidRPr="0054089F">
        <w:t xml:space="preserve"> (retraction of the eyeball leading to the appearance of sunken eyes) in the </w:t>
      </w:r>
      <w:proofErr w:type="spellStart"/>
      <w:r>
        <w:t>bimatoprost</w:t>
      </w:r>
      <w:proofErr w:type="spellEnd"/>
      <w:r>
        <w:t xml:space="preserve"> </w:t>
      </w:r>
      <w:r w:rsidRPr="0054089F">
        <w:t xml:space="preserve">Periodic Safety Update Report (PSUR, 01 March 2011 to 29 February 2012) and the severity of the cosmetic effect is best demonstrated by the </w:t>
      </w:r>
      <w:r>
        <w:t>description provided in the PSU</w:t>
      </w:r>
      <w:r w:rsidRPr="0054089F">
        <w:t>R, "</w:t>
      </w:r>
      <w:r w:rsidRPr="00DD1E42">
        <w:rPr>
          <w:i/>
        </w:rPr>
        <w:t>like the fat had been taken away on the upper eyelids, hollow and ghost eyes</w:t>
      </w:r>
      <w:r w:rsidRPr="0054089F">
        <w:t>". The range of times to onset after commencing treatment for the 8 cases included "2 weeks", "3 weeks", "within 1 month", "a couple of</w:t>
      </w:r>
      <w:r>
        <w:t xml:space="preserve"> months" to "2 years", and the s</w:t>
      </w:r>
      <w:r w:rsidRPr="0054089F">
        <w:t xml:space="preserve">ponsor reports recovery in 3 cases with the rest unknown. A review of the literature revealed a case of periocular muscle atrophy resulting in </w:t>
      </w:r>
      <w:proofErr w:type="spellStart"/>
      <w:r w:rsidRPr="0054089F">
        <w:t>perorbital</w:t>
      </w:r>
      <w:proofErr w:type="spellEnd"/>
      <w:r w:rsidRPr="0054089F">
        <w:t xml:space="preserve"> "hallowing" (sic), upper eyelid sulcus deepening and retraction, </w:t>
      </w:r>
      <w:proofErr w:type="spellStart"/>
      <w:r w:rsidRPr="0054089F">
        <w:t>enophthalmos</w:t>
      </w:r>
      <w:proofErr w:type="spellEnd"/>
      <w:r w:rsidRPr="0054089F">
        <w:t xml:space="preserve"> and upper eyelid ptosis, the last of these requiring corrective surgery. Another paper includes a case series of 7 glaucoma patients with "iatrogenic and orbital lipodystrophy" </w:t>
      </w:r>
      <w:r w:rsidRPr="00C84563">
        <w:t xml:space="preserve">resulting in periorbital hollowing of the eyes </w:t>
      </w:r>
      <w:r w:rsidRPr="00C84563">
        <w:lastRenderedPageBreak/>
        <w:t xml:space="preserve">following treatment with </w:t>
      </w:r>
      <w:proofErr w:type="spellStart"/>
      <w:r w:rsidRPr="00C84563">
        <w:t>bimatoprost</w:t>
      </w:r>
      <w:proofErr w:type="spellEnd"/>
      <w:r w:rsidRPr="00C84563">
        <w:t xml:space="preserve">, warning specifically that this is a risk for </w:t>
      </w:r>
      <w:proofErr w:type="spellStart"/>
      <w:r w:rsidRPr="00C84563">
        <w:t>Latisse</w:t>
      </w:r>
      <w:proofErr w:type="spellEnd"/>
      <w:r w:rsidRPr="00C84563">
        <w:t>, and that the condition can be irreversible.</w:t>
      </w:r>
      <w:r w:rsidRPr="00C84563">
        <w:rPr>
          <w:rStyle w:val="FootnoteReference"/>
        </w:rPr>
        <w:footnoteReference w:id="13"/>
      </w:r>
      <w:r w:rsidRPr="00C84563">
        <w:t xml:space="preserve"> Other</w:t>
      </w:r>
      <w:r w:rsidRPr="0054089F">
        <w:t xml:space="preserve"> case reports report only partial reversibility with d</w:t>
      </w:r>
      <w:r>
        <w:t>iscontinuation of the treatment</w:t>
      </w:r>
      <w:r w:rsidRPr="0054089F">
        <w:t>.</w:t>
      </w:r>
      <w:r>
        <w:rPr>
          <w:rStyle w:val="FootnoteReference"/>
        </w:rPr>
        <w:footnoteReference w:id="14"/>
      </w:r>
      <w:r w:rsidRPr="0054089F">
        <w:t xml:space="preserve"> 60% of patients were noted to have deepening of upper eyelid sulcus (another descriptive term for </w:t>
      </w:r>
      <w:proofErr w:type="spellStart"/>
      <w:r w:rsidRPr="0054089F">
        <w:t>enophthalmos</w:t>
      </w:r>
      <w:proofErr w:type="spellEnd"/>
      <w:r w:rsidRPr="0054089F">
        <w:t>) after 3 months or 6 months</w:t>
      </w:r>
      <w:r>
        <w:t xml:space="preserve"> </w:t>
      </w:r>
      <w:r w:rsidRPr="0054089F">
        <w:t xml:space="preserve">of treatment with </w:t>
      </w:r>
      <w:proofErr w:type="spellStart"/>
      <w:r w:rsidRPr="0054089F">
        <w:t>bimatoprost</w:t>
      </w:r>
      <w:proofErr w:type="spellEnd"/>
      <w:r w:rsidRPr="0054089F">
        <w:t xml:space="preserve"> eye</w:t>
      </w:r>
      <w:r>
        <w:t xml:space="preserve"> </w:t>
      </w:r>
      <w:r w:rsidRPr="0054089F">
        <w:t>drops for glaucoma using an objective measure (photograph), and reported varying degrees of recovery after changing treatment. While many of these studies were conducted in Japanese subjects in whom such changes might be more evident, the PSUR rates are collated from a wide range of populations. These changes would be considered unacceptable in a population seeking to use the medication to improve their appearance.</w:t>
      </w:r>
    </w:p>
    <w:p w:rsidR="0059719E" w:rsidRPr="0054089F" w:rsidRDefault="0059719E" w:rsidP="0059719E">
      <w:pPr>
        <w:pStyle w:val="Numberbullet0"/>
        <w:numPr>
          <w:ilvl w:val="0"/>
          <w:numId w:val="27"/>
        </w:numPr>
      </w:pPr>
      <w:r>
        <w:t>The sponsor</w:t>
      </w:r>
      <w:r w:rsidRPr="0054089F">
        <w:t xml:space="preserve"> state</w:t>
      </w:r>
      <w:r>
        <w:t>d</w:t>
      </w:r>
      <w:r w:rsidRPr="0054089F">
        <w:t xml:space="preserve"> that the risks with </w:t>
      </w:r>
      <w:proofErr w:type="spellStart"/>
      <w:r w:rsidRPr="0054089F">
        <w:t>Latisse</w:t>
      </w:r>
      <w:proofErr w:type="spellEnd"/>
      <w:r w:rsidRPr="0054089F">
        <w:t xml:space="preserve"> the proposed are lower than with </w:t>
      </w:r>
      <w:proofErr w:type="spellStart"/>
      <w:r>
        <w:t>bimatoprost</w:t>
      </w:r>
      <w:proofErr w:type="spellEnd"/>
      <w:r w:rsidRPr="0054089F">
        <w:t xml:space="preserve"> use for glaucoma but the exact risk is unknown as it is not clear the extent to which this relates to exposure (dosage or time) to the drug. Other than </w:t>
      </w:r>
      <w:r>
        <w:t>non</w:t>
      </w:r>
      <w:r w:rsidRPr="0054089F">
        <w:t xml:space="preserve">clinical studies in mice, no pharmacokinetic data were submitted to demonstrate the levels of absorption from the eyelid and possibly the eye with the proposed usage. The nonclinical evaluator and </w:t>
      </w:r>
      <w:r>
        <w:t>the Delegate of the Minister for the review</w:t>
      </w:r>
      <w:r w:rsidRPr="0054089F">
        <w:t xml:space="preserve"> are in agreement that the predictive value of absorption in the mouse dorsal skin application submitted does not allow for differences between that and the target human eyelid skin, nor for any incidental ocular contact and absorption. The rapidity of onset noted in the PSUR of </w:t>
      </w:r>
      <w:proofErr w:type="spellStart"/>
      <w:r w:rsidRPr="0054089F">
        <w:t>enophthalmos</w:t>
      </w:r>
      <w:proofErr w:type="spellEnd"/>
      <w:r w:rsidRPr="0054089F">
        <w:t xml:space="preserve"> and in the literature, suggests that it is not necessarily dose-related. While the absolute side effect rates with topical eyelid use are lower than those reported for the ophthalmic usage, the spectrum of severity of the side effects is the same; the side effects also indicate some ocular absorption given the conjunctiva</w:t>
      </w:r>
      <w:r>
        <w:t>l</w:t>
      </w:r>
      <w:r w:rsidRPr="0054089F">
        <w:t xml:space="preserve"> hyperaemia, pruritus and punctate keratitis.</w:t>
      </w:r>
    </w:p>
    <w:p w:rsidR="0059719E" w:rsidRPr="0054089F" w:rsidRDefault="0059719E" w:rsidP="0059719E">
      <w:pPr>
        <w:pStyle w:val="Numberbullet0"/>
        <w:numPr>
          <w:ilvl w:val="0"/>
          <w:numId w:val="27"/>
        </w:numPr>
      </w:pPr>
      <w:r w:rsidRPr="0054089F">
        <w:t>The adverse event classification was inadequate for the proposed usage with a significant potential for under reporting significant side</w:t>
      </w:r>
      <w:r>
        <w:t xml:space="preserve"> </w:t>
      </w:r>
      <w:r w:rsidRPr="0054089F">
        <w:t>effects, including those that might be especially imp</w:t>
      </w:r>
      <w:r>
        <w:t>ortant to patients seeking to i</w:t>
      </w:r>
      <w:r w:rsidRPr="0054089F">
        <w:t>mpro</w:t>
      </w:r>
      <w:r>
        <w:t>ve their physical appearance. I</w:t>
      </w:r>
      <w:r w:rsidRPr="0054089F">
        <w:t>n particular, it did not incorporate a formal assessment of vision. Given that this drug has been used widely for the treatment of glaucoma and ocular hypertension and with the known ocular adverse events, this classification should have included a formal assessment of vision with any ocular adverse event. Visual loss is a significant risk with some of the adverse events seen, and the adverse event classification does not require formal documentation of either the occurrence or rec</w:t>
      </w:r>
      <w:r>
        <w:t>overy of any visual impairment for example</w:t>
      </w:r>
      <w:r w:rsidRPr="0054089F">
        <w:t xml:space="preserve"> with punctate keratitis.</w:t>
      </w:r>
    </w:p>
    <w:p w:rsidR="0059719E" w:rsidRPr="0054089F" w:rsidRDefault="0059719E" w:rsidP="0059719E">
      <w:pPr>
        <w:pStyle w:val="Numberbullet0"/>
        <w:numPr>
          <w:ilvl w:val="0"/>
          <w:numId w:val="27"/>
        </w:numPr>
      </w:pPr>
      <w:r w:rsidRPr="0054089F">
        <w:t xml:space="preserve">Equally, it does not capture the impact on the patient of relevant side effects for the proposed usage. Side effects such as </w:t>
      </w:r>
      <w:proofErr w:type="spellStart"/>
      <w:r w:rsidRPr="0054089F">
        <w:t>enophthalmos</w:t>
      </w:r>
      <w:proofErr w:type="spellEnd"/>
      <w:r w:rsidRPr="0054089F">
        <w:t xml:space="preserve"> or iris hyperpigmentation, can lead to potentially severe and irreversible cosmetic disfigurement. The adverse event classification does not appear to rate these events given that:</w:t>
      </w:r>
    </w:p>
    <w:p w:rsidR="0059719E" w:rsidRPr="008077D3" w:rsidRDefault="0059719E" w:rsidP="0059719E">
      <w:pPr>
        <w:pStyle w:val="Numberbullet2"/>
        <w:numPr>
          <w:ilvl w:val="1"/>
          <w:numId w:val="27"/>
        </w:numPr>
      </w:pPr>
      <w:r w:rsidRPr="008077D3">
        <w:t>both of these are potentially irreversible</w:t>
      </w:r>
    </w:p>
    <w:p w:rsidR="0059719E" w:rsidRPr="008077D3" w:rsidRDefault="0059719E" w:rsidP="0059719E">
      <w:pPr>
        <w:pStyle w:val="Numberbullet2"/>
        <w:numPr>
          <w:ilvl w:val="1"/>
          <w:numId w:val="27"/>
        </w:numPr>
      </w:pPr>
      <w:r w:rsidRPr="008077D3">
        <w:t>both are painless and are not disabling so may not lead to a complaint until profound changes occur and they become noticeable</w:t>
      </w:r>
    </w:p>
    <w:p w:rsidR="0059719E" w:rsidRDefault="0059719E" w:rsidP="0059719E">
      <w:pPr>
        <w:pStyle w:val="Numberbullet2"/>
        <w:numPr>
          <w:ilvl w:val="1"/>
          <w:numId w:val="27"/>
        </w:numPr>
      </w:pPr>
      <w:r w:rsidRPr="008077D3">
        <w:t xml:space="preserve">neither would necessarily lead to </w:t>
      </w:r>
      <w:r>
        <w:t>hospitalis</w:t>
      </w:r>
      <w:r w:rsidRPr="008077D3">
        <w:t>ation or disability so it is not clear how they would be classified, and would not necessarily be considered 'serious' even though the patient may be distressed by them</w:t>
      </w:r>
    </w:p>
    <w:p w:rsidR="0059719E" w:rsidRPr="0054089F" w:rsidRDefault="0059719E" w:rsidP="0059719E">
      <w:pPr>
        <w:ind w:left="426"/>
      </w:pPr>
      <w:r w:rsidRPr="0054089F">
        <w:lastRenderedPageBreak/>
        <w:t xml:space="preserve">The safety data from the pivotal trials compare the adverse events in the treatment and control population to establish the risk profile of the treatment; however, this is really a comparison of </w:t>
      </w:r>
      <w:proofErr w:type="spellStart"/>
      <w:r w:rsidRPr="0054089F">
        <w:t>bimatoprost</w:t>
      </w:r>
      <w:proofErr w:type="spellEnd"/>
      <w:r w:rsidRPr="0054089F">
        <w:t xml:space="preserve"> plus vehicle versus vehicle alone, and the vehicle appears to be responsible for some of the adverse effects. Indeed, the reported rates of events occurring in the vehicle arm suggest it is not without risk</w:t>
      </w:r>
      <w:r>
        <w:t>.</w:t>
      </w:r>
      <w:r w:rsidRPr="0054089F">
        <w:t xml:space="preserve"> In the </w:t>
      </w:r>
      <w:proofErr w:type="spellStart"/>
      <w:r w:rsidRPr="0054089F">
        <w:t>postmarke</w:t>
      </w:r>
      <w:r>
        <w:t>ting</w:t>
      </w:r>
      <w:proofErr w:type="spellEnd"/>
      <w:r>
        <w:t xml:space="preserve"> safety update report, the s</w:t>
      </w:r>
      <w:r w:rsidRPr="0054089F">
        <w:t xml:space="preserve">ponsor identified and analysed events which through safety signals and the request of regulatory authorities, that are considered potentially related to </w:t>
      </w:r>
      <w:proofErr w:type="spellStart"/>
      <w:r w:rsidRPr="0054089F">
        <w:t>Benzalkonium</w:t>
      </w:r>
      <w:proofErr w:type="spellEnd"/>
      <w:r w:rsidRPr="0054089F">
        <w:t xml:space="preserve"> chloride (BAK) toxicity including punctate keratitis, increased intraocular pressure, reactivation of cornea infiltrates, reactivation of ocular infection, choroidal effusion/ detachment, cataract, ulcerative keratitis, retinal vein occlusion, herpes simplex ophthalmic and endophthalmitis.</w:t>
      </w:r>
    </w:p>
    <w:p w:rsidR="0059719E" w:rsidRPr="0054089F" w:rsidRDefault="0059719E" w:rsidP="0059719E">
      <w:pPr>
        <w:ind w:left="426"/>
      </w:pPr>
      <w:r w:rsidRPr="0054089F">
        <w:t xml:space="preserve">Given there is no other medical treatment for </w:t>
      </w:r>
      <w:proofErr w:type="spellStart"/>
      <w:r w:rsidRPr="0054089F">
        <w:t>hypotrichosis</w:t>
      </w:r>
      <w:proofErr w:type="spellEnd"/>
      <w:r w:rsidRPr="0054089F">
        <w:t xml:space="preserve">, the best comparison for safety analysis would have been the inclusion a no-treatment placebo control arm with the same monitoring. </w:t>
      </w:r>
      <w:r>
        <w:t>The Delegate</w:t>
      </w:r>
      <w:r w:rsidRPr="0054089F">
        <w:t xml:space="preserve"> </w:t>
      </w:r>
      <w:r>
        <w:t>of the Minister for the review</w:t>
      </w:r>
      <w:r w:rsidRPr="0054089F">
        <w:t xml:space="preserve"> adopted the conservative approach and assumed that none of these eye symptoms would occur if there was no treatment at all, and that all are attributable to the therapy. Establishing an accurate baseline for comparing the risk of treatment is important for an agent where the proposed indication is for a healthy population electing to use a medication to improve their physical appearance, and also where no current alternative medical treatment exists.</w:t>
      </w:r>
    </w:p>
    <w:p w:rsidR="0059719E" w:rsidRDefault="0059719E" w:rsidP="0059719E">
      <w:pPr>
        <w:pStyle w:val="Heading5"/>
      </w:pPr>
      <w:r>
        <w:rPr>
          <w:w w:val="95"/>
        </w:rPr>
        <w:t>Efficacy</w:t>
      </w:r>
    </w:p>
    <w:p w:rsidR="0059719E" w:rsidRPr="0054089F" w:rsidRDefault="0059719E" w:rsidP="0059719E">
      <w:r w:rsidRPr="0054089F">
        <w:t>There are several key deficiencies in the trial design and analysis which prevent satisfactory demonstration of efficacy in the proposed population(s). As the indication specifies inclusion of eyelash length, darkness and thickness as treatment effects, there must be a demonstrated efficacy of the treatment on these three factors/secondary endpoints in addition to growth. The fundamental problem with the trials is that they were not designed to do this, focussing instead on "eyelash prominence", with Study 10</w:t>
      </w:r>
      <w:r>
        <w:t xml:space="preserve">2024-038 also including patient </w:t>
      </w:r>
      <w:r w:rsidRPr="0054089F">
        <w:t>reported satisfaction with the outcome.</w:t>
      </w:r>
    </w:p>
    <w:p w:rsidR="0059719E" w:rsidRPr="0054089F" w:rsidRDefault="0059719E" w:rsidP="0059719E">
      <w:r>
        <w:t>Thus the Delegate</w:t>
      </w:r>
      <w:r w:rsidRPr="0054089F">
        <w:t xml:space="preserve"> </w:t>
      </w:r>
      <w:r>
        <w:t>of the Minister for the review</w:t>
      </w:r>
      <w:r w:rsidRPr="0054089F">
        <w:t xml:space="preserve"> believe</w:t>
      </w:r>
      <w:r>
        <w:t>s</w:t>
      </w:r>
      <w:r w:rsidRPr="0054089F">
        <w:t xml:space="preserve"> that efficacy has not been satisfactorily established for the reasons outlined below.</w:t>
      </w:r>
    </w:p>
    <w:p w:rsidR="0059719E" w:rsidRPr="0054089F" w:rsidRDefault="0059719E" w:rsidP="0059719E">
      <w:pPr>
        <w:pStyle w:val="Numberbullet0"/>
        <w:numPr>
          <w:ilvl w:val="0"/>
          <w:numId w:val="35"/>
        </w:numPr>
      </w:pPr>
      <w:r w:rsidRPr="0054089F">
        <w:t xml:space="preserve">The wording of the indication claims, and therefore requires demonstration of a statistically significant, improvement in eyelash length and thickness and darkness with </w:t>
      </w:r>
      <w:proofErr w:type="spellStart"/>
      <w:r w:rsidRPr="0054089F">
        <w:t>bimatoprost</w:t>
      </w:r>
      <w:proofErr w:type="spellEnd"/>
      <w:r w:rsidRPr="0054089F">
        <w:t>. In both trials, these are secondary endpoints, and the statistical analysis plans (located in the Protocol sections of both dossiers) for Studies 192024-032 and 192024-038 it is stated that the power of the study was determined by the primary efficacy variable not the secondary variables and therefore it is not certain that any findings demonstrated in these secondary variables are confirmatory of a true treatment effect and not exploratory, occurring by chance.</w:t>
      </w:r>
    </w:p>
    <w:p w:rsidR="0059719E" w:rsidRPr="0054089F" w:rsidRDefault="0059719E" w:rsidP="0059719E">
      <w:pPr>
        <w:pStyle w:val="Numberbullet0"/>
        <w:numPr>
          <w:ilvl w:val="0"/>
          <w:numId w:val="27"/>
        </w:numPr>
      </w:pPr>
      <w:r w:rsidRPr="0054089F">
        <w:t>The Statistical Analysis Plan did not specify any undertaking to determine the percentage</w:t>
      </w:r>
      <w:r>
        <w:t xml:space="preserve"> </w:t>
      </w:r>
      <w:r w:rsidRPr="0054089F">
        <w:t>of patients who experienced an improvement in all three measurements (as is required to sup</w:t>
      </w:r>
      <w:r>
        <w:t>port the proposed indication). The Delegate</w:t>
      </w:r>
      <w:r w:rsidRPr="0054089F">
        <w:t xml:space="preserve"> </w:t>
      </w:r>
      <w:r>
        <w:t>of the Minister for the review</w:t>
      </w:r>
      <w:r w:rsidRPr="0054089F">
        <w:t xml:space="preserve"> </w:t>
      </w:r>
      <w:r w:rsidR="004F3AC6">
        <w:t xml:space="preserve">could </w:t>
      </w:r>
      <w:r w:rsidR="004F3AC6" w:rsidRPr="0054089F">
        <w:t xml:space="preserve">not </w:t>
      </w:r>
      <w:r w:rsidRPr="0054089F">
        <w:t>determine from the data presented what proportion of patients had all three variables measured at the primary endpoint.</w:t>
      </w:r>
    </w:p>
    <w:p w:rsidR="0059719E" w:rsidRPr="0054089F" w:rsidRDefault="0059719E" w:rsidP="0059719E">
      <w:pPr>
        <w:pStyle w:val="Numberbullet0"/>
        <w:numPr>
          <w:ilvl w:val="0"/>
          <w:numId w:val="35"/>
        </w:numPr>
      </w:pPr>
      <w:r w:rsidRPr="0054089F">
        <w:t>The Statistical Analysis Plan did not specify what degree of change in eyelash lengthening, darkening or thickening was considered clinically meaningful and therefore this has not been defined satisfactorily.</w:t>
      </w:r>
    </w:p>
    <w:p w:rsidR="0059719E" w:rsidRPr="0054089F" w:rsidRDefault="0059719E" w:rsidP="0059719E">
      <w:pPr>
        <w:pStyle w:val="Numberbullet0"/>
        <w:numPr>
          <w:ilvl w:val="0"/>
          <w:numId w:val="27"/>
        </w:numPr>
      </w:pPr>
      <w:r w:rsidRPr="0054089F">
        <w:t>There were 32 sites in Study 192024-038 for this trial compared with 16 for Study 192024-032, and to ensure the inter and intra</w:t>
      </w:r>
      <w:r>
        <w:t xml:space="preserve"> </w:t>
      </w:r>
      <w:proofErr w:type="spellStart"/>
      <w:r w:rsidRPr="0054089F">
        <w:t>rater</w:t>
      </w:r>
      <w:proofErr w:type="spellEnd"/>
      <w:r w:rsidRPr="0054089F">
        <w:t xml:space="preserve"> variability was not significantly different in these new sites, this should have been revalidated for this trial. Alternatively, a blinded, centralised reporting of the digital images used to assess the </w:t>
      </w:r>
      <w:r w:rsidRPr="0054089F">
        <w:lastRenderedPageBreak/>
        <w:t>GEA score, would have been an acceptable means of validation but this was not done. In the Study 192024-033, which was designed to assess the reliability of results obtained with this method (see below) one of the seven clinicians assessed was identified as an 'outlier' due to lower intra and inter</w:t>
      </w:r>
      <w:r>
        <w:t xml:space="preserve"> </w:t>
      </w:r>
      <w:proofErr w:type="spellStart"/>
      <w:r w:rsidRPr="0054089F">
        <w:t>rater</w:t>
      </w:r>
      <w:proofErr w:type="spellEnd"/>
      <w:r w:rsidRPr="0054089F">
        <w:t xml:space="preserve"> consistency. Thus, there is potential for variability and this has not been assessed in this study.</w:t>
      </w:r>
    </w:p>
    <w:p w:rsidR="0059719E" w:rsidRPr="0054089F" w:rsidRDefault="0059719E" w:rsidP="0059719E">
      <w:pPr>
        <w:pStyle w:val="Numberbullet0"/>
        <w:numPr>
          <w:ilvl w:val="0"/>
          <w:numId w:val="27"/>
        </w:numPr>
      </w:pPr>
      <w:r w:rsidRPr="0054089F">
        <w:t>The primary efficacy endpoint in Study 192024-038 was a composite score incorporating the investigator</w:t>
      </w:r>
      <w:r>
        <w:t xml:space="preserve"> </w:t>
      </w:r>
      <w:r w:rsidRPr="0054089F">
        <w:t>determined eyelash prominence G EA scale and the patient reported outcome of Eyelash Satisfaction Questionnaire.</w:t>
      </w:r>
    </w:p>
    <w:p w:rsidR="0059719E" w:rsidRPr="0054089F" w:rsidRDefault="0059719E" w:rsidP="0059719E">
      <w:pPr>
        <w:pStyle w:val="Numberbullet2"/>
        <w:numPr>
          <w:ilvl w:val="1"/>
          <w:numId w:val="27"/>
        </w:numPr>
      </w:pPr>
      <w:r w:rsidRPr="0054089F">
        <w:t>This endpoint incorporates an aspect of growth (eyelash prominence, although other factors could influence this) but the composite score was designed to demonstrate the meaningfulness of any observed effect of treatment</w:t>
      </w:r>
      <w:r>
        <w:t xml:space="preserve"> </w:t>
      </w:r>
      <w:r w:rsidRPr="0054089F">
        <w:t>as it includes a patient</w:t>
      </w:r>
      <w:r>
        <w:t xml:space="preserve"> </w:t>
      </w:r>
      <w:r w:rsidRPr="0054089F">
        <w:t>reported outcome. It does not incorporate measurement of the three factors specified in the indication therefore any results for this score cannot satisfactorily demonstrate efficacy for the proposed indication.</w:t>
      </w:r>
    </w:p>
    <w:p w:rsidR="0059719E" w:rsidRPr="0054089F" w:rsidRDefault="0059719E" w:rsidP="0059719E">
      <w:pPr>
        <w:pStyle w:val="Numberbullet2"/>
        <w:numPr>
          <w:ilvl w:val="1"/>
          <w:numId w:val="27"/>
        </w:numPr>
      </w:pPr>
      <w:r w:rsidRPr="0054089F">
        <w:t>The GEA score and ESQ were reported to be validated elsewhere (Study 192024-032) but no inter or intra</w:t>
      </w:r>
      <w:r>
        <w:t xml:space="preserve"> </w:t>
      </w:r>
      <w:r w:rsidRPr="0054089F">
        <w:t>rate validation of the G EA scoring was reported in this study.</w:t>
      </w:r>
    </w:p>
    <w:p w:rsidR="0059719E" w:rsidRPr="0054089F" w:rsidRDefault="0059719E" w:rsidP="0059719E">
      <w:pPr>
        <w:pStyle w:val="Numberbullet0"/>
        <w:numPr>
          <w:ilvl w:val="0"/>
          <w:numId w:val="27"/>
        </w:numPr>
      </w:pPr>
      <w:r>
        <w:t xml:space="preserve">The Delegate of the Minister for the review could </w:t>
      </w:r>
      <w:r w:rsidRPr="0054089F">
        <w:t>not determine the number of patients for whom there are no actual measurements of eyelash length, darkness and thickness at the 4</w:t>
      </w:r>
      <w:r>
        <w:t xml:space="preserve"> </w:t>
      </w:r>
      <w:r w:rsidRPr="0054089F">
        <w:t xml:space="preserve">month primary endpoint time in Study 192024-032 as the Per Protocol population allowed the use of last observation to be carried forward to make up for missing data. This study included only subjects with idiopathic </w:t>
      </w:r>
      <w:proofErr w:type="spellStart"/>
      <w:r w:rsidRPr="0054089F">
        <w:t>hypotrichosis</w:t>
      </w:r>
      <w:proofErr w:type="spellEnd"/>
      <w:r w:rsidRPr="0054089F">
        <w:t xml:space="preserve"> and there is potential for bias when assuming the last measurement is a reasonable substitute for missing data (see point 7 below).</w:t>
      </w:r>
    </w:p>
    <w:p w:rsidR="0059719E" w:rsidRPr="0054089F" w:rsidRDefault="0059719E" w:rsidP="0059719E">
      <w:pPr>
        <w:pStyle w:val="Numberbullet0"/>
        <w:numPr>
          <w:ilvl w:val="0"/>
          <w:numId w:val="27"/>
        </w:numPr>
      </w:pPr>
      <w:r w:rsidRPr="0054089F">
        <w:t>The imputation of missing values by last observation carried forward (</w:t>
      </w:r>
      <w:r>
        <w:t>that is,</w:t>
      </w:r>
      <w:r w:rsidRPr="0054089F">
        <w:t xml:space="preserve"> the measurement taken at the last visit) may lead to bias in the intention to treat analysis as the values are not expected to remain constant over time. This is clearly demonstrated in the study of African American subjects (192024-039), where there was a much higher than predicted growth of the eyelashes in the vehicle co</w:t>
      </w:r>
      <w:r>
        <w:t xml:space="preserve">ntrol arm, and also in the post </w:t>
      </w:r>
      <w:r w:rsidRPr="0054089F">
        <w:t>chemotherapy population where the natural history of spontaneous recovery means that this is not a valid method. It also takes no account of other reasons for missing data such as withdrawal or treatment failure.</w:t>
      </w:r>
    </w:p>
    <w:p w:rsidR="0059719E" w:rsidRPr="0054089F" w:rsidRDefault="0059719E" w:rsidP="0059719E">
      <w:pPr>
        <w:pStyle w:val="Numberbullet0"/>
        <w:numPr>
          <w:ilvl w:val="0"/>
          <w:numId w:val="27"/>
        </w:numPr>
      </w:pPr>
      <w:r>
        <w:t>There are issues of generalis</w:t>
      </w:r>
      <w:r w:rsidRPr="0054089F">
        <w:t xml:space="preserve">ability of any findings across the broad population who might be classified as having 'idiopathic </w:t>
      </w:r>
      <w:proofErr w:type="spellStart"/>
      <w:r w:rsidRPr="0054089F">
        <w:t>hypotrichosis</w:t>
      </w:r>
      <w:proofErr w:type="spellEnd"/>
      <w:r w:rsidRPr="0054089F">
        <w:t>', as evidenced by the study in African Americans who had a high spontaneous recovery in the vehicle control arm. It also raises the question as to whether the vehicle itself stimulates eyelash growth, and the inclusion of a placebo arm would be required to demonstrate this.</w:t>
      </w:r>
    </w:p>
    <w:p w:rsidR="0059719E" w:rsidRPr="0054089F" w:rsidRDefault="0059719E" w:rsidP="0059719E">
      <w:pPr>
        <w:pStyle w:val="Numberbullet0"/>
        <w:numPr>
          <w:ilvl w:val="0"/>
          <w:numId w:val="27"/>
        </w:numPr>
      </w:pPr>
      <w:r w:rsidRPr="0054089F">
        <w:t>Photo</w:t>
      </w:r>
      <w:r>
        <w:t xml:space="preserve"> </w:t>
      </w:r>
      <w:r w:rsidRPr="0054089F">
        <w:t>numeric methods for measuring the primary and secondary endpoints were used in Study 192024-032 but the measurement method used for primary analysis for the secondary endpoints (length, darkness and thickness) was not the same in this trial (pixels 192024-032 versus mm in 192024-038). There was no inter and intra</w:t>
      </w:r>
      <w:r>
        <w:t xml:space="preserve"> </w:t>
      </w:r>
      <w:proofErr w:type="spellStart"/>
      <w:r w:rsidRPr="0054089F">
        <w:t>rater</w:t>
      </w:r>
      <w:proofErr w:type="spellEnd"/>
      <w:r w:rsidRPr="0054089F">
        <w:t xml:space="preserve"> validation and calculation of agreement level in the new study sites (32 sites in Study 192024-038 compared with 16 for Study 1</w:t>
      </w:r>
      <w:r>
        <w:t>92024-032) nor blinded centralis</w:t>
      </w:r>
      <w:r w:rsidRPr="0054089F">
        <w:t>ed review of these measurements.</w:t>
      </w:r>
    </w:p>
    <w:p w:rsidR="0059719E" w:rsidRPr="0054089F" w:rsidRDefault="0059719E" w:rsidP="0059719E">
      <w:pPr>
        <w:pStyle w:val="Numberbullet2"/>
        <w:numPr>
          <w:ilvl w:val="1"/>
          <w:numId w:val="27"/>
        </w:numPr>
      </w:pPr>
      <w:r w:rsidRPr="0054089F">
        <w:t xml:space="preserve">The EMA Guidelines adopted by the TGA indicate that for a global assessment scale, there should be details regarding the validity and reliability of the scoring. Given this scale was developed by the </w:t>
      </w:r>
      <w:r>
        <w:t>s</w:t>
      </w:r>
      <w:r w:rsidRPr="0054089F">
        <w:t xml:space="preserve">ponsor to measure </w:t>
      </w:r>
      <w:proofErr w:type="spellStart"/>
      <w:r w:rsidRPr="0054089F">
        <w:t>hypotrichosis</w:t>
      </w:r>
      <w:proofErr w:type="spellEnd"/>
      <w:r w:rsidRPr="0054089F">
        <w:t xml:space="preserve"> for this indication, it is unlikely to be standard clinical practice to take such measurements and assessments. There were 32 sites in Study 192024-038 for this trial compared with 16 for Study 192024-032, and to ensure the inter and </w:t>
      </w:r>
      <w:r w:rsidRPr="0054089F">
        <w:lastRenderedPageBreak/>
        <w:t>intra</w:t>
      </w:r>
      <w:r>
        <w:t xml:space="preserve"> </w:t>
      </w:r>
      <w:r w:rsidRPr="0054089F">
        <w:t>rate variability was not significantly different in these new sites, this should have been revalidated for this trial. Alternatively, a blinded, centralised reporting of the digital images used to assess the GEA score would have been an acceptable means of validation but this was not done. In the Study 192024-033, which was designed to assess the reliability of results obtained with this method (see below) one of the seven clinicians assessed was identified as an 'outlier' due to lower intra and inter</w:t>
      </w:r>
      <w:r>
        <w:t xml:space="preserve"> </w:t>
      </w:r>
      <w:r w:rsidRPr="0054089F">
        <w:t>rate consistency. Thus, there is potential for clinical investigator variability that has not been assessed in this study.</w:t>
      </w:r>
    </w:p>
    <w:p w:rsidR="0059719E" w:rsidRPr="0054089F" w:rsidRDefault="0059719E" w:rsidP="0059719E">
      <w:pPr>
        <w:pStyle w:val="Numberbullet0"/>
        <w:numPr>
          <w:ilvl w:val="0"/>
          <w:numId w:val="27"/>
        </w:numPr>
      </w:pPr>
      <w:r w:rsidRPr="0054089F">
        <w:t>Post</w:t>
      </w:r>
      <w:r>
        <w:t xml:space="preserve"> </w:t>
      </w:r>
      <w:r w:rsidRPr="0054089F">
        <w:t>chemotherapy patients (96% had breast cancer) should have been stratified and randomised according to the chemotherapy regimen they received, as this will have had an impact upon alopecia severity (</w:t>
      </w:r>
      <w:r>
        <w:t>that is,</w:t>
      </w:r>
      <w:r w:rsidRPr="0054089F">
        <w:t xml:space="preserve"> degree of iatrogenic hair follicular dysfunction), and consequently the natural recovery rates and likely responsiveness to treatment measures. As stated in a reference included in the Clinical Study Report for Study 192024-06 7</w:t>
      </w:r>
      <w:r>
        <w:t>,</w:t>
      </w:r>
      <w:r w:rsidRPr="0054089F">
        <w:t>1 different chemotherapeutic agents cause differing degrees of alopecia, ranging from minimal or mild scalp alopecia with lower rates of loss of other body hair (</w:t>
      </w:r>
      <w:r>
        <w:t>for example,</w:t>
      </w:r>
      <w:r w:rsidRPr="0054089F">
        <w:t xml:space="preserve"> in the intravenous cyclophosphamide, methotrexate and fluorouracil regimen used to treat breast cancer) to potentially total loss of body hair including eyebrows and eyelashes (</w:t>
      </w:r>
      <w:r>
        <w:t>for example,</w:t>
      </w:r>
      <w:r w:rsidRPr="0054089F">
        <w:t xml:space="preserve"> with </w:t>
      </w:r>
      <w:proofErr w:type="spellStart"/>
      <w:r w:rsidRPr="0054089F">
        <w:t>taxanes</w:t>
      </w:r>
      <w:proofErr w:type="spellEnd"/>
      <w:r w:rsidRPr="0054089F">
        <w:t xml:space="preserve"> used to treat breast cancer). There is said to be a record of which chemotherapeutic agent(s) the patients received in List 16.2.4-7 for Study 192024-067 but the hyperlink was not functioning and </w:t>
      </w:r>
      <w:r>
        <w:t>the Delegate</w:t>
      </w:r>
      <w:r w:rsidRPr="0054089F">
        <w:t xml:space="preserve"> </w:t>
      </w:r>
      <w:r>
        <w:t>of the Minister for the review</w:t>
      </w:r>
      <w:r w:rsidRPr="0054089F">
        <w:t xml:space="preserve"> was unable to locate this in the appendices in the submission. This information was not collected according to the protocol for Study 192024-038. </w:t>
      </w:r>
      <w:r>
        <w:t>The Delegate of the Minister for the review was</w:t>
      </w:r>
      <w:r w:rsidRPr="0054089F">
        <w:t xml:space="preserve"> therefore not able to determine whether the subjects were distributed evenly across the treatment arms, and as this is likely to influence the responsiveness to treatment (or natural recovery rate) it represents a source of potential bias that cannot be evaluated.</w:t>
      </w:r>
    </w:p>
    <w:p w:rsidR="0059719E" w:rsidRPr="0054089F" w:rsidRDefault="0059719E" w:rsidP="0059719E">
      <w:pPr>
        <w:pStyle w:val="Numberbullet0"/>
        <w:numPr>
          <w:ilvl w:val="0"/>
          <w:numId w:val="27"/>
        </w:numPr>
      </w:pPr>
      <w:r w:rsidRPr="0054089F">
        <w:t>It is not possible to adequately identify the s</w:t>
      </w:r>
      <w:r>
        <w:t>eparate effects of natural post</w:t>
      </w:r>
      <w:r w:rsidRPr="0054089F">
        <w:t xml:space="preserve"> chemotherapy recovery from the effect of treatment. The range of t</w:t>
      </w:r>
      <w:r>
        <w:t xml:space="preserve">rial entry from 4 to </w:t>
      </w:r>
      <w:r w:rsidRPr="0054089F">
        <w:t>16 weeks in Study 192024-038 and 4</w:t>
      </w:r>
      <w:r>
        <w:t xml:space="preserve"> to </w:t>
      </w:r>
      <w:r w:rsidRPr="0054089F">
        <w:t>24 weeks 192024-06 7 post-chemotherapy is significant in that the natural hair regrowth and recovery of the hair follicle (and therefore ability to regenerate and respond to any treatments) would be more established at 24 weeks than at either 16 weeks and even more so than at 4 weeks. The differing inclusion criteria o</w:t>
      </w:r>
      <w:r>
        <w:t>f the trials limit the generalis</w:t>
      </w:r>
      <w:r w:rsidRPr="0054089F">
        <w:t>ability of any findings. It is not possible to determine whether the differing GEA scores for post chemotherapy patients at enrolment (GEA scores 1and 2 permitted at trial entry) indicate a degree of recovery with time (see point 2) or less severe impact of chemotherapy to start with.</w:t>
      </w:r>
    </w:p>
    <w:p w:rsidR="0059719E" w:rsidRDefault="0059719E" w:rsidP="0059719E">
      <w:pPr>
        <w:pStyle w:val="Numberbullet0"/>
        <w:numPr>
          <w:ilvl w:val="0"/>
          <w:numId w:val="27"/>
        </w:numPr>
      </w:pPr>
      <w:r w:rsidRPr="0054089F">
        <w:t xml:space="preserve">There was no baseline record of the length, darkness and thickness of the eyelashes of the patients prior to undergoing chemotherapy. These would naturally vary between patients and would influence the thickness, darkness and growth rates following chemotherapy. Therefore, it </w:t>
      </w:r>
      <w:r w:rsidR="004F3AC6">
        <w:t xml:space="preserve">could </w:t>
      </w:r>
      <w:r w:rsidR="004F3AC6" w:rsidRPr="0054089F">
        <w:t xml:space="preserve">not </w:t>
      </w:r>
      <w:r w:rsidRPr="0054089F">
        <w:t xml:space="preserve">be determined whether the measured length, darkness and thickness </w:t>
      </w:r>
      <w:r w:rsidR="004F3AC6">
        <w:t>was</w:t>
      </w:r>
      <w:r w:rsidR="004F3AC6" w:rsidRPr="0054089F">
        <w:t xml:space="preserve"> </w:t>
      </w:r>
      <w:r w:rsidRPr="0054089F">
        <w:t xml:space="preserve">a return to the patient's pre chemotherapy baseline growth pattern or as a result of </w:t>
      </w:r>
      <w:proofErr w:type="spellStart"/>
      <w:r w:rsidRPr="0054089F">
        <w:t>bimatoprost</w:t>
      </w:r>
      <w:proofErr w:type="spellEnd"/>
      <w:r w:rsidRPr="0054089F">
        <w:t xml:space="preserve"> treatment. The method for ensuring there was no pre</w:t>
      </w:r>
      <w:r>
        <w:t>-</w:t>
      </w:r>
      <w:r w:rsidRPr="0054089F">
        <w:t xml:space="preserve">chemotherapy </w:t>
      </w:r>
      <w:proofErr w:type="spellStart"/>
      <w:r w:rsidRPr="0054089F">
        <w:t>hypotrichosis</w:t>
      </w:r>
      <w:proofErr w:type="spellEnd"/>
      <w:r w:rsidRPr="0054089F">
        <w:t xml:space="preserve"> from information gathered by medical oncologists is not adequate especially if not gathered prospectively: information about the state of patient's eyelashes is not collected in a pre</w:t>
      </w:r>
      <w:r>
        <w:t>-</w:t>
      </w:r>
      <w:r w:rsidRPr="0054089F">
        <w:t xml:space="preserve">chemotherapy consultation and discussion nor would examining the state of the patient's eyelashes constitute a relevant part of a pre chemotherapy clinical examination unless part of a systemic or significant illness causing </w:t>
      </w:r>
      <w:r w:rsidRPr="00882C96">
        <w:t xml:space="preserve">alopecia. Figure 3 (Clinical Study Report, 192024-038 6M) highlights this as the patient on </w:t>
      </w:r>
      <w:proofErr w:type="spellStart"/>
      <w:r w:rsidRPr="00882C96">
        <w:t>bimatoprost</w:t>
      </w:r>
      <w:proofErr w:type="spellEnd"/>
      <w:r w:rsidRPr="00882C96">
        <w:t xml:space="preserve"> has regained both eyelashes and eyebrows (which</w:t>
      </w:r>
      <w:r w:rsidRPr="0054089F">
        <w:t xml:space="preserve"> suggests this is independent of trial drug treatment </w:t>
      </w:r>
      <w:r w:rsidRPr="0054089F">
        <w:lastRenderedPageBreak/>
        <w:t>which is applied to the upper eyelids only, not the eyebrows) compared with the patient receiving the vehicle who has neither at 6 months.</w:t>
      </w:r>
    </w:p>
    <w:p w:rsidR="0059719E" w:rsidRDefault="0059719E" w:rsidP="0059719E">
      <w:pPr>
        <w:pStyle w:val="FigureTitle"/>
      </w:pPr>
      <w:r>
        <w:t xml:space="preserve">Figure 3. Example of the effect of </w:t>
      </w:r>
      <w:proofErr w:type="spellStart"/>
      <w:r>
        <w:t>Bim</w:t>
      </w:r>
      <w:proofErr w:type="spellEnd"/>
      <w:r>
        <w:t xml:space="preserve"> 0.03% on eyelash growth compared to vehicle-post chemotherapy subpopulation</w:t>
      </w:r>
    </w:p>
    <w:p w:rsidR="0059719E" w:rsidRDefault="0059719E" w:rsidP="001A3D87">
      <w:r>
        <w:rPr>
          <w:noProof/>
          <w:lang w:eastAsia="en-AU"/>
        </w:rPr>
        <w:drawing>
          <wp:inline distT="0" distB="0" distL="0" distR="0" wp14:anchorId="0E145FFD" wp14:editId="3EB32E66">
            <wp:extent cx="4874149" cy="2775006"/>
            <wp:effectExtent l="0" t="0" r="0" b="0"/>
            <wp:docPr id="2" name="Picture 2" descr="Figure 3. Example of the effect of Bim 0.03% on eyelash growth compared to vehicle-post chemotherapy sub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334" t="4604" r="3387" b="6138"/>
                    <a:stretch/>
                  </pic:blipFill>
                  <pic:spPr bwMode="auto">
                    <a:xfrm>
                      <a:off x="0" y="0"/>
                      <a:ext cx="4875147" cy="2775574"/>
                    </a:xfrm>
                    <a:prstGeom prst="rect">
                      <a:avLst/>
                    </a:prstGeom>
                    <a:ln>
                      <a:noFill/>
                    </a:ln>
                    <a:extLst>
                      <a:ext uri="{53640926-AAD7-44D8-BBD7-CCE9431645EC}">
                        <a14:shadowObscured xmlns:a14="http://schemas.microsoft.com/office/drawing/2010/main"/>
                      </a:ext>
                    </a:extLst>
                  </pic:spPr>
                </pic:pic>
              </a:graphicData>
            </a:graphic>
          </wp:inline>
        </w:drawing>
      </w:r>
    </w:p>
    <w:p w:rsidR="0059719E" w:rsidRDefault="0059719E" w:rsidP="0059719E">
      <w:pPr>
        <w:pStyle w:val="Numberbullet0"/>
        <w:numPr>
          <w:ilvl w:val="0"/>
          <w:numId w:val="27"/>
        </w:numPr>
      </w:pPr>
      <w:r w:rsidRPr="0054089F">
        <w:t xml:space="preserve">The method of </w:t>
      </w:r>
      <w:r w:rsidRPr="00572E89">
        <w:t>standardising the exposure/colour within the imaging is not evident in the images presented in Figure 4. The images presented Figures 3 and 4, 192024-038 6M to demonstrate the change in GEA score are markedly different in terms</w:t>
      </w:r>
      <w:r>
        <w:t xml:space="preserve"> of exposure/colour-standardis</w:t>
      </w:r>
      <w:r w:rsidRPr="0054089F">
        <w:t xml:space="preserve">ation; the control image is bleached with a lighter colour scale which creates the impression of an increased response in the treatment arm. </w:t>
      </w:r>
      <w:r w:rsidRPr="00572E89">
        <w:t>This is particularly so for Figure 3.</w:t>
      </w:r>
      <w:r w:rsidRPr="0054089F">
        <w:t xml:space="preserve"> The use of the white dot to standardise the exposure of the image, and allow the darkness to be assessed is not visible in the </w:t>
      </w:r>
      <w:proofErr w:type="spellStart"/>
      <w:r w:rsidRPr="0054089F">
        <w:t>bimatoprost</w:t>
      </w:r>
      <w:proofErr w:type="spellEnd"/>
      <w:r w:rsidRPr="0054089F">
        <w:t xml:space="preserve"> treated patient in the images on the left. The image quality is different from that </w:t>
      </w:r>
      <w:r w:rsidRPr="00572E89">
        <w:t>presented in Figure 5 where the method of determining where measurements of length, thickness and</w:t>
      </w:r>
      <w:r w:rsidRPr="0054089F">
        <w:t xml:space="preserve"> darkness are taken is described. The accuracy and reproducibility of the apparently hand-drawn boundaries on the digital image are uncertain for those with very short or minimal eyelashes, especially the subset of </w:t>
      </w:r>
      <w:r>
        <w:t xml:space="preserve">post </w:t>
      </w:r>
      <w:r w:rsidRPr="0054089F">
        <w:t>chemotherapy patients, who had GEA score 1 and fewer than 10 eyelashes. It is not stated that this method has been validated for measuring eyelash changes in the post­ chemotherapy population, as the reported validation was undertaken in a study without such patients (Study 192024-032).</w:t>
      </w:r>
    </w:p>
    <w:p w:rsidR="0059719E" w:rsidRDefault="0059719E" w:rsidP="0059719E">
      <w:pPr>
        <w:pStyle w:val="FigureTitle"/>
      </w:pPr>
      <w:r>
        <w:lastRenderedPageBreak/>
        <w:t xml:space="preserve">Figure 4. Example of the effect of </w:t>
      </w:r>
      <w:proofErr w:type="spellStart"/>
      <w:r>
        <w:t>Bim</w:t>
      </w:r>
      <w:proofErr w:type="spellEnd"/>
      <w:r>
        <w:t xml:space="preserve"> 0.03% on eyelash growth compared to vehicle-Normal adult subpopulation</w:t>
      </w:r>
    </w:p>
    <w:p w:rsidR="0059719E" w:rsidRDefault="0059719E" w:rsidP="001A3D87">
      <w:r>
        <w:rPr>
          <w:noProof/>
          <w:lang w:eastAsia="en-AU"/>
        </w:rPr>
        <w:drawing>
          <wp:inline distT="0" distB="0" distL="0" distR="0" wp14:anchorId="7B07CF73" wp14:editId="75AE6B28">
            <wp:extent cx="5009322" cy="3069203"/>
            <wp:effectExtent l="0" t="0" r="0" b="0"/>
            <wp:docPr id="3" name="Picture 3" descr="Figure 4. Example of the effect of Bim 0.03% on eyelash growth compared to vehicle-Normal adult sub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ann\AppData\Local\Temp\Capture 1 (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010345" cy="3069830"/>
                    </a:xfrm>
                    <a:prstGeom prst="rect">
                      <a:avLst/>
                    </a:prstGeom>
                    <a:noFill/>
                    <a:ln>
                      <a:noFill/>
                    </a:ln>
                    <a:extLst>
                      <a:ext uri="{53640926-AAD7-44D8-BBD7-CCE9431645EC}">
                        <a14:shadowObscured xmlns:a14="http://schemas.microsoft.com/office/drawing/2010/main"/>
                      </a:ext>
                    </a:extLst>
                  </pic:spPr>
                </pic:pic>
              </a:graphicData>
            </a:graphic>
          </wp:inline>
        </w:drawing>
      </w:r>
    </w:p>
    <w:p w:rsidR="0059719E" w:rsidRDefault="0059719E" w:rsidP="0059719E">
      <w:pPr>
        <w:pStyle w:val="FigureTitle"/>
      </w:pPr>
      <w:r w:rsidRPr="00882C96">
        <w:t>Figure</w:t>
      </w:r>
      <w:r>
        <w:t xml:space="preserve"> 5. Definition of the area of interest and spline for the analysis of secondary efficacy variables</w:t>
      </w:r>
    </w:p>
    <w:p w:rsidR="0059719E" w:rsidRDefault="0059719E" w:rsidP="001A3D87">
      <w:r>
        <w:rPr>
          <w:noProof/>
          <w:lang w:eastAsia="en-AU"/>
        </w:rPr>
        <w:drawing>
          <wp:inline distT="0" distB="0" distL="0" distR="0" wp14:anchorId="3F51CB74" wp14:editId="3FF6E699">
            <wp:extent cx="5168347" cy="2107095"/>
            <wp:effectExtent l="0" t="0" r="0" b="0"/>
            <wp:docPr id="5" name="Picture 5" descr="Figure 5. Definition of the area of interest and spline for the analysis of secondary efficacy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88" t="3887" r="837" b="2473"/>
                    <a:stretch/>
                  </pic:blipFill>
                  <pic:spPr bwMode="auto">
                    <a:xfrm>
                      <a:off x="0" y="0"/>
                      <a:ext cx="5171856" cy="2108526"/>
                    </a:xfrm>
                    <a:prstGeom prst="rect">
                      <a:avLst/>
                    </a:prstGeom>
                    <a:ln>
                      <a:noFill/>
                    </a:ln>
                    <a:extLst>
                      <a:ext uri="{53640926-AAD7-44D8-BBD7-CCE9431645EC}">
                        <a14:shadowObscured xmlns:a14="http://schemas.microsoft.com/office/drawing/2010/main"/>
                      </a:ext>
                    </a:extLst>
                  </pic:spPr>
                </pic:pic>
              </a:graphicData>
            </a:graphic>
          </wp:inline>
        </w:drawing>
      </w:r>
    </w:p>
    <w:p w:rsidR="0059719E" w:rsidRPr="0054089F" w:rsidRDefault="0059719E" w:rsidP="0059719E">
      <w:pPr>
        <w:pStyle w:val="Numberbullet0"/>
        <w:numPr>
          <w:ilvl w:val="0"/>
          <w:numId w:val="27"/>
        </w:numPr>
        <w:tabs>
          <w:tab w:val="left" w:pos="284"/>
        </w:tabs>
      </w:pPr>
      <w:r w:rsidRPr="0054089F">
        <w:t>The Per Protocol analysis which did not permit the last observation to be carried forward reveals that there are su</w:t>
      </w:r>
      <w:r>
        <w:t xml:space="preserve">bstantial data missing at the 4 </w:t>
      </w:r>
      <w:r w:rsidRPr="0054089F">
        <w:t xml:space="preserve">month primary endpoint assessment in Study 102024-038. In the EMA Guideline adopted by the TGA on </w:t>
      </w:r>
      <w:r w:rsidRPr="00882C96">
        <w:rPr>
          <w:i/>
        </w:rPr>
        <w:t>Points to consider on missing data</w:t>
      </w:r>
      <w:r>
        <w:rPr>
          <w:rStyle w:val="FootnoteReference"/>
          <w:i/>
        </w:rPr>
        <w:footnoteReference w:id="15"/>
      </w:r>
      <w:r w:rsidRPr="0054089F">
        <w:t xml:space="preserve"> this missing data can affect both the statistical power of the study and introduce bias. The latter is important and the missing data may affect the estimation of the treatment effect, the comparability of the treatment groups and the representativeness of the study sample in relation to the target population. As no comparison can be made against a control population for the post-chemotherapy group, this negates this group's inclusion in the whole group analysis and means that efficacy in the two of the three proposed indication's efficacy markers cannot been established in this population alone or the group as a whole. This precludes the study from demonstrating any efficacy effect.</w:t>
      </w:r>
    </w:p>
    <w:p w:rsidR="0059719E" w:rsidRPr="0054089F" w:rsidRDefault="0059719E" w:rsidP="0059719E">
      <w:pPr>
        <w:pStyle w:val="Numberbullet0"/>
        <w:numPr>
          <w:ilvl w:val="0"/>
          <w:numId w:val="27"/>
        </w:numPr>
      </w:pPr>
      <w:r w:rsidRPr="0054089F">
        <w:t xml:space="preserve">There is a differential loss of data across the three secondary endpoints as measured in Study 192024-038. It is unclear why such a differential exists as it is assumed that </w:t>
      </w:r>
      <w:r w:rsidRPr="0054089F">
        <w:lastRenderedPageBreak/>
        <w:t>measurement of length would require the same photo</w:t>
      </w:r>
      <w:r>
        <w:t xml:space="preserve"> </w:t>
      </w:r>
      <w:r w:rsidRPr="0054089F">
        <w:t xml:space="preserve">numeric imaging as darkness and thickness. </w:t>
      </w:r>
      <w:r w:rsidRPr="002C2347">
        <w:t>I</w:t>
      </w:r>
      <w:r w:rsidRPr="0054089F">
        <w:t xml:space="preserve">ndications that these were an issue at another time point may explain this (see point 7 in Findings of Fact) does not explain the different rates of missing data for two of the three endpoints at the primary efficacy endpoint time. If the reason for the missing data </w:t>
      </w:r>
      <w:r>
        <w:t>is</w:t>
      </w:r>
      <w:r w:rsidRPr="0054089F">
        <w:t xml:space="preserve"> the same, </w:t>
      </w:r>
      <w:r>
        <w:t>the Delegate of the Minister for the review was</w:t>
      </w:r>
      <w:r w:rsidRPr="0054089F">
        <w:t xml:space="preserve"> unclear as to how the images would be of sufficient quality to measure eyelash length accurately if they were not of sufficient quality to measure thickness and darkness. This raises uncertainty about the accuracy of the eyelash length measurements. This differential loss of follow-up for two of the factors specifically identified in the indication necessarily invalidates the claims of efficacy by the </w:t>
      </w:r>
      <w:r>
        <w:t>s</w:t>
      </w:r>
      <w:r w:rsidRPr="0054089F">
        <w:t>ponsor in this population.</w:t>
      </w:r>
    </w:p>
    <w:p w:rsidR="0059719E" w:rsidRPr="0054089F" w:rsidRDefault="0059719E" w:rsidP="0059719E">
      <w:pPr>
        <w:pStyle w:val="Numberbullet0"/>
        <w:numPr>
          <w:ilvl w:val="0"/>
          <w:numId w:val="27"/>
        </w:numPr>
      </w:pPr>
      <w:r w:rsidRPr="0054089F">
        <w:t xml:space="preserve">The primary efficacy endpoint at 4 months was the composite GEA scale and ESQ improvement. In the intention to treat population, this improved significantly for the idiopathic </w:t>
      </w:r>
      <w:proofErr w:type="spellStart"/>
      <w:r w:rsidRPr="0054089F">
        <w:t>hypotrichosis</w:t>
      </w:r>
      <w:proofErr w:type="spellEnd"/>
      <w:r w:rsidRPr="0054089F">
        <w:t xml:space="preserve"> group with active treatment from 40.2% v</w:t>
      </w:r>
      <w:r>
        <w:t>ersu</w:t>
      </w:r>
      <w:r w:rsidRPr="0054089F">
        <w:t xml:space="preserve">s 6.8% (p&lt;0.001) in </w:t>
      </w:r>
      <w:r>
        <w:t xml:space="preserve">the control arm. For those post </w:t>
      </w:r>
      <w:r w:rsidRPr="0054089F">
        <w:t>chemotherapy group, there was a significantly improved composite score of 35.4 % versus 14.3% in the control arm (p=0.041) but no significant improvement in composite score observed before that time point.</w:t>
      </w:r>
    </w:p>
    <w:p w:rsidR="0059719E" w:rsidRPr="0054089F" w:rsidRDefault="0059719E" w:rsidP="0059719E">
      <w:pPr>
        <w:pStyle w:val="Numberbullet0"/>
        <w:numPr>
          <w:ilvl w:val="0"/>
          <w:numId w:val="27"/>
        </w:numPr>
      </w:pPr>
      <w:r w:rsidRPr="0054089F">
        <w:t>In the Per Protocol analysis of the post-chemotherapy patients, the primary efficacy variable (composite score) appeared to demonstrate a significant difference with treatment while the individual components of the composite effi</w:t>
      </w:r>
      <w:r>
        <w:t>cacy score were not significant</w:t>
      </w:r>
      <w:r w:rsidRPr="0054089F">
        <w:t>. It is unclear why there is a difference in statistical significance between the composite score and its individual components in this population. It also suggests for those experiencing an improvement in their eyelash prominence (including more than half those in the control arm) that this is not necessarily accompanied by a psychological benefit related specifically to that. The data also confirm this as a largely self</w:t>
      </w:r>
      <w:r>
        <w:t>-</w:t>
      </w:r>
      <w:r w:rsidRPr="0054089F">
        <w:t xml:space="preserve">limiting condition, with a high natural recovery rate without additional treatment in the control arm. There are no controlled data beyond 6 months in the post chemotherapy or idiopathic </w:t>
      </w:r>
      <w:proofErr w:type="spellStart"/>
      <w:r w:rsidRPr="0054089F">
        <w:t>hypotrichosis</w:t>
      </w:r>
      <w:proofErr w:type="spellEnd"/>
      <w:r w:rsidRPr="0054089F">
        <w:t xml:space="preserve"> groups to compare the use of ongoing treatment on efficacy in either group of patients.</w:t>
      </w:r>
    </w:p>
    <w:p w:rsidR="0059719E" w:rsidRPr="0054089F" w:rsidRDefault="0059719E" w:rsidP="0059719E">
      <w:pPr>
        <w:pStyle w:val="Numberbullet0"/>
        <w:numPr>
          <w:ilvl w:val="0"/>
          <w:numId w:val="27"/>
        </w:numPr>
      </w:pPr>
      <w:r w:rsidRPr="0054089F">
        <w:t>In Study 192024-038, the only evaluable change of the three factors included in the i</w:t>
      </w:r>
      <w:r>
        <w:t xml:space="preserve">ndication for both the post </w:t>
      </w:r>
      <w:r w:rsidRPr="0054089F">
        <w:t xml:space="preserve">chemotherapy and idiopathic </w:t>
      </w:r>
      <w:proofErr w:type="spellStart"/>
      <w:r w:rsidRPr="0054089F">
        <w:t>hypotrichosis</w:t>
      </w:r>
      <w:proofErr w:type="spellEnd"/>
      <w:r w:rsidRPr="0054089F">
        <w:t xml:space="preserve"> group was eyelash length, although the accuracy of this is uncertain (see point 8 above) and the absolute change in length that would be clinically meaningful was not defined. Furthermore, any efficacy that might have been demonstrated is not sufficient to support the proposed indication.</w:t>
      </w:r>
    </w:p>
    <w:p w:rsidR="0059719E" w:rsidRPr="0054089F" w:rsidRDefault="0059719E" w:rsidP="0059719E">
      <w:pPr>
        <w:pStyle w:val="Numberbullet0"/>
        <w:numPr>
          <w:ilvl w:val="0"/>
          <w:numId w:val="27"/>
        </w:numPr>
      </w:pPr>
      <w:r w:rsidRPr="0054089F">
        <w:t>The median improvement in each of the two groups' ESQ from the pivotal study was from a baseline of 3 (= 3 scores for each component of 1</w:t>
      </w:r>
      <w:r>
        <w:t>, that is,</w:t>
      </w:r>
      <w:r w:rsidRPr="0054089F">
        <w:t xml:space="preserve"> 'very much disagree' to all questions) to a median score of 6. The permutations required to achieve a score of 6 require either 3 scores of for each component of 2 (</w:t>
      </w:r>
      <w:r>
        <w:t>that is,</w:t>
      </w:r>
      <w:r w:rsidRPr="0054089F">
        <w:t xml:space="preserve"> 'disagree'), or a single positive response with 2 very negative responses (</w:t>
      </w:r>
      <w:r>
        <w:t xml:space="preserve">that is, </w:t>
      </w:r>
      <w:r w:rsidRPr="0054089F">
        <w:t>4 ='agree' plus, 2 scores of 1 = 'very much disagree'</w:t>
      </w:r>
      <w:r>
        <w:t>)</w:t>
      </w:r>
      <w:r w:rsidRPr="0054089F">
        <w:t>. This does not support a meaningful benefit in the majority of patients. The mean score cannot be used as the responses are not normally distributed. A score &gt;9 can only be achieved if the subject indicates a positive statement for each of the three variables (</w:t>
      </w:r>
      <w:r>
        <w:t>that is,</w:t>
      </w:r>
      <w:r w:rsidRPr="0054089F">
        <w:t xml:space="preserve"> not "very much disagree", "disagree' or "neutral") about attractiveness, confidence and/or professionalism. Across t</w:t>
      </w:r>
      <w:r>
        <w:t xml:space="preserve">he combined idiopathic and post </w:t>
      </w:r>
      <w:r w:rsidRPr="0054089F">
        <w:t>chemotherapy populations, after 4 months of treatment 12.4% in the treatment arm had a score &gt;9, compared with 4.4% in the control group</w:t>
      </w:r>
      <w:r>
        <w:t>, that is,</w:t>
      </w:r>
      <w:r w:rsidRPr="0054089F">
        <w:t xml:space="preserve"> 8% reported an improvement with treatment that could potentially be attributed to </w:t>
      </w:r>
      <w:proofErr w:type="spellStart"/>
      <w:r w:rsidRPr="0054089F">
        <w:t>bimatoprost</w:t>
      </w:r>
      <w:proofErr w:type="spellEnd"/>
      <w:r w:rsidRPr="0054089F">
        <w:t xml:space="preserve">. This indicates that 87.6% of patients did not rate the outcome in a positive light, and also suggests that the </w:t>
      </w:r>
      <w:r>
        <w:t>≥</w:t>
      </w:r>
      <w:r w:rsidRPr="0054089F">
        <w:t>3 improvement specified in the protocol was not sufficiently stringent to detect a positive outcome.</w:t>
      </w:r>
    </w:p>
    <w:p w:rsidR="0059719E" w:rsidRPr="00EF647F" w:rsidRDefault="0059719E" w:rsidP="0059719E">
      <w:pPr>
        <w:pStyle w:val="Heading4"/>
      </w:pPr>
      <w:r w:rsidRPr="00EF647F">
        <w:lastRenderedPageBreak/>
        <w:t>Conclusion</w:t>
      </w:r>
    </w:p>
    <w:p w:rsidR="0059719E" w:rsidRPr="00566DA1" w:rsidRDefault="0059719E" w:rsidP="0059719E">
      <w:r w:rsidRPr="00566DA1">
        <w:t xml:space="preserve">For the reasons referred to above, the Delegate </w:t>
      </w:r>
      <w:r>
        <w:t>of the Minister for the review</w:t>
      </w:r>
      <w:r w:rsidRPr="00566DA1">
        <w:t xml:space="preserve"> had significant concerns about the safety profile of </w:t>
      </w:r>
      <w:proofErr w:type="spellStart"/>
      <w:r w:rsidRPr="00566DA1">
        <w:t>bimatoprost</w:t>
      </w:r>
      <w:proofErr w:type="spellEnd"/>
      <w:r w:rsidRPr="00566DA1">
        <w:t xml:space="preserve"> 0.03% with the proposed usage, and the Delegate </w:t>
      </w:r>
      <w:r>
        <w:t>of the Minister for the review</w:t>
      </w:r>
      <w:r w:rsidRPr="00566DA1">
        <w:t xml:space="preserve"> was also of the view that efficacy has not been satisfactorily established. Therefore, the Delegate</w:t>
      </w:r>
      <w:r>
        <w:t xml:space="preserve"> of the Minister for the review</w:t>
      </w:r>
      <w:r w:rsidRPr="00566DA1">
        <w:t xml:space="preserve"> decided to confirm the decision not to approve the use of </w:t>
      </w:r>
      <w:proofErr w:type="spellStart"/>
      <w:r w:rsidRPr="00566DA1">
        <w:t>bimatoprost</w:t>
      </w:r>
      <w:proofErr w:type="spellEnd"/>
      <w:r w:rsidRPr="00566DA1">
        <w:t xml:space="preserve"> for the proposed indication: </w:t>
      </w:r>
      <w:r w:rsidRPr="00566DA1">
        <w:rPr>
          <w:i/>
        </w:rPr>
        <w:t xml:space="preserve">to treat </w:t>
      </w:r>
      <w:proofErr w:type="spellStart"/>
      <w:r w:rsidRPr="00566DA1">
        <w:rPr>
          <w:i/>
        </w:rPr>
        <w:t>hypotrichosis</w:t>
      </w:r>
      <w:proofErr w:type="spellEnd"/>
      <w:r w:rsidRPr="00566DA1">
        <w:rPr>
          <w:i/>
        </w:rPr>
        <w:t xml:space="preserve"> of the eyelashes by increasing their growth including length, thickness and darkness</w:t>
      </w:r>
      <w:r w:rsidRPr="00566DA1">
        <w:t>.</w:t>
      </w:r>
    </w:p>
    <w:p w:rsidR="0059719E" w:rsidRPr="00D23139" w:rsidRDefault="0059719E" w:rsidP="0059719E">
      <w:pPr>
        <w:pStyle w:val="Heading4"/>
      </w:pPr>
      <w:r w:rsidRPr="00D23139">
        <w:t>Final outcome</w:t>
      </w:r>
    </w:p>
    <w:p w:rsidR="0059719E" w:rsidRDefault="0059719E" w:rsidP="0059719E">
      <w:r>
        <w:t>The Delegate</w:t>
      </w:r>
      <w:r w:rsidRPr="00EF647F">
        <w:t xml:space="preserve"> </w:t>
      </w:r>
      <w:r>
        <w:t>of the Minister for the review</w:t>
      </w:r>
      <w:r w:rsidRPr="00EF647F">
        <w:t xml:space="preserve"> decided to confirm the initial decision not to approve the registration</w:t>
      </w:r>
      <w:r>
        <w:t xml:space="preserve"> </w:t>
      </w:r>
      <w:r w:rsidRPr="00EF647F">
        <w:t xml:space="preserve">of </w:t>
      </w:r>
      <w:proofErr w:type="spellStart"/>
      <w:r w:rsidRPr="00EF647F">
        <w:t>Latisse</w:t>
      </w:r>
      <w:proofErr w:type="spellEnd"/>
      <w:r w:rsidRPr="00EF647F">
        <w:t xml:space="preserve"> topical solution (</w:t>
      </w:r>
      <w:proofErr w:type="spellStart"/>
      <w:r w:rsidRPr="00EF647F">
        <w:t>bimatoprost</w:t>
      </w:r>
      <w:proofErr w:type="spellEnd"/>
      <w:r w:rsidRPr="00EF647F">
        <w:t xml:space="preserve"> 0.03%) because </w:t>
      </w:r>
      <w:r>
        <w:t>the Delegate was</w:t>
      </w:r>
      <w:r w:rsidRPr="00EF647F">
        <w:t xml:space="preserve"> </w:t>
      </w:r>
      <w:r>
        <w:t xml:space="preserve">of </w:t>
      </w:r>
      <w:r w:rsidRPr="00EF647F">
        <w:t xml:space="preserve">the view that neither the safety nor the efficacy of </w:t>
      </w:r>
      <w:proofErr w:type="spellStart"/>
      <w:r w:rsidRPr="00EF647F">
        <w:t>Latisse</w:t>
      </w:r>
      <w:proofErr w:type="spellEnd"/>
      <w:r w:rsidRPr="00EF647F">
        <w:t xml:space="preserve"> for the purposes for which it is to be used has been satisfactorily established.</w:t>
      </w:r>
    </w:p>
    <w:p w:rsidR="009667D7" w:rsidRDefault="0059719E" w:rsidP="009667D7">
      <w:r w:rsidRPr="00DD585F">
        <w:t xml:space="preserve">Subject to the Administrative Appeals Tribunal Act 1975, the sponsor appealed </w:t>
      </w:r>
      <w:r>
        <w:t xml:space="preserve">on the 30 April 2013 </w:t>
      </w:r>
      <w:r w:rsidRPr="00DD585F">
        <w:t>to the Tribunal for review of the Minister’s decision.</w:t>
      </w:r>
      <w:r>
        <w:t xml:space="preserve"> </w:t>
      </w:r>
    </w:p>
    <w:p w:rsidR="009667D7" w:rsidRDefault="009667D7" w:rsidP="009667D7">
      <w:r>
        <w:t xml:space="preserve">The TGA and the sponsor reached an agreement about the registration of </w:t>
      </w:r>
      <w:proofErr w:type="spellStart"/>
      <w:r>
        <w:t>Latisse</w:t>
      </w:r>
      <w:proofErr w:type="spellEnd"/>
      <w:r>
        <w:t xml:space="preserve"> topical solution (</w:t>
      </w:r>
      <w:proofErr w:type="spellStart"/>
      <w:r>
        <w:t>bimatoprost</w:t>
      </w:r>
      <w:proofErr w:type="spellEnd"/>
      <w:r>
        <w:t xml:space="preserve"> 0.03%) (</w:t>
      </w:r>
      <w:proofErr w:type="spellStart"/>
      <w:r>
        <w:t>Latisse</w:t>
      </w:r>
      <w:proofErr w:type="spellEnd"/>
      <w:r>
        <w:t xml:space="preserve">) with regards to (inter alia) the risk management plan (including routine pharmacovigilance), consumer medicines information and educational material to be distributed to prescribers and dispensers and the Administrative Appeals Tribunal made a decision in accordance with this agreement. On 6 October 2015,  the Tribunal set aside the decision not to register </w:t>
      </w:r>
      <w:proofErr w:type="spellStart"/>
      <w:r>
        <w:t>Latisse</w:t>
      </w:r>
      <w:proofErr w:type="spellEnd"/>
      <w:r>
        <w:t xml:space="preserve"> and substituted a decision to approve the registration of </w:t>
      </w:r>
      <w:proofErr w:type="spellStart"/>
      <w:r>
        <w:t>Latisse</w:t>
      </w:r>
      <w:proofErr w:type="spellEnd"/>
      <w:r>
        <w:t xml:space="preserve"> under subsection 25(3) of the Therapeutic Goods Act 1989 for the following indication: </w:t>
      </w:r>
    </w:p>
    <w:p w:rsidR="009667D7" w:rsidRDefault="009667D7" w:rsidP="00BC307B">
      <w:pPr>
        <w:ind w:left="720"/>
      </w:pPr>
      <w:r w:rsidRPr="00BC307B">
        <w:rPr>
          <w:i/>
        </w:rPr>
        <w:t>‘</w:t>
      </w:r>
      <w:proofErr w:type="spellStart"/>
      <w:r w:rsidRPr="00BC307B">
        <w:rPr>
          <w:i/>
        </w:rPr>
        <w:t>Latisse</w:t>
      </w:r>
      <w:proofErr w:type="spellEnd"/>
      <w:r w:rsidRPr="00BC307B">
        <w:rPr>
          <w:i/>
        </w:rPr>
        <w:t xml:space="preserve"> is indicated to treat </w:t>
      </w:r>
      <w:proofErr w:type="spellStart"/>
      <w:r w:rsidRPr="00BC307B">
        <w:rPr>
          <w:i/>
        </w:rPr>
        <w:t>hypotrichosis</w:t>
      </w:r>
      <w:proofErr w:type="spellEnd"/>
      <w:r w:rsidRPr="00BC307B">
        <w:rPr>
          <w:i/>
        </w:rPr>
        <w:t xml:space="preserve"> of the eye lashes in adults by increasing their growth including, but not necessarily all of, length, thickness and darkness.</w:t>
      </w:r>
      <w:r>
        <w:t>’</w:t>
      </w:r>
    </w:p>
    <w:p w:rsidR="0059719E" w:rsidRDefault="009667D7" w:rsidP="00BC307B">
      <w:pPr>
        <w:ind w:left="720"/>
      </w:pPr>
      <w:r w:rsidRPr="00BC307B">
        <w:rPr>
          <w:i/>
        </w:rPr>
        <w:t xml:space="preserve">Note: There are currently no safety and efficacy data for </w:t>
      </w:r>
      <w:proofErr w:type="spellStart"/>
      <w:r w:rsidRPr="00BC307B">
        <w:rPr>
          <w:i/>
        </w:rPr>
        <w:t>Latisse</w:t>
      </w:r>
      <w:proofErr w:type="spellEnd"/>
      <w:r w:rsidRPr="00BC307B">
        <w:rPr>
          <w:i/>
        </w:rPr>
        <w:t xml:space="preserve"> beyond 12 months from randomised clinical trials.  </w:t>
      </w:r>
      <w:proofErr w:type="spellStart"/>
      <w:r w:rsidRPr="00BC307B">
        <w:rPr>
          <w:i/>
        </w:rPr>
        <w:t>Latisse</w:t>
      </w:r>
      <w:proofErr w:type="spellEnd"/>
      <w:r w:rsidRPr="00BC307B">
        <w:rPr>
          <w:i/>
        </w:rPr>
        <w:t xml:space="preserve"> should not be used beyond 12 months.</w:t>
      </w:r>
    </w:p>
    <w:p w:rsidR="004A0FA3" w:rsidRDefault="004A0FA3">
      <w:proofErr w:type="spellStart"/>
      <w:r>
        <w:t>Latisse</w:t>
      </w:r>
      <w:proofErr w:type="spellEnd"/>
      <w:r>
        <w:t xml:space="preserve"> was entered on the ARTG on the 14 July 2016. </w:t>
      </w:r>
    </w:p>
    <w:p w:rsidR="00236109" w:rsidRDefault="004A0FA3">
      <w:r>
        <w:t>The following Specific cond</w:t>
      </w:r>
      <w:r w:rsidR="00B07193">
        <w:t>itions of registration</w:t>
      </w:r>
      <w:r>
        <w:t xml:space="preserve"> apply to these goods:</w:t>
      </w:r>
    </w:p>
    <w:p w:rsidR="00236109" w:rsidRDefault="00236109" w:rsidP="00BC307B">
      <w:pPr>
        <w:pStyle w:val="Numberbullet0"/>
        <w:numPr>
          <w:ilvl w:val="0"/>
          <w:numId w:val="43"/>
        </w:numPr>
      </w:pPr>
      <w:r>
        <w:t xml:space="preserve">The </w:t>
      </w:r>
      <w:proofErr w:type="spellStart"/>
      <w:r>
        <w:t>Latisse</w:t>
      </w:r>
      <w:proofErr w:type="spellEnd"/>
      <w:r>
        <w:t xml:space="preserve"> </w:t>
      </w:r>
      <w:proofErr w:type="spellStart"/>
      <w:r>
        <w:t>bimatoprost</w:t>
      </w:r>
      <w:proofErr w:type="spellEnd"/>
      <w:r>
        <w:t xml:space="preserve"> EU Risk Management Plan (RMP), version 1.3, dated 29 May 2012 (data lock point 31 December 2011) with Australian Specific Annex dated July 2016, and any subsequent revisions, as agreed with the TGA will be implemented in Australia.</w:t>
      </w:r>
    </w:p>
    <w:p w:rsidR="00236109" w:rsidRDefault="00236109" w:rsidP="00BC307B">
      <w:pPr>
        <w:pStyle w:val="Numberbullet0"/>
      </w:pPr>
      <w:r>
        <w:t>The following specific conditions also apply to this therapeutic good.</w:t>
      </w:r>
    </w:p>
    <w:p w:rsidR="00236109" w:rsidRDefault="00236109" w:rsidP="00BC307B">
      <w:pPr>
        <w:pStyle w:val="Numberbullet2"/>
      </w:pPr>
      <w:r>
        <w:t>The Consumer Medicines Information must be included inside every pack of the product;</w:t>
      </w:r>
    </w:p>
    <w:p w:rsidR="00236109" w:rsidRDefault="00236109" w:rsidP="00BC307B">
      <w:pPr>
        <w:pStyle w:val="Numberbullet2"/>
      </w:pPr>
      <w:r>
        <w:t xml:space="preserve">The Consumer Medicines Information must include, at the top of the page, relevant text addressing the safety concerns associated with </w:t>
      </w:r>
      <w:proofErr w:type="spellStart"/>
      <w:r>
        <w:t>Latisse</w:t>
      </w:r>
      <w:proofErr w:type="spellEnd"/>
      <w:r>
        <w:t>;</w:t>
      </w:r>
    </w:p>
    <w:p w:rsidR="00236109" w:rsidRDefault="00236109" w:rsidP="00BC307B">
      <w:pPr>
        <w:pStyle w:val="Numberbullet2"/>
        <w:rPr>
          <w:rFonts w:ascii="Cambria-Italic" w:hAnsi="Cambria-Italic" w:cs="Cambria-Italic"/>
          <w:i/>
          <w:iCs/>
        </w:rPr>
      </w:pPr>
      <w:r>
        <w:t xml:space="preserve">The following statement must be printed on the pack of the product </w:t>
      </w:r>
      <w:r>
        <w:rPr>
          <w:rFonts w:ascii="Cambria-Italic" w:hAnsi="Cambria-Italic" w:cs="Cambria-Italic"/>
          <w:i/>
          <w:iCs/>
        </w:rPr>
        <w:t>The Consumer Medicine Information must be provided to the patient</w:t>
      </w:r>
    </w:p>
    <w:p w:rsidR="00236109" w:rsidRDefault="00236109" w:rsidP="00BC307B">
      <w:pPr>
        <w:pStyle w:val="Numberbullet2"/>
      </w:pPr>
      <w:r>
        <w:t>You must comply with sections 1 to 3 and 13 of the Medicines Australia Code of Conduct as updated from time to time; and</w:t>
      </w:r>
    </w:p>
    <w:p w:rsidR="00236109" w:rsidRDefault="00236109" w:rsidP="00BC307B">
      <w:pPr>
        <w:pStyle w:val="Numberbullet2"/>
      </w:pPr>
      <w:r>
        <w:t xml:space="preserve">You must not supply </w:t>
      </w:r>
      <w:proofErr w:type="spellStart"/>
      <w:r>
        <w:t>Latisse</w:t>
      </w:r>
      <w:proofErr w:type="spellEnd"/>
      <w:r>
        <w:t xml:space="preserve"> to any persons identified by you or the Therapeutic Goods Administration, Department of Health as persisting in advertising the availability of the product after those persons have been alerted to the restriction in advertising of </w:t>
      </w:r>
      <w:proofErr w:type="spellStart"/>
      <w:r>
        <w:t>Latisse</w:t>
      </w:r>
      <w:proofErr w:type="spellEnd"/>
      <w:r w:rsidR="00A80A55">
        <w:t>.</w:t>
      </w:r>
    </w:p>
    <w:p w:rsidR="00A80A55" w:rsidRDefault="00A80A55">
      <w:r w:rsidRPr="00A80A55">
        <w:lastRenderedPageBreak/>
        <w:t xml:space="preserve">The sponsor has since decided to take this product off the ARTG (entry cancelled 22 August 2017) and </w:t>
      </w:r>
      <w:proofErr w:type="spellStart"/>
      <w:r w:rsidRPr="00A80A55">
        <w:t>Latisse</w:t>
      </w:r>
      <w:proofErr w:type="spellEnd"/>
      <w:r w:rsidRPr="00A80A55">
        <w:t xml:space="preserve"> </w:t>
      </w:r>
      <w:r>
        <w:t>(</w:t>
      </w:r>
      <w:proofErr w:type="spellStart"/>
      <w:r>
        <w:t>bimatoprost</w:t>
      </w:r>
      <w:proofErr w:type="spellEnd"/>
      <w:r>
        <w:t xml:space="preserve">) </w:t>
      </w:r>
      <w:r w:rsidRPr="00A80A55">
        <w:t>is no longer registered in Australia.</w:t>
      </w:r>
    </w:p>
    <w:p w:rsidR="001C32CD" w:rsidRDefault="00AE1C67" w:rsidP="0059719E">
      <w:pPr>
        <w:pStyle w:val="Heading2"/>
        <w:rPr>
          <w:lang w:eastAsia="ja-JP"/>
        </w:rPr>
      </w:pPr>
      <w:bookmarkStart w:id="225" w:name="_Toc388514006"/>
      <w:bookmarkStart w:id="226" w:name="_Toc55464747"/>
      <w:bookmarkEnd w:id="223"/>
      <w:bookmarkEnd w:id="224"/>
      <w:r>
        <w:rPr>
          <w:lang w:eastAsia="en-AU"/>
        </w:rPr>
        <w:t xml:space="preserve">Attachment </w:t>
      </w:r>
      <w:r w:rsidR="00431C05">
        <w:rPr>
          <w:lang w:eastAsia="en-AU"/>
        </w:rPr>
        <w:t>1</w:t>
      </w:r>
      <w:r>
        <w:rPr>
          <w:lang w:eastAsia="en-AU"/>
        </w:rPr>
        <w:t xml:space="preserve">. </w:t>
      </w:r>
      <w:r w:rsidR="0059719E">
        <w:rPr>
          <w:lang w:eastAsia="en-AU"/>
        </w:rPr>
        <w:t>Extract from the Clinical Evaluation Report</w:t>
      </w:r>
      <w:bookmarkEnd w:id="225"/>
      <w:bookmarkEnd w:id="226"/>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34"/>
          <w:headerReference w:type="default" r:id="rId35"/>
          <w:headerReference w:type="first" r:id="rId36"/>
          <w:footerReference w:type="first" r:id="rId3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9B4203">
        <w:trPr>
          <w:trHeight w:hRule="exact" w:val="704"/>
        </w:trPr>
        <w:tc>
          <w:tcPr>
            <w:tcW w:w="9175" w:type="dxa"/>
          </w:tcPr>
          <w:p w:rsidR="001C32CD" w:rsidRPr="00487162" w:rsidRDefault="001C32CD" w:rsidP="009B4203">
            <w:pPr>
              <w:pStyle w:val="TGASignoff"/>
            </w:pPr>
            <w:r w:rsidRPr="00487162">
              <w:lastRenderedPageBreak/>
              <w:t>Therapeutic Goods Administration</w:t>
            </w:r>
          </w:p>
        </w:tc>
      </w:tr>
      <w:tr w:rsidR="001C32CD" w:rsidRPr="004C239D" w:rsidTr="009B4203">
        <w:trPr>
          <w:trHeight w:val="1221"/>
        </w:trPr>
        <w:tc>
          <w:tcPr>
            <w:tcW w:w="9175" w:type="dxa"/>
            <w:tcMar>
              <w:top w:w="28" w:type="dxa"/>
            </w:tcMar>
          </w:tcPr>
          <w:p w:rsidR="001C32CD" w:rsidRPr="00487162" w:rsidRDefault="001C32CD" w:rsidP="009B4203">
            <w:pPr>
              <w:pStyle w:val="Address"/>
            </w:pPr>
            <w:r w:rsidRPr="00487162">
              <w:t>PO Box 100 Woden ACT 2606 Australia</w:t>
            </w:r>
          </w:p>
          <w:p w:rsidR="001C32CD" w:rsidRPr="00487162" w:rsidRDefault="001C32CD" w:rsidP="009B4203">
            <w:pPr>
              <w:pStyle w:val="Address"/>
            </w:pPr>
            <w:r w:rsidRPr="00487162">
              <w:t xml:space="preserve">Email: </w:t>
            </w:r>
            <w:hyperlink r:id="rId38" w:history="1">
              <w:r w:rsidRPr="004C239D">
                <w:rPr>
                  <w:rStyle w:val="Hyperlink"/>
                </w:rPr>
                <w:t>info@tga.gov.au</w:t>
              </w:r>
            </w:hyperlink>
            <w:r w:rsidR="00D81834">
              <w:t xml:space="preserve"> </w:t>
            </w:r>
            <w:r w:rsidRPr="00487162">
              <w:t>Phone: 1800 020 653</w:t>
            </w:r>
            <w:r w:rsidR="00D81834">
              <w:t xml:space="preserve"> </w:t>
            </w:r>
            <w:r w:rsidRPr="00487162">
              <w:t>Fax: 02 6232 8605</w:t>
            </w:r>
          </w:p>
          <w:p w:rsidR="001C32CD" w:rsidRPr="004C239D" w:rsidRDefault="00275A7D" w:rsidP="009B4203">
            <w:pPr>
              <w:pStyle w:val="Address"/>
              <w:spacing w:line="260" w:lineRule="atLeast"/>
              <w:rPr>
                <w:b/>
                <w:color w:val="0000FF"/>
                <w:u w:val="single"/>
              </w:rPr>
            </w:pPr>
            <w:hyperlink r:id="rId39" w:history="1">
              <w:r w:rsidR="001C32CD" w:rsidRPr="00607888">
                <w:rPr>
                  <w:rStyle w:val="Hyperlink"/>
                  <w:b/>
                </w:rPr>
                <w:t>http://www.tga.gov.au</w:t>
              </w:r>
            </w:hyperlink>
          </w:p>
        </w:tc>
      </w:tr>
    </w:tbl>
    <w:p w:rsidR="00774E1D" w:rsidRPr="008A5E0B" w:rsidRDefault="00774E1D" w:rsidP="008C63AE"/>
    <w:sectPr w:rsidR="00774E1D" w:rsidRPr="008A5E0B"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A7D" w:rsidRDefault="00275A7D" w:rsidP="00C40A36">
      <w:pPr>
        <w:spacing w:after="0"/>
      </w:pPr>
      <w:r>
        <w:separator/>
      </w:r>
    </w:p>
  </w:endnote>
  <w:endnote w:type="continuationSeparator" w:id="0">
    <w:p w:rsidR="00275A7D" w:rsidRDefault="00275A7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ZBSJYN+TimesNewRoman">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Italic">
    <w:panose1 w:val="00000000000000000000"/>
    <w:charset w:val="00"/>
    <w:family w:val="roman"/>
    <w:notTrueType/>
    <w:pitch w:val="default"/>
    <w:sig w:usb0="00000003" w:usb1="00000000" w:usb2="00000000" w:usb3="00000000" w:csb0="00000001" w:csb1="00000000"/>
  </w:font>
  <w:font w:name="Cambria-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75A7D" w:rsidRPr="00487162" w:rsidTr="00DB750B">
      <w:trPr>
        <w:trHeight w:val="269"/>
      </w:trPr>
      <w:tc>
        <w:tcPr>
          <w:tcW w:w="7371" w:type="dxa"/>
          <w:tcMar>
            <w:top w:w="142" w:type="dxa"/>
            <w:bottom w:w="0" w:type="dxa"/>
          </w:tcMar>
        </w:tcPr>
        <w:p w:rsidR="00275A7D" w:rsidRPr="00487162" w:rsidRDefault="00275A7D" w:rsidP="00D81834">
          <w:pPr>
            <w:pStyle w:val="Footer"/>
          </w:pPr>
          <w:r w:rsidRPr="00487162">
            <w:t xml:space="preserve">AusPAR </w:t>
          </w:r>
          <w:proofErr w:type="spellStart"/>
          <w:r>
            <w:t>Latisse</w:t>
          </w:r>
          <w:proofErr w:type="spellEnd"/>
          <w:r>
            <w:t xml:space="preserve"> </w:t>
          </w:r>
          <w:proofErr w:type="spellStart"/>
          <w:r>
            <w:t>Bimatoprost</w:t>
          </w:r>
          <w:proofErr w:type="spellEnd"/>
          <w:r>
            <w:t xml:space="preserve"> Allergan Australia Pty Ltd</w:t>
          </w:r>
          <w:r w:rsidRPr="00487162">
            <w:t xml:space="preserve"> PM-20</w:t>
          </w:r>
          <w:r>
            <w:t>12</w:t>
          </w:r>
          <w:r w:rsidRPr="00487162">
            <w:t>-</w:t>
          </w:r>
          <w:r>
            <w:t>02668</w:t>
          </w:r>
          <w:r w:rsidRPr="00487162">
            <w:t>-</w:t>
          </w:r>
          <w:r>
            <w:t>3-5</w:t>
          </w:r>
          <w:r>
            <w:br/>
            <w:t>Final 18 June 2014 Updated August 2017</w:t>
          </w:r>
        </w:p>
      </w:tc>
      <w:tc>
        <w:tcPr>
          <w:tcW w:w="1490" w:type="dxa"/>
          <w:tcMar>
            <w:top w:w="142" w:type="dxa"/>
            <w:bottom w:w="0" w:type="dxa"/>
          </w:tcMar>
        </w:tcPr>
        <w:p w:rsidR="00275A7D" w:rsidRPr="00487162" w:rsidRDefault="00275A7D" w:rsidP="00DB750B">
          <w:pPr>
            <w:pStyle w:val="Footer"/>
            <w:jc w:val="right"/>
          </w:pPr>
          <w:r w:rsidRPr="00487162">
            <w:t xml:space="preserve">Page </w:t>
          </w:r>
          <w:r>
            <w:fldChar w:fldCharType="begin"/>
          </w:r>
          <w:r>
            <w:instrText xml:space="preserve"> PAGE  \* Arabic </w:instrText>
          </w:r>
          <w:r>
            <w:fldChar w:fldCharType="separate"/>
          </w:r>
          <w:r w:rsidR="001A3D87">
            <w:rPr>
              <w:noProof/>
            </w:rPr>
            <w:t>21</w:t>
          </w:r>
          <w:r>
            <w:fldChar w:fldCharType="end"/>
          </w:r>
          <w:r w:rsidRPr="00487162">
            <w:t xml:space="preserve"> of </w:t>
          </w:r>
          <w:r>
            <w:fldChar w:fldCharType="begin"/>
          </w:r>
          <w:r>
            <w:instrText xml:space="preserve"> NUMPAGES  \* Arabic </w:instrText>
          </w:r>
          <w:r>
            <w:fldChar w:fldCharType="separate"/>
          </w:r>
          <w:r w:rsidR="001A3D87">
            <w:rPr>
              <w:noProof/>
            </w:rPr>
            <w:t>65</w:t>
          </w:r>
          <w:r>
            <w:rPr>
              <w:noProof/>
            </w:rPr>
            <w:fldChar w:fldCharType="end"/>
          </w:r>
        </w:p>
      </w:tc>
    </w:tr>
  </w:tbl>
  <w:p w:rsidR="00275A7D" w:rsidRDefault="00275A7D"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75A7D" w:rsidRPr="00487162" w:rsidTr="00E45619">
      <w:trPr>
        <w:trHeight w:val="269"/>
      </w:trPr>
      <w:tc>
        <w:tcPr>
          <w:tcW w:w="4519" w:type="dxa"/>
          <w:tcBorders>
            <w:top w:val="single" w:sz="4" w:space="0" w:color="auto"/>
          </w:tcBorders>
          <w:tcMar>
            <w:top w:w="142" w:type="dxa"/>
            <w:bottom w:w="0" w:type="dxa"/>
          </w:tcMar>
        </w:tcPr>
        <w:p w:rsidR="00275A7D" w:rsidRPr="00487162" w:rsidRDefault="00275A7D" w:rsidP="00FE1DEE">
          <w:pPr>
            <w:pStyle w:val="Footer"/>
          </w:pPr>
          <w:r w:rsidRPr="00487162">
            <w:t>Document title, Part #, Section # - Section title</w:t>
          </w:r>
        </w:p>
        <w:p w:rsidR="00275A7D" w:rsidRPr="00487162" w:rsidRDefault="00275A7D" w:rsidP="00FE1DEE">
          <w:pPr>
            <w:pStyle w:val="Footer"/>
          </w:pPr>
          <w:r w:rsidRPr="00487162">
            <w:t>V1.0 October 2010</w:t>
          </w:r>
        </w:p>
      </w:tc>
      <w:tc>
        <w:tcPr>
          <w:tcW w:w="4342" w:type="dxa"/>
          <w:tcBorders>
            <w:top w:val="single" w:sz="4" w:space="0" w:color="auto"/>
          </w:tcBorders>
          <w:tcMar>
            <w:top w:w="142" w:type="dxa"/>
            <w:bottom w:w="0" w:type="dxa"/>
          </w:tcMar>
        </w:tcPr>
        <w:p w:rsidR="00275A7D" w:rsidRPr="00487162" w:rsidRDefault="00275A7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64</w:t>
          </w:r>
          <w:r>
            <w:rPr>
              <w:noProof/>
            </w:rPr>
            <w:fldChar w:fldCharType="end"/>
          </w:r>
        </w:p>
      </w:tc>
    </w:tr>
  </w:tbl>
  <w:p w:rsidR="00275A7D" w:rsidRDefault="00275A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A7D" w:rsidRPr="001C32CD" w:rsidRDefault="00275A7D"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75A7D" w:rsidTr="0010601F">
      <w:trPr>
        <w:trHeight w:val="108"/>
      </w:trPr>
      <w:tc>
        <w:tcPr>
          <w:tcW w:w="8875" w:type="dxa"/>
          <w:gridSpan w:val="2"/>
          <w:tcBorders>
            <w:bottom w:val="single" w:sz="4" w:space="0" w:color="auto"/>
          </w:tcBorders>
          <w:tcMar>
            <w:right w:w="284" w:type="dxa"/>
          </w:tcMar>
        </w:tcPr>
        <w:p w:rsidR="00275A7D" w:rsidRDefault="00275A7D" w:rsidP="006E08B3">
          <w:pPr>
            <w:pStyle w:val="Heading3"/>
          </w:pPr>
          <w:r>
            <w:t>Copyright</w:t>
          </w:r>
        </w:p>
        <w:p w:rsidR="00275A7D" w:rsidRDefault="00275A7D" w:rsidP="006E08B3">
          <w:r>
            <w:rPr>
              <w:rFonts w:cs="Arial"/>
            </w:rPr>
            <w:t>©</w:t>
          </w:r>
          <w:r>
            <w:t xml:space="preserve"> Commonwealth of Australia [add year]</w:t>
          </w:r>
        </w:p>
        <w:p w:rsidR="00275A7D" w:rsidRDefault="00275A7D" w:rsidP="006E08B3"/>
        <w:p w:rsidR="00275A7D" w:rsidRDefault="00275A7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75A7D" w:rsidRDefault="00275A7D" w:rsidP="006E08B3"/>
        <w:p w:rsidR="00275A7D" w:rsidRDefault="00275A7D" w:rsidP="006E08B3">
          <w:pPr>
            <w:pStyle w:val="Heading3"/>
          </w:pPr>
          <w:r>
            <w:t>Confidentiality</w:t>
          </w:r>
        </w:p>
        <w:p w:rsidR="00275A7D" w:rsidRDefault="00275A7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75A7D" w:rsidRDefault="00275A7D" w:rsidP="006E08B3"/>
        <w:p w:rsidR="00275A7D" w:rsidRDefault="00275A7D" w:rsidP="006E08B3">
          <w:r>
            <w:t>For submission made by individuals, all personal details, other than your name, will be removed from your submission before it is published on the TGA’s Internet site.</w:t>
          </w:r>
        </w:p>
        <w:p w:rsidR="00275A7D" w:rsidRDefault="00275A7D" w:rsidP="006E08B3"/>
        <w:p w:rsidR="00275A7D" w:rsidRDefault="00275A7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75A7D" w:rsidTr="0010601F">
      <w:trPr>
        <w:trHeight w:val="417"/>
      </w:trPr>
      <w:tc>
        <w:tcPr>
          <w:tcW w:w="4519" w:type="dxa"/>
          <w:tcBorders>
            <w:top w:val="single" w:sz="4" w:space="0" w:color="auto"/>
          </w:tcBorders>
          <w:tcMar>
            <w:top w:w="142" w:type="dxa"/>
            <w:bottom w:w="0" w:type="dxa"/>
          </w:tcMar>
        </w:tcPr>
        <w:p w:rsidR="00275A7D" w:rsidRDefault="00275A7D" w:rsidP="006E08B3">
          <w:r>
            <w:t>Document title, Part #, Section # - Section title</w:t>
          </w:r>
        </w:p>
        <w:p w:rsidR="00275A7D" w:rsidRDefault="00275A7D" w:rsidP="006E08B3">
          <w:r>
            <w:t>V1.0 October 2010</w:t>
          </w:r>
        </w:p>
      </w:tc>
      <w:tc>
        <w:tcPr>
          <w:tcW w:w="4356" w:type="dxa"/>
          <w:tcBorders>
            <w:top w:val="single" w:sz="4" w:space="0" w:color="auto"/>
          </w:tcBorders>
          <w:tcMar>
            <w:top w:w="142" w:type="dxa"/>
            <w:bottom w:w="0" w:type="dxa"/>
          </w:tcMar>
        </w:tcPr>
        <w:p w:rsidR="00275A7D" w:rsidRDefault="00275A7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64</w:t>
          </w:r>
          <w:r>
            <w:rPr>
              <w:noProof/>
            </w:rPr>
            <w:fldChar w:fldCharType="end"/>
          </w:r>
          <w:r>
            <w:t xml:space="preserve"> </w:t>
          </w:r>
        </w:p>
      </w:tc>
    </w:tr>
  </w:tbl>
  <w:p w:rsidR="00275A7D" w:rsidRDefault="00275A7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A7D" w:rsidRDefault="00275A7D" w:rsidP="00C40A36">
      <w:pPr>
        <w:spacing w:after="0"/>
      </w:pPr>
      <w:r>
        <w:separator/>
      </w:r>
    </w:p>
  </w:footnote>
  <w:footnote w:type="continuationSeparator" w:id="0">
    <w:p w:rsidR="00275A7D" w:rsidRDefault="00275A7D" w:rsidP="00C40A36">
      <w:pPr>
        <w:spacing w:after="0"/>
      </w:pPr>
      <w:r>
        <w:continuationSeparator/>
      </w:r>
    </w:p>
  </w:footnote>
  <w:footnote w:id="1">
    <w:p w:rsidR="00275A7D" w:rsidRDefault="00275A7D" w:rsidP="00275A7D">
      <w:pPr>
        <w:pStyle w:val="FootnoteText"/>
      </w:pPr>
      <w:r>
        <w:rPr>
          <w:rStyle w:val="FootnoteReference"/>
        </w:rPr>
        <w:footnoteRef/>
      </w:r>
      <w:r>
        <w:t xml:space="preserve"> On the 30 April 2014 t</w:t>
      </w:r>
      <w:r w:rsidRPr="0037026F">
        <w:t xml:space="preserve">he sponsor appealed to the Administrative Appeals Tribunal for review of the </w:t>
      </w:r>
      <w:r>
        <w:t xml:space="preserve">TGA’s </w:t>
      </w:r>
      <w:r w:rsidRPr="0037026F">
        <w:t>decision not to register</w:t>
      </w:r>
      <w:r>
        <w:t xml:space="preserve"> </w:t>
      </w:r>
      <w:proofErr w:type="spellStart"/>
      <w:r>
        <w:t>Latisse</w:t>
      </w:r>
      <w:proofErr w:type="spellEnd"/>
      <w:r>
        <w:t xml:space="preserve">. </w:t>
      </w:r>
      <w:r w:rsidRPr="00AE1C67">
        <w:t xml:space="preserve"> On 6 October 2015, the Tribunal set aside the decision not to register </w:t>
      </w:r>
      <w:proofErr w:type="spellStart"/>
      <w:r w:rsidRPr="00AE1C67">
        <w:t>Latisse</w:t>
      </w:r>
      <w:proofErr w:type="spellEnd"/>
      <w:r w:rsidRPr="00AE1C67">
        <w:t xml:space="preserve"> and substituted a decision to approve the registration of </w:t>
      </w:r>
      <w:proofErr w:type="spellStart"/>
      <w:r w:rsidRPr="00AE1C67">
        <w:t>Latisse</w:t>
      </w:r>
      <w:proofErr w:type="spellEnd"/>
      <w:r w:rsidRPr="00AE1C67">
        <w:t xml:space="preserve"> under subsection 25(3) of the </w:t>
      </w:r>
      <w:r w:rsidRPr="00275A7D">
        <w:rPr>
          <w:i/>
        </w:rPr>
        <w:t>Therapeutic Goods Act 1989</w:t>
      </w:r>
      <w:r>
        <w:t>.</w:t>
      </w:r>
    </w:p>
  </w:footnote>
  <w:footnote w:id="2">
    <w:p w:rsidR="00275A7D" w:rsidRPr="00BC307B" w:rsidRDefault="00275A7D">
      <w:pPr>
        <w:pStyle w:val="FootnoteText"/>
        <w:rPr>
          <w:lang w:val="en-US"/>
        </w:rPr>
      </w:pPr>
      <w:r>
        <w:rPr>
          <w:rStyle w:val="FootnoteReference"/>
        </w:rPr>
        <w:footnoteRef/>
      </w:r>
      <w:r>
        <w:t xml:space="preserve"> </w:t>
      </w:r>
      <w:r>
        <w:rPr>
          <w:lang w:val="en-US"/>
        </w:rPr>
        <w:t xml:space="preserve">The sponsor decided to take this product off the ARTG and </w:t>
      </w:r>
      <w:proofErr w:type="spellStart"/>
      <w:r>
        <w:rPr>
          <w:lang w:val="en-US"/>
        </w:rPr>
        <w:t>Latisse</w:t>
      </w:r>
      <w:proofErr w:type="spellEnd"/>
      <w:r>
        <w:rPr>
          <w:lang w:val="en-US"/>
        </w:rPr>
        <w:t xml:space="preserve"> is no longer registered in Australia.</w:t>
      </w:r>
    </w:p>
  </w:footnote>
  <w:footnote w:id="3">
    <w:p w:rsidR="00275A7D" w:rsidRPr="00B44415" w:rsidRDefault="00275A7D" w:rsidP="0059719E">
      <w:pPr>
        <w:pStyle w:val="Standard"/>
        <w:spacing w:after="180"/>
        <w:rPr>
          <w:kern w:val="2"/>
          <w:sz w:val="18"/>
          <w:szCs w:val="18"/>
        </w:rPr>
      </w:pPr>
      <w:r w:rsidRPr="00B44415">
        <w:rPr>
          <w:rStyle w:val="FootnoteReference"/>
          <w:sz w:val="18"/>
          <w:szCs w:val="18"/>
        </w:rPr>
        <w:footnoteRef/>
      </w:r>
      <w:r w:rsidRPr="00B44415">
        <w:rPr>
          <w:sz w:val="18"/>
          <w:szCs w:val="18"/>
        </w:rPr>
        <w:t xml:space="preserve"> </w:t>
      </w:r>
      <w:r w:rsidRPr="00B44415">
        <w:rPr>
          <w:kern w:val="2"/>
          <w:sz w:val="18"/>
          <w:szCs w:val="18"/>
        </w:rPr>
        <w:t xml:space="preserve">Sasaki S., </w:t>
      </w:r>
      <w:proofErr w:type="spellStart"/>
      <w:r w:rsidRPr="00B44415">
        <w:rPr>
          <w:kern w:val="2"/>
          <w:sz w:val="18"/>
          <w:szCs w:val="18"/>
        </w:rPr>
        <w:t>Hozumi</w:t>
      </w:r>
      <w:proofErr w:type="spellEnd"/>
      <w:r w:rsidRPr="00B44415">
        <w:rPr>
          <w:kern w:val="2"/>
          <w:sz w:val="18"/>
          <w:szCs w:val="18"/>
        </w:rPr>
        <w:t xml:space="preserve"> Y. and Kondo S. (2005). Influence of prostaglandin F</w:t>
      </w:r>
      <w:r w:rsidRPr="00B44415">
        <w:rPr>
          <w:kern w:val="2"/>
          <w:sz w:val="18"/>
          <w:szCs w:val="18"/>
          <w:vertAlign w:val="subscript"/>
        </w:rPr>
        <w:t>2α</w:t>
      </w:r>
      <w:r w:rsidRPr="00B44415">
        <w:rPr>
          <w:kern w:val="2"/>
          <w:sz w:val="18"/>
          <w:szCs w:val="18"/>
        </w:rPr>
        <w:t xml:space="preserve"> and its analogues on hair regrowth and follicular </w:t>
      </w:r>
      <w:proofErr w:type="spellStart"/>
      <w:r w:rsidRPr="00B44415">
        <w:rPr>
          <w:kern w:val="2"/>
          <w:sz w:val="18"/>
          <w:szCs w:val="18"/>
        </w:rPr>
        <w:t>melanogenesis</w:t>
      </w:r>
      <w:proofErr w:type="spellEnd"/>
      <w:r w:rsidRPr="00B44415">
        <w:rPr>
          <w:kern w:val="2"/>
          <w:sz w:val="18"/>
          <w:szCs w:val="18"/>
        </w:rPr>
        <w:t xml:space="preserve"> in a murine model. </w:t>
      </w:r>
      <w:r w:rsidRPr="00B44415">
        <w:rPr>
          <w:i/>
          <w:kern w:val="2"/>
          <w:sz w:val="18"/>
          <w:szCs w:val="18"/>
        </w:rPr>
        <w:t xml:space="preserve">Exp. </w:t>
      </w:r>
      <w:proofErr w:type="spellStart"/>
      <w:r w:rsidRPr="00B44415">
        <w:rPr>
          <w:i/>
          <w:kern w:val="2"/>
          <w:sz w:val="18"/>
          <w:szCs w:val="18"/>
        </w:rPr>
        <w:t>Dermatol</w:t>
      </w:r>
      <w:proofErr w:type="spellEnd"/>
      <w:r w:rsidRPr="00B44415">
        <w:rPr>
          <w:kern w:val="2"/>
          <w:sz w:val="18"/>
          <w:szCs w:val="18"/>
        </w:rPr>
        <w:t>. 14:</w:t>
      </w:r>
      <w:r w:rsidRPr="00B44415">
        <w:rPr>
          <w:w w:val="50"/>
          <w:kern w:val="2"/>
          <w:sz w:val="18"/>
          <w:szCs w:val="18"/>
        </w:rPr>
        <w:t> </w:t>
      </w:r>
      <w:r w:rsidRPr="00B44415">
        <w:rPr>
          <w:kern w:val="2"/>
          <w:sz w:val="18"/>
          <w:szCs w:val="18"/>
        </w:rPr>
        <w:t>323–328.</w:t>
      </w:r>
    </w:p>
  </w:footnote>
  <w:footnote w:id="4">
    <w:p w:rsidR="00275A7D" w:rsidRDefault="00275A7D" w:rsidP="0059719E">
      <w:pPr>
        <w:pStyle w:val="FootnoteText"/>
      </w:pPr>
      <w:r>
        <w:rPr>
          <w:rStyle w:val="FootnoteReference"/>
        </w:rPr>
        <w:footnoteRef/>
      </w:r>
      <w:r>
        <w:t xml:space="preserve"> </w:t>
      </w:r>
      <w:r w:rsidRPr="00B44415">
        <w:t xml:space="preserve">Uno H., </w:t>
      </w:r>
      <w:proofErr w:type="spellStart"/>
      <w:r w:rsidRPr="00B44415">
        <w:t>Zimbric</w:t>
      </w:r>
      <w:proofErr w:type="spellEnd"/>
      <w:r w:rsidRPr="00B44415">
        <w:t xml:space="preserve"> M. L., Albert D. M. and </w:t>
      </w:r>
      <w:proofErr w:type="spellStart"/>
      <w:r w:rsidRPr="00B44415">
        <w:t>Stjernschantz</w:t>
      </w:r>
      <w:proofErr w:type="spellEnd"/>
      <w:r w:rsidRPr="00B44415">
        <w:t xml:space="preserve"> J. (2002). Effect of </w:t>
      </w:r>
      <w:proofErr w:type="spellStart"/>
      <w:r w:rsidRPr="00B44415">
        <w:t>latanoprost</w:t>
      </w:r>
      <w:proofErr w:type="spellEnd"/>
      <w:r w:rsidRPr="00B44415">
        <w:t xml:space="preserve"> on hair growth in the bald scalp of the stump-tailed macaque: a pilot study. </w:t>
      </w:r>
      <w:proofErr w:type="spellStart"/>
      <w:r w:rsidRPr="00B44415">
        <w:t>Acta</w:t>
      </w:r>
      <w:proofErr w:type="spellEnd"/>
      <w:r w:rsidRPr="00B44415">
        <w:t xml:space="preserve"> </w:t>
      </w:r>
      <w:proofErr w:type="spellStart"/>
      <w:r w:rsidRPr="00B44415">
        <w:t>Derm</w:t>
      </w:r>
      <w:proofErr w:type="spellEnd"/>
      <w:r w:rsidRPr="00B44415">
        <w:t xml:space="preserve">. </w:t>
      </w:r>
      <w:proofErr w:type="spellStart"/>
      <w:r w:rsidRPr="00B44415">
        <w:t>Venereol</w:t>
      </w:r>
      <w:proofErr w:type="spellEnd"/>
      <w:r w:rsidRPr="00B44415">
        <w:t>. 82: 7–12</w:t>
      </w:r>
    </w:p>
  </w:footnote>
  <w:footnote w:id="5">
    <w:p w:rsidR="00275A7D" w:rsidRPr="00B44415" w:rsidRDefault="00275A7D" w:rsidP="0059719E">
      <w:pPr>
        <w:pStyle w:val="Standard"/>
        <w:spacing w:after="230"/>
        <w:rPr>
          <w:kern w:val="2"/>
          <w:sz w:val="18"/>
          <w:szCs w:val="18"/>
        </w:rPr>
      </w:pPr>
      <w:r w:rsidRPr="00B44415">
        <w:rPr>
          <w:rStyle w:val="FootnoteReference"/>
          <w:sz w:val="18"/>
          <w:szCs w:val="18"/>
        </w:rPr>
        <w:footnoteRef/>
      </w:r>
      <w:r w:rsidRPr="00B44415">
        <w:rPr>
          <w:kern w:val="2"/>
          <w:sz w:val="18"/>
          <w:szCs w:val="18"/>
        </w:rPr>
        <w:t xml:space="preserve">Tan M.H., </w:t>
      </w:r>
      <w:proofErr w:type="spellStart"/>
      <w:r w:rsidRPr="00B44415">
        <w:rPr>
          <w:kern w:val="2"/>
          <w:sz w:val="18"/>
          <w:szCs w:val="18"/>
        </w:rPr>
        <w:t>Lebwohl</w:t>
      </w:r>
      <w:proofErr w:type="spellEnd"/>
      <w:r w:rsidRPr="00B44415">
        <w:rPr>
          <w:kern w:val="2"/>
          <w:sz w:val="18"/>
          <w:szCs w:val="18"/>
        </w:rPr>
        <w:t xml:space="preserve"> M., </w:t>
      </w:r>
      <w:proofErr w:type="spellStart"/>
      <w:r w:rsidRPr="00B44415">
        <w:rPr>
          <w:kern w:val="2"/>
          <w:sz w:val="18"/>
          <w:szCs w:val="18"/>
        </w:rPr>
        <w:t>Esser</w:t>
      </w:r>
      <w:proofErr w:type="spellEnd"/>
      <w:r w:rsidRPr="00B44415">
        <w:rPr>
          <w:kern w:val="2"/>
          <w:sz w:val="18"/>
          <w:szCs w:val="18"/>
        </w:rPr>
        <w:t xml:space="preserve"> A.C. and Wei H. (2001) The penetration of 0.005% fluticasone propionate ointment in eyelid skin. </w:t>
      </w:r>
      <w:r w:rsidRPr="00B44415">
        <w:rPr>
          <w:i/>
          <w:kern w:val="2"/>
          <w:sz w:val="18"/>
          <w:szCs w:val="18"/>
        </w:rPr>
        <w:t xml:space="preserve">J. Am. Acad. </w:t>
      </w:r>
      <w:proofErr w:type="spellStart"/>
      <w:r w:rsidRPr="00B44415">
        <w:rPr>
          <w:i/>
          <w:kern w:val="2"/>
          <w:sz w:val="18"/>
          <w:szCs w:val="18"/>
        </w:rPr>
        <w:t>Dermatol</w:t>
      </w:r>
      <w:proofErr w:type="spellEnd"/>
      <w:r w:rsidRPr="00B44415">
        <w:rPr>
          <w:i/>
          <w:kern w:val="2"/>
          <w:sz w:val="18"/>
          <w:szCs w:val="18"/>
        </w:rPr>
        <w:t>.</w:t>
      </w:r>
      <w:r w:rsidRPr="00B44415">
        <w:rPr>
          <w:kern w:val="2"/>
          <w:sz w:val="18"/>
          <w:szCs w:val="18"/>
        </w:rPr>
        <w:t xml:space="preserve"> 45:</w:t>
      </w:r>
      <w:r w:rsidRPr="00B44415">
        <w:rPr>
          <w:w w:val="50"/>
          <w:kern w:val="2"/>
          <w:sz w:val="18"/>
          <w:szCs w:val="18"/>
        </w:rPr>
        <w:t> </w:t>
      </w:r>
      <w:r w:rsidRPr="00B44415">
        <w:rPr>
          <w:kern w:val="2"/>
          <w:sz w:val="18"/>
          <w:szCs w:val="18"/>
        </w:rPr>
        <w:t>392–396.</w:t>
      </w:r>
    </w:p>
  </w:footnote>
  <w:footnote w:id="6">
    <w:p w:rsidR="00275A7D" w:rsidRDefault="00275A7D" w:rsidP="0059719E">
      <w:pPr>
        <w:pStyle w:val="FootnoteText"/>
        <w:ind w:left="142" w:hanging="142"/>
      </w:pPr>
      <w:r>
        <w:rPr>
          <w:rStyle w:val="FootnoteReference"/>
        </w:rPr>
        <w:footnoteRef/>
      </w:r>
      <w:r>
        <w:t xml:space="preserve">Australian Pregnancy Category B3: 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rsidR="00275A7D" w:rsidRDefault="00275A7D" w:rsidP="0059719E">
      <w:pPr>
        <w:pStyle w:val="FootnoteText"/>
        <w:ind w:left="142"/>
      </w:pPr>
      <w:r>
        <w:t xml:space="preserve">Studies in animals have shown evidence of an increased occurrence of </w:t>
      </w:r>
      <w:proofErr w:type="spellStart"/>
      <w:r>
        <w:t>fetal</w:t>
      </w:r>
      <w:proofErr w:type="spellEnd"/>
      <w:r>
        <w:t xml:space="preserve"> damage, the significance of which is considered uncertain in humans.</w:t>
      </w:r>
    </w:p>
  </w:footnote>
  <w:footnote w:id="7">
    <w:p w:rsidR="00275A7D" w:rsidRPr="00187137" w:rsidRDefault="00275A7D" w:rsidP="0059719E">
      <w:pPr>
        <w:pStyle w:val="FootnoteText"/>
        <w:rPr>
          <w:i/>
          <w:sz w:val="16"/>
          <w:szCs w:val="16"/>
        </w:rPr>
      </w:pPr>
      <w:r w:rsidRPr="00187137">
        <w:rPr>
          <w:rStyle w:val="FootnoteReference"/>
          <w:sz w:val="16"/>
          <w:szCs w:val="16"/>
        </w:rPr>
        <w:footnoteRef/>
      </w:r>
      <w:r w:rsidRPr="00187137">
        <w:rPr>
          <w:i/>
          <w:sz w:val="16"/>
          <w:szCs w:val="16"/>
        </w:rPr>
        <w:t xml:space="preserve"> These data allow for the</w:t>
      </w:r>
      <w:r>
        <w:rPr>
          <w:i/>
          <w:sz w:val="16"/>
          <w:szCs w:val="16"/>
        </w:rPr>
        <w:t xml:space="preserve"> </w:t>
      </w:r>
      <w:r w:rsidRPr="00187137">
        <w:rPr>
          <w:i/>
          <w:sz w:val="16"/>
          <w:szCs w:val="16"/>
        </w:rPr>
        <w:t>swapping of treatment in the second 6 months of study 192024-038.</w:t>
      </w:r>
    </w:p>
  </w:footnote>
  <w:footnote w:id="8">
    <w:p w:rsidR="00275A7D" w:rsidRDefault="00275A7D" w:rsidP="0059719E">
      <w:pPr>
        <w:pStyle w:val="FootnoteText"/>
      </w:pPr>
      <w:r>
        <w:rPr>
          <w:rStyle w:val="FootnoteReference"/>
        </w:rPr>
        <w:footnoteRef/>
      </w:r>
      <w:r>
        <w:t xml:space="preserve"> Results </w:t>
      </w:r>
      <w:proofErr w:type="spellStart"/>
      <w:r>
        <w:t>from</w:t>
      </w:r>
      <w:r w:rsidRPr="00490668">
        <w:t>Phase</w:t>
      </w:r>
      <w:proofErr w:type="spellEnd"/>
      <w:r w:rsidRPr="00490668">
        <w:t xml:space="preserve"> III Study</w:t>
      </w:r>
      <w:r>
        <w:t xml:space="preserve"> </w:t>
      </w:r>
      <w:r w:rsidRPr="00254F33">
        <w:t>192024-032</w:t>
      </w:r>
    </w:p>
  </w:footnote>
  <w:footnote w:id="9">
    <w:p w:rsidR="00275A7D" w:rsidRDefault="00275A7D" w:rsidP="0059719E">
      <w:pPr>
        <w:pStyle w:val="FootnoteText"/>
      </w:pPr>
      <w:r>
        <w:rPr>
          <w:rStyle w:val="FootnoteReference"/>
        </w:rPr>
        <w:footnoteRef/>
      </w:r>
      <w:r>
        <w:t xml:space="preserve"> </w:t>
      </w:r>
      <w:r w:rsidRPr="00AC1C98">
        <w:t>European Union (EU). The Extent of Population Exposure to Assess Clinical Safety for Medicines Intended for Long-Term Treatment of Non-Life-Threatening Conditions. 1994. Document 3CC5a.</w:t>
      </w:r>
    </w:p>
  </w:footnote>
  <w:footnote w:id="10">
    <w:p w:rsidR="00275A7D" w:rsidRDefault="00275A7D" w:rsidP="0059719E">
      <w:pPr>
        <w:pStyle w:val="FootnoteText"/>
      </w:pPr>
      <w:r>
        <w:rPr>
          <w:rStyle w:val="FootnoteReference"/>
        </w:rPr>
        <w:footnoteRef/>
      </w:r>
      <w:r>
        <w:t xml:space="preserve"> Global Eyelash Assessment scale with </w:t>
      </w:r>
      <w:proofErr w:type="spellStart"/>
      <w:r>
        <w:t>photonumeric</w:t>
      </w:r>
      <w:proofErr w:type="spellEnd"/>
      <w:r>
        <w:t xml:space="preserve"> guide- 4 categories of overall eyelash prominence 1 = minimal, 2 = moderate, 3 = marked, 4 = very marked</w:t>
      </w:r>
    </w:p>
  </w:footnote>
  <w:footnote w:id="11">
    <w:p w:rsidR="00275A7D" w:rsidRDefault="00275A7D" w:rsidP="0059719E">
      <w:pPr>
        <w:pStyle w:val="FootnoteText"/>
      </w:pPr>
      <w:r>
        <w:rPr>
          <w:rStyle w:val="FootnoteReference"/>
        </w:rPr>
        <w:footnoteRef/>
      </w:r>
      <w:r>
        <w:t xml:space="preserve"> Eyelash Satisfaction Questionnaire – a patient reported measure</w:t>
      </w:r>
    </w:p>
  </w:footnote>
  <w:footnote w:id="12">
    <w:p w:rsidR="00275A7D" w:rsidRDefault="00275A7D" w:rsidP="0059719E">
      <w:pPr>
        <w:pStyle w:val="FootnoteText"/>
      </w:pPr>
      <w:r>
        <w:rPr>
          <w:rStyle w:val="FootnoteReference"/>
        </w:rPr>
        <w:footnoteRef/>
      </w:r>
      <w:r>
        <w:t xml:space="preserve"> </w:t>
      </w:r>
      <w:r w:rsidRPr="009B43AF">
        <w:t>ICH E1 The extent of population exposure to assess clinical safety for drugs intended for long-term treatment of non-life-threatening conditions.</w:t>
      </w:r>
    </w:p>
  </w:footnote>
  <w:footnote w:id="13">
    <w:p w:rsidR="00275A7D" w:rsidRDefault="00275A7D" w:rsidP="0059719E">
      <w:pPr>
        <w:pStyle w:val="FootnoteText"/>
      </w:pPr>
      <w:r>
        <w:rPr>
          <w:rStyle w:val="FootnoteReference"/>
        </w:rPr>
        <w:footnoteRef/>
      </w:r>
      <w:r>
        <w:t>.</w:t>
      </w:r>
      <w:proofErr w:type="spellStart"/>
      <w:r w:rsidRPr="00C84563">
        <w:t>Sira</w:t>
      </w:r>
      <w:proofErr w:type="spellEnd"/>
      <w:r w:rsidRPr="00C84563">
        <w:t xml:space="preserve"> M., Verity D.H., Malhotra R. "Topical </w:t>
      </w:r>
      <w:proofErr w:type="spellStart"/>
      <w:r w:rsidRPr="00C84563">
        <w:t>bimatoprost</w:t>
      </w:r>
      <w:proofErr w:type="spellEnd"/>
      <w:r w:rsidRPr="00C84563">
        <w:t xml:space="preserve"> 0.03% and iatrogenic eyelid and orbital lipodystrophy. " Aesthetic Surgery Journal. 32 (7) (pp 822-824), 2012</w:t>
      </w:r>
    </w:p>
  </w:footnote>
  <w:footnote w:id="14">
    <w:p w:rsidR="00275A7D" w:rsidRDefault="00275A7D" w:rsidP="0059719E">
      <w:pPr>
        <w:pStyle w:val="FootnoteText"/>
      </w:pPr>
      <w:r>
        <w:rPr>
          <w:rStyle w:val="FootnoteReference"/>
        </w:rPr>
        <w:footnoteRef/>
      </w:r>
      <w:proofErr w:type="spellStart"/>
      <w:r w:rsidRPr="00C84563">
        <w:t>Filippopoulos</w:t>
      </w:r>
      <w:proofErr w:type="spellEnd"/>
      <w:r w:rsidRPr="00C84563">
        <w:t xml:space="preserve"> T., Paula J.S., Torun N., Hatton M.P., Pasquale L.R., </w:t>
      </w:r>
      <w:proofErr w:type="spellStart"/>
      <w:r w:rsidRPr="00C84563">
        <w:t>Grosskreutz</w:t>
      </w:r>
      <w:proofErr w:type="spellEnd"/>
      <w:r w:rsidRPr="00C84563">
        <w:t xml:space="preserve"> C.L. "Periorbital changes associated with topical </w:t>
      </w:r>
      <w:proofErr w:type="spellStart"/>
      <w:r w:rsidRPr="00C84563">
        <w:t>bimatoprost</w:t>
      </w:r>
      <w:proofErr w:type="spellEnd"/>
      <w:r w:rsidRPr="00C84563">
        <w:t>." Ophthalmic Plastic and Reconstructive</w:t>
      </w:r>
      <w:r>
        <w:t xml:space="preserve"> </w:t>
      </w:r>
      <w:r w:rsidRPr="00C84563">
        <w:t>Surgery. 24 (4) (pp</w:t>
      </w:r>
      <w:r>
        <w:t xml:space="preserve"> 302-307) </w:t>
      </w:r>
      <w:r w:rsidRPr="00C84563">
        <w:t>2008.</w:t>
      </w:r>
    </w:p>
  </w:footnote>
  <w:footnote w:id="15">
    <w:p w:rsidR="00275A7D" w:rsidRDefault="00275A7D" w:rsidP="0059719E">
      <w:pPr>
        <w:pStyle w:val="FootnoteText"/>
      </w:pPr>
      <w:r>
        <w:rPr>
          <w:rStyle w:val="FootnoteReference"/>
        </w:rPr>
        <w:footnoteRef/>
      </w:r>
      <w:r>
        <w:t xml:space="preserve"> </w:t>
      </w:r>
      <w:r w:rsidRPr="002C2347">
        <w:t>EMA Guideline adopted by the TGA on Points to consider on missing data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A7D" w:rsidRDefault="00275A7D"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A7D" w:rsidRDefault="00275A7D">
    <w:pPr>
      <w:rPr>
        <w:noProof/>
        <w:lang w:eastAsia="en-AU"/>
      </w:rPr>
    </w:pPr>
    <w:r w:rsidRPr="00347824">
      <w:rPr>
        <w:noProof/>
        <w:lang w:eastAsia="en-AU"/>
      </w:rPr>
      <w:drawing>
        <wp:anchor distT="0" distB="0" distL="114300" distR="114300" simplePos="0" relativeHeight="251658240" behindDoc="1" locked="0" layoutInCell="1" allowOverlap="1" wp14:anchorId="23135E22" wp14:editId="390F0772">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75A7D" w:rsidRDefault="00275A7D" w:rsidP="00593AD1">
    <w:pPr>
      <w:pStyle w:val="HeaderNoLine"/>
    </w:pPr>
    <w:r>
      <w:rPr>
        <w:noProof/>
        <w:lang w:eastAsia="en-AU"/>
      </w:rPr>
      <w:drawing>
        <wp:inline distT="0" distB="0" distL="0" distR="0" wp14:anchorId="109D6E61" wp14:editId="02A045D3">
          <wp:extent cx="5394960" cy="7635240"/>
          <wp:effectExtent l="0" t="0" r="0" b="381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A7D" w:rsidRDefault="00275A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A7D" w:rsidRDefault="00275A7D">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A7D" w:rsidRDefault="00275A7D">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A7D" w:rsidRDefault="00275A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A7D" w:rsidRDefault="00275A7D"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A7D" w:rsidRDefault="00275A7D" w:rsidP="006E08B3">
    <w:r>
      <w:t>Therapeutic Goods Administration</w:t>
    </w:r>
  </w:p>
  <w:p w:rsidR="00275A7D" w:rsidRDefault="00275A7D"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0AB1924"/>
    <w:multiLevelType w:val="hybridMultilevel"/>
    <w:tmpl w:val="B0149B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24729B"/>
    <w:multiLevelType w:val="multilevel"/>
    <w:tmpl w:val="07A8FC2C"/>
    <w:lvl w:ilvl="0">
      <w:start w:val="1"/>
      <w:numFmt w:val="decimal"/>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Letter"/>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33B7C17"/>
    <w:multiLevelType w:val="hybridMultilevel"/>
    <w:tmpl w:val="B0149B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7478F6"/>
    <w:multiLevelType w:val="hybridMultilevel"/>
    <w:tmpl w:val="75E2FB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8F13E9"/>
    <w:multiLevelType w:val="multilevel"/>
    <w:tmpl w:val="BE787D56"/>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3066740A"/>
    <w:multiLevelType w:val="hybridMultilevel"/>
    <w:tmpl w:val="564E5558"/>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415A4D1C"/>
    <w:multiLevelType w:val="hybridMultilevel"/>
    <w:tmpl w:val="82EC22AC"/>
    <w:lvl w:ilvl="0" w:tplc="C6DC925E">
      <w:start w:val="1"/>
      <w:numFmt w:val="decimal"/>
      <w:lvlText w:val="%1."/>
      <w:lvlJc w:val="left"/>
      <w:pPr>
        <w:ind w:left="720" w:hanging="360"/>
      </w:pPr>
      <w:rPr>
        <w:rFonts w:ascii="Cambria" w:eastAsia="TimesNewRoman" w:hAnsi="Cambria"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89B15D7"/>
    <w:multiLevelType w:val="hybridMultilevel"/>
    <w:tmpl w:val="D2DCE49A"/>
    <w:lvl w:ilvl="0" w:tplc="04CEB5FC">
      <w:start w:val="1"/>
      <w:numFmt w:val="bullet"/>
      <w:pStyle w:val="Bulletpoint"/>
      <w:lvlText w:val=""/>
      <w:lvlJc w:val="left"/>
      <w:pPr>
        <w:tabs>
          <w:tab w:val="num" w:pos="369"/>
        </w:tabs>
        <w:ind w:left="369" w:hanging="227"/>
      </w:pPr>
      <w:rPr>
        <w:rFonts w:ascii="Symbol" w:hAnsi="Symbol" w:hint="default"/>
        <w:strike w:val="0"/>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F2B53"/>
    <w:multiLevelType w:val="hybridMultilevel"/>
    <w:tmpl w:val="74CE9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741F6A"/>
    <w:multiLevelType w:val="hybridMultilevel"/>
    <w:tmpl w:val="BE60E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5204C3"/>
    <w:multiLevelType w:val="hybridMultilevel"/>
    <w:tmpl w:val="D864F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1F401A"/>
    <w:multiLevelType w:val="hybridMultilevel"/>
    <w:tmpl w:val="E6FAC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lvlOverride w:ilvl="0">
      <w:lvl w:ilvl="0">
        <w:start w:val="1"/>
        <w:numFmt w:val="bullet"/>
        <w:pStyle w:val="ListBullet"/>
        <w:lvlText w:val="•"/>
        <w:lvlJc w:val="left"/>
        <w:pPr>
          <w:ind w:left="360" w:hanging="360"/>
        </w:pPr>
        <w:rPr>
          <w:rFonts w:ascii="Arial" w:hAnsi="Arial" w:hint="default"/>
        </w:rPr>
      </w:lvl>
    </w:lvlOverride>
  </w:num>
  <w:num w:numId="4">
    <w:abstractNumId w:val="9"/>
  </w:num>
  <w:num w:numId="5">
    <w:abstractNumId w:val="0"/>
  </w:num>
  <w:num w:numId="6">
    <w:abstractNumId w:val="9"/>
  </w:num>
  <w:num w:numId="7">
    <w:abstractNumId w:val="9"/>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4"/>
  </w:num>
  <w:num w:numId="17">
    <w:abstractNumId w:val="4"/>
  </w:num>
  <w:num w:numId="18">
    <w:abstractNumId w:val="4"/>
  </w:num>
  <w:num w:numId="19">
    <w:abstractNumId w:val="9"/>
  </w:num>
  <w:num w:numId="20">
    <w:abstractNumId w:val="9"/>
  </w:num>
  <w:num w:numId="21">
    <w:abstractNumId w:val="9"/>
    <w:lvlOverride w:ilvl="0">
      <w:lvl w:ilvl="0">
        <w:start w:val="1"/>
        <w:numFmt w:val="bullet"/>
        <w:pStyle w:val="ListBullet"/>
        <w:lvlText w:val="•"/>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4"/>
    <w:lvlOverride w:ilvl="0">
      <w:lvl w:ilvl="0">
        <w:start w:val="1"/>
        <w:numFmt w:val="decimal"/>
        <w:pStyle w:val="Numberbullet0"/>
        <w:lvlText w:val="%1."/>
        <w:lvlJc w:val="left"/>
        <w:pPr>
          <w:ind w:left="425" w:hanging="425"/>
        </w:pPr>
        <w:rPr>
          <w:rFonts w:ascii="Cambria" w:hAnsi="Cambria" w:hint="default"/>
        </w:rPr>
      </w:lvl>
    </w:lvlOverride>
  </w:num>
  <w:num w:numId="28">
    <w:abstractNumId w:val="10"/>
  </w:num>
  <w:num w:numId="29">
    <w:abstractNumId w:val="12"/>
  </w:num>
  <w:num w:numId="30">
    <w:abstractNumId w:val="13"/>
  </w:num>
  <w:num w:numId="31">
    <w:abstractNumId w:val="15"/>
  </w:num>
  <w:num w:numId="32">
    <w:abstractNumId w:val="14"/>
  </w:num>
  <w:num w:numId="33">
    <w:abstractNumId w:val="16"/>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8"/>
  </w:num>
  <w:num w:numId="3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num>
  <w:num w:numId="40">
    <w:abstractNumId w:val="11"/>
  </w:num>
  <w:num w:numId="41">
    <w:abstractNumId w:val="7"/>
  </w:num>
  <w:num w:numId="42">
    <w:abstractNumId w:val="5"/>
  </w:num>
  <w:num w:numId="4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decimal"/>
        <w:pStyle w:val="Numberbullet2"/>
        <w:lvlText w:val=""/>
        <w:lvlJc w:val="left"/>
      </w:lvl>
    </w:lvlOverride>
    <w:lvlOverride w:ilvl="2">
      <w:startOverride w:val="1"/>
      <w:lvl w:ilvl="2">
        <w:start w:val="1"/>
        <w:numFmt w:val="decimal"/>
        <w:pStyle w:val="Numberbullet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3C9"/>
    <w:rsid w:val="00002031"/>
    <w:rsid w:val="00004734"/>
    <w:rsid w:val="00006B22"/>
    <w:rsid w:val="0001276A"/>
    <w:rsid w:val="000246AE"/>
    <w:rsid w:val="00025C67"/>
    <w:rsid w:val="00044772"/>
    <w:rsid w:val="0005559E"/>
    <w:rsid w:val="000604D6"/>
    <w:rsid w:val="000734D8"/>
    <w:rsid w:val="00077775"/>
    <w:rsid w:val="00087B4D"/>
    <w:rsid w:val="00090471"/>
    <w:rsid w:val="00096AA7"/>
    <w:rsid w:val="000A3AED"/>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A2158"/>
    <w:rsid w:val="001A3D87"/>
    <w:rsid w:val="001A525F"/>
    <w:rsid w:val="001B09F9"/>
    <w:rsid w:val="001B5C90"/>
    <w:rsid w:val="001B6448"/>
    <w:rsid w:val="001C32CD"/>
    <w:rsid w:val="001D2984"/>
    <w:rsid w:val="001E07CF"/>
    <w:rsid w:val="001E59F1"/>
    <w:rsid w:val="001F49EB"/>
    <w:rsid w:val="001F6CBA"/>
    <w:rsid w:val="00201D4E"/>
    <w:rsid w:val="002076C9"/>
    <w:rsid w:val="00220B8A"/>
    <w:rsid w:val="002257F3"/>
    <w:rsid w:val="00233456"/>
    <w:rsid w:val="002339A5"/>
    <w:rsid w:val="00236109"/>
    <w:rsid w:val="00240110"/>
    <w:rsid w:val="00257848"/>
    <w:rsid w:val="0027084A"/>
    <w:rsid w:val="00275A7D"/>
    <w:rsid w:val="00286434"/>
    <w:rsid w:val="00286C59"/>
    <w:rsid w:val="00291957"/>
    <w:rsid w:val="002942D1"/>
    <w:rsid w:val="0029501A"/>
    <w:rsid w:val="002B1638"/>
    <w:rsid w:val="002B3624"/>
    <w:rsid w:val="002E40B3"/>
    <w:rsid w:val="002E4C9A"/>
    <w:rsid w:val="002F11F8"/>
    <w:rsid w:val="002F3F56"/>
    <w:rsid w:val="002F44B5"/>
    <w:rsid w:val="00311AC0"/>
    <w:rsid w:val="0032583B"/>
    <w:rsid w:val="00327883"/>
    <w:rsid w:val="00335504"/>
    <w:rsid w:val="00347824"/>
    <w:rsid w:val="00350567"/>
    <w:rsid w:val="003521E8"/>
    <w:rsid w:val="003728F3"/>
    <w:rsid w:val="0037496E"/>
    <w:rsid w:val="003763C9"/>
    <w:rsid w:val="00386150"/>
    <w:rsid w:val="003874CE"/>
    <w:rsid w:val="00390900"/>
    <w:rsid w:val="003A7F6C"/>
    <w:rsid w:val="003B4D60"/>
    <w:rsid w:val="003B7E39"/>
    <w:rsid w:val="003C58DC"/>
    <w:rsid w:val="003D1E62"/>
    <w:rsid w:val="003E2486"/>
    <w:rsid w:val="003E3208"/>
    <w:rsid w:val="003F0B04"/>
    <w:rsid w:val="0040134E"/>
    <w:rsid w:val="0042106F"/>
    <w:rsid w:val="00431C05"/>
    <w:rsid w:val="004334C7"/>
    <w:rsid w:val="00440A2D"/>
    <w:rsid w:val="004564A7"/>
    <w:rsid w:val="004617BF"/>
    <w:rsid w:val="00463658"/>
    <w:rsid w:val="004722CC"/>
    <w:rsid w:val="004936E4"/>
    <w:rsid w:val="00494E60"/>
    <w:rsid w:val="00497487"/>
    <w:rsid w:val="004A0FA3"/>
    <w:rsid w:val="004B7B76"/>
    <w:rsid w:val="004C239D"/>
    <w:rsid w:val="004C2DCA"/>
    <w:rsid w:val="004F0C4A"/>
    <w:rsid w:val="004F0F38"/>
    <w:rsid w:val="004F3AC6"/>
    <w:rsid w:val="00501921"/>
    <w:rsid w:val="00527785"/>
    <w:rsid w:val="00530354"/>
    <w:rsid w:val="0053625B"/>
    <w:rsid w:val="005434C6"/>
    <w:rsid w:val="00543B39"/>
    <w:rsid w:val="00546154"/>
    <w:rsid w:val="00550096"/>
    <w:rsid w:val="00555280"/>
    <w:rsid w:val="00557FF9"/>
    <w:rsid w:val="00576378"/>
    <w:rsid w:val="00577130"/>
    <w:rsid w:val="00577945"/>
    <w:rsid w:val="00577E38"/>
    <w:rsid w:val="00585322"/>
    <w:rsid w:val="005857C6"/>
    <w:rsid w:val="00592F6E"/>
    <w:rsid w:val="00593AD1"/>
    <w:rsid w:val="0059719E"/>
    <w:rsid w:val="005A68B6"/>
    <w:rsid w:val="005C5570"/>
    <w:rsid w:val="005C79A4"/>
    <w:rsid w:val="005D5442"/>
    <w:rsid w:val="005F5FFE"/>
    <w:rsid w:val="00603F32"/>
    <w:rsid w:val="00605AD4"/>
    <w:rsid w:val="00620073"/>
    <w:rsid w:val="00625A6E"/>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25B8"/>
    <w:rsid w:val="006F572E"/>
    <w:rsid w:val="007046D6"/>
    <w:rsid w:val="00705DB0"/>
    <w:rsid w:val="00722B57"/>
    <w:rsid w:val="00730F8A"/>
    <w:rsid w:val="0074253D"/>
    <w:rsid w:val="0074429B"/>
    <w:rsid w:val="007615BC"/>
    <w:rsid w:val="00762F05"/>
    <w:rsid w:val="007652FF"/>
    <w:rsid w:val="00770EF1"/>
    <w:rsid w:val="00773EF7"/>
    <w:rsid w:val="00774E1D"/>
    <w:rsid w:val="0077675A"/>
    <w:rsid w:val="00780355"/>
    <w:rsid w:val="007819FD"/>
    <w:rsid w:val="00785721"/>
    <w:rsid w:val="00793A59"/>
    <w:rsid w:val="007B6132"/>
    <w:rsid w:val="007B6E9F"/>
    <w:rsid w:val="007C1216"/>
    <w:rsid w:val="007C1AF7"/>
    <w:rsid w:val="007C34BA"/>
    <w:rsid w:val="00805D27"/>
    <w:rsid w:val="00821776"/>
    <w:rsid w:val="008321F5"/>
    <w:rsid w:val="00832369"/>
    <w:rsid w:val="00834660"/>
    <w:rsid w:val="00836BC2"/>
    <w:rsid w:val="0085156D"/>
    <w:rsid w:val="0085641B"/>
    <w:rsid w:val="00857136"/>
    <w:rsid w:val="00885B11"/>
    <w:rsid w:val="00886D15"/>
    <w:rsid w:val="00887DD8"/>
    <w:rsid w:val="00896018"/>
    <w:rsid w:val="008960DD"/>
    <w:rsid w:val="0089635C"/>
    <w:rsid w:val="008A2B9D"/>
    <w:rsid w:val="008A3D9F"/>
    <w:rsid w:val="008A5E0B"/>
    <w:rsid w:val="008A6D59"/>
    <w:rsid w:val="008B4B03"/>
    <w:rsid w:val="008B596F"/>
    <w:rsid w:val="008C159F"/>
    <w:rsid w:val="008C1623"/>
    <w:rsid w:val="008C1850"/>
    <w:rsid w:val="008C51A9"/>
    <w:rsid w:val="008C63AE"/>
    <w:rsid w:val="008E7846"/>
    <w:rsid w:val="008F1CCC"/>
    <w:rsid w:val="008F2967"/>
    <w:rsid w:val="008F6943"/>
    <w:rsid w:val="00902A21"/>
    <w:rsid w:val="0091264B"/>
    <w:rsid w:val="00920330"/>
    <w:rsid w:val="009219D7"/>
    <w:rsid w:val="00922D53"/>
    <w:rsid w:val="00923B70"/>
    <w:rsid w:val="00924482"/>
    <w:rsid w:val="00930237"/>
    <w:rsid w:val="00940A89"/>
    <w:rsid w:val="00946EA5"/>
    <w:rsid w:val="00963C08"/>
    <w:rsid w:val="009667D7"/>
    <w:rsid w:val="0098585A"/>
    <w:rsid w:val="00996F53"/>
    <w:rsid w:val="009A4CED"/>
    <w:rsid w:val="009A690D"/>
    <w:rsid w:val="009B1D12"/>
    <w:rsid w:val="009B416B"/>
    <w:rsid w:val="009B4203"/>
    <w:rsid w:val="009C4BD5"/>
    <w:rsid w:val="009D7B77"/>
    <w:rsid w:val="009E0BB0"/>
    <w:rsid w:val="009E3FBB"/>
    <w:rsid w:val="00A102E4"/>
    <w:rsid w:val="00A12C42"/>
    <w:rsid w:val="00A14DF7"/>
    <w:rsid w:val="00A16208"/>
    <w:rsid w:val="00A3246D"/>
    <w:rsid w:val="00A36FA7"/>
    <w:rsid w:val="00A406C4"/>
    <w:rsid w:val="00A44DDB"/>
    <w:rsid w:val="00A475B7"/>
    <w:rsid w:val="00A47AF7"/>
    <w:rsid w:val="00A47C3E"/>
    <w:rsid w:val="00A50226"/>
    <w:rsid w:val="00A60BAD"/>
    <w:rsid w:val="00A80A55"/>
    <w:rsid w:val="00A84E36"/>
    <w:rsid w:val="00A964D1"/>
    <w:rsid w:val="00AA0ED0"/>
    <w:rsid w:val="00AC2B40"/>
    <w:rsid w:val="00AC2BB2"/>
    <w:rsid w:val="00AC2C3C"/>
    <w:rsid w:val="00AC512D"/>
    <w:rsid w:val="00AD0083"/>
    <w:rsid w:val="00AD3935"/>
    <w:rsid w:val="00AE1C67"/>
    <w:rsid w:val="00AE65EB"/>
    <w:rsid w:val="00AE67A7"/>
    <w:rsid w:val="00AF1D94"/>
    <w:rsid w:val="00AF60C5"/>
    <w:rsid w:val="00B009C6"/>
    <w:rsid w:val="00B01548"/>
    <w:rsid w:val="00B07193"/>
    <w:rsid w:val="00B21D29"/>
    <w:rsid w:val="00B25034"/>
    <w:rsid w:val="00B33588"/>
    <w:rsid w:val="00B33863"/>
    <w:rsid w:val="00B37D17"/>
    <w:rsid w:val="00B4175E"/>
    <w:rsid w:val="00B452CE"/>
    <w:rsid w:val="00B54C25"/>
    <w:rsid w:val="00B76B91"/>
    <w:rsid w:val="00B77EB1"/>
    <w:rsid w:val="00B811C6"/>
    <w:rsid w:val="00B855B0"/>
    <w:rsid w:val="00B92E08"/>
    <w:rsid w:val="00BC307B"/>
    <w:rsid w:val="00BC622A"/>
    <w:rsid w:val="00BE0A78"/>
    <w:rsid w:val="00BE79F0"/>
    <w:rsid w:val="00BF046D"/>
    <w:rsid w:val="00BF1190"/>
    <w:rsid w:val="00BF5218"/>
    <w:rsid w:val="00BF5D04"/>
    <w:rsid w:val="00C1164D"/>
    <w:rsid w:val="00C16861"/>
    <w:rsid w:val="00C33EA4"/>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747E"/>
    <w:rsid w:val="00CB6BC0"/>
    <w:rsid w:val="00CC1B7C"/>
    <w:rsid w:val="00CC727F"/>
    <w:rsid w:val="00CD53AE"/>
    <w:rsid w:val="00CF15C3"/>
    <w:rsid w:val="00CF2B6F"/>
    <w:rsid w:val="00CF58B6"/>
    <w:rsid w:val="00D017ED"/>
    <w:rsid w:val="00D040D3"/>
    <w:rsid w:val="00D04C65"/>
    <w:rsid w:val="00D201D2"/>
    <w:rsid w:val="00D224FE"/>
    <w:rsid w:val="00D23139"/>
    <w:rsid w:val="00D425BB"/>
    <w:rsid w:val="00D600F6"/>
    <w:rsid w:val="00D6493E"/>
    <w:rsid w:val="00D7195D"/>
    <w:rsid w:val="00D7301E"/>
    <w:rsid w:val="00D81834"/>
    <w:rsid w:val="00D8252A"/>
    <w:rsid w:val="00D83AE1"/>
    <w:rsid w:val="00D855D4"/>
    <w:rsid w:val="00D93466"/>
    <w:rsid w:val="00DA1124"/>
    <w:rsid w:val="00DB6124"/>
    <w:rsid w:val="00DB750B"/>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7344E"/>
    <w:rsid w:val="00EB0798"/>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D0824"/>
    <w:rsid w:val="00FD119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A87132B"/>
  <w15:docId w15:val="{CDBD8EB7-2171-430E-B5F3-39F62D4EB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275A7D"/>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TableHeading">
    <w:name w:val="Table Heading"/>
    <w:basedOn w:val="Normal"/>
    <w:rsid w:val="0059719E"/>
    <w:rPr>
      <w:rFonts w:ascii="Calibri" w:eastAsia="Calibri" w:hAnsi="Calibri"/>
      <w:b/>
      <w:color w:val="FFFFFF"/>
      <w:sz w:val="20"/>
    </w:rPr>
  </w:style>
  <w:style w:type="paragraph" w:customStyle="1" w:styleId="TableHeading1">
    <w:name w:val="Table Heading 1"/>
    <w:basedOn w:val="Normal"/>
    <w:rsid w:val="0059719E"/>
    <w:rPr>
      <w:b/>
      <w:color w:val="FFFFFF"/>
      <w:sz w:val="19"/>
    </w:rPr>
  </w:style>
  <w:style w:type="paragraph" w:customStyle="1" w:styleId="TableHeading2">
    <w:name w:val="Table Heading 2"/>
    <w:basedOn w:val="Normal"/>
    <w:rsid w:val="0059719E"/>
    <w:rPr>
      <w:b/>
      <w:sz w:val="19"/>
    </w:rPr>
  </w:style>
  <w:style w:type="paragraph" w:customStyle="1" w:styleId="Bullet1">
    <w:name w:val="Bullet 1"/>
    <w:basedOn w:val="Normal"/>
    <w:rsid w:val="0059719E"/>
    <w:pPr>
      <w:numPr>
        <w:numId w:val="28"/>
      </w:numPr>
      <w:spacing w:after="0" w:line="240" w:lineRule="auto"/>
    </w:pPr>
    <w:rPr>
      <w:rFonts w:eastAsia="Times New Roman"/>
      <w:kern w:val="24"/>
      <w:szCs w:val="24"/>
      <w:lang w:eastAsia="en-AU"/>
    </w:rPr>
  </w:style>
  <w:style w:type="paragraph" w:customStyle="1" w:styleId="Default">
    <w:name w:val="Default"/>
    <w:rsid w:val="0059719E"/>
    <w:pPr>
      <w:widowControl w:val="0"/>
      <w:autoSpaceDE w:val="0"/>
      <w:autoSpaceDN w:val="0"/>
      <w:adjustRightInd w:val="0"/>
      <w:spacing w:after="0" w:line="240" w:lineRule="auto"/>
    </w:pPr>
    <w:rPr>
      <w:rFonts w:ascii="ZBSJYN+TimesNewRoman" w:eastAsia="Times New Roman" w:hAnsi="ZBSJYN+TimesNewRoman" w:cs="ZBSJYN+TimesNewRoman"/>
      <w:color w:val="000000"/>
      <w:sz w:val="24"/>
      <w:szCs w:val="24"/>
      <w:lang w:eastAsia="en-AU"/>
    </w:rPr>
  </w:style>
  <w:style w:type="paragraph" w:customStyle="1" w:styleId="Standard">
    <w:name w:val="Standard"/>
    <w:basedOn w:val="Normal"/>
    <w:link w:val="StandardChar"/>
    <w:qFormat/>
    <w:rsid w:val="0059719E"/>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59719E"/>
    <w:rPr>
      <w:rFonts w:ascii="Cambria" w:eastAsia="Times New Roman" w:hAnsi="Cambria" w:cs="Times New Roman"/>
      <w:snapToGrid w:val="0"/>
      <w:kern w:val="16"/>
      <w:szCs w:val="24"/>
    </w:rPr>
  </w:style>
  <w:style w:type="paragraph" w:customStyle="1" w:styleId="Bulletpoint">
    <w:name w:val="Bullet point"/>
    <w:basedOn w:val="Standard"/>
    <w:rsid w:val="0059719E"/>
    <w:pPr>
      <w:numPr>
        <w:numId w:val="29"/>
      </w:numPr>
      <w:tabs>
        <w:tab w:val="clear" w:pos="369"/>
        <w:tab w:val="left" w:pos="397"/>
      </w:tabs>
      <w:spacing w:after="180"/>
      <w:ind w:left="425" w:hanging="425"/>
    </w:pPr>
  </w:style>
  <w:style w:type="paragraph" w:customStyle="1" w:styleId="WhiteSpace">
    <w:name w:val="White Space"/>
    <w:basedOn w:val="Standard"/>
    <w:link w:val="WhiteSpaceChar"/>
    <w:rsid w:val="0059719E"/>
    <w:pPr>
      <w:spacing w:after="0"/>
    </w:pPr>
    <w:rPr>
      <w:sz w:val="16"/>
      <w:szCs w:val="16"/>
    </w:rPr>
  </w:style>
  <w:style w:type="character" w:customStyle="1" w:styleId="WhiteSpaceChar">
    <w:name w:val="White Space Char"/>
    <w:basedOn w:val="DefaultParagraphFont"/>
    <w:link w:val="WhiteSpace"/>
    <w:rsid w:val="0059719E"/>
    <w:rPr>
      <w:rFonts w:ascii="Cambria" w:eastAsia="Times New Roman" w:hAnsi="Cambria" w:cs="Times New Roman"/>
      <w:snapToGrid w:val="0"/>
      <w:kern w:val="16"/>
      <w:sz w:val="16"/>
      <w:szCs w:val="16"/>
    </w:rPr>
  </w:style>
  <w:style w:type="paragraph" w:customStyle="1" w:styleId="AssessmentSubsection2">
    <w:name w:val="Assessment Subsection 2"/>
    <w:basedOn w:val="Normal"/>
    <w:next w:val="Standard"/>
    <w:rsid w:val="0059719E"/>
    <w:pPr>
      <w:keepNext/>
      <w:spacing w:before="0" w:after="110" w:line="252" w:lineRule="auto"/>
      <w:outlineLvl w:val="3"/>
    </w:pPr>
    <w:rPr>
      <w:rFonts w:eastAsia="Times New Roman"/>
      <w:i/>
      <w:snapToGrid w:val="0"/>
      <w:kern w:val="16"/>
      <w:szCs w:val="24"/>
    </w:rPr>
  </w:style>
  <w:style w:type="paragraph" w:customStyle="1" w:styleId="Abbreviations">
    <w:name w:val="Abbreviations"/>
    <w:basedOn w:val="Normal"/>
    <w:rsid w:val="0059719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ListParagraph">
    <w:name w:val="List Paragraph"/>
    <w:basedOn w:val="Normal"/>
    <w:uiPriority w:val="34"/>
    <w:qFormat/>
    <w:rsid w:val="0059719E"/>
    <w:pPr>
      <w:adjustRightInd w:val="0"/>
      <w:snapToGrid w:val="0"/>
      <w:spacing w:before="180" w:after="180"/>
      <w:ind w:left="720"/>
      <w:contextualSpacing/>
    </w:pPr>
    <w:rPr>
      <w:rFonts w:ascii="Arial" w:hAnsi="Arial" w:cs="Arial"/>
    </w:rPr>
  </w:style>
  <w:style w:type="character" w:customStyle="1" w:styleId="st1">
    <w:name w:val="st1"/>
    <w:basedOn w:val="DefaultParagraphFont"/>
    <w:rsid w:val="0059719E"/>
  </w:style>
  <w:style w:type="paragraph" w:styleId="BodyText">
    <w:name w:val="Body Text"/>
    <w:basedOn w:val="Normal"/>
    <w:link w:val="BodyTextChar"/>
    <w:uiPriority w:val="1"/>
    <w:qFormat/>
    <w:rsid w:val="0059719E"/>
    <w:pPr>
      <w:widowControl w:val="0"/>
      <w:autoSpaceDE w:val="0"/>
      <w:autoSpaceDN w:val="0"/>
      <w:adjustRightInd w:val="0"/>
      <w:spacing w:before="125" w:after="0" w:line="240" w:lineRule="auto"/>
      <w:ind w:left="924"/>
    </w:pPr>
    <w:rPr>
      <w:rFonts w:ascii="Times New Roman" w:eastAsiaTheme="minorEastAsia" w:hAnsi="Times New Roman"/>
      <w:lang w:eastAsia="en-AU"/>
    </w:rPr>
  </w:style>
  <w:style w:type="character" w:customStyle="1" w:styleId="BodyTextChar">
    <w:name w:val="Body Text Char"/>
    <w:basedOn w:val="DefaultParagraphFont"/>
    <w:link w:val="BodyText"/>
    <w:uiPriority w:val="1"/>
    <w:rsid w:val="0059719E"/>
    <w:rPr>
      <w:rFonts w:ascii="Times New Roman" w:eastAsiaTheme="minorEastAsia" w:hAnsi="Times New Roman" w:cs="Times New Roman"/>
      <w:lang w:eastAsia="en-AU"/>
    </w:rPr>
  </w:style>
  <w:style w:type="character" w:styleId="CommentReference">
    <w:name w:val="annotation reference"/>
    <w:basedOn w:val="DefaultParagraphFont"/>
    <w:uiPriority w:val="99"/>
    <w:semiHidden/>
    <w:unhideWhenUsed/>
    <w:rsid w:val="0059719E"/>
    <w:rPr>
      <w:sz w:val="16"/>
      <w:szCs w:val="16"/>
    </w:rPr>
  </w:style>
  <w:style w:type="paragraph" w:styleId="CommentText">
    <w:name w:val="annotation text"/>
    <w:basedOn w:val="Normal"/>
    <w:link w:val="CommentTextChar"/>
    <w:uiPriority w:val="99"/>
    <w:semiHidden/>
    <w:unhideWhenUsed/>
    <w:rsid w:val="0059719E"/>
    <w:pPr>
      <w:spacing w:line="240" w:lineRule="auto"/>
    </w:pPr>
    <w:rPr>
      <w:sz w:val="20"/>
      <w:szCs w:val="20"/>
    </w:rPr>
  </w:style>
  <w:style w:type="character" w:customStyle="1" w:styleId="CommentTextChar">
    <w:name w:val="Comment Text Char"/>
    <w:basedOn w:val="DefaultParagraphFont"/>
    <w:link w:val="CommentText"/>
    <w:uiPriority w:val="99"/>
    <w:semiHidden/>
    <w:rsid w:val="0059719E"/>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9719E"/>
    <w:rPr>
      <w:b/>
      <w:bCs/>
    </w:rPr>
  </w:style>
  <w:style w:type="character" w:customStyle="1" w:styleId="CommentSubjectChar">
    <w:name w:val="Comment Subject Char"/>
    <w:basedOn w:val="CommentTextChar"/>
    <w:link w:val="CommentSubject"/>
    <w:uiPriority w:val="99"/>
    <w:semiHidden/>
    <w:rsid w:val="0059719E"/>
    <w:rPr>
      <w:rFonts w:ascii="Cambria" w:eastAsia="Cambria" w:hAnsi="Cambria" w:cs="Times New Roman"/>
      <w:b/>
      <w:bCs/>
      <w:sz w:val="20"/>
      <w:szCs w:val="20"/>
    </w:rPr>
  </w:style>
  <w:style w:type="paragraph" w:styleId="Revision">
    <w:name w:val="Revision"/>
    <w:hidden/>
    <w:uiPriority w:val="99"/>
    <w:semiHidden/>
    <w:rsid w:val="0059719E"/>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46302">
      <w:bodyDiv w:val="1"/>
      <w:marLeft w:val="0"/>
      <w:marRight w:val="0"/>
      <w:marTop w:val="0"/>
      <w:marBottom w:val="0"/>
      <w:divBdr>
        <w:top w:val="none" w:sz="0" w:space="0" w:color="auto"/>
        <w:left w:val="none" w:sz="0" w:space="0" w:color="auto"/>
        <w:bottom w:val="none" w:sz="0" w:space="0" w:color="auto"/>
        <w:right w:val="none" w:sz="0" w:space="0" w:color="auto"/>
      </w:divBdr>
    </w:div>
    <w:div w:id="52895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tga.gov.au"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4.xml"/><Relationship Id="rId43"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Desktop\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DB531-7674-4FB6-B2E5-D6EB58B3B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19</TotalTime>
  <Pages>65</Pages>
  <Words>23524</Words>
  <Characters>134090</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Australian public assessment for Bimatoprost</vt:lpstr>
    </vt:vector>
  </TitlesOfParts>
  <Company>TGA</Company>
  <LinksUpToDate>false</LinksUpToDate>
  <CharactersWithSpaces>157300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Bimatoprost</dc:title>
  <dc:subject>prescription medicines</dc:subject>
  <dc:creator>Therapeutic Goods Administration</dc:creator>
  <cp:keywords/>
  <cp:lastModifiedBy>LACK, Janet</cp:lastModifiedBy>
  <cp:revision>3</cp:revision>
  <cp:lastPrinted>2010-12-20T22:59:00Z</cp:lastPrinted>
  <dcterms:created xsi:type="dcterms:W3CDTF">2020-11-04T21:49:00Z</dcterms:created>
  <dcterms:modified xsi:type="dcterms:W3CDTF">2020-11-04T23:34:00Z</dcterms:modified>
</cp:coreProperties>
</file>