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C5D47" w14:textId="02E2AEB3" w:rsidR="003A6F1C" w:rsidRPr="00A97420" w:rsidRDefault="009175BC" w:rsidP="007B396B">
      <w:pPr>
        <w:pStyle w:val="Heading1"/>
        <w:jc w:val="center"/>
      </w:pPr>
      <w:bookmarkStart w:id="0" w:name="_GoBack"/>
      <w:bookmarkEnd w:id="0"/>
      <w:r>
        <w:t xml:space="preserve"> </w:t>
      </w:r>
      <w:r w:rsidR="003A6F1C" w:rsidRPr="00A97420">
        <w:t>PRODUCT INFORMATION</w:t>
      </w:r>
    </w:p>
    <w:p w14:paraId="7B5C5D48" w14:textId="77777777" w:rsidR="003A6F1C" w:rsidRPr="00A97420" w:rsidRDefault="00AC7B27" w:rsidP="007B396B">
      <w:pPr>
        <w:pStyle w:val="Heading1"/>
        <w:jc w:val="center"/>
      </w:pPr>
      <w:r>
        <w:t>ZINPLAVA</w:t>
      </w:r>
      <w:r w:rsidR="00E431DF" w:rsidRPr="00E431DF">
        <w:rPr>
          <w:vertAlign w:val="superscript"/>
        </w:rPr>
        <w:t>®</w:t>
      </w:r>
    </w:p>
    <w:p w14:paraId="7B5C5D49" w14:textId="2AA6D83E" w:rsidR="003A6F1C" w:rsidRPr="00A97420" w:rsidRDefault="00AB11C5">
      <w:pPr>
        <w:jc w:val="center"/>
        <w:rPr>
          <w:rFonts w:cs="Arial"/>
          <w:b/>
          <w:sz w:val="28"/>
          <w:szCs w:val="28"/>
        </w:rPr>
      </w:pPr>
      <w:r w:rsidRPr="00A97420">
        <w:rPr>
          <w:rFonts w:cs="Arial"/>
          <w:b/>
          <w:sz w:val="28"/>
          <w:szCs w:val="28"/>
        </w:rPr>
        <w:t>(</w:t>
      </w:r>
      <w:proofErr w:type="spellStart"/>
      <w:proofErr w:type="gramStart"/>
      <w:r w:rsidR="00C36E82">
        <w:rPr>
          <w:rFonts w:cs="Arial"/>
          <w:b/>
          <w:sz w:val="28"/>
          <w:szCs w:val="28"/>
        </w:rPr>
        <w:t>bezlot</w:t>
      </w:r>
      <w:r w:rsidR="009274DD">
        <w:rPr>
          <w:rFonts w:cs="Arial"/>
          <w:b/>
          <w:sz w:val="28"/>
          <w:szCs w:val="28"/>
        </w:rPr>
        <w:t>o</w:t>
      </w:r>
      <w:r w:rsidR="00C36E82">
        <w:rPr>
          <w:rFonts w:cs="Arial"/>
          <w:b/>
          <w:sz w:val="28"/>
          <w:szCs w:val="28"/>
        </w:rPr>
        <w:t>xumab</w:t>
      </w:r>
      <w:proofErr w:type="spellEnd"/>
      <w:proofErr w:type="gramEnd"/>
      <w:r w:rsidR="00A818AD" w:rsidRPr="00A97420">
        <w:rPr>
          <w:rFonts w:cs="Arial"/>
          <w:b/>
          <w:sz w:val="28"/>
          <w:szCs w:val="28"/>
        </w:rPr>
        <w:t>)</w:t>
      </w:r>
    </w:p>
    <w:p w14:paraId="7B5C5D4A" w14:textId="77777777" w:rsidR="00A818AD" w:rsidRPr="00A97420" w:rsidRDefault="008D1A96">
      <w:pPr>
        <w:jc w:val="center"/>
        <w:rPr>
          <w:rFonts w:cs="Arial"/>
          <w:b/>
          <w:sz w:val="28"/>
          <w:szCs w:val="28"/>
        </w:rPr>
      </w:pPr>
      <w:r>
        <w:rPr>
          <w:rFonts w:cs="Arial"/>
          <w:b/>
          <w:sz w:val="28"/>
          <w:szCs w:val="28"/>
        </w:rPr>
        <w:t>C</w:t>
      </w:r>
      <w:r w:rsidR="00224446">
        <w:rPr>
          <w:rFonts w:cs="Arial"/>
          <w:b/>
          <w:sz w:val="28"/>
          <w:szCs w:val="28"/>
        </w:rPr>
        <w:t xml:space="preserve">oncentrated </w:t>
      </w:r>
      <w:r>
        <w:rPr>
          <w:rFonts w:cs="Arial"/>
          <w:b/>
          <w:sz w:val="28"/>
          <w:szCs w:val="28"/>
        </w:rPr>
        <w:t>I</w:t>
      </w:r>
      <w:r w:rsidR="00224446">
        <w:rPr>
          <w:rFonts w:cs="Arial"/>
          <w:b/>
          <w:sz w:val="28"/>
          <w:szCs w:val="28"/>
        </w:rPr>
        <w:t>njection</w:t>
      </w:r>
    </w:p>
    <w:p w14:paraId="7B5C5D4B" w14:textId="77777777" w:rsidR="003A6F1C" w:rsidRPr="00A97420" w:rsidRDefault="00491C60" w:rsidP="007B396B">
      <w:pPr>
        <w:pStyle w:val="Heading1"/>
      </w:pPr>
      <w:r w:rsidRPr="00A97420">
        <w:t>NAME OF THE MEDICINE</w:t>
      </w:r>
    </w:p>
    <w:p w14:paraId="7B5C5D4C" w14:textId="324D31D1" w:rsidR="00EA73BB" w:rsidRDefault="00224446">
      <w:pPr>
        <w:rPr>
          <w:rFonts w:cs="Arial"/>
        </w:rPr>
      </w:pPr>
      <w:proofErr w:type="spellStart"/>
      <w:r>
        <w:rPr>
          <w:rFonts w:cs="Arial"/>
        </w:rPr>
        <w:t>Bezlot</w:t>
      </w:r>
      <w:r w:rsidR="009274DD">
        <w:rPr>
          <w:rFonts w:cs="Arial"/>
        </w:rPr>
        <w:t>o</w:t>
      </w:r>
      <w:r>
        <w:rPr>
          <w:rFonts w:cs="Arial"/>
        </w:rPr>
        <w:t>xumab</w:t>
      </w:r>
      <w:proofErr w:type="spellEnd"/>
    </w:p>
    <w:p w14:paraId="7B5C5D4D" w14:textId="77777777" w:rsidR="00224446" w:rsidRPr="00A97420" w:rsidRDefault="00224446">
      <w:pPr>
        <w:rPr>
          <w:rFonts w:cs="Arial"/>
        </w:rPr>
      </w:pPr>
    </w:p>
    <w:p w14:paraId="7B5C5D4E" w14:textId="77777777" w:rsidR="003A6F1C" w:rsidRPr="00A97420" w:rsidRDefault="00EA73BB">
      <w:pPr>
        <w:rPr>
          <w:rFonts w:cs="Arial"/>
        </w:rPr>
      </w:pPr>
      <w:r w:rsidRPr="00A97420">
        <w:rPr>
          <w:rFonts w:cs="Arial"/>
        </w:rPr>
        <w:t xml:space="preserve">CAS No.: </w:t>
      </w:r>
      <w:r w:rsidR="00B12D0E">
        <w:rPr>
          <w:rFonts w:cs="Arial"/>
        </w:rPr>
        <w:t>124</w:t>
      </w:r>
      <w:r w:rsidR="00082435">
        <w:rPr>
          <w:rFonts w:cs="Arial"/>
        </w:rPr>
        <w:t>6264-45-8</w:t>
      </w:r>
    </w:p>
    <w:p w14:paraId="7B5C5D4F" w14:textId="77777777" w:rsidR="00491C60" w:rsidRPr="00A97420" w:rsidRDefault="00491C60" w:rsidP="007B396B">
      <w:pPr>
        <w:pStyle w:val="Heading1"/>
      </w:pPr>
      <w:r w:rsidRPr="00A97420">
        <w:t>DESCRIPTION</w:t>
      </w:r>
    </w:p>
    <w:p w14:paraId="7B5C5D50" w14:textId="77777777" w:rsidR="004E62C2" w:rsidRDefault="00D46F08" w:rsidP="00D46F08">
      <w:pPr>
        <w:rPr>
          <w:iCs/>
          <w:szCs w:val="22"/>
        </w:rPr>
      </w:pPr>
      <w:r w:rsidRPr="00A97420">
        <w:rPr>
          <w:rFonts w:cs="Arial"/>
        </w:rPr>
        <w:t xml:space="preserve">One vial contains </w:t>
      </w:r>
      <w:proofErr w:type="spellStart"/>
      <w:r w:rsidR="00EB3480" w:rsidRPr="009472BB">
        <w:rPr>
          <w:iCs/>
          <w:color w:val="000000"/>
          <w:szCs w:val="22"/>
        </w:rPr>
        <w:t>bezl</w:t>
      </w:r>
      <w:r w:rsidR="00EB3480" w:rsidRPr="009472BB">
        <w:rPr>
          <w:iCs/>
          <w:szCs w:val="22"/>
        </w:rPr>
        <w:t>otoxumab</w:t>
      </w:r>
      <w:proofErr w:type="spellEnd"/>
      <w:r w:rsidR="00EB3480" w:rsidRPr="009472BB">
        <w:rPr>
          <w:iCs/>
          <w:color w:val="000000"/>
          <w:szCs w:val="22"/>
        </w:rPr>
        <w:t xml:space="preserve"> </w:t>
      </w:r>
      <w:r w:rsidR="00B12D0E" w:rsidRPr="009472BB">
        <w:rPr>
          <w:iCs/>
          <w:color w:val="000000"/>
          <w:szCs w:val="22"/>
        </w:rPr>
        <w:t>1</w:t>
      </w:r>
      <w:r w:rsidR="00B12D0E">
        <w:rPr>
          <w:iCs/>
          <w:color w:val="000000"/>
          <w:szCs w:val="22"/>
        </w:rPr>
        <w:t>,</w:t>
      </w:r>
      <w:r w:rsidR="00B12D0E" w:rsidRPr="009472BB">
        <w:rPr>
          <w:iCs/>
          <w:color w:val="000000"/>
          <w:szCs w:val="22"/>
        </w:rPr>
        <w:t>000 mg</w:t>
      </w:r>
      <w:r w:rsidR="00EB3480">
        <w:rPr>
          <w:iCs/>
          <w:color w:val="000000"/>
          <w:szCs w:val="22"/>
        </w:rPr>
        <w:t xml:space="preserve">/40 </w:t>
      </w:r>
      <w:proofErr w:type="spellStart"/>
      <w:r w:rsidR="00EB3480">
        <w:rPr>
          <w:iCs/>
          <w:color w:val="000000"/>
          <w:szCs w:val="22"/>
        </w:rPr>
        <w:t>mL</w:t>
      </w:r>
      <w:r w:rsidR="00B12D0E">
        <w:rPr>
          <w:iCs/>
          <w:szCs w:val="22"/>
        </w:rPr>
        <w:t>.</w:t>
      </w:r>
      <w:proofErr w:type="spellEnd"/>
      <w:r w:rsidR="004D2799">
        <w:rPr>
          <w:iCs/>
          <w:szCs w:val="22"/>
        </w:rPr>
        <w:t xml:space="preserve"> </w:t>
      </w:r>
    </w:p>
    <w:p w14:paraId="7B5C5D51" w14:textId="77777777" w:rsidR="00D46F08" w:rsidRPr="00A97420" w:rsidRDefault="004D2799" w:rsidP="00D46F08">
      <w:pPr>
        <w:rPr>
          <w:rFonts w:cs="Arial"/>
        </w:rPr>
      </w:pPr>
      <w:r>
        <w:rPr>
          <w:iCs/>
          <w:szCs w:val="22"/>
        </w:rPr>
        <w:t xml:space="preserve"> </w:t>
      </w:r>
    </w:p>
    <w:p w14:paraId="7B5C5D52" w14:textId="77777777" w:rsidR="004D2799" w:rsidRDefault="00AC7B27" w:rsidP="003A46C6">
      <w:pPr>
        <w:rPr>
          <w:rFonts w:cs="Arial"/>
        </w:rPr>
      </w:pPr>
      <w:r>
        <w:rPr>
          <w:rFonts w:cs="Arial"/>
        </w:rPr>
        <w:t>ZINPLAVA</w:t>
      </w:r>
      <w:r w:rsidR="00B12D0E" w:rsidRPr="00B12D0E">
        <w:rPr>
          <w:rFonts w:cs="Arial"/>
        </w:rPr>
        <w:t xml:space="preserve"> (</w:t>
      </w:r>
      <w:proofErr w:type="spellStart"/>
      <w:r w:rsidR="00B12D0E" w:rsidRPr="00B12D0E">
        <w:rPr>
          <w:rFonts w:cs="Arial"/>
        </w:rPr>
        <w:t>bezlotoxumab</w:t>
      </w:r>
      <w:proofErr w:type="spellEnd"/>
      <w:r w:rsidR="00B12D0E" w:rsidRPr="00B12D0E">
        <w:rPr>
          <w:rFonts w:cs="Arial"/>
        </w:rPr>
        <w:t xml:space="preserve">) is a specific fully human monoclonal antibody that binds with high affinity to </w:t>
      </w:r>
      <w:r w:rsidR="00B12D0E" w:rsidRPr="001F212B">
        <w:rPr>
          <w:rFonts w:cs="Arial"/>
          <w:i/>
        </w:rPr>
        <w:t>C. difficile</w:t>
      </w:r>
      <w:r w:rsidR="00B12D0E" w:rsidRPr="00B12D0E">
        <w:rPr>
          <w:rFonts w:cs="Arial"/>
        </w:rPr>
        <w:t xml:space="preserve"> toxin B. </w:t>
      </w:r>
      <w:proofErr w:type="spellStart"/>
      <w:r w:rsidR="00B12D0E" w:rsidRPr="00B12D0E">
        <w:rPr>
          <w:rFonts w:cs="Arial"/>
        </w:rPr>
        <w:t>Bezlotoxumab</w:t>
      </w:r>
      <w:proofErr w:type="spellEnd"/>
      <w:r w:rsidR="00B12D0E" w:rsidRPr="00B12D0E">
        <w:rPr>
          <w:rFonts w:cs="Arial"/>
        </w:rPr>
        <w:t xml:space="preserve"> is an IgG</w:t>
      </w:r>
      <w:r w:rsidR="00B12D0E" w:rsidRPr="001F212B">
        <w:rPr>
          <w:rFonts w:cs="Arial"/>
          <w:vertAlign w:val="subscript"/>
        </w:rPr>
        <w:t>1</w:t>
      </w:r>
      <w:r w:rsidR="00B12D0E" w:rsidRPr="00B12D0E">
        <w:rPr>
          <w:rFonts w:cs="Arial"/>
        </w:rPr>
        <w:t xml:space="preserve"> immunoglobulin with an approximate molecular weight of 148.2 </w:t>
      </w:r>
      <w:proofErr w:type="spellStart"/>
      <w:r w:rsidR="00B12D0E" w:rsidRPr="00B12D0E">
        <w:rPr>
          <w:rFonts w:cs="Arial"/>
        </w:rPr>
        <w:t>kDa</w:t>
      </w:r>
      <w:proofErr w:type="spellEnd"/>
      <w:r w:rsidR="00B12D0E" w:rsidRPr="00B12D0E">
        <w:rPr>
          <w:rFonts w:cs="Arial"/>
        </w:rPr>
        <w:t>.</w:t>
      </w:r>
      <w:r w:rsidR="00B12D0E">
        <w:rPr>
          <w:rFonts w:cs="Arial"/>
        </w:rPr>
        <w:t xml:space="preserve"> </w:t>
      </w:r>
      <w:proofErr w:type="spellStart"/>
      <w:r w:rsidR="003A46C6">
        <w:rPr>
          <w:rFonts w:cs="Arial"/>
        </w:rPr>
        <w:t>Bezlotoxumab</w:t>
      </w:r>
      <w:proofErr w:type="spellEnd"/>
      <w:r w:rsidR="003A46C6" w:rsidRPr="00A97420">
        <w:rPr>
          <w:rFonts w:cs="Arial"/>
        </w:rPr>
        <w:t xml:space="preserve"> is produced in Chinese hamster ovary cells by recombinant DNA technology.</w:t>
      </w:r>
    </w:p>
    <w:p w14:paraId="7B5C5D53" w14:textId="77777777" w:rsidR="00D46F08" w:rsidRPr="00A97420" w:rsidRDefault="00D46F08" w:rsidP="00D46F08">
      <w:pPr>
        <w:rPr>
          <w:rFonts w:cs="Arial"/>
        </w:rPr>
      </w:pPr>
    </w:p>
    <w:p w14:paraId="7B5C5D54" w14:textId="4488D031" w:rsidR="00FF4074" w:rsidRPr="009F14D7" w:rsidRDefault="00AC7B27" w:rsidP="00D46F08">
      <w:pPr>
        <w:rPr>
          <w:rFonts w:cs="Arial"/>
        </w:rPr>
      </w:pPr>
      <w:r>
        <w:rPr>
          <w:rFonts w:cs="Arial"/>
        </w:rPr>
        <w:t>ZINPLAVA</w:t>
      </w:r>
      <w:r w:rsidR="00B12D0E" w:rsidRPr="00B12D0E">
        <w:rPr>
          <w:rFonts w:cs="Arial"/>
        </w:rPr>
        <w:t xml:space="preserve"> </w:t>
      </w:r>
      <w:r w:rsidR="004F582B">
        <w:rPr>
          <w:rFonts w:cs="Arial"/>
        </w:rPr>
        <w:t xml:space="preserve">concentrated </w:t>
      </w:r>
      <w:r w:rsidR="00B12D0E" w:rsidRPr="00B12D0E">
        <w:rPr>
          <w:rFonts w:cs="Arial"/>
        </w:rPr>
        <w:t>injection is a sterile, preservative-free, clear to moderately opalescent, colo</w:t>
      </w:r>
      <w:r w:rsidR="004F582B">
        <w:rPr>
          <w:rFonts w:cs="Arial"/>
        </w:rPr>
        <w:t>u</w:t>
      </w:r>
      <w:r w:rsidR="00B12D0E" w:rsidRPr="00B12D0E">
        <w:rPr>
          <w:rFonts w:cs="Arial"/>
        </w:rPr>
        <w:t>rless to pale yellow liquid that requires dilution for intravenous infusion.</w:t>
      </w:r>
      <w:r w:rsidR="004D2799">
        <w:rPr>
          <w:rFonts w:cs="Arial"/>
        </w:rPr>
        <w:t xml:space="preserve"> </w:t>
      </w:r>
      <w:r w:rsidR="004F582B" w:rsidRPr="004F582B">
        <w:rPr>
          <w:rFonts w:cs="Arial"/>
        </w:rPr>
        <w:t xml:space="preserve">Each vial contains </w:t>
      </w:r>
      <w:proofErr w:type="spellStart"/>
      <w:r w:rsidR="004F582B" w:rsidRPr="004F582B">
        <w:rPr>
          <w:rFonts w:cs="Arial"/>
        </w:rPr>
        <w:t>bezlotoxumab</w:t>
      </w:r>
      <w:proofErr w:type="spellEnd"/>
      <w:r w:rsidR="004F582B" w:rsidRPr="004F582B">
        <w:rPr>
          <w:rFonts w:cs="Arial"/>
        </w:rPr>
        <w:t> </w:t>
      </w:r>
      <w:r w:rsidR="001F212B">
        <w:rPr>
          <w:rFonts w:cs="Arial"/>
        </w:rPr>
        <w:t>and the following inactive ingredients:</w:t>
      </w:r>
      <w:r w:rsidR="004F582B" w:rsidRPr="004F582B">
        <w:rPr>
          <w:rFonts w:cs="Arial"/>
        </w:rPr>
        <w:t xml:space="preserve"> sodium chloride, sodium citrate</w:t>
      </w:r>
      <w:r w:rsidR="00F22F90">
        <w:rPr>
          <w:rFonts w:cs="Arial"/>
        </w:rPr>
        <w:t xml:space="preserve"> </w:t>
      </w:r>
      <w:proofErr w:type="spellStart"/>
      <w:r w:rsidR="00F22F90">
        <w:rPr>
          <w:rFonts w:cs="Arial"/>
        </w:rPr>
        <w:t>dihy</w:t>
      </w:r>
      <w:r w:rsidR="008473FC">
        <w:rPr>
          <w:rFonts w:cs="Arial"/>
        </w:rPr>
        <w:t>d</w:t>
      </w:r>
      <w:r w:rsidR="00F22F90">
        <w:rPr>
          <w:rFonts w:cs="Arial"/>
        </w:rPr>
        <w:t>rate</w:t>
      </w:r>
      <w:proofErr w:type="spellEnd"/>
      <w:r w:rsidR="004F582B" w:rsidRPr="004F582B">
        <w:rPr>
          <w:rFonts w:cs="Arial"/>
        </w:rPr>
        <w:t xml:space="preserve">, citric acid monohydrate, </w:t>
      </w:r>
      <w:proofErr w:type="spellStart"/>
      <w:r w:rsidR="004F582B" w:rsidRPr="004F582B">
        <w:rPr>
          <w:rFonts w:cs="Arial"/>
        </w:rPr>
        <w:t>polysorbate</w:t>
      </w:r>
      <w:proofErr w:type="spellEnd"/>
      <w:r w:rsidR="004F582B" w:rsidRPr="004F582B">
        <w:rPr>
          <w:rFonts w:cs="Arial"/>
        </w:rPr>
        <w:t xml:space="preserve"> 80, </w:t>
      </w:r>
      <w:proofErr w:type="spellStart"/>
      <w:r w:rsidR="009969F5">
        <w:rPr>
          <w:rFonts w:cs="Arial"/>
        </w:rPr>
        <w:t>pentetic</w:t>
      </w:r>
      <w:proofErr w:type="spellEnd"/>
      <w:r w:rsidR="009969F5">
        <w:rPr>
          <w:rFonts w:cs="Arial"/>
        </w:rPr>
        <w:t xml:space="preserve"> acid</w:t>
      </w:r>
      <w:r w:rsidR="004F582B" w:rsidRPr="004F582B">
        <w:rPr>
          <w:rFonts w:cs="Arial"/>
        </w:rPr>
        <w:t>, and Water for Injection</w:t>
      </w:r>
      <w:r w:rsidR="009969F5">
        <w:rPr>
          <w:rFonts w:cs="Arial"/>
        </w:rPr>
        <w:t>s</w:t>
      </w:r>
      <w:r w:rsidR="004F582B">
        <w:rPr>
          <w:rFonts w:cs="Arial"/>
        </w:rPr>
        <w:t>.</w:t>
      </w:r>
      <w:r w:rsidR="004D2799">
        <w:rPr>
          <w:rFonts w:cs="Arial"/>
        </w:rPr>
        <w:t xml:space="preserve"> </w:t>
      </w:r>
      <w:r w:rsidR="004F582B" w:rsidRPr="004F582B">
        <w:rPr>
          <w:rFonts w:cs="Arial"/>
        </w:rPr>
        <w:t>The vial may contain sodium hydroxide to adjust the pH to 6.0.</w:t>
      </w:r>
      <w:r w:rsidR="004D2799">
        <w:rPr>
          <w:rFonts w:cs="Arial"/>
        </w:rPr>
        <w:t xml:space="preserve"> </w:t>
      </w:r>
    </w:p>
    <w:p w14:paraId="7B5C5D55" w14:textId="77777777" w:rsidR="003A6F1C" w:rsidRPr="00B93124" w:rsidRDefault="00491C60" w:rsidP="007B396B">
      <w:pPr>
        <w:pStyle w:val="Heading1"/>
      </w:pPr>
      <w:r w:rsidRPr="00187C95">
        <w:t>PHARMACOLOGY</w:t>
      </w:r>
    </w:p>
    <w:p w14:paraId="7B5C5D56" w14:textId="77777777" w:rsidR="009969F5" w:rsidRPr="004172BA" w:rsidRDefault="009969F5" w:rsidP="009969F5">
      <w:pPr>
        <w:pStyle w:val="Heading2"/>
        <w:rPr>
          <w:rFonts w:ascii="Arial" w:hAnsi="Arial" w:cs="Arial"/>
        </w:rPr>
      </w:pPr>
      <w:proofErr w:type="spellStart"/>
      <w:r>
        <w:rPr>
          <w:rFonts w:ascii="Arial" w:hAnsi="Arial" w:cs="Arial"/>
        </w:rPr>
        <w:t>P</w:t>
      </w:r>
      <w:r w:rsidR="006E70AF">
        <w:rPr>
          <w:rFonts w:ascii="Arial" w:hAnsi="Arial" w:cs="Arial"/>
        </w:rPr>
        <w:t>harmacodynamic</w:t>
      </w:r>
      <w:proofErr w:type="spellEnd"/>
      <w:r w:rsidR="006E70AF">
        <w:rPr>
          <w:rFonts w:ascii="Arial" w:hAnsi="Arial" w:cs="Arial"/>
        </w:rPr>
        <w:t xml:space="preserve"> properties</w:t>
      </w:r>
    </w:p>
    <w:p w14:paraId="7B5C5D57" w14:textId="77777777" w:rsidR="006E70AF" w:rsidRDefault="006E70AF" w:rsidP="009969F5">
      <w:pPr>
        <w:rPr>
          <w:rFonts w:cs="Arial"/>
          <w:i/>
        </w:rPr>
      </w:pPr>
    </w:p>
    <w:p w14:paraId="7B5C5D58" w14:textId="4A951977" w:rsidR="006E70AF" w:rsidRDefault="006E70AF" w:rsidP="006E70AF">
      <w:pPr>
        <w:keepLines w:val="0"/>
        <w:tabs>
          <w:tab w:val="clear" w:pos="-720"/>
          <w:tab w:val="clear" w:pos="4513"/>
          <w:tab w:val="clear" w:pos="10348"/>
          <w:tab w:val="left" w:pos="567"/>
        </w:tabs>
        <w:suppressAutoHyphens w:val="0"/>
        <w:jc w:val="left"/>
        <w:outlineLvl w:val="0"/>
        <w:rPr>
          <w:rFonts w:cs="Arial"/>
          <w:szCs w:val="22"/>
          <w:lang w:val="en-GB" w:eastAsia="en-US"/>
        </w:rPr>
      </w:pPr>
      <w:proofErr w:type="spellStart"/>
      <w:r w:rsidRPr="006E70AF">
        <w:rPr>
          <w:rFonts w:cs="Arial"/>
          <w:lang w:val="en-GB" w:eastAsia="en-US"/>
        </w:rPr>
        <w:t>Pharmacotherapeutic</w:t>
      </w:r>
      <w:proofErr w:type="spellEnd"/>
      <w:r w:rsidRPr="006E70AF">
        <w:rPr>
          <w:rFonts w:cs="Arial"/>
          <w:lang w:val="en-GB" w:eastAsia="en-US"/>
        </w:rPr>
        <w:t xml:space="preserve"> group: </w:t>
      </w:r>
      <w:r w:rsidRPr="006E70AF">
        <w:rPr>
          <w:rFonts w:cs="Arial"/>
          <w:szCs w:val="22"/>
          <w:lang w:val="en-GB" w:eastAsia="en-US"/>
        </w:rPr>
        <w:t xml:space="preserve">ATC code: </w:t>
      </w:r>
      <w:r w:rsidR="00F22F90">
        <w:rPr>
          <w:rFonts w:cs="Arial"/>
          <w:szCs w:val="22"/>
          <w:lang w:val="en-GB" w:eastAsia="en-US"/>
        </w:rPr>
        <w:t>J06BB21</w:t>
      </w:r>
    </w:p>
    <w:p w14:paraId="7B5C5D59" w14:textId="77777777" w:rsidR="006E70AF" w:rsidRDefault="006E70AF" w:rsidP="006E70AF">
      <w:pPr>
        <w:keepLines w:val="0"/>
        <w:tabs>
          <w:tab w:val="clear" w:pos="-720"/>
          <w:tab w:val="clear" w:pos="4513"/>
          <w:tab w:val="clear" w:pos="10348"/>
          <w:tab w:val="left" w:pos="567"/>
        </w:tabs>
        <w:suppressAutoHyphens w:val="0"/>
        <w:jc w:val="left"/>
        <w:outlineLvl w:val="0"/>
        <w:rPr>
          <w:rFonts w:cs="Arial"/>
          <w:szCs w:val="22"/>
          <w:lang w:val="en-GB" w:eastAsia="en-US"/>
        </w:rPr>
      </w:pPr>
    </w:p>
    <w:p w14:paraId="7B5C5D5A" w14:textId="77777777" w:rsidR="008D1A96" w:rsidRDefault="006E70AF" w:rsidP="008D1A96">
      <w:pPr>
        <w:keepLines w:val="0"/>
        <w:tabs>
          <w:tab w:val="clear" w:pos="-720"/>
          <w:tab w:val="clear" w:pos="4513"/>
          <w:tab w:val="clear" w:pos="10348"/>
          <w:tab w:val="left" w:pos="567"/>
        </w:tabs>
        <w:suppressAutoHyphens w:val="0"/>
        <w:spacing w:before="120" w:after="60"/>
        <w:jc w:val="left"/>
        <w:outlineLvl w:val="0"/>
        <w:rPr>
          <w:rFonts w:cs="Arial"/>
          <w:b/>
          <w:szCs w:val="22"/>
          <w:lang w:val="en-GB" w:eastAsia="en-US"/>
        </w:rPr>
      </w:pPr>
      <w:r w:rsidRPr="006E70AF">
        <w:rPr>
          <w:rFonts w:cs="Arial"/>
          <w:b/>
          <w:szCs w:val="22"/>
          <w:lang w:val="en-GB" w:eastAsia="en-US"/>
        </w:rPr>
        <w:t>Mechanism of Action</w:t>
      </w:r>
    </w:p>
    <w:p w14:paraId="7B5C5D5B" w14:textId="26326238" w:rsidR="009969F5" w:rsidRPr="005F3270" w:rsidRDefault="009969F5" w:rsidP="00F004C5">
      <w:pPr>
        <w:keepLines w:val="0"/>
        <w:tabs>
          <w:tab w:val="clear" w:pos="-720"/>
          <w:tab w:val="clear" w:pos="4513"/>
          <w:tab w:val="clear" w:pos="10348"/>
          <w:tab w:val="left" w:pos="567"/>
        </w:tabs>
        <w:suppressAutoHyphens w:val="0"/>
        <w:spacing w:before="120" w:after="60"/>
        <w:outlineLvl w:val="0"/>
        <w:rPr>
          <w:rFonts w:cs="Arial"/>
          <w:color w:val="0000FF"/>
        </w:rPr>
      </w:pPr>
      <w:r w:rsidRPr="009969F5">
        <w:rPr>
          <w:rFonts w:cs="Arial"/>
          <w:i/>
        </w:rPr>
        <w:t>Clostridium difficile</w:t>
      </w:r>
      <w:r w:rsidRPr="009969F5">
        <w:rPr>
          <w:rFonts w:cs="Arial"/>
        </w:rPr>
        <w:t xml:space="preserve"> colonizes and infects the large intestine. The bacterium expresses two exotoxins, toxin A and toxin B. In preclinical studies, the toxins have been shown to target host colonic epithelial cells, leading to tissue injury that disrupts the normal gut barrier function. In addition to their cytopathic/cytotoxic effects on cells, the toxins cause the release of pro-inflammatory mediators leading to the recruitment of neutrophils and other immune cells to the site of infection, which contributes to the persistence of tissue damage that underlies the symptoms of </w:t>
      </w:r>
      <w:r w:rsidRPr="003A46C6">
        <w:rPr>
          <w:rFonts w:cs="Arial"/>
          <w:i/>
        </w:rPr>
        <w:t>C</w:t>
      </w:r>
      <w:r w:rsidR="003A46C6" w:rsidRPr="003A46C6">
        <w:rPr>
          <w:rFonts w:cs="Arial"/>
          <w:i/>
        </w:rPr>
        <w:t xml:space="preserve">lostridium </w:t>
      </w:r>
      <w:proofErr w:type="spellStart"/>
      <w:r w:rsidR="003627F2">
        <w:rPr>
          <w:rFonts w:cs="Arial"/>
          <w:i/>
        </w:rPr>
        <w:t>d</w:t>
      </w:r>
      <w:r w:rsidR="003A46C6" w:rsidRPr="003A46C6">
        <w:rPr>
          <w:rFonts w:cs="Arial"/>
          <w:i/>
        </w:rPr>
        <w:t>iffici</w:t>
      </w:r>
      <w:r w:rsidRPr="003A46C6">
        <w:rPr>
          <w:rFonts w:cs="Arial"/>
          <w:i/>
        </w:rPr>
        <w:t>I</w:t>
      </w:r>
      <w:r w:rsidR="003A46C6" w:rsidRPr="003A46C6">
        <w:rPr>
          <w:rFonts w:cs="Arial"/>
          <w:i/>
        </w:rPr>
        <w:t>e</w:t>
      </w:r>
      <w:proofErr w:type="spellEnd"/>
      <w:r w:rsidR="003A46C6">
        <w:rPr>
          <w:rFonts w:cs="Arial"/>
        </w:rPr>
        <w:t xml:space="preserve"> </w:t>
      </w:r>
      <w:r w:rsidR="003627F2">
        <w:rPr>
          <w:rFonts w:cs="Arial"/>
        </w:rPr>
        <w:t>i</w:t>
      </w:r>
      <w:r w:rsidR="003A46C6">
        <w:rPr>
          <w:rFonts w:cs="Arial"/>
        </w:rPr>
        <w:t>nfection (CDI)</w:t>
      </w:r>
      <w:r w:rsidRPr="009969F5">
        <w:rPr>
          <w:rFonts w:cs="Arial"/>
        </w:rPr>
        <w:t xml:space="preserve">. CDI is generally treated with antibiotic therapy to kill the growing </w:t>
      </w:r>
      <w:r w:rsidRPr="009969F5">
        <w:rPr>
          <w:rFonts w:cs="Arial"/>
          <w:i/>
        </w:rPr>
        <w:t>C. difficile</w:t>
      </w:r>
      <w:r w:rsidRPr="009969F5">
        <w:rPr>
          <w:rFonts w:cs="Arial"/>
        </w:rPr>
        <w:t xml:space="preserve"> bacteria that are expressing the toxins. Recurrence of CDI occurs due to persistent or newly-acquired </w:t>
      </w:r>
      <w:r w:rsidRPr="009969F5">
        <w:rPr>
          <w:rFonts w:cs="Arial"/>
          <w:i/>
        </w:rPr>
        <w:t>C. difficile</w:t>
      </w:r>
      <w:r w:rsidRPr="009969F5">
        <w:rPr>
          <w:rFonts w:cs="Arial"/>
        </w:rPr>
        <w:t xml:space="preserve"> spores, whose outgrowth (leading to new toxin expression) is facilitated by the gut </w:t>
      </w:r>
      <w:proofErr w:type="spellStart"/>
      <w:r w:rsidRPr="009969F5">
        <w:rPr>
          <w:rFonts w:cs="Arial"/>
        </w:rPr>
        <w:t>dysbiosis</w:t>
      </w:r>
      <w:proofErr w:type="spellEnd"/>
      <w:r w:rsidRPr="009969F5">
        <w:rPr>
          <w:rFonts w:cs="Arial"/>
        </w:rPr>
        <w:t xml:space="preserve"> caused by antibiotics. In patients, endogenous antibody </w:t>
      </w:r>
      <w:r w:rsidR="00C02CBA">
        <w:rPr>
          <w:rFonts w:cs="Arial"/>
        </w:rPr>
        <w:t>titre</w:t>
      </w:r>
      <w:r w:rsidRPr="009969F5">
        <w:rPr>
          <w:rFonts w:cs="Arial"/>
        </w:rPr>
        <w:t xml:space="preserve">s against </w:t>
      </w:r>
      <w:r w:rsidRPr="009969F5">
        <w:rPr>
          <w:rFonts w:cs="Arial"/>
          <w:i/>
        </w:rPr>
        <w:t>C. difficile</w:t>
      </w:r>
      <w:r w:rsidRPr="009969F5">
        <w:rPr>
          <w:rFonts w:cs="Arial"/>
        </w:rPr>
        <w:t xml:space="preserve"> toxins have been reported to correlate with reduced recurrence of </w:t>
      </w:r>
      <w:r w:rsidRPr="009969F5">
        <w:rPr>
          <w:rFonts w:cs="Arial"/>
          <w:i/>
        </w:rPr>
        <w:t>C. difficile</w:t>
      </w:r>
      <w:r w:rsidRPr="009969F5">
        <w:rPr>
          <w:rFonts w:cs="Arial"/>
        </w:rPr>
        <w:t xml:space="preserve"> infection. </w:t>
      </w:r>
      <w:proofErr w:type="spellStart"/>
      <w:r w:rsidRPr="009969F5">
        <w:rPr>
          <w:rFonts w:cs="Arial"/>
        </w:rPr>
        <w:t>Bezlotoxumab</w:t>
      </w:r>
      <w:proofErr w:type="spellEnd"/>
      <w:r w:rsidRPr="009969F5">
        <w:rPr>
          <w:rFonts w:cs="Arial"/>
        </w:rPr>
        <w:t xml:space="preserve"> is an antitoxin antibody that binds with high affinity (</w:t>
      </w:r>
      <w:proofErr w:type="spellStart"/>
      <w:proofErr w:type="gramStart"/>
      <w:r w:rsidRPr="009969F5">
        <w:rPr>
          <w:rFonts w:cs="Arial"/>
        </w:rPr>
        <w:t>Kd</w:t>
      </w:r>
      <w:proofErr w:type="spellEnd"/>
      <w:r w:rsidRPr="009969F5">
        <w:rPr>
          <w:rFonts w:cs="Arial"/>
        </w:rPr>
        <w:t>&lt;</w:t>
      </w:r>
      <w:proofErr w:type="gramEnd"/>
      <w:r w:rsidRPr="009969F5">
        <w:rPr>
          <w:rFonts w:cs="Arial"/>
        </w:rPr>
        <w:t>1×10</w:t>
      </w:r>
      <w:r w:rsidRPr="00E44D4C">
        <w:rPr>
          <w:rFonts w:cs="Arial"/>
          <w:vertAlign w:val="superscript"/>
        </w:rPr>
        <w:t>-9</w:t>
      </w:r>
      <w:r w:rsidRPr="009969F5">
        <w:rPr>
          <w:rFonts w:cs="Arial"/>
        </w:rPr>
        <w:t>M) to</w:t>
      </w:r>
      <w:r w:rsidRPr="009969F5">
        <w:rPr>
          <w:rFonts w:cs="Arial"/>
          <w:i/>
        </w:rPr>
        <w:t xml:space="preserve"> C. difficile</w:t>
      </w:r>
      <w:r w:rsidRPr="009969F5">
        <w:rPr>
          <w:rFonts w:cs="Arial"/>
        </w:rPr>
        <w:t xml:space="preserve"> toxin B and neutrali</w:t>
      </w:r>
      <w:r w:rsidR="009D4322">
        <w:rPr>
          <w:rFonts w:cs="Arial"/>
        </w:rPr>
        <w:t>s</w:t>
      </w:r>
      <w:r w:rsidRPr="009969F5">
        <w:rPr>
          <w:rFonts w:cs="Arial"/>
        </w:rPr>
        <w:t xml:space="preserve">es its activity by preventing it from binding to host cells. </w:t>
      </w:r>
      <w:proofErr w:type="spellStart"/>
      <w:r w:rsidR="009274DD">
        <w:rPr>
          <w:rFonts w:cs="Arial"/>
        </w:rPr>
        <w:t>Bezlotoxumab</w:t>
      </w:r>
      <w:proofErr w:type="spellEnd"/>
      <w:r w:rsidR="009274DD">
        <w:rPr>
          <w:rFonts w:cs="Arial"/>
        </w:rPr>
        <w:t xml:space="preserve"> does not bind to </w:t>
      </w:r>
      <w:proofErr w:type="spellStart"/>
      <w:r w:rsidR="009274DD" w:rsidRPr="009274DD">
        <w:rPr>
          <w:rFonts w:cs="Arial"/>
          <w:i/>
        </w:rPr>
        <w:t>C.difficile</w:t>
      </w:r>
      <w:proofErr w:type="spellEnd"/>
      <w:r w:rsidR="009274DD">
        <w:rPr>
          <w:rFonts w:cs="Arial"/>
        </w:rPr>
        <w:t xml:space="preserve"> toxin A. </w:t>
      </w:r>
      <w:r w:rsidRPr="009969F5">
        <w:rPr>
          <w:rFonts w:cs="Arial"/>
        </w:rPr>
        <w:t xml:space="preserve">In MODIFY I and MODIFY II, </w:t>
      </w:r>
      <w:r w:rsidR="00AC7B27">
        <w:rPr>
          <w:rFonts w:cs="Arial"/>
        </w:rPr>
        <w:t>ZINPLAVA</w:t>
      </w:r>
      <w:r w:rsidRPr="009969F5">
        <w:rPr>
          <w:rFonts w:cs="Arial"/>
        </w:rPr>
        <w:t xml:space="preserve"> prevented the recurrence of CDI when administered in combination with </w:t>
      </w:r>
      <w:r w:rsidRPr="003A46C6">
        <w:rPr>
          <w:rFonts w:cs="Arial"/>
        </w:rPr>
        <w:t>S</w:t>
      </w:r>
      <w:r w:rsidR="003A46C6">
        <w:rPr>
          <w:rFonts w:cs="Arial"/>
        </w:rPr>
        <w:t xml:space="preserve">tandard </w:t>
      </w:r>
      <w:r w:rsidRPr="003A46C6">
        <w:rPr>
          <w:rFonts w:cs="Arial"/>
        </w:rPr>
        <w:t>o</w:t>
      </w:r>
      <w:r w:rsidR="003A46C6">
        <w:rPr>
          <w:rFonts w:cs="Arial"/>
        </w:rPr>
        <w:t xml:space="preserve">f </w:t>
      </w:r>
      <w:r w:rsidRPr="003A46C6">
        <w:rPr>
          <w:rFonts w:cs="Arial"/>
        </w:rPr>
        <w:t>C</w:t>
      </w:r>
      <w:r w:rsidR="003A46C6">
        <w:rPr>
          <w:rFonts w:cs="Arial"/>
        </w:rPr>
        <w:t>are</w:t>
      </w:r>
      <w:r w:rsidRPr="009969F5">
        <w:rPr>
          <w:rFonts w:cs="Arial"/>
        </w:rPr>
        <w:t xml:space="preserve"> </w:t>
      </w:r>
      <w:r w:rsidR="00037C7D">
        <w:rPr>
          <w:rFonts w:cs="Arial"/>
        </w:rPr>
        <w:t>(</w:t>
      </w:r>
      <w:proofErr w:type="spellStart"/>
      <w:r w:rsidR="00037C7D">
        <w:rPr>
          <w:rFonts w:cs="Arial"/>
        </w:rPr>
        <w:t>SoC</w:t>
      </w:r>
      <w:proofErr w:type="spellEnd"/>
      <w:r w:rsidR="00037C7D">
        <w:rPr>
          <w:rFonts w:cs="Arial"/>
        </w:rPr>
        <w:t xml:space="preserve">) </w:t>
      </w:r>
      <w:r w:rsidRPr="009969F5">
        <w:rPr>
          <w:rFonts w:cs="Arial"/>
        </w:rPr>
        <w:lastRenderedPageBreak/>
        <w:t xml:space="preserve">antibiotics during an active episode of CDI. </w:t>
      </w:r>
      <w:r w:rsidR="00AC7B27">
        <w:rPr>
          <w:rFonts w:cs="Arial"/>
        </w:rPr>
        <w:t>ZINPLAVA</w:t>
      </w:r>
      <w:r w:rsidRPr="009969F5">
        <w:rPr>
          <w:rFonts w:cs="Arial"/>
        </w:rPr>
        <w:t xml:space="preserve"> prevents CDI recurrence by providing enhanced passive immunity against toxin produced by the outgrowth of persistent or newly-acquired </w:t>
      </w:r>
      <w:r w:rsidRPr="009969F5">
        <w:rPr>
          <w:rFonts w:cs="Arial"/>
          <w:i/>
        </w:rPr>
        <w:t>C. difficile</w:t>
      </w:r>
      <w:r w:rsidRPr="009969F5">
        <w:rPr>
          <w:rFonts w:cs="Arial"/>
        </w:rPr>
        <w:t xml:space="preserve"> spores.</w:t>
      </w:r>
      <w:r w:rsidR="003D6982">
        <w:rPr>
          <w:rFonts w:cs="Arial"/>
        </w:rPr>
        <w:t xml:space="preserve"> </w:t>
      </w:r>
    </w:p>
    <w:p w14:paraId="7B5C5D5C" w14:textId="77777777" w:rsidR="006E70AF" w:rsidRPr="005F3270" w:rsidRDefault="006E70AF" w:rsidP="0041080B">
      <w:pPr>
        <w:keepLines w:val="0"/>
        <w:tabs>
          <w:tab w:val="clear" w:pos="-720"/>
          <w:tab w:val="clear" w:pos="4513"/>
          <w:tab w:val="clear" w:pos="10348"/>
          <w:tab w:val="left" w:pos="540"/>
        </w:tabs>
        <w:suppressAutoHyphens w:val="0"/>
        <w:ind w:left="547" w:hanging="547"/>
        <w:jc w:val="left"/>
        <w:rPr>
          <w:rFonts w:cs="Arial"/>
          <w:i/>
          <w:color w:val="0000FF"/>
          <w:u w:val="single"/>
        </w:rPr>
      </w:pPr>
    </w:p>
    <w:p w14:paraId="7B5C5D5D" w14:textId="77777777" w:rsidR="006E70AF" w:rsidRPr="006E70AF" w:rsidRDefault="006E70AF" w:rsidP="006E70AF">
      <w:pPr>
        <w:keepLines w:val="0"/>
        <w:tabs>
          <w:tab w:val="clear" w:pos="-720"/>
          <w:tab w:val="clear" w:pos="4513"/>
          <w:tab w:val="clear" w:pos="10348"/>
          <w:tab w:val="left" w:pos="567"/>
        </w:tabs>
        <w:suppressAutoHyphens w:val="0"/>
        <w:spacing w:before="120" w:after="60"/>
        <w:jc w:val="left"/>
        <w:outlineLvl w:val="0"/>
        <w:rPr>
          <w:rFonts w:cs="Arial"/>
          <w:b/>
          <w:szCs w:val="22"/>
          <w:lang w:val="en-GB" w:eastAsia="en-US"/>
        </w:rPr>
      </w:pPr>
      <w:proofErr w:type="spellStart"/>
      <w:r>
        <w:rPr>
          <w:rFonts w:cs="Arial"/>
          <w:b/>
          <w:szCs w:val="22"/>
          <w:lang w:val="en-GB" w:eastAsia="en-US"/>
        </w:rPr>
        <w:t>Pharmacodynamic</w:t>
      </w:r>
      <w:proofErr w:type="spellEnd"/>
      <w:r>
        <w:rPr>
          <w:rFonts w:cs="Arial"/>
          <w:b/>
          <w:szCs w:val="22"/>
          <w:lang w:val="en-GB" w:eastAsia="en-US"/>
        </w:rPr>
        <w:t xml:space="preserve"> effects</w:t>
      </w:r>
    </w:p>
    <w:p w14:paraId="7B5C5D5E" w14:textId="77777777" w:rsidR="006E70AF" w:rsidRDefault="006E70AF" w:rsidP="0041080B">
      <w:pPr>
        <w:keepLines w:val="0"/>
        <w:tabs>
          <w:tab w:val="clear" w:pos="-720"/>
          <w:tab w:val="clear" w:pos="4513"/>
          <w:tab w:val="clear" w:pos="10348"/>
          <w:tab w:val="left" w:pos="540"/>
        </w:tabs>
        <w:suppressAutoHyphens w:val="0"/>
        <w:ind w:left="547" w:hanging="547"/>
        <w:jc w:val="left"/>
        <w:rPr>
          <w:rFonts w:cs="Arial"/>
          <w:u w:val="single"/>
        </w:rPr>
      </w:pPr>
    </w:p>
    <w:p w14:paraId="7B5C5D5F" w14:textId="77777777" w:rsidR="006E70AF" w:rsidRPr="006E70AF" w:rsidRDefault="006E70AF" w:rsidP="0041080B">
      <w:pPr>
        <w:keepLines w:val="0"/>
        <w:tabs>
          <w:tab w:val="clear" w:pos="-720"/>
          <w:tab w:val="clear" w:pos="4513"/>
          <w:tab w:val="clear" w:pos="10348"/>
          <w:tab w:val="left" w:pos="540"/>
        </w:tabs>
        <w:suppressAutoHyphens w:val="0"/>
        <w:ind w:left="547" w:hanging="547"/>
        <w:jc w:val="left"/>
        <w:rPr>
          <w:rFonts w:cs="Arial"/>
          <w:b/>
          <w:i/>
        </w:rPr>
      </w:pPr>
      <w:r w:rsidRPr="006E70AF">
        <w:rPr>
          <w:rFonts w:cs="Arial"/>
          <w:b/>
          <w:i/>
        </w:rPr>
        <w:t>Microbiology</w:t>
      </w:r>
    </w:p>
    <w:p w14:paraId="7B5C5D60" w14:textId="77777777" w:rsidR="006E70AF" w:rsidRDefault="006E70AF" w:rsidP="0041080B">
      <w:pPr>
        <w:keepLines w:val="0"/>
        <w:tabs>
          <w:tab w:val="clear" w:pos="-720"/>
          <w:tab w:val="clear" w:pos="4513"/>
          <w:tab w:val="clear" w:pos="10348"/>
          <w:tab w:val="left" w:pos="540"/>
        </w:tabs>
        <w:suppressAutoHyphens w:val="0"/>
        <w:ind w:left="547" w:hanging="547"/>
        <w:jc w:val="left"/>
        <w:rPr>
          <w:rFonts w:cs="Arial"/>
          <w:i/>
          <w:u w:val="single"/>
        </w:rPr>
      </w:pPr>
    </w:p>
    <w:p w14:paraId="7B5C5D61" w14:textId="77777777" w:rsidR="0041080B" w:rsidRPr="006E70AF" w:rsidRDefault="0041080B" w:rsidP="0041080B">
      <w:pPr>
        <w:keepLines w:val="0"/>
        <w:tabs>
          <w:tab w:val="clear" w:pos="-720"/>
          <w:tab w:val="clear" w:pos="4513"/>
          <w:tab w:val="clear" w:pos="10348"/>
          <w:tab w:val="left" w:pos="540"/>
        </w:tabs>
        <w:suppressAutoHyphens w:val="0"/>
        <w:ind w:left="547" w:hanging="547"/>
        <w:jc w:val="left"/>
        <w:rPr>
          <w:rFonts w:cs="Arial"/>
          <w:i/>
        </w:rPr>
      </w:pPr>
      <w:r w:rsidRPr="006E70AF">
        <w:rPr>
          <w:rFonts w:cs="Arial"/>
          <w:i/>
        </w:rPr>
        <w:t xml:space="preserve">Activity </w:t>
      </w:r>
      <w:proofErr w:type="gramStart"/>
      <w:r w:rsidRPr="006E70AF">
        <w:rPr>
          <w:rFonts w:cs="Arial"/>
          <w:i/>
        </w:rPr>
        <w:t>In</w:t>
      </w:r>
      <w:proofErr w:type="gramEnd"/>
      <w:r w:rsidRPr="006E70AF">
        <w:rPr>
          <w:rFonts w:cs="Arial"/>
          <w:i/>
        </w:rPr>
        <w:t xml:space="preserve"> Vitro and In Vivo</w:t>
      </w:r>
    </w:p>
    <w:p w14:paraId="7B5C5D62" w14:textId="77777777" w:rsidR="0041080B" w:rsidRPr="0041080B" w:rsidRDefault="0041080B" w:rsidP="0041080B">
      <w:pPr>
        <w:keepLines w:val="0"/>
        <w:tabs>
          <w:tab w:val="clear" w:pos="-720"/>
          <w:tab w:val="clear" w:pos="4513"/>
          <w:tab w:val="clear" w:pos="10348"/>
        </w:tabs>
        <w:suppressAutoHyphens w:val="0"/>
        <w:rPr>
          <w:rFonts w:cs="Arial"/>
        </w:rPr>
      </w:pPr>
      <w:r w:rsidRPr="0041080B">
        <w:rPr>
          <w:rFonts w:cs="Arial"/>
        </w:rPr>
        <w:t xml:space="preserve">The epitope of </w:t>
      </w:r>
      <w:proofErr w:type="spellStart"/>
      <w:r w:rsidRPr="0041080B">
        <w:rPr>
          <w:rFonts w:cs="Arial"/>
        </w:rPr>
        <w:t>bezlotoxumab</w:t>
      </w:r>
      <w:proofErr w:type="spellEnd"/>
      <w:r w:rsidRPr="0041080B">
        <w:rPr>
          <w:rFonts w:cs="Arial"/>
        </w:rPr>
        <w:t xml:space="preserve"> is conserved, though not identical, across all known toxin sequences. </w:t>
      </w:r>
      <w:r w:rsidR="005F3270">
        <w:rPr>
          <w:rFonts w:cs="Arial"/>
        </w:rPr>
        <w:t xml:space="preserve"> </w:t>
      </w:r>
      <w:proofErr w:type="spellStart"/>
      <w:r w:rsidRPr="0041080B">
        <w:rPr>
          <w:rFonts w:cs="Arial"/>
        </w:rPr>
        <w:t>Bezlotoxumab</w:t>
      </w:r>
      <w:proofErr w:type="spellEnd"/>
      <w:r w:rsidRPr="0041080B">
        <w:rPr>
          <w:rFonts w:cs="Arial"/>
        </w:rPr>
        <w:t xml:space="preserve"> neutralizes the cytotoxic activities of toxin B from all clinical isolates of </w:t>
      </w:r>
      <w:r w:rsidRPr="00037C7D">
        <w:rPr>
          <w:rFonts w:cs="Arial"/>
          <w:i/>
        </w:rPr>
        <w:t xml:space="preserve">C. difficile </w:t>
      </w:r>
      <w:r w:rsidRPr="0041080B">
        <w:rPr>
          <w:rFonts w:cs="Arial"/>
        </w:rPr>
        <w:t>tested (</w:t>
      </w:r>
      <w:proofErr w:type="spellStart"/>
      <w:r w:rsidRPr="0041080B">
        <w:rPr>
          <w:rFonts w:cs="Arial"/>
        </w:rPr>
        <w:t>ribotypes</w:t>
      </w:r>
      <w:proofErr w:type="spellEnd"/>
      <w:r w:rsidRPr="0041080B">
        <w:rPr>
          <w:rFonts w:cs="Arial"/>
        </w:rPr>
        <w:t xml:space="preserve"> 001, 002, 003, 012, 014, 017, 018, 023, 027, 053, 063, 077, 078, 081, 087, 106, 198, and 369).</w:t>
      </w:r>
      <w:r w:rsidR="005F3270">
        <w:rPr>
          <w:rFonts w:cs="Arial"/>
        </w:rPr>
        <w:t xml:space="preserve"> </w:t>
      </w:r>
    </w:p>
    <w:p w14:paraId="7B5C5D63" w14:textId="77777777" w:rsidR="0041080B" w:rsidRPr="0041080B" w:rsidRDefault="0041080B" w:rsidP="0041080B">
      <w:pPr>
        <w:keepLines w:val="0"/>
        <w:tabs>
          <w:tab w:val="clear" w:pos="-720"/>
          <w:tab w:val="clear" w:pos="4513"/>
          <w:tab w:val="clear" w:pos="10348"/>
        </w:tabs>
        <w:suppressAutoHyphens w:val="0"/>
        <w:spacing w:before="4"/>
        <w:rPr>
          <w:rFonts w:cs="Arial"/>
        </w:rPr>
      </w:pPr>
    </w:p>
    <w:p w14:paraId="7B5C5D64" w14:textId="77777777" w:rsidR="0041080B" w:rsidRPr="00105E72" w:rsidRDefault="0041080B" w:rsidP="0041080B">
      <w:pPr>
        <w:keepLines w:val="0"/>
        <w:tabs>
          <w:tab w:val="clear" w:pos="-720"/>
          <w:tab w:val="clear" w:pos="4513"/>
          <w:tab w:val="clear" w:pos="10348"/>
        </w:tabs>
        <w:suppressAutoHyphens w:val="0"/>
        <w:rPr>
          <w:rFonts w:cs="Arial"/>
          <w:color w:val="0000FF"/>
        </w:rPr>
      </w:pPr>
      <w:r w:rsidRPr="0041080B">
        <w:rPr>
          <w:rFonts w:cs="Arial"/>
        </w:rPr>
        <w:t xml:space="preserve">In a </w:t>
      </w:r>
      <w:proofErr w:type="spellStart"/>
      <w:r w:rsidRPr="0041080B">
        <w:rPr>
          <w:rFonts w:cs="Arial"/>
        </w:rPr>
        <w:t>gnotobiotic</w:t>
      </w:r>
      <w:proofErr w:type="spellEnd"/>
      <w:r w:rsidRPr="0041080B">
        <w:rPr>
          <w:rFonts w:cs="Arial"/>
        </w:rPr>
        <w:t xml:space="preserve"> piglet model of CDI, </w:t>
      </w:r>
      <w:proofErr w:type="spellStart"/>
      <w:r w:rsidRPr="0041080B">
        <w:rPr>
          <w:rFonts w:cs="Arial"/>
        </w:rPr>
        <w:t>bezlotoxumab</w:t>
      </w:r>
      <w:proofErr w:type="spellEnd"/>
      <w:r w:rsidRPr="0041080B">
        <w:rPr>
          <w:rFonts w:cs="Arial"/>
        </w:rPr>
        <w:t xml:space="preserve"> reduced mortality and protected against intestinal damage and inflammation. Similar results were obtained in mice and hamster models of CDI, including recurrent CDI, although full protection in these models required co-administration of a toxin A-neutrali</w:t>
      </w:r>
      <w:r w:rsidR="009D4322">
        <w:rPr>
          <w:rFonts w:cs="Arial"/>
        </w:rPr>
        <w:t>s</w:t>
      </w:r>
      <w:r w:rsidRPr="0041080B">
        <w:rPr>
          <w:rFonts w:cs="Arial"/>
        </w:rPr>
        <w:t>ing antibody.</w:t>
      </w:r>
      <w:r w:rsidR="00105E72">
        <w:rPr>
          <w:rFonts w:cs="Arial"/>
        </w:rPr>
        <w:t xml:space="preserve"> </w:t>
      </w:r>
    </w:p>
    <w:p w14:paraId="7B5C5D65" w14:textId="77777777" w:rsidR="0041080B" w:rsidRPr="0041080B" w:rsidRDefault="0041080B" w:rsidP="000B179B">
      <w:pPr>
        <w:rPr>
          <w:rFonts w:cs="Arial"/>
        </w:rPr>
      </w:pPr>
    </w:p>
    <w:p w14:paraId="7B5C5D66" w14:textId="77777777" w:rsidR="00EA73BB" w:rsidRPr="004172BA" w:rsidRDefault="00F73353" w:rsidP="00EE12B4">
      <w:pPr>
        <w:pStyle w:val="Heading2"/>
        <w:rPr>
          <w:rFonts w:ascii="Arial" w:hAnsi="Arial" w:cs="Arial"/>
        </w:rPr>
      </w:pPr>
      <w:r w:rsidRPr="004172BA">
        <w:rPr>
          <w:rFonts w:ascii="Arial" w:hAnsi="Arial" w:cs="Arial"/>
        </w:rPr>
        <w:t>Pharmacokinetics</w:t>
      </w:r>
    </w:p>
    <w:p w14:paraId="7B5C5D67" w14:textId="77777777" w:rsidR="0041080B" w:rsidRPr="006E70AF" w:rsidRDefault="0041080B" w:rsidP="0041080B">
      <w:pPr>
        <w:keepLines w:val="0"/>
        <w:tabs>
          <w:tab w:val="clear" w:pos="-720"/>
          <w:tab w:val="clear" w:pos="4513"/>
          <w:tab w:val="clear" w:pos="10348"/>
        </w:tabs>
        <w:suppressAutoHyphens w:val="0"/>
        <w:rPr>
          <w:rFonts w:eastAsia="MS Mincho" w:cs="Arial"/>
          <w:szCs w:val="22"/>
          <w:lang w:val="en-US" w:eastAsia="ja-JP"/>
        </w:rPr>
      </w:pPr>
      <w:r w:rsidRPr="006E70AF">
        <w:rPr>
          <w:rFonts w:eastAsia="MS Mincho" w:cs="Arial"/>
          <w:szCs w:val="22"/>
          <w:lang w:val="en-US" w:eastAsia="ja-JP"/>
        </w:rPr>
        <w:t xml:space="preserve">The pharmacokinetics of </w:t>
      </w:r>
      <w:proofErr w:type="spellStart"/>
      <w:r w:rsidRPr="006E70AF">
        <w:rPr>
          <w:rFonts w:eastAsia="MS Mincho" w:cs="Arial"/>
          <w:szCs w:val="22"/>
          <w:lang w:val="en-US" w:eastAsia="ja-JP"/>
        </w:rPr>
        <w:t>bezlotoxumab</w:t>
      </w:r>
      <w:proofErr w:type="spellEnd"/>
      <w:r w:rsidRPr="006E70AF">
        <w:rPr>
          <w:rFonts w:eastAsia="MS Mincho" w:cs="Arial"/>
          <w:szCs w:val="22"/>
          <w:lang w:val="en-US" w:eastAsia="ja-JP"/>
        </w:rPr>
        <w:t xml:space="preserve"> were studied in 1</w:t>
      </w:r>
      <w:r w:rsidR="009D4322">
        <w:rPr>
          <w:rFonts w:eastAsia="MS Mincho" w:cs="Arial"/>
          <w:szCs w:val="22"/>
          <w:lang w:val="en-US" w:eastAsia="ja-JP"/>
        </w:rPr>
        <w:t>,</w:t>
      </w:r>
      <w:r w:rsidRPr="006E70AF">
        <w:rPr>
          <w:rFonts w:eastAsia="MS Mincho" w:cs="Arial"/>
          <w:szCs w:val="22"/>
          <w:lang w:val="en-US" w:eastAsia="ja-JP"/>
        </w:rPr>
        <w:t>515 patients in MODIFY I and MODIFY II.</w:t>
      </w:r>
      <w:r w:rsidR="004D2799">
        <w:rPr>
          <w:rFonts w:eastAsia="MS Mincho" w:cs="Arial"/>
          <w:szCs w:val="22"/>
          <w:lang w:val="en-US" w:eastAsia="ja-JP"/>
        </w:rPr>
        <w:t xml:space="preserve"> </w:t>
      </w:r>
      <w:r w:rsidRPr="006E70AF">
        <w:rPr>
          <w:rFonts w:eastAsia="MS Mincho" w:cs="Arial"/>
          <w:szCs w:val="22"/>
          <w:lang w:val="en-US" w:eastAsia="ja-JP"/>
        </w:rPr>
        <w:t xml:space="preserve">After a single IV dose of 10 mg/kg </w:t>
      </w:r>
      <w:proofErr w:type="spellStart"/>
      <w:r w:rsidRPr="006E70AF">
        <w:rPr>
          <w:rFonts w:eastAsia="MS Mincho" w:cs="Arial"/>
          <w:szCs w:val="22"/>
          <w:lang w:val="en-US" w:eastAsia="ja-JP"/>
        </w:rPr>
        <w:t>bezlotoxumab</w:t>
      </w:r>
      <w:proofErr w:type="spellEnd"/>
      <w:r w:rsidRPr="006E70AF">
        <w:rPr>
          <w:rFonts w:eastAsia="MS Mincho" w:cs="Arial"/>
          <w:szCs w:val="22"/>
          <w:lang w:val="en-US" w:eastAsia="ja-JP"/>
        </w:rPr>
        <w:t xml:space="preserve">, mean </w:t>
      </w:r>
      <w:proofErr w:type="gramStart"/>
      <w:r w:rsidRPr="006E70AF">
        <w:rPr>
          <w:rFonts w:eastAsia="MS Mincho" w:cs="Arial"/>
          <w:szCs w:val="22"/>
          <w:lang w:val="en-US" w:eastAsia="ja-JP"/>
        </w:rPr>
        <w:t>AUC</w:t>
      </w:r>
      <w:r w:rsidRPr="006E70AF">
        <w:rPr>
          <w:rFonts w:eastAsia="MS Mincho" w:cs="Arial"/>
          <w:szCs w:val="22"/>
          <w:vertAlign w:val="subscript"/>
          <w:lang w:val="en-US" w:eastAsia="ja-JP"/>
        </w:rPr>
        <w:t>(</w:t>
      </w:r>
      <w:proofErr w:type="gramEnd"/>
      <w:r w:rsidRPr="006E70AF">
        <w:rPr>
          <w:rFonts w:eastAsia="MS Mincho" w:cs="Arial"/>
          <w:szCs w:val="22"/>
          <w:vertAlign w:val="subscript"/>
          <w:lang w:val="en-US" w:eastAsia="ja-JP"/>
        </w:rPr>
        <w:t>0-∞)</w:t>
      </w:r>
      <w:r w:rsidRPr="006E70AF">
        <w:rPr>
          <w:rFonts w:eastAsia="MS Mincho" w:cs="Arial"/>
          <w:szCs w:val="22"/>
          <w:lang w:val="en-US" w:eastAsia="ja-JP"/>
        </w:rPr>
        <w:t xml:space="preserve"> and </w:t>
      </w:r>
      <w:proofErr w:type="spellStart"/>
      <w:r w:rsidRPr="006E70AF">
        <w:rPr>
          <w:rFonts w:eastAsia="MS Mincho" w:cs="Arial"/>
          <w:szCs w:val="22"/>
          <w:lang w:val="en-US" w:eastAsia="ja-JP"/>
        </w:rPr>
        <w:t>C</w:t>
      </w:r>
      <w:r w:rsidRPr="006E70AF">
        <w:rPr>
          <w:rFonts w:eastAsia="MS Mincho" w:cs="Arial"/>
          <w:szCs w:val="22"/>
          <w:vertAlign w:val="subscript"/>
          <w:lang w:val="en-US" w:eastAsia="ja-JP"/>
        </w:rPr>
        <w:t>max</w:t>
      </w:r>
      <w:proofErr w:type="spellEnd"/>
      <w:r w:rsidRPr="006E70AF">
        <w:rPr>
          <w:rFonts w:eastAsia="MS Mincho" w:cs="Arial"/>
          <w:szCs w:val="22"/>
          <w:lang w:val="en-US" w:eastAsia="ja-JP"/>
        </w:rPr>
        <w:t xml:space="preserve"> were 5</w:t>
      </w:r>
      <w:r w:rsidR="00037C7D">
        <w:rPr>
          <w:rFonts w:eastAsia="MS Mincho" w:cs="Arial"/>
          <w:szCs w:val="22"/>
          <w:lang w:val="en-US" w:eastAsia="ja-JP"/>
        </w:rPr>
        <w:t>,</w:t>
      </w:r>
      <w:r w:rsidRPr="006E70AF">
        <w:rPr>
          <w:rFonts w:eastAsia="MS Mincho" w:cs="Arial"/>
          <w:szCs w:val="22"/>
          <w:lang w:val="en-US" w:eastAsia="ja-JP"/>
        </w:rPr>
        <w:t>3000 </w:t>
      </w:r>
      <w:proofErr w:type="spellStart"/>
      <w:r w:rsidRPr="006E70AF">
        <w:rPr>
          <w:rFonts w:eastAsia="MS Mincho" w:cs="Arial"/>
          <w:szCs w:val="22"/>
          <w:lang w:val="en-US" w:eastAsia="ja-JP"/>
        </w:rPr>
        <w:t>mcg.h</w:t>
      </w:r>
      <w:proofErr w:type="spellEnd"/>
      <w:r w:rsidRPr="006E70AF">
        <w:rPr>
          <w:rFonts w:eastAsia="MS Mincho" w:cs="Arial"/>
          <w:szCs w:val="22"/>
          <w:lang w:val="en-US" w:eastAsia="ja-JP"/>
        </w:rPr>
        <w:t>/mL</w:t>
      </w:r>
      <w:r w:rsidRPr="006E70AF" w:rsidDel="00196535">
        <w:rPr>
          <w:rFonts w:eastAsia="MS Mincho" w:cs="Arial"/>
          <w:szCs w:val="22"/>
          <w:lang w:val="en-US" w:eastAsia="ja-JP"/>
        </w:rPr>
        <w:t xml:space="preserve"> </w:t>
      </w:r>
      <w:r w:rsidRPr="006E70AF">
        <w:rPr>
          <w:rFonts w:eastAsia="MS Mincho" w:cs="Arial"/>
          <w:szCs w:val="22"/>
          <w:lang w:val="en-US" w:eastAsia="ja-JP"/>
        </w:rPr>
        <w:t xml:space="preserve">and 185 mcg/mL, respectively. </w:t>
      </w:r>
      <w:proofErr w:type="spellStart"/>
      <w:r w:rsidRPr="006E70AF">
        <w:rPr>
          <w:rFonts w:eastAsia="MS Mincho" w:cs="Arial"/>
          <w:szCs w:val="22"/>
          <w:lang w:val="en-US" w:eastAsia="ja-JP"/>
        </w:rPr>
        <w:t>Bezlotoxumab</w:t>
      </w:r>
      <w:proofErr w:type="spellEnd"/>
      <w:r w:rsidRPr="006E70AF">
        <w:rPr>
          <w:rFonts w:eastAsia="MS Mincho" w:cs="Arial"/>
          <w:szCs w:val="22"/>
          <w:lang w:val="en-US" w:eastAsia="ja-JP"/>
        </w:rPr>
        <w:t xml:space="preserve"> exposures in healthy subjects increased in an approximately dose proportional manner across the 0.3 to 20 mg/kg dose range.</w:t>
      </w:r>
      <w:r w:rsidR="00383B62">
        <w:rPr>
          <w:rFonts w:eastAsia="MS Mincho" w:cs="Arial"/>
          <w:szCs w:val="22"/>
          <w:lang w:val="en-US" w:eastAsia="ja-JP"/>
        </w:rPr>
        <w:t xml:space="preserve"> </w:t>
      </w:r>
    </w:p>
    <w:p w14:paraId="7B5C5D68" w14:textId="77777777" w:rsidR="00440A35" w:rsidRPr="006E70AF" w:rsidRDefault="00440A35" w:rsidP="008476E9">
      <w:pPr>
        <w:pStyle w:val="Body"/>
        <w:ind w:firstLine="0"/>
        <w:jc w:val="both"/>
        <w:rPr>
          <w:rFonts w:cs="Arial"/>
          <w:b/>
          <w:sz w:val="22"/>
          <w:szCs w:val="22"/>
        </w:rPr>
      </w:pPr>
    </w:p>
    <w:p w14:paraId="7B5C5D69" w14:textId="77777777" w:rsidR="00427333" w:rsidRPr="004172BA" w:rsidRDefault="00427333" w:rsidP="00EE12B4">
      <w:pPr>
        <w:pStyle w:val="Heading2"/>
        <w:rPr>
          <w:rFonts w:ascii="Arial" w:hAnsi="Arial" w:cs="Arial"/>
        </w:rPr>
      </w:pPr>
      <w:r w:rsidRPr="004172BA">
        <w:rPr>
          <w:rFonts w:ascii="Arial" w:hAnsi="Arial" w:cs="Arial"/>
        </w:rPr>
        <w:t>Absorption</w:t>
      </w:r>
    </w:p>
    <w:p w14:paraId="7B5C5D6A" w14:textId="77777777" w:rsidR="0041080B" w:rsidRPr="0041080B" w:rsidRDefault="0041080B" w:rsidP="0041080B">
      <w:pPr>
        <w:keepLines w:val="0"/>
        <w:tabs>
          <w:tab w:val="clear" w:pos="-720"/>
          <w:tab w:val="clear" w:pos="4513"/>
          <w:tab w:val="clear" w:pos="10348"/>
        </w:tabs>
        <w:suppressAutoHyphens w:val="0"/>
        <w:rPr>
          <w:rFonts w:eastAsia="MS Mincho" w:cs="Arial"/>
          <w:szCs w:val="22"/>
          <w:lang w:val="en-US" w:eastAsia="ja-JP"/>
        </w:rPr>
      </w:pPr>
      <w:proofErr w:type="spellStart"/>
      <w:r w:rsidRPr="0041080B">
        <w:rPr>
          <w:rFonts w:eastAsia="MS Mincho" w:cs="Arial"/>
          <w:szCs w:val="22"/>
          <w:lang w:val="en-US" w:eastAsia="ja-JP"/>
        </w:rPr>
        <w:t>Bezlotoxumab</w:t>
      </w:r>
      <w:proofErr w:type="spellEnd"/>
      <w:r w:rsidRPr="0041080B">
        <w:rPr>
          <w:rFonts w:eastAsia="MS Mincho" w:cs="Arial"/>
          <w:szCs w:val="22"/>
          <w:lang w:val="en-US" w:eastAsia="ja-JP"/>
        </w:rPr>
        <w:t xml:space="preserve"> is dosed via the IV route and therefore is immediately and completely bioavailable.</w:t>
      </w:r>
    </w:p>
    <w:p w14:paraId="7B5C5D6B" w14:textId="77777777" w:rsidR="009D69A0" w:rsidRDefault="009D69A0" w:rsidP="00EE12B4">
      <w:pPr>
        <w:pStyle w:val="Heading2"/>
        <w:rPr>
          <w:rFonts w:ascii="Arial" w:hAnsi="Arial" w:cs="Arial"/>
        </w:rPr>
      </w:pPr>
    </w:p>
    <w:p w14:paraId="7B5C5D6C" w14:textId="77777777" w:rsidR="00440A35" w:rsidRPr="004172BA" w:rsidRDefault="00440A35" w:rsidP="00EE12B4">
      <w:pPr>
        <w:pStyle w:val="Heading2"/>
        <w:rPr>
          <w:rFonts w:ascii="Arial" w:hAnsi="Arial" w:cs="Arial"/>
        </w:rPr>
      </w:pPr>
      <w:r w:rsidRPr="004172BA">
        <w:rPr>
          <w:rFonts w:ascii="Arial" w:hAnsi="Arial" w:cs="Arial"/>
        </w:rPr>
        <w:t>Distribution</w:t>
      </w:r>
    </w:p>
    <w:p w14:paraId="7B5C5D6D" w14:textId="77777777" w:rsidR="006E527C" w:rsidRPr="009D69A0" w:rsidRDefault="0041080B" w:rsidP="006E527C">
      <w:pPr>
        <w:pStyle w:val="Body"/>
        <w:ind w:firstLine="0"/>
        <w:jc w:val="both"/>
        <w:rPr>
          <w:rFonts w:cs="Arial"/>
          <w:sz w:val="22"/>
          <w:szCs w:val="22"/>
        </w:rPr>
      </w:pPr>
      <w:proofErr w:type="spellStart"/>
      <w:r w:rsidRPr="009D69A0">
        <w:rPr>
          <w:rFonts w:cs="Arial"/>
          <w:sz w:val="22"/>
          <w:szCs w:val="22"/>
        </w:rPr>
        <w:t>Bezlotoxumab</w:t>
      </w:r>
      <w:proofErr w:type="spellEnd"/>
      <w:r w:rsidRPr="009D69A0">
        <w:rPr>
          <w:rFonts w:cs="Arial"/>
          <w:sz w:val="22"/>
          <w:szCs w:val="22"/>
        </w:rPr>
        <w:t xml:space="preserve"> has limited extravascular distribution. The mean volume of distribution of </w:t>
      </w:r>
      <w:proofErr w:type="spellStart"/>
      <w:r w:rsidRPr="009D69A0">
        <w:rPr>
          <w:rFonts w:cs="Arial"/>
          <w:sz w:val="22"/>
          <w:szCs w:val="22"/>
        </w:rPr>
        <w:t>bezlotoxumab</w:t>
      </w:r>
      <w:proofErr w:type="spellEnd"/>
      <w:r w:rsidRPr="009D69A0">
        <w:rPr>
          <w:rFonts w:cs="Arial"/>
          <w:sz w:val="22"/>
          <w:szCs w:val="22"/>
        </w:rPr>
        <w:t xml:space="preserve"> was 7.33 L (CV: 16%).</w:t>
      </w:r>
      <w:r w:rsidR="006E527C" w:rsidRPr="009D69A0">
        <w:rPr>
          <w:rFonts w:cs="Arial"/>
          <w:sz w:val="22"/>
          <w:szCs w:val="22"/>
        </w:rPr>
        <w:t xml:space="preserve"> </w:t>
      </w:r>
    </w:p>
    <w:p w14:paraId="7B5C5D6E" w14:textId="77777777" w:rsidR="009D69A0" w:rsidRDefault="009D69A0" w:rsidP="00EE12B4">
      <w:pPr>
        <w:pStyle w:val="Heading2"/>
        <w:rPr>
          <w:rFonts w:ascii="Arial" w:hAnsi="Arial" w:cs="Arial"/>
        </w:rPr>
      </w:pPr>
    </w:p>
    <w:p w14:paraId="7B5C5D6F" w14:textId="77777777" w:rsidR="00440A35" w:rsidRPr="004172BA" w:rsidRDefault="00440A35" w:rsidP="00EE12B4">
      <w:pPr>
        <w:pStyle w:val="Heading2"/>
        <w:rPr>
          <w:rFonts w:ascii="Arial" w:hAnsi="Arial" w:cs="Arial"/>
        </w:rPr>
      </w:pPr>
      <w:r w:rsidRPr="004172BA">
        <w:rPr>
          <w:rFonts w:ascii="Arial" w:hAnsi="Arial" w:cs="Arial"/>
        </w:rPr>
        <w:t>Metabolism</w:t>
      </w:r>
    </w:p>
    <w:p w14:paraId="7B5C5D70" w14:textId="77777777" w:rsidR="006E527C" w:rsidRPr="009D69A0" w:rsidRDefault="0041080B" w:rsidP="006E527C">
      <w:pPr>
        <w:pStyle w:val="Body"/>
        <w:ind w:firstLine="0"/>
        <w:jc w:val="both"/>
        <w:rPr>
          <w:rFonts w:eastAsia="Times New Roman" w:cs="Arial"/>
          <w:sz w:val="22"/>
          <w:lang w:val="en-AU" w:eastAsia="en-AU"/>
        </w:rPr>
      </w:pPr>
      <w:proofErr w:type="spellStart"/>
      <w:r w:rsidRPr="009D69A0">
        <w:rPr>
          <w:rFonts w:eastAsia="Times New Roman" w:cs="Arial"/>
          <w:sz w:val="22"/>
          <w:lang w:val="en-AU" w:eastAsia="en-AU"/>
        </w:rPr>
        <w:t>Bezlotoxumab</w:t>
      </w:r>
      <w:proofErr w:type="spellEnd"/>
      <w:r w:rsidRPr="009D69A0">
        <w:rPr>
          <w:rFonts w:eastAsia="Times New Roman" w:cs="Arial"/>
          <w:sz w:val="22"/>
          <w:lang w:val="en-AU" w:eastAsia="en-AU"/>
        </w:rPr>
        <w:t xml:space="preserve"> is cataboli</w:t>
      </w:r>
      <w:r w:rsidR="009D4322" w:rsidRPr="009D69A0">
        <w:rPr>
          <w:rFonts w:eastAsia="Times New Roman" w:cs="Arial"/>
          <w:sz w:val="22"/>
          <w:lang w:val="en-AU" w:eastAsia="en-AU"/>
        </w:rPr>
        <w:t>s</w:t>
      </w:r>
      <w:r w:rsidRPr="009D69A0">
        <w:rPr>
          <w:rFonts w:eastAsia="Times New Roman" w:cs="Arial"/>
          <w:sz w:val="22"/>
          <w:lang w:val="en-AU" w:eastAsia="en-AU"/>
        </w:rPr>
        <w:t>ed through protein degradation processes; metabolism does not contribute to its clearance.</w:t>
      </w:r>
      <w:r w:rsidR="006E527C" w:rsidRPr="009D69A0">
        <w:rPr>
          <w:rFonts w:eastAsia="Times New Roman" w:cs="Arial"/>
          <w:sz w:val="22"/>
          <w:lang w:val="en-AU" w:eastAsia="en-AU"/>
        </w:rPr>
        <w:t xml:space="preserve"> </w:t>
      </w:r>
    </w:p>
    <w:p w14:paraId="7B5C5D71" w14:textId="77777777" w:rsidR="009D69A0" w:rsidRDefault="009D69A0" w:rsidP="00EE12B4">
      <w:pPr>
        <w:pStyle w:val="Heading2"/>
        <w:rPr>
          <w:rFonts w:ascii="Arial" w:hAnsi="Arial" w:cs="Arial"/>
        </w:rPr>
      </w:pPr>
    </w:p>
    <w:p w14:paraId="7B5C5D72" w14:textId="77777777" w:rsidR="00440A35" w:rsidRPr="004172BA" w:rsidRDefault="00440A35" w:rsidP="00EE12B4">
      <w:pPr>
        <w:pStyle w:val="Heading2"/>
        <w:rPr>
          <w:rFonts w:ascii="Arial" w:hAnsi="Arial" w:cs="Arial"/>
        </w:rPr>
      </w:pPr>
      <w:r w:rsidRPr="009D69A0">
        <w:rPr>
          <w:rFonts w:ascii="Arial" w:hAnsi="Arial" w:cs="Arial"/>
        </w:rPr>
        <w:t>Elimina</w:t>
      </w:r>
      <w:r w:rsidRPr="004172BA">
        <w:rPr>
          <w:rFonts w:ascii="Arial" w:hAnsi="Arial" w:cs="Arial"/>
        </w:rPr>
        <w:t>tion</w:t>
      </w:r>
    </w:p>
    <w:p w14:paraId="7B5C5D73" w14:textId="640F0EEE" w:rsidR="00440A35" w:rsidRPr="009D69A0" w:rsidRDefault="0041080B" w:rsidP="009D69A0">
      <w:pPr>
        <w:keepLines w:val="0"/>
        <w:tabs>
          <w:tab w:val="clear" w:pos="-720"/>
          <w:tab w:val="clear" w:pos="4513"/>
          <w:tab w:val="clear" w:pos="10348"/>
        </w:tabs>
        <w:suppressAutoHyphens w:val="0"/>
        <w:rPr>
          <w:rFonts w:eastAsia="MS Mincho" w:cs="Arial"/>
          <w:szCs w:val="22"/>
          <w:lang w:val="en-US" w:eastAsia="ja-JP"/>
        </w:rPr>
      </w:pPr>
      <w:proofErr w:type="spellStart"/>
      <w:r w:rsidRPr="0041080B">
        <w:rPr>
          <w:rFonts w:eastAsia="MS Mincho" w:cs="Arial"/>
          <w:szCs w:val="22"/>
          <w:lang w:val="en-US" w:eastAsia="ja-JP"/>
        </w:rPr>
        <w:t>Bezlotoxumab</w:t>
      </w:r>
      <w:proofErr w:type="spellEnd"/>
      <w:r w:rsidRPr="0041080B">
        <w:rPr>
          <w:rFonts w:eastAsia="MS Mincho" w:cs="Arial"/>
          <w:szCs w:val="22"/>
          <w:lang w:val="en-US" w:eastAsia="ja-JP"/>
        </w:rPr>
        <w:t xml:space="preserve"> is eliminated from the body primarily by protein degradation. The mean clearance of </w:t>
      </w:r>
      <w:proofErr w:type="spellStart"/>
      <w:r w:rsidRPr="0041080B">
        <w:rPr>
          <w:rFonts w:eastAsia="MS Mincho" w:cs="Arial"/>
          <w:szCs w:val="22"/>
          <w:lang w:val="en-US" w:eastAsia="ja-JP"/>
        </w:rPr>
        <w:t>bezlotoxumab</w:t>
      </w:r>
      <w:proofErr w:type="spellEnd"/>
      <w:r w:rsidRPr="0041080B">
        <w:rPr>
          <w:rFonts w:eastAsia="MS Mincho" w:cs="Arial"/>
          <w:szCs w:val="22"/>
          <w:lang w:val="en-US" w:eastAsia="ja-JP"/>
        </w:rPr>
        <w:t xml:space="preserve"> was 0.317 L/day (CV: 4</w:t>
      </w:r>
      <w:r w:rsidR="009274DD">
        <w:rPr>
          <w:rFonts w:eastAsia="MS Mincho" w:cs="Arial"/>
          <w:szCs w:val="22"/>
          <w:lang w:val="en-US" w:eastAsia="ja-JP"/>
        </w:rPr>
        <w:t>1</w:t>
      </w:r>
      <w:r w:rsidRPr="0041080B">
        <w:rPr>
          <w:rFonts w:eastAsia="MS Mincho" w:cs="Arial"/>
          <w:szCs w:val="22"/>
          <w:lang w:val="en-US" w:eastAsia="ja-JP"/>
        </w:rPr>
        <w:t>%) and the terminal half-life (t½) was approximately 19 days (28%).</w:t>
      </w:r>
      <w:r w:rsidR="006E527C">
        <w:rPr>
          <w:rFonts w:eastAsia="MS Mincho" w:cs="Arial"/>
          <w:szCs w:val="22"/>
          <w:lang w:val="en-US" w:eastAsia="ja-JP"/>
        </w:rPr>
        <w:t xml:space="preserve"> </w:t>
      </w:r>
    </w:p>
    <w:p w14:paraId="7B5C5D74" w14:textId="77777777" w:rsidR="009D69A0" w:rsidRDefault="009D69A0" w:rsidP="00EE12B4">
      <w:pPr>
        <w:pStyle w:val="Heading2"/>
        <w:rPr>
          <w:rFonts w:ascii="Arial" w:hAnsi="Arial" w:cs="Arial"/>
        </w:rPr>
      </w:pPr>
    </w:p>
    <w:p w14:paraId="7B5C5D75" w14:textId="77777777" w:rsidR="00440A35" w:rsidRPr="004172BA" w:rsidRDefault="00440A35" w:rsidP="00EE12B4">
      <w:pPr>
        <w:pStyle w:val="Heading2"/>
        <w:rPr>
          <w:rFonts w:ascii="Arial" w:hAnsi="Arial" w:cs="Arial"/>
        </w:rPr>
      </w:pPr>
      <w:r w:rsidRPr="004172BA">
        <w:rPr>
          <w:rFonts w:ascii="Arial" w:hAnsi="Arial" w:cs="Arial"/>
        </w:rPr>
        <w:t>Special populations</w:t>
      </w:r>
    </w:p>
    <w:p w14:paraId="7B5C5D76" w14:textId="77777777" w:rsidR="007D65EA" w:rsidRPr="007D65EA" w:rsidRDefault="007D65EA" w:rsidP="007D65EA">
      <w:pPr>
        <w:keepLines w:val="0"/>
        <w:tabs>
          <w:tab w:val="clear" w:pos="-720"/>
          <w:tab w:val="clear" w:pos="4513"/>
          <w:tab w:val="clear" w:pos="10348"/>
        </w:tabs>
        <w:suppressAutoHyphens w:val="0"/>
        <w:rPr>
          <w:rFonts w:eastAsia="MS Mincho" w:cs="Arial"/>
          <w:szCs w:val="22"/>
          <w:lang w:val="en-US" w:eastAsia="ja-JP"/>
        </w:rPr>
      </w:pPr>
      <w:r w:rsidRPr="007D65EA">
        <w:rPr>
          <w:rFonts w:eastAsia="MS Mincho" w:cs="Arial"/>
          <w:szCs w:val="22"/>
          <w:lang w:val="en-US" w:eastAsia="ja-JP"/>
        </w:rPr>
        <w:t xml:space="preserve">The effects of various covariates on the pharmacokinetics of </w:t>
      </w:r>
      <w:proofErr w:type="spellStart"/>
      <w:r w:rsidRPr="007D65EA">
        <w:rPr>
          <w:rFonts w:eastAsia="MS Mincho" w:cs="Arial"/>
          <w:szCs w:val="22"/>
          <w:lang w:val="en-US" w:eastAsia="ja-JP"/>
        </w:rPr>
        <w:t>bezlotoxumab</w:t>
      </w:r>
      <w:proofErr w:type="spellEnd"/>
      <w:r w:rsidRPr="007D65EA">
        <w:rPr>
          <w:rFonts w:eastAsia="MS Mincho" w:cs="Arial"/>
          <w:szCs w:val="22"/>
          <w:lang w:val="en-US" w:eastAsia="ja-JP"/>
        </w:rPr>
        <w:t xml:space="preserve"> were assessed in a population pharmacokinetic analysis. The clearance of </w:t>
      </w:r>
      <w:proofErr w:type="spellStart"/>
      <w:r w:rsidRPr="007D65EA">
        <w:rPr>
          <w:rFonts w:eastAsia="MS Mincho" w:cs="Arial"/>
          <w:szCs w:val="22"/>
          <w:lang w:val="en-US" w:eastAsia="ja-JP"/>
        </w:rPr>
        <w:t>bezlotoxumab</w:t>
      </w:r>
      <w:proofErr w:type="spellEnd"/>
      <w:r w:rsidRPr="007D65EA">
        <w:rPr>
          <w:rFonts w:eastAsia="MS Mincho" w:cs="Arial"/>
          <w:szCs w:val="22"/>
          <w:lang w:val="en-US" w:eastAsia="ja-JP"/>
        </w:rPr>
        <w:t xml:space="preserve"> increased with increasing </w:t>
      </w:r>
      <w:r w:rsidRPr="007D65EA">
        <w:rPr>
          <w:rFonts w:eastAsia="MS Mincho" w:cs="Arial"/>
          <w:szCs w:val="22"/>
          <w:lang w:val="en-US" w:eastAsia="ja-JP"/>
        </w:rPr>
        <w:lastRenderedPageBreak/>
        <w:t>body weight; the resulting exposure differences are adequately addressed by the administration of a weight-based dose.</w:t>
      </w:r>
      <w:r w:rsidR="00383B62">
        <w:rPr>
          <w:rFonts w:eastAsia="MS Mincho" w:cs="Arial"/>
          <w:szCs w:val="22"/>
          <w:lang w:val="en-US" w:eastAsia="ja-JP"/>
        </w:rPr>
        <w:t xml:space="preserve"> </w:t>
      </w:r>
    </w:p>
    <w:p w14:paraId="7B5C5D77" w14:textId="77777777" w:rsidR="007D65EA" w:rsidRPr="007D65EA" w:rsidRDefault="007D65EA" w:rsidP="007D65EA">
      <w:pPr>
        <w:keepLines w:val="0"/>
        <w:tabs>
          <w:tab w:val="clear" w:pos="-720"/>
          <w:tab w:val="clear" w:pos="4513"/>
          <w:tab w:val="clear" w:pos="10348"/>
        </w:tabs>
        <w:suppressAutoHyphens w:val="0"/>
        <w:spacing w:before="4"/>
        <w:jc w:val="left"/>
        <w:rPr>
          <w:rFonts w:cs="Arial"/>
          <w:szCs w:val="22"/>
          <w:lang w:val="en-US" w:eastAsia="en-US"/>
        </w:rPr>
      </w:pPr>
    </w:p>
    <w:p w14:paraId="7B5C5D78" w14:textId="77777777" w:rsidR="007D65EA" w:rsidRPr="007D65EA" w:rsidRDefault="007D65EA" w:rsidP="007D65EA">
      <w:pPr>
        <w:keepLines w:val="0"/>
        <w:tabs>
          <w:tab w:val="clear" w:pos="-720"/>
          <w:tab w:val="clear" w:pos="4513"/>
          <w:tab w:val="clear" w:pos="10348"/>
        </w:tabs>
        <w:suppressAutoHyphens w:val="0"/>
        <w:rPr>
          <w:rFonts w:eastAsia="MS Mincho" w:cs="Arial"/>
          <w:szCs w:val="22"/>
          <w:lang w:val="en-US" w:eastAsia="ja-JP"/>
        </w:rPr>
      </w:pPr>
      <w:r w:rsidRPr="007D65EA">
        <w:rPr>
          <w:rFonts w:eastAsia="MS Mincho" w:cs="Arial"/>
          <w:szCs w:val="22"/>
          <w:lang w:val="en-US" w:eastAsia="ja-JP"/>
        </w:rPr>
        <w:t xml:space="preserve">The following factors had no clinically meaningful effect on the exposure of </w:t>
      </w:r>
      <w:proofErr w:type="spellStart"/>
      <w:r w:rsidRPr="007D65EA">
        <w:rPr>
          <w:rFonts w:eastAsia="MS Mincho" w:cs="Arial"/>
          <w:szCs w:val="22"/>
          <w:lang w:val="en-US" w:eastAsia="ja-JP"/>
        </w:rPr>
        <w:t>bezlotoxumab</w:t>
      </w:r>
      <w:proofErr w:type="spellEnd"/>
      <w:r w:rsidRPr="007D65EA">
        <w:rPr>
          <w:rFonts w:eastAsia="MS Mincho" w:cs="Arial"/>
          <w:szCs w:val="22"/>
          <w:lang w:val="en-US" w:eastAsia="ja-JP"/>
        </w:rPr>
        <w:t xml:space="preserve"> and no dose adjustment is required: age</w:t>
      </w:r>
      <w:r w:rsidR="00383B62">
        <w:rPr>
          <w:rFonts w:eastAsia="MS Mincho" w:cs="Arial"/>
          <w:szCs w:val="22"/>
          <w:lang w:val="en-US" w:eastAsia="ja-JP"/>
        </w:rPr>
        <w:t xml:space="preserve"> </w:t>
      </w:r>
      <w:r w:rsidRPr="007D65EA">
        <w:rPr>
          <w:rFonts w:eastAsia="MS Mincho" w:cs="Arial"/>
          <w:szCs w:val="22"/>
          <w:lang w:val="en-US" w:eastAsia="ja-JP"/>
        </w:rPr>
        <w:t>(range 18 to 100 years), gender, race, ethnicity, renal impairment, hepatic impairment, and presence of co-morbid conditions.</w:t>
      </w:r>
    </w:p>
    <w:p w14:paraId="7B5C5D79" w14:textId="77777777" w:rsidR="00440A35" w:rsidRPr="00A04553" w:rsidRDefault="00440A35" w:rsidP="008476E9">
      <w:pPr>
        <w:pStyle w:val="Body"/>
        <w:ind w:firstLine="0"/>
        <w:jc w:val="both"/>
        <w:rPr>
          <w:rFonts w:eastAsia="Times New Roman" w:cs="Arial"/>
          <w:sz w:val="22"/>
          <w:lang w:val="en-AU" w:eastAsia="en-AU"/>
        </w:rPr>
      </w:pPr>
    </w:p>
    <w:p w14:paraId="7B5C5D7A" w14:textId="77777777" w:rsidR="00440A35" w:rsidRPr="004172BA" w:rsidRDefault="00440A35" w:rsidP="00EE12B4">
      <w:pPr>
        <w:pStyle w:val="Heading2"/>
        <w:rPr>
          <w:rFonts w:ascii="Arial" w:hAnsi="Arial" w:cs="Arial"/>
        </w:rPr>
      </w:pPr>
      <w:r w:rsidRPr="004172BA">
        <w:rPr>
          <w:rFonts w:ascii="Arial" w:hAnsi="Arial" w:cs="Arial"/>
        </w:rPr>
        <w:t>Renal Impairment</w:t>
      </w:r>
    </w:p>
    <w:p w14:paraId="7B5C5D7B" w14:textId="77777777" w:rsidR="007D65EA" w:rsidRPr="00453199" w:rsidRDefault="007D65EA" w:rsidP="007D65EA">
      <w:pPr>
        <w:keepLines w:val="0"/>
        <w:tabs>
          <w:tab w:val="clear" w:pos="-720"/>
          <w:tab w:val="clear" w:pos="4513"/>
          <w:tab w:val="clear" w:pos="10348"/>
        </w:tabs>
        <w:suppressAutoHyphens w:val="0"/>
        <w:rPr>
          <w:rFonts w:eastAsia="MS Mincho" w:cs="Arial"/>
          <w:color w:val="3333FF"/>
          <w:szCs w:val="22"/>
          <w:lang w:val="en-US" w:eastAsia="ja-JP"/>
        </w:rPr>
      </w:pPr>
      <w:r w:rsidRPr="007D65EA">
        <w:rPr>
          <w:rFonts w:eastAsia="MS Mincho" w:cs="Arial"/>
          <w:szCs w:val="22"/>
          <w:lang w:val="en-US" w:eastAsia="ja-JP"/>
        </w:rPr>
        <w:t xml:space="preserve">The effect of renal impairment on the pharmacokinetics of </w:t>
      </w:r>
      <w:proofErr w:type="spellStart"/>
      <w:r w:rsidRPr="007D65EA">
        <w:rPr>
          <w:rFonts w:eastAsia="MS Mincho" w:cs="Arial"/>
          <w:szCs w:val="22"/>
          <w:lang w:val="en-US" w:eastAsia="ja-JP"/>
        </w:rPr>
        <w:t>bezlotoxumab</w:t>
      </w:r>
      <w:proofErr w:type="spellEnd"/>
      <w:r w:rsidRPr="007D65EA">
        <w:rPr>
          <w:rFonts w:eastAsia="MS Mincho" w:cs="Arial"/>
          <w:szCs w:val="22"/>
          <w:lang w:val="en-US" w:eastAsia="ja-JP"/>
        </w:rPr>
        <w:t xml:space="preserve"> was evaluated in patients with mild (</w:t>
      </w:r>
      <w:proofErr w:type="spellStart"/>
      <w:r w:rsidRPr="007D65EA">
        <w:rPr>
          <w:rFonts w:eastAsia="MS Mincho" w:cs="Arial"/>
          <w:szCs w:val="22"/>
          <w:lang w:val="en-US" w:eastAsia="ja-JP"/>
        </w:rPr>
        <w:t>eGFR</w:t>
      </w:r>
      <w:proofErr w:type="spellEnd"/>
      <w:r w:rsidRPr="007D65EA">
        <w:rPr>
          <w:rFonts w:eastAsia="MS Mincho" w:cs="Arial"/>
          <w:szCs w:val="22"/>
          <w:lang w:val="en-US" w:eastAsia="ja-JP"/>
        </w:rPr>
        <w:t xml:space="preserve"> 60 to &lt; 90 mL/min/1.73 m</w:t>
      </w:r>
      <w:r w:rsidRPr="007D65EA">
        <w:rPr>
          <w:rFonts w:eastAsia="MS Mincho" w:cs="Arial"/>
          <w:szCs w:val="22"/>
          <w:vertAlign w:val="superscript"/>
          <w:lang w:val="en-US" w:eastAsia="ja-JP"/>
        </w:rPr>
        <w:t>2</w:t>
      </w:r>
      <w:r w:rsidRPr="007D65EA">
        <w:rPr>
          <w:rFonts w:eastAsia="MS Mincho" w:cs="Arial"/>
          <w:szCs w:val="22"/>
          <w:lang w:val="en-US" w:eastAsia="ja-JP"/>
        </w:rPr>
        <w:t>), moderate (</w:t>
      </w:r>
      <w:proofErr w:type="spellStart"/>
      <w:r w:rsidRPr="007D65EA">
        <w:rPr>
          <w:rFonts w:eastAsia="MS Mincho" w:cs="Arial"/>
          <w:szCs w:val="22"/>
          <w:lang w:val="en-US" w:eastAsia="ja-JP"/>
        </w:rPr>
        <w:t>eGFR</w:t>
      </w:r>
      <w:proofErr w:type="spellEnd"/>
      <w:r w:rsidRPr="007D65EA">
        <w:rPr>
          <w:rFonts w:eastAsia="MS Mincho" w:cs="Arial"/>
          <w:szCs w:val="22"/>
          <w:lang w:val="en-US" w:eastAsia="ja-JP"/>
        </w:rPr>
        <w:t xml:space="preserve"> 30 to &lt; 60 mL/min/1.73 m</w:t>
      </w:r>
      <w:r w:rsidRPr="007D65EA">
        <w:rPr>
          <w:rFonts w:eastAsia="MS Mincho" w:cs="Arial"/>
          <w:szCs w:val="22"/>
          <w:vertAlign w:val="superscript"/>
          <w:lang w:val="en-US" w:eastAsia="ja-JP"/>
        </w:rPr>
        <w:t>2</w:t>
      </w:r>
      <w:r w:rsidRPr="007D65EA">
        <w:rPr>
          <w:rFonts w:eastAsia="MS Mincho" w:cs="Arial"/>
          <w:szCs w:val="22"/>
          <w:lang w:val="en-US" w:eastAsia="ja-JP"/>
        </w:rPr>
        <w:t>), or severe (</w:t>
      </w:r>
      <w:proofErr w:type="spellStart"/>
      <w:r w:rsidRPr="007D65EA">
        <w:rPr>
          <w:rFonts w:eastAsia="MS Mincho" w:cs="Arial"/>
          <w:szCs w:val="22"/>
          <w:lang w:val="en-US" w:eastAsia="ja-JP"/>
        </w:rPr>
        <w:t>eGFR</w:t>
      </w:r>
      <w:proofErr w:type="spellEnd"/>
      <w:r w:rsidRPr="007D65EA">
        <w:rPr>
          <w:rFonts w:eastAsia="MS Mincho" w:cs="Arial"/>
          <w:szCs w:val="22"/>
          <w:lang w:val="en-US" w:eastAsia="ja-JP"/>
        </w:rPr>
        <w:t xml:space="preserve"> 15 to &lt; 30 mL/min/1.73 m</w:t>
      </w:r>
      <w:r w:rsidRPr="007D65EA">
        <w:rPr>
          <w:rFonts w:eastAsia="MS Mincho" w:cs="Arial"/>
          <w:szCs w:val="22"/>
          <w:vertAlign w:val="superscript"/>
          <w:lang w:val="en-US" w:eastAsia="ja-JP"/>
        </w:rPr>
        <w:t>2</w:t>
      </w:r>
      <w:r w:rsidRPr="007D65EA">
        <w:rPr>
          <w:rFonts w:eastAsia="MS Mincho" w:cs="Arial"/>
          <w:szCs w:val="22"/>
          <w:lang w:val="en-US" w:eastAsia="ja-JP"/>
        </w:rPr>
        <w:t>) renal impairment, or with end stage renal disease (</w:t>
      </w:r>
      <w:proofErr w:type="spellStart"/>
      <w:r w:rsidRPr="007D65EA">
        <w:rPr>
          <w:rFonts w:eastAsia="MS Mincho" w:cs="Arial"/>
          <w:szCs w:val="22"/>
          <w:lang w:val="en-US" w:eastAsia="ja-JP"/>
        </w:rPr>
        <w:t>eGFR</w:t>
      </w:r>
      <w:proofErr w:type="spellEnd"/>
      <w:r w:rsidRPr="007D65EA">
        <w:rPr>
          <w:rFonts w:eastAsia="MS Mincho" w:cs="Arial"/>
          <w:szCs w:val="22"/>
          <w:lang w:val="en-US" w:eastAsia="ja-JP"/>
        </w:rPr>
        <w:t> &lt; 15 mL/min/1.73 m</w:t>
      </w:r>
      <w:r w:rsidRPr="007D65EA">
        <w:rPr>
          <w:rFonts w:eastAsia="MS Mincho" w:cs="Arial"/>
          <w:szCs w:val="22"/>
          <w:vertAlign w:val="superscript"/>
          <w:lang w:val="en-US" w:eastAsia="ja-JP"/>
        </w:rPr>
        <w:t>2</w:t>
      </w:r>
      <w:r w:rsidRPr="007D65EA">
        <w:rPr>
          <w:rFonts w:eastAsia="MS Mincho" w:cs="Arial"/>
          <w:szCs w:val="22"/>
          <w:lang w:val="en-US" w:eastAsia="ja-JP"/>
        </w:rPr>
        <w:t>), as compared to patients demonstrating normal (</w:t>
      </w:r>
      <w:proofErr w:type="spellStart"/>
      <w:r w:rsidRPr="007D65EA">
        <w:rPr>
          <w:rFonts w:eastAsia="MS Mincho" w:cs="Arial"/>
          <w:szCs w:val="22"/>
          <w:lang w:val="en-US" w:eastAsia="ja-JP"/>
        </w:rPr>
        <w:t>eGFR</w:t>
      </w:r>
      <w:proofErr w:type="spellEnd"/>
      <w:r w:rsidRPr="007D65EA">
        <w:rPr>
          <w:rFonts w:eastAsia="MS Mincho" w:cs="Arial"/>
          <w:szCs w:val="22"/>
          <w:lang w:val="en-US" w:eastAsia="ja-JP"/>
        </w:rPr>
        <w:t xml:space="preserve"> ≥90 mL/min/1.73 m</w:t>
      </w:r>
      <w:r w:rsidRPr="007D65EA">
        <w:rPr>
          <w:rFonts w:eastAsia="MS Mincho" w:cs="Arial"/>
          <w:szCs w:val="22"/>
          <w:vertAlign w:val="superscript"/>
          <w:lang w:val="en-US" w:eastAsia="ja-JP"/>
        </w:rPr>
        <w:t>2</w:t>
      </w:r>
      <w:r w:rsidRPr="007D65EA">
        <w:rPr>
          <w:rFonts w:eastAsia="MS Mincho" w:cs="Arial"/>
          <w:szCs w:val="22"/>
          <w:lang w:val="en-US" w:eastAsia="ja-JP"/>
        </w:rPr>
        <w:t xml:space="preserve">) renal function. No clinically meaningful differences in the exposure of </w:t>
      </w:r>
      <w:proofErr w:type="spellStart"/>
      <w:r w:rsidRPr="007D65EA">
        <w:rPr>
          <w:rFonts w:eastAsia="MS Mincho" w:cs="Arial"/>
          <w:szCs w:val="22"/>
          <w:lang w:val="en-US" w:eastAsia="ja-JP"/>
        </w:rPr>
        <w:t>bezlotoxumab</w:t>
      </w:r>
      <w:proofErr w:type="spellEnd"/>
      <w:r w:rsidRPr="007D65EA">
        <w:rPr>
          <w:rFonts w:eastAsia="MS Mincho" w:cs="Arial"/>
          <w:szCs w:val="22"/>
          <w:lang w:val="en-US" w:eastAsia="ja-JP"/>
        </w:rPr>
        <w:t xml:space="preserve"> were found between patients with renal impairment and patients with normal renal function.</w:t>
      </w:r>
      <w:r w:rsidR="00453199">
        <w:rPr>
          <w:rFonts w:eastAsia="MS Mincho" w:cs="Arial"/>
          <w:szCs w:val="22"/>
          <w:lang w:val="en-US" w:eastAsia="ja-JP"/>
        </w:rPr>
        <w:t xml:space="preserve"> </w:t>
      </w:r>
    </w:p>
    <w:p w14:paraId="7B5C5D7C" w14:textId="77777777" w:rsidR="007B4A4F" w:rsidRPr="00EE12B4" w:rsidRDefault="007B4A4F" w:rsidP="008476E9">
      <w:pPr>
        <w:pStyle w:val="Body"/>
        <w:ind w:firstLine="0"/>
        <w:jc w:val="both"/>
        <w:rPr>
          <w:rFonts w:eastAsia="Times New Roman" w:cs="Arial"/>
          <w:sz w:val="22"/>
          <w:lang w:val="en-AU" w:eastAsia="en-AU"/>
        </w:rPr>
      </w:pPr>
    </w:p>
    <w:p w14:paraId="7B5C5D7D" w14:textId="77777777" w:rsidR="00440A35" w:rsidRPr="004172BA" w:rsidRDefault="00440A35" w:rsidP="00EE12B4">
      <w:pPr>
        <w:pStyle w:val="Heading2"/>
        <w:rPr>
          <w:rFonts w:ascii="Arial" w:hAnsi="Arial" w:cs="Arial"/>
        </w:rPr>
      </w:pPr>
      <w:r w:rsidRPr="004172BA">
        <w:rPr>
          <w:rFonts w:ascii="Arial" w:hAnsi="Arial" w:cs="Arial"/>
        </w:rPr>
        <w:t>Hepatic Impairment</w:t>
      </w:r>
    </w:p>
    <w:p w14:paraId="7B5C5D7E" w14:textId="77777777" w:rsidR="00453199" w:rsidRDefault="007D65EA" w:rsidP="007D65EA">
      <w:pPr>
        <w:keepLines w:val="0"/>
        <w:tabs>
          <w:tab w:val="clear" w:pos="-720"/>
          <w:tab w:val="clear" w:pos="4513"/>
          <w:tab w:val="clear" w:pos="10348"/>
        </w:tabs>
        <w:suppressAutoHyphens w:val="0"/>
        <w:rPr>
          <w:rFonts w:eastAsia="MS Mincho" w:cs="Arial"/>
          <w:noProof/>
          <w:szCs w:val="22"/>
          <w:lang w:val="en-US" w:eastAsia="ja-JP"/>
        </w:rPr>
      </w:pPr>
      <w:r w:rsidRPr="007D65EA">
        <w:rPr>
          <w:rFonts w:eastAsia="MS Mincho" w:cs="Arial"/>
          <w:noProof/>
          <w:szCs w:val="22"/>
          <w:lang w:val="en-US" w:eastAsia="ja-JP"/>
        </w:rPr>
        <w:t>The effect of hepatic impairment on the pharmacokinetics of bezlotoxumab was evaluated in patients with hepatic impairment (defined as having two or more of the following: [1] albumin ≤ 3.1 g/dL; [2] ALT ≥2X ULN; [3] total bilirubin ≥1.3X ULN; or [4] mild, moderate or severe liver disease as reported by the Charlson Co-morbidity Index), as compared to patients with normal hepatic function. No clinically meaningful differences in the exposure of bezlotoxumab were found between patients with hepatic impairment and patients with normal hepatic function.</w:t>
      </w:r>
    </w:p>
    <w:p w14:paraId="7B5C5D7F" w14:textId="77777777" w:rsidR="00F004C5" w:rsidRDefault="00F004C5" w:rsidP="007D65EA">
      <w:pPr>
        <w:keepLines w:val="0"/>
        <w:tabs>
          <w:tab w:val="clear" w:pos="-720"/>
          <w:tab w:val="clear" w:pos="4513"/>
          <w:tab w:val="clear" w:pos="10348"/>
        </w:tabs>
        <w:suppressAutoHyphens w:val="0"/>
        <w:rPr>
          <w:rFonts w:eastAsia="MS Mincho" w:cs="Arial"/>
          <w:noProof/>
          <w:szCs w:val="22"/>
          <w:lang w:val="en-US" w:eastAsia="ja-JP"/>
        </w:rPr>
      </w:pPr>
    </w:p>
    <w:p w14:paraId="7B5C5D80" w14:textId="77777777" w:rsidR="007D65EA" w:rsidRPr="004172BA" w:rsidRDefault="007D65EA" w:rsidP="007D65EA">
      <w:pPr>
        <w:pStyle w:val="Heading2"/>
        <w:rPr>
          <w:rFonts w:ascii="Arial" w:hAnsi="Arial" w:cs="Arial"/>
        </w:rPr>
      </w:pPr>
      <w:r>
        <w:rPr>
          <w:rFonts w:ascii="Arial" w:hAnsi="Arial" w:cs="Arial"/>
        </w:rPr>
        <w:t>Geriatric</w:t>
      </w:r>
    </w:p>
    <w:p w14:paraId="7B5C5D81" w14:textId="77777777" w:rsidR="007D65EA" w:rsidRDefault="007D65EA" w:rsidP="007D65EA">
      <w:pPr>
        <w:keepLines w:val="0"/>
        <w:tabs>
          <w:tab w:val="clear" w:pos="-720"/>
          <w:tab w:val="clear" w:pos="4513"/>
          <w:tab w:val="clear" w:pos="10348"/>
        </w:tabs>
        <w:suppressAutoHyphens w:val="0"/>
        <w:rPr>
          <w:rFonts w:eastAsia="MS Mincho" w:cs="Arial"/>
          <w:szCs w:val="22"/>
          <w:lang w:val="en-US" w:eastAsia="ja-JP"/>
        </w:rPr>
      </w:pPr>
      <w:r w:rsidRPr="007D65EA">
        <w:rPr>
          <w:rFonts w:eastAsia="MS Mincho" w:cs="Arial"/>
          <w:szCs w:val="22"/>
          <w:lang w:val="en-US" w:eastAsia="ja-JP"/>
        </w:rPr>
        <w:t xml:space="preserve">The effect of age on the pharmacokinetics of </w:t>
      </w:r>
      <w:proofErr w:type="spellStart"/>
      <w:r w:rsidRPr="007D65EA">
        <w:rPr>
          <w:rFonts w:eastAsia="MS Mincho" w:cs="Arial"/>
          <w:szCs w:val="22"/>
          <w:lang w:val="en-US" w:eastAsia="ja-JP"/>
        </w:rPr>
        <w:t>bezlotoxumab</w:t>
      </w:r>
      <w:proofErr w:type="spellEnd"/>
      <w:r w:rsidRPr="007D65EA">
        <w:rPr>
          <w:rFonts w:eastAsia="MS Mincho" w:cs="Arial"/>
          <w:szCs w:val="22"/>
          <w:lang w:val="en-US" w:eastAsia="ja-JP"/>
        </w:rPr>
        <w:t xml:space="preserve"> was evaluated in patients ranging from 18 to 100 years of age. No clinically meaningful differences in the exposure of </w:t>
      </w:r>
      <w:proofErr w:type="spellStart"/>
      <w:r w:rsidRPr="007D65EA">
        <w:rPr>
          <w:rFonts w:eastAsia="MS Mincho" w:cs="Arial"/>
          <w:szCs w:val="22"/>
          <w:lang w:val="en-US" w:eastAsia="ja-JP"/>
        </w:rPr>
        <w:t>bezlotoxumab</w:t>
      </w:r>
      <w:proofErr w:type="spellEnd"/>
      <w:r w:rsidRPr="007D65EA">
        <w:rPr>
          <w:rFonts w:eastAsia="MS Mincho" w:cs="Arial"/>
          <w:szCs w:val="22"/>
          <w:lang w:val="en-US" w:eastAsia="ja-JP"/>
        </w:rPr>
        <w:t xml:space="preserve"> were found between elderly patients 65 years and older and patients under 65 years of age.</w:t>
      </w:r>
    </w:p>
    <w:p w14:paraId="7B5C5D82" w14:textId="77777777" w:rsidR="003A6F1C" w:rsidRPr="00EE12B4" w:rsidRDefault="00491C60" w:rsidP="007B396B">
      <w:pPr>
        <w:pStyle w:val="Heading1"/>
      </w:pPr>
      <w:r w:rsidRPr="00EE12B4">
        <w:t>CLINICAL TRIALS</w:t>
      </w:r>
    </w:p>
    <w:p w14:paraId="7B5C5D83" w14:textId="77777777" w:rsidR="00453199" w:rsidRDefault="00150CDF" w:rsidP="00150CDF">
      <w:pPr>
        <w:keepLines w:val="0"/>
        <w:tabs>
          <w:tab w:val="clear" w:pos="-720"/>
          <w:tab w:val="clear" w:pos="4513"/>
          <w:tab w:val="clear" w:pos="10348"/>
        </w:tabs>
        <w:suppressAutoHyphens w:val="0"/>
        <w:rPr>
          <w:rFonts w:eastAsia="MS Mincho" w:cs="Arial"/>
          <w:szCs w:val="22"/>
          <w:lang w:val="en-US" w:eastAsia="ja-JP"/>
        </w:rPr>
      </w:pPr>
      <w:r w:rsidRPr="00150CDF">
        <w:rPr>
          <w:rFonts w:eastAsia="MS Mincho" w:cs="Arial"/>
          <w:szCs w:val="22"/>
          <w:lang w:val="en-US" w:eastAsia="ja-JP"/>
        </w:rPr>
        <w:t xml:space="preserve">The safety and efficacy of </w:t>
      </w:r>
      <w:r w:rsidR="00AC7B27">
        <w:rPr>
          <w:rFonts w:eastAsia="MS Mincho" w:cs="Arial"/>
          <w:szCs w:val="22"/>
          <w:lang w:val="en-US" w:eastAsia="ja-JP"/>
        </w:rPr>
        <w:t>ZINPLAVA</w:t>
      </w:r>
      <w:r w:rsidRPr="00150CDF">
        <w:rPr>
          <w:rFonts w:eastAsia="MS Mincho" w:cs="Arial"/>
          <w:szCs w:val="22"/>
          <w:lang w:val="en-US" w:eastAsia="ja-JP"/>
        </w:rPr>
        <w:t xml:space="preserve"> (</w:t>
      </w:r>
      <w:proofErr w:type="spellStart"/>
      <w:r w:rsidRPr="00150CDF">
        <w:rPr>
          <w:rFonts w:eastAsia="MS Mincho" w:cs="Arial"/>
          <w:szCs w:val="22"/>
          <w:lang w:val="en-US" w:eastAsia="ja-JP"/>
        </w:rPr>
        <w:t>bezlotoxumab</w:t>
      </w:r>
      <w:proofErr w:type="spellEnd"/>
      <w:r w:rsidRPr="00150CDF">
        <w:rPr>
          <w:rFonts w:eastAsia="MS Mincho" w:cs="Arial"/>
          <w:szCs w:val="22"/>
          <w:lang w:val="en-US" w:eastAsia="ja-JP"/>
        </w:rPr>
        <w:t xml:space="preserve">) were investigated in two </w:t>
      </w:r>
      <w:proofErr w:type="spellStart"/>
      <w:r w:rsidRPr="00150CDF">
        <w:rPr>
          <w:rFonts w:eastAsia="MS Mincho" w:cs="Arial"/>
          <w:szCs w:val="22"/>
          <w:lang w:val="en-US" w:eastAsia="ja-JP"/>
        </w:rPr>
        <w:t>randomi</w:t>
      </w:r>
      <w:r w:rsidR="00040B43">
        <w:rPr>
          <w:rFonts w:eastAsia="MS Mincho" w:cs="Arial"/>
          <w:szCs w:val="22"/>
          <w:lang w:val="en-US" w:eastAsia="ja-JP"/>
        </w:rPr>
        <w:t>s</w:t>
      </w:r>
      <w:r w:rsidRPr="00150CDF">
        <w:rPr>
          <w:rFonts w:eastAsia="MS Mincho" w:cs="Arial"/>
          <w:szCs w:val="22"/>
          <w:lang w:val="en-US" w:eastAsia="ja-JP"/>
        </w:rPr>
        <w:t>ed</w:t>
      </w:r>
      <w:proofErr w:type="spellEnd"/>
      <w:r w:rsidRPr="00150CDF">
        <w:rPr>
          <w:rFonts w:eastAsia="MS Mincho" w:cs="Arial"/>
          <w:szCs w:val="22"/>
          <w:lang w:val="en-US" w:eastAsia="ja-JP"/>
        </w:rPr>
        <w:t>, double-blind, placebo-controlled, multicenter, Phase 3 studies (MODIFY I and MODIFY II) in 2</w:t>
      </w:r>
      <w:r w:rsidR="00040B43">
        <w:rPr>
          <w:rFonts w:eastAsia="MS Mincho" w:cs="Arial"/>
          <w:szCs w:val="22"/>
          <w:lang w:val="en-US" w:eastAsia="ja-JP"/>
        </w:rPr>
        <w:t>,</w:t>
      </w:r>
      <w:r w:rsidRPr="00150CDF">
        <w:rPr>
          <w:rFonts w:eastAsia="MS Mincho" w:cs="Arial"/>
          <w:szCs w:val="22"/>
          <w:lang w:val="en-US" w:eastAsia="ja-JP"/>
        </w:rPr>
        <w:t>655 patients receiving concomitant oral S</w:t>
      </w:r>
      <w:r w:rsidR="00040B43">
        <w:rPr>
          <w:rFonts w:eastAsia="MS Mincho" w:cs="Arial"/>
          <w:szCs w:val="22"/>
          <w:lang w:val="en-US" w:eastAsia="ja-JP"/>
        </w:rPr>
        <w:t xml:space="preserve">tandard </w:t>
      </w:r>
      <w:r w:rsidRPr="00150CDF">
        <w:rPr>
          <w:rFonts w:eastAsia="MS Mincho" w:cs="Arial"/>
          <w:szCs w:val="22"/>
          <w:lang w:val="en-US" w:eastAsia="ja-JP"/>
        </w:rPr>
        <w:t>o</w:t>
      </w:r>
      <w:r w:rsidR="00040B43">
        <w:rPr>
          <w:rFonts w:eastAsia="MS Mincho" w:cs="Arial"/>
          <w:szCs w:val="22"/>
          <w:lang w:val="en-US" w:eastAsia="ja-JP"/>
        </w:rPr>
        <w:t xml:space="preserve">f </w:t>
      </w:r>
      <w:r w:rsidRPr="00150CDF">
        <w:rPr>
          <w:rFonts w:eastAsia="MS Mincho" w:cs="Arial"/>
          <w:szCs w:val="22"/>
          <w:lang w:val="en-US" w:eastAsia="ja-JP"/>
        </w:rPr>
        <w:t>C</w:t>
      </w:r>
      <w:r w:rsidR="00040B43">
        <w:rPr>
          <w:rFonts w:eastAsia="MS Mincho" w:cs="Arial"/>
          <w:szCs w:val="22"/>
          <w:lang w:val="en-US" w:eastAsia="ja-JP"/>
        </w:rPr>
        <w:t>are (</w:t>
      </w:r>
      <w:proofErr w:type="spellStart"/>
      <w:r w:rsidR="00040B43">
        <w:rPr>
          <w:rFonts w:eastAsia="MS Mincho" w:cs="Arial"/>
          <w:szCs w:val="22"/>
          <w:lang w:val="en-US" w:eastAsia="ja-JP"/>
        </w:rPr>
        <w:t>SoC</w:t>
      </w:r>
      <w:proofErr w:type="spellEnd"/>
      <w:r w:rsidR="00040B43">
        <w:rPr>
          <w:rFonts w:eastAsia="MS Mincho" w:cs="Arial"/>
          <w:szCs w:val="22"/>
          <w:lang w:val="en-US" w:eastAsia="ja-JP"/>
        </w:rPr>
        <w:t>)</w:t>
      </w:r>
      <w:r w:rsidRPr="00150CDF">
        <w:rPr>
          <w:rFonts w:eastAsia="MS Mincho" w:cs="Arial"/>
          <w:szCs w:val="22"/>
          <w:lang w:val="en-US" w:eastAsia="ja-JP"/>
        </w:rPr>
        <w:t xml:space="preserve"> antibiotic therapy for CDI.</w:t>
      </w:r>
    </w:p>
    <w:p w14:paraId="7B5C5D85" w14:textId="5DEBC427" w:rsidR="00453199" w:rsidRDefault="00453199" w:rsidP="00150CDF">
      <w:pPr>
        <w:keepLines w:val="0"/>
        <w:tabs>
          <w:tab w:val="clear" w:pos="-720"/>
          <w:tab w:val="clear" w:pos="4513"/>
          <w:tab w:val="clear" w:pos="10348"/>
        </w:tabs>
        <w:suppressAutoHyphens w:val="0"/>
        <w:rPr>
          <w:rFonts w:eastAsia="MS Mincho" w:cs="Arial"/>
          <w:szCs w:val="22"/>
          <w:lang w:val="en-US" w:eastAsia="ja-JP"/>
        </w:rPr>
      </w:pPr>
    </w:p>
    <w:p w14:paraId="7B5C5D86" w14:textId="77777777" w:rsidR="00150CDF" w:rsidRDefault="00150CDF" w:rsidP="00150CDF">
      <w:pPr>
        <w:keepLines w:val="0"/>
        <w:tabs>
          <w:tab w:val="clear" w:pos="-720"/>
          <w:tab w:val="clear" w:pos="4513"/>
          <w:tab w:val="clear" w:pos="10348"/>
        </w:tabs>
        <w:suppressAutoHyphens w:val="0"/>
        <w:rPr>
          <w:rFonts w:eastAsia="MS Mincho" w:cs="Arial"/>
          <w:szCs w:val="22"/>
          <w:lang w:val="en-US" w:eastAsia="ja-JP"/>
        </w:rPr>
      </w:pPr>
      <w:proofErr w:type="spellStart"/>
      <w:r w:rsidRPr="00150CDF">
        <w:rPr>
          <w:rFonts w:eastAsia="MS Mincho" w:cs="Arial"/>
          <w:szCs w:val="22"/>
          <w:lang w:val="en-US" w:eastAsia="ja-JP"/>
        </w:rPr>
        <w:t>Randomi</w:t>
      </w:r>
      <w:r w:rsidR="00037C7D">
        <w:rPr>
          <w:rFonts w:eastAsia="MS Mincho" w:cs="Arial"/>
          <w:szCs w:val="22"/>
          <w:lang w:val="en-US" w:eastAsia="ja-JP"/>
        </w:rPr>
        <w:t>s</w:t>
      </w:r>
      <w:r w:rsidRPr="00150CDF">
        <w:rPr>
          <w:rFonts w:eastAsia="MS Mincho" w:cs="Arial"/>
          <w:szCs w:val="22"/>
          <w:lang w:val="en-US" w:eastAsia="ja-JP"/>
        </w:rPr>
        <w:t>ation</w:t>
      </w:r>
      <w:proofErr w:type="spellEnd"/>
      <w:r w:rsidRPr="00150CDF">
        <w:rPr>
          <w:rFonts w:eastAsia="MS Mincho" w:cs="Arial"/>
          <w:szCs w:val="22"/>
          <w:lang w:val="en-US" w:eastAsia="ja-JP"/>
        </w:rPr>
        <w:t xml:space="preserve"> was stratified by </w:t>
      </w:r>
      <w:proofErr w:type="spellStart"/>
      <w:r w:rsidRPr="00150CDF">
        <w:rPr>
          <w:rFonts w:eastAsia="MS Mincho" w:cs="Arial"/>
          <w:szCs w:val="22"/>
          <w:lang w:val="en-US" w:eastAsia="ja-JP"/>
        </w:rPr>
        <w:t>SoC</w:t>
      </w:r>
      <w:proofErr w:type="spellEnd"/>
      <w:r w:rsidRPr="00150CDF">
        <w:rPr>
          <w:rFonts w:eastAsia="MS Mincho" w:cs="Arial"/>
          <w:szCs w:val="22"/>
          <w:lang w:val="en-US" w:eastAsia="ja-JP"/>
        </w:rPr>
        <w:t xml:space="preserve"> antibiotic and </w:t>
      </w:r>
      <w:proofErr w:type="spellStart"/>
      <w:r w:rsidRPr="00150CDF">
        <w:rPr>
          <w:rFonts w:eastAsia="MS Mincho" w:cs="Arial"/>
          <w:szCs w:val="22"/>
          <w:lang w:val="en-US" w:eastAsia="ja-JP"/>
        </w:rPr>
        <w:t>hospitali</w:t>
      </w:r>
      <w:r w:rsidR="00040B43">
        <w:rPr>
          <w:rFonts w:eastAsia="MS Mincho" w:cs="Arial"/>
          <w:szCs w:val="22"/>
          <w:lang w:val="en-US" w:eastAsia="ja-JP"/>
        </w:rPr>
        <w:t>s</w:t>
      </w:r>
      <w:r w:rsidRPr="00150CDF">
        <w:rPr>
          <w:rFonts w:eastAsia="MS Mincho" w:cs="Arial"/>
          <w:szCs w:val="22"/>
          <w:lang w:val="en-US" w:eastAsia="ja-JP"/>
        </w:rPr>
        <w:t>ation</w:t>
      </w:r>
      <w:proofErr w:type="spellEnd"/>
      <w:r w:rsidRPr="00150CDF">
        <w:rPr>
          <w:rFonts w:eastAsia="MS Mincho" w:cs="Arial"/>
          <w:szCs w:val="22"/>
          <w:lang w:val="en-US" w:eastAsia="ja-JP"/>
        </w:rPr>
        <w:t xml:space="preserve"> status (inpatient vs. outpatient) at the time of study entry. In MODIFY I, subjects were </w:t>
      </w:r>
      <w:proofErr w:type="spellStart"/>
      <w:r w:rsidR="009D4322">
        <w:rPr>
          <w:rFonts w:eastAsia="MS Mincho" w:cs="Arial"/>
          <w:szCs w:val="22"/>
          <w:lang w:val="en-US" w:eastAsia="ja-JP"/>
        </w:rPr>
        <w:t>randomised</w:t>
      </w:r>
      <w:proofErr w:type="spellEnd"/>
      <w:r w:rsidRPr="00150CDF">
        <w:rPr>
          <w:rFonts w:eastAsia="MS Mincho" w:cs="Arial"/>
          <w:szCs w:val="22"/>
          <w:lang w:val="en-US" w:eastAsia="ja-JP"/>
        </w:rPr>
        <w:t xml:space="preserve"> in a 1:1:1:1 ratio to receive </w:t>
      </w:r>
      <w:r w:rsidR="00AC7B27">
        <w:rPr>
          <w:rFonts w:eastAsia="MS Mincho" w:cs="Arial"/>
          <w:szCs w:val="22"/>
          <w:lang w:val="en-US" w:eastAsia="ja-JP"/>
        </w:rPr>
        <w:t>ZINPLAVA</w:t>
      </w:r>
      <w:r w:rsidRPr="00150CDF">
        <w:rPr>
          <w:rFonts w:eastAsia="MS Mincho" w:cs="Arial"/>
          <w:szCs w:val="22"/>
          <w:lang w:val="en-US" w:eastAsia="ja-JP"/>
        </w:rPr>
        <w:t xml:space="preserve">, anti-toxin A, </w:t>
      </w:r>
      <w:r w:rsidR="00AC7B27">
        <w:rPr>
          <w:rFonts w:eastAsia="MS Mincho" w:cs="Arial"/>
          <w:szCs w:val="22"/>
          <w:lang w:val="en-US" w:eastAsia="ja-JP"/>
        </w:rPr>
        <w:t>ZINPLAVA</w:t>
      </w:r>
      <w:r w:rsidRPr="00150CDF">
        <w:rPr>
          <w:rFonts w:eastAsia="MS Mincho" w:cs="Arial"/>
          <w:szCs w:val="22"/>
          <w:lang w:val="en-US" w:eastAsia="ja-JP"/>
        </w:rPr>
        <w:t xml:space="preserve"> plus anti-toxin A, or placebo. In MODIFY II, subjects were </w:t>
      </w:r>
      <w:proofErr w:type="spellStart"/>
      <w:r w:rsidR="009D4322">
        <w:rPr>
          <w:rFonts w:eastAsia="MS Mincho" w:cs="Arial"/>
          <w:szCs w:val="22"/>
          <w:lang w:val="en-US" w:eastAsia="ja-JP"/>
        </w:rPr>
        <w:t>randomised</w:t>
      </w:r>
      <w:proofErr w:type="spellEnd"/>
      <w:r w:rsidRPr="00150CDF">
        <w:rPr>
          <w:rFonts w:eastAsia="MS Mincho" w:cs="Arial"/>
          <w:szCs w:val="22"/>
          <w:lang w:val="en-US" w:eastAsia="ja-JP"/>
        </w:rPr>
        <w:t xml:space="preserve"> in a 1:1:1 ratio to receive </w:t>
      </w:r>
      <w:r w:rsidR="00AC7B27">
        <w:rPr>
          <w:rFonts w:eastAsia="MS Mincho" w:cs="Arial"/>
          <w:szCs w:val="22"/>
          <w:lang w:val="en-US" w:eastAsia="ja-JP"/>
        </w:rPr>
        <w:t>ZINPLAVA</w:t>
      </w:r>
      <w:r w:rsidRPr="00150CDF">
        <w:rPr>
          <w:rFonts w:eastAsia="MS Mincho" w:cs="Arial"/>
          <w:szCs w:val="22"/>
          <w:lang w:val="en-US" w:eastAsia="ja-JP"/>
        </w:rPr>
        <w:t xml:space="preserve">, </w:t>
      </w:r>
      <w:r w:rsidR="00AC7B27">
        <w:rPr>
          <w:rFonts w:eastAsia="MS Mincho" w:cs="Arial"/>
          <w:szCs w:val="22"/>
          <w:lang w:val="en-US" w:eastAsia="ja-JP"/>
        </w:rPr>
        <w:t>ZINPLAVA</w:t>
      </w:r>
      <w:r w:rsidRPr="00150CDF">
        <w:rPr>
          <w:rFonts w:eastAsia="MS Mincho" w:cs="Arial"/>
          <w:szCs w:val="22"/>
          <w:lang w:val="en-US" w:eastAsia="ja-JP"/>
        </w:rPr>
        <w:t xml:space="preserve"> plus anti-toxin A, or placebo.</w:t>
      </w:r>
      <w:r w:rsidR="00583120">
        <w:rPr>
          <w:rFonts w:eastAsia="MS Mincho" w:cs="Arial"/>
          <w:szCs w:val="22"/>
          <w:lang w:val="en-US" w:eastAsia="ja-JP"/>
        </w:rPr>
        <w:t xml:space="preserve"> </w:t>
      </w:r>
      <w:r w:rsidRPr="00150CDF">
        <w:rPr>
          <w:rFonts w:eastAsia="MS Mincho" w:cs="Arial"/>
          <w:szCs w:val="22"/>
          <w:lang w:val="en-US" w:eastAsia="ja-JP"/>
        </w:rPr>
        <w:t xml:space="preserve">Anti-toxin A when given alone was not shown to prevent CDI recurrence compared to placebo, and </w:t>
      </w:r>
      <w:r w:rsidR="00AC7B27">
        <w:rPr>
          <w:rFonts w:eastAsia="MS Mincho" w:cs="Arial"/>
          <w:szCs w:val="22"/>
          <w:lang w:val="en-US" w:eastAsia="ja-JP"/>
        </w:rPr>
        <w:t>ZINPLAVA</w:t>
      </w:r>
      <w:r w:rsidRPr="00150CDF">
        <w:rPr>
          <w:rFonts w:eastAsia="MS Mincho" w:cs="Arial"/>
          <w:szCs w:val="22"/>
          <w:lang w:val="en-US" w:eastAsia="ja-JP"/>
        </w:rPr>
        <w:t xml:space="preserve"> plus anti-toxin A was not superior to </w:t>
      </w:r>
      <w:r w:rsidR="00AC7B27">
        <w:rPr>
          <w:rFonts w:eastAsia="MS Mincho" w:cs="Arial"/>
          <w:szCs w:val="22"/>
          <w:lang w:val="en-US" w:eastAsia="ja-JP"/>
        </w:rPr>
        <w:t>ZINPLAVA</w:t>
      </w:r>
      <w:r w:rsidRPr="00150CDF">
        <w:rPr>
          <w:rFonts w:eastAsia="MS Mincho" w:cs="Arial"/>
          <w:szCs w:val="22"/>
          <w:lang w:val="en-US" w:eastAsia="ja-JP"/>
        </w:rPr>
        <w:t xml:space="preserve"> in preventing CDI recurrence. Therefore, the anti-toxin A and </w:t>
      </w:r>
      <w:r w:rsidR="00AC7B27">
        <w:rPr>
          <w:rFonts w:eastAsia="MS Mincho" w:cs="Arial"/>
          <w:szCs w:val="22"/>
          <w:lang w:val="en-US" w:eastAsia="ja-JP"/>
        </w:rPr>
        <w:t>ZINPLAVA</w:t>
      </w:r>
      <w:r w:rsidRPr="00150CDF">
        <w:rPr>
          <w:rFonts w:eastAsia="MS Mincho" w:cs="Arial"/>
          <w:szCs w:val="22"/>
          <w:lang w:val="en-US" w:eastAsia="ja-JP"/>
        </w:rPr>
        <w:t xml:space="preserve"> plus anti-toxin </w:t>
      </w:r>
      <w:proofErr w:type="gramStart"/>
      <w:r w:rsidRPr="00150CDF">
        <w:rPr>
          <w:rFonts w:eastAsia="MS Mincho" w:cs="Arial"/>
          <w:szCs w:val="22"/>
          <w:lang w:val="en-US" w:eastAsia="ja-JP"/>
        </w:rPr>
        <w:t>A</w:t>
      </w:r>
      <w:proofErr w:type="gramEnd"/>
      <w:r w:rsidRPr="00150CDF">
        <w:rPr>
          <w:rFonts w:eastAsia="MS Mincho" w:cs="Arial"/>
          <w:szCs w:val="22"/>
          <w:lang w:val="en-US" w:eastAsia="ja-JP"/>
        </w:rPr>
        <w:t xml:space="preserve"> arms are not described.</w:t>
      </w:r>
      <w:r w:rsidR="008109E5">
        <w:rPr>
          <w:rFonts w:eastAsia="MS Mincho" w:cs="Arial"/>
          <w:szCs w:val="22"/>
          <w:lang w:val="en-US" w:eastAsia="ja-JP"/>
        </w:rPr>
        <w:t xml:space="preserve"> </w:t>
      </w:r>
    </w:p>
    <w:p w14:paraId="7B5C5D87" w14:textId="77777777" w:rsidR="00583120" w:rsidRPr="008109E5" w:rsidRDefault="00583120" w:rsidP="00150CDF">
      <w:pPr>
        <w:keepLines w:val="0"/>
        <w:tabs>
          <w:tab w:val="clear" w:pos="-720"/>
          <w:tab w:val="clear" w:pos="4513"/>
          <w:tab w:val="clear" w:pos="10348"/>
        </w:tabs>
        <w:suppressAutoHyphens w:val="0"/>
        <w:rPr>
          <w:rFonts w:eastAsia="MS Mincho" w:cs="Arial"/>
          <w:color w:val="3333FF"/>
          <w:szCs w:val="22"/>
          <w:lang w:val="en-US" w:eastAsia="ja-JP"/>
        </w:rPr>
      </w:pPr>
    </w:p>
    <w:p w14:paraId="7B5C5D88" w14:textId="0CBE25E3" w:rsidR="00150CDF" w:rsidRDefault="00150CDF" w:rsidP="00150CDF">
      <w:pPr>
        <w:keepLines w:val="0"/>
        <w:tabs>
          <w:tab w:val="clear" w:pos="-720"/>
          <w:tab w:val="clear" w:pos="4513"/>
          <w:tab w:val="clear" w:pos="10348"/>
        </w:tabs>
        <w:suppressAutoHyphens w:val="0"/>
        <w:rPr>
          <w:rFonts w:eastAsia="MS Mincho" w:cs="Arial"/>
          <w:szCs w:val="22"/>
          <w:lang w:val="en-US" w:eastAsia="ja-JP"/>
        </w:rPr>
      </w:pPr>
      <w:r w:rsidRPr="00150CDF">
        <w:rPr>
          <w:rFonts w:eastAsia="MS Mincho" w:cs="Arial"/>
          <w:szCs w:val="22"/>
          <w:lang w:val="en-US" w:eastAsia="ja-JP"/>
        </w:rPr>
        <w:t xml:space="preserve">Enrolled patients were 18 years of age or older and had a confirmed diagnosis of CDI, which was defined as </w:t>
      </w:r>
      <w:proofErr w:type="spellStart"/>
      <w:r w:rsidRPr="00150CDF">
        <w:rPr>
          <w:rFonts w:eastAsia="MS Mincho" w:cs="Arial"/>
          <w:szCs w:val="22"/>
          <w:lang w:val="en-US" w:eastAsia="ja-JP"/>
        </w:rPr>
        <w:t>diarrh</w:t>
      </w:r>
      <w:r w:rsidR="00040B43">
        <w:rPr>
          <w:rFonts w:eastAsia="MS Mincho" w:cs="Arial"/>
          <w:szCs w:val="22"/>
          <w:lang w:val="en-US" w:eastAsia="ja-JP"/>
        </w:rPr>
        <w:t>o</w:t>
      </w:r>
      <w:r w:rsidRPr="00150CDF">
        <w:rPr>
          <w:rFonts w:eastAsia="MS Mincho" w:cs="Arial"/>
          <w:szCs w:val="22"/>
          <w:lang w:val="en-US" w:eastAsia="ja-JP"/>
        </w:rPr>
        <w:t>ea</w:t>
      </w:r>
      <w:proofErr w:type="spellEnd"/>
      <w:r w:rsidRPr="00150CDF">
        <w:rPr>
          <w:rFonts w:eastAsia="MS Mincho" w:cs="Arial"/>
          <w:szCs w:val="22"/>
          <w:lang w:val="en-US" w:eastAsia="ja-JP"/>
        </w:rPr>
        <w:t xml:space="preserve"> (passage of 3 or more loose bowel movements in 24 or fewer hours) and a positive stool test for toxigenic </w:t>
      </w:r>
      <w:r w:rsidRPr="00150CDF">
        <w:rPr>
          <w:rFonts w:eastAsia="MS Mincho" w:cs="Arial"/>
          <w:i/>
          <w:szCs w:val="22"/>
          <w:lang w:val="en-US" w:eastAsia="ja-JP"/>
        </w:rPr>
        <w:t>C. difficile</w:t>
      </w:r>
      <w:r w:rsidRPr="00150CDF">
        <w:rPr>
          <w:rFonts w:eastAsia="MS Mincho" w:cs="Arial"/>
          <w:szCs w:val="22"/>
          <w:lang w:val="en-US" w:eastAsia="ja-JP"/>
        </w:rPr>
        <w:t xml:space="preserve"> from a stool sample collected no more than 7 days before study entry. Patients were excluded if surgery for CDI was planned, or if they had uncontrolled chronic </w:t>
      </w:r>
      <w:proofErr w:type="spellStart"/>
      <w:r w:rsidRPr="00150CDF">
        <w:rPr>
          <w:rFonts w:eastAsia="MS Mincho" w:cs="Arial"/>
          <w:szCs w:val="22"/>
          <w:lang w:val="en-US" w:eastAsia="ja-JP"/>
        </w:rPr>
        <w:t>diarrh</w:t>
      </w:r>
      <w:r w:rsidR="00040B43">
        <w:rPr>
          <w:rFonts w:eastAsia="MS Mincho" w:cs="Arial"/>
          <w:szCs w:val="22"/>
          <w:lang w:val="en-US" w:eastAsia="ja-JP"/>
        </w:rPr>
        <w:t>o</w:t>
      </w:r>
      <w:r w:rsidRPr="00150CDF">
        <w:rPr>
          <w:rFonts w:eastAsia="MS Mincho" w:cs="Arial"/>
          <w:szCs w:val="22"/>
          <w:lang w:val="en-US" w:eastAsia="ja-JP"/>
        </w:rPr>
        <w:t>eal</w:t>
      </w:r>
      <w:proofErr w:type="spellEnd"/>
      <w:r w:rsidRPr="00150CDF">
        <w:rPr>
          <w:rFonts w:eastAsia="MS Mincho" w:cs="Arial"/>
          <w:szCs w:val="22"/>
          <w:lang w:val="en-US" w:eastAsia="ja-JP"/>
        </w:rPr>
        <w:t xml:space="preserve"> illness.</w:t>
      </w:r>
      <w:r w:rsidR="008109E5">
        <w:rPr>
          <w:rFonts w:eastAsia="MS Mincho" w:cs="Arial"/>
          <w:szCs w:val="22"/>
          <w:lang w:val="en-US" w:eastAsia="ja-JP"/>
        </w:rPr>
        <w:t xml:space="preserve"> </w:t>
      </w:r>
      <w:r w:rsidRPr="00150CDF">
        <w:rPr>
          <w:rFonts w:eastAsia="MS Mincho" w:cs="Arial"/>
          <w:szCs w:val="22"/>
          <w:lang w:val="en-US" w:eastAsia="ja-JP"/>
        </w:rPr>
        <w:t xml:space="preserve">Patients received a 10- to 14-day course of oral </w:t>
      </w:r>
      <w:proofErr w:type="spellStart"/>
      <w:r w:rsidRPr="00150CDF">
        <w:rPr>
          <w:rFonts w:eastAsia="MS Mincho" w:cs="Arial"/>
          <w:szCs w:val="22"/>
          <w:lang w:val="en-US" w:eastAsia="ja-JP"/>
        </w:rPr>
        <w:t>SoC</w:t>
      </w:r>
      <w:proofErr w:type="spellEnd"/>
      <w:r w:rsidRPr="00150CDF">
        <w:rPr>
          <w:rFonts w:eastAsia="MS Mincho" w:cs="Arial"/>
          <w:szCs w:val="22"/>
          <w:lang w:val="en-US" w:eastAsia="ja-JP"/>
        </w:rPr>
        <w:t xml:space="preserve"> antibiotic for CDI (metronidazole, vancomycin or </w:t>
      </w:r>
      <w:proofErr w:type="spellStart"/>
      <w:r w:rsidRPr="00150CDF">
        <w:rPr>
          <w:rFonts w:eastAsia="MS Mincho" w:cs="Arial"/>
          <w:szCs w:val="22"/>
          <w:lang w:val="en-US" w:eastAsia="ja-JP"/>
        </w:rPr>
        <w:t>fidaxomicin</w:t>
      </w:r>
      <w:proofErr w:type="spellEnd"/>
      <w:r w:rsidRPr="00150CDF">
        <w:rPr>
          <w:rFonts w:eastAsia="MS Mincho" w:cs="Arial"/>
          <w:szCs w:val="22"/>
          <w:lang w:val="en-US" w:eastAsia="ja-JP"/>
        </w:rPr>
        <w:t>)</w:t>
      </w:r>
      <w:r w:rsidR="006563FD">
        <w:rPr>
          <w:rFonts w:eastAsia="MS Mincho" w:cs="Arial"/>
          <w:szCs w:val="22"/>
          <w:lang w:val="en-US" w:eastAsia="ja-JP"/>
        </w:rPr>
        <w:t xml:space="preserve"> and a</w:t>
      </w:r>
      <w:r w:rsidRPr="00150CDF">
        <w:rPr>
          <w:rFonts w:eastAsia="MS Mincho" w:cs="Arial"/>
          <w:szCs w:val="22"/>
          <w:lang w:val="en-US" w:eastAsia="ja-JP"/>
        </w:rPr>
        <w:t xml:space="preserve"> single infusion of </w:t>
      </w:r>
      <w:r w:rsidR="00333F3E">
        <w:rPr>
          <w:rFonts w:eastAsia="MS Mincho" w:cs="Arial"/>
          <w:szCs w:val="22"/>
          <w:lang w:val="en-US" w:eastAsia="ja-JP"/>
        </w:rPr>
        <w:t>ZINPLAVA</w:t>
      </w:r>
      <w:r w:rsidRPr="00150CDF">
        <w:rPr>
          <w:rFonts w:eastAsia="MS Mincho" w:cs="Arial"/>
          <w:szCs w:val="22"/>
          <w:lang w:val="en-US" w:eastAsia="ja-JP"/>
        </w:rPr>
        <w:t xml:space="preserve"> or placebo was administered prior to completion of the </w:t>
      </w:r>
      <w:proofErr w:type="spellStart"/>
      <w:r w:rsidRPr="00150CDF">
        <w:rPr>
          <w:rFonts w:eastAsia="MS Mincho" w:cs="Arial"/>
          <w:szCs w:val="22"/>
          <w:lang w:val="en-US" w:eastAsia="ja-JP"/>
        </w:rPr>
        <w:t>SoC</w:t>
      </w:r>
      <w:proofErr w:type="spellEnd"/>
      <w:r w:rsidRPr="00150CDF">
        <w:rPr>
          <w:rFonts w:eastAsia="MS Mincho" w:cs="Arial"/>
          <w:szCs w:val="22"/>
          <w:lang w:val="en-US" w:eastAsia="ja-JP"/>
        </w:rPr>
        <w:t xml:space="preserve"> antibiotic therapy</w:t>
      </w:r>
      <w:r w:rsidR="00F22F90">
        <w:rPr>
          <w:rFonts w:eastAsia="MS Mincho" w:cs="Arial"/>
          <w:szCs w:val="22"/>
          <w:lang w:val="en-US" w:eastAsia="ja-JP"/>
        </w:rPr>
        <w:t>;</w:t>
      </w:r>
      <w:r w:rsidR="003A46C6">
        <w:rPr>
          <w:rFonts w:eastAsia="MS Mincho" w:cs="Arial"/>
          <w:szCs w:val="22"/>
          <w:lang w:val="en-US" w:eastAsia="ja-JP"/>
        </w:rPr>
        <w:t xml:space="preserve"> </w:t>
      </w:r>
      <w:r w:rsidR="00F22F90">
        <w:rPr>
          <w:rFonts w:eastAsia="MS Mincho" w:cs="Arial"/>
          <w:szCs w:val="22"/>
          <w:lang w:val="en-US" w:eastAsia="ja-JP"/>
        </w:rPr>
        <w:t xml:space="preserve">patients </w:t>
      </w:r>
      <w:r w:rsidRPr="00150CDF">
        <w:rPr>
          <w:rFonts w:eastAsia="MS Mincho" w:cs="Arial"/>
          <w:szCs w:val="22"/>
          <w:lang w:val="en-US" w:eastAsia="ja-JP"/>
        </w:rPr>
        <w:t xml:space="preserve">were followed for 12-weeks </w:t>
      </w:r>
      <w:r w:rsidRPr="00150CDF">
        <w:rPr>
          <w:rFonts w:eastAsia="MS Mincho" w:cs="Arial"/>
          <w:szCs w:val="22"/>
          <w:lang w:val="en-US" w:eastAsia="ja-JP"/>
        </w:rPr>
        <w:lastRenderedPageBreak/>
        <w:t xml:space="preserve">following the infusion. </w:t>
      </w:r>
      <w:r w:rsidR="008109E5">
        <w:rPr>
          <w:rFonts w:eastAsia="MS Mincho" w:cs="Arial"/>
          <w:szCs w:val="22"/>
          <w:lang w:val="en-US" w:eastAsia="ja-JP"/>
        </w:rPr>
        <w:t xml:space="preserve"> </w:t>
      </w:r>
      <w:r w:rsidRPr="00150CDF">
        <w:rPr>
          <w:rFonts w:eastAsia="MS Mincho" w:cs="Arial"/>
          <w:szCs w:val="22"/>
          <w:lang w:val="en-US" w:eastAsia="ja-JP"/>
        </w:rPr>
        <w:t xml:space="preserve">Patients on oral vancomycin or oral </w:t>
      </w:r>
      <w:proofErr w:type="spellStart"/>
      <w:r w:rsidRPr="00150CDF">
        <w:rPr>
          <w:rFonts w:eastAsia="MS Mincho" w:cs="Arial"/>
          <w:szCs w:val="22"/>
          <w:lang w:val="en-US" w:eastAsia="ja-JP"/>
        </w:rPr>
        <w:t>fidaxomicin</w:t>
      </w:r>
      <w:proofErr w:type="spellEnd"/>
      <w:r w:rsidRPr="00150CDF">
        <w:rPr>
          <w:rFonts w:eastAsia="MS Mincho" w:cs="Arial"/>
          <w:szCs w:val="22"/>
          <w:lang w:val="en-US" w:eastAsia="ja-JP"/>
        </w:rPr>
        <w:t xml:space="preserve"> could have also received IV metronidazole. Choice of </w:t>
      </w:r>
      <w:proofErr w:type="spellStart"/>
      <w:r w:rsidRPr="00150CDF">
        <w:rPr>
          <w:rFonts w:eastAsia="MS Mincho" w:cs="Arial"/>
          <w:szCs w:val="22"/>
          <w:lang w:val="en-US" w:eastAsia="ja-JP"/>
        </w:rPr>
        <w:t>SoC</w:t>
      </w:r>
      <w:proofErr w:type="spellEnd"/>
      <w:r w:rsidRPr="00150CDF">
        <w:rPr>
          <w:rFonts w:eastAsia="MS Mincho" w:cs="Arial"/>
          <w:szCs w:val="22"/>
          <w:lang w:val="en-US" w:eastAsia="ja-JP"/>
        </w:rPr>
        <w:t xml:space="preserve"> antibiotic therapy was at the discretion of the health care provider.</w:t>
      </w:r>
      <w:r w:rsidR="008109E5">
        <w:rPr>
          <w:rFonts w:eastAsia="MS Mincho" w:cs="Arial"/>
          <w:szCs w:val="22"/>
          <w:lang w:val="en-US" w:eastAsia="ja-JP"/>
        </w:rPr>
        <w:t xml:space="preserve"> </w:t>
      </w:r>
    </w:p>
    <w:p w14:paraId="7B5C5D89" w14:textId="77777777" w:rsidR="00583120" w:rsidRPr="00150CDF" w:rsidRDefault="00583120" w:rsidP="00150CDF">
      <w:pPr>
        <w:keepLines w:val="0"/>
        <w:tabs>
          <w:tab w:val="clear" w:pos="-720"/>
          <w:tab w:val="clear" w:pos="4513"/>
          <w:tab w:val="clear" w:pos="10348"/>
        </w:tabs>
        <w:suppressAutoHyphens w:val="0"/>
        <w:rPr>
          <w:rFonts w:eastAsia="MS Mincho" w:cs="Arial"/>
          <w:szCs w:val="22"/>
          <w:lang w:val="en-US" w:eastAsia="ja-JP"/>
        </w:rPr>
      </w:pPr>
    </w:p>
    <w:p w14:paraId="7B5C5D8A" w14:textId="4D97FC1E" w:rsidR="00150CDF" w:rsidRPr="00150CDF" w:rsidRDefault="00150CDF" w:rsidP="00150CDF">
      <w:pPr>
        <w:keepLines w:val="0"/>
        <w:tabs>
          <w:tab w:val="clear" w:pos="-720"/>
          <w:tab w:val="clear" w:pos="4513"/>
          <w:tab w:val="clear" w:pos="10348"/>
        </w:tabs>
        <w:suppressAutoHyphens w:val="0"/>
        <w:rPr>
          <w:rFonts w:eastAsia="MS Mincho" w:cs="Arial"/>
          <w:szCs w:val="22"/>
          <w:lang w:val="en-US" w:eastAsia="ja-JP"/>
        </w:rPr>
      </w:pPr>
      <w:r w:rsidRPr="00150CDF">
        <w:rPr>
          <w:rFonts w:eastAsia="MS Mincho" w:cs="Arial"/>
          <w:szCs w:val="22"/>
          <w:lang w:val="en-US" w:eastAsia="ja-JP"/>
        </w:rPr>
        <w:t>The baseline characteristics of the 1</w:t>
      </w:r>
      <w:r w:rsidR="00037C7D">
        <w:rPr>
          <w:rFonts w:eastAsia="MS Mincho" w:cs="Arial"/>
          <w:szCs w:val="22"/>
          <w:lang w:val="en-US" w:eastAsia="ja-JP"/>
        </w:rPr>
        <w:t>,</w:t>
      </w:r>
      <w:r w:rsidRPr="00150CDF">
        <w:rPr>
          <w:rFonts w:eastAsia="MS Mincho" w:cs="Arial"/>
          <w:szCs w:val="22"/>
          <w:lang w:val="en-US" w:eastAsia="ja-JP"/>
        </w:rPr>
        <w:t xml:space="preserve">554 patients receiving </w:t>
      </w:r>
      <w:r w:rsidR="00333F3E">
        <w:rPr>
          <w:rFonts w:eastAsia="MS Mincho" w:cs="Arial"/>
          <w:szCs w:val="22"/>
          <w:lang w:val="en-US" w:eastAsia="ja-JP"/>
        </w:rPr>
        <w:t>ZINPLAVA</w:t>
      </w:r>
      <w:r w:rsidRPr="00150CDF">
        <w:rPr>
          <w:rFonts w:eastAsia="MS Mincho" w:cs="Arial"/>
          <w:szCs w:val="22"/>
          <w:lang w:val="en-US" w:eastAsia="ja-JP"/>
        </w:rPr>
        <w:t xml:space="preserve"> or placebo were similar across treatment groups and in MODIFY </w:t>
      </w:r>
      <w:proofErr w:type="gramStart"/>
      <w:r w:rsidRPr="00150CDF">
        <w:rPr>
          <w:rFonts w:eastAsia="MS Mincho" w:cs="Arial"/>
          <w:szCs w:val="22"/>
          <w:lang w:val="en-US" w:eastAsia="ja-JP"/>
        </w:rPr>
        <w:t>I</w:t>
      </w:r>
      <w:proofErr w:type="gramEnd"/>
      <w:r w:rsidRPr="00150CDF">
        <w:rPr>
          <w:rFonts w:eastAsia="MS Mincho" w:cs="Arial"/>
          <w:szCs w:val="22"/>
          <w:lang w:val="en-US" w:eastAsia="ja-JP"/>
        </w:rPr>
        <w:t xml:space="preserve"> and MODIFY II. The median age was 65 years, 85% were white, 57% were female, and 68% were inpatients. A similar proportion of patients were receiving oral metronidazole (48%) or oral vancomycin (48%) as their </w:t>
      </w:r>
      <w:proofErr w:type="spellStart"/>
      <w:r w:rsidRPr="00150CDF">
        <w:rPr>
          <w:rFonts w:eastAsia="MS Mincho" w:cs="Arial"/>
          <w:szCs w:val="22"/>
          <w:lang w:val="en-US" w:eastAsia="ja-JP"/>
        </w:rPr>
        <w:t>SoC</w:t>
      </w:r>
      <w:proofErr w:type="spellEnd"/>
      <w:r w:rsidRPr="00150CDF">
        <w:rPr>
          <w:rFonts w:eastAsia="MS Mincho" w:cs="Arial"/>
          <w:szCs w:val="22"/>
          <w:lang w:val="en-US" w:eastAsia="ja-JP"/>
        </w:rPr>
        <w:t xml:space="preserve"> antibiotic.</w:t>
      </w:r>
      <w:r w:rsidR="006044CE">
        <w:rPr>
          <w:rFonts w:eastAsia="MS Mincho" w:cs="Arial"/>
          <w:szCs w:val="22"/>
          <w:lang w:val="en-US" w:eastAsia="ja-JP"/>
        </w:rPr>
        <w:t xml:space="preserve"> </w:t>
      </w:r>
      <w:r w:rsidRPr="00150CDF">
        <w:rPr>
          <w:rFonts w:eastAsia="MS Mincho" w:cs="Arial"/>
          <w:szCs w:val="22"/>
          <w:lang w:val="en-US" w:eastAsia="ja-JP"/>
        </w:rPr>
        <w:t xml:space="preserve">A small proportion of patients received oral </w:t>
      </w:r>
      <w:proofErr w:type="spellStart"/>
      <w:r w:rsidRPr="00150CDF">
        <w:rPr>
          <w:rFonts w:eastAsia="MS Mincho" w:cs="Arial"/>
          <w:szCs w:val="22"/>
          <w:lang w:val="en-US" w:eastAsia="ja-JP"/>
        </w:rPr>
        <w:t>fidaxomi</w:t>
      </w:r>
      <w:r w:rsidR="00583120">
        <w:rPr>
          <w:rFonts w:eastAsia="MS Mincho" w:cs="Arial"/>
          <w:szCs w:val="22"/>
          <w:lang w:val="en-US" w:eastAsia="ja-JP"/>
        </w:rPr>
        <w:t>cin</w:t>
      </w:r>
      <w:proofErr w:type="spellEnd"/>
      <w:r w:rsidR="00583120">
        <w:rPr>
          <w:rFonts w:eastAsia="MS Mincho" w:cs="Arial"/>
          <w:szCs w:val="22"/>
          <w:lang w:val="en-US" w:eastAsia="ja-JP"/>
        </w:rPr>
        <w:t xml:space="preserve"> (4%) as the </w:t>
      </w:r>
      <w:proofErr w:type="spellStart"/>
      <w:r w:rsidR="00583120">
        <w:rPr>
          <w:rFonts w:eastAsia="MS Mincho" w:cs="Arial"/>
          <w:szCs w:val="22"/>
          <w:lang w:val="en-US" w:eastAsia="ja-JP"/>
        </w:rPr>
        <w:t>SoC</w:t>
      </w:r>
      <w:proofErr w:type="spellEnd"/>
      <w:r w:rsidR="00583120">
        <w:rPr>
          <w:rFonts w:eastAsia="MS Mincho" w:cs="Arial"/>
          <w:szCs w:val="22"/>
          <w:lang w:val="en-US" w:eastAsia="ja-JP"/>
        </w:rPr>
        <w:t xml:space="preserve"> antibiotic.</w:t>
      </w:r>
      <w:r w:rsidR="006044CE">
        <w:rPr>
          <w:rFonts w:eastAsia="MS Mincho" w:cs="Arial"/>
          <w:color w:val="0000FF"/>
          <w:szCs w:val="22"/>
          <w:lang w:val="en-US" w:eastAsia="ja-JP"/>
        </w:rPr>
        <w:t xml:space="preserve"> </w:t>
      </w:r>
      <w:r w:rsidRPr="00150CDF">
        <w:rPr>
          <w:rFonts w:eastAsia="MS Mincho" w:cs="Arial"/>
          <w:szCs w:val="22"/>
          <w:lang w:val="en-US" w:eastAsia="ja-JP"/>
        </w:rPr>
        <w:t>The following risk factors associated with an increased risk of CDI recurrence or CDI-related adverse outcomes were present in the study population at entry: 51% were ≥ 65 years of age, 39% received one or more systemic antibiotics (during the 12-week follow-up period), 28% had one or more episodes of CDI within the six months prior to the episode under treatment</w:t>
      </w:r>
      <w:r w:rsidR="0035047A">
        <w:rPr>
          <w:rFonts w:eastAsia="MS Mincho" w:cs="Arial"/>
          <w:szCs w:val="22"/>
          <w:lang w:val="en-US" w:eastAsia="ja-JP"/>
        </w:rPr>
        <w:t xml:space="preserve"> </w:t>
      </w:r>
      <w:r w:rsidRPr="00150CDF">
        <w:rPr>
          <w:rFonts w:eastAsia="MS Mincho" w:cs="Arial"/>
          <w:szCs w:val="22"/>
          <w:lang w:val="en-US" w:eastAsia="ja-JP"/>
        </w:rPr>
        <w:t>(15% had two or more episodes prior to the episode under treatment), 2</w:t>
      </w:r>
      <w:r w:rsidR="009274DD">
        <w:rPr>
          <w:rFonts w:eastAsia="MS Mincho" w:cs="Arial"/>
          <w:szCs w:val="22"/>
          <w:lang w:val="en-US" w:eastAsia="ja-JP"/>
        </w:rPr>
        <w:t>1</w:t>
      </w:r>
      <w:r w:rsidRPr="00150CDF">
        <w:rPr>
          <w:rFonts w:eastAsia="MS Mincho" w:cs="Arial"/>
          <w:szCs w:val="22"/>
          <w:lang w:val="en-US" w:eastAsia="ja-JP"/>
        </w:rPr>
        <w:t>% were immunocompromised</w:t>
      </w:r>
      <w:r w:rsidR="0035047A">
        <w:rPr>
          <w:rFonts w:eastAsia="MS Mincho" w:cs="Arial"/>
          <w:szCs w:val="22"/>
          <w:lang w:val="en-US" w:eastAsia="ja-JP"/>
        </w:rPr>
        <w:t xml:space="preserve"> </w:t>
      </w:r>
      <w:r w:rsidRPr="0035047A">
        <w:rPr>
          <w:rFonts w:eastAsia="MS Mincho" w:cs="Arial"/>
          <w:color w:val="0000FF"/>
          <w:szCs w:val="22"/>
          <w:lang w:val="en-US" w:eastAsia="ja-JP"/>
        </w:rPr>
        <w:t xml:space="preserve"> </w:t>
      </w:r>
      <w:r w:rsidRPr="00150CDF">
        <w:rPr>
          <w:rFonts w:eastAsia="MS Mincho" w:cs="Arial"/>
          <w:szCs w:val="22"/>
          <w:lang w:val="en-US" w:eastAsia="ja-JP"/>
        </w:rPr>
        <w:t xml:space="preserve">and 16% presented with clinically severe CDI. A </w:t>
      </w:r>
      <w:proofErr w:type="spellStart"/>
      <w:r w:rsidRPr="00150CDF">
        <w:rPr>
          <w:rFonts w:eastAsia="MS Mincho" w:cs="Arial"/>
          <w:szCs w:val="22"/>
          <w:lang w:val="en-US" w:eastAsia="ja-JP"/>
        </w:rPr>
        <w:t>hypervirulent</w:t>
      </w:r>
      <w:proofErr w:type="spellEnd"/>
      <w:r w:rsidRPr="00150CDF">
        <w:rPr>
          <w:rFonts w:eastAsia="MS Mincho" w:cs="Arial"/>
          <w:szCs w:val="22"/>
          <w:lang w:val="en-US" w:eastAsia="ja-JP"/>
        </w:rPr>
        <w:t xml:space="preserve"> strain (</w:t>
      </w:r>
      <w:proofErr w:type="spellStart"/>
      <w:r w:rsidRPr="00150CDF">
        <w:rPr>
          <w:rFonts w:eastAsia="MS Mincho" w:cs="Arial"/>
          <w:szCs w:val="22"/>
          <w:lang w:val="en-US" w:eastAsia="ja-JP"/>
        </w:rPr>
        <w:t>ribotypes</w:t>
      </w:r>
      <w:proofErr w:type="spellEnd"/>
      <w:r w:rsidRPr="00150CDF">
        <w:rPr>
          <w:rFonts w:eastAsia="MS Mincho" w:cs="Arial"/>
          <w:szCs w:val="22"/>
          <w:lang w:val="en-US" w:eastAsia="ja-JP"/>
        </w:rPr>
        <w:t xml:space="preserve"> 027, 078 or 244) was isolated in 22% of patients who had a positive baseline culture, of which the majority (87%, 189 of 217 strains) were </w:t>
      </w:r>
      <w:proofErr w:type="spellStart"/>
      <w:r w:rsidRPr="00150CDF">
        <w:rPr>
          <w:rFonts w:eastAsia="MS Mincho" w:cs="Arial"/>
          <w:szCs w:val="22"/>
          <w:lang w:val="en-US" w:eastAsia="ja-JP"/>
        </w:rPr>
        <w:t>ribotype</w:t>
      </w:r>
      <w:proofErr w:type="spellEnd"/>
      <w:r w:rsidRPr="00150CDF">
        <w:rPr>
          <w:rFonts w:eastAsia="MS Mincho" w:cs="Arial"/>
          <w:szCs w:val="22"/>
          <w:lang w:val="en-US" w:eastAsia="ja-JP"/>
        </w:rPr>
        <w:t xml:space="preserve"> 027.</w:t>
      </w:r>
    </w:p>
    <w:p w14:paraId="7B5C5D8B" w14:textId="77777777" w:rsidR="00150CDF" w:rsidRPr="00150CDF" w:rsidRDefault="00150CDF" w:rsidP="00150CDF">
      <w:pPr>
        <w:keepLines w:val="0"/>
        <w:tabs>
          <w:tab w:val="clear" w:pos="-720"/>
          <w:tab w:val="clear" w:pos="4513"/>
          <w:tab w:val="clear" w:pos="10348"/>
        </w:tabs>
        <w:suppressAutoHyphens w:val="0"/>
        <w:rPr>
          <w:rFonts w:eastAsia="MS Mincho" w:cs="Arial"/>
          <w:sz w:val="20"/>
          <w:lang w:val="en-US" w:eastAsia="ja-JP"/>
        </w:rPr>
      </w:pPr>
    </w:p>
    <w:p w14:paraId="7B5C5D8C" w14:textId="77777777" w:rsidR="00150CDF" w:rsidRDefault="00150CDF" w:rsidP="00150CDF">
      <w:pPr>
        <w:keepLines w:val="0"/>
        <w:tabs>
          <w:tab w:val="clear" w:pos="-720"/>
          <w:tab w:val="clear" w:pos="4513"/>
          <w:tab w:val="clear" w:pos="10348"/>
        </w:tabs>
        <w:suppressAutoHyphens w:val="0"/>
        <w:rPr>
          <w:rFonts w:eastAsia="MS Mincho" w:cs="Arial"/>
          <w:szCs w:val="22"/>
          <w:lang w:val="en-US" w:eastAsia="ja-JP"/>
        </w:rPr>
      </w:pPr>
      <w:r w:rsidRPr="00150CDF">
        <w:rPr>
          <w:rFonts w:eastAsia="MS Mincho" w:cs="Arial"/>
          <w:szCs w:val="22"/>
          <w:lang w:val="en-US" w:eastAsia="ja-JP"/>
        </w:rPr>
        <w:t>The primary efficacy endpoint was the proportion of patients with recurrence of CDI through 12 weeks following administration of the study infusion.</w:t>
      </w:r>
      <w:r w:rsidR="00740B9F">
        <w:rPr>
          <w:rFonts w:eastAsia="MS Mincho" w:cs="Arial"/>
          <w:szCs w:val="22"/>
          <w:lang w:val="en-US" w:eastAsia="ja-JP"/>
        </w:rPr>
        <w:t xml:space="preserve"> </w:t>
      </w:r>
      <w:r w:rsidRPr="00150CDF">
        <w:rPr>
          <w:rFonts w:eastAsia="MS Mincho" w:cs="Arial"/>
          <w:szCs w:val="22"/>
          <w:lang w:val="en-US" w:eastAsia="ja-JP"/>
        </w:rPr>
        <w:t xml:space="preserve">CDI recurrence was defined as the development of a new episode of </w:t>
      </w:r>
      <w:proofErr w:type="spellStart"/>
      <w:r w:rsidRPr="00150CDF">
        <w:rPr>
          <w:rFonts w:eastAsia="MS Mincho" w:cs="Arial"/>
          <w:szCs w:val="22"/>
          <w:lang w:val="en-US" w:eastAsia="ja-JP"/>
        </w:rPr>
        <w:t>diarrh</w:t>
      </w:r>
      <w:r w:rsidR="00040B43">
        <w:rPr>
          <w:rFonts w:eastAsia="MS Mincho" w:cs="Arial"/>
          <w:szCs w:val="22"/>
          <w:lang w:val="en-US" w:eastAsia="ja-JP"/>
        </w:rPr>
        <w:t>o</w:t>
      </w:r>
      <w:r w:rsidRPr="00150CDF">
        <w:rPr>
          <w:rFonts w:eastAsia="MS Mincho" w:cs="Arial"/>
          <w:szCs w:val="22"/>
          <w:lang w:val="en-US" w:eastAsia="ja-JP"/>
        </w:rPr>
        <w:t>ea</w:t>
      </w:r>
      <w:proofErr w:type="spellEnd"/>
      <w:r w:rsidRPr="00150CDF">
        <w:rPr>
          <w:rFonts w:eastAsia="MS Mincho" w:cs="Arial"/>
          <w:szCs w:val="22"/>
          <w:lang w:val="en-US" w:eastAsia="ja-JP"/>
        </w:rPr>
        <w:t xml:space="preserve"> associated with a positive stool test for toxigenic </w:t>
      </w:r>
      <w:r w:rsidRPr="00150CDF">
        <w:rPr>
          <w:rFonts w:eastAsia="MS Mincho" w:cs="Arial"/>
          <w:i/>
          <w:szCs w:val="22"/>
          <w:lang w:val="en-US" w:eastAsia="ja-JP"/>
        </w:rPr>
        <w:t>C. difficile</w:t>
      </w:r>
      <w:r w:rsidRPr="00150CDF">
        <w:rPr>
          <w:rFonts w:eastAsia="MS Mincho" w:cs="Arial"/>
          <w:szCs w:val="22"/>
          <w:lang w:val="en-US" w:eastAsia="ja-JP"/>
        </w:rPr>
        <w:t xml:space="preserve"> following clinical cure of the baseline CDI episode. Clinical cure was defined as no </w:t>
      </w:r>
      <w:proofErr w:type="spellStart"/>
      <w:r w:rsidRPr="00150CDF">
        <w:rPr>
          <w:rFonts w:eastAsia="MS Mincho" w:cs="Arial"/>
          <w:szCs w:val="22"/>
          <w:lang w:val="en-US" w:eastAsia="ja-JP"/>
        </w:rPr>
        <w:t>diarrh</w:t>
      </w:r>
      <w:r w:rsidR="00040B43">
        <w:rPr>
          <w:rFonts w:eastAsia="MS Mincho" w:cs="Arial"/>
          <w:szCs w:val="22"/>
          <w:lang w:val="en-US" w:eastAsia="ja-JP"/>
        </w:rPr>
        <w:t>o</w:t>
      </w:r>
      <w:r w:rsidRPr="00150CDF">
        <w:rPr>
          <w:rFonts w:eastAsia="MS Mincho" w:cs="Arial"/>
          <w:szCs w:val="22"/>
          <w:lang w:val="en-US" w:eastAsia="ja-JP"/>
        </w:rPr>
        <w:t>ea</w:t>
      </w:r>
      <w:proofErr w:type="spellEnd"/>
      <w:r w:rsidRPr="00150CDF">
        <w:rPr>
          <w:rFonts w:eastAsia="MS Mincho" w:cs="Arial"/>
          <w:szCs w:val="22"/>
          <w:lang w:val="en-US" w:eastAsia="ja-JP"/>
        </w:rPr>
        <w:t xml:space="preserve"> for 2 consecutive days following a ≤14 day regimen of </w:t>
      </w:r>
      <w:proofErr w:type="spellStart"/>
      <w:r w:rsidRPr="00150CDF">
        <w:rPr>
          <w:rFonts w:eastAsia="MS Mincho" w:cs="Arial"/>
          <w:szCs w:val="22"/>
          <w:lang w:val="en-US" w:eastAsia="ja-JP"/>
        </w:rPr>
        <w:t>SoC</w:t>
      </w:r>
      <w:proofErr w:type="spellEnd"/>
      <w:r w:rsidRPr="00150CDF">
        <w:rPr>
          <w:rFonts w:eastAsia="MS Mincho" w:cs="Arial"/>
          <w:szCs w:val="22"/>
          <w:lang w:val="en-US" w:eastAsia="ja-JP"/>
        </w:rPr>
        <w:t xml:space="preserve"> antibiotic. In a prospectively planned combined analysis of MODIFY I and MODIFY II, </w:t>
      </w:r>
      <w:r w:rsidR="00AC7B27">
        <w:rPr>
          <w:rFonts w:eastAsia="MS Mincho" w:cs="Arial"/>
          <w:szCs w:val="22"/>
          <w:lang w:val="en-US" w:eastAsia="ja-JP"/>
        </w:rPr>
        <w:t>ZINPLAVA</w:t>
      </w:r>
      <w:r w:rsidRPr="00150CDF">
        <w:rPr>
          <w:rFonts w:eastAsia="MS Mincho" w:cs="Arial"/>
          <w:szCs w:val="22"/>
          <w:lang w:val="en-US" w:eastAsia="ja-JP"/>
        </w:rPr>
        <w:t xml:space="preserve"> was superior to placebo in the prevention of CDI recurrence (see </w:t>
      </w:r>
      <w:r w:rsidRPr="00150CDF">
        <w:rPr>
          <w:rFonts w:eastAsia="MS Mincho" w:cs="Arial"/>
          <w:b/>
          <w:szCs w:val="22"/>
          <w:lang w:val="en-US" w:eastAsia="ja-JP"/>
        </w:rPr>
        <w:t>Table </w:t>
      </w:r>
      <w:r w:rsidR="003627F2">
        <w:rPr>
          <w:rFonts w:eastAsia="MS Mincho" w:cs="Arial"/>
          <w:b/>
          <w:szCs w:val="22"/>
          <w:lang w:val="en-US" w:eastAsia="ja-JP"/>
        </w:rPr>
        <w:t>1</w:t>
      </w:r>
      <w:r w:rsidRPr="00150CDF">
        <w:rPr>
          <w:rFonts w:eastAsia="MS Mincho" w:cs="Arial"/>
          <w:szCs w:val="22"/>
          <w:lang w:val="en-US" w:eastAsia="ja-JP"/>
        </w:rPr>
        <w:t>).</w:t>
      </w:r>
      <w:r w:rsidR="00740B9F">
        <w:rPr>
          <w:rFonts w:eastAsia="MS Mincho" w:cs="Arial"/>
          <w:szCs w:val="22"/>
          <w:lang w:val="en-US" w:eastAsia="ja-JP"/>
        </w:rPr>
        <w:t xml:space="preserve"> </w:t>
      </w:r>
    </w:p>
    <w:p w14:paraId="7B5C5D8D" w14:textId="77777777" w:rsidR="00583120" w:rsidRPr="00150CDF" w:rsidRDefault="00583120" w:rsidP="00150CDF">
      <w:pPr>
        <w:keepLines w:val="0"/>
        <w:tabs>
          <w:tab w:val="clear" w:pos="-720"/>
          <w:tab w:val="clear" w:pos="4513"/>
          <w:tab w:val="clear" w:pos="10348"/>
        </w:tabs>
        <w:suppressAutoHyphens w:val="0"/>
        <w:rPr>
          <w:rFonts w:eastAsia="MS Mincho" w:cs="Arial"/>
          <w:b/>
          <w:sz w:val="20"/>
          <w:lang w:val="en-US" w:eastAsia="ja-JP"/>
        </w:rPr>
      </w:pPr>
    </w:p>
    <w:p w14:paraId="7B5C5D8E" w14:textId="77777777" w:rsidR="00150CDF" w:rsidRDefault="00150CDF" w:rsidP="00150CDF">
      <w:pPr>
        <w:keepLines w:val="0"/>
        <w:tabs>
          <w:tab w:val="clear" w:pos="-720"/>
          <w:tab w:val="clear" w:pos="4513"/>
          <w:tab w:val="clear" w:pos="10348"/>
        </w:tabs>
        <w:suppressAutoHyphens w:val="0"/>
        <w:jc w:val="center"/>
        <w:rPr>
          <w:rFonts w:eastAsia="MS Mincho" w:cs="Arial"/>
          <w:b/>
          <w:szCs w:val="22"/>
          <w:lang w:val="en-US" w:eastAsia="ja-JP"/>
        </w:rPr>
      </w:pPr>
      <w:r w:rsidRPr="00150CDF">
        <w:rPr>
          <w:rFonts w:eastAsia="MS Mincho" w:cs="Arial"/>
          <w:b/>
          <w:sz w:val="20"/>
          <w:lang w:val="en-US" w:eastAsia="ja-JP"/>
        </w:rPr>
        <w:t>T</w:t>
      </w:r>
      <w:r w:rsidRPr="00150CDF">
        <w:rPr>
          <w:rFonts w:eastAsia="MS Mincho" w:cs="Arial"/>
          <w:b/>
          <w:szCs w:val="22"/>
          <w:lang w:val="en-US" w:eastAsia="ja-JP"/>
        </w:rPr>
        <w:t>able </w:t>
      </w:r>
      <w:r w:rsidR="003627F2">
        <w:rPr>
          <w:rFonts w:eastAsia="MS Mincho" w:cs="Arial"/>
          <w:b/>
          <w:szCs w:val="22"/>
          <w:lang w:val="en-US" w:eastAsia="ja-JP"/>
        </w:rPr>
        <w:t>1</w:t>
      </w:r>
      <w:r w:rsidRPr="00150CDF">
        <w:rPr>
          <w:rFonts w:eastAsia="MS Mincho" w:cs="Arial"/>
          <w:b/>
          <w:szCs w:val="22"/>
          <w:lang w:val="en-US" w:eastAsia="ja-JP"/>
        </w:rPr>
        <w:t xml:space="preserve">: </w:t>
      </w:r>
      <w:r w:rsidRPr="00150CDF">
        <w:rPr>
          <w:rFonts w:eastAsia="MS Mincho" w:cs="Arial"/>
          <w:b/>
          <w:bCs/>
          <w:szCs w:val="22"/>
          <w:lang w:val="en-US" w:eastAsia="ja-JP"/>
        </w:rPr>
        <w:t xml:space="preserve">CDI Recurrence Rate Through 12 Weeks After </w:t>
      </w:r>
      <w:proofErr w:type="gramStart"/>
      <w:r w:rsidRPr="00150CDF">
        <w:rPr>
          <w:rFonts w:eastAsia="MS Mincho" w:cs="Arial"/>
          <w:b/>
          <w:bCs/>
          <w:szCs w:val="22"/>
          <w:lang w:val="en-US" w:eastAsia="ja-JP"/>
        </w:rPr>
        <w:t>Infusion</w:t>
      </w:r>
      <w:proofErr w:type="gramEnd"/>
      <w:r w:rsidRPr="00150CDF">
        <w:rPr>
          <w:rFonts w:eastAsia="MS Mincho" w:cs="Arial"/>
          <w:b/>
          <w:bCs/>
          <w:szCs w:val="22"/>
          <w:lang w:val="en-US" w:eastAsia="ja-JP"/>
        </w:rPr>
        <w:br/>
      </w:r>
      <w:r w:rsidRPr="00150CDF">
        <w:rPr>
          <w:rFonts w:eastAsia="MS Mincho" w:cs="Arial"/>
          <w:b/>
          <w:szCs w:val="22"/>
          <w:lang w:val="en-US" w:eastAsia="ja-JP"/>
        </w:rPr>
        <w:t>(MODIFY I and MODIFY II, Full Analysis Set </w:t>
      </w:r>
      <w:r w:rsidRPr="00150CDF">
        <w:rPr>
          <w:rFonts w:eastAsia="MS Mincho" w:cs="Arial"/>
          <w:b/>
          <w:szCs w:val="22"/>
          <w:vertAlign w:val="superscript"/>
          <w:lang w:val="en-US" w:eastAsia="ja-JP"/>
        </w:rPr>
        <w:t>*</w:t>
      </w:r>
      <w:r w:rsidRPr="00150CDF">
        <w:rPr>
          <w:rFonts w:eastAsia="MS Mincho" w:cs="Arial"/>
          <w:b/>
          <w:szCs w:val="22"/>
          <w:lang w:val="en-US" w:eastAsia="ja-JP"/>
        </w:rPr>
        <w:t>)</w:t>
      </w:r>
    </w:p>
    <w:p w14:paraId="7B5C5D8F" w14:textId="77777777" w:rsidR="00510494" w:rsidRPr="00510494" w:rsidRDefault="00510494" w:rsidP="00150CDF">
      <w:pPr>
        <w:keepLines w:val="0"/>
        <w:tabs>
          <w:tab w:val="clear" w:pos="-720"/>
          <w:tab w:val="clear" w:pos="4513"/>
          <w:tab w:val="clear" w:pos="10348"/>
        </w:tabs>
        <w:suppressAutoHyphens w:val="0"/>
        <w:jc w:val="center"/>
        <w:rPr>
          <w:rFonts w:eastAsia="MS Mincho" w:cs="Arial"/>
          <w:bCs/>
          <w:color w:val="3333FF"/>
          <w:szCs w:val="22"/>
          <w:lang w:val="en-U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3168"/>
        <w:gridCol w:w="1152"/>
      </w:tblGrid>
      <w:tr w:rsidR="00150CDF" w:rsidRPr="00150CDF" w14:paraId="7B5C5D94" w14:textId="77777777" w:rsidTr="00FD0499">
        <w:trPr>
          <w:jc w:val="center"/>
        </w:trPr>
        <w:tc>
          <w:tcPr>
            <w:tcW w:w="1728" w:type="dxa"/>
            <w:shd w:val="clear" w:color="auto" w:fill="auto"/>
          </w:tcPr>
          <w:p w14:paraId="7B5C5D90" w14:textId="77777777" w:rsidR="00150CDF" w:rsidRPr="00150CDF" w:rsidRDefault="00AC7B27" w:rsidP="00AC7B27">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b/>
                <w:szCs w:val="22"/>
                <w:lang w:val="en-US" w:eastAsia="ja-JP"/>
              </w:rPr>
            </w:pPr>
            <w:r>
              <w:rPr>
                <w:rFonts w:eastAsia="MS Mincho" w:cs="Arial"/>
                <w:b/>
                <w:bCs/>
                <w:szCs w:val="22"/>
                <w:lang w:val="en-US" w:eastAsia="ja-JP"/>
              </w:rPr>
              <w:t>ZINPLAVA</w:t>
            </w:r>
            <w:r w:rsidR="00150CDF" w:rsidRPr="00150CDF">
              <w:rPr>
                <w:rFonts w:eastAsia="MS Mincho" w:cs="Arial"/>
                <w:b/>
                <w:bCs/>
                <w:szCs w:val="22"/>
                <w:lang w:val="en-US" w:eastAsia="ja-JP"/>
              </w:rPr>
              <w:t xml:space="preserve"> with </w:t>
            </w:r>
            <w:proofErr w:type="spellStart"/>
            <w:r w:rsidR="00150CDF" w:rsidRPr="00150CDF">
              <w:rPr>
                <w:rFonts w:eastAsia="MS Mincho" w:cs="Arial"/>
                <w:b/>
                <w:bCs/>
                <w:szCs w:val="22"/>
                <w:lang w:val="en-US" w:eastAsia="ja-JP"/>
              </w:rPr>
              <w:t>SoC</w:t>
            </w:r>
            <w:proofErr w:type="spellEnd"/>
            <w:r w:rsidR="00150CDF" w:rsidRPr="00150CDF">
              <w:rPr>
                <w:rFonts w:eastAsia="MS Mincho" w:cs="Arial"/>
                <w:b/>
                <w:bCs/>
                <w:szCs w:val="22"/>
                <w:lang w:val="en-US" w:eastAsia="ja-JP"/>
              </w:rPr>
              <w:t xml:space="preserve"> </w:t>
            </w:r>
            <w:r w:rsidR="00150CDF" w:rsidRPr="00150CDF">
              <w:rPr>
                <w:rFonts w:eastAsia="MS Mincho" w:cs="Arial"/>
                <w:b/>
                <w:bCs/>
                <w:szCs w:val="22"/>
                <w:vertAlign w:val="superscript"/>
                <w:lang w:val="en-US" w:eastAsia="ja-JP"/>
              </w:rPr>
              <w:t>†</w:t>
            </w:r>
            <w:r w:rsidR="00150CDF" w:rsidRPr="00150CDF">
              <w:rPr>
                <w:rFonts w:eastAsia="MS Mincho" w:cs="Arial"/>
                <w:b/>
                <w:bCs/>
                <w:szCs w:val="22"/>
                <w:lang w:val="en-US" w:eastAsia="ja-JP"/>
              </w:rPr>
              <w:br/>
            </w:r>
            <w:r w:rsidR="00150CDF" w:rsidRPr="00150CDF">
              <w:rPr>
                <w:rFonts w:eastAsia="MS Mincho" w:cs="Arial"/>
                <w:b/>
                <w:szCs w:val="22"/>
                <w:lang w:val="en-US" w:eastAsia="ja-JP"/>
              </w:rPr>
              <w:t>Percent  (n/N)</w:t>
            </w:r>
          </w:p>
        </w:tc>
        <w:tc>
          <w:tcPr>
            <w:tcW w:w="1728" w:type="dxa"/>
            <w:shd w:val="clear" w:color="auto" w:fill="auto"/>
          </w:tcPr>
          <w:p w14:paraId="7B5C5D91"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b/>
                <w:szCs w:val="22"/>
                <w:lang w:val="en-US" w:eastAsia="ja-JP"/>
              </w:rPr>
            </w:pPr>
            <w:r w:rsidRPr="00150CDF">
              <w:rPr>
                <w:rFonts w:eastAsia="MS Mincho" w:cs="Arial"/>
                <w:b/>
                <w:bCs/>
                <w:szCs w:val="22"/>
                <w:lang w:val="en-US" w:eastAsia="ja-JP"/>
              </w:rPr>
              <w:t xml:space="preserve">Placebo with </w:t>
            </w:r>
            <w:proofErr w:type="spellStart"/>
            <w:r w:rsidRPr="00150CDF">
              <w:rPr>
                <w:rFonts w:eastAsia="MS Mincho" w:cs="Arial"/>
                <w:b/>
                <w:bCs/>
                <w:szCs w:val="22"/>
                <w:lang w:val="en-US" w:eastAsia="ja-JP"/>
              </w:rPr>
              <w:t>SoC</w:t>
            </w:r>
            <w:proofErr w:type="spellEnd"/>
            <w:r w:rsidRPr="00150CDF">
              <w:rPr>
                <w:rFonts w:eastAsia="MS Mincho" w:cs="Arial"/>
                <w:b/>
                <w:bCs/>
                <w:szCs w:val="22"/>
                <w:lang w:val="en-US" w:eastAsia="ja-JP"/>
              </w:rPr>
              <w:t xml:space="preserve"> </w:t>
            </w:r>
            <w:r w:rsidRPr="00150CDF">
              <w:rPr>
                <w:rFonts w:eastAsia="MS Mincho" w:cs="Arial"/>
                <w:b/>
                <w:bCs/>
                <w:szCs w:val="22"/>
                <w:vertAlign w:val="superscript"/>
                <w:lang w:val="en-US" w:eastAsia="ja-JP"/>
              </w:rPr>
              <w:t>†</w:t>
            </w:r>
            <w:r w:rsidRPr="00150CDF">
              <w:rPr>
                <w:rFonts w:eastAsia="MS Mincho" w:cs="Arial"/>
                <w:b/>
                <w:bCs/>
                <w:szCs w:val="22"/>
                <w:lang w:val="en-US" w:eastAsia="ja-JP"/>
              </w:rPr>
              <w:br/>
            </w:r>
            <w:r w:rsidRPr="00150CDF">
              <w:rPr>
                <w:rFonts w:eastAsia="MS Mincho" w:cs="Arial"/>
                <w:b/>
                <w:szCs w:val="22"/>
                <w:lang w:val="en-US" w:eastAsia="ja-JP"/>
              </w:rPr>
              <w:t>Percent  (n/N)</w:t>
            </w:r>
          </w:p>
        </w:tc>
        <w:tc>
          <w:tcPr>
            <w:tcW w:w="3168" w:type="dxa"/>
            <w:shd w:val="clear" w:color="auto" w:fill="auto"/>
          </w:tcPr>
          <w:p w14:paraId="7B5C5D92"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b/>
                <w:szCs w:val="22"/>
                <w:lang w:val="en-US" w:eastAsia="ja-JP"/>
              </w:rPr>
            </w:pPr>
            <w:r w:rsidRPr="00150CDF">
              <w:rPr>
                <w:rFonts w:eastAsia="MS Mincho" w:cs="Arial"/>
                <w:b/>
                <w:szCs w:val="22"/>
                <w:lang w:val="en-US" w:eastAsia="ja-JP"/>
              </w:rPr>
              <w:br/>
            </w:r>
            <w:r w:rsidRPr="00150CDF">
              <w:rPr>
                <w:rFonts w:eastAsia="MS Mincho" w:cs="Arial"/>
                <w:b/>
                <w:szCs w:val="22"/>
                <w:lang w:val="en-US" w:eastAsia="ja-JP"/>
              </w:rPr>
              <w:br/>
              <w:t xml:space="preserve">Adjusted Difference (95% CI) </w:t>
            </w:r>
            <w:r w:rsidRPr="00150CDF">
              <w:rPr>
                <w:rFonts w:eastAsia="MS Mincho" w:cs="Arial"/>
                <w:b/>
                <w:szCs w:val="22"/>
                <w:vertAlign w:val="superscript"/>
                <w:lang w:val="en-US" w:eastAsia="ja-JP"/>
              </w:rPr>
              <w:t>‡</w:t>
            </w:r>
          </w:p>
        </w:tc>
        <w:tc>
          <w:tcPr>
            <w:tcW w:w="1152" w:type="dxa"/>
            <w:tcBorders>
              <w:bottom w:val="single" w:sz="4" w:space="0" w:color="auto"/>
            </w:tcBorders>
            <w:shd w:val="clear" w:color="auto" w:fill="auto"/>
          </w:tcPr>
          <w:p w14:paraId="7B5C5D93"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b/>
                <w:szCs w:val="22"/>
                <w:lang w:val="en-US" w:eastAsia="ja-JP"/>
              </w:rPr>
            </w:pPr>
            <w:r w:rsidRPr="00150CDF">
              <w:rPr>
                <w:rFonts w:eastAsia="MS Mincho" w:cs="Arial"/>
                <w:b/>
                <w:bCs/>
                <w:szCs w:val="22"/>
                <w:lang w:val="en-US" w:eastAsia="ja-JP"/>
              </w:rPr>
              <w:br/>
            </w:r>
            <w:r w:rsidRPr="00150CDF">
              <w:rPr>
                <w:rFonts w:eastAsia="MS Mincho" w:cs="Arial"/>
                <w:b/>
                <w:bCs/>
                <w:szCs w:val="22"/>
                <w:lang w:val="en-US" w:eastAsia="ja-JP"/>
              </w:rPr>
              <w:br/>
              <w:t>p-value</w:t>
            </w:r>
          </w:p>
        </w:tc>
      </w:tr>
      <w:tr w:rsidR="00150CDF" w:rsidRPr="00150CDF" w14:paraId="7B5C5D99" w14:textId="77777777" w:rsidTr="00FD0499">
        <w:trPr>
          <w:jc w:val="center"/>
        </w:trPr>
        <w:tc>
          <w:tcPr>
            <w:tcW w:w="1728" w:type="dxa"/>
            <w:shd w:val="clear" w:color="auto" w:fill="auto"/>
          </w:tcPr>
          <w:p w14:paraId="7B5C5D95"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16.5  (129/781)</w:t>
            </w:r>
          </w:p>
        </w:tc>
        <w:tc>
          <w:tcPr>
            <w:tcW w:w="1728" w:type="dxa"/>
            <w:shd w:val="clear" w:color="auto" w:fill="auto"/>
          </w:tcPr>
          <w:p w14:paraId="7B5C5D96"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26.6  (206/773)</w:t>
            </w:r>
          </w:p>
        </w:tc>
        <w:tc>
          <w:tcPr>
            <w:tcW w:w="3168" w:type="dxa"/>
            <w:shd w:val="clear" w:color="auto" w:fill="auto"/>
          </w:tcPr>
          <w:p w14:paraId="7B5C5D97"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-10.0  (-14.0, -6.0)</w:t>
            </w:r>
          </w:p>
        </w:tc>
        <w:tc>
          <w:tcPr>
            <w:tcW w:w="1152" w:type="dxa"/>
            <w:shd w:val="clear" w:color="auto" w:fill="auto"/>
          </w:tcPr>
          <w:p w14:paraId="7B5C5D98"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&lt;0.0001</w:t>
            </w:r>
          </w:p>
        </w:tc>
      </w:tr>
      <w:tr w:rsidR="00150CDF" w:rsidRPr="00150CDF" w14:paraId="7B5C5D9F" w14:textId="77777777" w:rsidTr="00FD0499">
        <w:trPr>
          <w:jc w:val="center"/>
        </w:trPr>
        <w:tc>
          <w:tcPr>
            <w:tcW w:w="7776" w:type="dxa"/>
            <w:gridSpan w:val="4"/>
            <w:shd w:val="clear" w:color="auto" w:fill="auto"/>
          </w:tcPr>
          <w:p w14:paraId="7B5C5D9A" w14:textId="77777777" w:rsidR="00150CDF" w:rsidRPr="003627F2" w:rsidRDefault="00150CDF" w:rsidP="00150CDF">
            <w:pPr>
              <w:keepLines w:val="0"/>
              <w:widowControl w:val="0"/>
              <w:tabs>
                <w:tab w:val="clear" w:pos="-720"/>
                <w:tab w:val="clear" w:pos="4513"/>
                <w:tab w:val="clear" w:pos="10348"/>
                <w:tab w:val="left" w:pos="1420"/>
              </w:tabs>
              <w:suppressAutoHyphens w:val="0"/>
              <w:autoSpaceDE w:val="0"/>
              <w:autoSpaceDN w:val="0"/>
              <w:adjustRightInd w:val="0"/>
              <w:spacing w:before="60"/>
              <w:jc w:val="left"/>
              <w:rPr>
                <w:rFonts w:eastAsia="MS Mincho" w:cs="Arial"/>
                <w:sz w:val="20"/>
                <w:lang w:val="en-US" w:eastAsia="ja-JP"/>
              </w:rPr>
            </w:pPr>
            <w:r w:rsidRPr="003627F2">
              <w:rPr>
                <w:rFonts w:eastAsia="MS Mincho" w:cs="Arial"/>
                <w:sz w:val="20"/>
                <w:lang w:val="en-US" w:eastAsia="ja-JP"/>
              </w:rPr>
              <w:t>n = Number of subjects in the analysis population meeting the criteria for endpoint</w:t>
            </w:r>
          </w:p>
          <w:p w14:paraId="7B5C5D9B" w14:textId="77777777" w:rsidR="00150CDF" w:rsidRPr="003627F2" w:rsidRDefault="00150CDF" w:rsidP="00150CDF">
            <w:pPr>
              <w:keepLines w:val="0"/>
              <w:widowControl w:val="0"/>
              <w:tabs>
                <w:tab w:val="clear" w:pos="-720"/>
                <w:tab w:val="clear" w:pos="4513"/>
                <w:tab w:val="clear" w:pos="10348"/>
                <w:tab w:val="left" w:pos="1420"/>
              </w:tabs>
              <w:suppressAutoHyphens w:val="0"/>
              <w:autoSpaceDE w:val="0"/>
              <w:autoSpaceDN w:val="0"/>
              <w:adjustRightInd w:val="0"/>
              <w:spacing w:before="60"/>
              <w:jc w:val="left"/>
              <w:rPr>
                <w:rFonts w:eastAsia="MS Mincho" w:cs="Arial"/>
                <w:sz w:val="20"/>
                <w:lang w:val="en-US" w:eastAsia="ja-JP"/>
              </w:rPr>
            </w:pPr>
            <w:r w:rsidRPr="003627F2">
              <w:rPr>
                <w:rFonts w:eastAsia="MS Mincho" w:cs="Arial"/>
                <w:sz w:val="20"/>
                <w:lang w:val="en-US" w:eastAsia="ja-JP"/>
              </w:rPr>
              <w:t>N = Number of subjects included in the analysis population</w:t>
            </w:r>
          </w:p>
          <w:p w14:paraId="7B5C5D9C" w14:textId="77777777" w:rsidR="00150CDF" w:rsidRPr="003627F2"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290" w:hanging="270"/>
              <w:jc w:val="left"/>
              <w:rPr>
                <w:rFonts w:eastAsia="MS Mincho" w:cs="Arial"/>
                <w:sz w:val="20"/>
                <w:lang w:val="en-US" w:eastAsia="ja-JP"/>
              </w:rPr>
            </w:pPr>
            <w:r w:rsidRPr="003627F2">
              <w:rPr>
                <w:rFonts w:eastAsia="MS Mincho" w:cs="Arial"/>
                <w:b/>
                <w:sz w:val="20"/>
                <w:vertAlign w:val="superscript"/>
                <w:lang w:val="en-US" w:eastAsia="ja-JP"/>
              </w:rPr>
              <w:t>*</w:t>
            </w:r>
            <w:r w:rsidRPr="003627F2">
              <w:rPr>
                <w:rFonts w:eastAsia="MS Mincho" w:cs="Arial"/>
                <w:sz w:val="20"/>
                <w:lang w:val="en-US" w:eastAsia="ja-JP"/>
              </w:rPr>
              <w:tab/>
              <w:t xml:space="preserve">Full Analysis Set = a subset of all </w:t>
            </w:r>
            <w:proofErr w:type="spellStart"/>
            <w:r w:rsidR="009D4322">
              <w:rPr>
                <w:rFonts w:eastAsia="MS Mincho" w:cs="Arial"/>
                <w:sz w:val="20"/>
                <w:lang w:val="en-US" w:eastAsia="ja-JP"/>
              </w:rPr>
              <w:t>randomised</w:t>
            </w:r>
            <w:proofErr w:type="spellEnd"/>
            <w:r w:rsidRPr="003627F2">
              <w:rPr>
                <w:rFonts w:eastAsia="MS Mincho" w:cs="Arial"/>
                <w:sz w:val="20"/>
                <w:lang w:val="en-US" w:eastAsia="ja-JP"/>
              </w:rPr>
              <w:t xml:space="preserve"> subjects with exclusions for: (</w:t>
            </w:r>
            <w:proofErr w:type="spellStart"/>
            <w:r w:rsidRPr="003627F2">
              <w:rPr>
                <w:rFonts w:eastAsia="MS Mincho" w:cs="Arial"/>
                <w:sz w:val="20"/>
                <w:lang w:val="en-US" w:eastAsia="ja-JP"/>
              </w:rPr>
              <w:t>i</w:t>
            </w:r>
            <w:proofErr w:type="spellEnd"/>
            <w:r w:rsidRPr="003627F2">
              <w:rPr>
                <w:rFonts w:eastAsia="MS Mincho" w:cs="Arial"/>
                <w:sz w:val="20"/>
                <w:lang w:val="en-US" w:eastAsia="ja-JP"/>
              </w:rPr>
              <w:t>) did not receive infusion of study medication, (ii) did not have a positive local stool test for toxigenic C. difficile; (iii) did not receive protocol defined standard of care therapy within a 1 day window of the infusion</w:t>
            </w:r>
          </w:p>
          <w:p w14:paraId="7B5C5D9D" w14:textId="77777777" w:rsidR="00150CDF" w:rsidRPr="003627F2"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290" w:hanging="270"/>
              <w:jc w:val="left"/>
              <w:rPr>
                <w:rFonts w:eastAsia="MS Mincho" w:cs="Arial"/>
                <w:sz w:val="20"/>
                <w:lang w:val="en-US" w:eastAsia="ja-JP"/>
              </w:rPr>
            </w:pPr>
            <w:r w:rsidRPr="003627F2">
              <w:rPr>
                <w:rFonts w:eastAsia="MS Mincho" w:cs="Arial"/>
                <w:b/>
                <w:bCs/>
                <w:sz w:val="20"/>
                <w:vertAlign w:val="superscript"/>
                <w:lang w:val="en-US" w:eastAsia="ja-JP"/>
              </w:rPr>
              <w:t>†</w:t>
            </w:r>
            <w:r w:rsidRPr="003627F2">
              <w:rPr>
                <w:rFonts w:eastAsia="MS Mincho" w:cs="Arial"/>
                <w:sz w:val="20"/>
                <w:lang w:val="en-US" w:eastAsia="ja-JP"/>
              </w:rPr>
              <w:tab/>
            </w:r>
            <w:proofErr w:type="spellStart"/>
            <w:r w:rsidRPr="003627F2">
              <w:rPr>
                <w:rFonts w:eastAsia="MS Mincho" w:cs="Arial"/>
                <w:sz w:val="20"/>
                <w:lang w:val="en-US" w:eastAsia="ja-JP"/>
              </w:rPr>
              <w:t>SoC</w:t>
            </w:r>
            <w:proofErr w:type="spellEnd"/>
            <w:r w:rsidRPr="003627F2">
              <w:rPr>
                <w:rFonts w:eastAsia="MS Mincho" w:cs="Arial"/>
                <w:sz w:val="20"/>
                <w:lang w:val="en-US" w:eastAsia="ja-JP"/>
              </w:rPr>
              <w:t xml:space="preserve"> = Standard of Care antibiotic (metronidazole or vancomycin or </w:t>
            </w:r>
            <w:proofErr w:type="spellStart"/>
            <w:r w:rsidRPr="003627F2">
              <w:rPr>
                <w:rFonts w:eastAsia="MS Mincho" w:cs="Arial"/>
                <w:sz w:val="20"/>
                <w:lang w:val="en-US" w:eastAsia="ja-JP"/>
              </w:rPr>
              <w:t>fidaxomicin</w:t>
            </w:r>
            <w:proofErr w:type="spellEnd"/>
            <w:r w:rsidRPr="003627F2">
              <w:rPr>
                <w:rFonts w:eastAsia="MS Mincho" w:cs="Arial"/>
                <w:sz w:val="20"/>
                <w:lang w:val="en-US" w:eastAsia="ja-JP"/>
              </w:rPr>
              <w:t xml:space="preserve">) </w:t>
            </w:r>
          </w:p>
          <w:p w14:paraId="7B5C5D9E"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290" w:hanging="270"/>
              <w:jc w:val="left"/>
              <w:rPr>
                <w:rFonts w:eastAsia="MS Mincho" w:cs="Arial"/>
                <w:szCs w:val="22"/>
                <w:lang w:val="en-US" w:eastAsia="ja-JP"/>
              </w:rPr>
            </w:pPr>
            <w:r w:rsidRPr="003627F2">
              <w:rPr>
                <w:rFonts w:eastAsia="MS Mincho" w:cs="Arial"/>
                <w:b/>
                <w:sz w:val="20"/>
                <w:vertAlign w:val="superscript"/>
                <w:lang w:val="en-US" w:eastAsia="ja-JP"/>
              </w:rPr>
              <w:t>‡</w:t>
            </w:r>
            <w:r w:rsidRPr="003627F2">
              <w:rPr>
                <w:rFonts w:eastAsia="MS Mincho" w:cs="Arial"/>
                <w:sz w:val="20"/>
                <w:lang w:val="en-US" w:eastAsia="ja-JP"/>
              </w:rPr>
              <w:tab/>
              <w:t xml:space="preserve">One sided p-value based on the </w:t>
            </w:r>
            <w:proofErr w:type="spellStart"/>
            <w:r w:rsidRPr="003627F2">
              <w:rPr>
                <w:rFonts w:eastAsia="MS Mincho" w:cs="Arial"/>
                <w:sz w:val="20"/>
                <w:lang w:val="en-US" w:eastAsia="ja-JP"/>
              </w:rPr>
              <w:t>Miettinen</w:t>
            </w:r>
            <w:proofErr w:type="spellEnd"/>
            <w:r w:rsidRPr="003627F2">
              <w:rPr>
                <w:rFonts w:eastAsia="MS Mincho" w:cs="Arial"/>
                <w:sz w:val="20"/>
                <w:lang w:val="en-US" w:eastAsia="ja-JP"/>
              </w:rPr>
              <w:t xml:space="preserve"> and </w:t>
            </w:r>
            <w:proofErr w:type="spellStart"/>
            <w:r w:rsidRPr="003627F2">
              <w:rPr>
                <w:rFonts w:eastAsia="MS Mincho" w:cs="Arial"/>
                <w:sz w:val="20"/>
                <w:lang w:val="en-US" w:eastAsia="ja-JP"/>
              </w:rPr>
              <w:t>Nurminen</w:t>
            </w:r>
            <w:proofErr w:type="spellEnd"/>
            <w:r w:rsidRPr="003627F2">
              <w:rPr>
                <w:rFonts w:eastAsia="MS Mincho" w:cs="Arial"/>
                <w:sz w:val="20"/>
                <w:lang w:val="en-US" w:eastAsia="ja-JP"/>
              </w:rPr>
              <w:t xml:space="preserve"> method stratified by protocol (MODIFY I and MODIFY II), </w:t>
            </w:r>
            <w:proofErr w:type="spellStart"/>
            <w:r w:rsidRPr="003627F2">
              <w:rPr>
                <w:rFonts w:eastAsia="MS Mincho" w:cs="Arial"/>
                <w:sz w:val="20"/>
                <w:lang w:val="en-US" w:eastAsia="ja-JP"/>
              </w:rPr>
              <w:t>SoC</w:t>
            </w:r>
            <w:proofErr w:type="spellEnd"/>
            <w:r w:rsidRPr="003627F2">
              <w:rPr>
                <w:rFonts w:eastAsia="MS Mincho" w:cs="Arial"/>
                <w:sz w:val="20"/>
                <w:lang w:val="en-US" w:eastAsia="ja-JP"/>
              </w:rPr>
              <w:t xml:space="preserve"> antibiotic (metronidazole vs. vancomycin vs. </w:t>
            </w:r>
            <w:proofErr w:type="spellStart"/>
            <w:r w:rsidRPr="003627F2">
              <w:rPr>
                <w:rFonts w:eastAsia="MS Mincho" w:cs="Arial"/>
                <w:sz w:val="20"/>
                <w:lang w:val="en-US" w:eastAsia="ja-JP"/>
              </w:rPr>
              <w:t>fidaxomicin</w:t>
            </w:r>
            <w:proofErr w:type="spellEnd"/>
            <w:r w:rsidRPr="003627F2">
              <w:rPr>
                <w:rFonts w:eastAsia="MS Mincho" w:cs="Arial"/>
                <w:sz w:val="20"/>
                <w:lang w:val="en-US" w:eastAsia="ja-JP"/>
              </w:rPr>
              <w:t>) and hospitalization status (inpatient vs. outpatient)</w:t>
            </w:r>
          </w:p>
        </w:tc>
      </w:tr>
    </w:tbl>
    <w:p w14:paraId="7B5C5DA0" w14:textId="77777777" w:rsidR="00150CDF" w:rsidRPr="00150CDF" w:rsidRDefault="00150CDF" w:rsidP="00150CDF">
      <w:pPr>
        <w:keepLines w:val="0"/>
        <w:tabs>
          <w:tab w:val="clear" w:pos="-720"/>
          <w:tab w:val="clear" w:pos="4513"/>
          <w:tab w:val="clear" w:pos="10348"/>
        </w:tabs>
        <w:suppressAutoHyphens w:val="0"/>
        <w:jc w:val="left"/>
        <w:rPr>
          <w:rFonts w:eastAsia="MS Mincho" w:cs="Arial"/>
          <w:sz w:val="20"/>
          <w:lang w:val="en-US" w:eastAsia="ja-JP"/>
        </w:rPr>
      </w:pPr>
    </w:p>
    <w:p w14:paraId="7B5C5DA1" w14:textId="77777777" w:rsidR="00150CDF" w:rsidRDefault="00150CDF" w:rsidP="00150CDF">
      <w:pPr>
        <w:keepLines w:val="0"/>
        <w:tabs>
          <w:tab w:val="clear" w:pos="-720"/>
          <w:tab w:val="clear" w:pos="4513"/>
          <w:tab w:val="clear" w:pos="10348"/>
        </w:tabs>
        <w:suppressAutoHyphens w:val="0"/>
        <w:rPr>
          <w:rFonts w:eastAsia="MS Mincho" w:cs="Arial"/>
          <w:szCs w:val="22"/>
          <w:lang w:val="en-US" w:eastAsia="ja-JP"/>
        </w:rPr>
      </w:pPr>
      <w:r w:rsidRPr="00150CDF">
        <w:rPr>
          <w:rFonts w:eastAsia="MS Mincho" w:cs="Arial"/>
          <w:szCs w:val="22"/>
          <w:lang w:val="en-US" w:eastAsia="ja-JP"/>
        </w:rPr>
        <w:t>In a prospectively planned combined analysis of MODIFY I and MODIFY II, the CDI recurrence rates in pre</w:t>
      </w:r>
      <w:r w:rsidR="003627F2">
        <w:rPr>
          <w:rFonts w:eastAsia="MS Mincho" w:cs="Arial"/>
          <w:szCs w:val="22"/>
          <w:lang w:val="en-US" w:eastAsia="ja-JP"/>
        </w:rPr>
        <w:t>-</w:t>
      </w:r>
      <w:r w:rsidRPr="00150CDF">
        <w:rPr>
          <w:rFonts w:eastAsia="MS Mincho" w:cs="Arial"/>
          <w:szCs w:val="22"/>
          <w:lang w:val="en-US" w:eastAsia="ja-JP"/>
        </w:rPr>
        <w:t xml:space="preserve">specified subgroups of patients predisposed to CDI recurrence and/or at risk for severe outcomes are presented in </w:t>
      </w:r>
      <w:r w:rsidRPr="00150CDF">
        <w:rPr>
          <w:rFonts w:eastAsia="MS Mincho" w:cs="Arial"/>
          <w:b/>
          <w:szCs w:val="22"/>
          <w:lang w:val="en-US" w:eastAsia="ja-JP"/>
        </w:rPr>
        <w:t>Table </w:t>
      </w:r>
      <w:r w:rsidR="003627F2">
        <w:rPr>
          <w:rFonts w:eastAsia="MS Mincho" w:cs="Arial"/>
          <w:b/>
          <w:szCs w:val="22"/>
          <w:lang w:val="en-US" w:eastAsia="ja-JP"/>
        </w:rPr>
        <w:t>2</w:t>
      </w:r>
      <w:r w:rsidRPr="00150CDF">
        <w:rPr>
          <w:rFonts w:eastAsia="MS Mincho" w:cs="Arial"/>
          <w:szCs w:val="22"/>
          <w:lang w:val="en-US" w:eastAsia="ja-JP"/>
        </w:rPr>
        <w:t>.</w:t>
      </w:r>
      <w:r w:rsidR="00510494" w:rsidRPr="00510494">
        <w:rPr>
          <w:rFonts w:eastAsia="MS Mincho" w:cs="Arial"/>
          <w:color w:val="3333FF"/>
          <w:szCs w:val="22"/>
          <w:lang w:val="en-US" w:eastAsia="ja-JP"/>
        </w:rPr>
        <w:t xml:space="preserve"> </w:t>
      </w:r>
      <w:r w:rsidRPr="00150CDF">
        <w:rPr>
          <w:rFonts w:eastAsia="MS Mincho" w:cs="Arial"/>
          <w:szCs w:val="22"/>
          <w:lang w:val="en-US" w:eastAsia="ja-JP"/>
        </w:rPr>
        <w:t xml:space="preserve">In the subgroups studied, the proportion of patients with CDI recurrence in the </w:t>
      </w:r>
      <w:r w:rsidR="00AC7B27">
        <w:rPr>
          <w:rFonts w:eastAsia="MS Mincho" w:cs="Arial"/>
          <w:szCs w:val="22"/>
          <w:lang w:val="en-US" w:eastAsia="ja-JP"/>
        </w:rPr>
        <w:t>ZINPLAVA</w:t>
      </w:r>
      <w:r w:rsidRPr="00150CDF">
        <w:rPr>
          <w:rFonts w:eastAsia="MS Mincho" w:cs="Arial"/>
          <w:szCs w:val="22"/>
          <w:lang w:val="en-US" w:eastAsia="ja-JP"/>
        </w:rPr>
        <w:t xml:space="preserve"> treatment group was consistently lower than the proportion of patients with CDI recurrence in the placebo group.</w:t>
      </w:r>
      <w:r w:rsidR="00510494">
        <w:rPr>
          <w:rFonts w:eastAsia="MS Mincho" w:cs="Arial"/>
          <w:szCs w:val="22"/>
          <w:lang w:val="en-US" w:eastAsia="ja-JP"/>
        </w:rPr>
        <w:t xml:space="preserve"> </w:t>
      </w:r>
    </w:p>
    <w:p w14:paraId="7B5C5DA2" w14:textId="77777777" w:rsidR="00583120" w:rsidRPr="00150CDF" w:rsidRDefault="00583120" w:rsidP="00150CDF">
      <w:pPr>
        <w:keepLines w:val="0"/>
        <w:tabs>
          <w:tab w:val="clear" w:pos="-720"/>
          <w:tab w:val="clear" w:pos="4513"/>
          <w:tab w:val="clear" w:pos="10348"/>
        </w:tabs>
        <w:suppressAutoHyphens w:val="0"/>
        <w:rPr>
          <w:rFonts w:eastAsia="MS Mincho" w:cs="Arial"/>
          <w:szCs w:val="22"/>
          <w:lang w:val="en-US" w:eastAsia="ja-JP"/>
        </w:rPr>
      </w:pPr>
    </w:p>
    <w:p w14:paraId="7B5C5DA3" w14:textId="77777777" w:rsidR="00150CDF" w:rsidRDefault="00150CDF" w:rsidP="00150CDF">
      <w:pPr>
        <w:keepLines w:val="0"/>
        <w:tabs>
          <w:tab w:val="clear" w:pos="-720"/>
          <w:tab w:val="clear" w:pos="4513"/>
          <w:tab w:val="clear" w:pos="10348"/>
        </w:tabs>
        <w:suppressAutoHyphens w:val="0"/>
        <w:jc w:val="center"/>
        <w:rPr>
          <w:rFonts w:eastAsia="MS Mincho" w:cs="Arial"/>
          <w:b/>
          <w:szCs w:val="22"/>
          <w:lang w:val="en-US" w:eastAsia="ja-JP"/>
        </w:rPr>
      </w:pPr>
      <w:r w:rsidRPr="00150CDF">
        <w:rPr>
          <w:rFonts w:eastAsia="MS Mincho" w:cs="Arial"/>
          <w:b/>
          <w:szCs w:val="22"/>
          <w:lang w:val="en-US" w:eastAsia="ja-JP"/>
        </w:rPr>
        <w:t>Table </w:t>
      </w:r>
      <w:r w:rsidR="003627F2">
        <w:rPr>
          <w:rFonts w:eastAsia="MS Mincho" w:cs="Arial"/>
          <w:b/>
          <w:szCs w:val="22"/>
          <w:lang w:val="en-US" w:eastAsia="ja-JP"/>
        </w:rPr>
        <w:t>2</w:t>
      </w:r>
      <w:r w:rsidRPr="00150CDF">
        <w:rPr>
          <w:rFonts w:eastAsia="MS Mincho" w:cs="Arial"/>
          <w:b/>
          <w:szCs w:val="22"/>
          <w:lang w:val="en-US" w:eastAsia="ja-JP"/>
        </w:rPr>
        <w:t xml:space="preserve">: </w:t>
      </w:r>
      <w:r w:rsidRPr="00150CDF">
        <w:rPr>
          <w:rFonts w:eastAsia="MS Mincho" w:cs="Arial"/>
          <w:b/>
          <w:bCs/>
          <w:szCs w:val="22"/>
          <w:lang w:val="en-US" w:eastAsia="ja-JP"/>
        </w:rPr>
        <w:t xml:space="preserve">CDI Recurrence Rate by </w:t>
      </w:r>
      <w:proofErr w:type="gramStart"/>
      <w:r w:rsidRPr="00150CDF">
        <w:rPr>
          <w:rFonts w:eastAsia="MS Mincho" w:cs="Arial"/>
          <w:b/>
          <w:bCs/>
          <w:szCs w:val="22"/>
          <w:lang w:val="en-US" w:eastAsia="ja-JP"/>
        </w:rPr>
        <w:t>Subgroup</w:t>
      </w:r>
      <w:proofErr w:type="gramEnd"/>
      <w:r w:rsidRPr="00150CDF">
        <w:rPr>
          <w:rFonts w:eastAsia="MS Mincho" w:cs="Arial"/>
          <w:b/>
          <w:bCs/>
          <w:szCs w:val="22"/>
          <w:lang w:val="en-US" w:eastAsia="ja-JP"/>
        </w:rPr>
        <w:br/>
      </w:r>
      <w:r w:rsidRPr="00150CDF">
        <w:rPr>
          <w:rFonts w:eastAsia="MS Mincho" w:cs="Arial"/>
          <w:b/>
          <w:szCs w:val="22"/>
          <w:lang w:val="en-US" w:eastAsia="ja-JP"/>
        </w:rPr>
        <w:t>(MODIFY I and MODIFY II, Full Analysis Set </w:t>
      </w:r>
      <w:r w:rsidRPr="00150CDF">
        <w:rPr>
          <w:rFonts w:eastAsia="MS Mincho" w:cs="Arial"/>
          <w:b/>
          <w:szCs w:val="22"/>
          <w:vertAlign w:val="superscript"/>
          <w:lang w:val="en-US" w:eastAsia="ja-JP"/>
        </w:rPr>
        <w:t>*</w:t>
      </w:r>
      <w:r w:rsidRPr="00150CDF">
        <w:rPr>
          <w:rFonts w:eastAsia="MS Mincho" w:cs="Arial"/>
          <w:b/>
          <w:szCs w:val="22"/>
          <w:lang w:val="en-US" w:eastAsia="ja-JP"/>
        </w:rPr>
        <w:t>)</w:t>
      </w:r>
    </w:p>
    <w:p w14:paraId="7B5C5DA4" w14:textId="77777777" w:rsidR="007F53BD" w:rsidRPr="007F53BD" w:rsidRDefault="007F53BD" w:rsidP="00150CDF">
      <w:pPr>
        <w:keepLines w:val="0"/>
        <w:tabs>
          <w:tab w:val="clear" w:pos="-720"/>
          <w:tab w:val="clear" w:pos="4513"/>
          <w:tab w:val="clear" w:pos="10348"/>
        </w:tabs>
        <w:suppressAutoHyphens w:val="0"/>
        <w:jc w:val="center"/>
        <w:rPr>
          <w:rFonts w:eastAsia="MS Mincho" w:cs="Arial"/>
          <w:szCs w:val="22"/>
          <w:lang w:val="en-U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728"/>
        <w:gridCol w:w="1728"/>
        <w:gridCol w:w="2304"/>
      </w:tblGrid>
      <w:tr w:rsidR="00150CDF" w:rsidRPr="00150CDF" w14:paraId="7B5C5DA9" w14:textId="77777777" w:rsidTr="00FD0499">
        <w:trPr>
          <w:jc w:val="center"/>
        </w:trPr>
        <w:tc>
          <w:tcPr>
            <w:tcW w:w="3168" w:type="dxa"/>
            <w:shd w:val="clear" w:color="auto" w:fill="auto"/>
          </w:tcPr>
          <w:p w14:paraId="7B5C5DA5"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b/>
                <w:bCs/>
                <w:szCs w:val="22"/>
                <w:lang w:val="en-US" w:eastAsia="ja-JP"/>
              </w:rPr>
            </w:pPr>
            <w:r w:rsidRPr="00150CDF">
              <w:rPr>
                <w:rFonts w:eastAsia="MS Mincho" w:cs="Arial"/>
                <w:b/>
                <w:bCs/>
                <w:szCs w:val="22"/>
                <w:lang w:val="en-US" w:eastAsia="ja-JP"/>
              </w:rPr>
              <w:br/>
            </w:r>
            <w:r w:rsidRPr="00150CDF">
              <w:rPr>
                <w:rFonts w:eastAsia="MS Mincho" w:cs="Arial"/>
                <w:b/>
                <w:bCs/>
                <w:szCs w:val="22"/>
                <w:lang w:val="en-US" w:eastAsia="ja-JP"/>
              </w:rPr>
              <w:br/>
              <w:t>Characteristic at study entry</w:t>
            </w:r>
          </w:p>
        </w:tc>
        <w:tc>
          <w:tcPr>
            <w:tcW w:w="1728" w:type="dxa"/>
            <w:shd w:val="clear" w:color="auto" w:fill="auto"/>
          </w:tcPr>
          <w:p w14:paraId="7B5C5DA6" w14:textId="77777777" w:rsidR="00150CDF" w:rsidRPr="00150CDF" w:rsidRDefault="00AC7B27" w:rsidP="00AC7B27">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b/>
                <w:szCs w:val="22"/>
                <w:lang w:val="en-US" w:eastAsia="ja-JP"/>
              </w:rPr>
            </w:pPr>
            <w:r>
              <w:rPr>
                <w:rFonts w:eastAsia="MS Mincho" w:cs="Arial"/>
                <w:b/>
                <w:bCs/>
                <w:szCs w:val="22"/>
                <w:lang w:val="en-US" w:eastAsia="ja-JP"/>
              </w:rPr>
              <w:t>ZINPLAVA</w:t>
            </w:r>
            <w:r w:rsidR="00150CDF" w:rsidRPr="00150CDF">
              <w:rPr>
                <w:rFonts w:eastAsia="MS Mincho" w:cs="Arial"/>
                <w:b/>
                <w:bCs/>
                <w:szCs w:val="22"/>
                <w:lang w:val="en-US" w:eastAsia="ja-JP"/>
              </w:rPr>
              <w:t xml:space="preserve"> with </w:t>
            </w:r>
            <w:proofErr w:type="spellStart"/>
            <w:r w:rsidR="00150CDF" w:rsidRPr="00150CDF">
              <w:rPr>
                <w:rFonts w:eastAsia="MS Mincho" w:cs="Arial"/>
                <w:b/>
                <w:bCs/>
                <w:szCs w:val="22"/>
                <w:lang w:val="en-US" w:eastAsia="ja-JP"/>
              </w:rPr>
              <w:t>SoC</w:t>
            </w:r>
            <w:proofErr w:type="spellEnd"/>
            <w:r w:rsidR="00150CDF" w:rsidRPr="00150CDF">
              <w:rPr>
                <w:rFonts w:eastAsia="MS Mincho" w:cs="Arial"/>
                <w:b/>
                <w:bCs/>
                <w:szCs w:val="22"/>
                <w:lang w:val="en-US" w:eastAsia="ja-JP"/>
              </w:rPr>
              <w:t xml:space="preserve"> </w:t>
            </w:r>
            <w:r w:rsidR="00150CDF" w:rsidRPr="00150CDF">
              <w:rPr>
                <w:rFonts w:eastAsia="MS Mincho" w:cs="Arial"/>
                <w:b/>
                <w:bCs/>
                <w:szCs w:val="22"/>
                <w:vertAlign w:val="superscript"/>
                <w:lang w:val="en-US" w:eastAsia="ja-JP"/>
              </w:rPr>
              <w:t>†</w:t>
            </w:r>
            <w:r w:rsidR="00150CDF" w:rsidRPr="00150CDF">
              <w:rPr>
                <w:rFonts w:eastAsia="MS Mincho" w:cs="Arial"/>
                <w:b/>
                <w:bCs/>
                <w:szCs w:val="22"/>
                <w:lang w:val="en-US" w:eastAsia="ja-JP"/>
              </w:rPr>
              <w:br/>
            </w:r>
            <w:r w:rsidR="00150CDF" w:rsidRPr="00150CDF">
              <w:rPr>
                <w:rFonts w:eastAsia="MS Mincho" w:cs="Arial"/>
                <w:b/>
                <w:szCs w:val="22"/>
                <w:lang w:val="en-US" w:eastAsia="ja-JP"/>
              </w:rPr>
              <w:t>Percent  (n/m)</w:t>
            </w:r>
          </w:p>
        </w:tc>
        <w:tc>
          <w:tcPr>
            <w:tcW w:w="1728" w:type="dxa"/>
            <w:shd w:val="clear" w:color="auto" w:fill="auto"/>
          </w:tcPr>
          <w:p w14:paraId="7B5C5DA7"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b/>
                <w:szCs w:val="22"/>
                <w:lang w:val="en-US" w:eastAsia="ja-JP"/>
              </w:rPr>
            </w:pPr>
            <w:r w:rsidRPr="00150CDF">
              <w:rPr>
                <w:rFonts w:eastAsia="MS Mincho" w:cs="Arial"/>
                <w:b/>
                <w:bCs/>
                <w:szCs w:val="22"/>
                <w:lang w:val="en-US" w:eastAsia="ja-JP"/>
              </w:rPr>
              <w:t xml:space="preserve">Placebo with </w:t>
            </w:r>
            <w:proofErr w:type="spellStart"/>
            <w:r w:rsidRPr="00150CDF">
              <w:rPr>
                <w:rFonts w:eastAsia="MS Mincho" w:cs="Arial"/>
                <w:b/>
                <w:bCs/>
                <w:szCs w:val="22"/>
                <w:lang w:val="en-US" w:eastAsia="ja-JP"/>
              </w:rPr>
              <w:t>SoC</w:t>
            </w:r>
            <w:proofErr w:type="spellEnd"/>
            <w:r w:rsidRPr="00150CDF">
              <w:rPr>
                <w:rFonts w:eastAsia="MS Mincho" w:cs="Arial"/>
                <w:b/>
                <w:bCs/>
                <w:szCs w:val="22"/>
                <w:lang w:val="en-US" w:eastAsia="ja-JP"/>
              </w:rPr>
              <w:t xml:space="preserve"> </w:t>
            </w:r>
            <w:r w:rsidRPr="00150CDF">
              <w:rPr>
                <w:rFonts w:eastAsia="MS Mincho" w:cs="Arial"/>
                <w:b/>
                <w:bCs/>
                <w:szCs w:val="22"/>
                <w:vertAlign w:val="superscript"/>
                <w:lang w:val="en-US" w:eastAsia="ja-JP"/>
              </w:rPr>
              <w:t>†</w:t>
            </w:r>
            <w:r w:rsidRPr="00150CDF">
              <w:rPr>
                <w:rFonts w:eastAsia="MS Mincho" w:cs="Arial"/>
                <w:b/>
                <w:bCs/>
                <w:szCs w:val="22"/>
                <w:lang w:val="en-US" w:eastAsia="ja-JP"/>
              </w:rPr>
              <w:br/>
            </w:r>
            <w:r w:rsidRPr="00150CDF">
              <w:rPr>
                <w:rFonts w:eastAsia="MS Mincho" w:cs="Arial"/>
                <w:b/>
                <w:szCs w:val="22"/>
                <w:lang w:val="en-US" w:eastAsia="ja-JP"/>
              </w:rPr>
              <w:t>Percent  (n/m)</w:t>
            </w:r>
          </w:p>
        </w:tc>
        <w:tc>
          <w:tcPr>
            <w:tcW w:w="2304" w:type="dxa"/>
            <w:shd w:val="clear" w:color="auto" w:fill="auto"/>
          </w:tcPr>
          <w:p w14:paraId="7B5C5DA8" w14:textId="77777777" w:rsidR="00150CDF" w:rsidRPr="00150CDF" w:rsidRDefault="00150CDF" w:rsidP="00881D10">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b/>
                <w:szCs w:val="22"/>
                <w:lang w:val="en-US" w:eastAsia="ja-JP"/>
              </w:rPr>
            </w:pPr>
            <w:r w:rsidRPr="00150CDF">
              <w:rPr>
                <w:rFonts w:eastAsia="MS Mincho" w:cs="Arial"/>
                <w:b/>
                <w:szCs w:val="22"/>
                <w:lang w:val="en-US" w:eastAsia="ja-JP"/>
              </w:rPr>
              <w:br/>
            </w:r>
            <w:r w:rsidRPr="00150CDF">
              <w:rPr>
                <w:rFonts w:eastAsia="MS Mincho" w:cs="Arial"/>
                <w:b/>
                <w:szCs w:val="22"/>
                <w:lang w:val="en-US" w:eastAsia="ja-JP"/>
              </w:rPr>
              <w:br/>
              <w:t>Difference (95% CI)</w:t>
            </w:r>
            <w:r w:rsidR="00881D10" w:rsidRPr="00150CDF">
              <w:rPr>
                <w:rFonts w:eastAsia="MS Mincho" w:cs="Arial"/>
                <w:b/>
                <w:szCs w:val="22"/>
                <w:vertAlign w:val="superscript"/>
                <w:lang w:val="en-US" w:eastAsia="ja-JP"/>
              </w:rPr>
              <w:t xml:space="preserve"> ‡</w:t>
            </w:r>
            <w:r w:rsidRPr="00150CDF">
              <w:rPr>
                <w:rFonts w:eastAsia="MS Mincho" w:cs="Arial"/>
                <w:b/>
                <w:szCs w:val="22"/>
                <w:lang w:val="en-US" w:eastAsia="ja-JP"/>
              </w:rPr>
              <w:t xml:space="preserve"> </w:t>
            </w:r>
          </w:p>
        </w:tc>
      </w:tr>
      <w:tr w:rsidR="00150CDF" w:rsidRPr="00150CDF" w14:paraId="7B5C5DAE" w14:textId="77777777" w:rsidTr="00FD0499">
        <w:trPr>
          <w:jc w:val="center"/>
        </w:trPr>
        <w:tc>
          <w:tcPr>
            <w:tcW w:w="3168" w:type="dxa"/>
            <w:shd w:val="clear" w:color="auto" w:fill="auto"/>
          </w:tcPr>
          <w:p w14:paraId="7B5C5DAA" w14:textId="77777777" w:rsidR="00150CDF" w:rsidRPr="00150CDF" w:rsidRDefault="00150CDF" w:rsidP="00150CDF">
            <w:pPr>
              <w:keepLines w:val="0"/>
              <w:tabs>
                <w:tab w:val="clear" w:pos="-720"/>
                <w:tab w:val="clear" w:pos="4513"/>
                <w:tab w:val="clear" w:pos="10348"/>
              </w:tabs>
              <w:suppressAutoHyphens w:val="0"/>
              <w:jc w:val="left"/>
              <w:rPr>
                <w:rFonts w:eastAsia="MS Mincho" w:cs="Arial"/>
                <w:bCs/>
                <w:szCs w:val="22"/>
                <w:lang w:val="en-US" w:eastAsia="ja-JP"/>
              </w:rPr>
            </w:pPr>
            <w:r w:rsidRPr="00150CDF">
              <w:rPr>
                <w:rFonts w:eastAsia="MS Mincho" w:cs="Arial"/>
                <w:bCs/>
                <w:szCs w:val="22"/>
                <w:lang w:val="en-US" w:eastAsia="ja-JP"/>
              </w:rPr>
              <w:t xml:space="preserve">Age ≥ 65 years </w:t>
            </w:r>
          </w:p>
        </w:tc>
        <w:tc>
          <w:tcPr>
            <w:tcW w:w="1728" w:type="dxa"/>
            <w:shd w:val="clear" w:color="auto" w:fill="auto"/>
          </w:tcPr>
          <w:p w14:paraId="7B5C5DAB"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15.4</w:t>
            </w:r>
            <w:r w:rsidRPr="00150CDF">
              <w:rPr>
                <w:rFonts w:eastAsia="MS Mincho" w:cs="Arial"/>
                <w:szCs w:val="22"/>
                <w:lang w:val="en-US" w:eastAsia="ja-JP"/>
              </w:rPr>
              <w:tab/>
              <w:t>(60/390)</w:t>
            </w:r>
          </w:p>
        </w:tc>
        <w:tc>
          <w:tcPr>
            <w:tcW w:w="1728" w:type="dxa"/>
            <w:shd w:val="clear" w:color="auto" w:fill="auto"/>
          </w:tcPr>
          <w:p w14:paraId="7B5C5DAC"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31.4</w:t>
            </w:r>
            <w:r w:rsidRPr="00150CDF">
              <w:rPr>
                <w:rFonts w:eastAsia="MS Mincho" w:cs="Arial"/>
                <w:szCs w:val="22"/>
                <w:lang w:val="en-US" w:eastAsia="ja-JP"/>
              </w:rPr>
              <w:tab/>
              <w:t>(127/405)</w:t>
            </w:r>
          </w:p>
        </w:tc>
        <w:tc>
          <w:tcPr>
            <w:tcW w:w="2304" w:type="dxa"/>
            <w:shd w:val="clear" w:color="auto" w:fill="auto"/>
          </w:tcPr>
          <w:p w14:paraId="7B5C5DAD"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-16.0 (-21.7, -10.2)</w:t>
            </w:r>
          </w:p>
        </w:tc>
      </w:tr>
      <w:tr w:rsidR="00150CDF" w:rsidRPr="00150CDF" w14:paraId="7B5C5DB3" w14:textId="77777777" w:rsidTr="00FD0499">
        <w:trPr>
          <w:jc w:val="center"/>
        </w:trPr>
        <w:tc>
          <w:tcPr>
            <w:tcW w:w="3168" w:type="dxa"/>
            <w:shd w:val="clear" w:color="auto" w:fill="auto"/>
          </w:tcPr>
          <w:p w14:paraId="7B5C5DAF" w14:textId="77777777" w:rsidR="00150CDF" w:rsidRPr="00150CDF" w:rsidRDefault="00150CDF" w:rsidP="00150CDF">
            <w:pPr>
              <w:keepLines w:val="0"/>
              <w:tabs>
                <w:tab w:val="clear" w:pos="-720"/>
                <w:tab w:val="clear" w:pos="4513"/>
                <w:tab w:val="clear" w:pos="10348"/>
              </w:tabs>
              <w:suppressAutoHyphens w:val="0"/>
              <w:jc w:val="left"/>
              <w:rPr>
                <w:rFonts w:eastAsia="MS Mincho" w:cs="Arial"/>
                <w:bCs/>
                <w:szCs w:val="22"/>
                <w:lang w:val="en-US" w:eastAsia="ja-JP"/>
              </w:rPr>
            </w:pPr>
            <w:r w:rsidRPr="00150CDF">
              <w:rPr>
                <w:rFonts w:eastAsia="MS Mincho" w:cs="Arial"/>
                <w:bCs/>
                <w:szCs w:val="22"/>
                <w:lang w:val="en-US" w:eastAsia="ja-JP"/>
              </w:rPr>
              <w:t xml:space="preserve">History of one or more episodes of CDI in past 6 months </w:t>
            </w:r>
          </w:p>
        </w:tc>
        <w:tc>
          <w:tcPr>
            <w:tcW w:w="1728" w:type="dxa"/>
            <w:shd w:val="clear" w:color="auto" w:fill="auto"/>
          </w:tcPr>
          <w:p w14:paraId="7B5C5DB0"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25.0</w:t>
            </w:r>
            <w:r w:rsidRPr="00150CDF">
              <w:rPr>
                <w:rFonts w:eastAsia="MS Mincho" w:cs="Arial"/>
                <w:szCs w:val="22"/>
                <w:lang w:val="en-US" w:eastAsia="ja-JP"/>
              </w:rPr>
              <w:tab/>
              <w:t>(54/216)</w:t>
            </w:r>
          </w:p>
        </w:tc>
        <w:tc>
          <w:tcPr>
            <w:tcW w:w="1728" w:type="dxa"/>
            <w:shd w:val="clear" w:color="auto" w:fill="auto"/>
          </w:tcPr>
          <w:p w14:paraId="7B5C5DB1"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41.1</w:t>
            </w:r>
            <w:r w:rsidRPr="00150CDF">
              <w:rPr>
                <w:rFonts w:eastAsia="MS Mincho" w:cs="Arial"/>
                <w:szCs w:val="22"/>
                <w:lang w:val="en-US" w:eastAsia="ja-JP"/>
              </w:rPr>
              <w:tab/>
              <w:t>(90/219)</w:t>
            </w:r>
          </w:p>
        </w:tc>
        <w:tc>
          <w:tcPr>
            <w:tcW w:w="2304" w:type="dxa"/>
            <w:shd w:val="clear" w:color="auto" w:fill="auto"/>
          </w:tcPr>
          <w:p w14:paraId="7B5C5DB2"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-16.1 (-24.7, -7.3)</w:t>
            </w:r>
          </w:p>
        </w:tc>
      </w:tr>
      <w:tr w:rsidR="00150CDF" w:rsidRPr="00150CDF" w14:paraId="7B5C5DB8" w14:textId="77777777" w:rsidTr="00FD0499">
        <w:trPr>
          <w:jc w:val="center"/>
        </w:trPr>
        <w:tc>
          <w:tcPr>
            <w:tcW w:w="3168" w:type="dxa"/>
            <w:shd w:val="clear" w:color="auto" w:fill="auto"/>
          </w:tcPr>
          <w:p w14:paraId="7B5C5DB4" w14:textId="77777777" w:rsidR="00150CDF" w:rsidRPr="00150CDF" w:rsidRDefault="00150CDF" w:rsidP="00150CDF">
            <w:pPr>
              <w:keepLines w:val="0"/>
              <w:tabs>
                <w:tab w:val="clear" w:pos="-720"/>
                <w:tab w:val="clear" w:pos="4513"/>
                <w:tab w:val="clear" w:pos="10348"/>
              </w:tabs>
              <w:suppressAutoHyphens w:val="0"/>
              <w:jc w:val="left"/>
              <w:rPr>
                <w:rFonts w:eastAsia="MS Mincho" w:cs="Arial"/>
                <w:bCs/>
                <w:szCs w:val="22"/>
                <w:lang w:val="en-US" w:eastAsia="ja-JP"/>
              </w:rPr>
            </w:pPr>
            <w:r w:rsidRPr="00150CDF">
              <w:rPr>
                <w:rFonts w:eastAsia="MS Mincho" w:cs="Arial"/>
                <w:bCs/>
                <w:szCs w:val="22"/>
                <w:lang w:val="en-US" w:eastAsia="ja-JP"/>
              </w:rPr>
              <w:t xml:space="preserve">Immunocompromised </w:t>
            </w:r>
            <w:r w:rsidRPr="00150CDF">
              <w:rPr>
                <w:rFonts w:eastAsia="MS Mincho" w:cs="Arial"/>
                <w:bCs/>
                <w:szCs w:val="22"/>
                <w:vertAlign w:val="superscript"/>
                <w:lang w:val="en-US" w:eastAsia="ja-JP"/>
              </w:rPr>
              <w:t>§</w:t>
            </w:r>
          </w:p>
        </w:tc>
        <w:tc>
          <w:tcPr>
            <w:tcW w:w="1728" w:type="dxa"/>
            <w:shd w:val="clear" w:color="auto" w:fill="auto"/>
          </w:tcPr>
          <w:p w14:paraId="7B5C5DB5" w14:textId="7857784D" w:rsidR="00150CDF" w:rsidRPr="00150CDF" w:rsidRDefault="009274DD" w:rsidP="009274DD">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Pr>
                <w:rFonts w:eastAsia="MS Mincho" w:cs="Arial"/>
                <w:szCs w:val="22"/>
                <w:lang w:val="en-US" w:eastAsia="ja-JP"/>
              </w:rPr>
              <w:t>14.6 (26/178)</w:t>
            </w:r>
          </w:p>
        </w:tc>
        <w:tc>
          <w:tcPr>
            <w:tcW w:w="1728" w:type="dxa"/>
            <w:shd w:val="clear" w:color="auto" w:fill="auto"/>
          </w:tcPr>
          <w:p w14:paraId="7B5C5DB6" w14:textId="40F2A468" w:rsidR="00150CDF" w:rsidRPr="00150CDF" w:rsidRDefault="001A53B9"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Pr>
                <w:rFonts w:eastAsia="MS Mincho" w:cs="Arial"/>
                <w:szCs w:val="22"/>
                <w:lang w:val="en-US" w:eastAsia="ja-JP"/>
              </w:rPr>
              <w:t xml:space="preserve">27.5 </w:t>
            </w:r>
            <w:r w:rsidR="009274DD">
              <w:rPr>
                <w:rFonts w:eastAsia="MS Mincho" w:cs="Arial"/>
                <w:szCs w:val="22"/>
                <w:lang w:val="en-US" w:eastAsia="ja-JP"/>
              </w:rPr>
              <w:t>(42/153)</w:t>
            </w:r>
          </w:p>
        </w:tc>
        <w:tc>
          <w:tcPr>
            <w:tcW w:w="2304" w:type="dxa"/>
            <w:shd w:val="clear" w:color="auto" w:fill="auto"/>
          </w:tcPr>
          <w:p w14:paraId="7B5C5DB7" w14:textId="030385EE" w:rsidR="00150CDF" w:rsidRPr="00150CDF" w:rsidRDefault="00150CDF" w:rsidP="009274DD">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-12.</w:t>
            </w:r>
            <w:r w:rsidR="009274DD">
              <w:rPr>
                <w:rFonts w:eastAsia="MS Mincho" w:cs="Arial"/>
                <w:szCs w:val="22"/>
                <w:lang w:val="en-US" w:eastAsia="ja-JP"/>
              </w:rPr>
              <w:t>8 (21.7, -4.1)</w:t>
            </w:r>
          </w:p>
        </w:tc>
      </w:tr>
      <w:tr w:rsidR="00150CDF" w:rsidRPr="00150CDF" w14:paraId="7B5C5DBD" w14:textId="77777777" w:rsidTr="00FD0499">
        <w:trPr>
          <w:jc w:val="center"/>
        </w:trPr>
        <w:tc>
          <w:tcPr>
            <w:tcW w:w="3168" w:type="dxa"/>
            <w:shd w:val="clear" w:color="auto" w:fill="auto"/>
          </w:tcPr>
          <w:p w14:paraId="7B5C5DB9" w14:textId="77777777" w:rsidR="00150CDF" w:rsidRPr="00150CDF" w:rsidRDefault="00150CDF" w:rsidP="00150CDF">
            <w:pPr>
              <w:keepLines w:val="0"/>
              <w:tabs>
                <w:tab w:val="clear" w:pos="-720"/>
                <w:tab w:val="clear" w:pos="4513"/>
                <w:tab w:val="clear" w:pos="10348"/>
              </w:tabs>
              <w:suppressAutoHyphens w:val="0"/>
              <w:jc w:val="left"/>
              <w:rPr>
                <w:rFonts w:eastAsia="MS Mincho" w:cs="Arial"/>
                <w:bCs/>
                <w:szCs w:val="22"/>
                <w:lang w:val="en-US" w:eastAsia="ja-JP"/>
              </w:rPr>
            </w:pPr>
            <w:r w:rsidRPr="00150CDF">
              <w:rPr>
                <w:rFonts w:eastAsia="MS Mincho" w:cs="Arial"/>
                <w:bCs/>
                <w:szCs w:val="22"/>
                <w:lang w:val="en-US" w:eastAsia="ja-JP"/>
              </w:rPr>
              <w:t xml:space="preserve">Severe CDI </w:t>
            </w:r>
            <w:r w:rsidRPr="00150CDF">
              <w:rPr>
                <w:rFonts w:eastAsia="MS Mincho" w:cs="Arial"/>
                <w:szCs w:val="22"/>
                <w:vertAlign w:val="superscript"/>
                <w:lang w:val="en-US" w:eastAsia="ja-JP"/>
              </w:rPr>
              <w:t>¶</w:t>
            </w:r>
          </w:p>
        </w:tc>
        <w:tc>
          <w:tcPr>
            <w:tcW w:w="1728" w:type="dxa"/>
            <w:shd w:val="clear" w:color="auto" w:fill="auto"/>
          </w:tcPr>
          <w:p w14:paraId="7B5C5DBA"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10.7</w:t>
            </w:r>
            <w:r w:rsidRPr="00150CDF">
              <w:rPr>
                <w:rFonts w:eastAsia="MS Mincho" w:cs="Arial"/>
                <w:szCs w:val="22"/>
                <w:lang w:val="en-US" w:eastAsia="ja-JP"/>
              </w:rPr>
              <w:tab/>
              <w:t>(13/122)</w:t>
            </w:r>
          </w:p>
        </w:tc>
        <w:tc>
          <w:tcPr>
            <w:tcW w:w="1728" w:type="dxa"/>
            <w:shd w:val="clear" w:color="auto" w:fill="auto"/>
          </w:tcPr>
          <w:p w14:paraId="7B5C5DBB"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22.4</w:t>
            </w:r>
            <w:r w:rsidRPr="00150CDF">
              <w:rPr>
                <w:rFonts w:eastAsia="MS Mincho" w:cs="Arial"/>
                <w:szCs w:val="22"/>
                <w:lang w:val="en-US" w:eastAsia="ja-JP"/>
              </w:rPr>
              <w:tab/>
              <w:t>(28/125)</w:t>
            </w:r>
          </w:p>
        </w:tc>
        <w:tc>
          <w:tcPr>
            <w:tcW w:w="2304" w:type="dxa"/>
            <w:shd w:val="clear" w:color="auto" w:fill="auto"/>
          </w:tcPr>
          <w:p w14:paraId="7B5C5DBC"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-11.7 (-21.1, -2.5)</w:t>
            </w:r>
          </w:p>
        </w:tc>
      </w:tr>
      <w:tr w:rsidR="00150CDF" w:rsidRPr="00150CDF" w14:paraId="7B5C5DC2" w14:textId="77777777" w:rsidTr="00FD0499">
        <w:trPr>
          <w:jc w:val="center"/>
        </w:trPr>
        <w:tc>
          <w:tcPr>
            <w:tcW w:w="3168" w:type="dxa"/>
            <w:shd w:val="clear" w:color="auto" w:fill="auto"/>
          </w:tcPr>
          <w:p w14:paraId="7B5C5DBE" w14:textId="77777777" w:rsidR="00150CDF" w:rsidRPr="00150CDF" w:rsidRDefault="00150CDF" w:rsidP="00150CDF">
            <w:pPr>
              <w:keepLines w:val="0"/>
              <w:tabs>
                <w:tab w:val="clear" w:pos="-720"/>
                <w:tab w:val="clear" w:pos="4513"/>
                <w:tab w:val="clear" w:pos="10348"/>
              </w:tabs>
              <w:suppressAutoHyphens w:val="0"/>
              <w:jc w:val="left"/>
              <w:rPr>
                <w:rFonts w:eastAsia="MS Mincho" w:cs="Arial"/>
                <w:bCs/>
                <w:szCs w:val="22"/>
                <w:lang w:val="en-US" w:eastAsia="ja-JP"/>
              </w:rPr>
            </w:pPr>
            <w:r w:rsidRPr="00150CDF">
              <w:rPr>
                <w:rFonts w:eastAsia="MS Mincho" w:cs="Arial"/>
                <w:bCs/>
                <w:szCs w:val="22"/>
                <w:lang w:val="en-US" w:eastAsia="ja-JP"/>
              </w:rPr>
              <w:t xml:space="preserve">Infected with a </w:t>
            </w:r>
            <w:proofErr w:type="spellStart"/>
            <w:r w:rsidRPr="00150CDF">
              <w:rPr>
                <w:rFonts w:eastAsia="MS Mincho" w:cs="Arial"/>
                <w:bCs/>
                <w:szCs w:val="22"/>
                <w:lang w:val="en-US" w:eastAsia="ja-JP"/>
              </w:rPr>
              <w:t>Hypervirulent</w:t>
            </w:r>
            <w:proofErr w:type="spellEnd"/>
            <w:r w:rsidRPr="00150CDF">
              <w:rPr>
                <w:rFonts w:eastAsia="MS Mincho" w:cs="Arial"/>
                <w:bCs/>
                <w:szCs w:val="22"/>
                <w:lang w:val="en-US" w:eastAsia="ja-JP"/>
              </w:rPr>
              <w:t xml:space="preserve"> strain </w:t>
            </w:r>
            <w:r w:rsidRPr="00150CDF">
              <w:rPr>
                <w:rFonts w:eastAsia="MS Mincho" w:cs="Arial"/>
                <w:bCs/>
                <w:szCs w:val="22"/>
                <w:vertAlign w:val="superscript"/>
                <w:lang w:val="en-US" w:eastAsia="ja-JP"/>
              </w:rPr>
              <w:t>#</w:t>
            </w:r>
          </w:p>
        </w:tc>
        <w:tc>
          <w:tcPr>
            <w:tcW w:w="1728" w:type="dxa"/>
            <w:shd w:val="clear" w:color="auto" w:fill="auto"/>
          </w:tcPr>
          <w:p w14:paraId="7B5C5DBF"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21.6</w:t>
            </w:r>
            <w:r w:rsidRPr="00150CDF">
              <w:rPr>
                <w:rFonts w:eastAsia="MS Mincho" w:cs="Arial"/>
                <w:szCs w:val="22"/>
                <w:lang w:val="en-US" w:eastAsia="ja-JP"/>
              </w:rPr>
              <w:tab/>
              <w:t>(22/102)</w:t>
            </w:r>
          </w:p>
        </w:tc>
        <w:tc>
          <w:tcPr>
            <w:tcW w:w="1728" w:type="dxa"/>
            <w:shd w:val="clear" w:color="auto" w:fill="auto"/>
          </w:tcPr>
          <w:p w14:paraId="7B5C5DC0"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32.2</w:t>
            </w:r>
            <w:r w:rsidRPr="00150CDF">
              <w:rPr>
                <w:rFonts w:eastAsia="MS Mincho" w:cs="Arial"/>
                <w:szCs w:val="22"/>
                <w:lang w:val="en-US" w:eastAsia="ja-JP"/>
              </w:rPr>
              <w:tab/>
              <w:t>(37/115)</w:t>
            </w:r>
          </w:p>
        </w:tc>
        <w:tc>
          <w:tcPr>
            <w:tcW w:w="2304" w:type="dxa"/>
            <w:shd w:val="clear" w:color="auto" w:fill="auto"/>
          </w:tcPr>
          <w:p w14:paraId="7B5C5DC1"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-10.6 (-22.1, 1.3)</w:t>
            </w:r>
          </w:p>
        </w:tc>
      </w:tr>
      <w:tr w:rsidR="00150CDF" w:rsidRPr="00150CDF" w14:paraId="7B5C5DC7" w14:textId="77777777" w:rsidTr="00FD0499">
        <w:trPr>
          <w:jc w:val="center"/>
        </w:trPr>
        <w:tc>
          <w:tcPr>
            <w:tcW w:w="3168" w:type="dxa"/>
            <w:shd w:val="clear" w:color="auto" w:fill="auto"/>
          </w:tcPr>
          <w:p w14:paraId="7B5C5DC3" w14:textId="77777777" w:rsidR="00150CDF" w:rsidRPr="00150CDF" w:rsidRDefault="00150CDF" w:rsidP="00150CDF">
            <w:pPr>
              <w:keepLines w:val="0"/>
              <w:tabs>
                <w:tab w:val="clear" w:pos="-720"/>
                <w:tab w:val="clear" w:pos="4513"/>
                <w:tab w:val="clear" w:pos="10348"/>
              </w:tabs>
              <w:suppressAutoHyphens w:val="0"/>
              <w:jc w:val="left"/>
              <w:rPr>
                <w:rFonts w:eastAsia="MS Mincho" w:cs="Arial"/>
                <w:bCs/>
                <w:szCs w:val="22"/>
                <w:lang w:val="en-US" w:eastAsia="ja-JP"/>
              </w:rPr>
            </w:pPr>
            <w:r w:rsidRPr="00150CDF">
              <w:rPr>
                <w:rFonts w:eastAsia="MS Mincho" w:cs="Arial"/>
                <w:bCs/>
                <w:szCs w:val="22"/>
                <w:lang w:val="en-US" w:eastAsia="ja-JP"/>
              </w:rPr>
              <w:t xml:space="preserve">Infected with 027 </w:t>
            </w:r>
            <w:proofErr w:type="spellStart"/>
            <w:r w:rsidRPr="00150CDF">
              <w:rPr>
                <w:rFonts w:eastAsia="MS Mincho" w:cs="Arial"/>
                <w:bCs/>
                <w:szCs w:val="22"/>
                <w:lang w:val="en-US" w:eastAsia="ja-JP"/>
              </w:rPr>
              <w:t>ribotype</w:t>
            </w:r>
            <w:proofErr w:type="spellEnd"/>
          </w:p>
        </w:tc>
        <w:tc>
          <w:tcPr>
            <w:tcW w:w="1728" w:type="dxa"/>
            <w:shd w:val="clear" w:color="auto" w:fill="auto"/>
          </w:tcPr>
          <w:p w14:paraId="7B5C5DC4"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23.6</w:t>
            </w:r>
            <w:r w:rsidRPr="00150CDF">
              <w:rPr>
                <w:rFonts w:eastAsia="MS Mincho" w:cs="Arial"/>
                <w:szCs w:val="22"/>
                <w:lang w:val="en-US" w:eastAsia="ja-JP"/>
              </w:rPr>
              <w:tab/>
              <w:t>(21/89)</w:t>
            </w:r>
          </w:p>
        </w:tc>
        <w:tc>
          <w:tcPr>
            <w:tcW w:w="1728" w:type="dxa"/>
            <w:shd w:val="clear" w:color="auto" w:fill="auto"/>
          </w:tcPr>
          <w:p w14:paraId="7B5C5DC5" w14:textId="77777777" w:rsidR="00150CDF" w:rsidRPr="00150CDF" w:rsidRDefault="00150CDF" w:rsidP="00150CDF">
            <w:pPr>
              <w:keepLines w:val="0"/>
              <w:widowControl w:val="0"/>
              <w:tabs>
                <w:tab w:val="clear" w:pos="-720"/>
                <w:tab w:val="clear" w:pos="4513"/>
                <w:tab w:val="clear" w:pos="10348"/>
                <w:tab w:val="decimal" w:pos="288"/>
                <w:tab w:val="left" w:pos="6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ab/>
              <w:t>34.0</w:t>
            </w:r>
            <w:r w:rsidRPr="00150CDF">
              <w:rPr>
                <w:rFonts w:eastAsia="MS Mincho" w:cs="Arial"/>
                <w:szCs w:val="22"/>
                <w:lang w:val="en-US" w:eastAsia="ja-JP"/>
              </w:rPr>
              <w:tab/>
              <w:t>(34/100)</w:t>
            </w:r>
          </w:p>
        </w:tc>
        <w:tc>
          <w:tcPr>
            <w:tcW w:w="2304" w:type="dxa"/>
            <w:shd w:val="clear" w:color="auto" w:fill="auto"/>
          </w:tcPr>
          <w:p w14:paraId="7B5C5DC6"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right="1"/>
              <w:jc w:val="center"/>
              <w:rPr>
                <w:rFonts w:eastAsia="MS Mincho" w:cs="Arial"/>
                <w:szCs w:val="22"/>
                <w:lang w:val="en-US" w:eastAsia="ja-JP"/>
              </w:rPr>
            </w:pPr>
            <w:r w:rsidRPr="00150CDF">
              <w:rPr>
                <w:rFonts w:eastAsia="MS Mincho" w:cs="Arial"/>
                <w:szCs w:val="22"/>
                <w:lang w:val="en-US" w:eastAsia="ja-JP"/>
              </w:rPr>
              <w:t>-10.4 (-23.0, 2.6)</w:t>
            </w:r>
          </w:p>
        </w:tc>
      </w:tr>
      <w:tr w:rsidR="00150CDF" w:rsidRPr="00150CDF" w14:paraId="7B5C5DD0" w14:textId="77777777" w:rsidTr="00FD0499">
        <w:trPr>
          <w:jc w:val="center"/>
        </w:trPr>
        <w:tc>
          <w:tcPr>
            <w:tcW w:w="8928" w:type="dxa"/>
            <w:gridSpan w:val="4"/>
            <w:shd w:val="clear" w:color="auto" w:fill="auto"/>
          </w:tcPr>
          <w:p w14:paraId="7B5C5DC8" w14:textId="77777777" w:rsidR="00150CDF" w:rsidRPr="003627F2"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160" w:right="1" w:hanging="160"/>
              <w:jc w:val="left"/>
              <w:rPr>
                <w:rFonts w:eastAsia="MS Mincho" w:cs="Arial"/>
                <w:sz w:val="20"/>
                <w:lang w:val="en-US" w:eastAsia="ja-JP"/>
              </w:rPr>
            </w:pPr>
            <w:r w:rsidRPr="003627F2">
              <w:rPr>
                <w:rFonts w:eastAsia="MS Mincho" w:cs="Arial"/>
                <w:sz w:val="20"/>
                <w:lang w:val="en-US" w:eastAsia="ja-JP"/>
              </w:rPr>
              <w:t>n = Number of subjects within subgroup that met the criteria for endpoint</w:t>
            </w:r>
          </w:p>
          <w:p w14:paraId="7B5C5DC9" w14:textId="77777777" w:rsidR="00150CDF" w:rsidRPr="003627F2"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160" w:right="1" w:hanging="160"/>
              <w:jc w:val="left"/>
              <w:rPr>
                <w:rFonts w:eastAsia="MS Mincho" w:cs="Arial"/>
                <w:sz w:val="20"/>
                <w:lang w:val="en-US" w:eastAsia="ja-JP"/>
              </w:rPr>
            </w:pPr>
            <w:r w:rsidRPr="003627F2">
              <w:rPr>
                <w:rFonts w:eastAsia="MS Mincho" w:cs="Arial"/>
                <w:sz w:val="20"/>
                <w:lang w:val="en-US" w:eastAsia="ja-JP"/>
              </w:rPr>
              <w:t>m = Number of subjects within subgroup</w:t>
            </w:r>
          </w:p>
          <w:p w14:paraId="7B5C5DCA" w14:textId="77777777" w:rsidR="00150CDF" w:rsidRPr="003627F2" w:rsidRDefault="00150CDF" w:rsidP="00150CDF">
            <w:pPr>
              <w:keepLines w:val="0"/>
              <w:tabs>
                <w:tab w:val="clear" w:pos="-720"/>
                <w:tab w:val="clear" w:pos="4513"/>
                <w:tab w:val="clear" w:pos="10348"/>
              </w:tabs>
              <w:suppressAutoHyphens w:val="0"/>
              <w:spacing w:before="60"/>
              <w:ind w:left="216" w:hanging="216"/>
              <w:rPr>
                <w:rFonts w:cs="Arial"/>
                <w:sz w:val="20"/>
                <w:lang w:val="en-US" w:eastAsia="en-US"/>
              </w:rPr>
            </w:pPr>
            <w:r w:rsidRPr="003627F2">
              <w:rPr>
                <w:rFonts w:cs="Arial"/>
                <w:b/>
                <w:sz w:val="20"/>
                <w:vertAlign w:val="superscript"/>
                <w:lang w:val="en-US" w:eastAsia="en-US"/>
              </w:rPr>
              <w:t>*</w:t>
            </w:r>
            <w:r w:rsidRPr="003627F2">
              <w:rPr>
                <w:rFonts w:cs="Arial"/>
                <w:b/>
                <w:sz w:val="20"/>
                <w:vertAlign w:val="superscript"/>
                <w:lang w:val="en-US" w:eastAsia="en-US"/>
              </w:rPr>
              <w:tab/>
            </w:r>
            <w:r w:rsidRPr="003627F2">
              <w:rPr>
                <w:rFonts w:cs="Arial"/>
                <w:sz w:val="20"/>
                <w:lang w:val="en-US" w:eastAsia="en-US"/>
              </w:rPr>
              <w:t xml:space="preserve">Full Analysis Set = a subset of all </w:t>
            </w:r>
            <w:proofErr w:type="spellStart"/>
            <w:r w:rsidR="009D4322">
              <w:rPr>
                <w:rFonts w:cs="Arial"/>
                <w:sz w:val="20"/>
                <w:lang w:val="en-US" w:eastAsia="en-US"/>
              </w:rPr>
              <w:t>randomised</w:t>
            </w:r>
            <w:proofErr w:type="spellEnd"/>
            <w:r w:rsidRPr="003627F2">
              <w:rPr>
                <w:rFonts w:cs="Arial"/>
                <w:sz w:val="20"/>
                <w:lang w:val="en-US" w:eastAsia="en-US"/>
              </w:rPr>
              <w:t xml:space="preserve"> subjects with exclusions for: (</w:t>
            </w:r>
            <w:proofErr w:type="spellStart"/>
            <w:r w:rsidRPr="003627F2">
              <w:rPr>
                <w:rFonts w:cs="Arial"/>
                <w:sz w:val="20"/>
                <w:lang w:val="en-US" w:eastAsia="en-US"/>
              </w:rPr>
              <w:t>i</w:t>
            </w:r>
            <w:proofErr w:type="spellEnd"/>
            <w:r w:rsidRPr="003627F2">
              <w:rPr>
                <w:rFonts w:cs="Arial"/>
                <w:sz w:val="20"/>
                <w:lang w:val="en-US" w:eastAsia="en-US"/>
              </w:rPr>
              <w:t xml:space="preserve">) did not receive infusion of study medication, (ii) did not have a positive local stool test for toxigenic </w:t>
            </w:r>
            <w:r w:rsidRPr="003627F2">
              <w:rPr>
                <w:rFonts w:cs="Arial"/>
                <w:i/>
                <w:sz w:val="20"/>
                <w:lang w:val="en-US" w:eastAsia="en-US"/>
              </w:rPr>
              <w:t>C. difficile</w:t>
            </w:r>
            <w:r w:rsidRPr="003627F2">
              <w:rPr>
                <w:rFonts w:cs="Arial"/>
                <w:sz w:val="20"/>
                <w:lang w:val="en-US" w:eastAsia="en-US"/>
              </w:rPr>
              <w:t>; (iii) did not receive protocol defined standard of care therapy within a 1 day window of the infusion</w:t>
            </w:r>
          </w:p>
          <w:p w14:paraId="7B5C5DCB" w14:textId="77777777" w:rsidR="00150CDF" w:rsidRPr="003627F2" w:rsidRDefault="00150CDF" w:rsidP="00150CDF">
            <w:pPr>
              <w:keepLines w:val="0"/>
              <w:tabs>
                <w:tab w:val="clear" w:pos="-720"/>
                <w:tab w:val="clear" w:pos="4513"/>
                <w:tab w:val="clear" w:pos="10348"/>
              </w:tabs>
              <w:suppressAutoHyphens w:val="0"/>
              <w:spacing w:before="60"/>
              <w:ind w:left="216" w:hanging="216"/>
              <w:rPr>
                <w:rFonts w:cs="Arial"/>
                <w:sz w:val="20"/>
                <w:lang w:val="en-US" w:eastAsia="en-US"/>
              </w:rPr>
            </w:pPr>
            <w:r w:rsidRPr="003627F2">
              <w:rPr>
                <w:rFonts w:cs="Arial"/>
                <w:b/>
                <w:bCs/>
                <w:sz w:val="20"/>
                <w:vertAlign w:val="superscript"/>
                <w:lang w:val="en-US" w:eastAsia="en-US"/>
              </w:rPr>
              <w:t>†</w:t>
            </w:r>
            <w:r w:rsidRPr="003627F2">
              <w:rPr>
                <w:rFonts w:cs="Arial"/>
                <w:sz w:val="20"/>
                <w:lang w:val="en-US" w:eastAsia="en-US"/>
              </w:rPr>
              <w:tab/>
            </w:r>
            <w:proofErr w:type="spellStart"/>
            <w:r w:rsidRPr="003627F2">
              <w:rPr>
                <w:rFonts w:cs="Arial"/>
                <w:sz w:val="20"/>
                <w:lang w:val="en-US" w:eastAsia="en-US"/>
              </w:rPr>
              <w:t>SoC</w:t>
            </w:r>
            <w:proofErr w:type="spellEnd"/>
            <w:r w:rsidRPr="003627F2">
              <w:rPr>
                <w:rFonts w:cs="Arial"/>
                <w:sz w:val="20"/>
                <w:lang w:val="en-US" w:eastAsia="en-US"/>
              </w:rPr>
              <w:t xml:space="preserve"> = Standard of Care antibiotic (metronidazole or vancomycin or </w:t>
            </w:r>
            <w:proofErr w:type="spellStart"/>
            <w:r w:rsidRPr="003627F2">
              <w:rPr>
                <w:rFonts w:cs="Arial"/>
                <w:sz w:val="20"/>
                <w:lang w:val="en-US" w:eastAsia="en-US"/>
              </w:rPr>
              <w:t>fidaxomicin</w:t>
            </w:r>
            <w:proofErr w:type="spellEnd"/>
            <w:r w:rsidRPr="003627F2">
              <w:rPr>
                <w:rFonts w:cs="Arial"/>
                <w:sz w:val="20"/>
                <w:lang w:val="en-US" w:eastAsia="en-US"/>
              </w:rPr>
              <w:t>)</w:t>
            </w:r>
          </w:p>
          <w:p w14:paraId="7B5C5DCC" w14:textId="77777777" w:rsidR="00150CDF" w:rsidRPr="003627F2"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216" w:right="1" w:hanging="216"/>
              <w:jc w:val="left"/>
              <w:rPr>
                <w:rFonts w:eastAsia="MS Mincho" w:cs="Arial"/>
                <w:sz w:val="20"/>
                <w:lang w:val="en-US" w:eastAsia="ja-JP"/>
              </w:rPr>
            </w:pPr>
            <w:r w:rsidRPr="003627F2">
              <w:rPr>
                <w:rFonts w:eastAsia="MS Mincho" w:cs="Arial"/>
                <w:b/>
                <w:sz w:val="20"/>
                <w:vertAlign w:val="superscript"/>
                <w:lang w:val="en-US" w:eastAsia="ja-JP"/>
              </w:rPr>
              <w:t>‡</w:t>
            </w:r>
            <w:r w:rsidRPr="003627F2">
              <w:rPr>
                <w:rFonts w:eastAsia="MS Mincho" w:cs="Arial"/>
                <w:b/>
                <w:sz w:val="20"/>
                <w:vertAlign w:val="superscript"/>
                <w:lang w:val="en-US" w:eastAsia="ja-JP"/>
              </w:rPr>
              <w:tab/>
            </w:r>
            <w:r w:rsidRPr="003627F2">
              <w:rPr>
                <w:rFonts w:eastAsia="MS Mincho" w:cs="Arial"/>
                <w:sz w:val="20"/>
                <w:lang w:val="en-US" w:eastAsia="ja-JP"/>
              </w:rPr>
              <w:t xml:space="preserve">Based on the </w:t>
            </w:r>
            <w:proofErr w:type="spellStart"/>
            <w:r w:rsidRPr="003627F2">
              <w:rPr>
                <w:rFonts w:eastAsia="MS Mincho" w:cs="Arial"/>
                <w:sz w:val="20"/>
                <w:lang w:val="en-US" w:eastAsia="ja-JP"/>
              </w:rPr>
              <w:t>Miettinen</w:t>
            </w:r>
            <w:proofErr w:type="spellEnd"/>
            <w:r w:rsidRPr="003627F2">
              <w:rPr>
                <w:rFonts w:eastAsia="MS Mincho" w:cs="Arial"/>
                <w:sz w:val="20"/>
                <w:lang w:val="en-US" w:eastAsia="ja-JP"/>
              </w:rPr>
              <w:t xml:space="preserve"> and </w:t>
            </w:r>
            <w:proofErr w:type="spellStart"/>
            <w:r w:rsidRPr="003627F2">
              <w:rPr>
                <w:rFonts w:eastAsia="MS Mincho" w:cs="Arial"/>
                <w:sz w:val="20"/>
                <w:lang w:val="en-US" w:eastAsia="ja-JP"/>
              </w:rPr>
              <w:t>Nurminen</w:t>
            </w:r>
            <w:proofErr w:type="spellEnd"/>
            <w:r w:rsidRPr="003627F2">
              <w:rPr>
                <w:rFonts w:eastAsia="MS Mincho" w:cs="Arial"/>
                <w:sz w:val="20"/>
                <w:lang w:val="en-US" w:eastAsia="ja-JP"/>
              </w:rPr>
              <w:t xml:space="preserve"> method without stratification</w:t>
            </w:r>
          </w:p>
          <w:p w14:paraId="7B5C5DCD" w14:textId="77777777" w:rsidR="00150CDF" w:rsidRPr="003627F2"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216" w:right="1" w:hanging="216"/>
              <w:jc w:val="left"/>
              <w:rPr>
                <w:rFonts w:eastAsia="MS Mincho" w:cs="Arial"/>
                <w:sz w:val="20"/>
                <w:lang w:val="en-US" w:eastAsia="ja-JP"/>
              </w:rPr>
            </w:pPr>
            <w:r w:rsidRPr="003627F2">
              <w:rPr>
                <w:rFonts w:eastAsia="MS Mincho" w:cs="Arial"/>
                <w:b/>
                <w:bCs/>
                <w:sz w:val="20"/>
                <w:vertAlign w:val="superscript"/>
                <w:lang w:val="en-US" w:eastAsia="ja-JP"/>
              </w:rPr>
              <w:t>§</w:t>
            </w:r>
            <w:r w:rsidRPr="003627F2">
              <w:rPr>
                <w:rFonts w:eastAsia="MS Mincho" w:cs="Arial"/>
                <w:b/>
                <w:sz w:val="20"/>
                <w:vertAlign w:val="superscript"/>
                <w:lang w:val="en-US" w:eastAsia="ja-JP"/>
              </w:rPr>
              <w:tab/>
            </w:r>
            <w:r w:rsidRPr="003627F2">
              <w:rPr>
                <w:rFonts w:eastAsia="MS Mincho" w:cs="Arial"/>
                <w:sz w:val="20"/>
                <w:lang w:val="en-US" w:eastAsia="ja-JP"/>
              </w:rPr>
              <w:t xml:space="preserve"> Based on medical conditions or medications received that may result in immunosuppression</w:t>
            </w:r>
          </w:p>
          <w:p w14:paraId="7B5C5DCE" w14:textId="77777777" w:rsidR="00150CDF" w:rsidRPr="003627F2"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216" w:right="1" w:hanging="216"/>
              <w:jc w:val="left"/>
              <w:rPr>
                <w:rFonts w:eastAsia="MS Mincho" w:cs="Arial"/>
                <w:sz w:val="20"/>
                <w:lang w:val="en-US" w:eastAsia="ja-JP"/>
              </w:rPr>
            </w:pPr>
            <w:r w:rsidRPr="003627F2">
              <w:rPr>
                <w:rFonts w:eastAsia="MS Mincho" w:cs="Arial"/>
                <w:b/>
                <w:sz w:val="20"/>
                <w:vertAlign w:val="superscript"/>
                <w:lang w:val="en-US" w:eastAsia="ja-JP"/>
              </w:rPr>
              <w:t>¶</w:t>
            </w:r>
            <w:r w:rsidRPr="003627F2">
              <w:rPr>
                <w:rFonts w:eastAsia="MS Mincho" w:cs="Arial"/>
                <w:b/>
                <w:sz w:val="20"/>
                <w:vertAlign w:val="superscript"/>
                <w:lang w:val="en-US" w:eastAsia="ja-JP"/>
              </w:rPr>
              <w:tab/>
            </w:r>
            <w:r w:rsidRPr="003627F2">
              <w:rPr>
                <w:rFonts w:eastAsia="MS Mincho" w:cs="Arial"/>
                <w:sz w:val="20"/>
                <w:lang w:val="en-US" w:eastAsia="ja-JP"/>
              </w:rPr>
              <w:t xml:space="preserve"> </w:t>
            </w:r>
            <w:proofErr w:type="spellStart"/>
            <w:r w:rsidRPr="003627F2">
              <w:rPr>
                <w:rFonts w:eastAsia="MS Mincho" w:cs="Arial"/>
                <w:sz w:val="20"/>
                <w:lang w:val="en-US" w:eastAsia="ja-JP"/>
              </w:rPr>
              <w:t>Zar</w:t>
            </w:r>
            <w:proofErr w:type="spellEnd"/>
            <w:r w:rsidRPr="003627F2">
              <w:rPr>
                <w:rFonts w:eastAsia="MS Mincho" w:cs="Arial"/>
                <w:sz w:val="20"/>
                <w:lang w:val="en-US" w:eastAsia="ja-JP"/>
              </w:rPr>
              <w:t xml:space="preserve"> score ≥2</w:t>
            </w:r>
          </w:p>
          <w:p w14:paraId="7B5C5DCF"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60"/>
              <w:ind w:left="216" w:right="1" w:hanging="216"/>
              <w:jc w:val="left"/>
              <w:rPr>
                <w:rFonts w:eastAsia="MS Mincho" w:cs="Arial"/>
                <w:szCs w:val="22"/>
                <w:lang w:val="en-US" w:eastAsia="ja-JP"/>
              </w:rPr>
            </w:pPr>
            <w:r w:rsidRPr="003627F2">
              <w:rPr>
                <w:rFonts w:eastAsia="MS Mincho" w:cs="Arial"/>
                <w:b/>
                <w:bCs/>
                <w:sz w:val="20"/>
                <w:vertAlign w:val="superscript"/>
                <w:lang w:val="en-US" w:eastAsia="ja-JP"/>
              </w:rPr>
              <w:t>#</w:t>
            </w:r>
            <w:r w:rsidRPr="003627F2">
              <w:rPr>
                <w:rFonts w:eastAsia="MS Mincho" w:cs="Arial"/>
                <w:sz w:val="20"/>
                <w:vertAlign w:val="superscript"/>
                <w:lang w:val="en-US" w:eastAsia="ja-JP"/>
              </w:rPr>
              <w:tab/>
            </w:r>
            <w:r w:rsidRPr="003627F2">
              <w:rPr>
                <w:rFonts w:eastAsia="MS Mincho" w:cs="Arial"/>
                <w:sz w:val="20"/>
                <w:lang w:val="en-US" w:eastAsia="ja-JP"/>
              </w:rPr>
              <w:t xml:space="preserve"> </w:t>
            </w:r>
            <w:proofErr w:type="spellStart"/>
            <w:r w:rsidRPr="003627F2">
              <w:rPr>
                <w:rFonts w:eastAsia="MS Mincho" w:cs="Arial"/>
                <w:sz w:val="20"/>
                <w:lang w:val="en-US" w:eastAsia="ja-JP"/>
              </w:rPr>
              <w:t>Hypervirulent</w:t>
            </w:r>
            <w:proofErr w:type="spellEnd"/>
            <w:r w:rsidRPr="003627F2">
              <w:rPr>
                <w:rFonts w:eastAsia="MS Mincho" w:cs="Arial"/>
                <w:sz w:val="20"/>
                <w:lang w:val="en-US" w:eastAsia="ja-JP"/>
              </w:rPr>
              <w:t xml:space="preserve"> strain included the following: 027, 078, or 244 </w:t>
            </w:r>
            <w:proofErr w:type="spellStart"/>
            <w:r w:rsidRPr="003627F2">
              <w:rPr>
                <w:rFonts w:eastAsia="MS Mincho" w:cs="Arial"/>
                <w:sz w:val="20"/>
                <w:lang w:val="en-US" w:eastAsia="ja-JP"/>
              </w:rPr>
              <w:t>ribotypes</w:t>
            </w:r>
            <w:proofErr w:type="spellEnd"/>
          </w:p>
        </w:tc>
      </w:tr>
    </w:tbl>
    <w:p w14:paraId="7B5C5DD1" w14:textId="77777777" w:rsidR="00150CDF" w:rsidRPr="00150CDF" w:rsidRDefault="00150CDF" w:rsidP="00150CDF">
      <w:pPr>
        <w:keepLines w:val="0"/>
        <w:widowControl w:val="0"/>
        <w:tabs>
          <w:tab w:val="clear" w:pos="-720"/>
          <w:tab w:val="clear" w:pos="4513"/>
          <w:tab w:val="clear" w:pos="10348"/>
        </w:tabs>
        <w:suppressAutoHyphens w:val="0"/>
        <w:autoSpaceDE w:val="0"/>
        <w:autoSpaceDN w:val="0"/>
        <w:adjustRightInd w:val="0"/>
        <w:spacing w:before="30" w:after="30"/>
        <w:ind w:left="160" w:right="1" w:hanging="160"/>
        <w:jc w:val="left"/>
        <w:rPr>
          <w:rFonts w:eastAsia="MS Mincho" w:cs="Arial"/>
          <w:szCs w:val="22"/>
          <w:lang w:val="en-US" w:eastAsia="ja-JP"/>
        </w:rPr>
      </w:pPr>
    </w:p>
    <w:p w14:paraId="7B5C5DD2" w14:textId="77777777" w:rsidR="00150CDF" w:rsidRPr="007F53BD" w:rsidRDefault="00150CDF" w:rsidP="00150CDF">
      <w:pPr>
        <w:keepLines w:val="0"/>
        <w:tabs>
          <w:tab w:val="clear" w:pos="-720"/>
          <w:tab w:val="clear" w:pos="4513"/>
          <w:tab w:val="clear" w:pos="10348"/>
        </w:tabs>
        <w:suppressAutoHyphens w:val="0"/>
        <w:rPr>
          <w:rFonts w:eastAsia="MS Mincho" w:cs="Arial"/>
          <w:color w:val="3333FF"/>
          <w:szCs w:val="22"/>
          <w:lang w:val="en-US" w:eastAsia="ja-JP"/>
        </w:rPr>
      </w:pPr>
      <w:r w:rsidRPr="00150CDF">
        <w:rPr>
          <w:rFonts w:eastAsia="MS Mincho" w:cs="Arial"/>
          <w:szCs w:val="22"/>
          <w:lang w:val="en-US" w:eastAsia="ja-JP"/>
        </w:rPr>
        <w:t>A secondary endpoint was global cure, defined as clinical cure of the presenting CDI episode and no CDI recurrence through 12 weeks after infusion.</w:t>
      </w:r>
      <w:r w:rsidR="007F53BD" w:rsidRPr="007F53BD">
        <w:rPr>
          <w:rFonts w:eastAsia="MS Mincho" w:cs="Arial"/>
          <w:color w:val="3333FF"/>
          <w:szCs w:val="22"/>
          <w:lang w:val="en-US" w:eastAsia="ja-JP"/>
        </w:rPr>
        <w:t xml:space="preserve"> </w:t>
      </w:r>
      <w:r w:rsidR="007F53BD">
        <w:rPr>
          <w:rFonts w:eastAsia="MS Mincho" w:cs="Arial"/>
          <w:szCs w:val="22"/>
          <w:lang w:val="en-US" w:eastAsia="ja-JP"/>
        </w:rPr>
        <w:t xml:space="preserve"> </w:t>
      </w:r>
      <w:r w:rsidRPr="00150CDF">
        <w:rPr>
          <w:rFonts w:eastAsia="MS Mincho" w:cs="Arial"/>
          <w:szCs w:val="22"/>
          <w:lang w:val="en-US" w:eastAsia="ja-JP"/>
        </w:rPr>
        <w:t xml:space="preserve">In the combined data across MODIFY I and MODIFY II, </w:t>
      </w:r>
      <w:r w:rsidR="00AC7B27">
        <w:rPr>
          <w:rFonts w:eastAsia="MS Mincho" w:cs="Arial"/>
          <w:szCs w:val="22"/>
          <w:lang w:val="en-US" w:eastAsia="ja-JP"/>
        </w:rPr>
        <w:t>ZINPLAVA</w:t>
      </w:r>
      <w:r w:rsidRPr="00150CDF">
        <w:rPr>
          <w:rFonts w:eastAsia="MS Mincho" w:cs="Arial"/>
          <w:szCs w:val="22"/>
          <w:lang w:val="en-US" w:eastAsia="ja-JP"/>
        </w:rPr>
        <w:t xml:space="preserve"> was superior to placebo in achieving global cure (64% for </w:t>
      </w:r>
      <w:r w:rsidR="00AC7B27">
        <w:rPr>
          <w:rFonts w:eastAsia="MS Mincho" w:cs="Arial"/>
          <w:szCs w:val="22"/>
          <w:lang w:val="en-US" w:eastAsia="ja-JP"/>
        </w:rPr>
        <w:t>ZINPLAVA</w:t>
      </w:r>
      <w:r w:rsidRPr="00150CDF">
        <w:rPr>
          <w:rFonts w:eastAsia="MS Mincho" w:cs="Arial"/>
          <w:szCs w:val="22"/>
          <w:lang w:val="en-US" w:eastAsia="ja-JP"/>
        </w:rPr>
        <w:t xml:space="preserve"> vs. 54% for placebo, one-sided p &lt;0.0001).</w:t>
      </w:r>
      <w:r w:rsidR="007F53BD">
        <w:rPr>
          <w:rFonts w:eastAsia="MS Mincho" w:cs="Arial"/>
          <w:szCs w:val="22"/>
          <w:lang w:val="en-US" w:eastAsia="ja-JP"/>
        </w:rPr>
        <w:t xml:space="preserve"> </w:t>
      </w:r>
    </w:p>
    <w:p w14:paraId="7B5C5DD3" w14:textId="77777777" w:rsidR="00150CDF" w:rsidRDefault="00150CDF" w:rsidP="00921EAB">
      <w:pPr>
        <w:pStyle w:val="BodyText1"/>
        <w:ind w:firstLine="0"/>
        <w:jc w:val="both"/>
        <w:rPr>
          <w:rFonts w:ascii="Arial" w:hAnsi="Arial" w:cs="Arial"/>
          <w:b/>
          <w:sz w:val="22"/>
          <w:szCs w:val="22"/>
        </w:rPr>
      </w:pPr>
    </w:p>
    <w:p w14:paraId="7B5C5DD4" w14:textId="77777777" w:rsidR="003A6F1C" w:rsidRPr="00343CB7" w:rsidRDefault="003A6F1C" w:rsidP="007B396B">
      <w:pPr>
        <w:pStyle w:val="Heading1"/>
      </w:pPr>
      <w:r w:rsidRPr="00343CB7">
        <w:t>INDICATIONS</w:t>
      </w:r>
    </w:p>
    <w:p w14:paraId="7B5C5DD5" w14:textId="178B51F6" w:rsidR="00150CDF" w:rsidRDefault="00AC7B27" w:rsidP="004543F0">
      <w:pPr>
        <w:keepLines w:val="0"/>
        <w:tabs>
          <w:tab w:val="clear" w:pos="-720"/>
          <w:tab w:val="clear" w:pos="4513"/>
          <w:tab w:val="clear" w:pos="10348"/>
        </w:tabs>
        <w:suppressAutoHyphens w:val="0"/>
        <w:rPr>
          <w:rFonts w:eastAsia="MS Mincho" w:cs="Arial"/>
          <w:szCs w:val="22"/>
          <w:lang w:val="en-US" w:eastAsia="ja-JP"/>
        </w:rPr>
      </w:pPr>
      <w:r>
        <w:rPr>
          <w:rFonts w:eastAsia="MS Mincho" w:cs="Arial"/>
          <w:szCs w:val="22"/>
          <w:lang w:val="en-US" w:eastAsia="ja-JP"/>
        </w:rPr>
        <w:t>ZINPLAVA</w:t>
      </w:r>
      <w:r w:rsidR="00E431DF" w:rsidRPr="00E431DF">
        <w:rPr>
          <w:rFonts w:eastAsia="MS Mincho" w:cs="Arial"/>
          <w:szCs w:val="22"/>
          <w:vertAlign w:val="superscript"/>
          <w:lang w:val="en-US" w:eastAsia="ja-JP"/>
        </w:rPr>
        <w:t>®</w:t>
      </w:r>
      <w:r w:rsidR="00150CDF" w:rsidRPr="00150CDF">
        <w:rPr>
          <w:rFonts w:eastAsia="MS Mincho" w:cs="Arial"/>
          <w:szCs w:val="22"/>
          <w:lang w:val="en-US" w:eastAsia="ja-JP"/>
        </w:rPr>
        <w:t xml:space="preserve"> (</w:t>
      </w:r>
      <w:proofErr w:type="spellStart"/>
      <w:r w:rsidR="00150CDF" w:rsidRPr="00150CDF">
        <w:rPr>
          <w:rFonts w:eastAsia="MS Mincho" w:cs="Arial"/>
          <w:szCs w:val="22"/>
          <w:lang w:val="en-US" w:eastAsia="ja-JP"/>
        </w:rPr>
        <w:t>bezlotoxumab</w:t>
      </w:r>
      <w:proofErr w:type="spellEnd"/>
      <w:r w:rsidR="00150CDF" w:rsidRPr="00150CDF">
        <w:rPr>
          <w:rFonts w:eastAsia="MS Mincho" w:cs="Arial"/>
          <w:szCs w:val="22"/>
          <w:lang w:val="en-US" w:eastAsia="ja-JP"/>
        </w:rPr>
        <w:t xml:space="preserve">) is indicated for the prevention of </w:t>
      </w:r>
      <w:r w:rsidR="00F22F90">
        <w:rPr>
          <w:rFonts w:eastAsia="MS Mincho" w:cs="Arial"/>
          <w:szCs w:val="22"/>
          <w:lang w:val="en-US" w:eastAsia="ja-JP"/>
        </w:rPr>
        <w:t xml:space="preserve">recurrence of </w:t>
      </w:r>
      <w:r w:rsidR="00150CDF" w:rsidRPr="00150CDF">
        <w:rPr>
          <w:rFonts w:eastAsia="MS Mincho" w:cs="Arial"/>
          <w:i/>
          <w:iCs/>
          <w:szCs w:val="22"/>
          <w:lang w:val="en-US" w:eastAsia="ja-JP"/>
        </w:rPr>
        <w:t xml:space="preserve">Clostridium difficile </w:t>
      </w:r>
      <w:r w:rsidR="00150CDF" w:rsidRPr="00150CDF">
        <w:rPr>
          <w:rFonts w:eastAsia="MS Mincho" w:cs="Arial"/>
          <w:szCs w:val="22"/>
          <w:lang w:val="en-US" w:eastAsia="ja-JP"/>
        </w:rPr>
        <w:t xml:space="preserve">infection (CDI) </w:t>
      </w:r>
      <w:r w:rsidR="00F22F90">
        <w:rPr>
          <w:rFonts w:eastAsia="MS Mincho" w:cs="Arial"/>
          <w:szCs w:val="22"/>
          <w:lang w:val="en-US" w:eastAsia="ja-JP"/>
        </w:rPr>
        <w:t>in adult</w:t>
      </w:r>
      <w:r w:rsidR="00BC1CF7">
        <w:rPr>
          <w:rFonts w:eastAsia="MS Mincho" w:cs="Arial"/>
          <w:szCs w:val="22"/>
          <w:lang w:val="en-US" w:eastAsia="ja-JP"/>
        </w:rPr>
        <w:t xml:space="preserve"> patients 18 years or older</w:t>
      </w:r>
      <w:r w:rsidR="00F22F90">
        <w:rPr>
          <w:rFonts w:eastAsia="MS Mincho" w:cs="Arial"/>
          <w:szCs w:val="22"/>
          <w:lang w:val="en-US" w:eastAsia="ja-JP"/>
        </w:rPr>
        <w:t xml:space="preserve"> at high risk </w:t>
      </w:r>
      <w:r w:rsidR="005E4A2C">
        <w:rPr>
          <w:rFonts w:eastAsia="MS Mincho" w:cs="Arial"/>
          <w:szCs w:val="22"/>
          <w:lang w:val="en-US" w:eastAsia="ja-JP"/>
        </w:rPr>
        <w:t>for</w:t>
      </w:r>
      <w:r w:rsidR="00F22F90">
        <w:rPr>
          <w:rFonts w:eastAsia="MS Mincho" w:cs="Arial"/>
          <w:szCs w:val="22"/>
          <w:lang w:val="en-US" w:eastAsia="ja-JP"/>
        </w:rPr>
        <w:t xml:space="preserve"> recurrence of CDI </w:t>
      </w:r>
      <w:r w:rsidR="00BC1CF7">
        <w:rPr>
          <w:rFonts w:eastAsia="MS Mincho" w:cs="Arial"/>
          <w:szCs w:val="22"/>
          <w:lang w:val="en-US" w:eastAsia="ja-JP"/>
        </w:rPr>
        <w:t xml:space="preserve">who are receiving antibiotic therapy for CDI </w:t>
      </w:r>
      <w:r w:rsidR="00F22F90">
        <w:rPr>
          <w:rFonts w:eastAsia="MS Mincho" w:cs="Arial"/>
          <w:szCs w:val="22"/>
          <w:lang w:val="en-US" w:eastAsia="ja-JP"/>
        </w:rPr>
        <w:t>(see CLINICAL TRIALS).</w:t>
      </w:r>
      <w:r w:rsidR="004D2799">
        <w:rPr>
          <w:rFonts w:eastAsia="MS Mincho" w:cs="Arial"/>
          <w:szCs w:val="22"/>
          <w:lang w:val="en-US" w:eastAsia="ja-JP"/>
        </w:rPr>
        <w:t xml:space="preserve"> </w:t>
      </w:r>
    </w:p>
    <w:p w14:paraId="2285640C" w14:textId="2EB81210" w:rsidR="00FD0499" w:rsidRDefault="00FD0499" w:rsidP="004543F0">
      <w:pPr>
        <w:keepLines w:val="0"/>
        <w:tabs>
          <w:tab w:val="clear" w:pos="-720"/>
          <w:tab w:val="clear" w:pos="4513"/>
          <w:tab w:val="clear" w:pos="10348"/>
        </w:tabs>
        <w:suppressAutoHyphens w:val="0"/>
        <w:rPr>
          <w:rFonts w:eastAsia="MS Mincho" w:cs="Arial"/>
          <w:color w:val="3333FF"/>
          <w:szCs w:val="22"/>
          <w:lang w:val="en-US" w:eastAsia="ja-JP"/>
        </w:rPr>
      </w:pPr>
    </w:p>
    <w:p w14:paraId="247DA932" w14:textId="264960AA" w:rsidR="00FD0499" w:rsidRDefault="00FD0499" w:rsidP="004543F0">
      <w:pPr>
        <w:keepLines w:val="0"/>
        <w:tabs>
          <w:tab w:val="clear" w:pos="-720"/>
          <w:tab w:val="clear" w:pos="4513"/>
          <w:tab w:val="clear" w:pos="10348"/>
        </w:tabs>
        <w:suppressAutoHyphens w:val="0"/>
        <w:rPr>
          <w:rFonts w:eastAsia="MS Mincho" w:cs="Arial"/>
          <w:szCs w:val="22"/>
          <w:lang w:val="en-US" w:eastAsia="ja-JP"/>
        </w:rPr>
      </w:pPr>
      <w:r w:rsidRPr="00C7770F">
        <w:rPr>
          <w:rFonts w:eastAsia="MS Mincho" w:cs="Arial"/>
          <w:szCs w:val="22"/>
          <w:lang w:val="en-US" w:eastAsia="ja-JP"/>
        </w:rPr>
        <w:t>ZINPLAVA is not indicated for the treatment of CDI.  ZINPLAVA is not an antibacterial drug.  ZINPLAVA should only be used in conjunction with antibacterial drug treatment of CDI.</w:t>
      </w:r>
    </w:p>
    <w:p w14:paraId="76390222" w14:textId="1D6A034D" w:rsidR="00D00776" w:rsidRDefault="00D00776" w:rsidP="004543F0">
      <w:pPr>
        <w:keepLines w:val="0"/>
        <w:tabs>
          <w:tab w:val="clear" w:pos="-720"/>
          <w:tab w:val="clear" w:pos="4513"/>
          <w:tab w:val="clear" w:pos="10348"/>
        </w:tabs>
        <w:suppressAutoHyphens w:val="0"/>
        <w:rPr>
          <w:rFonts w:eastAsia="MS Mincho" w:cs="Arial"/>
          <w:szCs w:val="22"/>
          <w:lang w:val="en-US" w:eastAsia="ja-JP"/>
        </w:rPr>
      </w:pPr>
    </w:p>
    <w:p w14:paraId="79BEC33B" w14:textId="77639B38" w:rsidR="00FD0499" w:rsidRDefault="00D00776" w:rsidP="004543F0">
      <w:pPr>
        <w:keepLines w:val="0"/>
        <w:tabs>
          <w:tab w:val="clear" w:pos="-720"/>
          <w:tab w:val="clear" w:pos="4513"/>
          <w:tab w:val="clear" w:pos="10348"/>
        </w:tabs>
        <w:suppressAutoHyphens w:val="0"/>
        <w:rPr>
          <w:rFonts w:eastAsia="MS Mincho" w:cs="Arial"/>
          <w:szCs w:val="22"/>
          <w:lang w:val="en-US" w:eastAsia="ja-JP"/>
        </w:rPr>
      </w:pPr>
      <w:r>
        <w:rPr>
          <w:rFonts w:eastAsia="MS Mincho" w:cs="Arial"/>
          <w:szCs w:val="22"/>
          <w:lang w:val="en-US" w:eastAsia="ja-JP"/>
        </w:rPr>
        <w:t>The safety and efficacy of repeat administration of ZINPLAVA in patients with CDI have not been studied.</w:t>
      </w:r>
    </w:p>
    <w:p w14:paraId="625F26E2" w14:textId="77777777" w:rsidR="004543F0" w:rsidRPr="00C7770F" w:rsidRDefault="004543F0" w:rsidP="00150CDF">
      <w:pPr>
        <w:keepLines w:val="0"/>
        <w:tabs>
          <w:tab w:val="clear" w:pos="-720"/>
          <w:tab w:val="clear" w:pos="4513"/>
          <w:tab w:val="clear" w:pos="10348"/>
        </w:tabs>
        <w:suppressAutoHyphens w:val="0"/>
        <w:jc w:val="left"/>
        <w:rPr>
          <w:rFonts w:eastAsia="MS Mincho" w:cs="Arial"/>
          <w:szCs w:val="22"/>
          <w:lang w:val="en-US" w:eastAsia="ja-JP"/>
        </w:rPr>
      </w:pPr>
    </w:p>
    <w:p w14:paraId="7B5C5DD6" w14:textId="11541966" w:rsidR="003A6F1C" w:rsidRPr="00AE1EF9" w:rsidRDefault="003A6F1C" w:rsidP="007B396B">
      <w:pPr>
        <w:pStyle w:val="Heading1"/>
        <w:rPr>
          <w:sz w:val="22"/>
        </w:rPr>
      </w:pPr>
      <w:r w:rsidRPr="00AE1EF9">
        <w:t>CONTRAINDICATIONS</w:t>
      </w:r>
    </w:p>
    <w:p w14:paraId="7B5C5DD7" w14:textId="723B15D5" w:rsidR="00150CDF" w:rsidRDefault="00AC7B27" w:rsidP="00150CDF">
      <w:pPr>
        <w:keepLines w:val="0"/>
        <w:tabs>
          <w:tab w:val="clear" w:pos="-720"/>
          <w:tab w:val="clear" w:pos="4513"/>
          <w:tab w:val="clear" w:pos="10348"/>
        </w:tabs>
        <w:suppressAutoHyphens w:val="0"/>
        <w:rPr>
          <w:rFonts w:eastAsia="MS Mincho" w:cs="Arial"/>
          <w:szCs w:val="22"/>
          <w:lang w:val="en-US" w:eastAsia="ja-JP"/>
        </w:rPr>
      </w:pPr>
      <w:r>
        <w:rPr>
          <w:rFonts w:eastAsia="MS Mincho" w:cs="Arial"/>
          <w:szCs w:val="22"/>
          <w:lang w:val="en-US" w:eastAsia="ja-JP"/>
        </w:rPr>
        <w:t>ZINPLAVA</w:t>
      </w:r>
      <w:r w:rsidR="00150CDF" w:rsidRPr="00150CDF">
        <w:rPr>
          <w:rFonts w:eastAsia="MS Mincho" w:cs="Arial"/>
          <w:szCs w:val="22"/>
          <w:lang w:val="en-US" w:eastAsia="ja-JP"/>
        </w:rPr>
        <w:t xml:space="preserve"> is contraindicated in patients with hypersensitivity to </w:t>
      </w:r>
      <w:proofErr w:type="spellStart"/>
      <w:r w:rsidR="00150CDF" w:rsidRPr="00150CDF">
        <w:rPr>
          <w:rFonts w:eastAsia="MS Mincho" w:cs="Arial"/>
          <w:szCs w:val="22"/>
          <w:lang w:val="en-US" w:eastAsia="ja-JP"/>
        </w:rPr>
        <w:t>bezlotoxumab</w:t>
      </w:r>
      <w:proofErr w:type="spellEnd"/>
      <w:r w:rsidR="00150CDF" w:rsidRPr="00150CDF">
        <w:rPr>
          <w:rFonts w:eastAsia="MS Mincho" w:cs="Arial"/>
          <w:szCs w:val="22"/>
          <w:lang w:val="en-US" w:eastAsia="ja-JP"/>
        </w:rPr>
        <w:t xml:space="preserve"> or </w:t>
      </w:r>
      <w:r w:rsidR="005F3555">
        <w:rPr>
          <w:rFonts w:eastAsia="MS Mincho" w:cs="Arial"/>
          <w:szCs w:val="22"/>
          <w:lang w:val="en-US" w:eastAsia="ja-JP"/>
        </w:rPr>
        <w:t xml:space="preserve">to </w:t>
      </w:r>
      <w:r w:rsidR="00150CDF" w:rsidRPr="00150CDF">
        <w:rPr>
          <w:rFonts w:eastAsia="MS Mincho" w:cs="Arial"/>
          <w:szCs w:val="22"/>
          <w:lang w:val="en-US" w:eastAsia="ja-JP"/>
        </w:rPr>
        <w:t>any of the inactive ingredients.</w:t>
      </w:r>
      <w:r w:rsidR="004D2799">
        <w:rPr>
          <w:rFonts w:eastAsia="MS Mincho" w:cs="Arial"/>
          <w:szCs w:val="22"/>
          <w:lang w:val="en-US" w:eastAsia="ja-JP"/>
        </w:rPr>
        <w:t xml:space="preserve"> </w:t>
      </w:r>
    </w:p>
    <w:p w14:paraId="7B5C5DD8" w14:textId="5E8D5E81" w:rsidR="003A6F1C" w:rsidRPr="00431AB6" w:rsidRDefault="003A6F1C" w:rsidP="007B396B">
      <w:pPr>
        <w:pStyle w:val="Heading1"/>
      </w:pPr>
      <w:r w:rsidRPr="00431AB6">
        <w:lastRenderedPageBreak/>
        <w:t>PRECAUTIONS</w:t>
      </w:r>
    </w:p>
    <w:p w14:paraId="375B5BFF" w14:textId="77777777" w:rsidR="00D71C81" w:rsidRDefault="00D71C81" w:rsidP="00D71C81">
      <w:pPr>
        <w:pStyle w:val="Heading2"/>
        <w:rPr>
          <w:rFonts w:ascii="Arial" w:hAnsi="Arial" w:cs="Arial"/>
        </w:rPr>
      </w:pPr>
      <w:r>
        <w:rPr>
          <w:rFonts w:ascii="Arial" w:hAnsi="Arial" w:cs="Arial"/>
        </w:rPr>
        <w:t>Heart Failure</w:t>
      </w:r>
    </w:p>
    <w:p w14:paraId="46E51EF3" w14:textId="704C0DCF" w:rsidR="00D71C81" w:rsidRDefault="00D71C81" w:rsidP="00D71C81">
      <w:pPr>
        <w:pStyle w:val="Heading2"/>
        <w:rPr>
          <w:rFonts w:ascii="Arial" w:hAnsi="Arial" w:cs="Arial"/>
          <w:b w:val="0"/>
          <w:i w:val="0"/>
        </w:rPr>
      </w:pPr>
      <w:r>
        <w:rPr>
          <w:rFonts w:ascii="Arial" w:hAnsi="Arial" w:cs="Arial"/>
          <w:b w:val="0"/>
          <w:i w:val="0"/>
        </w:rPr>
        <w:t xml:space="preserve">Heart failure was reported more commonly in the two Phase 3 clinical trials in ZINPLAVA-treated patients compared to placebo-treated patients.  These adverse reactions occurred primarily in patients with underlying congestive heart failure (CHF).  In patients </w:t>
      </w:r>
      <w:r w:rsidR="001A326B">
        <w:rPr>
          <w:rFonts w:ascii="Arial" w:hAnsi="Arial" w:cs="Arial"/>
          <w:b w:val="0"/>
          <w:i w:val="0"/>
        </w:rPr>
        <w:t xml:space="preserve">with a history </w:t>
      </w:r>
      <w:r>
        <w:rPr>
          <w:rFonts w:ascii="Arial" w:hAnsi="Arial" w:cs="Arial"/>
          <w:b w:val="0"/>
          <w:i w:val="0"/>
        </w:rPr>
        <w:t>of CHF, 12.7% (15/118) of ZINPLAVA-treated patients and 4.8% (5/104) of placebo-treated patients had the serious adverse reaction of heart failure during the 12-week study period (see ADVERSE EFFECTS). Additionally, in patients with a history of CHF, there were more deaths in ZINPLAVA-treated patients, 19.5% (23/118) than in placebo-treated patients,</w:t>
      </w:r>
      <w:r w:rsidR="00A32F18">
        <w:rPr>
          <w:rFonts w:ascii="Arial" w:hAnsi="Arial" w:cs="Arial"/>
          <w:b w:val="0"/>
          <w:i w:val="0"/>
        </w:rPr>
        <w:t xml:space="preserve"> </w:t>
      </w:r>
      <w:proofErr w:type="gramStart"/>
      <w:r>
        <w:rPr>
          <w:rFonts w:ascii="Arial" w:hAnsi="Arial" w:cs="Arial"/>
          <w:b w:val="0"/>
          <w:i w:val="0"/>
        </w:rPr>
        <w:t>12.5</w:t>
      </w:r>
      <w:proofErr w:type="gramEnd"/>
      <w:r>
        <w:rPr>
          <w:rFonts w:ascii="Arial" w:hAnsi="Arial" w:cs="Arial"/>
          <w:b w:val="0"/>
          <w:i w:val="0"/>
        </w:rPr>
        <w:t>% (13/104) during the 12-week study period. The causes of death varied and included cardiac failure, infections, and respiratory failure.</w:t>
      </w:r>
    </w:p>
    <w:p w14:paraId="0210706F" w14:textId="77777777" w:rsidR="00D71C81" w:rsidRDefault="00D71C81" w:rsidP="00D71C81">
      <w:pPr>
        <w:pStyle w:val="Heading2"/>
        <w:rPr>
          <w:rFonts w:ascii="Arial" w:hAnsi="Arial" w:cs="Arial"/>
          <w:b w:val="0"/>
          <w:i w:val="0"/>
        </w:rPr>
      </w:pPr>
      <w:r>
        <w:rPr>
          <w:rFonts w:ascii="Arial" w:hAnsi="Arial" w:cs="Arial"/>
          <w:b w:val="0"/>
          <w:i w:val="0"/>
        </w:rPr>
        <w:t>In patients with a history of CHF, ZINPLAVA should be reserved for use when the benefit outweighs the risk.</w:t>
      </w:r>
    </w:p>
    <w:p w14:paraId="4CC6B610" w14:textId="77777777" w:rsidR="00D71C81" w:rsidRDefault="00D71C81" w:rsidP="00150CDF">
      <w:pPr>
        <w:pStyle w:val="Heading2"/>
        <w:rPr>
          <w:rFonts w:ascii="Arial" w:hAnsi="Arial" w:cs="Arial"/>
        </w:rPr>
      </w:pPr>
    </w:p>
    <w:p w14:paraId="7B5C5DD9" w14:textId="77777777" w:rsidR="00D058F6" w:rsidRPr="004D2799" w:rsidRDefault="00150CDF" w:rsidP="00150CDF">
      <w:pPr>
        <w:pStyle w:val="Heading2"/>
        <w:rPr>
          <w:rFonts w:ascii="Arial" w:eastAsia="MS Mincho" w:hAnsi="Arial" w:cs="Arial"/>
          <w:b w:val="0"/>
          <w:i w:val="0"/>
          <w:color w:val="3333FF"/>
          <w:sz w:val="22"/>
          <w:szCs w:val="22"/>
          <w:lang w:val="en-US" w:eastAsia="ja-JP"/>
        </w:rPr>
      </w:pPr>
      <w:r>
        <w:rPr>
          <w:rFonts w:ascii="Arial" w:hAnsi="Arial" w:cs="Arial"/>
        </w:rPr>
        <w:t>Treatment of acute CDI episode</w:t>
      </w:r>
      <w:r w:rsidR="004D2799">
        <w:rPr>
          <w:rFonts w:ascii="Arial" w:hAnsi="Arial" w:cs="Arial"/>
        </w:rPr>
        <w:t xml:space="preserve"> </w:t>
      </w:r>
    </w:p>
    <w:p w14:paraId="7B5C5DDA" w14:textId="77777777" w:rsidR="003627F2" w:rsidRDefault="00AC7B27" w:rsidP="00150CDF">
      <w:pPr>
        <w:keepLines w:val="0"/>
        <w:tabs>
          <w:tab w:val="clear" w:pos="-720"/>
          <w:tab w:val="clear" w:pos="4513"/>
          <w:tab w:val="clear" w:pos="10348"/>
        </w:tabs>
        <w:suppressAutoHyphens w:val="0"/>
        <w:rPr>
          <w:rFonts w:eastAsia="MS Mincho" w:cs="Arial"/>
          <w:szCs w:val="22"/>
          <w:lang w:val="en-US" w:eastAsia="ja-JP"/>
        </w:rPr>
      </w:pPr>
      <w:r>
        <w:rPr>
          <w:rFonts w:eastAsia="MS Mincho" w:cs="Arial"/>
          <w:szCs w:val="22"/>
          <w:lang w:val="en-US" w:eastAsia="ja-JP"/>
        </w:rPr>
        <w:t>ZINPLAVA</w:t>
      </w:r>
      <w:r w:rsidR="00150CDF" w:rsidRPr="00150CDF">
        <w:rPr>
          <w:rFonts w:eastAsia="MS Mincho" w:cs="Arial"/>
          <w:szCs w:val="22"/>
          <w:lang w:val="en-US" w:eastAsia="ja-JP"/>
        </w:rPr>
        <w:t xml:space="preserve"> is not an antibiotic, and is not indicated for the treatment of an acute episode of CDI.  </w:t>
      </w:r>
    </w:p>
    <w:p w14:paraId="7B5C5DDB" w14:textId="77777777" w:rsidR="003627F2" w:rsidRDefault="003627F2" w:rsidP="00150CDF">
      <w:pPr>
        <w:keepLines w:val="0"/>
        <w:tabs>
          <w:tab w:val="clear" w:pos="-720"/>
          <w:tab w:val="clear" w:pos="4513"/>
          <w:tab w:val="clear" w:pos="10348"/>
        </w:tabs>
        <w:suppressAutoHyphens w:val="0"/>
        <w:rPr>
          <w:rFonts w:eastAsia="MS Mincho" w:cs="Arial"/>
          <w:szCs w:val="22"/>
          <w:lang w:val="en-US" w:eastAsia="ja-JP"/>
        </w:rPr>
      </w:pPr>
    </w:p>
    <w:p w14:paraId="7B5C5DDC" w14:textId="68102B13" w:rsidR="00150CDF" w:rsidRPr="00150CDF" w:rsidRDefault="00AC7B27" w:rsidP="00150CDF">
      <w:pPr>
        <w:keepLines w:val="0"/>
        <w:tabs>
          <w:tab w:val="clear" w:pos="-720"/>
          <w:tab w:val="clear" w:pos="4513"/>
          <w:tab w:val="clear" w:pos="10348"/>
        </w:tabs>
        <w:suppressAutoHyphens w:val="0"/>
        <w:rPr>
          <w:rFonts w:eastAsia="MS Mincho" w:cs="Arial"/>
          <w:szCs w:val="22"/>
          <w:lang w:val="en-US" w:eastAsia="ja-JP"/>
        </w:rPr>
      </w:pPr>
      <w:r>
        <w:rPr>
          <w:rFonts w:eastAsia="MS Mincho" w:cs="Arial"/>
          <w:szCs w:val="22"/>
          <w:lang w:val="en-US" w:eastAsia="ja-JP"/>
        </w:rPr>
        <w:t>ZINPLAVA</w:t>
      </w:r>
      <w:r w:rsidR="00150CDF" w:rsidRPr="00150CDF">
        <w:rPr>
          <w:rFonts w:eastAsia="MS Mincho" w:cs="Arial"/>
          <w:szCs w:val="22"/>
          <w:lang w:val="en-US" w:eastAsia="ja-JP"/>
        </w:rPr>
        <w:t xml:space="preserve"> should be administered during a course of antibiotic therapy for CDI</w:t>
      </w:r>
      <w:r w:rsidR="00892DA3">
        <w:rPr>
          <w:rFonts w:eastAsia="MS Mincho" w:cs="Arial"/>
          <w:szCs w:val="22"/>
          <w:lang w:val="en-US" w:eastAsia="ja-JP"/>
        </w:rPr>
        <w:t xml:space="preserve"> </w:t>
      </w:r>
      <w:r w:rsidR="00150CDF" w:rsidRPr="00150CDF">
        <w:rPr>
          <w:rFonts w:eastAsia="MS Mincho" w:cs="Arial"/>
          <w:szCs w:val="22"/>
          <w:lang w:val="en-US" w:eastAsia="ja-JP"/>
        </w:rPr>
        <w:t>[</w:t>
      </w:r>
      <w:r w:rsidR="00A32F18">
        <w:rPr>
          <w:rFonts w:eastAsia="MS Mincho" w:cs="Arial"/>
          <w:szCs w:val="22"/>
          <w:lang w:val="en-US" w:eastAsia="ja-JP"/>
        </w:rPr>
        <w:t>s</w:t>
      </w:r>
      <w:r w:rsidR="00150CDF" w:rsidRPr="00150CDF">
        <w:rPr>
          <w:rFonts w:eastAsia="MS Mincho" w:cs="Arial"/>
          <w:szCs w:val="22"/>
          <w:lang w:val="en-US" w:eastAsia="ja-JP"/>
        </w:rPr>
        <w:t>ee</w:t>
      </w:r>
      <w:r w:rsidR="001A326B">
        <w:rPr>
          <w:rFonts w:eastAsia="MS Mincho" w:cs="Arial"/>
          <w:szCs w:val="22"/>
          <w:lang w:val="en-US" w:eastAsia="ja-JP"/>
        </w:rPr>
        <w:t xml:space="preserve"> </w:t>
      </w:r>
      <w:r w:rsidR="00150CDF" w:rsidRPr="001A326B">
        <w:rPr>
          <w:rFonts w:eastAsia="MS Mincho" w:cs="Arial"/>
          <w:szCs w:val="22"/>
          <w:lang w:val="en-US" w:eastAsia="ja-JP"/>
        </w:rPr>
        <w:t>DOSAGE AND ADMINISTRATION</w:t>
      </w:r>
      <w:r w:rsidR="00150CDF" w:rsidRPr="00150CDF">
        <w:rPr>
          <w:rFonts w:eastAsia="MS Mincho" w:cs="Arial"/>
          <w:szCs w:val="22"/>
          <w:lang w:val="en-US" w:eastAsia="ja-JP"/>
        </w:rPr>
        <w:t>].</w:t>
      </w:r>
    </w:p>
    <w:p w14:paraId="7B5C5DDD" w14:textId="77777777" w:rsidR="005B08D4" w:rsidRPr="004172BA" w:rsidRDefault="005B08D4" w:rsidP="008476E9">
      <w:pPr>
        <w:pStyle w:val="BodyText1"/>
        <w:ind w:firstLine="0"/>
        <w:jc w:val="both"/>
        <w:rPr>
          <w:rFonts w:ascii="Arial" w:hAnsi="Arial" w:cs="Arial"/>
          <w:sz w:val="22"/>
          <w:lang w:val="en-AU" w:eastAsia="en-AU"/>
        </w:rPr>
      </w:pPr>
    </w:p>
    <w:p w14:paraId="7B5C5DDE" w14:textId="77777777" w:rsidR="003A6F1C" w:rsidRPr="00187C95" w:rsidRDefault="00491C60" w:rsidP="00187C95">
      <w:pPr>
        <w:pStyle w:val="Heading2"/>
        <w:rPr>
          <w:rFonts w:ascii="Arial" w:hAnsi="Arial" w:cs="Arial"/>
        </w:rPr>
      </w:pPr>
      <w:r w:rsidRPr="002164EC">
        <w:rPr>
          <w:rFonts w:ascii="Arial" w:hAnsi="Arial" w:cs="Arial"/>
        </w:rPr>
        <w:t>Effects on</w:t>
      </w:r>
      <w:r w:rsidR="003A6F1C" w:rsidRPr="00187C95">
        <w:rPr>
          <w:rFonts w:ascii="Arial" w:hAnsi="Arial" w:cs="Arial"/>
        </w:rPr>
        <w:t xml:space="preserve"> Fertility</w:t>
      </w:r>
    </w:p>
    <w:p w14:paraId="7B5C5DDF" w14:textId="09D34045" w:rsidR="00C02CBA" w:rsidRDefault="009B38C5" w:rsidP="009B38C5">
      <w:pPr>
        <w:keepLines w:val="0"/>
        <w:tabs>
          <w:tab w:val="clear" w:pos="-720"/>
          <w:tab w:val="clear" w:pos="4513"/>
          <w:tab w:val="clear" w:pos="10348"/>
        </w:tabs>
        <w:suppressAutoHyphens w:val="0"/>
        <w:rPr>
          <w:rFonts w:eastAsia="MS Mincho" w:cs="Arial"/>
          <w:szCs w:val="22"/>
          <w:lang w:val="en-US" w:eastAsia="ja-JP"/>
        </w:rPr>
      </w:pPr>
      <w:r w:rsidRPr="009B38C5">
        <w:rPr>
          <w:rFonts w:eastAsia="MS Mincho" w:cs="Arial"/>
          <w:szCs w:val="22"/>
          <w:lang w:val="en-US" w:eastAsia="ja-JP"/>
        </w:rPr>
        <w:t xml:space="preserve">Animal reproduction studies have not been conducted with </w:t>
      </w:r>
      <w:proofErr w:type="spellStart"/>
      <w:r w:rsidRPr="009B38C5">
        <w:rPr>
          <w:rFonts w:eastAsia="MS Mincho" w:cs="Arial"/>
          <w:szCs w:val="22"/>
          <w:lang w:val="en-US" w:eastAsia="ja-JP"/>
        </w:rPr>
        <w:t>bezlotoxumab</w:t>
      </w:r>
      <w:proofErr w:type="spellEnd"/>
      <w:r w:rsidRPr="009B38C5">
        <w:rPr>
          <w:rFonts w:eastAsia="MS Mincho" w:cs="Arial"/>
          <w:szCs w:val="22"/>
          <w:lang w:val="en-US" w:eastAsia="ja-JP"/>
        </w:rPr>
        <w:t>.</w:t>
      </w:r>
      <w:r w:rsidR="00B54C82">
        <w:rPr>
          <w:rFonts w:eastAsia="MS Mincho" w:cs="Arial"/>
          <w:szCs w:val="22"/>
          <w:lang w:val="en-US" w:eastAsia="ja-JP"/>
        </w:rPr>
        <w:t xml:space="preserve"> </w:t>
      </w:r>
      <w:r w:rsidRPr="009B38C5">
        <w:rPr>
          <w:rFonts w:eastAsia="MS Mincho" w:cs="Arial"/>
          <w:szCs w:val="22"/>
          <w:lang w:val="en-US" w:eastAsia="ja-JP"/>
        </w:rPr>
        <w:t xml:space="preserve"> </w:t>
      </w:r>
      <w:r w:rsidRPr="004B568C">
        <w:rPr>
          <w:rFonts w:eastAsia="MS Mincho" w:cs="Arial"/>
          <w:szCs w:val="22"/>
          <w:lang w:val="en-US" w:eastAsia="ja-JP"/>
        </w:rPr>
        <w:t>There were no notable effects in the male and female reproductive organs in mice based on repeat dose toxicity studies and no binding to reproductive tissues was observed in tissue cross-reactivity studies.</w:t>
      </w:r>
      <w:r w:rsidR="004B568C">
        <w:rPr>
          <w:rFonts w:eastAsia="MS Mincho" w:cs="Arial"/>
          <w:szCs w:val="22"/>
          <w:lang w:val="en-US" w:eastAsia="ja-JP"/>
        </w:rPr>
        <w:t xml:space="preserve"> </w:t>
      </w:r>
    </w:p>
    <w:p w14:paraId="4F515A95" w14:textId="77777777" w:rsidR="00892DA3" w:rsidRDefault="00892DA3" w:rsidP="009B38C5">
      <w:pPr>
        <w:keepLines w:val="0"/>
        <w:tabs>
          <w:tab w:val="clear" w:pos="-720"/>
          <w:tab w:val="clear" w:pos="4513"/>
          <w:tab w:val="clear" w:pos="10348"/>
        </w:tabs>
        <w:suppressAutoHyphens w:val="0"/>
        <w:rPr>
          <w:rFonts w:eastAsia="MS Mincho" w:cs="Arial"/>
          <w:szCs w:val="22"/>
          <w:lang w:val="en-US" w:eastAsia="ja-JP"/>
        </w:rPr>
      </w:pPr>
    </w:p>
    <w:p w14:paraId="7B5C5DE0" w14:textId="77777777" w:rsidR="003A6F1C" w:rsidRPr="00187C95" w:rsidRDefault="003A6F1C" w:rsidP="00187C95">
      <w:pPr>
        <w:pStyle w:val="Heading2"/>
        <w:rPr>
          <w:rFonts w:ascii="Arial" w:hAnsi="Arial" w:cs="Arial"/>
        </w:rPr>
      </w:pPr>
      <w:r w:rsidRPr="00187C95">
        <w:rPr>
          <w:rFonts w:ascii="Arial" w:hAnsi="Arial" w:cs="Arial"/>
        </w:rPr>
        <w:t>Use in Pregnancy (Categ</w:t>
      </w:r>
      <w:r w:rsidRPr="00CD3B0B">
        <w:rPr>
          <w:rFonts w:ascii="Arial" w:hAnsi="Arial" w:cs="Arial"/>
        </w:rPr>
        <w:t>ory</w:t>
      </w:r>
      <w:r w:rsidR="003627F2" w:rsidRPr="00CD3B0B">
        <w:rPr>
          <w:rFonts w:ascii="Arial" w:hAnsi="Arial" w:cs="Arial"/>
        </w:rPr>
        <w:t xml:space="preserve"> B2</w:t>
      </w:r>
      <w:r w:rsidR="00277E66" w:rsidRPr="00CD3B0B">
        <w:rPr>
          <w:rFonts w:ascii="Arial" w:hAnsi="Arial" w:cs="Arial"/>
        </w:rPr>
        <w:t>)</w:t>
      </w:r>
    </w:p>
    <w:p w14:paraId="7B5C5DE1" w14:textId="24EB4D8D" w:rsidR="009B38C5" w:rsidRPr="00B54C82" w:rsidRDefault="00D0469F" w:rsidP="009B38C5">
      <w:pPr>
        <w:keepLines w:val="0"/>
        <w:tabs>
          <w:tab w:val="clear" w:pos="-720"/>
          <w:tab w:val="clear" w:pos="4513"/>
          <w:tab w:val="clear" w:pos="10348"/>
        </w:tabs>
        <w:suppressAutoHyphens w:val="0"/>
        <w:rPr>
          <w:rFonts w:eastAsia="MS Mincho" w:cs="Arial"/>
          <w:color w:val="3333FF"/>
          <w:szCs w:val="22"/>
          <w:lang w:val="en-US" w:eastAsia="ja-JP"/>
        </w:rPr>
      </w:pPr>
      <w:proofErr w:type="spellStart"/>
      <w:r>
        <w:rPr>
          <w:rFonts w:eastAsia="MS Mincho" w:cs="Arial"/>
          <w:szCs w:val="22"/>
          <w:lang w:val="en-US" w:eastAsia="ja-JP"/>
        </w:rPr>
        <w:t>Bezlotoxumab</w:t>
      </w:r>
      <w:proofErr w:type="spellEnd"/>
      <w:r w:rsidR="009B38C5" w:rsidRPr="009B38C5">
        <w:rPr>
          <w:rFonts w:eastAsia="MS Mincho" w:cs="Arial"/>
          <w:szCs w:val="22"/>
          <w:lang w:val="en-US" w:eastAsia="ja-JP"/>
        </w:rPr>
        <w:t xml:space="preserve"> targets a non-endogenous microbial toxin antigen and lacks toxicologically relevant cross-reactivity to human tissues including reproductive tissues.</w:t>
      </w:r>
      <w:r w:rsidR="00B54C82">
        <w:rPr>
          <w:rFonts w:eastAsia="MS Mincho" w:cs="Arial"/>
          <w:szCs w:val="22"/>
          <w:lang w:val="en-US" w:eastAsia="ja-JP"/>
        </w:rPr>
        <w:t xml:space="preserve"> </w:t>
      </w:r>
      <w:r w:rsidR="009B38C5" w:rsidRPr="009B38C5">
        <w:rPr>
          <w:rFonts w:eastAsia="MS Mincho" w:cs="Arial"/>
          <w:szCs w:val="22"/>
          <w:lang w:val="en-US" w:eastAsia="ja-JP"/>
        </w:rPr>
        <w:t xml:space="preserve">Animal reproduction studies have not been conducted with </w:t>
      </w:r>
      <w:proofErr w:type="spellStart"/>
      <w:r>
        <w:rPr>
          <w:rFonts w:eastAsia="MS Mincho" w:cs="Arial"/>
          <w:szCs w:val="22"/>
          <w:lang w:val="en-US" w:eastAsia="ja-JP"/>
        </w:rPr>
        <w:t>bezlotoxumab</w:t>
      </w:r>
      <w:proofErr w:type="spellEnd"/>
      <w:r w:rsidR="009B38C5" w:rsidRPr="009B38C5">
        <w:rPr>
          <w:rFonts w:eastAsia="MS Mincho" w:cs="Arial"/>
          <w:szCs w:val="22"/>
          <w:lang w:val="en-US" w:eastAsia="ja-JP"/>
        </w:rPr>
        <w:t xml:space="preserve">. Adequate and well controlled studies with </w:t>
      </w:r>
      <w:r w:rsidR="00AC7B27">
        <w:rPr>
          <w:rFonts w:eastAsia="MS Mincho" w:cs="Arial"/>
          <w:szCs w:val="22"/>
          <w:lang w:val="en-US" w:eastAsia="ja-JP"/>
        </w:rPr>
        <w:t>ZINPLAVA</w:t>
      </w:r>
      <w:r w:rsidR="009B38C5" w:rsidRPr="009B38C5">
        <w:rPr>
          <w:rFonts w:eastAsia="MS Mincho" w:cs="Arial"/>
          <w:szCs w:val="22"/>
          <w:lang w:val="en-US" w:eastAsia="ja-JP"/>
        </w:rPr>
        <w:t xml:space="preserve"> have not been conducted in pregnant women. As it is not known whether </w:t>
      </w:r>
      <w:r w:rsidR="00AC7B27">
        <w:rPr>
          <w:rFonts w:eastAsia="MS Mincho" w:cs="Arial"/>
          <w:szCs w:val="22"/>
          <w:lang w:val="en-US" w:eastAsia="ja-JP"/>
        </w:rPr>
        <w:t>ZINPLAVA</w:t>
      </w:r>
      <w:r w:rsidR="009B38C5" w:rsidRPr="009B38C5">
        <w:rPr>
          <w:rFonts w:eastAsia="MS Mincho" w:cs="Arial"/>
          <w:szCs w:val="22"/>
          <w:lang w:val="en-US" w:eastAsia="ja-JP"/>
        </w:rPr>
        <w:t xml:space="preserve"> can cause </w:t>
      </w:r>
      <w:proofErr w:type="spellStart"/>
      <w:r w:rsidR="005F3555">
        <w:rPr>
          <w:rFonts w:eastAsia="MS Mincho" w:cs="Arial"/>
          <w:szCs w:val="22"/>
          <w:lang w:val="en-US" w:eastAsia="ja-JP"/>
        </w:rPr>
        <w:t>foetal</w:t>
      </w:r>
      <w:proofErr w:type="spellEnd"/>
      <w:r w:rsidR="009B38C5" w:rsidRPr="009B38C5">
        <w:rPr>
          <w:rFonts w:eastAsia="MS Mincho" w:cs="Arial"/>
          <w:szCs w:val="22"/>
          <w:lang w:val="en-US" w:eastAsia="ja-JP"/>
        </w:rPr>
        <w:t xml:space="preserve"> harm or affect reproductive capacity in pregnant women, this drug should be used during pregnancy only if clearly needed.</w:t>
      </w:r>
      <w:r w:rsidR="00B54C82">
        <w:rPr>
          <w:rFonts w:eastAsia="MS Mincho" w:cs="Arial"/>
          <w:szCs w:val="22"/>
          <w:lang w:val="en-US" w:eastAsia="ja-JP"/>
        </w:rPr>
        <w:t xml:space="preserve"> </w:t>
      </w:r>
    </w:p>
    <w:p w14:paraId="7B5C5DE2" w14:textId="77777777" w:rsidR="00CF772C" w:rsidRPr="00A97420" w:rsidRDefault="00CF772C" w:rsidP="00010E35">
      <w:pPr>
        <w:rPr>
          <w:rFonts w:cs="Arial"/>
          <w:noProof/>
          <w:lang w:val="en-US" w:eastAsia="en-US"/>
        </w:rPr>
      </w:pPr>
    </w:p>
    <w:p w14:paraId="7B5C5DE3" w14:textId="77777777" w:rsidR="003A6F1C" w:rsidRPr="00187C95" w:rsidRDefault="003A6F1C" w:rsidP="00187C95">
      <w:pPr>
        <w:pStyle w:val="Heading2"/>
        <w:rPr>
          <w:rFonts w:ascii="Arial" w:hAnsi="Arial" w:cs="Arial"/>
        </w:rPr>
      </w:pPr>
      <w:r w:rsidRPr="00187C95">
        <w:rPr>
          <w:rFonts w:ascii="Arial" w:hAnsi="Arial" w:cs="Arial"/>
        </w:rPr>
        <w:t>Use in Lactation</w:t>
      </w:r>
    </w:p>
    <w:p w14:paraId="7B5C5DE4" w14:textId="257A527F" w:rsidR="00B54C82" w:rsidRDefault="009B38C5" w:rsidP="009B38C5">
      <w:pPr>
        <w:keepLines w:val="0"/>
        <w:tabs>
          <w:tab w:val="clear" w:pos="-720"/>
          <w:tab w:val="clear" w:pos="4513"/>
          <w:tab w:val="clear" w:pos="10348"/>
        </w:tabs>
        <w:suppressAutoHyphens w:val="0"/>
        <w:rPr>
          <w:rFonts w:eastAsia="MS Mincho" w:cs="Arial"/>
          <w:szCs w:val="22"/>
          <w:lang w:val="en-US" w:eastAsia="ja-JP"/>
        </w:rPr>
      </w:pPr>
      <w:r w:rsidRPr="009B38C5">
        <w:rPr>
          <w:rFonts w:eastAsia="MS Mincho" w:cs="Arial"/>
          <w:szCs w:val="22"/>
          <w:lang w:val="en-US" w:eastAsia="ja-JP"/>
        </w:rPr>
        <w:t xml:space="preserve">It is unknown whether </w:t>
      </w:r>
      <w:proofErr w:type="spellStart"/>
      <w:r w:rsidR="00D0469F">
        <w:rPr>
          <w:rFonts w:eastAsia="MS Mincho" w:cs="Arial"/>
          <w:szCs w:val="22"/>
          <w:lang w:val="en-US" w:eastAsia="ja-JP"/>
        </w:rPr>
        <w:t>bezlotoxumab</w:t>
      </w:r>
      <w:proofErr w:type="spellEnd"/>
      <w:r w:rsidR="00D0469F">
        <w:rPr>
          <w:rFonts w:eastAsia="MS Mincho" w:cs="Arial"/>
          <w:szCs w:val="22"/>
          <w:lang w:val="en-US" w:eastAsia="ja-JP"/>
        </w:rPr>
        <w:t xml:space="preserve"> </w:t>
      </w:r>
      <w:r w:rsidRPr="009B38C5">
        <w:rPr>
          <w:rFonts w:eastAsia="MS Mincho" w:cs="Arial"/>
          <w:szCs w:val="22"/>
          <w:lang w:val="en-US" w:eastAsia="ja-JP"/>
        </w:rPr>
        <w:t xml:space="preserve">is secreted in human milk. Because monoclonal antibodies may be excreted in human milk, a decision should be made whether to discontinue nursing or to not administer </w:t>
      </w:r>
      <w:r w:rsidR="00AC7B27">
        <w:rPr>
          <w:rFonts w:eastAsia="MS Mincho" w:cs="Arial"/>
          <w:szCs w:val="22"/>
          <w:lang w:val="en-US" w:eastAsia="ja-JP"/>
        </w:rPr>
        <w:t>ZINPLAVA</w:t>
      </w:r>
      <w:r w:rsidRPr="009B38C5">
        <w:rPr>
          <w:rFonts w:eastAsia="MS Mincho" w:cs="Arial"/>
          <w:szCs w:val="22"/>
          <w:lang w:val="en-US" w:eastAsia="ja-JP"/>
        </w:rPr>
        <w:t xml:space="preserve">, taking into account the importance of </w:t>
      </w:r>
      <w:r w:rsidR="00AC7B27">
        <w:rPr>
          <w:rFonts w:eastAsia="MS Mincho" w:cs="Arial"/>
          <w:szCs w:val="22"/>
          <w:lang w:val="en-US" w:eastAsia="ja-JP"/>
        </w:rPr>
        <w:t>ZINPLAVA</w:t>
      </w:r>
      <w:r w:rsidRPr="009B38C5">
        <w:rPr>
          <w:rFonts w:eastAsia="MS Mincho" w:cs="Arial"/>
          <w:szCs w:val="22"/>
          <w:lang w:val="en-US" w:eastAsia="ja-JP"/>
        </w:rPr>
        <w:t xml:space="preserve"> to the mother.</w:t>
      </w:r>
    </w:p>
    <w:p w14:paraId="7B5C5DE5" w14:textId="77777777" w:rsidR="00CF772C" w:rsidRPr="009B38C5" w:rsidRDefault="00CF772C" w:rsidP="00AE6DEA">
      <w:pPr>
        <w:rPr>
          <w:rFonts w:cs="Arial"/>
          <w:szCs w:val="22"/>
        </w:rPr>
      </w:pPr>
    </w:p>
    <w:p w14:paraId="7B5C5DE6" w14:textId="77777777" w:rsidR="003A6F1C" w:rsidRPr="00187C95" w:rsidRDefault="00C25BB6" w:rsidP="00187C95">
      <w:pPr>
        <w:pStyle w:val="Heading2"/>
        <w:rPr>
          <w:rFonts w:ascii="Arial" w:hAnsi="Arial" w:cs="Arial"/>
        </w:rPr>
      </w:pPr>
      <w:r w:rsidRPr="00187C95">
        <w:rPr>
          <w:rFonts w:ascii="Arial" w:hAnsi="Arial" w:cs="Arial"/>
        </w:rPr>
        <w:t>Paediatric Use</w:t>
      </w:r>
    </w:p>
    <w:p w14:paraId="7B5C5DE7" w14:textId="77777777" w:rsidR="009B38C5" w:rsidRPr="006E527C" w:rsidRDefault="009B38C5" w:rsidP="009B38C5">
      <w:pPr>
        <w:keepLines w:val="0"/>
        <w:tabs>
          <w:tab w:val="clear" w:pos="-720"/>
          <w:tab w:val="clear" w:pos="4513"/>
          <w:tab w:val="clear" w:pos="10348"/>
        </w:tabs>
        <w:suppressAutoHyphens w:val="0"/>
        <w:rPr>
          <w:rFonts w:eastAsia="MS Mincho" w:cs="Arial"/>
          <w:color w:val="0000FF"/>
          <w:szCs w:val="22"/>
          <w:lang w:val="en-US" w:eastAsia="ja-JP"/>
        </w:rPr>
      </w:pPr>
      <w:r w:rsidRPr="009B38C5">
        <w:rPr>
          <w:rFonts w:eastAsia="MS Mincho" w:cs="Arial"/>
          <w:szCs w:val="22"/>
          <w:lang w:val="en-US" w:eastAsia="ja-JP"/>
        </w:rPr>
        <w:t xml:space="preserve">Safety and efficacy of </w:t>
      </w:r>
      <w:r w:rsidR="00AC7B27">
        <w:rPr>
          <w:rFonts w:eastAsia="MS Mincho" w:cs="Arial"/>
          <w:szCs w:val="22"/>
          <w:lang w:val="en-US" w:eastAsia="ja-JP"/>
        </w:rPr>
        <w:t>ZINPLAVA</w:t>
      </w:r>
      <w:r w:rsidRPr="009B38C5">
        <w:rPr>
          <w:rFonts w:eastAsia="MS Mincho" w:cs="Arial"/>
          <w:szCs w:val="22"/>
          <w:lang w:val="en-US" w:eastAsia="ja-JP"/>
        </w:rPr>
        <w:t xml:space="preserve"> in patients below 18 years of age have not been established.</w:t>
      </w:r>
      <w:r w:rsidR="006E527C">
        <w:rPr>
          <w:rFonts w:eastAsia="MS Mincho" w:cs="Arial"/>
          <w:szCs w:val="22"/>
          <w:lang w:val="en-US" w:eastAsia="ja-JP"/>
        </w:rPr>
        <w:t xml:space="preserve"> </w:t>
      </w:r>
    </w:p>
    <w:p w14:paraId="7B5C5DE8" w14:textId="77777777" w:rsidR="009B38C5" w:rsidRDefault="009B38C5" w:rsidP="00187C95">
      <w:pPr>
        <w:pStyle w:val="Heading2"/>
        <w:rPr>
          <w:rFonts w:ascii="Arial" w:hAnsi="Arial" w:cs="Arial"/>
        </w:rPr>
      </w:pPr>
    </w:p>
    <w:p w14:paraId="7B5C5DE9" w14:textId="77777777" w:rsidR="007816C9" w:rsidRPr="00187C95" w:rsidRDefault="007816C9" w:rsidP="00187C95">
      <w:pPr>
        <w:pStyle w:val="Heading2"/>
        <w:rPr>
          <w:rFonts w:ascii="Arial" w:hAnsi="Arial" w:cs="Arial"/>
        </w:rPr>
      </w:pPr>
      <w:r w:rsidRPr="00187C95">
        <w:rPr>
          <w:rFonts w:ascii="Arial" w:hAnsi="Arial" w:cs="Arial"/>
        </w:rPr>
        <w:t>Use in the elderly</w:t>
      </w:r>
    </w:p>
    <w:p w14:paraId="7B5C5DEA" w14:textId="5C5EA5B3" w:rsidR="009B38C5" w:rsidRDefault="009B38C5" w:rsidP="009B38C5">
      <w:pPr>
        <w:keepLines w:val="0"/>
        <w:tabs>
          <w:tab w:val="clear" w:pos="-720"/>
          <w:tab w:val="clear" w:pos="4513"/>
          <w:tab w:val="clear" w:pos="10348"/>
        </w:tabs>
        <w:suppressAutoHyphens w:val="0"/>
        <w:rPr>
          <w:rFonts w:eastAsia="MS Mincho" w:cs="Arial"/>
          <w:szCs w:val="22"/>
          <w:lang w:val="en-US" w:eastAsia="ja-JP"/>
        </w:rPr>
      </w:pPr>
      <w:r w:rsidRPr="009B38C5">
        <w:rPr>
          <w:rFonts w:eastAsia="MS Mincho" w:cs="Arial"/>
          <w:szCs w:val="22"/>
          <w:lang w:val="en-US" w:eastAsia="ja-JP"/>
        </w:rPr>
        <w:t xml:space="preserve">Of the 786 patients treated with </w:t>
      </w:r>
      <w:r w:rsidR="00AC7B27">
        <w:rPr>
          <w:rFonts w:eastAsia="MS Mincho" w:cs="Arial"/>
          <w:szCs w:val="22"/>
          <w:lang w:val="en-US" w:eastAsia="ja-JP"/>
        </w:rPr>
        <w:t>ZINPLAVA</w:t>
      </w:r>
      <w:r w:rsidRPr="009B38C5">
        <w:rPr>
          <w:rFonts w:eastAsia="MS Mincho" w:cs="Arial"/>
          <w:szCs w:val="22"/>
          <w:lang w:val="en-US" w:eastAsia="ja-JP"/>
        </w:rPr>
        <w:t xml:space="preserve">, 50% were 65 years of age and over. Safety and efficacy were demonstrated in these patients [see </w:t>
      </w:r>
      <w:r w:rsidRPr="001A326B">
        <w:rPr>
          <w:rFonts w:eastAsia="MS Mincho" w:cs="Arial"/>
          <w:szCs w:val="22"/>
          <w:lang w:val="en-US" w:eastAsia="ja-JP"/>
        </w:rPr>
        <w:t xml:space="preserve">CLINICAL </w:t>
      </w:r>
      <w:r w:rsidR="001A326B" w:rsidRPr="001A326B">
        <w:rPr>
          <w:rFonts w:eastAsia="MS Mincho" w:cs="Arial"/>
          <w:szCs w:val="22"/>
          <w:lang w:val="en-US" w:eastAsia="ja-JP"/>
        </w:rPr>
        <w:t>TRIALS</w:t>
      </w:r>
      <w:r w:rsidRPr="009B38C5">
        <w:rPr>
          <w:rFonts w:eastAsia="MS Mincho" w:cs="Arial"/>
          <w:szCs w:val="22"/>
          <w:lang w:val="en-US" w:eastAsia="ja-JP"/>
        </w:rPr>
        <w:t>]. No dose adjustment is necessary in this population [</w:t>
      </w:r>
      <w:r w:rsidR="001A326B">
        <w:rPr>
          <w:rFonts w:eastAsia="MS Mincho" w:cs="Arial"/>
          <w:szCs w:val="22"/>
          <w:lang w:val="en-US" w:eastAsia="ja-JP"/>
        </w:rPr>
        <w:t xml:space="preserve">see </w:t>
      </w:r>
      <w:r w:rsidRPr="001A326B">
        <w:rPr>
          <w:rFonts w:eastAsia="MS Mincho" w:cs="Arial"/>
          <w:szCs w:val="22"/>
          <w:lang w:val="en-US" w:eastAsia="ja-JP"/>
        </w:rPr>
        <w:t>PHARMACOLOGY</w:t>
      </w:r>
      <w:r w:rsidRPr="009B38C5">
        <w:rPr>
          <w:rFonts w:eastAsia="MS Mincho" w:cs="Arial"/>
          <w:szCs w:val="22"/>
          <w:lang w:val="en-US" w:eastAsia="ja-JP"/>
        </w:rPr>
        <w:t>].</w:t>
      </w:r>
    </w:p>
    <w:p w14:paraId="7B5C5DEB" w14:textId="77777777" w:rsidR="009B38C5" w:rsidRPr="009B38C5" w:rsidRDefault="009B38C5" w:rsidP="009B38C5">
      <w:pPr>
        <w:keepLines w:val="0"/>
        <w:tabs>
          <w:tab w:val="clear" w:pos="-720"/>
          <w:tab w:val="clear" w:pos="4513"/>
          <w:tab w:val="clear" w:pos="10348"/>
        </w:tabs>
        <w:suppressAutoHyphens w:val="0"/>
        <w:rPr>
          <w:rFonts w:eastAsia="MS Mincho" w:cs="Arial"/>
          <w:szCs w:val="22"/>
          <w:lang w:val="en-US" w:eastAsia="ja-JP"/>
        </w:rPr>
      </w:pPr>
    </w:p>
    <w:p w14:paraId="7B5C5DEC" w14:textId="77777777" w:rsidR="009B38C5" w:rsidRDefault="009B38C5" w:rsidP="009B38C5">
      <w:pPr>
        <w:pStyle w:val="Heading2"/>
        <w:rPr>
          <w:rFonts w:ascii="Arial" w:hAnsi="Arial" w:cs="Arial"/>
        </w:rPr>
      </w:pPr>
      <w:r>
        <w:rPr>
          <w:rFonts w:ascii="Arial" w:hAnsi="Arial" w:cs="Arial"/>
        </w:rPr>
        <w:t>Renal impairment</w:t>
      </w:r>
    </w:p>
    <w:p w14:paraId="7B5C5DED" w14:textId="77777777" w:rsidR="009B38C5" w:rsidRDefault="009B38C5" w:rsidP="009B38C5"/>
    <w:p w14:paraId="7B5C5DEE" w14:textId="77777777" w:rsidR="006E527C" w:rsidRDefault="009B38C5" w:rsidP="009B38C5">
      <w:pPr>
        <w:keepLines w:val="0"/>
        <w:tabs>
          <w:tab w:val="clear" w:pos="-720"/>
          <w:tab w:val="clear" w:pos="4513"/>
          <w:tab w:val="clear" w:pos="10348"/>
        </w:tabs>
        <w:suppressAutoHyphens w:val="0"/>
        <w:rPr>
          <w:rFonts w:eastAsia="MS Mincho" w:cs="Arial"/>
          <w:szCs w:val="22"/>
          <w:lang w:val="en-US" w:eastAsia="ja-JP"/>
        </w:rPr>
      </w:pPr>
      <w:r w:rsidRPr="009B38C5">
        <w:rPr>
          <w:rFonts w:eastAsia="MS Mincho" w:cs="Arial"/>
          <w:szCs w:val="22"/>
          <w:lang w:val="en-US" w:eastAsia="ja-JP"/>
        </w:rPr>
        <w:t>No dose adjustment is needed for patients with renal impairment [</w:t>
      </w:r>
      <w:r>
        <w:rPr>
          <w:rFonts w:eastAsia="MS Mincho" w:cs="Arial"/>
          <w:szCs w:val="22"/>
          <w:lang w:val="en-US" w:eastAsia="ja-JP"/>
        </w:rPr>
        <w:t>see</w:t>
      </w:r>
      <w:r w:rsidRPr="009B38C5">
        <w:rPr>
          <w:rFonts w:eastAsia="MS Mincho" w:cs="Arial"/>
          <w:i/>
          <w:szCs w:val="22"/>
          <w:lang w:val="en-US" w:eastAsia="ja-JP"/>
        </w:rPr>
        <w:t xml:space="preserve"> </w:t>
      </w:r>
      <w:r w:rsidRPr="00C055E5">
        <w:rPr>
          <w:rFonts w:eastAsia="MS Mincho" w:cs="Arial"/>
          <w:szCs w:val="22"/>
          <w:lang w:val="en-US" w:eastAsia="ja-JP"/>
        </w:rPr>
        <w:t>PHARMACOLOGY</w:t>
      </w:r>
      <w:r w:rsidRPr="009B38C5">
        <w:rPr>
          <w:rFonts w:eastAsia="MS Mincho" w:cs="Arial"/>
          <w:szCs w:val="22"/>
          <w:lang w:val="en-US" w:eastAsia="ja-JP"/>
        </w:rPr>
        <w:t>].</w:t>
      </w:r>
    </w:p>
    <w:p w14:paraId="7B5C5DEF" w14:textId="77777777" w:rsidR="009B38C5" w:rsidRPr="009B38C5" w:rsidRDefault="009B38C5" w:rsidP="009B38C5">
      <w:pPr>
        <w:rPr>
          <w:szCs w:val="22"/>
        </w:rPr>
      </w:pPr>
    </w:p>
    <w:p w14:paraId="7B5C5DF0" w14:textId="77777777" w:rsidR="009B38C5" w:rsidRDefault="009B38C5" w:rsidP="009B38C5">
      <w:pPr>
        <w:pStyle w:val="Heading2"/>
        <w:rPr>
          <w:rFonts w:ascii="Arial" w:hAnsi="Arial" w:cs="Arial"/>
        </w:rPr>
      </w:pPr>
      <w:r>
        <w:rPr>
          <w:rFonts w:ascii="Arial" w:hAnsi="Arial" w:cs="Arial"/>
        </w:rPr>
        <w:t>Hepatic impairment</w:t>
      </w:r>
    </w:p>
    <w:p w14:paraId="7B5C5DF1" w14:textId="77777777" w:rsidR="007F2CFC" w:rsidRDefault="009B38C5" w:rsidP="009B38C5">
      <w:pPr>
        <w:keepLines w:val="0"/>
        <w:tabs>
          <w:tab w:val="clear" w:pos="-720"/>
          <w:tab w:val="clear" w:pos="4513"/>
          <w:tab w:val="clear" w:pos="10348"/>
        </w:tabs>
        <w:suppressAutoHyphens w:val="0"/>
        <w:rPr>
          <w:rFonts w:eastAsia="MS Mincho" w:cs="Arial"/>
          <w:szCs w:val="22"/>
          <w:lang w:val="en-US" w:eastAsia="ja-JP"/>
        </w:rPr>
      </w:pPr>
      <w:r w:rsidRPr="009B38C5">
        <w:rPr>
          <w:rFonts w:eastAsia="MS Mincho" w:cs="Arial"/>
          <w:szCs w:val="22"/>
          <w:lang w:val="en-US" w:eastAsia="ja-JP"/>
        </w:rPr>
        <w:t xml:space="preserve">No dose adjustment is needed for patients with hepatic impairment [see </w:t>
      </w:r>
      <w:r w:rsidRPr="00C055E5">
        <w:rPr>
          <w:rFonts w:eastAsia="MS Mincho" w:cs="Arial"/>
          <w:szCs w:val="22"/>
          <w:lang w:val="en-US" w:eastAsia="ja-JP"/>
        </w:rPr>
        <w:t>PHARMACOLOGY</w:t>
      </w:r>
      <w:r w:rsidRPr="009B38C5">
        <w:rPr>
          <w:rFonts w:eastAsia="MS Mincho" w:cs="Arial"/>
          <w:szCs w:val="22"/>
          <w:lang w:val="en-US" w:eastAsia="ja-JP"/>
        </w:rPr>
        <w:t>].</w:t>
      </w:r>
    </w:p>
    <w:p w14:paraId="7B5C5DF2" w14:textId="77777777" w:rsidR="009B38C5" w:rsidRDefault="009B38C5" w:rsidP="00187C95">
      <w:pPr>
        <w:pStyle w:val="Heading2"/>
        <w:rPr>
          <w:rFonts w:ascii="Arial" w:hAnsi="Arial" w:cs="Arial"/>
        </w:rPr>
      </w:pPr>
    </w:p>
    <w:p w14:paraId="7B5C5DF3" w14:textId="77777777" w:rsidR="00C25BB6" w:rsidRPr="00187C95" w:rsidRDefault="00C25BB6" w:rsidP="00187C95">
      <w:pPr>
        <w:pStyle w:val="Heading2"/>
        <w:rPr>
          <w:rFonts w:ascii="Arial" w:hAnsi="Arial" w:cs="Arial"/>
        </w:rPr>
      </w:pPr>
      <w:r w:rsidRPr="00B701AB">
        <w:rPr>
          <w:rFonts w:ascii="Arial" w:hAnsi="Arial" w:cs="Arial"/>
        </w:rPr>
        <w:t>Genotoxicity</w:t>
      </w:r>
    </w:p>
    <w:p w14:paraId="7B5C5DF4" w14:textId="77777777" w:rsidR="00B701AB" w:rsidRPr="009B38C5" w:rsidRDefault="009B38C5" w:rsidP="00B701AB">
      <w:pPr>
        <w:keepLines w:val="0"/>
        <w:tabs>
          <w:tab w:val="clear" w:pos="-720"/>
          <w:tab w:val="clear" w:pos="4513"/>
          <w:tab w:val="clear" w:pos="10348"/>
        </w:tabs>
        <w:suppressAutoHyphens w:val="0"/>
        <w:rPr>
          <w:rFonts w:eastAsia="MS Mincho" w:cs="Arial"/>
          <w:szCs w:val="22"/>
          <w:lang w:val="en-US" w:eastAsia="ja-JP"/>
        </w:rPr>
      </w:pPr>
      <w:r w:rsidRPr="009B38C5">
        <w:rPr>
          <w:rFonts w:eastAsia="MS Mincho" w:cs="Arial"/>
          <w:szCs w:val="22"/>
          <w:lang w:val="en-US" w:eastAsia="ja-JP"/>
        </w:rPr>
        <w:t xml:space="preserve">The genotoxic potential of </w:t>
      </w:r>
      <w:r w:rsidRPr="009B38C5">
        <w:rPr>
          <w:rFonts w:eastAsia="MS Mincho"/>
          <w:noProof/>
          <w:szCs w:val="22"/>
          <w:lang w:val="en-US" w:eastAsia="ja-JP"/>
        </w:rPr>
        <w:t>bezlotoxumab</w:t>
      </w:r>
      <w:r w:rsidRPr="009B38C5">
        <w:rPr>
          <w:rFonts w:eastAsia="MS Mincho" w:cs="Arial"/>
          <w:szCs w:val="22"/>
          <w:lang w:val="en-US" w:eastAsia="ja-JP"/>
        </w:rPr>
        <w:t xml:space="preserve"> has not been evaluated.</w:t>
      </w:r>
      <w:r w:rsidR="00B701AB" w:rsidRPr="00B701AB">
        <w:rPr>
          <w:rFonts w:eastAsia="MS Mincho" w:cs="Arial"/>
          <w:color w:val="0000FF"/>
          <w:szCs w:val="22"/>
          <w:lang w:val="en-US" w:eastAsia="ja-JP"/>
        </w:rPr>
        <w:t xml:space="preserve"> </w:t>
      </w:r>
    </w:p>
    <w:p w14:paraId="7B5C5DF6" w14:textId="3E930EF5" w:rsidR="00B433DB" w:rsidRDefault="00B433DB" w:rsidP="00555F36">
      <w:pPr>
        <w:rPr>
          <w:rFonts w:cs="Arial"/>
          <w:sz w:val="24"/>
        </w:rPr>
      </w:pPr>
    </w:p>
    <w:p w14:paraId="7B5C5DF7" w14:textId="77777777" w:rsidR="00B433DB" w:rsidRPr="00187C95" w:rsidRDefault="00B433DB" w:rsidP="00187C95">
      <w:pPr>
        <w:pStyle w:val="Heading2"/>
        <w:rPr>
          <w:rFonts w:ascii="Arial" w:hAnsi="Arial" w:cs="Arial"/>
        </w:rPr>
      </w:pPr>
      <w:r w:rsidRPr="00187C95">
        <w:rPr>
          <w:rFonts w:ascii="Arial" w:hAnsi="Arial" w:cs="Arial"/>
        </w:rPr>
        <w:t>Ca</w:t>
      </w:r>
      <w:r w:rsidR="006C613D" w:rsidRPr="00187C95">
        <w:rPr>
          <w:rFonts w:ascii="Arial" w:hAnsi="Arial" w:cs="Arial"/>
        </w:rPr>
        <w:t>rcinogenicity</w:t>
      </w:r>
    </w:p>
    <w:p w14:paraId="7B5C5DF8" w14:textId="77777777" w:rsidR="009B38C5" w:rsidRPr="009B38C5" w:rsidRDefault="009B38C5" w:rsidP="009B38C5">
      <w:pPr>
        <w:keepLines w:val="0"/>
        <w:tabs>
          <w:tab w:val="clear" w:pos="-720"/>
          <w:tab w:val="clear" w:pos="4513"/>
          <w:tab w:val="clear" w:pos="10348"/>
        </w:tabs>
        <w:suppressAutoHyphens w:val="0"/>
        <w:rPr>
          <w:rFonts w:eastAsia="MS Mincho" w:cs="Arial"/>
          <w:szCs w:val="22"/>
          <w:lang w:val="en-US" w:eastAsia="ja-JP"/>
        </w:rPr>
      </w:pPr>
      <w:r w:rsidRPr="009B38C5">
        <w:rPr>
          <w:rFonts w:eastAsia="MS Mincho" w:cs="Arial"/>
          <w:sz w:val="20"/>
          <w:lang w:val="en-US" w:eastAsia="ja-JP"/>
        </w:rPr>
        <w:t>T</w:t>
      </w:r>
      <w:r w:rsidRPr="009B38C5">
        <w:rPr>
          <w:rFonts w:eastAsia="MS Mincho" w:cs="Arial"/>
          <w:szCs w:val="22"/>
          <w:lang w:val="en-US" w:eastAsia="ja-JP"/>
        </w:rPr>
        <w:t xml:space="preserve">he carcinogenic potential of </w:t>
      </w:r>
      <w:proofErr w:type="spellStart"/>
      <w:r w:rsidRPr="009B38C5">
        <w:rPr>
          <w:rFonts w:eastAsia="MS Mincho" w:cs="Arial"/>
          <w:szCs w:val="22"/>
          <w:lang w:val="en-US" w:eastAsia="ja-JP"/>
        </w:rPr>
        <w:t>bezlotoxumab</w:t>
      </w:r>
      <w:proofErr w:type="spellEnd"/>
      <w:r w:rsidRPr="009B38C5">
        <w:rPr>
          <w:rFonts w:eastAsia="MS Mincho" w:cs="Arial"/>
          <w:szCs w:val="22"/>
          <w:lang w:val="en-US" w:eastAsia="ja-JP"/>
        </w:rPr>
        <w:t xml:space="preserve"> has not been evaluated in long-term animal studies.</w:t>
      </w:r>
      <w:r w:rsidR="00105E72">
        <w:rPr>
          <w:rFonts w:eastAsia="MS Mincho" w:cs="Arial"/>
          <w:szCs w:val="22"/>
          <w:lang w:val="en-US" w:eastAsia="ja-JP"/>
        </w:rPr>
        <w:t xml:space="preserve"> </w:t>
      </w:r>
    </w:p>
    <w:p w14:paraId="7B5C5DF9" w14:textId="77777777" w:rsidR="00406042" w:rsidRPr="00A04553" w:rsidRDefault="00406042" w:rsidP="00555F36">
      <w:pPr>
        <w:pStyle w:val="BodyText1"/>
        <w:ind w:firstLine="0"/>
        <w:jc w:val="both"/>
        <w:rPr>
          <w:rFonts w:ascii="Arial" w:hAnsi="Arial" w:cs="Arial"/>
          <w:sz w:val="22"/>
          <w:szCs w:val="20"/>
        </w:rPr>
      </w:pPr>
    </w:p>
    <w:p w14:paraId="7B5C5DFA" w14:textId="77777777" w:rsidR="003A6F1C" w:rsidRPr="00187C95" w:rsidRDefault="00C25BB6" w:rsidP="007B396B">
      <w:pPr>
        <w:pStyle w:val="Heading1"/>
      </w:pPr>
      <w:r w:rsidRPr="00A04553">
        <w:t>INTERACTIONS WITH OTHER MEDICINES</w:t>
      </w:r>
    </w:p>
    <w:p w14:paraId="7B5C5DFB" w14:textId="5FAA5137" w:rsidR="00B06992" w:rsidRDefault="00B06992" w:rsidP="00B06992">
      <w:pPr>
        <w:keepLines w:val="0"/>
        <w:tabs>
          <w:tab w:val="clear" w:pos="-720"/>
          <w:tab w:val="clear" w:pos="4513"/>
          <w:tab w:val="clear" w:pos="10348"/>
        </w:tabs>
        <w:suppressAutoHyphens w:val="0"/>
        <w:rPr>
          <w:rFonts w:eastAsia="MS Mincho" w:cs="Arial"/>
          <w:noProof/>
          <w:szCs w:val="22"/>
          <w:lang w:val="en-US" w:eastAsia="ja-JP"/>
        </w:rPr>
      </w:pPr>
      <w:r w:rsidRPr="00B06992">
        <w:rPr>
          <w:rFonts w:eastAsia="MS Mincho" w:cs="Arial"/>
          <w:szCs w:val="22"/>
          <w:lang w:val="en-US" w:eastAsia="ja-JP"/>
        </w:rPr>
        <w:t xml:space="preserve">No formal pharmacokinetic drug interaction studies have been conducted with </w:t>
      </w:r>
      <w:proofErr w:type="spellStart"/>
      <w:r w:rsidR="00D0469F">
        <w:rPr>
          <w:rFonts w:eastAsia="MS Mincho" w:cs="Arial"/>
          <w:szCs w:val="22"/>
          <w:lang w:val="en-US" w:eastAsia="ja-JP"/>
        </w:rPr>
        <w:t>bezlotoxumab</w:t>
      </w:r>
      <w:proofErr w:type="spellEnd"/>
      <w:r w:rsidRPr="00B06992">
        <w:rPr>
          <w:rFonts w:eastAsia="MS Mincho" w:cs="Arial"/>
          <w:szCs w:val="22"/>
          <w:lang w:val="en-US" w:eastAsia="ja-JP"/>
        </w:rPr>
        <w:t xml:space="preserve">. </w:t>
      </w:r>
      <w:r w:rsidRPr="00B06992">
        <w:rPr>
          <w:rFonts w:eastAsia="MS Mincho" w:cs="Arial"/>
          <w:noProof/>
          <w:szCs w:val="22"/>
          <w:lang w:val="en-US" w:eastAsia="ja-JP"/>
        </w:rPr>
        <w:t xml:space="preserve">Since </w:t>
      </w:r>
      <w:r w:rsidR="00D0469F">
        <w:rPr>
          <w:rFonts w:eastAsia="MS Mincho" w:cs="Arial"/>
          <w:noProof/>
          <w:szCs w:val="22"/>
          <w:lang w:val="en-US" w:eastAsia="ja-JP"/>
        </w:rPr>
        <w:t xml:space="preserve">bezlotoxumab </w:t>
      </w:r>
      <w:r w:rsidRPr="00B06992">
        <w:rPr>
          <w:rFonts w:eastAsia="MS Mincho" w:cs="Arial"/>
          <w:noProof/>
          <w:szCs w:val="22"/>
          <w:lang w:val="en-US" w:eastAsia="ja-JP"/>
        </w:rPr>
        <w:t>is eliminated by catabolism, no metabolic drug-drug interactions are expected.</w:t>
      </w:r>
    </w:p>
    <w:p w14:paraId="7B5C5DFC" w14:textId="77777777" w:rsidR="003A6F1C" w:rsidRPr="00AE1EF9" w:rsidRDefault="003A6F1C" w:rsidP="007B396B">
      <w:pPr>
        <w:pStyle w:val="Heading1"/>
      </w:pPr>
      <w:r w:rsidRPr="00D8643B">
        <w:t xml:space="preserve">ADVERSE </w:t>
      </w:r>
      <w:r w:rsidR="00C25BB6" w:rsidRPr="00AE1EF9">
        <w:t>EFFECTS</w:t>
      </w:r>
    </w:p>
    <w:p w14:paraId="7B5C5DFD" w14:textId="77777777" w:rsidR="00CF772C" w:rsidRPr="00187C95" w:rsidRDefault="003345BB" w:rsidP="00EE12B4">
      <w:pPr>
        <w:pStyle w:val="Heading2"/>
        <w:rPr>
          <w:rFonts w:ascii="Arial" w:hAnsi="Arial" w:cs="Arial"/>
        </w:rPr>
      </w:pPr>
      <w:r w:rsidRPr="00187C95">
        <w:rPr>
          <w:rFonts w:ascii="Arial" w:hAnsi="Arial" w:cs="Arial"/>
        </w:rPr>
        <w:t>Clinical trials experience</w:t>
      </w:r>
    </w:p>
    <w:p w14:paraId="7B5C5DFE" w14:textId="77777777" w:rsidR="003E2FDB" w:rsidRPr="00A97420" w:rsidRDefault="003E2FDB" w:rsidP="00187C95">
      <w:pPr>
        <w:pStyle w:val="BodyText1"/>
        <w:ind w:firstLine="0"/>
        <w:jc w:val="both"/>
        <w:rPr>
          <w:rFonts w:ascii="Arial" w:hAnsi="Arial" w:cs="Arial"/>
          <w:noProof/>
          <w:sz w:val="22"/>
          <w:szCs w:val="20"/>
        </w:rPr>
      </w:pPr>
    </w:p>
    <w:p w14:paraId="7B5C5DFF" w14:textId="77777777" w:rsidR="00914156" w:rsidRDefault="00B06992" w:rsidP="00B06992">
      <w:pPr>
        <w:keepLines w:val="0"/>
        <w:tabs>
          <w:tab w:val="clear" w:pos="-720"/>
          <w:tab w:val="clear" w:pos="4513"/>
          <w:tab w:val="clear" w:pos="10348"/>
        </w:tabs>
        <w:suppressAutoHyphens w:val="0"/>
        <w:rPr>
          <w:rFonts w:eastAsia="MS Mincho" w:cs="Arial"/>
          <w:szCs w:val="22"/>
          <w:lang w:val="en-US" w:eastAsia="ja-JP"/>
        </w:rPr>
      </w:pPr>
      <w:r w:rsidRPr="00B06992">
        <w:rPr>
          <w:rFonts w:eastAsia="MS Mincho" w:cs="Arial"/>
          <w:szCs w:val="22"/>
          <w:lang w:val="en-US" w:eastAsia="ja-JP"/>
        </w:rPr>
        <w:t xml:space="preserve">The safety of </w:t>
      </w:r>
      <w:r w:rsidR="00AC7B27">
        <w:rPr>
          <w:rFonts w:eastAsia="MS Mincho" w:cs="Arial"/>
          <w:szCs w:val="22"/>
          <w:lang w:val="en-US" w:eastAsia="ja-JP"/>
        </w:rPr>
        <w:t>ZINPLAVA</w:t>
      </w:r>
      <w:r w:rsidRPr="00B06992">
        <w:rPr>
          <w:rFonts w:eastAsia="MS Mincho" w:cs="Arial"/>
          <w:szCs w:val="22"/>
          <w:lang w:val="en-US" w:eastAsia="ja-JP"/>
        </w:rPr>
        <w:t xml:space="preserve"> was evaluated in two placebo-controlled, Phase 3 studies (MODIFY I and MODIFY II) in patients receiving a single dose of </w:t>
      </w:r>
      <w:r w:rsidR="00AC7B27">
        <w:rPr>
          <w:rFonts w:eastAsia="MS Mincho" w:cs="Arial"/>
          <w:szCs w:val="22"/>
          <w:lang w:val="en-US" w:eastAsia="ja-JP"/>
        </w:rPr>
        <w:t>ZINPLAVA</w:t>
      </w:r>
      <w:r w:rsidRPr="00B06992">
        <w:rPr>
          <w:rFonts w:eastAsia="MS Mincho" w:cs="Arial"/>
          <w:szCs w:val="22"/>
          <w:lang w:val="en-US" w:eastAsia="ja-JP"/>
        </w:rPr>
        <w:t xml:space="preserve"> of 10 mg/kg and concomitant standard of care (</w:t>
      </w:r>
      <w:proofErr w:type="spellStart"/>
      <w:r w:rsidRPr="00B06992">
        <w:rPr>
          <w:rFonts w:eastAsia="MS Mincho" w:cs="Arial"/>
          <w:szCs w:val="22"/>
          <w:lang w:val="en-US" w:eastAsia="ja-JP"/>
        </w:rPr>
        <w:t>SoC</w:t>
      </w:r>
      <w:proofErr w:type="spellEnd"/>
      <w:r w:rsidRPr="00B06992">
        <w:rPr>
          <w:rFonts w:eastAsia="MS Mincho" w:cs="Arial"/>
          <w:szCs w:val="22"/>
          <w:lang w:val="en-US" w:eastAsia="ja-JP"/>
        </w:rPr>
        <w:t xml:space="preserve">) antibiotic therapy (metronidazole, vancomycin or </w:t>
      </w:r>
      <w:proofErr w:type="spellStart"/>
      <w:r w:rsidRPr="00B06992">
        <w:rPr>
          <w:rFonts w:eastAsia="MS Mincho" w:cs="Arial"/>
          <w:szCs w:val="22"/>
          <w:lang w:val="en-US" w:eastAsia="ja-JP"/>
        </w:rPr>
        <w:t>fidaxomicin</w:t>
      </w:r>
      <w:proofErr w:type="spellEnd"/>
      <w:r w:rsidRPr="00B06992">
        <w:rPr>
          <w:rFonts w:eastAsia="MS Mincho" w:cs="Arial"/>
          <w:szCs w:val="22"/>
          <w:lang w:val="en-US" w:eastAsia="ja-JP"/>
        </w:rPr>
        <w:t xml:space="preserve">) for CDI. </w:t>
      </w:r>
    </w:p>
    <w:p w14:paraId="7B5C5E00" w14:textId="77777777" w:rsidR="00F004C5" w:rsidRDefault="00F004C5" w:rsidP="00B06992">
      <w:pPr>
        <w:keepLines w:val="0"/>
        <w:tabs>
          <w:tab w:val="clear" w:pos="-720"/>
          <w:tab w:val="clear" w:pos="4513"/>
          <w:tab w:val="clear" w:pos="10348"/>
        </w:tabs>
        <w:suppressAutoHyphens w:val="0"/>
        <w:rPr>
          <w:rFonts w:eastAsia="MS Mincho" w:cs="Arial"/>
          <w:szCs w:val="22"/>
          <w:lang w:val="en-US" w:eastAsia="ja-JP"/>
        </w:rPr>
      </w:pPr>
    </w:p>
    <w:p w14:paraId="7B5C5E01" w14:textId="77777777" w:rsidR="00583120" w:rsidRDefault="00B06992" w:rsidP="00B06992">
      <w:pPr>
        <w:keepLines w:val="0"/>
        <w:tabs>
          <w:tab w:val="clear" w:pos="-720"/>
          <w:tab w:val="clear" w:pos="4513"/>
          <w:tab w:val="clear" w:pos="10348"/>
        </w:tabs>
        <w:suppressAutoHyphens w:val="0"/>
        <w:rPr>
          <w:rFonts w:eastAsia="MS Mincho" w:cs="Arial"/>
          <w:szCs w:val="22"/>
          <w:lang w:val="en-US" w:eastAsia="ja-JP"/>
        </w:rPr>
      </w:pPr>
      <w:r w:rsidRPr="00B06992">
        <w:rPr>
          <w:rFonts w:eastAsia="MS Mincho" w:cs="Arial"/>
          <w:szCs w:val="22"/>
          <w:lang w:val="en-US" w:eastAsia="ja-JP"/>
        </w:rPr>
        <w:t xml:space="preserve">Adverse reactions (adverse events regardless of causality or severity) reported within the first 4 weeks after </w:t>
      </w:r>
      <w:r w:rsidR="00AC7B27">
        <w:rPr>
          <w:rFonts w:eastAsia="MS Mincho" w:cs="Arial"/>
          <w:szCs w:val="22"/>
          <w:lang w:val="en-US" w:eastAsia="ja-JP"/>
        </w:rPr>
        <w:t>ZINPLAVA</w:t>
      </w:r>
      <w:r w:rsidRPr="00B06992">
        <w:rPr>
          <w:rFonts w:eastAsia="MS Mincho" w:cs="Arial"/>
          <w:szCs w:val="22"/>
          <w:lang w:val="en-US" w:eastAsia="ja-JP"/>
        </w:rPr>
        <w:t xml:space="preserve"> was administered are described for the pooled Phase 3 trial population of 786 patients.</w:t>
      </w:r>
      <w:r w:rsidR="00343062">
        <w:rPr>
          <w:rFonts w:eastAsia="MS Mincho" w:cs="Arial"/>
          <w:szCs w:val="22"/>
          <w:lang w:val="en-US" w:eastAsia="ja-JP"/>
        </w:rPr>
        <w:t xml:space="preserve"> </w:t>
      </w:r>
      <w:r w:rsidRPr="00B06992">
        <w:rPr>
          <w:rFonts w:eastAsia="MS Mincho" w:cs="Arial"/>
          <w:szCs w:val="22"/>
          <w:lang w:val="en-US" w:eastAsia="ja-JP"/>
        </w:rPr>
        <w:t xml:space="preserve">The median age of patients receiving </w:t>
      </w:r>
      <w:r w:rsidR="00AC7B27">
        <w:rPr>
          <w:rFonts w:eastAsia="MS Mincho" w:cs="Arial"/>
          <w:szCs w:val="22"/>
          <w:lang w:val="en-US" w:eastAsia="ja-JP"/>
        </w:rPr>
        <w:t>ZINPLAVA</w:t>
      </w:r>
      <w:r w:rsidRPr="00B06992">
        <w:rPr>
          <w:rFonts w:eastAsia="MS Mincho" w:cs="Arial"/>
          <w:szCs w:val="22"/>
          <w:lang w:val="en-US" w:eastAsia="ja-JP"/>
        </w:rPr>
        <w:t xml:space="preserve"> was 65 years (range 18 to 100), 50% were age 65 years or older, 56% were female, and 83% were white.</w:t>
      </w:r>
    </w:p>
    <w:p w14:paraId="7B5C5E02" w14:textId="77777777" w:rsidR="00B06992" w:rsidRPr="00B06992" w:rsidRDefault="00583120" w:rsidP="00B06992">
      <w:pPr>
        <w:keepLines w:val="0"/>
        <w:tabs>
          <w:tab w:val="clear" w:pos="-720"/>
          <w:tab w:val="clear" w:pos="4513"/>
          <w:tab w:val="clear" w:pos="10348"/>
        </w:tabs>
        <w:suppressAutoHyphens w:val="0"/>
        <w:rPr>
          <w:rFonts w:eastAsia="MS Mincho" w:cs="Arial"/>
          <w:szCs w:val="22"/>
          <w:lang w:val="en-US" w:eastAsia="ja-JP"/>
        </w:rPr>
      </w:pPr>
      <w:r w:rsidRPr="00B06992">
        <w:rPr>
          <w:rFonts w:eastAsia="MS Mincho" w:cs="Arial"/>
          <w:szCs w:val="22"/>
          <w:lang w:val="en-US" w:eastAsia="ja-JP"/>
        </w:rPr>
        <w:t xml:space="preserve"> </w:t>
      </w:r>
    </w:p>
    <w:p w14:paraId="7B5C5E03" w14:textId="77777777" w:rsidR="00B06992" w:rsidRPr="00B06992" w:rsidRDefault="00B06992" w:rsidP="00B06992">
      <w:pPr>
        <w:keepLines w:val="0"/>
        <w:tabs>
          <w:tab w:val="clear" w:pos="-720"/>
          <w:tab w:val="clear" w:pos="4513"/>
          <w:tab w:val="clear" w:pos="10348"/>
        </w:tabs>
        <w:suppressAutoHyphens w:val="0"/>
        <w:rPr>
          <w:rFonts w:eastAsia="MS Mincho" w:cs="Arial"/>
          <w:szCs w:val="22"/>
          <w:lang w:val="en-US" w:eastAsia="ja-JP"/>
        </w:rPr>
      </w:pPr>
      <w:r w:rsidRPr="00B06992">
        <w:rPr>
          <w:rFonts w:eastAsia="MS Mincho" w:cs="Arial"/>
          <w:szCs w:val="22"/>
          <w:lang w:val="en-US" w:eastAsia="ja-JP"/>
        </w:rPr>
        <w:t xml:space="preserve">The type and severity of adverse reactions in patients treated with </w:t>
      </w:r>
      <w:r w:rsidR="00AC7B27">
        <w:rPr>
          <w:rFonts w:eastAsia="MS Mincho" w:cs="Arial"/>
          <w:szCs w:val="22"/>
          <w:lang w:val="en-US" w:eastAsia="ja-JP"/>
        </w:rPr>
        <w:t>ZINPLAVA</w:t>
      </w:r>
      <w:r w:rsidRPr="00B06992">
        <w:rPr>
          <w:rFonts w:eastAsia="MS Mincho" w:cs="Arial"/>
          <w:szCs w:val="22"/>
          <w:lang w:val="en-US" w:eastAsia="ja-JP"/>
        </w:rPr>
        <w:t xml:space="preserve"> was comparable to that in patients treated with placebo. The most common adverse reactions following treatment with </w:t>
      </w:r>
      <w:r w:rsidR="00AC7B27">
        <w:rPr>
          <w:rFonts w:eastAsia="MS Mincho" w:cs="Arial"/>
          <w:szCs w:val="22"/>
          <w:lang w:val="en-US" w:eastAsia="ja-JP"/>
        </w:rPr>
        <w:t>ZINPLAVA</w:t>
      </w:r>
      <w:r w:rsidRPr="00B06992">
        <w:rPr>
          <w:rFonts w:eastAsia="MS Mincho" w:cs="Arial"/>
          <w:szCs w:val="22"/>
          <w:lang w:val="en-US" w:eastAsia="ja-JP"/>
        </w:rPr>
        <w:t xml:space="preserve"> (reported in ≥ 4% of patients within the first 4 weeks of infusion) were nausea, </w:t>
      </w:r>
      <w:proofErr w:type="spellStart"/>
      <w:r w:rsidR="00040B43">
        <w:rPr>
          <w:rFonts w:eastAsia="MS Mincho" w:cs="Arial"/>
          <w:szCs w:val="22"/>
          <w:lang w:val="en-US" w:eastAsia="ja-JP"/>
        </w:rPr>
        <w:t>diarrhoea</w:t>
      </w:r>
      <w:proofErr w:type="spellEnd"/>
      <w:r w:rsidRPr="00B06992">
        <w:rPr>
          <w:rFonts w:eastAsia="MS Mincho" w:cs="Arial"/>
          <w:szCs w:val="22"/>
          <w:lang w:val="en-US" w:eastAsia="ja-JP"/>
        </w:rPr>
        <w:t xml:space="preserve">, pyrexia and headache. Adverse reactions reported in at least 4% of </w:t>
      </w:r>
      <w:r w:rsidR="00AC7B27">
        <w:rPr>
          <w:rFonts w:eastAsia="MS Mincho" w:cs="Arial"/>
          <w:szCs w:val="22"/>
          <w:lang w:val="en-US" w:eastAsia="ja-JP"/>
        </w:rPr>
        <w:t>ZINPLAVA</w:t>
      </w:r>
      <w:r w:rsidRPr="00B06992">
        <w:rPr>
          <w:rFonts w:eastAsia="MS Mincho" w:cs="Arial"/>
          <w:szCs w:val="22"/>
          <w:lang w:val="en-US" w:eastAsia="ja-JP"/>
        </w:rPr>
        <w:t xml:space="preserve"> treated patients, with a frequency greater than placebo are shown in </w:t>
      </w:r>
      <w:r w:rsidRPr="006853A1">
        <w:rPr>
          <w:rFonts w:eastAsia="MS Mincho" w:cs="Arial"/>
          <w:b/>
          <w:szCs w:val="22"/>
          <w:lang w:val="en-US" w:eastAsia="ja-JP"/>
        </w:rPr>
        <w:t>Table </w:t>
      </w:r>
      <w:r w:rsidR="006853A1">
        <w:rPr>
          <w:rFonts w:eastAsia="MS Mincho" w:cs="Arial"/>
          <w:b/>
          <w:szCs w:val="22"/>
          <w:lang w:val="en-US" w:eastAsia="ja-JP"/>
        </w:rPr>
        <w:t>3</w:t>
      </w:r>
      <w:r w:rsidRPr="006853A1">
        <w:rPr>
          <w:rFonts w:eastAsia="MS Mincho" w:cs="Arial"/>
          <w:szCs w:val="22"/>
          <w:lang w:val="en-US" w:eastAsia="ja-JP"/>
        </w:rPr>
        <w:t>.</w:t>
      </w:r>
      <w:r w:rsidR="00343062">
        <w:rPr>
          <w:rFonts w:eastAsia="MS Mincho" w:cs="Arial"/>
          <w:szCs w:val="22"/>
          <w:lang w:val="en-US" w:eastAsia="ja-JP"/>
        </w:rPr>
        <w:t xml:space="preserve"> </w:t>
      </w:r>
    </w:p>
    <w:p w14:paraId="7B5C5E04" w14:textId="77777777" w:rsidR="00CF772C" w:rsidRPr="004172BA" w:rsidRDefault="00CF772C" w:rsidP="00187C95">
      <w:pPr>
        <w:pStyle w:val="BodyText1"/>
        <w:ind w:firstLine="0"/>
        <w:jc w:val="both"/>
        <w:rPr>
          <w:rFonts w:ascii="Arial" w:hAnsi="Arial" w:cs="Arial"/>
          <w:noProof/>
          <w:sz w:val="22"/>
          <w:szCs w:val="20"/>
        </w:rPr>
      </w:pPr>
    </w:p>
    <w:p w14:paraId="7B5C5E05" w14:textId="77777777" w:rsidR="00B06992" w:rsidRPr="00343062" w:rsidRDefault="00B06992" w:rsidP="00B06992">
      <w:pPr>
        <w:keepLines w:val="0"/>
        <w:tabs>
          <w:tab w:val="clear" w:pos="-720"/>
          <w:tab w:val="clear" w:pos="4513"/>
          <w:tab w:val="clear" w:pos="10348"/>
        </w:tabs>
        <w:suppressAutoHyphens w:val="0"/>
        <w:jc w:val="center"/>
        <w:rPr>
          <w:rFonts w:eastAsia="MS Mincho" w:cs="Arial"/>
          <w:b/>
          <w:szCs w:val="22"/>
          <w:lang w:val="en-US" w:eastAsia="ja-JP"/>
        </w:rPr>
      </w:pPr>
      <w:r w:rsidRPr="006853A1">
        <w:rPr>
          <w:rFonts w:eastAsia="MS Mincho" w:cs="Arial"/>
          <w:b/>
          <w:szCs w:val="22"/>
          <w:lang w:val="en-US" w:eastAsia="ja-JP"/>
        </w:rPr>
        <w:t>Table </w:t>
      </w:r>
      <w:r w:rsidR="006853A1">
        <w:rPr>
          <w:rFonts w:eastAsia="MS Mincho" w:cs="Arial"/>
          <w:b/>
          <w:szCs w:val="22"/>
          <w:lang w:val="en-US" w:eastAsia="ja-JP"/>
        </w:rPr>
        <w:t>3</w:t>
      </w:r>
      <w:r w:rsidRPr="006853A1">
        <w:rPr>
          <w:rFonts w:eastAsia="MS Mincho" w:cs="Arial"/>
          <w:b/>
          <w:szCs w:val="22"/>
          <w:lang w:val="en-US" w:eastAsia="ja-JP"/>
        </w:rPr>
        <w:t>:</w:t>
      </w:r>
      <w:r w:rsidRPr="00B06992">
        <w:rPr>
          <w:rFonts w:eastAsia="MS Mincho" w:cs="Arial"/>
          <w:b/>
          <w:szCs w:val="22"/>
          <w:lang w:val="en-US" w:eastAsia="ja-JP"/>
        </w:rPr>
        <w:t xml:space="preserve"> Adverse Reactions Reported Within 4 Weeks of Infusion in ≥4% of </w:t>
      </w:r>
      <w:r w:rsidR="00AC7B27">
        <w:rPr>
          <w:rFonts w:eastAsia="MS Mincho" w:cs="Arial"/>
          <w:b/>
          <w:szCs w:val="22"/>
          <w:lang w:val="en-US" w:eastAsia="ja-JP"/>
        </w:rPr>
        <w:t>ZINPLAVA</w:t>
      </w:r>
      <w:r w:rsidRPr="00B06992">
        <w:rPr>
          <w:rFonts w:eastAsia="MS Mincho" w:cs="Arial"/>
          <w:b/>
          <w:szCs w:val="22"/>
          <w:lang w:val="en-US" w:eastAsia="ja-JP"/>
        </w:rPr>
        <w:t>-treated Patients and at a Frequency Greater than Placebo in the MODIFY I and MODIFY II Trials </w:t>
      </w:r>
      <w:r w:rsidRPr="00B06992">
        <w:rPr>
          <w:rFonts w:eastAsia="MS Mincho" w:cs="Arial"/>
          <w:b/>
          <w:szCs w:val="22"/>
          <w:vertAlign w:val="superscript"/>
          <w:lang w:val="en-US" w:eastAsia="ja-JP"/>
        </w:rPr>
        <w:t>*</w:t>
      </w:r>
      <w:r w:rsidR="00343062">
        <w:rPr>
          <w:rFonts w:eastAsia="MS Mincho" w:cs="Arial"/>
          <w:b/>
          <w:szCs w:val="22"/>
          <w:lang w:val="en-US" w:eastAsia="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592"/>
        <w:gridCol w:w="2304"/>
      </w:tblGrid>
      <w:tr w:rsidR="00B06992" w:rsidRPr="00B06992" w14:paraId="7B5C5E09" w14:textId="77777777" w:rsidTr="00FD0499">
        <w:trPr>
          <w:jc w:val="center"/>
        </w:trPr>
        <w:tc>
          <w:tcPr>
            <w:tcW w:w="4320" w:type="dxa"/>
            <w:shd w:val="clear" w:color="auto" w:fill="auto"/>
          </w:tcPr>
          <w:p w14:paraId="7B5C5E06" w14:textId="77777777" w:rsidR="00B06992" w:rsidRPr="00B06992" w:rsidRDefault="00B06992" w:rsidP="00B06992">
            <w:pPr>
              <w:keepLines w:val="0"/>
              <w:tabs>
                <w:tab w:val="clear" w:pos="-720"/>
                <w:tab w:val="clear" w:pos="4513"/>
                <w:tab w:val="clear" w:pos="10348"/>
              </w:tabs>
              <w:suppressAutoHyphens w:val="0"/>
              <w:jc w:val="center"/>
              <w:rPr>
                <w:rFonts w:eastAsia="MS Mincho" w:cs="Arial"/>
                <w:szCs w:val="22"/>
                <w:lang w:val="en-US" w:eastAsia="ja-JP"/>
              </w:rPr>
            </w:pPr>
            <w:r w:rsidRPr="00B06992">
              <w:rPr>
                <w:rFonts w:eastAsia="MS Mincho" w:cs="Arial"/>
                <w:szCs w:val="22"/>
                <w:lang w:val="en-US" w:eastAsia="ja-JP"/>
              </w:rPr>
              <w:lastRenderedPageBreak/>
              <w:br/>
            </w:r>
            <w:r w:rsidRPr="00B06992">
              <w:rPr>
                <w:rFonts w:eastAsia="MS Mincho" w:cs="Arial"/>
                <w:szCs w:val="22"/>
                <w:lang w:val="en-US" w:eastAsia="ja-JP"/>
              </w:rPr>
              <w:br/>
            </w:r>
            <w:r w:rsidRPr="00B06992">
              <w:rPr>
                <w:rFonts w:eastAsia="MS Mincho" w:cs="Arial"/>
                <w:b/>
                <w:szCs w:val="22"/>
                <w:lang w:val="en-US" w:eastAsia="ja-JP"/>
              </w:rPr>
              <w:t>Adverse Reaction</w:t>
            </w:r>
          </w:p>
        </w:tc>
        <w:tc>
          <w:tcPr>
            <w:tcW w:w="2592" w:type="dxa"/>
            <w:shd w:val="clear" w:color="auto" w:fill="auto"/>
          </w:tcPr>
          <w:p w14:paraId="7B5C5E07" w14:textId="77777777" w:rsidR="00B06992" w:rsidRPr="00B06992" w:rsidRDefault="00AC7B27" w:rsidP="00AC7B27">
            <w:pPr>
              <w:keepLines w:val="0"/>
              <w:tabs>
                <w:tab w:val="clear" w:pos="-720"/>
                <w:tab w:val="clear" w:pos="4513"/>
                <w:tab w:val="clear" w:pos="10348"/>
              </w:tabs>
              <w:suppressAutoHyphens w:val="0"/>
              <w:jc w:val="center"/>
              <w:rPr>
                <w:rFonts w:eastAsia="MS Mincho" w:cs="Arial"/>
                <w:b/>
                <w:szCs w:val="22"/>
                <w:lang w:val="en-US" w:eastAsia="ja-JP"/>
              </w:rPr>
            </w:pPr>
            <w:r>
              <w:rPr>
                <w:rFonts w:eastAsia="MS Mincho" w:cs="Arial"/>
                <w:b/>
                <w:szCs w:val="22"/>
                <w:lang w:val="en-US" w:eastAsia="ja-JP"/>
              </w:rPr>
              <w:t>ZINPLAVA</w:t>
            </w:r>
            <w:r w:rsidR="00B06992" w:rsidRPr="00B06992">
              <w:rPr>
                <w:rFonts w:eastAsia="MS Mincho" w:cs="Arial"/>
                <w:b/>
                <w:szCs w:val="22"/>
                <w:lang w:val="en-US" w:eastAsia="ja-JP"/>
              </w:rPr>
              <w:t xml:space="preserve"> with </w:t>
            </w:r>
            <w:proofErr w:type="spellStart"/>
            <w:r w:rsidR="00B06992" w:rsidRPr="00B06992">
              <w:rPr>
                <w:rFonts w:eastAsia="MS Mincho" w:cs="Arial"/>
                <w:b/>
                <w:szCs w:val="22"/>
                <w:lang w:val="en-US" w:eastAsia="ja-JP"/>
              </w:rPr>
              <w:t>SoC</w:t>
            </w:r>
            <w:proofErr w:type="spellEnd"/>
            <w:r w:rsidR="00B06992" w:rsidRPr="00B06992">
              <w:rPr>
                <w:rFonts w:eastAsia="MS Mincho" w:cs="Arial"/>
                <w:b/>
                <w:szCs w:val="22"/>
                <w:lang w:val="en-US" w:eastAsia="ja-JP"/>
              </w:rPr>
              <w:t xml:space="preserve"> </w:t>
            </w:r>
            <w:r w:rsidR="00B06992" w:rsidRPr="00B06992">
              <w:rPr>
                <w:rFonts w:eastAsia="MS Mincho" w:cs="Arial"/>
                <w:b/>
                <w:szCs w:val="22"/>
                <w:vertAlign w:val="superscript"/>
                <w:lang w:val="en-US" w:eastAsia="ja-JP"/>
              </w:rPr>
              <w:t>†</w:t>
            </w:r>
            <w:r w:rsidR="00B06992" w:rsidRPr="00B06992">
              <w:rPr>
                <w:rFonts w:eastAsia="MS Mincho" w:cs="Arial"/>
                <w:b/>
                <w:szCs w:val="22"/>
                <w:vertAlign w:val="superscript"/>
                <w:lang w:val="en-US" w:eastAsia="ja-JP"/>
              </w:rPr>
              <w:br/>
            </w:r>
            <w:r w:rsidR="00B06992" w:rsidRPr="00B06992">
              <w:rPr>
                <w:rFonts w:eastAsia="MS Mincho" w:cs="Arial"/>
                <w:b/>
                <w:szCs w:val="22"/>
                <w:lang w:val="en-US" w:eastAsia="ja-JP"/>
              </w:rPr>
              <w:t>N=786</w:t>
            </w:r>
            <w:r w:rsidR="00B06992" w:rsidRPr="00B06992">
              <w:rPr>
                <w:rFonts w:eastAsia="MS Mincho" w:cs="Arial"/>
                <w:b/>
                <w:szCs w:val="22"/>
                <w:lang w:val="en-US" w:eastAsia="ja-JP"/>
              </w:rPr>
              <w:br/>
              <w:t>%   (n)</w:t>
            </w:r>
          </w:p>
        </w:tc>
        <w:tc>
          <w:tcPr>
            <w:tcW w:w="2304" w:type="dxa"/>
            <w:shd w:val="clear" w:color="auto" w:fill="auto"/>
          </w:tcPr>
          <w:p w14:paraId="7B5C5E08" w14:textId="77777777" w:rsidR="00B06992" w:rsidRPr="00B06992" w:rsidRDefault="00B06992" w:rsidP="00B06992">
            <w:pPr>
              <w:keepLines w:val="0"/>
              <w:tabs>
                <w:tab w:val="clear" w:pos="-720"/>
                <w:tab w:val="clear" w:pos="4513"/>
                <w:tab w:val="clear" w:pos="10348"/>
              </w:tabs>
              <w:suppressAutoHyphens w:val="0"/>
              <w:jc w:val="center"/>
              <w:rPr>
                <w:rFonts w:eastAsia="MS Mincho" w:cs="Arial"/>
                <w:szCs w:val="22"/>
                <w:lang w:val="en-US" w:eastAsia="ja-JP"/>
              </w:rPr>
            </w:pPr>
            <w:r w:rsidRPr="00B06992">
              <w:rPr>
                <w:rFonts w:eastAsia="MS Mincho" w:cs="Arial"/>
                <w:b/>
                <w:szCs w:val="22"/>
                <w:lang w:val="en-US" w:eastAsia="ja-JP"/>
              </w:rPr>
              <w:t xml:space="preserve">Placebo with </w:t>
            </w:r>
            <w:proofErr w:type="spellStart"/>
            <w:r w:rsidRPr="00B06992">
              <w:rPr>
                <w:rFonts w:eastAsia="MS Mincho" w:cs="Arial"/>
                <w:b/>
                <w:szCs w:val="22"/>
                <w:lang w:val="en-US" w:eastAsia="ja-JP"/>
              </w:rPr>
              <w:t>SoC</w:t>
            </w:r>
            <w:proofErr w:type="spellEnd"/>
            <w:r w:rsidRPr="00B06992">
              <w:rPr>
                <w:rFonts w:eastAsia="MS Mincho" w:cs="Arial"/>
                <w:b/>
                <w:szCs w:val="22"/>
                <w:lang w:val="en-US" w:eastAsia="ja-JP"/>
              </w:rPr>
              <w:t xml:space="preserve"> </w:t>
            </w:r>
            <w:r w:rsidRPr="00B06992">
              <w:rPr>
                <w:rFonts w:eastAsia="MS Mincho" w:cs="Arial"/>
                <w:b/>
                <w:szCs w:val="22"/>
                <w:vertAlign w:val="superscript"/>
                <w:lang w:val="en-US" w:eastAsia="ja-JP"/>
              </w:rPr>
              <w:t>†</w:t>
            </w:r>
            <w:r w:rsidRPr="00B06992">
              <w:rPr>
                <w:rFonts w:eastAsia="MS Mincho" w:cs="Arial"/>
                <w:b/>
                <w:szCs w:val="22"/>
                <w:vertAlign w:val="superscript"/>
                <w:lang w:val="en-US" w:eastAsia="ja-JP"/>
              </w:rPr>
              <w:br/>
            </w:r>
            <w:r w:rsidRPr="00B06992">
              <w:rPr>
                <w:rFonts w:eastAsia="MS Mincho" w:cs="Arial"/>
                <w:b/>
                <w:szCs w:val="22"/>
                <w:lang w:val="en-US" w:eastAsia="ja-JP"/>
              </w:rPr>
              <w:t>N=781</w:t>
            </w:r>
            <w:r w:rsidRPr="00B06992">
              <w:rPr>
                <w:rFonts w:eastAsia="MS Mincho" w:cs="Arial"/>
                <w:b/>
                <w:szCs w:val="22"/>
                <w:lang w:val="en-US" w:eastAsia="ja-JP"/>
              </w:rPr>
              <w:br/>
              <w:t>%   (n)</w:t>
            </w:r>
          </w:p>
        </w:tc>
      </w:tr>
      <w:tr w:rsidR="00B06992" w:rsidRPr="00B06992" w14:paraId="7B5C5E0B" w14:textId="77777777" w:rsidTr="00FD0499">
        <w:trPr>
          <w:jc w:val="center"/>
        </w:trPr>
        <w:tc>
          <w:tcPr>
            <w:tcW w:w="9216" w:type="dxa"/>
            <w:gridSpan w:val="3"/>
            <w:shd w:val="clear" w:color="auto" w:fill="auto"/>
          </w:tcPr>
          <w:p w14:paraId="7B5C5E0A" w14:textId="77777777" w:rsidR="00B06992" w:rsidRPr="00B06992" w:rsidRDefault="00B06992" w:rsidP="00B06992">
            <w:pPr>
              <w:keepLines w:val="0"/>
              <w:tabs>
                <w:tab w:val="clear" w:pos="-720"/>
                <w:tab w:val="clear" w:pos="4513"/>
                <w:tab w:val="clear" w:pos="10348"/>
              </w:tabs>
              <w:suppressAutoHyphens w:val="0"/>
              <w:jc w:val="left"/>
              <w:rPr>
                <w:rFonts w:eastAsia="MS Mincho"/>
                <w:szCs w:val="22"/>
                <w:lang w:val="en-US" w:eastAsia="ja-JP"/>
              </w:rPr>
            </w:pPr>
            <w:r w:rsidRPr="00B06992">
              <w:rPr>
                <w:rFonts w:eastAsia="MS Mincho"/>
                <w:b/>
                <w:szCs w:val="22"/>
                <w:lang w:val="en-US" w:eastAsia="ja-JP"/>
              </w:rPr>
              <w:t>Gastrointestinal disorders</w:t>
            </w:r>
          </w:p>
        </w:tc>
      </w:tr>
      <w:tr w:rsidR="00B06992" w:rsidRPr="00B06992" w14:paraId="7B5C5E0F" w14:textId="77777777" w:rsidTr="00FD0499">
        <w:trPr>
          <w:jc w:val="center"/>
        </w:trPr>
        <w:tc>
          <w:tcPr>
            <w:tcW w:w="4320" w:type="dxa"/>
            <w:shd w:val="clear" w:color="auto" w:fill="auto"/>
          </w:tcPr>
          <w:p w14:paraId="7B5C5E0C" w14:textId="77777777" w:rsidR="00B06992" w:rsidRPr="00B06992" w:rsidRDefault="00B06992" w:rsidP="00B06992">
            <w:pPr>
              <w:keepLines w:val="0"/>
              <w:tabs>
                <w:tab w:val="clear" w:pos="-720"/>
                <w:tab w:val="clear" w:pos="4513"/>
                <w:tab w:val="clear" w:pos="10348"/>
              </w:tabs>
              <w:suppressAutoHyphens w:val="0"/>
              <w:jc w:val="left"/>
              <w:rPr>
                <w:rFonts w:eastAsia="MS Mincho"/>
                <w:szCs w:val="22"/>
                <w:lang w:val="en-US" w:eastAsia="ja-JP"/>
              </w:rPr>
            </w:pPr>
            <w:r w:rsidRPr="00B06992">
              <w:rPr>
                <w:rFonts w:eastAsia="MS Mincho"/>
                <w:szCs w:val="22"/>
                <w:lang w:val="en-US" w:eastAsia="ja-JP"/>
              </w:rPr>
              <w:t xml:space="preserve">   </w:t>
            </w:r>
            <w:proofErr w:type="spellStart"/>
            <w:r w:rsidR="00040B43">
              <w:rPr>
                <w:rFonts w:eastAsia="MS Mincho"/>
                <w:szCs w:val="22"/>
                <w:lang w:val="en-US" w:eastAsia="ja-JP"/>
              </w:rPr>
              <w:t>Diarrhoea</w:t>
            </w:r>
            <w:proofErr w:type="spellEnd"/>
          </w:p>
        </w:tc>
        <w:tc>
          <w:tcPr>
            <w:tcW w:w="2592" w:type="dxa"/>
            <w:shd w:val="clear" w:color="auto" w:fill="auto"/>
          </w:tcPr>
          <w:p w14:paraId="7B5C5E0D" w14:textId="77777777" w:rsidR="00B06992" w:rsidRPr="00B06992" w:rsidRDefault="00B06992" w:rsidP="00B06992">
            <w:pPr>
              <w:keepLines w:val="0"/>
              <w:tabs>
                <w:tab w:val="clear" w:pos="-720"/>
                <w:tab w:val="clear" w:pos="4513"/>
                <w:tab w:val="clear" w:pos="10348"/>
              </w:tabs>
              <w:suppressAutoHyphens w:val="0"/>
              <w:jc w:val="center"/>
              <w:rPr>
                <w:rFonts w:eastAsia="MS Mincho"/>
                <w:szCs w:val="22"/>
                <w:lang w:val="en-US" w:eastAsia="ja-JP"/>
              </w:rPr>
            </w:pPr>
            <w:r w:rsidRPr="00B06992">
              <w:rPr>
                <w:rFonts w:eastAsia="MS Mincho"/>
                <w:szCs w:val="22"/>
                <w:lang w:val="en-US" w:eastAsia="ja-JP"/>
              </w:rPr>
              <w:t>6   (47)</w:t>
            </w:r>
          </w:p>
        </w:tc>
        <w:tc>
          <w:tcPr>
            <w:tcW w:w="2304" w:type="dxa"/>
            <w:shd w:val="clear" w:color="auto" w:fill="auto"/>
          </w:tcPr>
          <w:p w14:paraId="7B5C5E0E" w14:textId="77777777" w:rsidR="00B06992" w:rsidRPr="00B06992" w:rsidRDefault="00B06992" w:rsidP="00B06992">
            <w:pPr>
              <w:keepLines w:val="0"/>
              <w:tabs>
                <w:tab w:val="clear" w:pos="-720"/>
                <w:tab w:val="clear" w:pos="4513"/>
                <w:tab w:val="clear" w:pos="10348"/>
              </w:tabs>
              <w:suppressAutoHyphens w:val="0"/>
              <w:jc w:val="center"/>
              <w:rPr>
                <w:rFonts w:eastAsia="MS Mincho"/>
                <w:szCs w:val="22"/>
                <w:lang w:val="en-US" w:eastAsia="ja-JP"/>
              </w:rPr>
            </w:pPr>
            <w:r w:rsidRPr="00B06992">
              <w:rPr>
                <w:rFonts w:eastAsia="MS Mincho"/>
                <w:szCs w:val="22"/>
                <w:lang w:val="en-US" w:eastAsia="ja-JP"/>
              </w:rPr>
              <w:t>6   (45)</w:t>
            </w:r>
          </w:p>
        </w:tc>
      </w:tr>
      <w:tr w:rsidR="00B06992" w:rsidRPr="00B06992" w14:paraId="7B5C5E13" w14:textId="77777777" w:rsidTr="00FD0499">
        <w:trPr>
          <w:jc w:val="center"/>
        </w:trPr>
        <w:tc>
          <w:tcPr>
            <w:tcW w:w="4320" w:type="dxa"/>
            <w:shd w:val="clear" w:color="auto" w:fill="auto"/>
          </w:tcPr>
          <w:p w14:paraId="7B5C5E10" w14:textId="77777777" w:rsidR="00B06992" w:rsidRPr="00B06992" w:rsidRDefault="00B06992" w:rsidP="00B06992">
            <w:pPr>
              <w:keepLines w:val="0"/>
              <w:tabs>
                <w:tab w:val="clear" w:pos="-720"/>
                <w:tab w:val="clear" w:pos="4513"/>
                <w:tab w:val="clear" w:pos="10348"/>
              </w:tabs>
              <w:suppressAutoHyphens w:val="0"/>
              <w:jc w:val="left"/>
              <w:rPr>
                <w:rFonts w:eastAsia="MS Mincho"/>
                <w:szCs w:val="22"/>
                <w:lang w:val="en-US" w:eastAsia="ja-JP"/>
              </w:rPr>
            </w:pPr>
            <w:r w:rsidRPr="00B06992">
              <w:rPr>
                <w:rFonts w:eastAsia="MS Mincho"/>
                <w:szCs w:val="22"/>
                <w:lang w:val="en-US" w:eastAsia="ja-JP"/>
              </w:rPr>
              <w:t xml:space="preserve">   Nausea</w:t>
            </w:r>
          </w:p>
        </w:tc>
        <w:tc>
          <w:tcPr>
            <w:tcW w:w="2592" w:type="dxa"/>
            <w:shd w:val="clear" w:color="auto" w:fill="auto"/>
          </w:tcPr>
          <w:p w14:paraId="7B5C5E11" w14:textId="77777777" w:rsidR="00B06992" w:rsidRPr="00B06992" w:rsidRDefault="00B06992" w:rsidP="00B06992">
            <w:pPr>
              <w:keepLines w:val="0"/>
              <w:tabs>
                <w:tab w:val="clear" w:pos="-720"/>
                <w:tab w:val="clear" w:pos="4513"/>
                <w:tab w:val="clear" w:pos="10348"/>
              </w:tabs>
              <w:suppressAutoHyphens w:val="0"/>
              <w:jc w:val="center"/>
              <w:rPr>
                <w:rFonts w:eastAsia="MS Mincho"/>
                <w:szCs w:val="22"/>
                <w:lang w:val="en-US" w:eastAsia="ja-JP"/>
              </w:rPr>
            </w:pPr>
            <w:r w:rsidRPr="00B06992">
              <w:rPr>
                <w:rFonts w:eastAsia="MS Mincho"/>
                <w:szCs w:val="22"/>
                <w:lang w:val="en-US" w:eastAsia="ja-JP"/>
              </w:rPr>
              <w:t>7   (52)</w:t>
            </w:r>
          </w:p>
        </w:tc>
        <w:tc>
          <w:tcPr>
            <w:tcW w:w="2304" w:type="dxa"/>
            <w:shd w:val="clear" w:color="auto" w:fill="auto"/>
          </w:tcPr>
          <w:p w14:paraId="7B5C5E12" w14:textId="77777777" w:rsidR="00B06992" w:rsidRPr="00B06992" w:rsidRDefault="00B06992" w:rsidP="00B06992">
            <w:pPr>
              <w:keepLines w:val="0"/>
              <w:tabs>
                <w:tab w:val="clear" w:pos="-720"/>
                <w:tab w:val="clear" w:pos="4513"/>
                <w:tab w:val="clear" w:pos="10348"/>
              </w:tabs>
              <w:suppressAutoHyphens w:val="0"/>
              <w:jc w:val="center"/>
              <w:rPr>
                <w:rFonts w:eastAsia="MS Mincho"/>
                <w:szCs w:val="22"/>
                <w:lang w:val="en-US" w:eastAsia="ja-JP"/>
              </w:rPr>
            </w:pPr>
            <w:r w:rsidRPr="00B06992">
              <w:rPr>
                <w:rFonts w:eastAsia="MS Mincho"/>
                <w:szCs w:val="22"/>
                <w:lang w:val="en-US" w:eastAsia="ja-JP"/>
              </w:rPr>
              <w:t>5   (39)</w:t>
            </w:r>
          </w:p>
        </w:tc>
      </w:tr>
      <w:tr w:rsidR="00B06992" w:rsidRPr="00B06992" w14:paraId="7B5C5E15" w14:textId="77777777" w:rsidTr="00FD0499">
        <w:trPr>
          <w:jc w:val="center"/>
        </w:trPr>
        <w:tc>
          <w:tcPr>
            <w:tcW w:w="9216" w:type="dxa"/>
            <w:gridSpan w:val="3"/>
            <w:shd w:val="clear" w:color="auto" w:fill="auto"/>
          </w:tcPr>
          <w:p w14:paraId="7B5C5E14" w14:textId="77777777" w:rsidR="00B06992" w:rsidRPr="00B06992" w:rsidRDefault="00B06992" w:rsidP="00B06992">
            <w:pPr>
              <w:keepLines w:val="0"/>
              <w:tabs>
                <w:tab w:val="clear" w:pos="-720"/>
                <w:tab w:val="clear" w:pos="4513"/>
                <w:tab w:val="clear" w:pos="10348"/>
              </w:tabs>
              <w:suppressAutoHyphens w:val="0"/>
              <w:jc w:val="left"/>
              <w:rPr>
                <w:rFonts w:eastAsia="MS Mincho"/>
                <w:szCs w:val="22"/>
                <w:lang w:val="en-US" w:eastAsia="ja-JP"/>
              </w:rPr>
            </w:pPr>
            <w:r w:rsidRPr="00B06992">
              <w:rPr>
                <w:rFonts w:eastAsia="MS Mincho"/>
                <w:b/>
                <w:szCs w:val="22"/>
                <w:lang w:val="en-US" w:eastAsia="ja-JP"/>
              </w:rPr>
              <w:t>General disorders and administration site conditions</w:t>
            </w:r>
          </w:p>
        </w:tc>
      </w:tr>
      <w:tr w:rsidR="00B06992" w:rsidRPr="00B06992" w14:paraId="7B5C5E19" w14:textId="77777777" w:rsidTr="00FD0499">
        <w:trPr>
          <w:jc w:val="center"/>
        </w:trPr>
        <w:tc>
          <w:tcPr>
            <w:tcW w:w="4320" w:type="dxa"/>
            <w:shd w:val="clear" w:color="auto" w:fill="auto"/>
          </w:tcPr>
          <w:p w14:paraId="7B5C5E16" w14:textId="77777777" w:rsidR="00B06992" w:rsidRPr="00B06992" w:rsidRDefault="00B06992" w:rsidP="00B06992">
            <w:pPr>
              <w:keepLines w:val="0"/>
              <w:tabs>
                <w:tab w:val="clear" w:pos="-720"/>
                <w:tab w:val="clear" w:pos="4513"/>
                <w:tab w:val="clear" w:pos="10348"/>
              </w:tabs>
              <w:suppressAutoHyphens w:val="0"/>
              <w:jc w:val="left"/>
              <w:rPr>
                <w:rFonts w:eastAsia="MS Mincho"/>
                <w:szCs w:val="22"/>
                <w:lang w:val="en-US" w:eastAsia="ja-JP"/>
              </w:rPr>
            </w:pPr>
            <w:r w:rsidRPr="00B06992">
              <w:rPr>
                <w:rFonts w:eastAsia="MS Mincho"/>
                <w:szCs w:val="22"/>
                <w:lang w:val="en-US" w:eastAsia="ja-JP"/>
              </w:rPr>
              <w:t xml:space="preserve">   Pyrexia</w:t>
            </w:r>
          </w:p>
        </w:tc>
        <w:tc>
          <w:tcPr>
            <w:tcW w:w="2592" w:type="dxa"/>
            <w:shd w:val="clear" w:color="auto" w:fill="auto"/>
          </w:tcPr>
          <w:p w14:paraId="7B5C5E17" w14:textId="77777777" w:rsidR="00B06992" w:rsidRPr="00B06992" w:rsidRDefault="00B06992" w:rsidP="00B06992">
            <w:pPr>
              <w:keepLines w:val="0"/>
              <w:tabs>
                <w:tab w:val="clear" w:pos="-720"/>
                <w:tab w:val="clear" w:pos="4513"/>
                <w:tab w:val="clear" w:pos="10348"/>
              </w:tabs>
              <w:suppressAutoHyphens w:val="0"/>
              <w:jc w:val="center"/>
              <w:rPr>
                <w:rFonts w:eastAsia="MS Mincho"/>
                <w:szCs w:val="22"/>
                <w:lang w:val="en-US" w:eastAsia="ja-JP"/>
              </w:rPr>
            </w:pPr>
            <w:r w:rsidRPr="00B06992">
              <w:rPr>
                <w:rFonts w:eastAsia="MS Mincho"/>
                <w:szCs w:val="22"/>
                <w:lang w:val="en-US" w:eastAsia="ja-JP"/>
              </w:rPr>
              <w:t>5   (36)</w:t>
            </w:r>
          </w:p>
        </w:tc>
        <w:tc>
          <w:tcPr>
            <w:tcW w:w="2304" w:type="dxa"/>
            <w:shd w:val="clear" w:color="auto" w:fill="auto"/>
          </w:tcPr>
          <w:p w14:paraId="7B5C5E18" w14:textId="77777777" w:rsidR="00B06992" w:rsidRPr="00B06992" w:rsidRDefault="00B06992" w:rsidP="00B06992">
            <w:pPr>
              <w:keepLines w:val="0"/>
              <w:tabs>
                <w:tab w:val="clear" w:pos="-720"/>
                <w:tab w:val="clear" w:pos="4513"/>
                <w:tab w:val="clear" w:pos="10348"/>
              </w:tabs>
              <w:suppressAutoHyphens w:val="0"/>
              <w:jc w:val="center"/>
              <w:rPr>
                <w:rFonts w:eastAsia="MS Mincho"/>
                <w:szCs w:val="22"/>
                <w:lang w:val="en-US" w:eastAsia="ja-JP"/>
              </w:rPr>
            </w:pPr>
            <w:r w:rsidRPr="00B06992">
              <w:rPr>
                <w:rFonts w:eastAsia="MS Mincho"/>
                <w:szCs w:val="22"/>
                <w:lang w:val="en-US" w:eastAsia="ja-JP"/>
              </w:rPr>
              <w:t>3   (27)</w:t>
            </w:r>
          </w:p>
        </w:tc>
      </w:tr>
      <w:tr w:rsidR="00B06992" w:rsidRPr="00B06992" w14:paraId="7B5C5E1B" w14:textId="77777777" w:rsidTr="00FD0499">
        <w:trPr>
          <w:jc w:val="center"/>
        </w:trPr>
        <w:tc>
          <w:tcPr>
            <w:tcW w:w="9216" w:type="dxa"/>
            <w:gridSpan w:val="3"/>
            <w:shd w:val="clear" w:color="auto" w:fill="auto"/>
          </w:tcPr>
          <w:p w14:paraId="7B5C5E1A" w14:textId="77777777" w:rsidR="00B06992" w:rsidRPr="00B06992" w:rsidRDefault="00B06992" w:rsidP="00B06992">
            <w:pPr>
              <w:keepLines w:val="0"/>
              <w:tabs>
                <w:tab w:val="clear" w:pos="-720"/>
                <w:tab w:val="clear" w:pos="4513"/>
                <w:tab w:val="clear" w:pos="10348"/>
              </w:tabs>
              <w:suppressAutoHyphens w:val="0"/>
              <w:jc w:val="left"/>
              <w:rPr>
                <w:rFonts w:eastAsia="MS Mincho"/>
                <w:szCs w:val="22"/>
                <w:lang w:val="en-US" w:eastAsia="ja-JP"/>
              </w:rPr>
            </w:pPr>
            <w:r w:rsidRPr="00B06992">
              <w:rPr>
                <w:rFonts w:eastAsia="MS Mincho"/>
                <w:b/>
                <w:szCs w:val="22"/>
                <w:lang w:val="en-US" w:eastAsia="ja-JP"/>
              </w:rPr>
              <w:t>Nervous system disorders</w:t>
            </w:r>
          </w:p>
        </w:tc>
      </w:tr>
      <w:tr w:rsidR="00B06992" w:rsidRPr="00B06992" w14:paraId="7B5C5E1F" w14:textId="77777777" w:rsidTr="00FD0499">
        <w:trPr>
          <w:jc w:val="center"/>
        </w:trPr>
        <w:tc>
          <w:tcPr>
            <w:tcW w:w="4320" w:type="dxa"/>
            <w:shd w:val="clear" w:color="auto" w:fill="auto"/>
          </w:tcPr>
          <w:p w14:paraId="7B5C5E1C" w14:textId="77777777" w:rsidR="00B06992" w:rsidRPr="00B06992" w:rsidRDefault="00B06992" w:rsidP="00B06992">
            <w:pPr>
              <w:keepLines w:val="0"/>
              <w:tabs>
                <w:tab w:val="clear" w:pos="-720"/>
                <w:tab w:val="clear" w:pos="4513"/>
                <w:tab w:val="clear" w:pos="10348"/>
              </w:tabs>
              <w:suppressAutoHyphens w:val="0"/>
              <w:jc w:val="left"/>
              <w:rPr>
                <w:rFonts w:eastAsia="MS Mincho"/>
                <w:szCs w:val="22"/>
                <w:lang w:val="en-US" w:eastAsia="ja-JP"/>
              </w:rPr>
            </w:pPr>
            <w:r w:rsidRPr="00B06992">
              <w:rPr>
                <w:rFonts w:eastAsia="MS Mincho"/>
                <w:szCs w:val="22"/>
                <w:lang w:val="en-US" w:eastAsia="ja-JP"/>
              </w:rPr>
              <w:t xml:space="preserve">   Headache</w:t>
            </w:r>
          </w:p>
        </w:tc>
        <w:tc>
          <w:tcPr>
            <w:tcW w:w="2592" w:type="dxa"/>
            <w:shd w:val="clear" w:color="auto" w:fill="auto"/>
          </w:tcPr>
          <w:p w14:paraId="7B5C5E1D" w14:textId="77777777" w:rsidR="00B06992" w:rsidRPr="00B06992" w:rsidRDefault="00B06992" w:rsidP="00B06992">
            <w:pPr>
              <w:keepLines w:val="0"/>
              <w:tabs>
                <w:tab w:val="clear" w:pos="-720"/>
                <w:tab w:val="clear" w:pos="4513"/>
                <w:tab w:val="clear" w:pos="10348"/>
              </w:tabs>
              <w:suppressAutoHyphens w:val="0"/>
              <w:jc w:val="center"/>
              <w:rPr>
                <w:rFonts w:eastAsia="MS Mincho"/>
                <w:szCs w:val="22"/>
                <w:lang w:val="en-US" w:eastAsia="ja-JP"/>
              </w:rPr>
            </w:pPr>
            <w:r w:rsidRPr="00B06992">
              <w:rPr>
                <w:rFonts w:eastAsia="MS Mincho"/>
                <w:szCs w:val="22"/>
                <w:lang w:val="en-US" w:eastAsia="ja-JP"/>
              </w:rPr>
              <w:t>4   (35)</w:t>
            </w:r>
          </w:p>
        </w:tc>
        <w:tc>
          <w:tcPr>
            <w:tcW w:w="2304" w:type="dxa"/>
            <w:shd w:val="clear" w:color="auto" w:fill="auto"/>
          </w:tcPr>
          <w:p w14:paraId="7B5C5E1E" w14:textId="77777777" w:rsidR="00B06992" w:rsidRPr="00B06992" w:rsidRDefault="00B06992" w:rsidP="00B06992">
            <w:pPr>
              <w:keepLines w:val="0"/>
              <w:tabs>
                <w:tab w:val="clear" w:pos="-720"/>
                <w:tab w:val="clear" w:pos="4513"/>
                <w:tab w:val="clear" w:pos="10348"/>
              </w:tabs>
              <w:suppressAutoHyphens w:val="0"/>
              <w:jc w:val="center"/>
              <w:rPr>
                <w:rFonts w:eastAsia="MS Mincho"/>
                <w:szCs w:val="22"/>
                <w:lang w:val="en-US" w:eastAsia="ja-JP"/>
              </w:rPr>
            </w:pPr>
            <w:r w:rsidRPr="00B06992">
              <w:rPr>
                <w:rFonts w:eastAsia="MS Mincho"/>
                <w:szCs w:val="22"/>
                <w:lang w:val="en-US" w:eastAsia="ja-JP"/>
              </w:rPr>
              <w:t>3   (24)</w:t>
            </w:r>
          </w:p>
        </w:tc>
      </w:tr>
      <w:tr w:rsidR="00B06992" w:rsidRPr="00B06992" w14:paraId="7B5C5E22" w14:textId="77777777" w:rsidTr="00FD0499">
        <w:trPr>
          <w:jc w:val="center"/>
        </w:trPr>
        <w:tc>
          <w:tcPr>
            <w:tcW w:w="9216" w:type="dxa"/>
            <w:gridSpan w:val="3"/>
            <w:shd w:val="clear" w:color="auto" w:fill="auto"/>
          </w:tcPr>
          <w:p w14:paraId="7B5C5E20" w14:textId="77777777" w:rsidR="00B06992" w:rsidRPr="006853A1" w:rsidRDefault="00B06992" w:rsidP="00B06992">
            <w:pPr>
              <w:keepLines w:val="0"/>
              <w:tabs>
                <w:tab w:val="clear" w:pos="-720"/>
                <w:tab w:val="clear" w:pos="4513"/>
                <w:tab w:val="clear" w:pos="10348"/>
              </w:tabs>
              <w:suppressAutoHyphens w:val="0"/>
              <w:spacing w:before="60"/>
              <w:ind w:left="274" w:hanging="274"/>
              <w:rPr>
                <w:rFonts w:cs="Arial"/>
                <w:sz w:val="20"/>
                <w:lang w:val="en-US" w:eastAsia="en-US"/>
              </w:rPr>
            </w:pPr>
            <w:r w:rsidRPr="00B06992">
              <w:rPr>
                <w:rFonts w:cs="Arial"/>
                <w:b/>
                <w:szCs w:val="22"/>
                <w:vertAlign w:val="superscript"/>
                <w:lang w:val="en-US" w:eastAsia="en-US"/>
              </w:rPr>
              <w:t>*</w:t>
            </w:r>
            <w:r w:rsidRPr="00B06992">
              <w:rPr>
                <w:rFonts w:cs="Arial"/>
                <w:szCs w:val="22"/>
                <w:lang w:val="en-US" w:eastAsia="en-US"/>
              </w:rPr>
              <w:tab/>
            </w:r>
            <w:r w:rsidRPr="006853A1">
              <w:rPr>
                <w:rFonts w:cs="Arial"/>
                <w:sz w:val="20"/>
                <w:lang w:val="en-US" w:eastAsia="en-US"/>
              </w:rPr>
              <w:t xml:space="preserve">All patients as treated population, defined as all </w:t>
            </w:r>
            <w:proofErr w:type="spellStart"/>
            <w:r w:rsidR="009D4322">
              <w:rPr>
                <w:rFonts w:cs="Arial"/>
                <w:sz w:val="20"/>
                <w:lang w:val="en-US" w:eastAsia="en-US"/>
              </w:rPr>
              <w:t>randomised</w:t>
            </w:r>
            <w:proofErr w:type="spellEnd"/>
            <w:r w:rsidRPr="006853A1">
              <w:rPr>
                <w:rFonts w:cs="Arial"/>
                <w:sz w:val="20"/>
                <w:lang w:val="en-US" w:eastAsia="en-US"/>
              </w:rPr>
              <w:t xml:space="preserve"> patients who received a dose of study medication, by treatment received</w:t>
            </w:r>
            <w:r w:rsidR="00343062">
              <w:rPr>
                <w:rFonts w:cs="Arial"/>
                <w:sz w:val="20"/>
                <w:lang w:val="en-US" w:eastAsia="en-US"/>
              </w:rPr>
              <w:t xml:space="preserve"> </w:t>
            </w:r>
          </w:p>
          <w:p w14:paraId="7B5C5E21" w14:textId="77777777" w:rsidR="00B06992" w:rsidRPr="00B06992" w:rsidRDefault="00B06992" w:rsidP="00B06992">
            <w:pPr>
              <w:keepLines w:val="0"/>
              <w:tabs>
                <w:tab w:val="clear" w:pos="-720"/>
                <w:tab w:val="clear" w:pos="4513"/>
                <w:tab w:val="clear" w:pos="10348"/>
              </w:tabs>
              <w:suppressAutoHyphens w:val="0"/>
              <w:spacing w:before="60"/>
              <w:ind w:left="274" w:hanging="274"/>
              <w:rPr>
                <w:rFonts w:ascii="Helvetica" w:hAnsi="Helvetica"/>
                <w:szCs w:val="22"/>
                <w:lang w:val="en-US" w:eastAsia="en-US"/>
              </w:rPr>
            </w:pPr>
            <w:r w:rsidRPr="006853A1">
              <w:rPr>
                <w:rFonts w:cs="Arial"/>
                <w:b/>
                <w:sz w:val="20"/>
                <w:vertAlign w:val="superscript"/>
                <w:lang w:val="en-US" w:eastAsia="en-US"/>
              </w:rPr>
              <w:t>†</w:t>
            </w:r>
            <w:r w:rsidRPr="006853A1">
              <w:rPr>
                <w:rFonts w:cs="Arial"/>
                <w:b/>
                <w:sz w:val="20"/>
                <w:vertAlign w:val="superscript"/>
                <w:lang w:val="en-US" w:eastAsia="en-US"/>
              </w:rPr>
              <w:tab/>
            </w:r>
            <w:proofErr w:type="spellStart"/>
            <w:r w:rsidRPr="006853A1">
              <w:rPr>
                <w:rFonts w:cs="Arial"/>
                <w:sz w:val="20"/>
                <w:lang w:val="en-US" w:eastAsia="en-US"/>
              </w:rPr>
              <w:t>SoC</w:t>
            </w:r>
            <w:proofErr w:type="spellEnd"/>
            <w:r w:rsidRPr="006853A1">
              <w:rPr>
                <w:rFonts w:cs="Arial"/>
                <w:sz w:val="20"/>
                <w:lang w:val="en-US" w:eastAsia="en-US"/>
              </w:rPr>
              <w:t xml:space="preserve"> = Standard of Care antibiotic (metronidazole or vancomycin or </w:t>
            </w:r>
            <w:proofErr w:type="spellStart"/>
            <w:r w:rsidRPr="006853A1">
              <w:rPr>
                <w:rFonts w:cs="Arial"/>
                <w:sz w:val="20"/>
                <w:lang w:val="en-US" w:eastAsia="en-US"/>
              </w:rPr>
              <w:t>fidaxomicin</w:t>
            </w:r>
            <w:proofErr w:type="spellEnd"/>
            <w:r w:rsidRPr="006853A1">
              <w:rPr>
                <w:rFonts w:cs="Arial"/>
                <w:sz w:val="20"/>
                <w:lang w:val="en-US" w:eastAsia="en-US"/>
              </w:rPr>
              <w:t>)</w:t>
            </w:r>
            <w:r w:rsidR="00343062">
              <w:rPr>
                <w:rFonts w:cs="Arial"/>
                <w:sz w:val="20"/>
                <w:lang w:val="en-US" w:eastAsia="en-US"/>
              </w:rPr>
              <w:t xml:space="preserve"> </w:t>
            </w:r>
          </w:p>
        </w:tc>
      </w:tr>
    </w:tbl>
    <w:p w14:paraId="7B5C5E23" w14:textId="77777777" w:rsidR="00B06992" w:rsidRPr="00B06992" w:rsidRDefault="00B06992" w:rsidP="00B06992">
      <w:pPr>
        <w:keepLines w:val="0"/>
        <w:tabs>
          <w:tab w:val="clear" w:pos="-720"/>
          <w:tab w:val="clear" w:pos="4513"/>
          <w:tab w:val="clear" w:pos="10348"/>
        </w:tabs>
        <w:suppressAutoHyphens w:val="0"/>
        <w:jc w:val="left"/>
        <w:rPr>
          <w:rFonts w:eastAsia="MS Mincho" w:cs="Arial"/>
          <w:szCs w:val="22"/>
          <w:lang w:val="en-US" w:eastAsia="ja-JP"/>
        </w:rPr>
      </w:pPr>
    </w:p>
    <w:p w14:paraId="79112C64" w14:textId="77777777" w:rsidR="00C055E5" w:rsidRDefault="00B06992" w:rsidP="00B06992">
      <w:pPr>
        <w:keepLines w:val="0"/>
        <w:tabs>
          <w:tab w:val="clear" w:pos="-720"/>
          <w:tab w:val="clear" w:pos="4513"/>
          <w:tab w:val="clear" w:pos="10348"/>
        </w:tabs>
        <w:suppressAutoHyphens w:val="0"/>
        <w:rPr>
          <w:rFonts w:eastAsia="MS Mincho" w:cs="Arial"/>
          <w:szCs w:val="22"/>
          <w:lang w:val="en-US" w:eastAsia="ja-JP"/>
        </w:rPr>
      </w:pPr>
      <w:r w:rsidRPr="00B06992">
        <w:rPr>
          <w:rFonts w:eastAsia="MS Mincho" w:cs="Arial"/>
          <w:szCs w:val="22"/>
          <w:lang w:val="en-US" w:eastAsia="ja-JP"/>
        </w:rPr>
        <w:t xml:space="preserve">Serious adverse reactions occurring within 12 weeks following infusion were reported in 29% of </w:t>
      </w:r>
      <w:r w:rsidR="00AC7B27">
        <w:rPr>
          <w:rFonts w:eastAsia="MS Mincho" w:cs="Arial"/>
          <w:szCs w:val="22"/>
          <w:lang w:val="en-US" w:eastAsia="ja-JP"/>
        </w:rPr>
        <w:t>ZINPLAVA</w:t>
      </w:r>
      <w:r w:rsidRPr="00B06992">
        <w:rPr>
          <w:rFonts w:eastAsia="MS Mincho" w:cs="Arial"/>
          <w:szCs w:val="22"/>
          <w:lang w:val="en-US" w:eastAsia="ja-JP"/>
        </w:rPr>
        <w:t xml:space="preserve">-treated patients and 33% in patients receiving placebo. Four of 786 patients treated with </w:t>
      </w:r>
      <w:r w:rsidR="00AC7B27">
        <w:rPr>
          <w:rFonts w:eastAsia="MS Mincho" w:cs="Arial"/>
          <w:szCs w:val="22"/>
          <w:lang w:val="en-US" w:eastAsia="ja-JP"/>
        </w:rPr>
        <w:t>ZINPLAVA</w:t>
      </w:r>
      <w:r w:rsidRPr="00B06992">
        <w:rPr>
          <w:rFonts w:eastAsia="MS Mincho" w:cs="Arial"/>
          <w:szCs w:val="22"/>
          <w:lang w:val="en-US" w:eastAsia="ja-JP"/>
        </w:rPr>
        <w:t xml:space="preserve"> had serious adverse reactions that were considered to be drug-related (one report each of </w:t>
      </w:r>
      <w:proofErr w:type="spellStart"/>
      <w:r w:rsidRPr="00B06992">
        <w:rPr>
          <w:rFonts w:eastAsia="MS Mincho" w:cs="Arial"/>
          <w:szCs w:val="22"/>
          <w:lang w:val="en-US" w:eastAsia="ja-JP"/>
        </w:rPr>
        <w:t>diarrh</w:t>
      </w:r>
      <w:r w:rsidR="006853A1">
        <w:rPr>
          <w:rFonts w:eastAsia="MS Mincho" w:cs="Arial"/>
          <w:szCs w:val="22"/>
          <w:lang w:val="en-US" w:eastAsia="ja-JP"/>
        </w:rPr>
        <w:t>o</w:t>
      </w:r>
      <w:r w:rsidRPr="00B06992">
        <w:rPr>
          <w:rFonts w:eastAsia="MS Mincho" w:cs="Arial"/>
          <w:szCs w:val="22"/>
          <w:lang w:val="en-US" w:eastAsia="ja-JP"/>
        </w:rPr>
        <w:t>ea</w:t>
      </w:r>
      <w:proofErr w:type="spellEnd"/>
      <w:r w:rsidRPr="00B06992">
        <w:rPr>
          <w:rFonts w:eastAsia="MS Mincho" w:cs="Arial"/>
          <w:szCs w:val="22"/>
          <w:lang w:val="en-US" w:eastAsia="ja-JP"/>
        </w:rPr>
        <w:t xml:space="preserve">, ventricular tachyarrhythmia, </w:t>
      </w:r>
      <w:proofErr w:type="spellStart"/>
      <w:r w:rsidRPr="00B06992">
        <w:rPr>
          <w:rFonts w:eastAsia="MS Mincho" w:cs="Arial"/>
          <w:szCs w:val="22"/>
          <w:lang w:val="en-US" w:eastAsia="ja-JP"/>
        </w:rPr>
        <w:t>h</w:t>
      </w:r>
      <w:r w:rsidR="006853A1">
        <w:rPr>
          <w:rFonts w:eastAsia="MS Mincho" w:cs="Arial"/>
          <w:szCs w:val="22"/>
          <w:lang w:val="en-US" w:eastAsia="ja-JP"/>
        </w:rPr>
        <w:t>a</w:t>
      </w:r>
      <w:r w:rsidRPr="00B06992">
        <w:rPr>
          <w:rFonts w:eastAsia="MS Mincho" w:cs="Arial"/>
          <w:szCs w:val="22"/>
          <w:lang w:val="en-US" w:eastAsia="ja-JP"/>
        </w:rPr>
        <w:t>ematuria</w:t>
      </w:r>
      <w:proofErr w:type="spellEnd"/>
      <w:r w:rsidRPr="00B06992">
        <w:rPr>
          <w:rFonts w:eastAsia="MS Mincho" w:cs="Arial"/>
          <w:szCs w:val="22"/>
          <w:lang w:val="en-US" w:eastAsia="ja-JP"/>
        </w:rPr>
        <w:t xml:space="preserve">, sepsis, and cerebral </w:t>
      </w:r>
      <w:proofErr w:type="spellStart"/>
      <w:r w:rsidRPr="00B06992">
        <w:rPr>
          <w:rFonts w:eastAsia="MS Mincho" w:cs="Arial"/>
          <w:szCs w:val="22"/>
          <w:lang w:val="en-US" w:eastAsia="ja-JP"/>
        </w:rPr>
        <w:t>h</w:t>
      </w:r>
      <w:r w:rsidR="006853A1">
        <w:rPr>
          <w:rFonts w:eastAsia="MS Mincho" w:cs="Arial"/>
          <w:szCs w:val="22"/>
          <w:lang w:val="en-US" w:eastAsia="ja-JP"/>
        </w:rPr>
        <w:t>a</w:t>
      </w:r>
      <w:r w:rsidRPr="00B06992">
        <w:rPr>
          <w:rFonts w:eastAsia="MS Mincho" w:cs="Arial"/>
          <w:szCs w:val="22"/>
          <w:lang w:val="en-US" w:eastAsia="ja-JP"/>
        </w:rPr>
        <w:t>emorrhage</w:t>
      </w:r>
      <w:proofErr w:type="spellEnd"/>
      <w:r w:rsidRPr="00B06992">
        <w:rPr>
          <w:rFonts w:eastAsia="MS Mincho" w:cs="Arial"/>
          <w:szCs w:val="22"/>
          <w:lang w:val="en-US" w:eastAsia="ja-JP"/>
        </w:rPr>
        <w:t xml:space="preserve">); all occurred within 4 weeks of receiving </w:t>
      </w:r>
      <w:r w:rsidR="00AC7B27">
        <w:rPr>
          <w:rFonts w:eastAsia="MS Mincho" w:cs="Arial"/>
          <w:szCs w:val="22"/>
          <w:lang w:val="en-US" w:eastAsia="ja-JP"/>
        </w:rPr>
        <w:t>ZINPLAVA</w:t>
      </w:r>
      <w:r w:rsidRPr="00B06992">
        <w:rPr>
          <w:rFonts w:eastAsia="MS Mincho" w:cs="Arial"/>
          <w:szCs w:val="22"/>
          <w:lang w:val="en-US" w:eastAsia="ja-JP"/>
        </w:rPr>
        <w:t xml:space="preserve">. Of these four patients, one patient discontinued the </w:t>
      </w:r>
      <w:r w:rsidR="00AC7B27">
        <w:rPr>
          <w:rFonts w:eastAsia="MS Mincho" w:cs="Arial"/>
          <w:szCs w:val="22"/>
          <w:lang w:val="en-US" w:eastAsia="ja-JP"/>
        </w:rPr>
        <w:t>ZINPLAVA</w:t>
      </w:r>
      <w:r w:rsidRPr="00B06992">
        <w:rPr>
          <w:rFonts w:eastAsia="MS Mincho" w:cs="Arial"/>
          <w:szCs w:val="22"/>
          <w:lang w:val="en-US" w:eastAsia="ja-JP"/>
        </w:rPr>
        <w:t xml:space="preserve"> infusion due to the event (ventricular tachyarrhythmia). There were no other </w:t>
      </w:r>
      <w:r w:rsidR="00AC7B27">
        <w:rPr>
          <w:rFonts w:eastAsia="MS Mincho" w:cs="Arial"/>
          <w:szCs w:val="22"/>
          <w:lang w:val="en-US" w:eastAsia="ja-JP"/>
        </w:rPr>
        <w:t>ZINPLAVA</w:t>
      </w:r>
      <w:r w:rsidRPr="00B06992">
        <w:rPr>
          <w:rFonts w:eastAsia="MS Mincho" w:cs="Arial"/>
          <w:szCs w:val="22"/>
          <w:lang w:val="en-US" w:eastAsia="ja-JP"/>
        </w:rPr>
        <w:t>-treated patients who discontinued therapy due to adverse reactions.</w:t>
      </w:r>
    </w:p>
    <w:p w14:paraId="04F7F76C" w14:textId="77777777" w:rsidR="00C055E5" w:rsidRDefault="00C055E5" w:rsidP="00B06992">
      <w:pPr>
        <w:keepLines w:val="0"/>
        <w:tabs>
          <w:tab w:val="clear" w:pos="-720"/>
          <w:tab w:val="clear" w:pos="4513"/>
          <w:tab w:val="clear" w:pos="10348"/>
        </w:tabs>
        <w:suppressAutoHyphens w:val="0"/>
        <w:rPr>
          <w:rFonts w:eastAsia="MS Mincho" w:cs="Arial"/>
          <w:szCs w:val="22"/>
          <w:lang w:val="en-US" w:eastAsia="ja-JP"/>
        </w:rPr>
      </w:pPr>
    </w:p>
    <w:p w14:paraId="7B5C5E24" w14:textId="37DB977E" w:rsidR="00B06992" w:rsidRDefault="00C055E5" w:rsidP="00B06992">
      <w:pPr>
        <w:keepLines w:val="0"/>
        <w:tabs>
          <w:tab w:val="clear" w:pos="-720"/>
          <w:tab w:val="clear" w:pos="4513"/>
          <w:tab w:val="clear" w:pos="10348"/>
        </w:tabs>
        <w:suppressAutoHyphens w:val="0"/>
        <w:rPr>
          <w:rFonts w:eastAsia="MS Mincho" w:cs="Arial"/>
          <w:szCs w:val="22"/>
          <w:lang w:val="en-US" w:eastAsia="ja-JP"/>
        </w:rPr>
      </w:pPr>
      <w:r>
        <w:rPr>
          <w:rFonts w:eastAsia="MS Mincho" w:cs="Arial"/>
          <w:szCs w:val="22"/>
          <w:lang w:val="en-US" w:eastAsia="ja-JP"/>
        </w:rPr>
        <w:t>Heart failure was reported as a serious adverse reaction in 2.3% of the ZINPLAVA-treated patients and 1.0% of the placebo-treated patients (see PRECAUTIONS).</w:t>
      </w:r>
      <w:r w:rsidR="00343062">
        <w:rPr>
          <w:rFonts w:eastAsia="MS Mincho" w:cs="Arial"/>
          <w:szCs w:val="22"/>
          <w:lang w:val="en-US" w:eastAsia="ja-JP"/>
        </w:rPr>
        <w:t xml:space="preserve"> </w:t>
      </w:r>
    </w:p>
    <w:p w14:paraId="7B5C5E25" w14:textId="77777777" w:rsidR="00583120" w:rsidRPr="00B06992" w:rsidRDefault="00583120" w:rsidP="00B06992">
      <w:pPr>
        <w:keepLines w:val="0"/>
        <w:tabs>
          <w:tab w:val="clear" w:pos="-720"/>
          <w:tab w:val="clear" w:pos="4513"/>
          <w:tab w:val="clear" w:pos="10348"/>
        </w:tabs>
        <w:suppressAutoHyphens w:val="0"/>
        <w:rPr>
          <w:rFonts w:eastAsia="MS Mincho" w:cs="Arial"/>
          <w:szCs w:val="22"/>
          <w:lang w:val="en-US" w:eastAsia="ja-JP"/>
        </w:rPr>
      </w:pPr>
    </w:p>
    <w:p w14:paraId="7B5C5E26" w14:textId="77777777" w:rsidR="00B06992" w:rsidRPr="00B06992" w:rsidRDefault="00B06992" w:rsidP="00B06992">
      <w:pPr>
        <w:keepLines w:val="0"/>
        <w:tabs>
          <w:tab w:val="clear" w:pos="-720"/>
          <w:tab w:val="clear" w:pos="4513"/>
          <w:tab w:val="clear" w:pos="10348"/>
        </w:tabs>
        <w:suppressAutoHyphens w:val="0"/>
        <w:rPr>
          <w:rFonts w:eastAsia="MS Mincho" w:cs="Arial"/>
          <w:szCs w:val="22"/>
          <w:lang w:val="en-US" w:eastAsia="ja-JP"/>
        </w:rPr>
      </w:pPr>
      <w:r w:rsidRPr="00B06992">
        <w:rPr>
          <w:rFonts w:eastAsia="MS Mincho" w:cs="Arial"/>
          <w:szCs w:val="22"/>
          <w:lang w:val="en-US" w:eastAsia="ja-JP"/>
        </w:rPr>
        <w:t xml:space="preserve">Mortality rates were similar across treatment arms (7% in </w:t>
      </w:r>
      <w:r w:rsidR="00AC7B27">
        <w:rPr>
          <w:rFonts w:eastAsia="MS Mincho" w:cs="Arial"/>
          <w:szCs w:val="22"/>
          <w:lang w:val="en-US" w:eastAsia="ja-JP"/>
        </w:rPr>
        <w:t>ZINPLAVA</w:t>
      </w:r>
      <w:r w:rsidRPr="00B06992">
        <w:rPr>
          <w:rFonts w:eastAsia="MS Mincho" w:cs="Arial"/>
          <w:szCs w:val="22"/>
          <w:lang w:val="en-US" w:eastAsia="ja-JP"/>
        </w:rPr>
        <w:t xml:space="preserve"> treatment arm and 8% in the placebo treatment arm) during the 12-week follow-up period.</w:t>
      </w:r>
    </w:p>
    <w:p w14:paraId="7B5C5E27" w14:textId="77777777" w:rsidR="00B06992" w:rsidRPr="00B06992" w:rsidRDefault="00B06992" w:rsidP="00B06992">
      <w:pPr>
        <w:keepLines w:val="0"/>
        <w:tabs>
          <w:tab w:val="clear" w:pos="-720"/>
          <w:tab w:val="clear" w:pos="4513"/>
          <w:tab w:val="clear" w:pos="10348"/>
        </w:tabs>
        <w:suppressAutoHyphens w:val="0"/>
        <w:rPr>
          <w:rFonts w:eastAsia="MS Mincho" w:cs="Arial"/>
          <w:szCs w:val="22"/>
          <w:lang w:val="en-US" w:eastAsia="ja-JP"/>
        </w:rPr>
      </w:pPr>
    </w:p>
    <w:p w14:paraId="7B5C5E28" w14:textId="77777777" w:rsidR="00B06992" w:rsidRPr="00B06992" w:rsidRDefault="00B06992" w:rsidP="00B06992">
      <w:pPr>
        <w:keepLines w:val="0"/>
        <w:tabs>
          <w:tab w:val="clear" w:pos="-720"/>
          <w:tab w:val="clear" w:pos="4513"/>
          <w:tab w:val="clear" w:pos="10348"/>
        </w:tabs>
        <w:suppressAutoHyphens w:val="0"/>
        <w:rPr>
          <w:rFonts w:eastAsia="MS Mincho" w:cs="Arial"/>
          <w:szCs w:val="22"/>
          <w:lang w:val="en-US" w:eastAsia="ja-JP"/>
        </w:rPr>
      </w:pPr>
      <w:r w:rsidRPr="00B06992">
        <w:rPr>
          <w:rFonts w:eastAsia="MS Mincho" w:cs="Arial"/>
          <w:szCs w:val="22"/>
          <w:lang w:val="en-US" w:eastAsia="ja-JP"/>
        </w:rPr>
        <w:t xml:space="preserve">In a Phase 1 clinical trial, healthy subjects received two consecutive doses of 10 mg/kg of </w:t>
      </w:r>
      <w:proofErr w:type="spellStart"/>
      <w:r w:rsidRPr="00B06992">
        <w:rPr>
          <w:rFonts w:eastAsia="MS Mincho" w:cs="Arial"/>
          <w:szCs w:val="22"/>
          <w:lang w:val="en-US" w:eastAsia="ja-JP"/>
        </w:rPr>
        <w:t>bezlotoxumab</w:t>
      </w:r>
      <w:proofErr w:type="spellEnd"/>
      <w:r w:rsidRPr="00B06992">
        <w:rPr>
          <w:rFonts w:eastAsia="MS Mincho" w:cs="Arial"/>
          <w:szCs w:val="22"/>
          <w:lang w:val="en-US" w:eastAsia="ja-JP"/>
        </w:rPr>
        <w:t xml:space="preserve"> separated by 12 weeks. The adverse reactions after the second dose were not markedly different from those observed after the first dose, and are consistent with adverse reactions observed in MODIFY I and MODIFY II during which all patients received a single dose.</w:t>
      </w:r>
    </w:p>
    <w:p w14:paraId="7B5C5E29" w14:textId="77777777" w:rsidR="00566D23" w:rsidRDefault="00566D23" w:rsidP="002B18C2">
      <w:pPr>
        <w:pStyle w:val="BodyText1"/>
        <w:ind w:firstLine="0"/>
        <w:jc w:val="both"/>
        <w:rPr>
          <w:rFonts w:ascii="Arial" w:hAnsi="Arial" w:cs="Arial"/>
          <w:noProof/>
          <w:sz w:val="22"/>
          <w:szCs w:val="20"/>
        </w:rPr>
      </w:pPr>
    </w:p>
    <w:p w14:paraId="7B5C5E2A" w14:textId="77777777" w:rsidR="00B06992" w:rsidRPr="00B06992" w:rsidRDefault="00B06992" w:rsidP="00B06992">
      <w:pPr>
        <w:keepLines w:val="0"/>
        <w:tabs>
          <w:tab w:val="clear" w:pos="-720"/>
          <w:tab w:val="clear" w:pos="4513"/>
          <w:tab w:val="clear" w:pos="10348"/>
        </w:tabs>
        <w:suppressAutoHyphens w:val="0"/>
        <w:spacing w:before="4"/>
        <w:jc w:val="left"/>
        <w:rPr>
          <w:i/>
          <w:szCs w:val="22"/>
          <w:u w:val="single"/>
          <w:lang w:val="en-US" w:eastAsia="en-US"/>
        </w:rPr>
      </w:pPr>
      <w:r w:rsidRPr="00B06992">
        <w:rPr>
          <w:i/>
          <w:szCs w:val="22"/>
          <w:u w:val="single"/>
          <w:lang w:val="en-US" w:eastAsia="en-US"/>
        </w:rPr>
        <w:t>Infusion Related Reactions</w:t>
      </w:r>
    </w:p>
    <w:p w14:paraId="7B5C5E2B" w14:textId="39C15448" w:rsidR="00B06992" w:rsidRPr="00914156" w:rsidRDefault="00B06992" w:rsidP="00B06992">
      <w:pPr>
        <w:keepLines w:val="0"/>
        <w:tabs>
          <w:tab w:val="clear" w:pos="-720"/>
          <w:tab w:val="clear" w:pos="4513"/>
          <w:tab w:val="clear" w:pos="10348"/>
        </w:tabs>
        <w:suppressAutoHyphens w:val="0"/>
        <w:rPr>
          <w:rFonts w:eastAsia="MS Mincho" w:cs="Arial"/>
          <w:color w:val="3333FF"/>
          <w:szCs w:val="22"/>
          <w:lang w:val="en-US" w:eastAsia="ja-JP"/>
        </w:rPr>
      </w:pPr>
      <w:r w:rsidRPr="00B06992">
        <w:rPr>
          <w:rFonts w:eastAsia="MS Mincho" w:cs="Arial"/>
          <w:szCs w:val="22"/>
          <w:lang w:val="en-US" w:eastAsia="ja-JP"/>
        </w:rPr>
        <w:t xml:space="preserve">Overall, 10% of subjects in the </w:t>
      </w:r>
      <w:r w:rsidR="00AC7B27">
        <w:rPr>
          <w:rFonts w:eastAsia="MS Mincho" w:cs="Arial"/>
          <w:szCs w:val="22"/>
          <w:lang w:val="en-US" w:eastAsia="ja-JP"/>
        </w:rPr>
        <w:t>ZINPLAVA</w:t>
      </w:r>
      <w:r w:rsidRPr="00B06992">
        <w:rPr>
          <w:rFonts w:eastAsia="MS Mincho" w:cs="Arial"/>
          <w:szCs w:val="22"/>
          <w:lang w:val="en-US" w:eastAsia="ja-JP"/>
        </w:rPr>
        <w:t xml:space="preserve"> group experienced one or more infusion specific adverse reactions on the day of, or the day after, the infusion compared to 8% in the placebo group. Infusion specific adverse reactions reported in ≥0.5% of subjects receiving </w:t>
      </w:r>
      <w:r w:rsidR="00AC7B27">
        <w:rPr>
          <w:rFonts w:eastAsia="MS Mincho" w:cs="Arial"/>
          <w:szCs w:val="22"/>
          <w:lang w:val="en-US" w:eastAsia="ja-JP"/>
        </w:rPr>
        <w:t>ZINPLAVA</w:t>
      </w:r>
      <w:r w:rsidRPr="00B06992">
        <w:rPr>
          <w:rFonts w:eastAsia="MS Mincho" w:cs="Arial"/>
          <w:szCs w:val="22"/>
          <w:lang w:val="en-US" w:eastAsia="ja-JP"/>
        </w:rPr>
        <w:t xml:space="preserve"> and at a frequency greater than placebo were nausea (3%), fatigue (1%), pyrexia (1%), dizziness (1%), headache (2%), </w:t>
      </w:r>
      <w:proofErr w:type="spellStart"/>
      <w:r w:rsidRPr="00B06992">
        <w:rPr>
          <w:rFonts w:eastAsia="MS Mincho" w:cs="Arial"/>
          <w:szCs w:val="22"/>
          <w:lang w:val="en-US" w:eastAsia="ja-JP"/>
        </w:rPr>
        <w:t>dyspn</w:t>
      </w:r>
      <w:r w:rsidR="006853A1">
        <w:rPr>
          <w:rFonts w:eastAsia="MS Mincho" w:cs="Arial"/>
          <w:szCs w:val="22"/>
          <w:lang w:val="en-US" w:eastAsia="ja-JP"/>
        </w:rPr>
        <w:t>o</w:t>
      </w:r>
      <w:r w:rsidRPr="00B06992">
        <w:rPr>
          <w:rFonts w:eastAsia="MS Mincho" w:cs="Arial"/>
          <w:szCs w:val="22"/>
          <w:lang w:val="en-US" w:eastAsia="ja-JP"/>
        </w:rPr>
        <w:t>ea</w:t>
      </w:r>
      <w:proofErr w:type="spellEnd"/>
      <w:r w:rsidRPr="00B06992">
        <w:rPr>
          <w:rFonts w:eastAsia="MS Mincho" w:cs="Arial"/>
          <w:szCs w:val="22"/>
          <w:lang w:val="en-US" w:eastAsia="ja-JP"/>
        </w:rPr>
        <w:t xml:space="preserve"> (1%) and hypertension (1%).</w:t>
      </w:r>
      <w:r w:rsidR="00A93A9C">
        <w:rPr>
          <w:rFonts w:eastAsia="MS Mincho" w:cs="Arial"/>
          <w:szCs w:val="22"/>
          <w:lang w:val="en-US" w:eastAsia="ja-JP"/>
        </w:rPr>
        <w:t xml:space="preserve"> </w:t>
      </w:r>
      <w:r w:rsidRPr="00B06992">
        <w:rPr>
          <w:rFonts w:eastAsia="MS Mincho" w:cs="Arial"/>
          <w:szCs w:val="22"/>
          <w:lang w:val="en-US" w:eastAsia="ja-JP"/>
        </w:rPr>
        <w:t>Of the patients who experienced an infusion specific adverse reaction, the majority reported a reaction with a maximum intensity of mild (78%) or moderate (20%), and the majority of reactions resolved within 24 hours following onset.</w:t>
      </w:r>
      <w:r w:rsidR="00914156">
        <w:rPr>
          <w:rFonts w:eastAsia="MS Mincho" w:cs="Arial"/>
          <w:szCs w:val="22"/>
          <w:lang w:val="en-US" w:eastAsia="ja-JP"/>
        </w:rPr>
        <w:t xml:space="preserve"> </w:t>
      </w:r>
    </w:p>
    <w:p w14:paraId="7B5C5E2C" w14:textId="77777777" w:rsidR="00566D23" w:rsidRPr="00B06992" w:rsidRDefault="00566D23" w:rsidP="002B18C2">
      <w:pPr>
        <w:pStyle w:val="BodyText1"/>
        <w:ind w:firstLine="0"/>
        <w:jc w:val="both"/>
        <w:rPr>
          <w:rFonts w:ascii="Arial" w:hAnsi="Arial" w:cs="Arial"/>
          <w:noProof/>
          <w:sz w:val="22"/>
          <w:szCs w:val="22"/>
        </w:rPr>
      </w:pPr>
    </w:p>
    <w:p w14:paraId="7B5C5E2D" w14:textId="77777777" w:rsidR="00184B3B" w:rsidRDefault="00184B3B" w:rsidP="007B396B">
      <w:pPr>
        <w:pStyle w:val="Heading1"/>
        <w:rPr>
          <w:i/>
          <w:sz w:val="24"/>
        </w:rPr>
      </w:pPr>
      <w:r w:rsidRPr="00184B3B">
        <w:rPr>
          <w:i/>
          <w:sz w:val="24"/>
        </w:rPr>
        <w:t>Immunogenicity</w:t>
      </w:r>
    </w:p>
    <w:p w14:paraId="7B5C5E2E" w14:textId="77777777" w:rsidR="00184B3B" w:rsidRDefault="00184B3B" w:rsidP="00184B3B">
      <w:r>
        <w:t xml:space="preserve">As with all therapeutic proteins, there is a potential for immunogenicity following administration of </w:t>
      </w:r>
      <w:r w:rsidR="00EA1D46">
        <w:t>ZINPLAVA</w:t>
      </w:r>
      <w:r>
        <w:t xml:space="preserve">. Immunogenicity of </w:t>
      </w:r>
      <w:r w:rsidR="00EA1D46">
        <w:t>ZINPLAVA</w:t>
      </w:r>
      <w:r>
        <w:t xml:space="preserve"> was evaluated using an </w:t>
      </w:r>
      <w:proofErr w:type="spellStart"/>
      <w:r>
        <w:t>electrochemiluminescence</w:t>
      </w:r>
      <w:proofErr w:type="spellEnd"/>
      <w:r>
        <w:t xml:space="preserve"> (ECL) assay in MODIFY I and MODIFY II.</w:t>
      </w:r>
      <w:r w:rsidR="006827CC">
        <w:t xml:space="preserve"> </w:t>
      </w:r>
    </w:p>
    <w:p w14:paraId="4B538869" w14:textId="77777777" w:rsidR="00A93A9C" w:rsidRDefault="00A93A9C" w:rsidP="00184B3B"/>
    <w:p w14:paraId="7B5C5E2F" w14:textId="77777777" w:rsidR="00184B3B" w:rsidRPr="00184B3B" w:rsidRDefault="00184B3B" w:rsidP="00184B3B">
      <w:r>
        <w:lastRenderedPageBreak/>
        <w:t xml:space="preserve">Following treatment with </w:t>
      </w:r>
      <w:r w:rsidR="00EA1D46">
        <w:t>ZINPLAVA</w:t>
      </w:r>
      <w:r>
        <w:t xml:space="preserve"> in MODIFY I and MODIFY II, none of the 710 evaluable patients tested positive for treatment-emergent anti-</w:t>
      </w:r>
      <w:proofErr w:type="spellStart"/>
      <w:r>
        <w:t>bezlotoxumab</w:t>
      </w:r>
      <w:proofErr w:type="spellEnd"/>
      <w:r>
        <w:t xml:space="preserve"> antibodies. Although </w:t>
      </w:r>
      <w:r w:rsidR="00EA1D46">
        <w:t>ZINPLAVA</w:t>
      </w:r>
      <w:r>
        <w:t xml:space="preserve"> is intended for single dose administration, the immunogenicity of </w:t>
      </w:r>
      <w:proofErr w:type="spellStart"/>
      <w:r>
        <w:t>bezlotoxumab</w:t>
      </w:r>
      <w:proofErr w:type="spellEnd"/>
      <w:r>
        <w:t xml:space="preserve"> following a second administration of 10 mg/kg, 12 weeks after the first dose, was assessed in 29 healthy subjects. No anti-</w:t>
      </w:r>
      <w:proofErr w:type="spellStart"/>
      <w:r>
        <w:t>bezlotoxumab</w:t>
      </w:r>
      <w:proofErr w:type="spellEnd"/>
      <w:r>
        <w:t xml:space="preserve"> antibodies were detected after the second dose.  </w:t>
      </w:r>
    </w:p>
    <w:p w14:paraId="7B5C5E30" w14:textId="77777777" w:rsidR="003A6F1C" w:rsidRPr="009265E5" w:rsidRDefault="003A6F1C" w:rsidP="007B396B">
      <w:pPr>
        <w:pStyle w:val="Heading1"/>
      </w:pPr>
      <w:r w:rsidRPr="009265E5">
        <w:t>DOSAGE AND ADMINISTRATION</w:t>
      </w:r>
    </w:p>
    <w:p w14:paraId="7B5C5E31" w14:textId="77777777" w:rsidR="00D818B7" w:rsidRPr="00D818B7" w:rsidRDefault="00D818B7" w:rsidP="00D818B7">
      <w:pPr>
        <w:keepLines w:val="0"/>
        <w:tabs>
          <w:tab w:val="clear" w:pos="-720"/>
          <w:tab w:val="clear" w:pos="4513"/>
          <w:tab w:val="clear" w:pos="10348"/>
        </w:tabs>
        <w:suppressAutoHyphens w:val="0"/>
        <w:jc w:val="left"/>
        <w:rPr>
          <w:rFonts w:eastAsia="MS Mincho" w:cs="Arial"/>
          <w:sz w:val="20"/>
          <w:lang w:val="en-US" w:eastAsia="ja-JP"/>
        </w:rPr>
      </w:pPr>
    </w:p>
    <w:p w14:paraId="7B5C5E32" w14:textId="77777777" w:rsidR="00D818B7" w:rsidRPr="00EC02DD" w:rsidRDefault="00EA1D46" w:rsidP="00D818B7">
      <w:pPr>
        <w:keepLines w:val="0"/>
        <w:tabs>
          <w:tab w:val="clear" w:pos="-720"/>
          <w:tab w:val="clear" w:pos="4513"/>
          <w:tab w:val="clear" w:pos="10348"/>
        </w:tabs>
        <w:suppressAutoHyphens w:val="0"/>
        <w:jc w:val="left"/>
        <w:rPr>
          <w:rFonts w:eastAsia="MS Mincho" w:cs="Arial"/>
          <w:color w:val="3333FF"/>
          <w:szCs w:val="22"/>
          <w:lang w:val="en-US" w:eastAsia="ja-JP"/>
        </w:rPr>
      </w:pPr>
      <w:r>
        <w:rPr>
          <w:rFonts w:eastAsia="MS Mincho" w:cs="Arial"/>
          <w:szCs w:val="22"/>
          <w:lang w:val="en-US" w:eastAsia="ja-JP"/>
        </w:rPr>
        <w:t>ZINPLAVA</w:t>
      </w:r>
      <w:r w:rsidR="00E431DF" w:rsidRPr="00E431DF">
        <w:rPr>
          <w:rFonts w:eastAsia="MS Mincho" w:cs="Arial"/>
          <w:szCs w:val="22"/>
          <w:vertAlign w:val="superscript"/>
          <w:lang w:val="en-US" w:eastAsia="ja-JP"/>
        </w:rPr>
        <w:t>®</w:t>
      </w:r>
      <w:r w:rsidR="00D818B7" w:rsidRPr="00D818B7">
        <w:rPr>
          <w:rFonts w:eastAsia="MS Mincho" w:cs="Arial"/>
          <w:szCs w:val="22"/>
          <w:lang w:val="en-US" w:eastAsia="ja-JP"/>
        </w:rPr>
        <w:t xml:space="preserve"> (</w:t>
      </w:r>
      <w:proofErr w:type="spellStart"/>
      <w:r w:rsidR="00D818B7" w:rsidRPr="00D818B7">
        <w:rPr>
          <w:rFonts w:eastAsia="MS Mincho" w:cs="Arial"/>
          <w:szCs w:val="22"/>
          <w:lang w:val="en-US" w:eastAsia="ja-JP"/>
        </w:rPr>
        <w:t>bezlotoxumab</w:t>
      </w:r>
      <w:proofErr w:type="spellEnd"/>
      <w:r w:rsidR="00D818B7" w:rsidRPr="00D818B7">
        <w:rPr>
          <w:rFonts w:eastAsia="MS Mincho" w:cs="Arial"/>
          <w:szCs w:val="22"/>
          <w:lang w:val="en-US" w:eastAsia="ja-JP"/>
        </w:rPr>
        <w:t xml:space="preserve">) </w:t>
      </w:r>
      <w:r w:rsidR="007B396B">
        <w:rPr>
          <w:rFonts w:eastAsia="MS Mincho" w:cs="Arial"/>
          <w:szCs w:val="22"/>
          <w:lang w:val="en-US" w:eastAsia="ja-JP"/>
        </w:rPr>
        <w:t xml:space="preserve">should be administered during a course of antibiotic therapy for CDI [see </w:t>
      </w:r>
      <w:r w:rsidR="007B396B" w:rsidRPr="00A93A9C">
        <w:rPr>
          <w:rFonts w:eastAsia="MS Mincho" w:cs="Arial"/>
          <w:szCs w:val="22"/>
          <w:lang w:val="en-US" w:eastAsia="ja-JP"/>
        </w:rPr>
        <w:t>PRECAUTIONS</w:t>
      </w:r>
      <w:r w:rsidR="007B396B">
        <w:rPr>
          <w:rFonts w:eastAsia="MS Mincho" w:cs="Arial"/>
          <w:szCs w:val="22"/>
          <w:lang w:val="en-US" w:eastAsia="ja-JP"/>
        </w:rPr>
        <w:t>].</w:t>
      </w:r>
      <w:r w:rsidR="00EC02DD">
        <w:rPr>
          <w:rFonts w:eastAsia="MS Mincho" w:cs="Arial"/>
          <w:szCs w:val="22"/>
          <w:lang w:val="en-US" w:eastAsia="ja-JP"/>
        </w:rPr>
        <w:t xml:space="preserve"> </w:t>
      </w:r>
    </w:p>
    <w:p w14:paraId="7B5C5E33" w14:textId="77777777" w:rsidR="00CF772C" w:rsidRPr="002164EC" w:rsidRDefault="00CF772C" w:rsidP="00C169A1">
      <w:pPr>
        <w:pStyle w:val="BodyText1"/>
        <w:spacing w:before="0"/>
        <w:ind w:firstLine="0"/>
        <w:jc w:val="both"/>
        <w:rPr>
          <w:rFonts w:ascii="Arial" w:hAnsi="Arial" w:cs="Arial"/>
          <w:sz w:val="20"/>
          <w:szCs w:val="20"/>
        </w:rPr>
      </w:pPr>
    </w:p>
    <w:p w14:paraId="7B5C5E34" w14:textId="77777777" w:rsidR="00C169A1" w:rsidRPr="002164EC" w:rsidRDefault="00C169A1" w:rsidP="00187C95">
      <w:pPr>
        <w:pStyle w:val="Heading2"/>
        <w:rPr>
          <w:rFonts w:ascii="Arial" w:hAnsi="Arial" w:cs="Arial"/>
        </w:rPr>
      </w:pPr>
      <w:r w:rsidRPr="002164EC">
        <w:rPr>
          <w:rFonts w:ascii="Arial" w:hAnsi="Arial" w:cs="Arial"/>
        </w:rPr>
        <w:t xml:space="preserve">Dose </w:t>
      </w:r>
      <w:r w:rsidR="00D818B7">
        <w:rPr>
          <w:rFonts w:ascii="Arial" w:hAnsi="Arial" w:cs="Arial"/>
        </w:rPr>
        <w:t>Recommendations in Adults</w:t>
      </w:r>
    </w:p>
    <w:p w14:paraId="7B5C5E35" w14:textId="77777777" w:rsidR="00F741D1" w:rsidRPr="00EC02DD" w:rsidRDefault="00F741D1" w:rsidP="00F741D1">
      <w:pPr>
        <w:keepLines w:val="0"/>
        <w:tabs>
          <w:tab w:val="clear" w:pos="-720"/>
          <w:tab w:val="clear" w:pos="4513"/>
          <w:tab w:val="clear" w:pos="10348"/>
        </w:tabs>
        <w:suppressAutoHyphens w:val="0"/>
        <w:jc w:val="left"/>
        <w:rPr>
          <w:rFonts w:eastAsia="MS Mincho" w:cs="Arial"/>
          <w:color w:val="3333FF"/>
          <w:szCs w:val="22"/>
          <w:lang w:val="en-US" w:eastAsia="ja-JP"/>
        </w:rPr>
      </w:pPr>
      <w:r w:rsidRPr="00F741D1">
        <w:rPr>
          <w:rFonts w:eastAsia="MS Mincho" w:cs="Arial"/>
          <w:szCs w:val="22"/>
          <w:lang w:val="en-US" w:eastAsia="ja-JP"/>
        </w:rPr>
        <w:t xml:space="preserve">The recommended dose of </w:t>
      </w:r>
      <w:r w:rsidR="00EA1D46">
        <w:rPr>
          <w:rFonts w:eastAsia="MS Mincho" w:cs="Arial"/>
          <w:szCs w:val="22"/>
          <w:lang w:val="en-US" w:eastAsia="ja-JP"/>
        </w:rPr>
        <w:t>ZINPLAVA</w:t>
      </w:r>
      <w:r w:rsidRPr="00F741D1">
        <w:rPr>
          <w:rFonts w:eastAsia="MS Mincho" w:cs="Arial"/>
          <w:szCs w:val="22"/>
          <w:lang w:val="en-US" w:eastAsia="ja-JP"/>
        </w:rPr>
        <w:t xml:space="preserve"> is 10 mg/kg based on patient body weight administered as an intravenous (IV) infusion over 60 minutes as a single dose.</w:t>
      </w:r>
      <w:r w:rsidR="00EC02DD">
        <w:rPr>
          <w:rFonts w:eastAsia="MS Mincho" w:cs="Arial"/>
          <w:szCs w:val="22"/>
          <w:lang w:val="en-US" w:eastAsia="ja-JP"/>
        </w:rPr>
        <w:t xml:space="preserve"> </w:t>
      </w:r>
    </w:p>
    <w:p w14:paraId="7B5C5E36" w14:textId="77777777" w:rsidR="00F741D1" w:rsidRDefault="00F741D1" w:rsidP="00187C95">
      <w:pPr>
        <w:pStyle w:val="Heading2"/>
        <w:rPr>
          <w:rFonts w:ascii="Arial" w:hAnsi="Arial" w:cs="Arial"/>
        </w:rPr>
      </w:pPr>
    </w:p>
    <w:p w14:paraId="7B5C5E37" w14:textId="77777777" w:rsidR="00C169A1" w:rsidRPr="00FC7CB1" w:rsidRDefault="00C169A1" w:rsidP="00187C95">
      <w:pPr>
        <w:pStyle w:val="Heading2"/>
        <w:rPr>
          <w:rFonts w:ascii="Arial" w:hAnsi="Arial" w:cs="Arial"/>
        </w:rPr>
      </w:pPr>
      <w:r w:rsidRPr="00FC7CB1">
        <w:rPr>
          <w:rFonts w:ascii="Arial" w:hAnsi="Arial" w:cs="Arial"/>
        </w:rPr>
        <w:t>Preparation and Administration</w:t>
      </w:r>
    </w:p>
    <w:p w14:paraId="65A31EFA" w14:textId="66CC9847" w:rsidR="00E444CF" w:rsidRDefault="00E444CF" w:rsidP="00CF772C">
      <w:pPr>
        <w:rPr>
          <w:rFonts w:cs="Arial"/>
          <w:szCs w:val="22"/>
        </w:rPr>
      </w:pPr>
    </w:p>
    <w:p w14:paraId="7B5C5E39" w14:textId="77777777" w:rsidR="00FC7CB1" w:rsidRDefault="00FC7CB1" w:rsidP="00FC7CB1">
      <w:pPr>
        <w:keepLines w:val="0"/>
        <w:tabs>
          <w:tab w:val="clear" w:pos="-720"/>
          <w:tab w:val="clear" w:pos="4513"/>
          <w:tab w:val="clear" w:pos="10348"/>
        </w:tabs>
        <w:suppressAutoHyphens w:val="0"/>
        <w:jc w:val="left"/>
        <w:rPr>
          <w:rFonts w:eastAsia="MS Mincho"/>
          <w:szCs w:val="22"/>
          <w:u w:val="single"/>
          <w:lang w:val="en-US" w:eastAsia="ja-JP"/>
        </w:rPr>
      </w:pPr>
      <w:r w:rsidRPr="00FC7CB1">
        <w:rPr>
          <w:rFonts w:eastAsia="MS Mincho"/>
          <w:szCs w:val="22"/>
          <w:u w:val="single"/>
          <w:lang w:val="en-US" w:eastAsia="ja-JP"/>
        </w:rPr>
        <w:t>Preparation of Diluted Solution</w:t>
      </w:r>
    </w:p>
    <w:p w14:paraId="7B5C5E3A" w14:textId="77777777" w:rsidR="00FC7CB1" w:rsidRPr="00FC7CB1" w:rsidRDefault="00FC7CB1" w:rsidP="00FC7CB1">
      <w:pPr>
        <w:keepLines w:val="0"/>
        <w:tabs>
          <w:tab w:val="clear" w:pos="-720"/>
          <w:tab w:val="clear" w:pos="4513"/>
          <w:tab w:val="clear" w:pos="10348"/>
        </w:tabs>
        <w:suppressAutoHyphens w:val="0"/>
        <w:jc w:val="left"/>
        <w:rPr>
          <w:rFonts w:eastAsia="MS Mincho"/>
          <w:szCs w:val="22"/>
          <w:u w:val="single"/>
          <w:lang w:val="en-US" w:eastAsia="ja-JP"/>
        </w:rPr>
      </w:pPr>
    </w:p>
    <w:p w14:paraId="7B5C5E3B" w14:textId="77777777" w:rsidR="00FC7CB1" w:rsidRPr="00F004C5" w:rsidRDefault="00FC7CB1" w:rsidP="00FC7CB1">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Prepare the diluted solution immediately after removal of the vial(s) from refrigerated storage, or the vial(s) may be stored at room temperature protected from light for up to 24 hours prior to preparation of the diluted solution.</w:t>
      </w:r>
      <w:r w:rsidR="00EC02DD" w:rsidRPr="00F004C5">
        <w:rPr>
          <w:rFonts w:cs="Arial"/>
          <w:szCs w:val="22"/>
          <w:lang w:val="en-US" w:eastAsia="en-US"/>
        </w:rPr>
        <w:t xml:space="preserve"> </w:t>
      </w:r>
    </w:p>
    <w:p w14:paraId="7B5C5E3C" w14:textId="77777777" w:rsidR="00FC7CB1" w:rsidRPr="00F004C5" w:rsidRDefault="00FC7CB1" w:rsidP="00FC7CB1">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 xml:space="preserve">Inspect vial contents for discoloration and particulate matter prior to dilution. </w:t>
      </w:r>
      <w:r w:rsidR="00EA1D46" w:rsidRPr="00F004C5">
        <w:rPr>
          <w:rFonts w:cs="Arial"/>
          <w:szCs w:val="22"/>
          <w:lang w:val="en-US" w:eastAsia="en-US"/>
        </w:rPr>
        <w:t>ZINPLAVA</w:t>
      </w:r>
      <w:r w:rsidRPr="00F004C5">
        <w:rPr>
          <w:rFonts w:cs="Arial"/>
          <w:szCs w:val="22"/>
          <w:lang w:val="en-US" w:eastAsia="en-US"/>
        </w:rPr>
        <w:t xml:space="preserve"> is a clear to moderately opalescent, colorless to pale yellow liquid. </w:t>
      </w:r>
      <w:r w:rsidR="00EC02DD" w:rsidRPr="00F004C5">
        <w:rPr>
          <w:rFonts w:cs="Arial"/>
          <w:szCs w:val="22"/>
          <w:lang w:val="en-US" w:eastAsia="en-US"/>
        </w:rPr>
        <w:t xml:space="preserve"> </w:t>
      </w:r>
      <w:r w:rsidRPr="00F004C5">
        <w:rPr>
          <w:rFonts w:cs="Arial"/>
          <w:szCs w:val="22"/>
          <w:lang w:val="en-US" w:eastAsia="en-US"/>
        </w:rPr>
        <w:t>Do not use the vial if the solution is discolored or contains visible particles.</w:t>
      </w:r>
      <w:r w:rsidR="00EC02DD" w:rsidRPr="00F004C5">
        <w:rPr>
          <w:rFonts w:cs="Arial"/>
          <w:szCs w:val="22"/>
          <w:lang w:val="en-US" w:eastAsia="en-US"/>
        </w:rPr>
        <w:t xml:space="preserve"> </w:t>
      </w:r>
    </w:p>
    <w:p w14:paraId="7B5C5E3D" w14:textId="77777777" w:rsidR="00FC7CB1" w:rsidRPr="00F004C5" w:rsidRDefault="00FC7CB1" w:rsidP="00FC7CB1">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Do not shake the vial.</w:t>
      </w:r>
      <w:r w:rsidR="00EC02DD" w:rsidRPr="00F004C5">
        <w:rPr>
          <w:rFonts w:cs="Arial"/>
          <w:szCs w:val="22"/>
          <w:lang w:val="en-US" w:eastAsia="en-US"/>
        </w:rPr>
        <w:t xml:space="preserve"> </w:t>
      </w:r>
    </w:p>
    <w:p w14:paraId="7B5C5E3E" w14:textId="77777777" w:rsidR="00EC02DD" w:rsidRPr="00F004C5" w:rsidRDefault="00FC7CB1" w:rsidP="00EC02DD">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 xml:space="preserve">Withdraw the required volume from the vial(s) based on the patient’s weight (in kg) and transfer into an IV bag containing either 0.9% Sodium Chloride Injection, or 5% </w:t>
      </w:r>
      <w:r w:rsidR="0082778A" w:rsidRPr="00F004C5">
        <w:rPr>
          <w:rFonts w:cs="Arial"/>
          <w:szCs w:val="22"/>
          <w:lang w:val="en-US" w:eastAsia="en-US"/>
        </w:rPr>
        <w:t>Glucose</w:t>
      </w:r>
      <w:r w:rsidRPr="00F004C5">
        <w:rPr>
          <w:rFonts w:cs="Arial"/>
          <w:szCs w:val="22"/>
          <w:lang w:val="en-US" w:eastAsia="en-US"/>
        </w:rPr>
        <w:t xml:space="preserve"> Injection, to prepare a diluted solution with a final concentration ranging from 1 to 10 mg/</w:t>
      </w:r>
      <w:proofErr w:type="spellStart"/>
      <w:r w:rsidRPr="00F004C5">
        <w:rPr>
          <w:rFonts w:cs="Arial"/>
          <w:szCs w:val="22"/>
          <w:lang w:val="en-US" w:eastAsia="en-US"/>
        </w:rPr>
        <w:t>mL.</w:t>
      </w:r>
      <w:proofErr w:type="spellEnd"/>
      <w:r w:rsidR="00EC02DD" w:rsidRPr="00F004C5">
        <w:rPr>
          <w:rFonts w:cs="Arial"/>
          <w:szCs w:val="22"/>
          <w:lang w:val="en-US" w:eastAsia="en-US"/>
        </w:rPr>
        <w:t xml:space="preserve">  </w:t>
      </w:r>
      <w:r w:rsidRPr="00F004C5">
        <w:rPr>
          <w:rFonts w:cs="Arial"/>
          <w:szCs w:val="22"/>
          <w:lang w:val="en-US" w:eastAsia="en-US"/>
        </w:rPr>
        <w:t xml:space="preserve"> Mix diluted solution by gentle inversion.</w:t>
      </w:r>
      <w:r w:rsidR="00EC02DD" w:rsidRPr="00F004C5">
        <w:rPr>
          <w:rFonts w:cs="Arial"/>
          <w:szCs w:val="22"/>
          <w:lang w:val="en-US" w:eastAsia="en-US"/>
        </w:rPr>
        <w:t xml:space="preserve"> </w:t>
      </w:r>
    </w:p>
    <w:p w14:paraId="7B5C5E3F" w14:textId="77777777" w:rsidR="00EC02DD" w:rsidRPr="00F004C5" w:rsidRDefault="00FC7CB1" w:rsidP="00EC02DD">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Discard vial(s) and all unused contents.</w:t>
      </w:r>
      <w:r w:rsidR="00EC02DD" w:rsidRPr="00F004C5">
        <w:rPr>
          <w:rFonts w:cs="Arial"/>
          <w:szCs w:val="22"/>
          <w:lang w:val="en-US" w:eastAsia="en-US"/>
        </w:rPr>
        <w:t xml:space="preserve"> </w:t>
      </w:r>
    </w:p>
    <w:p w14:paraId="7B5C5E40" w14:textId="77777777" w:rsidR="00FC7CB1" w:rsidRPr="00F004C5" w:rsidRDefault="00FC7CB1" w:rsidP="00FC7CB1">
      <w:pPr>
        <w:keepLines w:val="0"/>
        <w:tabs>
          <w:tab w:val="clear" w:pos="-720"/>
          <w:tab w:val="clear" w:pos="4513"/>
          <w:tab w:val="clear" w:pos="10348"/>
        </w:tabs>
        <w:suppressAutoHyphens w:val="0"/>
        <w:ind w:firstLine="317"/>
        <w:rPr>
          <w:rFonts w:cs="Arial"/>
          <w:szCs w:val="22"/>
          <w:lang w:val="en-US" w:eastAsia="en-US"/>
        </w:rPr>
      </w:pPr>
    </w:p>
    <w:p w14:paraId="7B5C5E41" w14:textId="77777777" w:rsidR="00FC7CB1" w:rsidRPr="00F004C5" w:rsidRDefault="00FC7CB1" w:rsidP="00FC7CB1">
      <w:pPr>
        <w:keepLines w:val="0"/>
        <w:tabs>
          <w:tab w:val="clear" w:pos="-720"/>
          <w:tab w:val="clear" w:pos="4513"/>
          <w:tab w:val="clear" w:pos="10348"/>
        </w:tabs>
        <w:suppressAutoHyphens w:val="0"/>
        <w:jc w:val="left"/>
        <w:rPr>
          <w:rFonts w:eastAsia="MS Mincho"/>
          <w:szCs w:val="22"/>
          <w:u w:val="single"/>
          <w:lang w:val="en-US" w:eastAsia="ja-JP"/>
        </w:rPr>
      </w:pPr>
      <w:r w:rsidRPr="00F004C5">
        <w:rPr>
          <w:rFonts w:eastAsia="MS Mincho"/>
          <w:szCs w:val="22"/>
          <w:u w:val="single"/>
          <w:lang w:val="en-US" w:eastAsia="ja-JP"/>
        </w:rPr>
        <w:t>Storage of Diluted Solution</w:t>
      </w:r>
    </w:p>
    <w:p w14:paraId="7B5C5E42" w14:textId="72E83D0A" w:rsidR="00FC7CB1" w:rsidRPr="00F004C5" w:rsidRDefault="00FC7CB1" w:rsidP="00FC7CB1">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 xml:space="preserve">The product does not contain preservative. The diluted solution of </w:t>
      </w:r>
      <w:r w:rsidR="00EA1D46" w:rsidRPr="00F004C5">
        <w:rPr>
          <w:rFonts w:cs="Arial"/>
          <w:szCs w:val="22"/>
          <w:lang w:val="en-US" w:eastAsia="en-US"/>
        </w:rPr>
        <w:t>ZINPLAVA</w:t>
      </w:r>
      <w:r w:rsidRPr="00F004C5">
        <w:rPr>
          <w:rFonts w:cs="Arial"/>
          <w:szCs w:val="22"/>
          <w:lang w:val="en-US" w:eastAsia="en-US"/>
        </w:rPr>
        <w:t xml:space="preserve"> may be stored either at room temperature for up to 16 hours or under refrigeration at 2°C to 8°C for up to 24 hours.</w:t>
      </w:r>
      <w:r w:rsidR="00586F9D" w:rsidRPr="00F004C5">
        <w:rPr>
          <w:rFonts w:cs="Arial"/>
          <w:szCs w:val="22"/>
          <w:lang w:val="en-US" w:eastAsia="en-US"/>
        </w:rPr>
        <w:t xml:space="preserve"> </w:t>
      </w:r>
      <w:r w:rsidR="00FF086A">
        <w:rPr>
          <w:rFonts w:cs="Arial"/>
          <w:szCs w:val="22"/>
          <w:lang w:val="en-US" w:eastAsia="en-US"/>
        </w:rPr>
        <w:t xml:space="preserve">Product is for single use in one patient only.  Discard any residue. </w:t>
      </w:r>
      <w:r w:rsidRPr="00F004C5">
        <w:rPr>
          <w:rFonts w:cs="Arial"/>
          <w:szCs w:val="22"/>
          <w:lang w:val="en-US" w:eastAsia="en-US"/>
        </w:rPr>
        <w:t>If refrigerated, allow the IV bag to come to room temperature prior to use.</w:t>
      </w:r>
      <w:r w:rsidR="00586F9D" w:rsidRPr="00F004C5">
        <w:rPr>
          <w:rFonts w:cs="Arial"/>
          <w:szCs w:val="22"/>
          <w:lang w:val="en-US" w:eastAsia="en-US"/>
        </w:rPr>
        <w:t xml:space="preserve"> </w:t>
      </w:r>
    </w:p>
    <w:p w14:paraId="7B5C5E43" w14:textId="77777777" w:rsidR="00FC7CB1" w:rsidRPr="00F004C5" w:rsidRDefault="00FC7CB1" w:rsidP="00FC7CB1">
      <w:pPr>
        <w:keepLines w:val="0"/>
        <w:numPr>
          <w:ilvl w:val="0"/>
          <w:numId w:val="8"/>
        </w:numPr>
        <w:tabs>
          <w:tab w:val="clear" w:pos="-720"/>
          <w:tab w:val="clear" w:pos="4513"/>
          <w:tab w:val="clear" w:pos="10348"/>
        </w:tabs>
        <w:suppressAutoHyphens w:val="0"/>
        <w:autoSpaceDE w:val="0"/>
        <w:autoSpaceDN w:val="0"/>
        <w:adjustRightInd w:val="0"/>
        <w:ind w:left="360"/>
        <w:jc w:val="left"/>
        <w:rPr>
          <w:rFonts w:cs="Arial"/>
          <w:szCs w:val="22"/>
          <w:lang w:val="en-US" w:eastAsia="en-US"/>
        </w:rPr>
      </w:pPr>
      <w:r w:rsidRPr="00F004C5">
        <w:rPr>
          <w:rFonts w:cs="Arial"/>
          <w:szCs w:val="22"/>
          <w:lang w:val="en-US" w:eastAsia="en-US"/>
        </w:rPr>
        <w:t>These time limits include storage of the infusion solution in the IV bag through the duration of infusion.</w:t>
      </w:r>
      <w:r w:rsidR="00586F9D" w:rsidRPr="00F004C5">
        <w:rPr>
          <w:rFonts w:cs="Arial"/>
          <w:szCs w:val="22"/>
          <w:lang w:val="en-US" w:eastAsia="en-US"/>
        </w:rPr>
        <w:t xml:space="preserve"> </w:t>
      </w:r>
    </w:p>
    <w:p w14:paraId="7B5C5E44" w14:textId="77777777" w:rsidR="00FC7CB1" w:rsidRPr="00F004C5" w:rsidRDefault="00FC7CB1" w:rsidP="00FC7CB1">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Do not freeze the diluted solution.</w:t>
      </w:r>
      <w:r w:rsidR="00586F9D" w:rsidRPr="00F004C5">
        <w:rPr>
          <w:rFonts w:cs="Arial"/>
          <w:szCs w:val="22"/>
          <w:lang w:val="en-US" w:eastAsia="en-US"/>
        </w:rPr>
        <w:t xml:space="preserve"> </w:t>
      </w:r>
    </w:p>
    <w:p w14:paraId="7B5C5E45" w14:textId="77777777" w:rsidR="00FC7CB1" w:rsidRPr="00F004C5" w:rsidRDefault="00FC7CB1" w:rsidP="00FC7CB1">
      <w:pPr>
        <w:keepLines w:val="0"/>
        <w:tabs>
          <w:tab w:val="clear" w:pos="-720"/>
          <w:tab w:val="clear" w:pos="4513"/>
          <w:tab w:val="clear" w:pos="10348"/>
        </w:tabs>
        <w:suppressAutoHyphens w:val="0"/>
        <w:ind w:left="360"/>
        <w:rPr>
          <w:rFonts w:ascii="Helvetica" w:hAnsi="Helvetica"/>
          <w:szCs w:val="22"/>
          <w:lang w:val="en-US" w:eastAsia="en-US"/>
        </w:rPr>
      </w:pPr>
    </w:p>
    <w:p w14:paraId="7B5C5E46" w14:textId="77777777" w:rsidR="00FC7CB1" w:rsidRPr="00F004C5" w:rsidRDefault="00FC7CB1" w:rsidP="00FC7CB1">
      <w:pPr>
        <w:keepLines w:val="0"/>
        <w:tabs>
          <w:tab w:val="clear" w:pos="-720"/>
          <w:tab w:val="clear" w:pos="4513"/>
          <w:tab w:val="clear" w:pos="10348"/>
        </w:tabs>
        <w:suppressAutoHyphens w:val="0"/>
        <w:jc w:val="left"/>
        <w:rPr>
          <w:rFonts w:eastAsia="MS Mincho" w:cs="Arial"/>
          <w:szCs w:val="22"/>
          <w:u w:val="single"/>
          <w:lang w:val="en-US" w:eastAsia="ja-JP"/>
        </w:rPr>
      </w:pPr>
      <w:r w:rsidRPr="00F004C5">
        <w:rPr>
          <w:rFonts w:eastAsia="MS Mincho" w:cs="Arial"/>
          <w:szCs w:val="22"/>
          <w:u w:val="single"/>
          <w:lang w:val="en-US" w:eastAsia="ja-JP"/>
        </w:rPr>
        <w:t>Administration</w:t>
      </w:r>
    </w:p>
    <w:p w14:paraId="7B5C5E47" w14:textId="77777777" w:rsidR="00FC7CB1" w:rsidRPr="00F004C5" w:rsidRDefault="00FC7CB1" w:rsidP="00FC7CB1">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Administer the diluted solution for infusion intravenously over 60 minutes using a sterile, non-pyrogenic, low-protein binding 0.2 micron to 5 micron in-line or add-on filter.</w:t>
      </w:r>
      <w:r w:rsidR="00586F9D" w:rsidRPr="00F004C5">
        <w:rPr>
          <w:rFonts w:cs="Arial"/>
          <w:szCs w:val="22"/>
          <w:lang w:val="en-US" w:eastAsia="en-US"/>
        </w:rPr>
        <w:t xml:space="preserve"> </w:t>
      </w:r>
    </w:p>
    <w:p w14:paraId="7B5C5E48" w14:textId="77777777" w:rsidR="00FC7CB1" w:rsidRPr="00F004C5" w:rsidRDefault="00FC7CB1" w:rsidP="00FC7CB1">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 xml:space="preserve">The diluted solution can be infused via a central line or peripheral catheter.  Do not administer </w:t>
      </w:r>
      <w:r w:rsidR="00EA1D46" w:rsidRPr="00F004C5">
        <w:rPr>
          <w:rFonts w:cs="Arial"/>
          <w:szCs w:val="22"/>
          <w:lang w:val="en-US" w:eastAsia="en-US"/>
        </w:rPr>
        <w:t>ZINPLAVA</w:t>
      </w:r>
      <w:r w:rsidRPr="00F004C5">
        <w:rPr>
          <w:rFonts w:cs="Arial"/>
          <w:szCs w:val="22"/>
          <w:lang w:val="en-US" w:eastAsia="en-US"/>
        </w:rPr>
        <w:t xml:space="preserve"> as an intravenous push or bolus.</w:t>
      </w:r>
      <w:r w:rsidR="00914156" w:rsidRPr="00F004C5">
        <w:rPr>
          <w:rFonts w:cs="Arial"/>
          <w:szCs w:val="22"/>
          <w:lang w:val="en-US" w:eastAsia="en-US"/>
        </w:rPr>
        <w:t xml:space="preserve"> </w:t>
      </w:r>
    </w:p>
    <w:p w14:paraId="7B5C5E49" w14:textId="77777777" w:rsidR="00FC7CB1" w:rsidRPr="00F004C5" w:rsidRDefault="00FC7CB1" w:rsidP="00FC7CB1">
      <w:pPr>
        <w:keepLines w:val="0"/>
        <w:numPr>
          <w:ilvl w:val="0"/>
          <w:numId w:val="8"/>
        </w:numPr>
        <w:tabs>
          <w:tab w:val="clear" w:pos="-720"/>
          <w:tab w:val="clear" w:pos="4513"/>
          <w:tab w:val="clear" w:pos="10348"/>
        </w:tabs>
        <w:suppressAutoHyphens w:val="0"/>
        <w:ind w:left="360"/>
        <w:jc w:val="left"/>
        <w:rPr>
          <w:rFonts w:cs="Arial"/>
          <w:szCs w:val="22"/>
          <w:lang w:val="en-US" w:eastAsia="en-US"/>
        </w:rPr>
      </w:pPr>
      <w:r w:rsidRPr="00F004C5">
        <w:rPr>
          <w:rFonts w:cs="Arial"/>
          <w:szCs w:val="22"/>
          <w:lang w:val="en-US" w:eastAsia="en-US"/>
        </w:rPr>
        <w:t>Do not co-administer other drugs simultaneously through the same infusion line.</w:t>
      </w:r>
      <w:r w:rsidR="00914156" w:rsidRPr="00F004C5">
        <w:rPr>
          <w:rFonts w:cs="Arial"/>
          <w:szCs w:val="22"/>
          <w:lang w:val="en-US" w:eastAsia="en-US"/>
        </w:rPr>
        <w:t xml:space="preserve"> </w:t>
      </w:r>
    </w:p>
    <w:p w14:paraId="7B5C5E4A" w14:textId="77777777" w:rsidR="00FC7CB1" w:rsidRPr="00EE12B4" w:rsidRDefault="00FC7CB1" w:rsidP="00CF772C">
      <w:pPr>
        <w:rPr>
          <w:rFonts w:cs="Arial"/>
          <w:szCs w:val="22"/>
        </w:rPr>
      </w:pPr>
    </w:p>
    <w:p w14:paraId="7B5C5E4B" w14:textId="77777777" w:rsidR="003345BB" w:rsidRPr="00187C95" w:rsidRDefault="003345BB" w:rsidP="00EE12B4">
      <w:pPr>
        <w:pStyle w:val="Heading2"/>
        <w:rPr>
          <w:rFonts w:ascii="Arial" w:hAnsi="Arial" w:cs="Arial"/>
        </w:rPr>
      </w:pPr>
      <w:r w:rsidRPr="00187C95">
        <w:rPr>
          <w:rFonts w:ascii="Arial" w:hAnsi="Arial" w:cs="Arial"/>
        </w:rPr>
        <w:lastRenderedPageBreak/>
        <w:t>Paediatric Patients</w:t>
      </w:r>
    </w:p>
    <w:p w14:paraId="7B5C5E4C" w14:textId="77777777" w:rsidR="003345BB" w:rsidRDefault="003345BB" w:rsidP="003345BB">
      <w:pPr>
        <w:rPr>
          <w:rFonts w:cs="Arial"/>
        </w:rPr>
      </w:pPr>
      <w:r w:rsidRPr="004172BA">
        <w:rPr>
          <w:rFonts w:cs="Arial"/>
        </w:rPr>
        <w:t xml:space="preserve">Safety and efficacy of </w:t>
      </w:r>
      <w:r w:rsidR="00EA1D46">
        <w:rPr>
          <w:rFonts w:cs="Arial"/>
        </w:rPr>
        <w:t>ZINPLAVA</w:t>
      </w:r>
      <w:r w:rsidRPr="004172BA">
        <w:rPr>
          <w:rFonts w:cs="Arial"/>
        </w:rPr>
        <w:t xml:space="preserve"> in </w:t>
      </w:r>
      <w:r w:rsidR="00FC7CB1">
        <w:rPr>
          <w:rFonts w:cs="Arial"/>
        </w:rPr>
        <w:t xml:space="preserve">patients </w:t>
      </w:r>
      <w:r w:rsidRPr="004172BA">
        <w:rPr>
          <w:rFonts w:cs="Arial"/>
        </w:rPr>
        <w:t>below 18 years of age have not been established.</w:t>
      </w:r>
    </w:p>
    <w:p w14:paraId="7B5C5E4D" w14:textId="77777777" w:rsidR="003345BB" w:rsidRPr="004172BA" w:rsidRDefault="003345BB" w:rsidP="003345BB">
      <w:pPr>
        <w:rPr>
          <w:rFonts w:cs="Arial"/>
        </w:rPr>
      </w:pPr>
    </w:p>
    <w:p w14:paraId="7B5C5E4E" w14:textId="77777777" w:rsidR="003345BB" w:rsidRPr="00187C95" w:rsidRDefault="003345BB" w:rsidP="00EE12B4">
      <w:pPr>
        <w:pStyle w:val="Heading2"/>
        <w:rPr>
          <w:rFonts w:ascii="Arial" w:hAnsi="Arial" w:cs="Arial"/>
        </w:rPr>
      </w:pPr>
      <w:r w:rsidRPr="00187C95">
        <w:rPr>
          <w:rFonts w:ascii="Arial" w:hAnsi="Arial" w:cs="Arial"/>
        </w:rPr>
        <w:t>Geriatric Patients</w:t>
      </w:r>
    </w:p>
    <w:p w14:paraId="7B5C5E4F" w14:textId="77777777" w:rsidR="00CF772C" w:rsidRPr="00914156" w:rsidRDefault="003345BB" w:rsidP="003345BB">
      <w:pPr>
        <w:rPr>
          <w:rFonts w:cs="Arial"/>
          <w:color w:val="3333FF"/>
        </w:rPr>
      </w:pPr>
      <w:r w:rsidRPr="004172BA">
        <w:rPr>
          <w:rFonts w:cs="Arial"/>
        </w:rPr>
        <w:t xml:space="preserve">No dose adjustment is necessary in </w:t>
      </w:r>
      <w:r w:rsidR="00FC7CB1">
        <w:rPr>
          <w:rFonts w:cs="Arial"/>
        </w:rPr>
        <w:t>geriatric patients</w:t>
      </w:r>
      <w:r w:rsidRPr="004172BA">
        <w:rPr>
          <w:rFonts w:cs="Arial"/>
        </w:rPr>
        <w:t>.</w:t>
      </w:r>
      <w:r w:rsidR="00914156">
        <w:rPr>
          <w:rFonts w:cs="Arial"/>
        </w:rPr>
        <w:t xml:space="preserve"> </w:t>
      </w:r>
    </w:p>
    <w:p w14:paraId="7B5C5E50" w14:textId="77777777" w:rsidR="003345BB" w:rsidRPr="004172BA" w:rsidRDefault="003345BB" w:rsidP="00CF772C">
      <w:pPr>
        <w:rPr>
          <w:rFonts w:cs="Arial"/>
        </w:rPr>
      </w:pPr>
    </w:p>
    <w:p w14:paraId="7B5C5E51" w14:textId="77777777" w:rsidR="00C169A1" w:rsidRPr="00187C95" w:rsidRDefault="00C169A1" w:rsidP="00EE12B4">
      <w:pPr>
        <w:pStyle w:val="Heading2"/>
        <w:rPr>
          <w:rFonts w:ascii="Arial" w:hAnsi="Arial" w:cs="Arial"/>
        </w:rPr>
      </w:pPr>
      <w:r w:rsidRPr="00187C95">
        <w:rPr>
          <w:rFonts w:ascii="Arial" w:hAnsi="Arial" w:cs="Arial"/>
        </w:rPr>
        <w:t>Renal I</w:t>
      </w:r>
      <w:r w:rsidR="00FC7CB1">
        <w:rPr>
          <w:rFonts w:ascii="Arial" w:hAnsi="Arial" w:cs="Arial"/>
        </w:rPr>
        <w:t>mpairment</w:t>
      </w:r>
    </w:p>
    <w:p w14:paraId="7B5C5E52" w14:textId="77777777" w:rsidR="00C169A1" w:rsidRPr="00914156" w:rsidRDefault="00406042" w:rsidP="00C169A1">
      <w:pPr>
        <w:pStyle w:val="BodyText1"/>
        <w:spacing w:before="0"/>
        <w:ind w:firstLine="0"/>
        <w:jc w:val="both"/>
        <w:rPr>
          <w:rFonts w:ascii="Arial" w:hAnsi="Arial" w:cs="Arial"/>
          <w:color w:val="3333FF"/>
          <w:sz w:val="22"/>
          <w:szCs w:val="20"/>
        </w:rPr>
      </w:pPr>
      <w:r w:rsidRPr="004172BA">
        <w:rPr>
          <w:rFonts w:ascii="Arial" w:hAnsi="Arial" w:cs="Arial"/>
          <w:sz w:val="22"/>
          <w:szCs w:val="20"/>
        </w:rPr>
        <w:t xml:space="preserve">No dose adjustment is </w:t>
      </w:r>
      <w:r w:rsidR="00FC7CB1">
        <w:rPr>
          <w:rFonts w:ascii="Arial" w:hAnsi="Arial" w:cs="Arial"/>
          <w:sz w:val="22"/>
          <w:szCs w:val="20"/>
        </w:rPr>
        <w:t>necessary for patients with renal impairment.</w:t>
      </w:r>
      <w:r w:rsidR="00914156">
        <w:rPr>
          <w:rFonts w:ascii="Arial" w:hAnsi="Arial" w:cs="Arial"/>
          <w:sz w:val="22"/>
          <w:szCs w:val="20"/>
        </w:rPr>
        <w:t xml:space="preserve"> </w:t>
      </w:r>
    </w:p>
    <w:p w14:paraId="7B5C5E53" w14:textId="77777777" w:rsidR="00FC7CB1" w:rsidRDefault="00FC7CB1" w:rsidP="00EE12B4">
      <w:pPr>
        <w:pStyle w:val="Heading2"/>
        <w:rPr>
          <w:rFonts w:ascii="Arial" w:hAnsi="Arial" w:cs="Arial"/>
        </w:rPr>
      </w:pPr>
    </w:p>
    <w:p w14:paraId="7B5C5E54" w14:textId="77777777" w:rsidR="00C169A1" w:rsidRPr="00187C95" w:rsidRDefault="00C169A1" w:rsidP="00EE12B4">
      <w:pPr>
        <w:pStyle w:val="Heading2"/>
        <w:rPr>
          <w:rFonts w:ascii="Arial" w:hAnsi="Arial" w:cs="Arial"/>
        </w:rPr>
      </w:pPr>
      <w:r w:rsidRPr="00187C95">
        <w:rPr>
          <w:rFonts w:ascii="Arial" w:hAnsi="Arial" w:cs="Arial"/>
        </w:rPr>
        <w:t xml:space="preserve">Hepatic </w:t>
      </w:r>
      <w:r w:rsidR="00FC7CB1">
        <w:rPr>
          <w:rFonts w:ascii="Arial" w:hAnsi="Arial" w:cs="Arial"/>
        </w:rPr>
        <w:t>Impairment</w:t>
      </w:r>
    </w:p>
    <w:p w14:paraId="7B5C5E55" w14:textId="77777777" w:rsidR="00406042" w:rsidRPr="00914156" w:rsidRDefault="00406042" w:rsidP="00C169A1">
      <w:pPr>
        <w:pStyle w:val="BodyText1"/>
        <w:spacing w:before="0"/>
        <w:ind w:firstLine="0"/>
        <w:jc w:val="both"/>
        <w:rPr>
          <w:rFonts w:ascii="Arial" w:hAnsi="Arial" w:cs="Arial"/>
          <w:i/>
          <w:color w:val="3333FF"/>
          <w:sz w:val="22"/>
          <w:szCs w:val="20"/>
        </w:rPr>
      </w:pPr>
      <w:r w:rsidRPr="004172BA">
        <w:rPr>
          <w:rFonts w:ascii="Arial" w:hAnsi="Arial" w:cs="Arial"/>
          <w:sz w:val="22"/>
          <w:szCs w:val="20"/>
        </w:rPr>
        <w:t xml:space="preserve">No dose adjustment is </w:t>
      </w:r>
      <w:r w:rsidR="00FC7CB1">
        <w:rPr>
          <w:rFonts w:ascii="Arial" w:hAnsi="Arial" w:cs="Arial"/>
          <w:sz w:val="22"/>
          <w:szCs w:val="20"/>
        </w:rPr>
        <w:t>necessary for patients with hepatic impairment.</w:t>
      </w:r>
      <w:r w:rsidR="00914156">
        <w:rPr>
          <w:rFonts w:ascii="Arial" w:hAnsi="Arial" w:cs="Arial"/>
          <w:sz w:val="22"/>
          <w:szCs w:val="20"/>
        </w:rPr>
        <w:t xml:space="preserve"> </w:t>
      </w:r>
    </w:p>
    <w:p w14:paraId="7B5C5E56" w14:textId="77777777" w:rsidR="00D90014" w:rsidRPr="002164EC" w:rsidRDefault="00D90014" w:rsidP="00D90014">
      <w:pPr>
        <w:rPr>
          <w:rFonts w:cs="Arial"/>
          <w:bCs/>
        </w:rPr>
      </w:pPr>
    </w:p>
    <w:p w14:paraId="7B5C5E57" w14:textId="77777777" w:rsidR="003A6F1C" w:rsidRPr="00187C95" w:rsidRDefault="003A6F1C" w:rsidP="007B396B">
      <w:pPr>
        <w:pStyle w:val="Heading1"/>
      </w:pPr>
      <w:r w:rsidRPr="00187C95">
        <w:t>OVERDOSAGE</w:t>
      </w:r>
    </w:p>
    <w:p w14:paraId="7B5C5E58" w14:textId="77777777" w:rsidR="001D71DE" w:rsidRPr="00EC02DD" w:rsidRDefault="00FC7CB1" w:rsidP="00704668">
      <w:pPr>
        <w:rPr>
          <w:rFonts w:cs="Arial"/>
          <w:color w:val="3333FF"/>
        </w:rPr>
      </w:pPr>
      <w:r>
        <w:rPr>
          <w:rFonts w:cs="Arial"/>
        </w:rPr>
        <w:t xml:space="preserve">There is no clinical experience with </w:t>
      </w:r>
      <w:proofErr w:type="spellStart"/>
      <w:r>
        <w:rPr>
          <w:rFonts w:cs="Arial"/>
        </w:rPr>
        <w:t>overdosage</w:t>
      </w:r>
      <w:proofErr w:type="spellEnd"/>
      <w:r>
        <w:rPr>
          <w:rFonts w:cs="Arial"/>
        </w:rPr>
        <w:t xml:space="preserve"> of </w:t>
      </w:r>
      <w:r w:rsidR="00EA1D46">
        <w:rPr>
          <w:rFonts w:cs="Arial"/>
        </w:rPr>
        <w:t>ZINPLAVA</w:t>
      </w:r>
      <w:r w:rsidR="00583120">
        <w:rPr>
          <w:rFonts w:cs="Arial"/>
        </w:rPr>
        <w:t>.</w:t>
      </w:r>
      <w:r w:rsidR="00914156" w:rsidRPr="00914156">
        <w:rPr>
          <w:rFonts w:cs="Arial"/>
          <w:color w:val="3333FF"/>
        </w:rPr>
        <w:t xml:space="preserve"> </w:t>
      </w:r>
      <w:r>
        <w:rPr>
          <w:rFonts w:cs="Arial"/>
        </w:rPr>
        <w:t xml:space="preserve"> In clinical trials, healthy subjects received up to 20 mg/kg, which was generally well tolerated. In case of overdose, patients should be </w:t>
      </w:r>
      <w:r w:rsidR="00704668" w:rsidRPr="00187C95">
        <w:rPr>
          <w:rFonts w:cs="Arial"/>
        </w:rPr>
        <w:t xml:space="preserve">closely monitored for signs or symptoms of adverse reactions, and appropriate symptomatic treatment </w:t>
      </w:r>
      <w:r>
        <w:rPr>
          <w:rFonts w:cs="Arial"/>
        </w:rPr>
        <w:t xml:space="preserve">should be </w:t>
      </w:r>
      <w:r w:rsidR="00704668" w:rsidRPr="00187C95">
        <w:rPr>
          <w:rFonts w:cs="Arial"/>
        </w:rPr>
        <w:t>instituted.</w:t>
      </w:r>
      <w:r w:rsidR="00EC02DD">
        <w:rPr>
          <w:rFonts w:cs="Arial"/>
        </w:rPr>
        <w:t xml:space="preserve"> </w:t>
      </w:r>
    </w:p>
    <w:p w14:paraId="7B5C5E59" w14:textId="77777777" w:rsidR="003345BB" w:rsidRPr="00187C95" w:rsidRDefault="003345BB" w:rsidP="00704668">
      <w:pPr>
        <w:rPr>
          <w:rFonts w:cs="Arial"/>
          <w:lang w:val="en-US" w:eastAsia="en-US"/>
        </w:rPr>
      </w:pPr>
    </w:p>
    <w:p w14:paraId="7B5C5E5A" w14:textId="77777777" w:rsidR="003A6F1C" w:rsidRPr="00187C95" w:rsidRDefault="003A6F1C" w:rsidP="007B396B">
      <w:pPr>
        <w:pStyle w:val="Heading1"/>
      </w:pPr>
      <w:r w:rsidRPr="00187C95">
        <w:t>PRESENTATION</w:t>
      </w:r>
      <w:r w:rsidR="00C25BB6" w:rsidRPr="00187C95">
        <w:t xml:space="preserve"> AND STORAGE CONDITIONS</w:t>
      </w:r>
    </w:p>
    <w:p w14:paraId="7B5C5E5B" w14:textId="77777777" w:rsidR="005F3555" w:rsidRPr="007F53BD" w:rsidRDefault="00EA1D46" w:rsidP="005F3555">
      <w:pPr>
        <w:keepLines w:val="0"/>
        <w:tabs>
          <w:tab w:val="clear" w:pos="-720"/>
          <w:tab w:val="clear" w:pos="4513"/>
          <w:tab w:val="clear" w:pos="10348"/>
          <w:tab w:val="left" w:pos="567"/>
        </w:tabs>
        <w:suppressAutoHyphens w:val="0"/>
        <w:rPr>
          <w:rFonts w:cs="Arial"/>
          <w:bCs/>
          <w:iCs/>
          <w:color w:val="3333FF"/>
          <w:szCs w:val="22"/>
          <w:lang w:val="en-GB" w:eastAsia="en-US"/>
        </w:rPr>
      </w:pPr>
      <w:r>
        <w:rPr>
          <w:rFonts w:cs="Arial"/>
          <w:bCs/>
          <w:iCs/>
          <w:szCs w:val="22"/>
          <w:lang w:val="en-GB" w:eastAsia="en-US"/>
        </w:rPr>
        <w:t>ZINPLAVA</w:t>
      </w:r>
      <w:r w:rsidR="00E431DF" w:rsidRPr="00E431DF">
        <w:rPr>
          <w:rFonts w:cs="Arial"/>
          <w:bCs/>
          <w:iCs/>
          <w:szCs w:val="22"/>
          <w:vertAlign w:val="superscript"/>
          <w:lang w:val="en-GB" w:eastAsia="en-US"/>
        </w:rPr>
        <w:t>®</w:t>
      </w:r>
      <w:r w:rsidR="005F3555">
        <w:rPr>
          <w:rFonts w:cs="Arial"/>
          <w:bCs/>
          <w:iCs/>
          <w:szCs w:val="22"/>
          <w:lang w:val="en-GB" w:eastAsia="en-US"/>
        </w:rPr>
        <w:t xml:space="preserve"> </w:t>
      </w:r>
      <w:r w:rsidR="005F3555" w:rsidRPr="005F3555">
        <w:rPr>
          <w:rFonts w:cs="Arial"/>
          <w:bCs/>
          <w:iCs/>
          <w:szCs w:val="22"/>
          <w:lang w:val="en-GB" w:eastAsia="en-US"/>
        </w:rPr>
        <w:t>concentrated injection</w:t>
      </w:r>
      <w:r w:rsidR="005F3555">
        <w:rPr>
          <w:rFonts w:cs="Arial"/>
          <w:bCs/>
          <w:iCs/>
          <w:szCs w:val="22"/>
          <w:lang w:val="en-GB" w:eastAsia="en-US"/>
        </w:rPr>
        <w:t>: carton containing one 1,000 mg/40 mL (25 mg/mL) single-dose vial.</w:t>
      </w:r>
      <w:r w:rsidR="007F53BD">
        <w:rPr>
          <w:rFonts w:cs="Arial"/>
          <w:bCs/>
          <w:iCs/>
          <w:szCs w:val="22"/>
          <w:lang w:val="en-GB" w:eastAsia="en-US"/>
        </w:rPr>
        <w:t xml:space="preserve"> </w:t>
      </w:r>
    </w:p>
    <w:p w14:paraId="7B5C5E5C" w14:textId="77777777" w:rsidR="0053709B" w:rsidRPr="00187C95" w:rsidRDefault="0053709B" w:rsidP="0053709B">
      <w:pPr>
        <w:rPr>
          <w:rFonts w:cs="Arial"/>
        </w:rPr>
      </w:pPr>
    </w:p>
    <w:p w14:paraId="7B5C5E5D" w14:textId="77777777" w:rsidR="0053709B" w:rsidRDefault="0053709B" w:rsidP="0053709B">
      <w:pPr>
        <w:rPr>
          <w:rFonts w:cs="Arial"/>
        </w:rPr>
      </w:pPr>
      <w:r w:rsidRPr="00187C95">
        <w:rPr>
          <w:rFonts w:cs="Arial"/>
        </w:rPr>
        <w:t>Store</w:t>
      </w:r>
      <w:r w:rsidRPr="001F212B">
        <w:rPr>
          <w:rFonts w:cs="Arial"/>
          <w:szCs w:val="22"/>
        </w:rPr>
        <w:t xml:space="preserve"> </w:t>
      </w:r>
      <w:r w:rsidR="005F3555">
        <w:rPr>
          <w:rFonts w:cs="Arial"/>
          <w:szCs w:val="22"/>
        </w:rPr>
        <w:t xml:space="preserve">at </w:t>
      </w:r>
      <w:r w:rsidR="001F212B" w:rsidRPr="001F212B">
        <w:rPr>
          <w:rFonts w:cs="Arial"/>
          <w:szCs w:val="22"/>
          <w:lang w:val="en-US"/>
        </w:rPr>
        <w:t>2</w:t>
      </w:r>
      <w:r w:rsidR="001F212B" w:rsidRPr="001F212B">
        <w:rPr>
          <w:rFonts w:cs="Arial"/>
          <w:szCs w:val="22"/>
          <w:vertAlign w:val="superscript"/>
          <w:lang w:val="en-US"/>
        </w:rPr>
        <w:t>o</w:t>
      </w:r>
      <w:r w:rsidR="001F212B" w:rsidRPr="001F212B">
        <w:rPr>
          <w:rFonts w:cs="Arial"/>
          <w:szCs w:val="22"/>
          <w:lang w:val="en-US"/>
        </w:rPr>
        <w:t>C to 8</w:t>
      </w:r>
      <w:r w:rsidR="001F212B" w:rsidRPr="001F212B">
        <w:rPr>
          <w:rFonts w:cs="Arial"/>
          <w:szCs w:val="22"/>
          <w:vertAlign w:val="superscript"/>
          <w:lang w:val="en-US"/>
        </w:rPr>
        <w:t>o</w:t>
      </w:r>
      <w:r w:rsidR="001F212B" w:rsidRPr="001F212B">
        <w:rPr>
          <w:rFonts w:cs="Arial"/>
          <w:szCs w:val="22"/>
          <w:lang w:val="en-US"/>
        </w:rPr>
        <w:t>C (Refrigerate. Do not freeze)</w:t>
      </w:r>
      <w:r w:rsidR="001F212B">
        <w:rPr>
          <w:rFonts w:cs="Arial"/>
          <w:szCs w:val="22"/>
          <w:lang w:val="en-US"/>
        </w:rPr>
        <w:t xml:space="preserve">. </w:t>
      </w:r>
      <w:proofErr w:type="gramStart"/>
      <w:r w:rsidR="001F212B">
        <w:rPr>
          <w:rFonts w:cs="Arial"/>
          <w:szCs w:val="22"/>
          <w:lang w:val="en-US"/>
        </w:rPr>
        <w:t>Store</w:t>
      </w:r>
      <w:r w:rsidR="005F3555">
        <w:rPr>
          <w:rFonts w:cs="Arial"/>
          <w:szCs w:val="22"/>
          <w:lang w:val="en-US"/>
        </w:rPr>
        <w:t xml:space="preserve"> </w:t>
      </w:r>
      <w:r w:rsidR="001F212B">
        <w:rPr>
          <w:rFonts w:cs="Arial"/>
          <w:szCs w:val="22"/>
          <w:lang w:val="en-US"/>
        </w:rPr>
        <w:t>in original carton.</w:t>
      </w:r>
      <w:proofErr w:type="gramEnd"/>
      <w:r w:rsidR="00FC7CB1">
        <w:rPr>
          <w:rFonts w:cs="Arial"/>
        </w:rPr>
        <w:t xml:space="preserve">  Protect from light.</w:t>
      </w:r>
    </w:p>
    <w:p w14:paraId="7B5C5E5E" w14:textId="77777777" w:rsidR="007F53BD" w:rsidRPr="00187C95" w:rsidRDefault="007F53BD" w:rsidP="0053709B">
      <w:pPr>
        <w:rPr>
          <w:rFonts w:cs="Arial"/>
        </w:rPr>
      </w:pPr>
    </w:p>
    <w:p w14:paraId="7B5C5E60" w14:textId="33197275" w:rsidR="003345BB" w:rsidRPr="00187C95" w:rsidRDefault="003345BB" w:rsidP="003345BB">
      <w:pPr>
        <w:rPr>
          <w:rFonts w:cs="Arial"/>
        </w:rPr>
      </w:pPr>
      <w:r w:rsidRPr="00187C95">
        <w:rPr>
          <w:rFonts w:cs="Arial"/>
        </w:rPr>
        <w:t xml:space="preserve">For storage </w:t>
      </w:r>
      <w:r w:rsidR="001F212B">
        <w:rPr>
          <w:rFonts w:cs="Arial"/>
        </w:rPr>
        <w:t xml:space="preserve">of diluted solution, </w:t>
      </w:r>
      <w:r w:rsidRPr="00A93A9C">
        <w:rPr>
          <w:rFonts w:cs="Arial"/>
        </w:rPr>
        <w:t>see DOSAGE AND ADMINISTRATION</w:t>
      </w:r>
      <w:r w:rsidRPr="00187C95">
        <w:rPr>
          <w:rFonts w:cs="Arial"/>
        </w:rPr>
        <w:t>.</w:t>
      </w:r>
    </w:p>
    <w:p w14:paraId="7B5C5E61" w14:textId="77777777" w:rsidR="003345BB" w:rsidRPr="00187C95" w:rsidRDefault="003345BB" w:rsidP="003345BB">
      <w:pPr>
        <w:rPr>
          <w:rFonts w:cs="Arial"/>
        </w:rPr>
      </w:pPr>
    </w:p>
    <w:p w14:paraId="7B5C5E62" w14:textId="77777777" w:rsidR="003A6F1C" w:rsidRPr="00187C95" w:rsidRDefault="00C25BB6" w:rsidP="007B396B">
      <w:pPr>
        <w:pStyle w:val="Heading1"/>
      </w:pPr>
      <w:r w:rsidRPr="00187C95">
        <w:t xml:space="preserve">NAME AND ADDRESS OF THE </w:t>
      </w:r>
      <w:r w:rsidR="003A6F1C" w:rsidRPr="00187C95">
        <w:t>SPONSOR</w:t>
      </w:r>
    </w:p>
    <w:p w14:paraId="7B5C5E63" w14:textId="77777777" w:rsidR="007D12E0" w:rsidRPr="00187C95" w:rsidRDefault="007D12E0" w:rsidP="00597398">
      <w:pPr>
        <w:rPr>
          <w:rFonts w:cs="Arial"/>
        </w:rPr>
      </w:pPr>
      <w:r w:rsidRPr="00187C95">
        <w:rPr>
          <w:rFonts w:cs="Arial"/>
        </w:rPr>
        <w:t>Merck Sharp &amp; Dohme (Australia) Pty Limited</w:t>
      </w:r>
    </w:p>
    <w:p w14:paraId="7B5C5E64" w14:textId="77777777" w:rsidR="00580E6B" w:rsidRPr="00187C95" w:rsidRDefault="00580E6B" w:rsidP="00597398">
      <w:pPr>
        <w:rPr>
          <w:rFonts w:cs="Arial"/>
        </w:rPr>
      </w:pPr>
      <w:r w:rsidRPr="00187C95">
        <w:rPr>
          <w:rFonts w:cs="Arial"/>
        </w:rPr>
        <w:t>Level 1, Building A, 26 Talavera Road</w:t>
      </w:r>
    </w:p>
    <w:p w14:paraId="7B5C5E65" w14:textId="77777777" w:rsidR="00580E6B" w:rsidRPr="00187C95" w:rsidRDefault="00580E6B" w:rsidP="00597398">
      <w:pPr>
        <w:rPr>
          <w:rFonts w:cs="Arial"/>
        </w:rPr>
      </w:pPr>
      <w:r w:rsidRPr="00187C95">
        <w:rPr>
          <w:rFonts w:cs="Arial"/>
        </w:rPr>
        <w:t>Macquarie Park, NSW 2113, Australia</w:t>
      </w:r>
    </w:p>
    <w:p w14:paraId="7B5C5E66" w14:textId="77777777" w:rsidR="003345BB" w:rsidRDefault="003345BB" w:rsidP="00597398">
      <w:pPr>
        <w:rPr>
          <w:rFonts w:cs="Arial"/>
        </w:rPr>
      </w:pPr>
    </w:p>
    <w:p w14:paraId="7B5C5E67" w14:textId="77777777" w:rsidR="00C25BB6" w:rsidRPr="00187C95" w:rsidRDefault="00C25BB6" w:rsidP="007B396B">
      <w:pPr>
        <w:pStyle w:val="Heading1"/>
      </w:pPr>
      <w:r w:rsidRPr="00187C95">
        <w:t>POISON SCHEDULE OF THE MEDICINE</w:t>
      </w:r>
    </w:p>
    <w:p w14:paraId="7B5C5E68" w14:textId="77777777" w:rsidR="00C25BB6" w:rsidRPr="00187C95" w:rsidRDefault="00C25BB6" w:rsidP="00C25BB6">
      <w:pPr>
        <w:rPr>
          <w:rFonts w:cs="Arial"/>
        </w:rPr>
      </w:pPr>
      <w:r w:rsidRPr="00187C95">
        <w:rPr>
          <w:rFonts w:cs="Arial"/>
        </w:rPr>
        <w:t xml:space="preserve">Prescription </w:t>
      </w:r>
      <w:r w:rsidR="005F3555">
        <w:rPr>
          <w:rFonts w:cs="Arial"/>
        </w:rPr>
        <w:t>O</w:t>
      </w:r>
      <w:r w:rsidRPr="00187C95">
        <w:rPr>
          <w:rFonts w:cs="Arial"/>
        </w:rPr>
        <w:t xml:space="preserve">nly </w:t>
      </w:r>
      <w:r w:rsidR="005F3555">
        <w:rPr>
          <w:rFonts w:cs="Arial"/>
        </w:rPr>
        <w:t>M</w:t>
      </w:r>
      <w:r w:rsidRPr="00187C95">
        <w:rPr>
          <w:rFonts w:cs="Arial"/>
        </w:rPr>
        <w:t>edicine (Schedule 4)</w:t>
      </w:r>
    </w:p>
    <w:p w14:paraId="7B5C5E69" w14:textId="77777777" w:rsidR="00C25BB6" w:rsidRPr="00187C95" w:rsidRDefault="00C25BB6" w:rsidP="00C25BB6">
      <w:pPr>
        <w:rPr>
          <w:rFonts w:cs="Arial"/>
        </w:rPr>
      </w:pPr>
    </w:p>
    <w:p w14:paraId="7B5C5E6A" w14:textId="77777777" w:rsidR="00C25BB6" w:rsidRPr="00187C95" w:rsidRDefault="00C25BB6" w:rsidP="007B396B">
      <w:pPr>
        <w:pStyle w:val="Heading1"/>
      </w:pPr>
      <w:r w:rsidRPr="00187C95">
        <w:t>DATE OF FIRST INCLUSION IN THE AUSTRALIAN REGISTER OF THERAPEUTIC GOODS (the ARTG)</w:t>
      </w:r>
    </w:p>
    <w:p w14:paraId="7B5C5E6B" w14:textId="77777777" w:rsidR="00C25BB6" w:rsidRPr="00D8643B" w:rsidRDefault="00C25BB6" w:rsidP="00C25BB6">
      <w:pPr>
        <w:rPr>
          <w:rFonts w:cs="Arial"/>
        </w:rPr>
      </w:pPr>
    </w:p>
    <w:p w14:paraId="7B5C5E6C" w14:textId="77777777" w:rsidR="004804E7" w:rsidRDefault="004804E7" w:rsidP="007B396B">
      <w:pPr>
        <w:pStyle w:val="Heading1"/>
      </w:pPr>
      <w:r w:rsidRPr="00AE1EF9">
        <w:lastRenderedPageBreak/>
        <w:t>DATE OF MOST RECENT AMENDMENT</w:t>
      </w:r>
    </w:p>
    <w:p w14:paraId="458D8A65" w14:textId="710F5CEC" w:rsidR="00D26E39" w:rsidRDefault="00D26E39" w:rsidP="00D26E39"/>
    <w:p w14:paraId="393CEAFA" w14:textId="77777777" w:rsidR="00D26E39" w:rsidRDefault="00D26E39" w:rsidP="00D26E39"/>
    <w:p w14:paraId="141554FD" w14:textId="77777777" w:rsidR="00D26E39" w:rsidRDefault="00D26E39" w:rsidP="00D26E39"/>
    <w:p w14:paraId="1F75E368" w14:textId="77777777" w:rsidR="00D26E39" w:rsidRDefault="00D26E39" w:rsidP="00D26E39"/>
    <w:p w14:paraId="2901AEED" w14:textId="77777777" w:rsidR="00D26E39" w:rsidRDefault="00D26E39" w:rsidP="00D26E39"/>
    <w:p w14:paraId="63230363" w14:textId="77777777" w:rsidR="00D26E39" w:rsidRDefault="00D26E39" w:rsidP="00D26E39"/>
    <w:p w14:paraId="39E11E6E" w14:textId="77777777" w:rsidR="00D26E39" w:rsidRDefault="00D26E39" w:rsidP="00D26E39"/>
    <w:p w14:paraId="387DA40A" w14:textId="6F20E5C8" w:rsidR="00D26E39" w:rsidRPr="00D26E39" w:rsidRDefault="00D26E39" w:rsidP="00D26E39">
      <w:pPr>
        <w:rPr>
          <w:sz w:val="18"/>
          <w:szCs w:val="18"/>
        </w:rPr>
      </w:pPr>
      <w:r w:rsidRPr="00D26E39">
        <w:rPr>
          <w:sz w:val="18"/>
          <w:szCs w:val="18"/>
          <w:lang w:val="fr-FR"/>
        </w:rPr>
        <w:t>CCDS-MK6072-IV-112015</w:t>
      </w:r>
    </w:p>
    <w:sectPr w:rsidR="00D26E39" w:rsidRPr="00D26E39" w:rsidSect="00597398">
      <w:headerReference w:type="default" r:id="rId14"/>
      <w:footerReference w:type="default" r:id="rId15"/>
      <w:footnotePr>
        <w:numFmt w:val="chicago"/>
      </w:footnotePr>
      <w:endnotePr>
        <w:numFmt w:val="decimal"/>
      </w:endnotePr>
      <w:pgSz w:w="11907" w:h="16840" w:code="9"/>
      <w:pgMar w:top="1418" w:right="1134" w:bottom="1418" w:left="1134" w:header="124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C5E6F" w14:textId="77777777" w:rsidR="00FD0499" w:rsidRDefault="00FD0499">
      <w:r>
        <w:separator/>
      </w:r>
    </w:p>
  </w:endnote>
  <w:endnote w:type="continuationSeparator" w:id="0">
    <w:p w14:paraId="7B5C5E70" w14:textId="77777777" w:rsidR="00FD0499" w:rsidRDefault="00FD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C5E71" w14:textId="68DC3CA2" w:rsidR="00FD0499" w:rsidRDefault="00FD0499" w:rsidP="00D90014">
    <w:pPr>
      <w:pStyle w:val="FootnoteText"/>
      <w:tabs>
        <w:tab w:val="clear" w:pos="4513"/>
        <w:tab w:val="clear" w:pos="10348"/>
        <w:tab w:val="left" w:pos="7371"/>
        <w:tab w:val="right" w:pos="8080"/>
      </w:tabs>
      <w:spacing w:before="140"/>
      <w:rPr>
        <w:lang w:val="fr-FR"/>
      </w:rPr>
    </w:pPr>
    <w:r>
      <w:rPr>
        <w:lang w:val="fr-FR"/>
      </w:rPr>
      <w:tab/>
      <w:t xml:space="preserve">PAGE </w:t>
    </w:r>
    <w:r>
      <w:rPr>
        <w:rStyle w:val="PageNumber"/>
        <w:sz w:val="22"/>
      </w:rPr>
      <w:fldChar w:fldCharType="begin"/>
    </w:r>
    <w:r>
      <w:rPr>
        <w:rStyle w:val="PageNumber"/>
        <w:sz w:val="22"/>
        <w:lang w:val="fr-FR"/>
      </w:rPr>
      <w:instrText xml:space="preserve"> PAGE </w:instrText>
    </w:r>
    <w:r>
      <w:rPr>
        <w:rStyle w:val="PageNumber"/>
        <w:sz w:val="22"/>
      </w:rPr>
      <w:fldChar w:fldCharType="separate"/>
    </w:r>
    <w:r w:rsidR="005E6CD1">
      <w:rPr>
        <w:rStyle w:val="PageNumber"/>
        <w:noProof/>
        <w:sz w:val="22"/>
        <w:lang w:val="fr-FR"/>
      </w:rPr>
      <w:t>1</w:t>
    </w:r>
    <w:r>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C5E6D" w14:textId="77777777" w:rsidR="00FD0499" w:rsidRDefault="00FD0499">
      <w:r>
        <w:separator/>
      </w:r>
    </w:p>
  </w:footnote>
  <w:footnote w:type="continuationSeparator" w:id="0">
    <w:p w14:paraId="7B5C5E6E" w14:textId="77777777" w:rsidR="00FD0499" w:rsidRDefault="00FD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E6CD1" w:rsidRPr="002E7F61" w14:paraId="2EE6EA19" w14:textId="77777777" w:rsidTr="00326241">
      <w:trPr>
        <w:trHeight w:val="602"/>
      </w:trPr>
      <w:tc>
        <w:tcPr>
          <w:tcW w:w="8720" w:type="dxa"/>
          <w:shd w:val="clear" w:color="auto" w:fill="E4F2E0"/>
        </w:tcPr>
        <w:p w14:paraId="07B11107" w14:textId="77777777" w:rsidR="005E6CD1" w:rsidRPr="002E7F61" w:rsidRDefault="005E6CD1" w:rsidP="00326241">
          <w:pPr>
            <w:pStyle w:val="Footer"/>
            <w:rPr>
              <w:b/>
              <w:sz w:val="18"/>
              <w:szCs w:val="18"/>
            </w:rPr>
          </w:pPr>
          <w:r w:rsidRPr="002E7F61">
            <w:rPr>
              <w:b/>
              <w:sz w:val="18"/>
              <w:szCs w:val="18"/>
            </w:rPr>
            <w:t xml:space="preserve">Attachment 1: Product information </w:t>
          </w:r>
          <w:r w:rsidRPr="00492B67">
            <w:rPr>
              <w:b/>
              <w:sz w:val="18"/>
              <w:szCs w:val="18"/>
            </w:rPr>
            <w:t xml:space="preserve">AusPAR ZINPLAVA - </w:t>
          </w:r>
          <w:proofErr w:type="spellStart"/>
          <w:r w:rsidRPr="00492B67">
            <w:rPr>
              <w:b/>
              <w:sz w:val="18"/>
              <w:szCs w:val="18"/>
            </w:rPr>
            <w:t>Bezlotoxumab</w:t>
          </w:r>
          <w:proofErr w:type="spellEnd"/>
          <w:r w:rsidRPr="00492B67">
            <w:rPr>
              <w:b/>
              <w:sz w:val="18"/>
              <w:szCs w:val="18"/>
            </w:rPr>
            <w:t xml:space="preserve"> - Merck Sharp &amp; Dohme Australia - PM-2016-03738-1-2 –FINAL 24 September 2018</w:t>
          </w:r>
          <w:r w:rsidRPr="002E7F61">
            <w:rPr>
              <w:b/>
              <w:sz w:val="18"/>
              <w:szCs w:val="18"/>
            </w:rPr>
            <w:t>. This Product information was approved at the time this AusPAR was published.</w:t>
          </w:r>
        </w:p>
      </w:tc>
    </w:tr>
  </w:tbl>
  <w:p w14:paraId="2A2063BF" w14:textId="77777777" w:rsidR="005E6CD1" w:rsidRDefault="005E6CD1" w:rsidP="005E6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55C"/>
    <w:multiLevelType w:val="hybridMultilevel"/>
    <w:tmpl w:val="4E1AB8D2"/>
    <w:lvl w:ilvl="0" w:tplc="ACA83F28">
      <w:start w:val="76"/>
      <w:numFmt w:val="bullet"/>
      <w:lvlText w:val=""/>
      <w:lvlJc w:val="left"/>
      <w:pPr>
        <w:ind w:left="3375" w:hanging="30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26D77"/>
    <w:multiLevelType w:val="hybridMultilevel"/>
    <w:tmpl w:val="983A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1606E"/>
    <w:multiLevelType w:val="hybridMultilevel"/>
    <w:tmpl w:val="57B2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7F0CD9A">
      <w:start w:val="5"/>
      <w:numFmt w:val="bullet"/>
      <w:lvlText w:val="-"/>
      <w:lvlJc w:val="left"/>
      <w:pPr>
        <w:ind w:left="2160" w:hanging="360"/>
      </w:pPr>
      <w:rPr>
        <w:rFonts w:ascii="Times New Roman" w:eastAsia="Arial Unicode M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61AF1"/>
    <w:multiLevelType w:val="hybridMultilevel"/>
    <w:tmpl w:val="ADB8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82513"/>
    <w:multiLevelType w:val="hybridMultilevel"/>
    <w:tmpl w:val="098ED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E89318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6">
    <w:nsid w:val="33F90DA5"/>
    <w:multiLevelType w:val="hybridMultilevel"/>
    <w:tmpl w:val="568ED89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B8635E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8">
    <w:nsid w:val="470B3FE3"/>
    <w:multiLevelType w:val="hybridMultilevel"/>
    <w:tmpl w:val="419A25A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60D81C80"/>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10">
    <w:nsid w:val="61F11AF3"/>
    <w:multiLevelType w:val="hybridMultilevel"/>
    <w:tmpl w:val="4A12E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690B20"/>
    <w:multiLevelType w:val="hybridMultilevel"/>
    <w:tmpl w:val="F26826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9"/>
  </w:num>
  <w:num w:numId="3">
    <w:abstractNumId w:val="7"/>
  </w:num>
  <w:num w:numId="4">
    <w:abstractNumId w:val="11"/>
  </w:num>
  <w:num w:numId="5">
    <w:abstractNumId w:val="4"/>
  </w:num>
  <w:num w:numId="6">
    <w:abstractNumId w:val="6"/>
  </w:num>
  <w:num w:numId="7">
    <w:abstractNumId w:val="8"/>
  </w:num>
  <w:num w:numId="8">
    <w:abstractNumId w:val="3"/>
  </w:num>
  <w:num w:numId="9">
    <w:abstractNumId w:val="2"/>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1857"/>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7E"/>
    <w:rsid w:val="00005DEB"/>
    <w:rsid w:val="00010E35"/>
    <w:rsid w:val="0001373A"/>
    <w:rsid w:val="00017EF1"/>
    <w:rsid w:val="0002510C"/>
    <w:rsid w:val="00031F3A"/>
    <w:rsid w:val="00036721"/>
    <w:rsid w:val="00037C7D"/>
    <w:rsid w:val="00040B43"/>
    <w:rsid w:val="00061A3F"/>
    <w:rsid w:val="0008143A"/>
    <w:rsid w:val="00082435"/>
    <w:rsid w:val="00084CCF"/>
    <w:rsid w:val="00086BDA"/>
    <w:rsid w:val="000903B2"/>
    <w:rsid w:val="00094ED9"/>
    <w:rsid w:val="000A0CD2"/>
    <w:rsid w:val="000A14D1"/>
    <w:rsid w:val="000B179B"/>
    <w:rsid w:val="000B3C2D"/>
    <w:rsid w:val="000B5DAF"/>
    <w:rsid w:val="000C742A"/>
    <w:rsid w:val="000D0097"/>
    <w:rsid w:val="000E6159"/>
    <w:rsid w:val="00102126"/>
    <w:rsid w:val="00105E72"/>
    <w:rsid w:val="00107027"/>
    <w:rsid w:val="001250D5"/>
    <w:rsid w:val="001357A8"/>
    <w:rsid w:val="00144B5C"/>
    <w:rsid w:val="00150A9C"/>
    <w:rsid w:val="00150CDF"/>
    <w:rsid w:val="00150D7E"/>
    <w:rsid w:val="00154A69"/>
    <w:rsid w:val="00174861"/>
    <w:rsid w:val="00184B3B"/>
    <w:rsid w:val="00185512"/>
    <w:rsid w:val="00186E9C"/>
    <w:rsid w:val="00187C95"/>
    <w:rsid w:val="0019220C"/>
    <w:rsid w:val="0019477B"/>
    <w:rsid w:val="00195AC4"/>
    <w:rsid w:val="00197A2A"/>
    <w:rsid w:val="001A3236"/>
    <w:rsid w:val="001A326B"/>
    <w:rsid w:val="001A53B9"/>
    <w:rsid w:val="001A5F0A"/>
    <w:rsid w:val="001B565B"/>
    <w:rsid w:val="001C2077"/>
    <w:rsid w:val="001C5717"/>
    <w:rsid w:val="001C69C7"/>
    <w:rsid w:val="001D56EB"/>
    <w:rsid w:val="001D71DE"/>
    <w:rsid w:val="001E64A1"/>
    <w:rsid w:val="001F07A7"/>
    <w:rsid w:val="001F212B"/>
    <w:rsid w:val="00205290"/>
    <w:rsid w:val="00206839"/>
    <w:rsid w:val="002164EC"/>
    <w:rsid w:val="00224446"/>
    <w:rsid w:val="002268D9"/>
    <w:rsid w:val="002351DD"/>
    <w:rsid w:val="0023576E"/>
    <w:rsid w:val="00246DB6"/>
    <w:rsid w:val="002561D5"/>
    <w:rsid w:val="00257277"/>
    <w:rsid w:val="002579A0"/>
    <w:rsid w:val="00262F36"/>
    <w:rsid w:val="00263559"/>
    <w:rsid w:val="00273FB3"/>
    <w:rsid w:val="00277E66"/>
    <w:rsid w:val="00281FD0"/>
    <w:rsid w:val="002866F3"/>
    <w:rsid w:val="0028775A"/>
    <w:rsid w:val="0029535D"/>
    <w:rsid w:val="00295DE5"/>
    <w:rsid w:val="002A1AF4"/>
    <w:rsid w:val="002B18C2"/>
    <w:rsid w:val="002C5912"/>
    <w:rsid w:val="002E0A45"/>
    <w:rsid w:val="002E3F6C"/>
    <w:rsid w:val="002F62A3"/>
    <w:rsid w:val="0031308E"/>
    <w:rsid w:val="00315037"/>
    <w:rsid w:val="00330DE2"/>
    <w:rsid w:val="00333A8B"/>
    <w:rsid w:val="00333F3E"/>
    <w:rsid w:val="003345BB"/>
    <w:rsid w:val="00334C97"/>
    <w:rsid w:val="00343062"/>
    <w:rsid w:val="00343CB7"/>
    <w:rsid w:val="00344822"/>
    <w:rsid w:val="0035047A"/>
    <w:rsid w:val="003543FC"/>
    <w:rsid w:val="003627F2"/>
    <w:rsid w:val="003628B7"/>
    <w:rsid w:val="00362DC6"/>
    <w:rsid w:val="003745E6"/>
    <w:rsid w:val="00382777"/>
    <w:rsid w:val="00383B62"/>
    <w:rsid w:val="00384E9C"/>
    <w:rsid w:val="003853D4"/>
    <w:rsid w:val="003A46C6"/>
    <w:rsid w:val="003A6F1C"/>
    <w:rsid w:val="003B03A0"/>
    <w:rsid w:val="003B54CC"/>
    <w:rsid w:val="003D6982"/>
    <w:rsid w:val="003E2FDB"/>
    <w:rsid w:val="003E3ACF"/>
    <w:rsid w:val="003F02D5"/>
    <w:rsid w:val="003F33AE"/>
    <w:rsid w:val="003F5FFC"/>
    <w:rsid w:val="003F6BDF"/>
    <w:rsid w:val="00406042"/>
    <w:rsid w:val="00406125"/>
    <w:rsid w:val="0041080B"/>
    <w:rsid w:val="0041523B"/>
    <w:rsid w:val="004172BA"/>
    <w:rsid w:val="00420ACA"/>
    <w:rsid w:val="00422CFF"/>
    <w:rsid w:val="00427333"/>
    <w:rsid w:val="00431AB6"/>
    <w:rsid w:val="0043687E"/>
    <w:rsid w:val="00440A35"/>
    <w:rsid w:val="00443255"/>
    <w:rsid w:val="00453199"/>
    <w:rsid w:val="004543F0"/>
    <w:rsid w:val="00472DE5"/>
    <w:rsid w:val="00476B29"/>
    <w:rsid w:val="004804E7"/>
    <w:rsid w:val="00485232"/>
    <w:rsid w:val="00491C60"/>
    <w:rsid w:val="004A1188"/>
    <w:rsid w:val="004B1CD2"/>
    <w:rsid w:val="004B568C"/>
    <w:rsid w:val="004B72DC"/>
    <w:rsid w:val="004B7C8E"/>
    <w:rsid w:val="004D2799"/>
    <w:rsid w:val="004E071A"/>
    <w:rsid w:val="004E62C2"/>
    <w:rsid w:val="004E70E0"/>
    <w:rsid w:val="004F4E89"/>
    <w:rsid w:val="004F582B"/>
    <w:rsid w:val="004F7435"/>
    <w:rsid w:val="00507AF4"/>
    <w:rsid w:val="00510494"/>
    <w:rsid w:val="00511DA8"/>
    <w:rsid w:val="0051619E"/>
    <w:rsid w:val="00526B45"/>
    <w:rsid w:val="0053450C"/>
    <w:rsid w:val="005360EB"/>
    <w:rsid w:val="0053709B"/>
    <w:rsid w:val="00542761"/>
    <w:rsid w:val="00555F36"/>
    <w:rsid w:val="00556B82"/>
    <w:rsid w:val="00561200"/>
    <w:rsid w:val="00561A36"/>
    <w:rsid w:val="0056564C"/>
    <w:rsid w:val="00566D23"/>
    <w:rsid w:val="0057427A"/>
    <w:rsid w:val="00576272"/>
    <w:rsid w:val="00580E6B"/>
    <w:rsid w:val="00583120"/>
    <w:rsid w:val="00586F9D"/>
    <w:rsid w:val="005935D5"/>
    <w:rsid w:val="00595153"/>
    <w:rsid w:val="00597398"/>
    <w:rsid w:val="005B08D4"/>
    <w:rsid w:val="005B4666"/>
    <w:rsid w:val="005C7A18"/>
    <w:rsid w:val="005E18F3"/>
    <w:rsid w:val="005E4A2C"/>
    <w:rsid w:val="005E6CD1"/>
    <w:rsid w:val="005F3270"/>
    <w:rsid w:val="005F3555"/>
    <w:rsid w:val="005F5122"/>
    <w:rsid w:val="006044CE"/>
    <w:rsid w:val="00604645"/>
    <w:rsid w:val="0060507C"/>
    <w:rsid w:val="006118C2"/>
    <w:rsid w:val="00615ECC"/>
    <w:rsid w:val="00616762"/>
    <w:rsid w:val="00616E61"/>
    <w:rsid w:val="00626C47"/>
    <w:rsid w:val="006270F5"/>
    <w:rsid w:val="00631009"/>
    <w:rsid w:val="0063623E"/>
    <w:rsid w:val="00641BF3"/>
    <w:rsid w:val="006422DF"/>
    <w:rsid w:val="00643FF9"/>
    <w:rsid w:val="0064593C"/>
    <w:rsid w:val="006563FD"/>
    <w:rsid w:val="006645E8"/>
    <w:rsid w:val="0066560F"/>
    <w:rsid w:val="0067471E"/>
    <w:rsid w:val="006771BF"/>
    <w:rsid w:val="006827CC"/>
    <w:rsid w:val="006853A1"/>
    <w:rsid w:val="00687073"/>
    <w:rsid w:val="006B4611"/>
    <w:rsid w:val="006C3F19"/>
    <w:rsid w:val="006C613D"/>
    <w:rsid w:val="006D0EB2"/>
    <w:rsid w:val="006E527C"/>
    <w:rsid w:val="006E70AF"/>
    <w:rsid w:val="00704668"/>
    <w:rsid w:val="007244A6"/>
    <w:rsid w:val="00732BA1"/>
    <w:rsid w:val="00740B9F"/>
    <w:rsid w:val="007459A0"/>
    <w:rsid w:val="00752DC4"/>
    <w:rsid w:val="007579E3"/>
    <w:rsid w:val="007607AA"/>
    <w:rsid w:val="0076351F"/>
    <w:rsid w:val="00775B7B"/>
    <w:rsid w:val="00777FB1"/>
    <w:rsid w:val="007816C9"/>
    <w:rsid w:val="007935F3"/>
    <w:rsid w:val="0079617D"/>
    <w:rsid w:val="007B0313"/>
    <w:rsid w:val="007B1993"/>
    <w:rsid w:val="007B396B"/>
    <w:rsid w:val="007B4A4F"/>
    <w:rsid w:val="007D12E0"/>
    <w:rsid w:val="007D65EA"/>
    <w:rsid w:val="007D7631"/>
    <w:rsid w:val="007F0634"/>
    <w:rsid w:val="007F2CFC"/>
    <w:rsid w:val="007F434B"/>
    <w:rsid w:val="007F53BD"/>
    <w:rsid w:val="00807124"/>
    <w:rsid w:val="008075B3"/>
    <w:rsid w:val="008109E5"/>
    <w:rsid w:val="00814119"/>
    <w:rsid w:val="0082778A"/>
    <w:rsid w:val="00836C6E"/>
    <w:rsid w:val="008473FC"/>
    <w:rsid w:val="008476E9"/>
    <w:rsid w:val="00850D00"/>
    <w:rsid w:val="00851EBF"/>
    <w:rsid w:val="00855A57"/>
    <w:rsid w:val="008714EA"/>
    <w:rsid w:val="0087651F"/>
    <w:rsid w:val="00877711"/>
    <w:rsid w:val="00880320"/>
    <w:rsid w:val="00881D10"/>
    <w:rsid w:val="00890FC1"/>
    <w:rsid w:val="00892DA3"/>
    <w:rsid w:val="008953B5"/>
    <w:rsid w:val="008A7742"/>
    <w:rsid w:val="008A7BC8"/>
    <w:rsid w:val="008B153D"/>
    <w:rsid w:val="008B5EEE"/>
    <w:rsid w:val="008C49D3"/>
    <w:rsid w:val="008C50BD"/>
    <w:rsid w:val="008D1A96"/>
    <w:rsid w:val="008E1321"/>
    <w:rsid w:val="008E50BB"/>
    <w:rsid w:val="008F0962"/>
    <w:rsid w:val="009007F9"/>
    <w:rsid w:val="00914156"/>
    <w:rsid w:val="009175BC"/>
    <w:rsid w:val="00921EAB"/>
    <w:rsid w:val="00925396"/>
    <w:rsid w:val="009265E5"/>
    <w:rsid w:val="009274DD"/>
    <w:rsid w:val="00941ABA"/>
    <w:rsid w:val="00943006"/>
    <w:rsid w:val="00951D3C"/>
    <w:rsid w:val="009633CC"/>
    <w:rsid w:val="00971E26"/>
    <w:rsid w:val="009720BF"/>
    <w:rsid w:val="00980FB3"/>
    <w:rsid w:val="00984D50"/>
    <w:rsid w:val="00984E65"/>
    <w:rsid w:val="009902AC"/>
    <w:rsid w:val="00994BA6"/>
    <w:rsid w:val="009957BD"/>
    <w:rsid w:val="0099595E"/>
    <w:rsid w:val="009969F5"/>
    <w:rsid w:val="009A1E8F"/>
    <w:rsid w:val="009A2676"/>
    <w:rsid w:val="009A3CB0"/>
    <w:rsid w:val="009B3737"/>
    <w:rsid w:val="009B38C5"/>
    <w:rsid w:val="009B5786"/>
    <w:rsid w:val="009D4322"/>
    <w:rsid w:val="009D5E18"/>
    <w:rsid w:val="009D69A0"/>
    <w:rsid w:val="009E62B0"/>
    <w:rsid w:val="009F14D7"/>
    <w:rsid w:val="00A00944"/>
    <w:rsid w:val="00A03B20"/>
    <w:rsid w:val="00A04553"/>
    <w:rsid w:val="00A121EE"/>
    <w:rsid w:val="00A12C09"/>
    <w:rsid w:val="00A22F20"/>
    <w:rsid w:val="00A32F18"/>
    <w:rsid w:val="00A339A6"/>
    <w:rsid w:val="00A3619E"/>
    <w:rsid w:val="00A44D06"/>
    <w:rsid w:val="00A62C64"/>
    <w:rsid w:val="00A737EE"/>
    <w:rsid w:val="00A74F3F"/>
    <w:rsid w:val="00A77CC1"/>
    <w:rsid w:val="00A818AD"/>
    <w:rsid w:val="00A84F25"/>
    <w:rsid w:val="00A93A9C"/>
    <w:rsid w:val="00A97420"/>
    <w:rsid w:val="00AA79AC"/>
    <w:rsid w:val="00AB082B"/>
    <w:rsid w:val="00AB11C5"/>
    <w:rsid w:val="00AB74ED"/>
    <w:rsid w:val="00AC7B27"/>
    <w:rsid w:val="00AD0BD2"/>
    <w:rsid w:val="00AD20AD"/>
    <w:rsid w:val="00AD2126"/>
    <w:rsid w:val="00AD6FFF"/>
    <w:rsid w:val="00AE1EF9"/>
    <w:rsid w:val="00AE2709"/>
    <w:rsid w:val="00AE6DEA"/>
    <w:rsid w:val="00AF02ED"/>
    <w:rsid w:val="00B0062B"/>
    <w:rsid w:val="00B01B74"/>
    <w:rsid w:val="00B06992"/>
    <w:rsid w:val="00B12D0E"/>
    <w:rsid w:val="00B146C5"/>
    <w:rsid w:val="00B17A99"/>
    <w:rsid w:val="00B206FE"/>
    <w:rsid w:val="00B215D8"/>
    <w:rsid w:val="00B244FE"/>
    <w:rsid w:val="00B305A4"/>
    <w:rsid w:val="00B433DB"/>
    <w:rsid w:val="00B524E3"/>
    <w:rsid w:val="00B54580"/>
    <w:rsid w:val="00B54C82"/>
    <w:rsid w:val="00B57749"/>
    <w:rsid w:val="00B701AB"/>
    <w:rsid w:val="00B84543"/>
    <w:rsid w:val="00B93124"/>
    <w:rsid w:val="00BA3B47"/>
    <w:rsid w:val="00BA6D2E"/>
    <w:rsid w:val="00BB0021"/>
    <w:rsid w:val="00BC1CF7"/>
    <w:rsid w:val="00BC1E41"/>
    <w:rsid w:val="00BC40CD"/>
    <w:rsid w:val="00BC6BAE"/>
    <w:rsid w:val="00BD6472"/>
    <w:rsid w:val="00BE663E"/>
    <w:rsid w:val="00BF6BC3"/>
    <w:rsid w:val="00BF74D3"/>
    <w:rsid w:val="00C02CBA"/>
    <w:rsid w:val="00C055E5"/>
    <w:rsid w:val="00C169A1"/>
    <w:rsid w:val="00C22EAB"/>
    <w:rsid w:val="00C25BB6"/>
    <w:rsid w:val="00C33934"/>
    <w:rsid w:val="00C36E82"/>
    <w:rsid w:val="00C37383"/>
    <w:rsid w:val="00C37C7A"/>
    <w:rsid w:val="00C40A9D"/>
    <w:rsid w:val="00C55BB4"/>
    <w:rsid w:val="00C7770F"/>
    <w:rsid w:val="00C90402"/>
    <w:rsid w:val="00C91798"/>
    <w:rsid w:val="00C9550E"/>
    <w:rsid w:val="00CA38B8"/>
    <w:rsid w:val="00CB2F44"/>
    <w:rsid w:val="00CB383D"/>
    <w:rsid w:val="00CC09DA"/>
    <w:rsid w:val="00CC39C0"/>
    <w:rsid w:val="00CD3B0B"/>
    <w:rsid w:val="00CD66D3"/>
    <w:rsid w:val="00CF1D17"/>
    <w:rsid w:val="00CF2C98"/>
    <w:rsid w:val="00CF772C"/>
    <w:rsid w:val="00D00776"/>
    <w:rsid w:val="00D00F32"/>
    <w:rsid w:val="00D040D5"/>
    <w:rsid w:val="00D0469F"/>
    <w:rsid w:val="00D058F6"/>
    <w:rsid w:val="00D0743F"/>
    <w:rsid w:val="00D11BDA"/>
    <w:rsid w:val="00D122A6"/>
    <w:rsid w:val="00D1772D"/>
    <w:rsid w:val="00D17B32"/>
    <w:rsid w:val="00D2086F"/>
    <w:rsid w:val="00D26E39"/>
    <w:rsid w:val="00D31A9A"/>
    <w:rsid w:val="00D34004"/>
    <w:rsid w:val="00D43C2F"/>
    <w:rsid w:val="00D44390"/>
    <w:rsid w:val="00D45C9B"/>
    <w:rsid w:val="00D46F08"/>
    <w:rsid w:val="00D56C79"/>
    <w:rsid w:val="00D57D06"/>
    <w:rsid w:val="00D61E6C"/>
    <w:rsid w:val="00D6676B"/>
    <w:rsid w:val="00D71C81"/>
    <w:rsid w:val="00D7307F"/>
    <w:rsid w:val="00D818B7"/>
    <w:rsid w:val="00D829D0"/>
    <w:rsid w:val="00D8643B"/>
    <w:rsid w:val="00D86888"/>
    <w:rsid w:val="00D90014"/>
    <w:rsid w:val="00DB105B"/>
    <w:rsid w:val="00DB1792"/>
    <w:rsid w:val="00DB3712"/>
    <w:rsid w:val="00DB63A9"/>
    <w:rsid w:val="00DB6E13"/>
    <w:rsid w:val="00DD16BE"/>
    <w:rsid w:val="00DD4C7E"/>
    <w:rsid w:val="00DD7CA8"/>
    <w:rsid w:val="00DE39D7"/>
    <w:rsid w:val="00DF7941"/>
    <w:rsid w:val="00E055D2"/>
    <w:rsid w:val="00E23D5F"/>
    <w:rsid w:val="00E30476"/>
    <w:rsid w:val="00E3265C"/>
    <w:rsid w:val="00E431DF"/>
    <w:rsid w:val="00E444CF"/>
    <w:rsid w:val="00E44D4C"/>
    <w:rsid w:val="00E45EEF"/>
    <w:rsid w:val="00E47CD4"/>
    <w:rsid w:val="00E50B54"/>
    <w:rsid w:val="00E5163F"/>
    <w:rsid w:val="00E51C8E"/>
    <w:rsid w:val="00E626B5"/>
    <w:rsid w:val="00E72137"/>
    <w:rsid w:val="00E749B9"/>
    <w:rsid w:val="00E77671"/>
    <w:rsid w:val="00EA1D46"/>
    <w:rsid w:val="00EA5B09"/>
    <w:rsid w:val="00EA73BB"/>
    <w:rsid w:val="00EB2EF5"/>
    <w:rsid w:val="00EB3480"/>
    <w:rsid w:val="00EB5E79"/>
    <w:rsid w:val="00EC02DD"/>
    <w:rsid w:val="00EC59E2"/>
    <w:rsid w:val="00EC5BAD"/>
    <w:rsid w:val="00ED3C41"/>
    <w:rsid w:val="00ED492B"/>
    <w:rsid w:val="00EE12B4"/>
    <w:rsid w:val="00EF2C27"/>
    <w:rsid w:val="00EF6CFB"/>
    <w:rsid w:val="00F004C5"/>
    <w:rsid w:val="00F00824"/>
    <w:rsid w:val="00F05AB6"/>
    <w:rsid w:val="00F05C9E"/>
    <w:rsid w:val="00F069F1"/>
    <w:rsid w:val="00F076CB"/>
    <w:rsid w:val="00F1729C"/>
    <w:rsid w:val="00F2147B"/>
    <w:rsid w:val="00F21A86"/>
    <w:rsid w:val="00F22F90"/>
    <w:rsid w:val="00F2403E"/>
    <w:rsid w:val="00F24DD7"/>
    <w:rsid w:val="00F2676F"/>
    <w:rsid w:val="00F34659"/>
    <w:rsid w:val="00F3582C"/>
    <w:rsid w:val="00F36A27"/>
    <w:rsid w:val="00F73353"/>
    <w:rsid w:val="00F741D1"/>
    <w:rsid w:val="00F77A19"/>
    <w:rsid w:val="00F848A6"/>
    <w:rsid w:val="00F964AD"/>
    <w:rsid w:val="00F9712D"/>
    <w:rsid w:val="00FB455D"/>
    <w:rsid w:val="00FB5FC7"/>
    <w:rsid w:val="00FC7CB1"/>
    <w:rsid w:val="00FD0499"/>
    <w:rsid w:val="00FD374C"/>
    <w:rsid w:val="00FD3D95"/>
    <w:rsid w:val="00FD701A"/>
    <w:rsid w:val="00FD724B"/>
    <w:rsid w:val="00FE618F"/>
    <w:rsid w:val="00FF086A"/>
    <w:rsid w:val="00FF3C44"/>
    <w:rsid w:val="00FF3D6C"/>
    <w:rsid w:val="00FF4074"/>
    <w:rsid w:val="00FF7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7B5C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Lines/>
      <w:tabs>
        <w:tab w:val="left" w:pos="-720"/>
        <w:tab w:val="center" w:pos="4513"/>
        <w:tab w:val="right" w:pos="10348"/>
      </w:tabs>
      <w:suppressAutoHyphens/>
      <w:jc w:val="both"/>
    </w:pPr>
    <w:rPr>
      <w:rFonts w:ascii="Arial" w:hAnsi="Arial"/>
      <w:sz w:val="22"/>
    </w:rPr>
  </w:style>
  <w:style w:type="paragraph" w:styleId="Heading1">
    <w:name w:val="heading 1"/>
    <w:basedOn w:val="Normal"/>
    <w:next w:val="Normal"/>
    <w:autoRedefine/>
    <w:qFormat/>
    <w:rsid w:val="007B396B"/>
    <w:pPr>
      <w:keepNext/>
      <w:spacing w:before="240" w:after="120"/>
      <w:jc w:val="left"/>
      <w:outlineLvl w:val="0"/>
    </w:pPr>
    <w:rPr>
      <w:rFonts w:cs="Arial"/>
      <w:b/>
      <w:sz w:val="28"/>
    </w:rPr>
  </w:style>
  <w:style w:type="paragraph" w:styleId="Heading2">
    <w:name w:val="heading 2"/>
    <w:basedOn w:val="Normal"/>
    <w:next w:val="Normal"/>
    <w:link w:val="Heading2Char"/>
    <w:qFormat/>
    <w:pPr>
      <w:keepNext/>
      <w:spacing w:before="120" w:after="60"/>
      <w:outlineLvl w:val="1"/>
    </w:pPr>
    <w:rPr>
      <w:rFonts w:ascii="Univers" w:hAnsi="Univers"/>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720"/>
        <w:tab w:val="clear" w:pos="4513"/>
        <w:tab w:val="clear" w:pos="10348"/>
        <w:tab w:val="center" w:pos="4153"/>
        <w:tab w:val="right" w:pos="8306"/>
      </w:tabs>
    </w:pPr>
  </w:style>
  <w:style w:type="paragraph" w:styleId="Footer">
    <w:name w:val="footer"/>
    <w:basedOn w:val="Normal"/>
    <w:link w:val="FooterChar"/>
    <w:pPr>
      <w:tabs>
        <w:tab w:val="clear" w:pos="-720"/>
        <w:tab w:val="clear" w:pos="4513"/>
        <w:tab w:val="clear" w:pos="10348"/>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keepLines w:val="0"/>
      <w:tabs>
        <w:tab w:val="clear" w:pos="-720"/>
        <w:tab w:val="clear" w:pos="4513"/>
        <w:tab w:val="clear" w:pos="10348"/>
      </w:tabs>
      <w:suppressAutoHyphens w:val="0"/>
      <w:ind w:firstLine="288"/>
      <w:jc w:val="left"/>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keepLines w:val="0"/>
      <w:tabs>
        <w:tab w:val="clear" w:pos="-720"/>
        <w:tab w:val="clear" w:pos="4513"/>
        <w:tab w:val="clear" w:pos="10348"/>
      </w:tabs>
      <w:suppressAutoHyphens w:val="0"/>
      <w:spacing w:line="120" w:lineRule="exact"/>
      <w:jc w:val="lef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jc w:val="left"/>
    </w:pPr>
    <w:rPr>
      <w:rFonts w:eastAsia="MS Mincho"/>
      <w:i/>
      <w:sz w:val="20"/>
      <w:lang w:val="en-US" w:eastAsia="ja-JP"/>
    </w:rPr>
  </w:style>
  <w:style w:type="paragraph" w:customStyle="1" w:styleId="BodyText1">
    <w:name w:val="BodyText1"/>
    <w:basedOn w:val="Normal"/>
    <w:uiPriority w:val="99"/>
    <w:rsid w:val="00E626B5"/>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jc w:val="left"/>
    </w:pPr>
    <w:rPr>
      <w:rFonts w:eastAsia="MS Mincho"/>
      <w:sz w:val="14"/>
      <w:lang w:val="en-US" w:eastAsia="ja-JP"/>
    </w:rPr>
  </w:style>
  <w:style w:type="character" w:styleId="Strong">
    <w:name w:val="Strong"/>
    <w:qFormat/>
    <w:rsid w:val="00A97420"/>
    <w:rPr>
      <w:b/>
      <w:bCs/>
    </w:rPr>
  </w:style>
  <w:style w:type="character" w:customStyle="1" w:styleId="Heading2Char">
    <w:name w:val="Heading 2 Char"/>
    <w:basedOn w:val="DefaultParagraphFont"/>
    <w:link w:val="Heading2"/>
    <w:rsid w:val="007D65EA"/>
    <w:rPr>
      <w:rFonts w:ascii="Univers" w:hAnsi="Univers"/>
      <w:b/>
      <w:i/>
      <w:sz w:val="24"/>
    </w:rPr>
  </w:style>
  <w:style w:type="character" w:styleId="Hyperlink">
    <w:name w:val="Hyperlink"/>
    <w:basedOn w:val="DefaultParagraphFont"/>
    <w:rsid w:val="005F3555"/>
    <w:rPr>
      <w:color w:val="0000FF" w:themeColor="hyperlink"/>
      <w:u w:val="single"/>
    </w:rPr>
  </w:style>
  <w:style w:type="character" w:customStyle="1" w:styleId="FooterChar">
    <w:name w:val="Footer Char"/>
    <w:basedOn w:val="DefaultParagraphFont"/>
    <w:link w:val="Footer"/>
    <w:rsid w:val="005E6CD1"/>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Lines/>
      <w:tabs>
        <w:tab w:val="left" w:pos="-720"/>
        <w:tab w:val="center" w:pos="4513"/>
        <w:tab w:val="right" w:pos="10348"/>
      </w:tabs>
      <w:suppressAutoHyphens/>
      <w:jc w:val="both"/>
    </w:pPr>
    <w:rPr>
      <w:rFonts w:ascii="Arial" w:hAnsi="Arial"/>
      <w:sz w:val="22"/>
    </w:rPr>
  </w:style>
  <w:style w:type="paragraph" w:styleId="Heading1">
    <w:name w:val="heading 1"/>
    <w:basedOn w:val="Normal"/>
    <w:next w:val="Normal"/>
    <w:autoRedefine/>
    <w:qFormat/>
    <w:rsid w:val="007B396B"/>
    <w:pPr>
      <w:keepNext/>
      <w:spacing w:before="240" w:after="120"/>
      <w:jc w:val="left"/>
      <w:outlineLvl w:val="0"/>
    </w:pPr>
    <w:rPr>
      <w:rFonts w:cs="Arial"/>
      <w:b/>
      <w:sz w:val="28"/>
    </w:rPr>
  </w:style>
  <w:style w:type="paragraph" w:styleId="Heading2">
    <w:name w:val="heading 2"/>
    <w:basedOn w:val="Normal"/>
    <w:next w:val="Normal"/>
    <w:link w:val="Heading2Char"/>
    <w:qFormat/>
    <w:pPr>
      <w:keepNext/>
      <w:spacing w:before="120" w:after="60"/>
      <w:outlineLvl w:val="1"/>
    </w:pPr>
    <w:rPr>
      <w:rFonts w:ascii="Univers" w:hAnsi="Univers"/>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720"/>
        <w:tab w:val="clear" w:pos="4513"/>
        <w:tab w:val="clear" w:pos="10348"/>
        <w:tab w:val="center" w:pos="4153"/>
        <w:tab w:val="right" w:pos="8306"/>
      </w:tabs>
    </w:pPr>
  </w:style>
  <w:style w:type="paragraph" w:styleId="Footer">
    <w:name w:val="footer"/>
    <w:basedOn w:val="Normal"/>
    <w:link w:val="FooterChar"/>
    <w:pPr>
      <w:tabs>
        <w:tab w:val="clear" w:pos="-720"/>
        <w:tab w:val="clear" w:pos="4513"/>
        <w:tab w:val="clear" w:pos="10348"/>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keepLines w:val="0"/>
      <w:tabs>
        <w:tab w:val="clear" w:pos="-720"/>
        <w:tab w:val="clear" w:pos="4513"/>
        <w:tab w:val="clear" w:pos="10348"/>
      </w:tabs>
      <w:suppressAutoHyphens w:val="0"/>
      <w:ind w:firstLine="288"/>
      <w:jc w:val="left"/>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keepLines w:val="0"/>
      <w:tabs>
        <w:tab w:val="clear" w:pos="-720"/>
        <w:tab w:val="clear" w:pos="4513"/>
        <w:tab w:val="clear" w:pos="10348"/>
      </w:tabs>
      <w:suppressAutoHyphens w:val="0"/>
      <w:spacing w:line="120" w:lineRule="exact"/>
      <w:jc w:val="lef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jc w:val="left"/>
    </w:pPr>
    <w:rPr>
      <w:rFonts w:eastAsia="MS Mincho"/>
      <w:i/>
      <w:sz w:val="20"/>
      <w:lang w:val="en-US" w:eastAsia="ja-JP"/>
    </w:rPr>
  </w:style>
  <w:style w:type="paragraph" w:customStyle="1" w:styleId="BodyText1">
    <w:name w:val="BodyText1"/>
    <w:basedOn w:val="Normal"/>
    <w:uiPriority w:val="99"/>
    <w:rsid w:val="00E626B5"/>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jc w:val="left"/>
    </w:pPr>
    <w:rPr>
      <w:rFonts w:eastAsia="MS Mincho"/>
      <w:sz w:val="14"/>
      <w:lang w:val="en-US" w:eastAsia="ja-JP"/>
    </w:rPr>
  </w:style>
  <w:style w:type="character" w:styleId="Strong">
    <w:name w:val="Strong"/>
    <w:qFormat/>
    <w:rsid w:val="00A97420"/>
    <w:rPr>
      <w:b/>
      <w:bCs/>
    </w:rPr>
  </w:style>
  <w:style w:type="character" w:customStyle="1" w:styleId="Heading2Char">
    <w:name w:val="Heading 2 Char"/>
    <w:basedOn w:val="DefaultParagraphFont"/>
    <w:link w:val="Heading2"/>
    <w:rsid w:val="007D65EA"/>
    <w:rPr>
      <w:rFonts w:ascii="Univers" w:hAnsi="Univers"/>
      <w:b/>
      <w:i/>
      <w:sz w:val="24"/>
    </w:rPr>
  </w:style>
  <w:style w:type="character" w:styleId="Hyperlink">
    <w:name w:val="Hyperlink"/>
    <w:basedOn w:val="DefaultParagraphFont"/>
    <w:rsid w:val="005F3555"/>
    <w:rPr>
      <w:color w:val="0000FF" w:themeColor="hyperlink"/>
      <w:u w:val="single"/>
    </w:rPr>
  </w:style>
  <w:style w:type="character" w:customStyle="1" w:styleId="FooterChar">
    <w:name w:val="Footer Char"/>
    <w:basedOn w:val="DefaultParagraphFont"/>
    <w:link w:val="Footer"/>
    <w:rsid w:val="005E6CD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_dlc_DocId xmlns="d353fcf7-205b-40c5-a3af-4cf3a5e9c355">EFYCX3CDVRKR-1794191079-118256</_dlc_DocId>
    <_dlc_DocIdUrl xmlns="d353fcf7-205b-40c5-a3af-4cf3a5e9c355">
      <Url>http://spapp.merck.com/sites/ANZMarket/REGAFF/_layouts/DocIdRedir.aspx?ID=EFYCX3CDVRKR-1794191079-118256</Url>
      <Description>EFYCX3CDVRKR-1794191079-118256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0317-F6CE-46B4-A8CE-0B53F0B37EF7}">
  <ds:schemaRefs>
    <ds:schemaRef ds:uri="http://schemas.microsoft.com/sharepoint/v3/contenttype/forms"/>
  </ds:schemaRefs>
</ds:datastoreItem>
</file>

<file path=customXml/itemProps2.xml><?xml version="1.0" encoding="utf-8"?>
<ds:datastoreItem xmlns:ds="http://schemas.openxmlformats.org/officeDocument/2006/customXml" ds:itemID="{59032C82-5544-4F1B-AFB0-048347F3E00E}">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9db20a44-376d-4c97-8d2b-88532430f6d7"/>
    <ds:schemaRef ds:uri="d353fcf7-205b-40c5-a3af-4cf3a5e9c355"/>
    <ds:schemaRef ds:uri="http://schemas.microsoft.com/office/2006/metadata/properties"/>
  </ds:schemaRefs>
</ds:datastoreItem>
</file>

<file path=customXml/itemProps3.xml><?xml version="1.0" encoding="utf-8"?>
<ds:datastoreItem xmlns:ds="http://schemas.openxmlformats.org/officeDocument/2006/customXml" ds:itemID="{6372667C-01C5-44FB-945D-D21B6EB28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73751-1E6D-495A-8EA7-4C7B38F8D83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170151E-26B4-4D68-9E00-BEE7C817111C}">
  <ds:schemaRefs>
    <ds:schemaRef ds:uri="http://schemas.microsoft.com/sharepoint/events"/>
  </ds:schemaRefs>
</ds:datastoreItem>
</file>

<file path=customXml/itemProps6.xml><?xml version="1.0" encoding="utf-8"?>
<ds:datastoreItem xmlns:ds="http://schemas.openxmlformats.org/officeDocument/2006/customXml" ds:itemID="{383F4A18-4EAF-4E78-A79E-26AF0C8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3795</Words>
  <Characters>21469</Characters>
  <Application>Microsoft Office Word</Application>
  <DocSecurity>0</DocSecurity>
  <Lines>390</Lines>
  <Paragraphs>180</Paragraphs>
  <ScaleCrop>false</ScaleCrop>
  <HeadingPairs>
    <vt:vector size="2" baseType="variant">
      <vt:variant>
        <vt:lpstr>Title</vt:lpstr>
      </vt:variant>
      <vt:variant>
        <vt:i4>1</vt:i4>
      </vt:variant>
    </vt:vector>
  </HeadingPairs>
  <TitlesOfParts>
    <vt:vector size="1" baseType="lpstr">
      <vt:lpstr>Attachment: Product Information: Bezlotoxumab</vt:lpstr>
    </vt:vector>
  </TitlesOfParts>
  <Company>Merck</Company>
  <LinksUpToDate>false</LinksUpToDate>
  <CharactersWithSpaces>25084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Bezlotoxumab</dc:title>
  <dc:subject>prescription medicines</dc:subject>
  <dc:creator>Eagleton</dc:creator>
  <cp:keywords>AusPARs</cp:keywords>
  <cp:lastModifiedBy>LACK, Janet</cp:lastModifiedBy>
  <cp:revision>2</cp:revision>
  <cp:lastPrinted>2017-11-07T21:40:00Z</cp:lastPrinted>
  <dcterms:created xsi:type="dcterms:W3CDTF">2018-11-20T02:22:00Z</dcterms:created>
  <dcterms:modified xsi:type="dcterms:W3CDTF">2018-11-20T02:22:00Z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0829d73c-c6e5-49f1-9320-e11da45a7b75</vt:lpwstr>
  </property>
  <property fmtid="{D5CDD505-2E9C-101B-9397-08002B2CF9AE}" pid="4" name="bjSaver">
    <vt:lpwstr>zGDROrmApN4cHdxTuYQ9S2+8qS+34iwr</vt:lpwstr>
  </property>
  <property fmtid="{D5CDD505-2E9C-101B-9397-08002B2CF9AE}" pid="5" name="_dlc_DocIdItemGuid">
    <vt:lpwstr>24574987-015c-4030-aa2d-6d4777caeabe</vt:lpwstr>
  </property>
  <property fmtid="{D5CDD505-2E9C-101B-9397-08002B2CF9AE}" pid="6" name="ContentTypeId">
    <vt:lpwstr>0x01010052E7E68ACC01DE46BAB8D5F65BAC05EC</vt:lpwstr>
  </property>
  <property fmtid="{D5CDD505-2E9C-101B-9397-08002B2CF9AE}" pid="7"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8" name="bjDocumentLabelXML-0">
    <vt:lpwstr>nternal/label"&gt;&lt;element uid="9920fcc9-9f43-4d43-9e3e-b98a219cfd55" value="" /&gt;&lt;/sisl&gt;</vt:lpwstr>
  </property>
  <property fmtid="{D5CDD505-2E9C-101B-9397-08002B2CF9AE}" pid="9" name="bjDocumentSecurityLabel">
    <vt:lpwstr>Not Classified</vt:lpwstr>
  </property>
</Properties>
</file>