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6A1F90" w:rsidP="00096AA7">
            <w:pPr>
              <w:rPr>
                <w:rFonts w:ascii="Arial" w:hAnsi="Arial" w:cs="Arial"/>
                <w:b/>
                <w:color w:val="002C47"/>
                <w:sz w:val="36"/>
                <w:szCs w:val="36"/>
              </w:rPr>
            </w:pPr>
            <w:bookmarkStart w:id="0" w:name="_GoBack"/>
            <w:bookmarkEnd w:id="0"/>
            <w:r>
              <w:rPr>
                <w:rFonts w:ascii="Arial" w:hAnsi="Arial" w:cs="Arial"/>
                <w:b/>
                <w:color w:val="002C47"/>
                <w:sz w:val="36"/>
                <w:szCs w:val="36"/>
              </w:rPr>
              <w:t>May</w:t>
            </w:r>
            <w:r w:rsidR="00DA39FE">
              <w:rPr>
                <w:rFonts w:ascii="Arial" w:hAnsi="Arial" w:cs="Arial"/>
                <w:b/>
                <w:color w:val="002C47"/>
                <w:sz w:val="36"/>
                <w:szCs w:val="36"/>
              </w:rPr>
              <w:t xml:space="preserve">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DA39FE">
            <w:pPr>
              <w:pStyle w:val="Title"/>
              <w:rPr>
                <w:color w:val="FFFFFF" w:themeColor="background1"/>
              </w:rPr>
            </w:pPr>
            <w:r w:rsidRPr="00A964D1">
              <w:rPr>
                <w:color w:val="FFFFFF" w:themeColor="background1"/>
              </w:rPr>
              <w:t xml:space="preserve">Australian Public Assessment Report </w:t>
            </w:r>
            <w:r w:rsidRPr="00DA39FE">
              <w:rPr>
                <w:color w:val="FFFFFF" w:themeColor="background1"/>
              </w:rPr>
              <w:t>for</w:t>
            </w:r>
            <w:r w:rsidR="00F447E5">
              <w:rPr>
                <w:color w:val="FFFFFF" w:themeColor="background1"/>
              </w:rPr>
              <w:t>:</w:t>
            </w:r>
            <w:r w:rsidRPr="00DA39FE">
              <w:rPr>
                <w:color w:val="FFFFFF" w:themeColor="background1"/>
              </w:rPr>
              <w:t xml:space="preserve"> </w:t>
            </w:r>
            <w:proofErr w:type="spellStart"/>
            <w:r w:rsidR="00F447E5">
              <w:rPr>
                <w:color w:val="FFFFFF" w:themeColor="background1"/>
              </w:rPr>
              <w:t>B</w:t>
            </w:r>
            <w:r w:rsidR="00DA39FE" w:rsidRPr="00DA39FE">
              <w:rPr>
                <w:color w:val="FFFFFF" w:themeColor="background1"/>
              </w:rPr>
              <w:t>evacizumab</w:t>
            </w:r>
            <w:proofErr w:type="spellEnd"/>
            <w:r w:rsidR="00F447E5">
              <w:rPr>
                <w:color w:val="FFFFFF" w:themeColor="background1"/>
              </w:rPr>
              <w:t xml:space="preserve"> (</w:t>
            </w:r>
            <w:proofErr w:type="spellStart"/>
            <w:r w:rsidR="00F447E5">
              <w:rPr>
                <w:color w:val="FFFFFF" w:themeColor="background1"/>
              </w:rPr>
              <w:t>rch</w:t>
            </w:r>
            <w:proofErr w:type="spellEnd"/>
            <w:r w:rsidR="00F447E5">
              <w:rPr>
                <w:color w:val="FFFFFF" w:themeColor="background1"/>
              </w:rPr>
              <w:t>)</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DA39FE" w:rsidRPr="00DA39FE">
              <w:rPr>
                <w:color w:val="FFFFFF" w:themeColor="background1"/>
              </w:rPr>
              <w:t>Avastin</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Sponsor:</w:t>
            </w:r>
            <w:r w:rsidR="009D4AE1">
              <w:rPr>
                <w:color w:val="FFFFFF" w:themeColor="background1"/>
              </w:rPr>
              <w:t xml:space="preserve"> </w:t>
            </w:r>
            <w:r w:rsidR="00DA39FE" w:rsidRPr="00DA39FE">
              <w:rPr>
                <w:color w:val="FFFFFF" w:themeColor="background1"/>
              </w:rPr>
              <w:t>Roche Products Pty Ltd</w:t>
            </w:r>
            <w:r w:rsidR="009D4AE1">
              <w:rPr>
                <w:color w:val="FFFFFF" w:themeColor="background1"/>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FC293A">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A0B2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2191386" w:history="1">
            <w:r w:rsidR="00CA0B25" w:rsidRPr="00445E0F">
              <w:rPr>
                <w:rStyle w:val="Hyperlink"/>
                <w:noProof/>
              </w:rPr>
              <w:t>Common abbreviations</w:t>
            </w:r>
            <w:r w:rsidR="00CA0B25">
              <w:rPr>
                <w:noProof/>
                <w:webHidden/>
              </w:rPr>
              <w:tab/>
            </w:r>
            <w:r w:rsidR="00CA0B25">
              <w:rPr>
                <w:noProof/>
                <w:webHidden/>
              </w:rPr>
              <w:fldChar w:fldCharType="begin"/>
            </w:r>
            <w:r w:rsidR="00CA0B25">
              <w:rPr>
                <w:noProof/>
                <w:webHidden/>
              </w:rPr>
              <w:instrText xml:space="preserve"> PAGEREF _Toc482191386 \h </w:instrText>
            </w:r>
            <w:r w:rsidR="00CA0B25">
              <w:rPr>
                <w:noProof/>
                <w:webHidden/>
              </w:rPr>
            </w:r>
            <w:r w:rsidR="00CA0B25">
              <w:rPr>
                <w:noProof/>
                <w:webHidden/>
              </w:rPr>
              <w:fldChar w:fldCharType="separate"/>
            </w:r>
            <w:r w:rsidR="002D39EE">
              <w:rPr>
                <w:noProof/>
                <w:webHidden/>
              </w:rPr>
              <w:t>4</w:t>
            </w:r>
            <w:r w:rsidR="00CA0B25">
              <w:rPr>
                <w:noProof/>
                <w:webHidden/>
              </w:rPr>
              <w:fldChar w:fldCharType="end"/>
            </w:r>
          </w:hyperlink>
        </w:p>
        <w:p w:rsidR="00CA0B25" w:rsidRDefault="005D2F1A">
          <w:pPr>
            <w:pStyle w:val="TOC2"/>
            <w:rPr>
              <w:rFonts w:asciiTheme="minorHAnsi" w:eastAsiaTheme="minorEastAsia" w:hAnsiTheme="minorHAnsi" w:cstheme="minorBidi"/>
              <w:b w:val="0"/>
              <w:noProof/>
              <w:sz w:val="22"/>
              <w:lang w:eastAsia="en-AU"/>
            </w:rPr>
          </w:pPr>
          <w:hyperlink w:anchor="_Toc482191387" w:history="1">
            <w:r w:rsidR="00CA0B25" w:rsidRPr="00445E0F">
              <w:rPr>
                <w:rStyle w:val="Hyperlink"/>
                <w:noProof/>
              </w:rPr>
              <w:t>I. Introduction to product submission</w:t>
            </w:r>
            <w:r w:rsidR="00CA0B25">
              <w:rPr>
                <w:noProof/>
                <w:webHidden/>
              </w:rPr>
              <w:tab/>
            </w:r>
            <w:r w:rsidR="00CA0B25">
              <w:rPr>
                <w:noProof/>
                <w:webHidden/>
              </w:rPr>
              <w:fldChar w:fldCharType="begin"/>
            </w:r>
            <w:r w:rsidR="00CA0B25">
              <w:rPr>
                <w:noProof/>
                <w:webHidden/>
              </w:rPr>
              <w:instrText xml:space="preserve"> PAGEREF _Toc482191387 \h </w:instrText>
            </w:r>
            <w:r w:rsidR="00CA0B25">
              <w:rPr>
                <w:noProof/>
                <w:webHidden/>
              </w:rPr>
            </w:r>
            <w:r w:rsidR="00CA0B25">
              <w:rPr>
                <w:noProof/>
                <w:webHidden/>
              </w:rPr>
              <w:fldChar w:fldCharType="separate"/>
            </w:r>
            <w:r w:rsidR="002D39EE">
              <w:rPr>
                <w:noProof/>
                <w:webHidden/>
              </w:rPr>
              <w:t>5</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388" w:history="1">
            <w:r w:rsidR="00CA0B25" w:rsidRPr="00445E0F">
              <w:rPr>
                <w:rStyle w:val="Hyperlink"/>
                <w:noProof/>
                <w:lang w:eastAsia="en-AU"/>
              </w:rPr>
              <w:t>Submission details</w:t>
            </w:r>
            <w:r w:rsidR="00CA0B25">
              <w:rPr>
                <w:noProof/>
                <w:webHidden/>
              </w:rPr>
              <w:tab/>
            </w:r>
            <w:r w:rsidR="00CA0B25">
              <w:rPr>
                <w:noProof/>
                <w:webHidden/>
              </w:rPr>
              <w:fldChar w:fldCharType="begin"/>
            </w:r>
            <w:r w:rsidR="00CA0B25">
              <w:rPr>
                <w:noProof/>
                <w:webHidden/>
              </w:rPr>
              <w:instrText xml:space="preserve"> PAGEREF _Toc482191388 \h </w:instrText>
            </w:r>
            <w:r w:rsidR="00CA0B25">
              <w:rPr>
                <w:noProof/>
                <w:webHidden/>
              </w:rPr>
            </w:r>
            <w:r w:rsidR="00CA0B25">
              <w:rPr>
                <w:noProof/>
                <w:webHidden/>
              </w:rPr>
              <w:fldChar w:fldCharType="separate"/>
            </w:r>
            <w:r w:rsidR="002D39EE">
              <w:rPr>
                <w:noProof/>
                <w:webHidden/>
              </w:rPr>
              <w:t>5</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389" w:history="1">
            <w:r w:rsidR="00CA0B25" w:rsidRPr="00445E0F">
              <w:rPr>
                <w:rStyle w:val="Hyperlink"/>
                <w:noProof/>
              </w:rPr>
              <w:t>Product background</w:t>
            </w:r>
            <w:r w:rsidR="00CA0B25">
              <w:rPr>
                <w:noProof/>
                <w:webHidden/>
              </w:rPr>
              <w:tab/>
            </w:r>
            <w:r w:rsidR="00CA0B25">
              <w:rPr>
                <w:noProof/>
                <w:webHidden/>
              </w:rPr>
              <w:fldChar w:fldCharType="begin"/>
            </w:r>
            <w:r w:rsidR="00CA0B25">
              <w:rPr>
                <w:noProof/>
                <w:webHidden/>
              </w:rPr>
              <w:instrText xml:space="preserve"> PAGEREF _Toc482191389 \h </w:instrText>
            </w:r>
            <w:r w:rsidR="00CA0B25">
              <w:rPr>
                <w:noProof/>
                <w:webHidden/>
              </w:rPr>
            </w:r>
            <w:r w:rsidR="00CA0B25">
              <w:rPr>
                <w:noProof/>
                <w:webHidden/>
              </w:rPr>
              <w:fldChar w:fldCharType="separate"/>
            </w:r>
            <w:r w:rsidR="002D39EE">
              <w:rPr>
                <w:noProof/>
                <w:webHidden/>
              </w:rPr>
              <w:t>5</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390" w:history="1">
            <w:r w:rsidR="00CA0B25" w:rsidRPr="00445E0F">
              <w:rPr>
                <w:rStyle w:val="Hyperlink"/>
                <w:noProof/>
              </w:rPr>
              <w:t>Regulatory status</w:t>
            </w:r>
            <w:r w:rsidR="00CA0B25">
              <w:rPr>
                <w:noProof/>
                <w:webHidden/>
              </w:rPr>
              <w:tab/>
            </w:r>
            <w:r w:rsidR="00CA0B25">
              <w:rPr>
                <w:noProof/>
                <w:webHidden/>
              </w:rPr>
              <w:fldChar w:fldCharType="begin"/>
            </w:r>
            <w:r w:rsidR="00CA0B25">
              <w:rPr>
                <w:noProof/>
                <w:webHidden/>
              </w:rPr>
              <w:instrText xml:space="preserve"> PAGEREF _Toc482191390 \h </w:instrText>
            </w:r>
            <w:r w:rsidR="00CA0B25">
              <w:rPr>
                <w:noProof/>
                <w:webHidden/>
              </w:rPr>
            </w:r>
            <w:r w:rsidR="00CA0B25">
              <w:rPr>
                <w:noProof/>
                <w:webHidden/>
              </w:rPr>
              <w:fldChar w:fldCharType="separate"/>
            </w:r>
            <w:r w:rsidR="002D39EE">
              <w:rPr>
                <w:noProof/>
                <w:webHidden/>
              </w:rPr>
              <w:t>6</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391" w:history="1">
            <w:r w:rsidR="00CA0B25" w:rsidRPr="00445E0F">
              <w:rPr>
                <w:rStyle w:val="Hyperlink"/>
                <w:noProof/>
              </w:rPr>
              <w:t>Orphan drug status</w:t>
            </w:r>
            <w:r w:rsidR="00CA0B25">
              <w:rPr>
                <w:noProof/>
                <w:webHidden/>
              </w:rPr>
              <w:tab/>
            </w:r>
            <w:r w:rsidR="00CA0B25">
              <w:rPr>
                <w:noProof/>
                <w:webHidden/>
              </w:rPr>
              <w:fldChar w:fldCharType="begin"/>
            </w:r>
            <w:r w:rsidR="00CA0B25">
              <w:rPr>
                <w:noProof/>
                <w:webHidden/>
              </w:rPr>
              <w:instrText xml:space="preserve"> PAGEREF _Toc482191391 \h </w:instrText>
            </w:r>
            <w:r w:rsidR="00CA0B25">
              <w:rPr>
                <w:noProof/>
                <w:webHidden/>
              </w:rPr>
            </w:r>
            <w:r w:rsidR="00CA0B25">
              <w:rPr>
                <w:noProof/>
                <w:webHidden/>
              </w:rPr>
              <w:fldChar w:fldCharType="separate"/>
            </w:r>
            <w:r w:rsidR="002D39EE">
              <w:rPr>
                <w:noProof/>
                <w:webHidden/>
              </w:rPr>
              <w:t>7</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392" w:history="1">
            <w:r w:rsidR="00CA0B25" w:rsidRPr="00445E0F">
              <w:rPr>
                <w:rStyle w:val="Hyperlink"/>
                <w:noProof/>
              </w:rPr>
              <w:t xml:space="preserve">Product </w:t>
            </w:r>
            <w:r w:rsidR="003E6B2B" w:rsidRPr="00445E0F">
              <w:rPr>
                <w:rStyle w:val="Hyperlink"/>
                <w:noProof/>
              </w:rPr>
              <w:t>information</w:t>
            </w:r>
            <w:r w:rsidR="00CA0B25">
              <w:rPr>
                <w:noProof/>
                <w:webHidden/>
              </w:rPr>
              <w:tab/>
            </w:r>
            <w:r w:rsidR="00CA0B25">
              <w:rPr>
                <w:noProof/>
                <w:webHidden/>
              </w:rPr>
              <w:fldChar w:fldCharType="begin"/>
            </w:r>
            <w:r w:rsidR="00CA0B25">
              <w:rPr>
                <w:noProof/>
                <w:webHidden/>
              </w:rPr>
              <w:instrText xml:space="preserve"> PAGEREF _Toc482191392 \h </w:instrText>
            </w:r>
            <w:r w:rsidR="00CA0B25">
              <w:rPr>
                <w:noProof/>
                <w:webHidden/>
              </w:rPr>
            </w:r>
            <w:r w:rsidR="00CA0B25">
              <w:rPr>
                <w:noProof/>
                <w:webHidden/>
              </w:rPr>
              <w:fldChar w:fldCharType="separate"/>
            </w:r>
            <w:r w:rsidR="002D39EE">
              <w:rPr>
                <w:noProof/>
                <w:webHidden/>
              </w:rPr>
              <w:t>7</w:t>
            </w:r>
            <w:r w:rsidR="00CA0B25">
              <w:rPr>
                <w:noProof/>
                <w:webHidden/>
              </w:rPr>
              <w:fldChar w:fldCharType="end"/>
            </w:r>
          </w:hyperlink>
        </w:p>
        <w:p w:rsidR="00CA0B25" w:rsidRDefault="005D2F1A">
          <w:pPr>
            <w:pStyle w:val="TOC2"/>
            <w:rPr>
              <w:rFonts w:asciiTheme="minorHAnsi" w:eastAsiaTheme="minorEastAsia" w:hAnsiTheme="minorHAnsi" w:cstheme="minorBidi"/>
              <w:b w:val="0"/>
              <w:noProof/>
              <w:sz w:val="22"/>
              <w:lang w:eastAsia="en-AU"/>
            </w:rPr>
          </w:pPr>
          <w:hyperlink w:anchor="_Toc482191393" w:history="1">
            <w:r w:rsidR="00CA0B25" w:rsidRPr="00445E0F">
              <w:rPr>
                <w:rStyle w:val="Hyperlink"/>
                <w:noProof/>
              </w:rPr>
              <w:t>II. Quality findings</w:t>
            </w:r>
            <w:r w:rsidR="00CA0B25">
              <w:rPr>
                <w:noProof/>
                <w:webHidden/>
              </w:rPr>
              <w:tab/>
            </w:r>
            <w:r w:rsidR="00CA0B25">
              <w:rPr>
                <w:noProof/>
                <w:webHidden/>
              </w:rPr>
              <w:fldChar w:fldCharType="begin"/>
            </w:r>
            <w:r w:rsidR="00CA0B25">
              <w:rPr>
                <w:noProof/>
                <w:webHidden/>
              </w:rPr>
              <w:instrText xml:space="preserve"> PAGEREF _Toc482191393 \h </w:instrText>
            </w:r>
            <w:r w:rsidR="00CA0B25">
              <w:rPr>
                <w:noProof/>
                <w:webHidden/>
              </w:rPr>
            </w:r>
            <w:r w:rsidR="00CA0B25">
              <w:rPr>
                <w:noProof/>
                <w:webHidden/>
              </w:rPr>
              <w:fldChar w:fldCharType="separate"/>
            </w:r>
            <w:r w:rsidR="002D39EE">
              <w:rPr>
                <w:noProof/>
                <w:webHidden/>
              </w:rPr>
              <w:t>7</w:t>
            </w:r>
            <w:r w:rsidR="00CA0B25">
              <w:rPr>
                <w:noProof/>
                <w:webHidden/>
              </w:rPr>
              <w:fldChar w:fldCharType="end"/>
            </w:r>
          </w:hyperlink>
        </w:p>
        <w:p w:rsidR="00CA0B25" w:rsidRDefault="005D2F1A">
          <w:pPr>
            <w:pStyle w:val="TOC2"/>
            <w:rPr>
              <w:rFonts w:asciiTheme="minorHAnsi" w:eastAsiaTheme="minorEastAsia" w:hAnsiTheme="minorHAnsi" w:cstheme="minorBidi"/>
              <w:b w:val="0"/>
              <w:noProof/>
              <w:sz w:val="22"/>
              <w:lang w:eastAsia="en-AU"/>
            </w:rPr>
          </w:pPr>
          <w:hyperlink w:anchor="_Toc482191394" w:history="1">
            <w:r w:rsidR="00CA0B25" w:rsidRPr="00445E0F">
              <w:rPr>
                <w:rStyle w:val="Hyperlink"/>
                <w:noProof/>
              </w:rPr>
              <w:t>III. Nonclinical findings</w:t>
            </w:r>
            <w:r w:rsidR="00CA0B25">
              <w:rPr>
                <w:noProof/>
                <w:webHidden/>
              </w:rPr>
              <w:tab/>
            </w:r>
            <w:r w:rsidR="00CA0B25">
              <w:rPr>
                <w:noProof/>
                <w:webHidden/>
              </w:rPr>
              <w:fldChar w:fldCharType="begin"/>
            </w:r>
            <w:r w:rsidR="00CA0B25">
              <w:rPr>
                <w:noProof/>
                <w:webHidden/>
              </w:rPr>
              <w:instrText xml:space="preserve"> PAGEREF _Toc482191394 \h </w:instrText>
            </w:r>
            <w:r w:rsidR="00CA0B25">
              <w:rPr>
                <w:noProof/>
                <w:webHidden/>
              </w:rPr>
            </w:r>
            <w:r w:rsidR="00CA0B25">
              <w:rPr>
                <w:noProof/>
                <w:webHidden/>
              </w:rPr>
              <w:fldChar w:fldCharType="separate"/>
            </w:r>
            <w:r w:rsidR="002D39EE">
              <w:rPr>
                <w:noProof/>
                <w:webHidden/>
              </w:rPr>
              <w:t>7</w:t>
            </w:r>
            <w:r w:rsidR="00CA0B25">
              <w:rPr>
                <w:noProof/>
                <w:webHidden/>
              </w:rPr>
              <w:fldChar w:fldCharType="end"/>
            </w:r>
          </w:hyperlink>
        </w:p>
        <w:p w:rsidR="00CA0B25" w:rsidRDefault="005D2F1A">
          <w:pPr>
            <w:pStyle w:val="TOC2"/>
            <w:rPr>
              <w:rFonts w:asciiTheme="minorHAnsi" w:eastAsiaTheme="minorEastAsia" w:hAnsiTheme="minorHAnsi" w:cstheme="minorBidi"/>
              <w:b w:val="0"/>
              <w:noProof/>
              <w:sz w:val="22"/>
              <w:lang w:eastAsia="en-AU"/>
            </w:rPr>
          </w:pPr>
          <w:hyperlink w:anchor="_Toc482191395" w:history="1">
            <w:r w:rsidR="00CA0B25" w:rsidRPr="00445E0F">
              <w:rPr>
                <w:rStyle w:val="Hyperlink"/>
                <w:noProof/>
              </w:rPr>
              <w:t>IV. Clinical findings</w:t>
            </w:r>
            <w:r w:rsidR="00CA0B25">
              <w:rPr>
                <w:noProof/>
                <w:webHidden/>
              </w:rPr>
              <w:tab/>
            </w:r>
            <w:r w:rsidR="00CA0B25">
              <w:rPr>
                <w:noProof/>
                <w:webHidden/>
              </w:rPr>
              <w:fldChar w:fldCharType="begin"/>
            </w:r>
            <w:r w:rsidR="00CA0B25">
              <w:rPr>
                <w:noProof/>
                <w:webHidden/>
              </w:rPr>
              <w:instrText xml:space="preserve"> PAGEREF _Toc482191395 \h </w:instrText>
            </w:r>
            <w:r w:rsidR="00CA0B25">
              <w:rPr>
                <w:noProof/>
                <w:webHidden/>
              </w:rPr>
            </w:r>
            <w:r w:rsidR="00CA0B25">
              <w:rPr>
                <w:noProof/>
                <w:webHidden/>
              </w:rPr>
              <w:fldChar w:fldCharType="separate"/>
            </w:r>
            <w:r w:rsidR="002D39EE">
              <w:rPr>
                <w:noProof/>
                <w:webHidden/>
              </w:rPr>
              <w:t>8</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396" w:history="1">
            <w:r w:rsidR="00CA0B25" w:rsidRPr="00445E0F">
              <w:rPr>
                <w:rStyle w:val="Hyperlink"/>
                <w:noProof/>
              </w:rPr>
              <w:t>Introduction</w:t>
            </w:r>
            <w:r w:rsidR="00CA0B25">
              <w:rPr>
                <w:noProof/>
                <w:webHidden/>
              </w:rPr>
              <w:tab/>
            </w:r>
            <w:r w:rsidR="00CA0B25">
              <w:rPr>
                <w:noProof/>
                <w:webHidden/>
              </w:rPr>
              <w:fldChar w:fldCharType="begin"/>
            </w:r>
            <w:r w:rsidR="00CA0B25">
              <w:rPr>
                <w:noProof/>
                <w:webHidden/>
              </w:rPr>
              <w:instrText xml:space="preserve"> PAGEREF _Toc482191396 \h </w:instrText>
            </w:r>
            <w:r w:rsidR="00CA0B25">
              <w:rPr>
                <w:noProof/>
                <w:webHidden/>
              </w:rPr>
            </w:r>
            <w:r w:rsidR="00CA0B25">
              <w:rPr>
                <w:noProof/>
                <w:webHidden/>
              </w:rPr>
              <w:fldChar w:fldCharType="separate"/>
            </w:r>
            <w:r w:rsidR="002D39EE">
              <w:rPr>
                <w:noProof/>
                <w:webHidden/>
              </w:rPr>
              <w:t>8</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397" w:history="1">
            <w:r w:rsidR="00CA0B25" w:rsidRPr="00445E0F">
              <w:rPr>
                <w:rStyle w:val="Hyperlink"/>
                <w:noProof/>
              </w:rPr>
              <w:t>Pharmacokinetics</w:t>
            </w:r>
            <w:r w:rsidR="00CA0B25">
              <w:rPr>
                <w:noProof/>
                <w:webHidden/>
              </w:rPr>
              <w:tab/>
            </w:r>
            <w:r w:rsidR="00CA0B25">
              <w:rPr>
                <w:noProof/>
                <w:webHidden/>
              </w:rPr>
              <w:fldChar w:fldCharType="begin"/>
            </w:r>
            <w:r w:rsidR="00CA0B25">
              <w:rPr>
                <w:noProof/>
                <w:webHidden/>
              </w:rPr>
              <w:instrText xml:space="preserve"> PAGEREF _Toc482191397 \h </w:instrText>
            </w:r>
            <w:r w:rsidR="00CA0B25">
              <w:rPr>
                <w:noProof/>
                <w:webHidden/>
              </w:rPr>
            </w:r>
            <w:r w:rsidR="00CA0B25">
              <w:rPr>
                <w:noProof/>
                <w:webHidden/>
              </w:rPr>
              <w:fldChar w:fldCharType="separate"/>
            </w:r>
            <w:r w:rsidR="002D39EE">
              <w:rPr>
                <w:noProof/>
                <w:webHidden/>
              </w:rPr>
              <w:t>10</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398" w:history="1">
            <w:r w:rsidR="00CA0B25" w:rsidRPr="00445E0F">
              <w:rPr>
                <w:rStyle w:val="Hyperlink"/>
                <w:noProof/>
              </w:rPr>
              <w:t>Pharmacodynamics</w:t>
            </w:r>
            <w:r w:rsidR="00CA0B25">
              <w:rPr>
                <w:noProof/>
                <w:webHidden/>
              </w:rPr>
              <w:tab/>
            </w:r>
            <w:r w:rsidR="00CA0B25">
              <w:rPr>
                <w:noProof/>
                <w:webHidden/>
              </w:rPr>
              <w:fldChar w:fldCharType="begin"/>
            </w:r>
            <w:r w:rsidR="00CA0B25">
              <w:rPr>
                <w:noProof/>
                <w:webHidden/>
              </w:rPr>
              <w:instrText xml:space="preserve"> PAGEREF _Toc482191398 \h </w:instrText>
            </w:r>
            <w:r w:rsidR="00CA0B25">
              <w:rPr>
                <w:noProof/>
                <w:webHidden/>
              </w:rPr>
            </w:r>
            <w:r w:rsidR="00CA0B25">
              <w:rPr>
                <w:noProof/>
                <w:webHidden/>
              </w:rPr>
              <w:fldChar w:fldCharType="separate"/>
            </w:r>
            <w:r w:rsidR="002D39EE">
              <w:rPr>
                <w:noProof/>
                <w:webHidden/>
              </w:rPr>
              <w:t>10</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399" w:history="1">
            <w:r w:rsidR="00CA0B25" w:rsidRPr="00445E0F">
              <w:rPr>
                <w:rStyle w:val="Hyperlink"/>
                <w:noProof/>
              </w:rPr>
              <w:t>Dosage selection for the pivotal studies</w:t>
            </w:r>
            <w:r w:rsidR="00CA0B25">
              <w:rPr>
                <w:noProof/>
                <w:webHidden/>
              </w:rPr>
              <w:tab/>
            </w:r>
            <w:r w:rsidR="00CA0B25">
              <w:rPr>
                <w:noProof/>
                <w:webHidden/>
              </w:rPr>
              <w:fldChar w:fldCharType="begin"/>
            </w:r>
            <w:r w:rsidR="00CA0B25">
              <w:rPr>
                <w:noProof/>
                <w:webHidden/>
              </w:rPr>
              <w:instrText xml:space="preserve"> PAGEREF _Toc482191399 \h </w:instrText>
            </w:r>
            <w:r w:rsidR="00CA0B25">
              <w:rPr>
                <w:noProof/>
                <w:webHidden/>
              </w:rPr>
            </w:r>
            <w:r w:rsidR="00CA0B25">
              <w:rPr>
                <w:noProof/>
                <w:webHidden/>
              </w:rPr>
              <w:fldChar w:fldCharType="separate"/>
            </w:r>
            <w:r w:rsidR="002D39EE">
              <w:rPr>
                <w:noProof/>
                <w:webHidden/>
              </w:rPr>
              <w:t>10</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00" w:history="1">
            <w:r w:rsidR="00CA0B25" w:rsidRPr="00445E0F">
              <w:rPr>
                <w:rStyle w:val="Hyperlink"/>
                <w:noProof/>
              </w:rPr>
              <w:t>Efficacy</w:t>
            </w:r>
            <w:r w:rsidR="00CA0B25">
              <w:rPr>
                <w:noProof/>
                <w:webHidden/>
              </w:rPr>
              <w:tab/>
            </w:r>
            <w:r w:rsidR="00CA0B25">
              <w:rPr>
                <w:noProof/>
                <w:webHidden/>
              </w:rPr>
              <w:fldChar w:fldCharType="begin"/>
            </w:r>
            <w:r w:rsidR="00CA0B25">
              <w:rPr>
                <w:noProof/>
                <w:webHidden/>
              </w:rPr>
              <w:instrText xml:space="preserve"> PAGEREF _Toc482191400 \h </w:instrText>
            </w:r>
            <w:r w:rsidR="00CA0B25">
              <w:rPr>
                <w:noProof/>
                <w:webHidden/>
              </w:rPr>
            </w:r>
            <w:r w:rsidR="00CA0B25">
              <w:rPr>
                <w:noProof/>
                <w:webHidden/>
              </w:rPr>
              <w:fldChar w:fldCharType="separate"/>
            </w:r>
            <w:r w:rsidR="002D39EE">
              <w:rPr>
                <w:noProof/>
                <w:webHidden/>
              </w:rPr>
              <w:t>12</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01" w:history="1">
            <w:r w:rsidR="00CA0B25" w:rsidRPr="00445E0F">
              <w:rPr>
                <w:rStyle w:val="Hyperlink"/>
                <w:noProof/>
              </w:rPr>
              <w:t>Safety</w:t>
            </w:r>
            <w:r w:rsidR="00CA0B25">
              <w:rPr>
                <w:noProof/>
                <w:webHidden/>
              </w:rPr>
              <w:tab/>
            </w:r>
            <w:r w:rsidR="00CA0B25">
              <w:rPr>
                <w:noProof/>
                <w:webHidden/>
              </w:rPr>
              <w:fldChar w:fldCharType="begin"/>
            </w:r>
            <w:r w:rsidR="00CA0B25">
              <w:rPr>
                <w:noProof/>
                <w:webHidden/>
              </w:rPr>
              <w:instrText xml:space="preserve"> PAGEREF _Toc482191401 \h </w:instrText>
            </w:r>
            <w:r w:rsidR="00CA0B25">
              <w:rPr>
                <w:noProof/>
                <w:webHidden/>
              </w:rPr>
            </w:r>
            <w:r w:rsidR="00CA0B25">
              <w:rPr>
                <w:noProof/>
                <w:webHidden/>
              </w:rPr>
              <w:fldChar w:fldCharType="separate"/>
            </w:r>
            <w:r w:rsidR="002D39EE">
              <w:rPr>
                <w:noProof/>
                <w:webHidden/>
              </w:rPr>
              <w:t>14</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02" w:history="1">
            <w:r w:rsidR="00CA0B25" w:rsidRPr="00445E0F">
              <w:rPr>
                <w:rStyle w:val="Hyperlink"/>
                <w:noProof/>
              </w:rPr>
              <w:t xml:space="preserve">First </w:t>
            </w:r>
            <w:r w:rsidR="003E6B2B" w:rsidRPr="00445E0F">
              <w:rPr>
                <w:rStyle w:val="Hyperlink"/>
                <w:noProof/>
              </w:rPr>
              <w:t>round benefit-risk as</w:t>
            </w:r>
            <w:r w:rsidR="00CA0B25" w:rsidRPr="00445E0F">
              <w:rPr>
                <w:rStyle w:val="Hyperlink"/>
                <w:noProof/>
              </w:rPr>
              <w:t>sessment</w:t>
            </w:r>
            <w:r w:rsidR="00CA0B25">
              <w:rPr>
                <w:noProof/>
                <w:webHidden/>
              </w:rPr>
              <w:tab/>
            </w:r>
            <w:r w:rsidR="00CA0B25">
              <w:rPr>
                <w:noProof/>
                <w:webHidden/>
              </w:rPr>
              <w:fldChar w:fldCharType="begin"/>
            </w:r>
            <w:r w:rsidR="00CA0B25">
              <w:rPr>
                <w:noProof/>
                <w:webHidden/>
              </w:rPr>
              <w:instrText xml:space="preserve"> PAGEREF _Toc482191402 \h </w:instrText>
            </w:r>
            <w:r w:rsidR="00CA0B25">
              <w:rPr>
                <w:noProof/>
                <w:webHidden/>
              </w:rPr>
            </w:r>
            <w:r w:rsidR="00CA0B25">
              <w:rPr>
                <w:noProof/>
                <w:webHidden/>
              </w:rPr>
              <w:fldChar w:fldCharType="separate"/>
            </w:r>
            <w:r w:rsidR="002D39EE">
              <w:rPr>
                <w:noProof/>
                <w:webHidden/>
              </w:rPr>
              <w:t>18</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03" w:history="1">
            <w:r w:rsidR="00CA0B25" w:rsidRPr="00445E0F">
              <w:rPr>
                <w:rStyle w:val="Hyperlink"/>
                <w:noProof/>
              </w:rPr>
              <w:t xml:space="preserve">First </w:t>
            </w:r>
            <w:r w:rsidR="003E6B2B" w:rsidRPr="00445E0F">
              <w:rPr>
                <w:rStyle w:val="Hyperlink"/>
                <w:noProof/>
              </w:rPr>
              <w:t>round recommendation regarding a</w:t>
            </w:r>
            <w:r w:rsidR="00CA0B25" w:rsidRPr="00445E0F">
              <w:rPr>
                <w:rStyle w:val="Hyperlink"/>
                <w:noProof/>
              </w:rPr>
              <w:t>uthorisation</w:t>
            </w:r>
            <w:r w:rsidR="00CA0B25">
              <w:rPr>
                <w:noProof/>
                <w:webHidden/>
              </w:rPr>
              <w:tab/>
            </w:r>
            <w:r w:rsidR="00CA0B25">
              <w:rPr>
                <w:noProof/>
                <w:webHidden/>
              </w:rPr>
              <w:fldChar w:fldCharType="begin"/>
            </w:r>
            <w:r w:rsidR="00CA0B25">
              <w:rPr>
                <w:noProof/>
                <w:webHidden/>
              </w:rPr>
              <w:instrText xml:space="preserve"> PAGEREF _Toc482191403 \h </w:instrText>
            </w:r>
            <w:r w:rsidR="00CA0B25">
              <w:rPr>
                <w:noProof/>
                <w:webHidden/>
              </w:rPr>
            </w:r>
            <w:r w:rsidR="00CA0B25">
              <w:rPr>
                <w:noProof/>
                <w:webHidden/>
              </w:rPr>
              <w:fldChar w:fldCharType="separate"/>
            </w:r>
            <w:r w:rsidR="002D39EE">
              <w:rPr>
                <w:noProof/>
                <w:webHidden/>
              </w:rPr>
              <w:t>19</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04" w:history="1">
            <w:r w:rsidR="00CA0B25" w:rsidRPr="00445E0F">
              <w:rPr>
                <w:rStyle w:val="Hyperlink"/>
                <w:noProof/>
              </w:rPr>
              <w:t xml:space="preserve">Second </w:t>
            </w:r>
            <w:r w:rsidR="003E6B2B" w:rsidRPr="00445E0F">
              <w:rPr>
                <w:rStyle w:val="Hyperlink"/>
                <w:noProof/>
              </w:rPr>
              <w:t>round e</w:t>
            </w:r>
            <w:r w:rsidR="00CA0B25" w:rsidRPr="00445E0F">
              <w:rPr>
                <w:rStyle w:val="Hyperlink"/>
                <w:noProof/>
              </w:rPr>
              <w:t>valuation of clinical data submitted in response to questions</w:t>
            </w:r>
            <w:r w:rsidR="00CA0B25">
              <w:rPr>
                <w:noProof/>
                <w:webHidden/>
              </w:rPr>
              <w:tab/>
            </w:r>
            <w:r w:rsidR="00CA0B25">
              <w:rPr>
                <w:noProof/>
                <w:webHidden/>
              </w:rPr>
              <w:fldChar w:fldCharType="begin"/>
            </w:r>
            <w:r w:rsidR="00CA0B25">
              <w:rPr>
                <w:noProof/>
                <w:webHidden/>
              </w:rPr>
              <w:instrText xml:space="preserve"> PAGEREF _Toc482191404 \h </w:instrText>
            </w:r>
            <w:r w:rsidR="00CA0B25">
              <w:rPr>
                <w:noProof/>
                <w:webHidden/>
              </w:rPr>
            </w:r>
            <w:r w:rsidR="00CA0B25">
              <w:rPr>
                <w:noProof/>
                <w:webHidden/>
              </w:rPr>
              <w:fldChar w:fldCharType="separate"/>
            </w:r>
            <w:r w:rsidR="002D39EE">
              <w:rPr>
                <w:noProof/>
                <w:webHidden/>
              </w:rPr>
              <w:t>19</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05" w:history="1">
            <w:r w:rsidR="00CA0B25" w:rsidRPr="00445E0F">
              <w:rPr>
                <w:rStyle w:val="Hyperlink"/>
                <w:noProof/>
              </w:rPr>
              <w:t xml:space="preserve">Second </w:t>
            </w:r>
            <w:r w:rsidR="003E6B2B" w:rsidRPr="00445E0F">
              <w:rPr>
                <w:rStyle w:val="Hyperlink"/>
                <w:noProof/>
              </w:rPr>
              <w:t>round benefit-risk a</w:t>
            </w:r>
            <w:r w:rsidR="00CA0B25" w:rsidRPr="00445E0F">
              <w:rPr>
                <w:rStyle w:val="Hyperlink"/>
                <w:noProof/>
              </w:rPr>
              <w:t>ssessment</w:t>
            </w:r>
            <w:r w:rsidR="00CA0B25">
              <w:rPr>
                <w:noProof/>
                <w:webHidden/>
              </w:rPr>
              <w:tab/>
            </w:r>
            <w:r w:rsidR="00CA0B25">
              <w:rPr>
                <w:noProof/>
                <w:webHidden/>
              </w:rPr>
              <w:fldChar w:fldCharType="begin"/>
            </w:r>
            <w:r w:rsidR="00CA0B25">
              <w:rPr>
                <w:noProof/>
                <w:webHidden/>
              </w:rPr>
              <w:instrText xml:space="preserve"> PAGEREF _Toc482191405 \h </w:instrText>
            </w:r>
            <w:r w:rsidR="00CA0B25">
              <w:rPr>
                <w:noProof/>
                <w:webHidden/>
              </w:rPr>
            </w:r>
            <w:r w:rsidR="00CA0B25">
              <w:rPr>
                <w:noProof/>
                <w:webHidden/>
              </w:rPr>
              <w:fldChar w:fldCharType="separate"/>
            </w:r>
            <w:r w:rsidR="002D39EE">
              <w:rPr>
                <w:noProof/>
                <w:webHidden/>
              </w:rPr>
              <w:t>19</w:t>
            </w:r>
            <w:r w:rsidR="00CA0B25">
              <w:rPr>
                <w:noProof/>
                <w:webHidden/>
              </w:rPr>
              <w:fldChar w:fldCharType="end"/>
            </w:r>
          </w:hyperlink>
        </w:p>
        <w:p w:rsidR="00CA0B25" w:rsidRDefault="005D2F1A">
          <w:pPr>
            <w:pStyle w:val="TOC2"/>
            <w:rPr>
              <w:rFonts w:asciiTheme="minorHAnsi" w:eastAsiaTheme="minorEastAsia" w:hAnsiTheme="minorHAnsi" w:cstheme="minorBidi"/>
              <w:b w:val="0"/>
              <w:noProof/>
              <w:sz w:val="22"/>
              <w:lang w:eastAsia="en-AU"/>
            </w:rPr>
          </w:pPr>
          <w:hyperlink w:anchor="_Toc482191406" w:history="1">
            <w:r w:rsidR="00CA0B25" w:rsidRPr="00445E0F">
              <w:rPr>
                <w:rStyle w:val="Hyperlink"/>
                <w:noProof/>
              </w:rPr>
              <w:t>V. Pharmacovigilance findings</w:t>
            </w:r>
            <w:r w:rsidR="00CA0B25">
              <w:rPr>
                <w:noProof/>
                <w:webHidden/>
              </w:rPr>
              <w:tab/>
            </w:r>
            <w:r w:rsidR="00CA0B25">
              <w:rPr>
                <w:noProof/>
                <w:webHidden/>
              </w:rPr>
              <w:fldChar w:fldCharType="begin"/>
            </w:r>
            <w:r w:rsidR="00CA0B25">
              <w:rPr>
                <w:noProof/>
                <w:webHidden/>
              </w:rPr>
              <w:instrText xml:space="preserve"> PAGEREF _Toc482191406 \h </w:instrText>
            </w:r>
            <w:r w:rsidR="00CA0B25">
              <w:rPr>
                <w:noProof/>
                <w:webHidden/>
              </w:rPr>
            </w:r>
            <w:r w:rsidR="00CA0B25">
              <w:rPr>
                <w:noProof/>
                <w:webHidden/>
              </w:rPr>
              <w:fldChar w:fldCharType="separate"/>
            </w:r>
            <w:r w:rsidR="002D39EE">
              <w:rPr>
                <w:noProof/>
                <w:webHidden/>
              </w:rPr>
              <w:t>20</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07" w:history="1">
            <w:r w:rsidR="00CA0B25" w:rsidRPr="00445E0F">
              <w:rPr>
                <w:rStyle w:val="Hyperlink"/>
                <w:noProof/>
                <w:lang w:eastAsia="en-AU"/>
              </w:rPr>
              <w:t>Risk management plan</w:t>
            </w:r>
            <w:r w:rsidR="00CA0B25">
              <w:rPr>
                <w:noProof/>
                <w:webHidden/>
              </w:rPr>
              <w:tab/>
            </w:r>
            <w:r w:rsidR="00CA0B25">
              <w:rPr>
                <w:noProof/>
                <w:webHidden/>
              </w:rPr>
              <w:fldChar w:fldCharType="begin"/>
            </w:r>
            <w:r w:rsidR="00CA0B25">
              <w:rPr>
                <w:noProof/>
                <w:webHidden/>
              </w:rPr>
              <w:instrText xml:space="preserve"> PAGEREF _Toc482191407 \h </w:instrText>
            </w:r>
            <w:r w:rsidR="00CA0B25">
              <w:rPr>
                <w:noProof/>
                <w:webHidden/>
              </w:rPr>
            </w:r>
            <w:r w:rsidR="00CA0B25">
              <w:rPr>
                <w:noProof/>
                <w:webHidden/>
              </w:rPr>
              <w:fldChar w:fldCharType="separate"/>
            </w:r>
            <w:r w:rsidR="002D39EE">
              <w:rPr>
                <w:noProof/>
                <w:webHidden/>
              </w:rPr>
              <w:t>20</w:t>
            </w:r>
            <w:r w:rsidR="00CA0B25">
              <w:rPr>
                <w:noProof/>
                <w:webHidden/>
              </w:rPr>
              <w:fldChar w:fldCharType="end"/>
            </w:r>
          </w:hyperlink>
        </w:p>
        <w:p w:rsidR="00CA0B25" w:rsidRDefault="005D2F1A">
          <w:pPr>
            <w:pStyle w:val="TOC2"/>
            <w:rPr>
              <w:rFonts w:asciiTheme="minorHAnsi" w:eastAsiaTheme="minorEastAsia" w:hAnsiTheme="minorHAnsi" w:cstheme="minorBidi"/>
              <w:b w:val="0"/>
              <w:noProof/>
              <w:sz w:val="22"/>
              <w:lang w:eastAsia="en-AU"/>
            </w:rPr>
          </w:pPr>
          <w:hyperlink w:anchor="_Toc482191408" w:history="1">
            <w:r w:rsidR="00CA0B25" w:rsidRPr="00445E0F">
              <w:rPr>
                <w:rStyle w:val="Hyperlink"/>
                <w:noProof/>
              </w:rPr>
              <w:t>VI. Overall conclusion and risk/benefit assessment</w:t>
            </w:r>
            <w:r w:rsidR="00CA0B25">
              <w:rPr>
                <w:noProof/>
                <w:webHidden/>
              </w:rPr>
              <w:tab/>
            </w:r>
            <w:r w:rsidR="00CA0B25">
              <w:rPr>
                <w:noProof/>
                <w:webHidden/>
              </w:rPr>
              <w:fldChar w:fldCharType="begin"/>
            </w:r>
            <w:r w:rsidR="00CA0B25">
              <w:rPr>
                <w:noProof/>
                <w:webHidden/>
              </w:rPr>
              <w:instrText xml:space="preserve"> PAGEREF _Toc482191408 \h </w:instrText>
            </w:r>
            <w:r w:rsidR="00CA0B25">
              <w:rPr>
                <w:noProof/>
                <w:webHidden/>
              </w:rPr>
            </w:r>
            <w:r w:rsidR="00CA0B25">
              <w:rPr>
                <w:noProof/>
                <w:webHidden/>
              </w:rPr>
              <w:fldChar w:fldCharType="separate"/>
            </w:r>
            <w:r w:rsidR="002D39EE">
              <w:rPr>
                <w:noProof/>
                <w:webHidden/>
              </w:rPr>
              <w:t>24</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09" w:history="1">
            <w:r w:rsidR="00CA0B25" w:rsidRPr="00445E0F">
              <w:rPr>
                <w:rStyle w:val="Hyperlink"/>
                <w:noProof/>
              </w:rPr>
              <w:t>Quality</w:t>
            </w:r>
            <w:r w:rsidR="00CA0B25">
              <w:rPr>
                <w:noProof/>
                <w:webHidden/>
              </w:rPr>
              <w:tab/>
            </w:r>
            <w:r w:rsidR="00CA0B25">
              <w:rPr>
                <w:noProof/>
                <w:webHidden/>
              </w:rPr>
              <w:fldChar w:fldCharType="begin"/>
            </w:r>
            <w:r w:rsidR="00CA0B25">
              <w:rPr>
                <w:noProof/>
                <w:webHidden/>
              </w:rPr>
              <w:instrText xml:space="preserve"> PAGEREF _Toc482191409 \h </w:instrText>
            </w:r>
            <w:r w:rsidR="00CA0B25">
              <w:rPr>
                <w:noProof/>
                <w:webHidden/>
              </w:rPr>
            </w:r>
            <w:r w:rsidR="00CA0B25">
              <w:rPr>
                <w:noProof/>
                <w:webHidden/>
              </w:rPr>
              <w:fldChar w:fldCharType="separate"/>
            </w:r>
            <w:r w:rsidR="002D39EE">
              <w:rPr>
                <w:noProof/>
                <w:webHidden/>
              </w:rPr>
              <w:t>24</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10" w:history="1">
            <w:r w:rsidR="00CA0B25" w:rsidRPr="00445E0F">
              <w:rPr>
                <w:rStyle w:val="Hyperlink"/>
                <w:noProof/>
              </w:rPr>
              <w:t>Nonclinical</w:t>
            </w:r>
            <w:r w:rsidR="00CA0B25">
              <w:rPr>
                <w:noProof/>
                <w:webHidden/>
              </w:rPr>
              <w:tab/>
            </w:r>
            <w:r w:rsidR="00CA0B25">
              <w:rPr>
                <w:noProof/>
                <w:webHidden/>
              </w:rPr>
              <w:fldChar w:fldCharType="begin"/>
            </w:r>
            <w:r w:rsidR="00CA0B25">
              <w:rPr>
                <w:noProof/>
                <w:webHidden/>
              </w:rPr>
              <w:instrText xml:space="preserve"> PAGEREF _Toc482191410 \h </w:instrText>
            </w:r>
            <w:r w:rsidR="00CA0B25">
              <w:rPr>
                <w:noProof/>
                <w:webHidden/>
              </w:rPr>
            </w:r>
            <w:r w:rsidR="00CA0B25">
              <w:rPr>
                <w:noProof/>
                <w:webHidden/>
              </w:rPr>
              <w:fldChar w:fldCharType="separate"/>
            </w:r>
            <w:r w:rsidR="002D39EE">
              <w:rPr>
                <w:noProof/>
                <w:webHidden/>
              </w:rPr>
              <w:t>24</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11" w:history="1">
            <w:r w:rsidR="00CA0B25" w:rsidRPr="00445E0F">
              <w:rPr>
                <w:rStyle w:val="Hyperlink"/>
                <w:noProof/>
              </w:rPr>
              <w:t>Clinical</w:t>
            </w:r>
            <w:r w:rsidR="00CA0B25">
              <w:rPr>
                <w:noProof/>
                <w:webHidden/>
              </w:rPr>
              <w:tab/>
            </w:r>
            <w:r w:rsidR="00CA0B25">
              <w:rPr>
                <w:noProof/>
                <w:webHidden/>
              </w:rPr>
              <w:fldChar w:fldCharType="begin"/>
            </w:r>
            <w:r w:rsidR="00CA0B25">
              <w:rPr>
                <w:noProof/>
                <w:webHidden/>
              </w:rPr>
              <w:instrText xml:space="preserve"> PAGEREF _Toc482191411 \h </w:instrText>
            </w:r>
            <w:r w:rsidR="00CA0B25">
              <w:rPr>
                <w:noProof/>
                <w:webHidden/>
              </w:rPr>
            </w:r>
            <w:r w:rsidR="00CA0B25">
              <w:rPr>
                <w:noProof/>
                <w:webHidden/>
              </w:rPr>
              <w:fldChar w:fldCharType="separate"/>
            </w:r>
            <w:r w:rsidR="002D39EE">
              <w:rPr>
                <w:noProof/>
                <w:webHidden/>
              </w:rPr>
              <w:t>24</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12" w:history="1">
            <w:r w:rsidR="00CA0B25" w:rsidRPr="00445E0F">
              <w:rPr>
                <w:rStyle w:val="Hyperlink"/>
                <w:noProof/>
              </w:rPr>
              <w:t>RMP evaluation</w:t>
            </w:r>
            <w:r w:rsidR="00CA0B25">
              <w:rPr>
                <w:noProof/>
                <w:webHidden/>
              </w:rPr>
              <w:tab/>
            </w:r>
            <w:r w:rsidR="00CA0B25">
              <w:rPr>
                <w:noProof/>
                <w:webHidden/>
              </w:rPr>
              <w:fldChar w:fldCharType="begin"/>
            </w:r>
            <w:r w:rsidR="00CA0B25">
              <w:rPr>
                <w:noProof/>
                <w:webHidden/>
              </w:rPr>
              <w:instrText xml:space="preserve"> PAGEREF _Toc482191412 \h </w:instrText>
            </w:r>
            <w:r w:rsidR="00CA0B25">
              <w:rPr>
                <w:noProof/>
                <w:webHidden/>
              </w:rPr>
            </w:r>
            <w:r w:rsidR="00CA0B25">
              <w:rPr>
                <w:noProof/>
                <w:webHidden/>
              </w:rPr>
              <w:fldChar w:fldCharType="separate"/>
            </w:r>
            <w:r w:rsidR="002D39EE">
              <w:rPr>
                <w:noProof/>
                <w:webHidden/>
              </w:rPr>
              <w:t>28</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13" w:history="1">
            <w:r w:rsidR="00CA0B25" w:rsidRPr="00445E0F">
              <w:rPr>
                <w:rStyle w:val="Hyperlink"/>
                <w:noProof/>
              </w:rPr>
              <w:t>Risk-benefit analysis</w:t>
            </w:r>
            <w:r w:rsidR="00CA0B25">
              <w:rPr>
                <w:noProof/>
                <w:webHidden/>
              </w:rPr>
              <w:tab/>
            </w:r>
            <w:r w:rsidR="00CA0B25">
              <w:rPr>
                <w:noProof/>
                <w:webHidden/>
              </w:rPr>
              <w:fldChar w:fldCharType="begin"/>
            </w:r>
            <w:r w:rsidR="00CA0B25">
              <w:rPr>
                <w:noProof/>
                <w:webHidden/>
              </w:rPr>
              <w:instrText xml:space="preserve"> PAGEREF _Toc482191413 \h </w:instrText>
            </w:r>
            <w:r w:rsidR="00CA0B25">
              <w:rPr>
                <w:noProof/>
                <w:webHidden/>
              </w:rPr>
            </w:r>
            <w:r w:rsidR="00CA0B25">
              <w:rPr>
                <w:noProof/>
                <w:webHidden/>
              </w:rPr>
              <w:fldChar w:fldCharType="separate"/>
            </w:r>
            <w:r w:rsidR="002D39EE">
              <w:rPr>
                <w:noProof/>
                <w:webHidden/>
              </w:rPr>
              <w:t>29</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14" w:history="1">
            <w:r w:rsidR="00CA0B25" w:rsidRPr="00445E0F">
              <w:rPr>
                <w:rStyle w:val="Hyperlink"/>
                <w:noProof/>
              </w:rPr>
              <w:t>Response from sponsor</w:t>
            </w:r>
            <w:r w:rsidR="00CA0B25">
              <w:rPr>
                <w:noProof/>
                <w:webHidden/>
              </w:rPr>
              <w:tab/>
            </w:r>
            <w:r w:rsidR="00CA0B25">
              <w:rPr>
                <w:noProof/>
                <w:webHidden/>
              </w:rPr>
              <w:fldChar w:fldCharType="begin"/>
            </w:r>
            <w:r w:rsidR="00CA0B25">
              <w:rPr>
                <w:noProof/>
                <w:webHidden/>
              </w:rPr>
              <w:instrText xml:space="preserve"> PAGEREF _Toc482191414 \h </w:instrText>
            </w:r>
            <w:r w:rsidR="00CA0B25">
              <w:rPr>
                <w:noProof/>
                <w:webHidden/>
              </w:rPr>
            </w:r>
            <w:r w:rsidR="00CA0B25">
              <w:rPr>
                <w:noProof/>
                <w:webHidden/>
              </w:rPr>
              <w:fldChar w:fldCharType="separate"/>
            </w:r>
            <w:r w:rsidR="002D39EE">
              <w:rPr>
                <w:noProof/>
                <w:webHidden/>
              </w:rPr>
              <w:t>35</w:t>
            </w:r>
            <w:r w:rsidR="00CA0B25">
              <w:rPr>
                <w:noProof/>
                <w:webHidden/>
              </w:rPr>
              <w:fldChar w:fldCharType="end"/>
            </w:r>
          </w:hyperlink>
        </w:p>
        <w:p w:rsidR="00CA0B25" w:rsidRDefault="005D2F1A">
          <w:pPr>
            <w:pStyle w:val="TOC3"/>
            <w:rPr>
              <w:rFonts w:asciiTheme="minorHAnsi" w:eastAsiaTheme="minorEastAsia" w:hAnsiTheme="minorHAnsi" w:cstheme="minorBidi"/>
              <w:noProof/>
              <w:lang w:eastAsia="en-AU"/>
            </w:rPr>
          </w:pPr>
          <w:hyperlink w:anchor="_Toc482191415" w:history="1">
            <w:r w:rsidR="00CA0B25" w:rsidRPr="00445E0F">
              <w:rPr>
                <w:rStyle w:val="Hyperlink"/>
                <w:noProof/>
              </w:rPr>
              <w:t>Outcome</w:t>
            </w:r>
            <w:r w:rsidR="00CA0B25">
              <w:rPr>
                <w:noProof/>
                <w:webHidden/>
              </w:rPr>
              <w:tab/>
            </w:r>
            <w:r w:rsidR="00CA0B25">
              <w:rPr>
                <w:noProof/>
                <w:webHidden/>
              </w:rPr>
              <w:fldChar w:fldCharType="begin"/>
            </w:r>
            <w:r w:rsidR="00CA0B25">
              <w:rPr>
                <w:noProof/>
                <w:webHidden/>
              </w:rPr>
              <w:instrText xml:space="preserve"> PAGEREF _Toc482191415 \h </w:instrText>
            </w:r>
            <w:r w:rsidR="00CA0B25">
              <w:rPr>
                <w:noProof/>
                <w:webHidden/>
              </w:rPr>
            </w:r>
            <w:r w:rsidR="00CA0B25">
              <w:rPr>
                <w:noProof/>
                <w:webHidden/>
              </w:rPr>
              <w:fldChar w:fldCharType="separate"/>
            </w:r>
            <w:r w:rsidR="002D39EE">
              <w:rPr>
                <w:noProof/>
                <w:webHidden/>
              </w:rPr>
              <w:t>48</w:t>
            </w:r>
            <w:r w:rsidR="00CA0B25">
              <w:rPr>
                <w:noProof/>
                <w:webHidden/>
              </w:rPr>
              <w:fldChar w:fldCharType="end"/>
            </w:r>
          </w:hyperlink>
        </w:p>
        <w:p w:rsidR="00CA0B25" w:rsidRDefault="005D2F1A">
          <w:pPr>
            <w:pStyle w:val="TOC2"/>
            <w:rPr>
              <w:rFonts w:asciiTheme="minorHAnsi" w:eastAsiaTheme="minorEastAsia" w:hAnsiTheme="minorHAnsi" w:cstheme="minorBidi"/>
              <w:b w:val="0"/>
              <w:noProof/>
              <w:sz w:val="22"/>
              <w:lang w:eastAsia="en-AU"/>
            </w:rPr>
          </w:pPr>
          <w:hyperlink w:anchor="_Toc482191416" w:history="1">
            <w:r w:rsidR="00CA0B25" w:rsidRPr="00445E0F">
              <w:rPr>
                <w:rStyle w:val="Hyperlink"/>
                <w:noProof/>
              </w:rPr>
              <w:t>Attachment 1. Product Information</w:t>
            </w:r>
            <w:r w:rsidR="00CA0B25">
              <w:rPr>
                <w:noProof/>
                <w:webHidden/>
              </w:rPr>
              <w:tab/>
            </w:r>
            <w:r w:rsidR="00CA0B25">
              <w:rPr>
                <w:noProof/>
                <w:webHidden/>
              </w:rPr>
              <w:fldChar w:fldCharType="begin"/>
            </w:r>
            <w:r w:rsidR="00CA0B25">
              <w:rPr>
                <w:noProof/>
                <w:webHidden/>
              </w:rPr>
              <w:instrText xml:space="preserve"> PAGEREF _Toc482191416 \h </w:instrText>
            </w:r>
            <w:r w:rsidR="00CA0B25">
              <w:rPr>
                <w:noProof/>
                <w:webHidden/>
              </w:rPr>
            </w:r>
            <w:r w:rsidR="00CA0B25">
              <w:rPr>
                <w:noProof/>
                <w:webHidden/>
              </w:rPr>
              <w:fldChar w:fldCharType="separate"/>
            </w:r>
            <w:r w:rsidR="002D39EE">
              <w:rPr>
                <w:noProof/>
                <w:webHidden/>
              </w:rPr>
              <w:t>49</w:t>
            </w:r>
            <w:r w:rsidR="00CA0B25">
              <w:rPr>
                <w:noProof/>
                <w:webHidden/>
              </w:rPr>
              <w:fldChar w:fldCharType="end"/>
            </w:r>
          </w:hyperlink>
        </w:p>
        <w:p w:rsidR="00CA0B25" w:rsidRDefault="005D2F1A">
          <w:pPr>
            <w:pStyle w:val="TOC2"/>
            <w:rPr>
              <w:rFonts w:asciiTheme="minorHAnsi" w:eastAsiaTheme="minorEastAsia" w:hAnsiTheme="minorHAnsi" w:cstheme="minorBidi"/>
              <w:b w:val="0"/>
              <w:noProof/>
              <w:sz w:val="22"/>
              <w:lang w:eastAsia="en-AU"/>
            </w:rPr>
          </w:pPr>
          <w:hyperlink w:anchor="_Toc482191417" w:history="1">
            <w:r w:rsidR="00CA0B25" w:rsidRPr="00445E0F">
              <w:rPr>
                <w:rStyle w:val="Hyperlink"/>
                <w:noProof/>
                <w:lang w:eastAsia="en-AU"/>
              </w:rPr>
              <w:t>Attachment 2. Extract from the Clinical Evaluation Report</w:t>
            </w:r>
            <w:r w:rsidR="00CA0B25">
              <w:rPr>
                <w:noProof/>
                <w:webHidden/>
              </w:rPr>
              <w:tab/>
            </w:r>
            <w:r w:rsidR="00CA0B25">
              <w:rPr>
                <w:noProof/>
                <w:webHidden/>
              </w:rPr>
              <w:fldChar w:fldCharType="begin"/>
            </w:r>
            <w:r w:rsidR="00CA0B25">
              <w:rPr>
                <w:noProof/>
                <w:webHidden/>
              </w:rPr>
              <w:instrText xml:space="preserve"> PAGEREF _Toc482191417 \h </w:instrText>
            </w:r>
            <w:r w:rsidR="00CA0B25">
              <w:rPr>
                <w:noProof/>
                <w:webHidden/>
              </w:rPr>
            </w:r>
            <w:r w:rsidR="00CA0B25">
              <w:rPr>
                <w:noProof/>
                <w:webHidden/>
              </w:rPr>
              <w:fldChar w:fldCharType="separate"/>
            </w:r>
            <w:r w:rsidR="002D39EE">
              <w:rPr>
                <w:noProof/>
                <w:webHidden/>
              </w:rPr>
              <w:t>49</w:t>
            </w:r>
            <w:r w:rsidR="00CA0B25">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82191386"/>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D119B" w:rsidRPr="00FD119B" w:rsidTr="003C6DF6">
        <w:trPr>
          <w:cnfStyle w:val="100000000000" w:firstRow="1" w:lastRow="0" w:firstColumn="0" w:lastColumn="0" w:oddVBand="0" w:evenVBand="0" w:oddHBand="0" w:evenHBand="0" w:firstRowFirstColumn="0" w:firstRowLastColumn="0" w:lastRowFirstColumn="0" w:lastRowLastColumn="0"/>
        </w:trPr>
        <w:tc>
          <w:tcPr>
            <w:tcW w:w="1890" w:type="dxa"/>
          </w:tcPr>
          <w:p w:rsidR="00FD119B" w:rsidRPr="00FD119B" w:rsidRDefault="00FD119B" w:rsidP="00FD119B">
            <w:r w:rsidRPr="00FD119B">
              <w:t>Abbreviation</w:t>
            </w:r>
          </w:p>
        </w:tc>
        <w:tc>
          <w:tcPr>
            <w:tcW w:w="6830" w:type="dxa"/>
          </w:tcPr>
          <w:p w:rsidR="00FD119B" w:rsidRPr="00FD119B" w:rsidRDefault="00FD119B" w:rsidP="00FD119B">
            <w:r w:rsidRPr="00FD119B">
              <w:t>Meaning</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ACPM</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Advisory Committee on Prescription Medicines</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AEs</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Adverse events</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ATEs</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Arterial thromboembolic events</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BPI</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Brief Pain Inventory</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proofErr w:type="spellStart"/>
            <w:r w:rsidRPr="00417613">
              <w:rPr>
                <w:rFonts w:eastAsia="Times New Roman"/>
                <w:kern w:val="16"/>
                <w:szCs w:val="24"/>
              </w:rPr>
              <w:t>Bv</w:t>
            </w:r>
            <w:proofErr w:type="spellEnd"/>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Bevacizumab</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CHF</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Congestive heart failure</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CI</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Confidence interval</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Cis</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Cisplatin</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CMI</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Consumer medicines information</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CRC</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Colorectal cancer</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CSR</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Clinical study report</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FACT-</w:t>
            </w:r>
            <w:proofErr w:type="spellStart"/>
            <w:r w:rsidRPr="00417613">
              <w:rPr>
                <w:rFonts w:eastAsia="Times New Roman"/>
                <w:kern w:val="16"/>
                <w:szCs w:val="24"/>
              </w:rPr>
              <w:t>Cx</w:t>
            </w:r>
            <w:proofErr w:type="spellEnd"/>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Functional Assessment of Cancer Therapy – Cervix</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FACT-</w:t>
            </w:r>
            <w:proofErr w:type="spellStart"/>
            <w:r w:rsidRPr="00417613">
              <w:rPr>
                <w:rFonts w:eastAsia="Times New Roman"/>
                <w:kern w:val="16"/>
                <w:szCs w:val="24"/>
              </w:rPr>
              <w:t>Ntx</w:t>
            </w:r>
            <w:proofErr w:type="spellEnd"/>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Functional Assessment of Cancer Therapy – Neurotoxicity</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GI</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Gastrointestinal</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GOG</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Gynaecologic Oncology Group</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HPV</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Human papillomavirus</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HR</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Hazard ratio</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IV</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Intravenous</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proofErr w:type="spellStart"/>
            <w:r w:rsidRPr="00417613">
              <w:rPr>
                <w:rFonts w:eastAsia="Times New Roman"/>
                <w:kern w:val="16"/>
                <w:szCs w:val="24"/>
              </w:rPr>
              <w:t>MedDRA</w:t>
            </w:r>
            <w:proofErr w:type="spellEnd"/>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Medical Dictionary for Regulatory Activities</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NSCLC</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Non-small cell lung cancer</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ORR</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Objective response rate</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OS</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Overall survival</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Pac</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Paclitaxel</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PFS</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Progression-free survival</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PI</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Product information</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PK</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Pharmacokinetics</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SAEs</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Serious adverse events</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Top</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Topotecan</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VEGF</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Vascular endothelial growth factor</w:t>
            </w:r>
          </w:p>
        </w:tc>
      </w:tr>
      <w:tr w:rsidR="00FC293A" w:rsidRPr="00FD119B" w:rsidTr="003C6DF6">
        <w:tc>
          <w:tcPr>
            <w:tcW w:w="189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VTEs</w:t>
            </w:r>
          </w:p>
        </w:tc>
        <w:tc>
          <w:tcPr>
            <w:tcW w:w="6830" w:type="dxa"/>
            <w:vAlign w:val="center"/>
          </w:tcPr>
          <w:p w:rsidR="00FC293A" w:rsidRPr="00417613" w:rsidRDefault="00FC293A" w:rsidP="00FC293A">
            <w:pPr>
              <w:spacing w:before="20"/>
              <w:rPr>
                <w:rFonts w:eastAsia="Times New Roman"/>
                <w:kern w:val="16"/>
                <w:szCs w:val="24"/>
              </w:rPr>
            </w:pPr>
            <w:r w:rsidRPr="00417613">
              <w:rPr>
                <w:rFonts w:eastAsia="Times New Roman"/>
                <w:kern w:val="16"/>
                <w:szCs w:val="24"/>
              </w:rPr>
              <w:t>Venous thromboembolic events</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82191387"/>
      <w:r>
        <w:lastRenderedPageBreak/>
        <w:t>I.</w:t>
      </w:r>
      <w:r w:rsidR="008E7846">
        <w:t xml:space="preserve"> Introduction to product submission</w:t>
      </w:r>
      <w:bookmarkEnd w:id="9"/>
      <w:bookmarkEnd w:id="1"/>
      <w:bookmarkEnd w:id="3"/>
    </w:p>
    <w:p w:rsidR="008E7846" w:rsidRDefault="008E7846" w:rsidP="008E7846">
      <w:pPr>
        <w:pStyle w:val="Heading3"/>
        <w:rPr>
          <w:lang w:eastAsia="en-AU"/>
        </w:rPr>
      </w:pPr>
      <w:bookmarkStart w:id="10" w:name="_Toc247691502"/>
      <w:bookmarkStart w:id="11" w:name="_Toc314842483"/>
      <w:bookmarkStart w:id="12" w:name="_Toc482191388"/>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8054ED">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46D78" w:rsidP="00846D78">
            <w:r>
              <w:t>M</w:t>
            </w:r>
            <w:r w:rsidR="008E7846" w:rsidRPr="003D1E62">
              <w:t xml:space="preserve">ajor </w:t>
            </w:r>
            <w:r w:rsidR="001B5C90">
              <w:t>v</w:t>
            </w:r>
            <w:r w:rsidR="008E7846" w:rsidRPr="003D1E62">
              <w:t>ariation (</w:t>
            </w:r>
            <w:r w:rsidR="001B5C90">
              <w:t>n</w:t>
            </w:r>
            <w:r w:rsidR="008E7846" w:rsidRPr="003D1E62">
              <w:t xml:space="preserve">ew </w:t>
            </w:r>
            <w:r>
              <w:t>indication</w:t>
            </w:r>
            <w:r w:rsidR="008E7846" w:rsidRPr="003D1E62">
              <w:t>)</w:t>
            </w:r>
          </w:p>
        </w:tc>
      </w:tr>
      <w:tr w:rsidR="008E7846" w:rsidRPr="003D1E62" w:rsidTr="008054ED">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846D78">
            <w:r w:rsidRPr="003D1E62">
              <w:t>Approved</w:t>
            </w:r>
          </w:p>
        </w:tc>
      </w:tr>
      <w:tr w:rsidR="008E7846" w:rsidRPr="003D1E62" w:rsidTr="008054ED">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02151E" w:rsidP="001B5C90">
            <w:r>
              <w:t>16 July 2015</w:t>
            </w:r>
          </w:p>
        </w:tc>
      </w:tr>
      <w:tr w:rsidR="00ED2922" w:rsidRPr="003D1E62" w:rsidTr="008054ED">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846D78" w:rsidP="00846D78">
            <w:pPr>
              <w:rPr>
                <w:i/>
              </w:rPr>
            </w:pPr>
            <w:r>
              <w:t>23 July 2015</w:t>
            </w:r>
          </w:p>
        </w:tc>
      </w:tr>
      <w:tr w:rsidR="008E7846" w:rsidRPr="00487162" w:rsidTr="008054ED">
        <w:trPr>
          <w:gridAfter w:val="1"/>
          <w:wAfter w:w="283" w:type="dxa"/>
        </w:trPr>
        <w:tc>
          <w:tcPr>
            <w:tcW w:w="2907" w:type="dxa"/>
          </w:tcPr>
          <w:p w:rsidR="008E7846" w:rsidRPr="00487162" w:rsidRDefault="001B5C90" w:rsidP="00E45619">
            <w:pPr>
              <w:rPr>
                <w:i/>
              </w:rPr>
            </w:pPr>
            <w:r>
              <w:rPr>
                <w:i/>
              </w:rPr>
              <w:t>Active ingredient(s):</w:t>
            </w:r>
          </w:p>
        </w:tc>
        <w:tc>
          <w:tcPr>
            <w:tcW w:w="6307" w:type="dxa"/>
          </w:tcPr>
          <w:p w:rsidR="008E7846" w:rsidRPr="00487162" w:rsidRDefault="00FC293A" w:rsidP="00E45619">
            <w:proofErr w:type="spellStart"/>
            <w:r>
              <w:t>B</w:t>
            </w:r>
            <w:r w:rsidR="00846D78">
              <w:t>evacizumab</w:t>
            </w:r>
            <w:proofErr w:type="spellEnd"/>
            <w:r>
              <w:t xml:space="preserve"> (</w:t>
            </w:r>
            <w:proofErr w:type="spellStart"/>
            <w:r>
              <w:t>rch</w:t>
            </w:r>
            <w:proofErr w:type="spellEnd"/>
            <w:r>
              <w:t>)</w:t>
            </w:r>
          </w:p>
        </w:tc>
      </w:tr>
      <w:tr w:rsidR="008E7846" w:rsidRPr="00487162" w:rsidTr="008054ED">
        <w:trPr>
          <w:gridAfter w:val="1"/>
          <w:wAfter w:w="283" w:type="dxa"/>
        </w:trPr>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846D78" w:rsidP="00E45619">
            <w:r>
              <w:t>Avastin</w:t>
            </w:r>
          </w:p>
        </w:tc>
      </w:tr>
      <w:tr w:rsidR="008E7846" w:rsidRPr="00487162" w:rsidTr="008054ED">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46D78" w:rsidRPr="00487162" w:rsidRDefault="00846D78" w:rsidP="00E45619">
            <w:r>
              <w:t>Roche Products Pty Ltd</w:t>
            </w:r>
            <w:r w:rsidR="003B5618">
              <w:br/>
              <w:t>PO Box 255</w:t>
            </w:r>
            <w:r w:rsidR="003B5618">
              <w:br/>
              <w:t xml:space="preserve">4-10 </w:t>
            </w:r>
            <w:proofErr w:type="spellStart"/>
            <w:r w:rsidR="003B5618">
              <w:t>Innman</w:t>
            </w:r>
            <w:proofErr w:type="spellEnd"/>
            <w:r w:rsidR="003B5618">
              <w:t xml:space="preserve"> Road </w:t>
            </w:r>
            <w:r w:rsidR="003B5618">
              <w:br/>
              <w:t>Dee Why NSW 2099</w:t>
            </w:r>
          </w:p>
        </w:tc>
      </w:tr>
      <w:tr w:rsidR="008E7846" w:rsidRPr="00487162" w:rsidTr="008054ED">
        <w:trPr>
          <w:gridAfter w:val="1"/>
          <w:wAfter w:w="283" w:type="dxa"/>
        </w:trPr>
        <w:tc>
          <w:tcPr>
            <w:tcW w:w="2907" w:type="dxa"/>
          </w:tcPr>
          <w:p w:rsidR="008E7846" w:rsidRPr="00487162" w:rsidRDefault="00846D78" w:rsidP="00E45619">
            <w:pPr>
              <w:rPr>
                <w:i/>
              </w:rPr>
            </w:pPr>
            <w:r>
              <w:rPr>
                <w:i/>
              </w:rPr>
              <w:t>Dose form</w:t>
            </w:r>
            <w:r w:rsidR="001B5C90">
              <w:rPr>
                <w:i/>
              </w:rPr>
              <w:t>:</w:t>
            </w:r>
          </w:p>
        </w:tc>
        <w:tc>
          <w:tcPr>
            <w:tcW w:w="6307" w:type="dxa"/>
          </w:tcPr>
          <w:p w:rsidR="008E7846" w:rsidRPr="00487162" w:rsidRDefault="00846D78" w:rsidP="00E45619">
            <w:r>
              <w:t>Injection, concentrated</w:t>
            </w:r>
          </w:p>
        </w:tc>
      </w:tr>
      <w:tr w:rsidR="008E7846" w:rsidRPr="00487162" w:rsidTr="008054ED">
        <w:trPr>
          <w:gridAfter w:val="1"/>
          <w:wAfter w:w="283" w:type="dxa"/>
        </w:trPr>
        <w:tc>
          <w:tcPr>
            <w:tcW w:w="2907" w:type="dxa"/>
          </w:tcPr>
          <w:p w:rsidR="008E7846" w:rsidRPr="00487162" w:rsidRDefault="00846D78" w:rsidP="00E45619">
            <w:pPr>
              <w:rPr>
                <w:i/>
              </w:rPr>
            </w:pPr>
            <w:r>
              <w:rPr>
                <w:i/>
              </w:rPr>
              <w:t>Strengths</w:t>
            </w:r>
            <w:r w:rsidR="008E7846" w:rsidRPr="00487162">
              <w:rPr>
                <w:i/>
              </w:rPr>
              <w:t xml:space="preserve">: </w:t>
            </w:r>
          </w:p>
        </w:tc>
        <w:tc>
          <w:tcPr>
            <w:tcW w:w="6307" w:type="dxa"/>
          </w:tcPr>
          <w:p w:rsidR="008E7846" w:rsidRPr="00487162" w:rsidRDefault="00846D78" w:rsidP="00846D78">
            <w:r>
              <w:t>100 mg/ 4 mL</w:t>
            </w:r>
            <w:r w:rsidR="008E7846" w:rsidRPr="00487162">
              <w:t xml:space="preserve"> and </w:t>
            </w:r>
            <w:r>
              <w:t>400 mg/ 16 mL</w:t>
            </w:r>
          </w:p>
        </w:tc>
      </w:tr>
      <w:tr w:rsidR="008E7846" w:rsidRPr="00487162" w:rsidTr="008054ED">
        <w:trPr>
          <w:gridAfter w:val="1"/>
          <w:wAfter w:w="283" w:type="dxa"/>
        </w:trPr>
        <w:tc>
          <w:tcPr>
            <w:tcW w:w="2907" w:type="dxa"/>
          </w:tcPr>
          <w:p w:rsidR="008E7846" w:rsidRPr="00487162" w:rsidRDefault="00846D78" w:rsidP="00E45619">
            <w:pPr>
              <w:rPr>
                <w:i/>
              </w:rPr>
            </w:pPr>
            <w:r>
              <w:rPr>
                <w:i/>
              </w:rPr>
              <w:t>Container</w:t>
            </w:r>
            <w:r w:rsidR="008E7846" w:rsidRPr="00487162">
              <w:rPr>
                <w:i/>
              </w:rPr>
              <w:t>:</w:t>
            </w:r>
          </w:p>
        </w:tc>
        <w:tc>
          <w:tcPr>
            <w:tcW w:w="6307" w:type="dxa"/>
          </w:tcPr>
          <w:p w:rsidR="008E7846" w:rsidRPr="00487162" w:rsidRDefault="00846D78" w:rsidP="00E45619">
            <w:r>
              <w:t>vial</w:t>
            </w:r>
          </w:p>
        </w:tc>
      </w:tr>
      <w:tr w:rsidR="008E7846" w:rsidRPr="00487162" w:rsidTr="008054ED">
        <w:trPr>
          <w:gridAfter w:val="1"/>
          <w:wAfter w:w="283" w:type="dxa"/>
        </w:trPr>
        <w:tc>
          <w:tcPr>
            <w:tcW w:w="2907" w:type="dxa"/>
          </w:tcPr>
          <w:p w:rsidR="008E7846" w:rsidRPr="00487162" w:rsidRDefault="00846D78" w:rsidP="00E45619">
            <w:pPr>
              <w:rPr>
                <w:i/>
              </w:rPr>
            </w:pPr>
            <w:r>
              <w:rPr>
                <w:i/>
              </w:rPr>
              <w:t>Pack size</w:t>
            </w:r>
            <w:r w:rsidR="008E7846" w:rsidRPr="00487162">
              <w:rPr>
                <w:i/>
              </w:rPr>
              <w:t>:</w:t>
            </w:r>
          </w:p>
        </w:tc>
        <w:tc>
          <w:tcPr>
            <w:tcW w:w="6307" w:type="dxa"/>
          </w:tcPr>
          <w:p w:rsidR="008E7846" w:rsidRPr="00487162" w:rsidRDefault="00846D78" w:rsidP="00E45619">
            <w:r>
              <w:t>1 vial</w:t>
            </w:r>
          </w:p>
        </w:tc>
      </w:tr>
      <w:tr w:rsidR="008E7846" w:rsidRPr="00487162" w:rsidTr="008054ED">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3B5618" w:rsidRDefault="003B5618" w:rsidP="003B5618">
            <w:pPr>
              <w:rPr>
                <w:i/>
              </w:rPr>
            </w:pPr>
            <w:r w:rsidRPr="003B5618">
              <w:rPr>
                <w:i/>
              </w:rPr>
              <w:t>In combination with paclitaxel and cisplatin is indicated for the treatment of persistent, recurrent or metastatic carcinoma of the cervix. In combination with paclitaxel and topotecan is an acceptable alternative where cisplatin is not tolerated or not indicated.</w:t>
            </w:r>
          </w:p>
        </w:tc>
      </w:tr>
      <w:tr w:rsidR="008E7846" w:rsidRPr="00487162" w:rsidTr="008054ED">
        <w:trPr>
          <w:gridAfter w:val="1"/>
          <w:wAfter w:w="283" w:type="dxa"/>
        </w:trPr>
        <w:tc>
          <w:tcPr>
            <w:tcW w:w="2907" w:type="dxa"/>
          </w:tcPr>
          <w:p w:rsidR="008E7846" w:rsidRPr="00487162" w:rsidRDefault="00846D78" w:rsidP="00E45619">
            <w:pPr>
              <w:rPr>
                <w:i/>
              </w:rPr>
            </w:pPr>
            <w:r>
              <w:rPr>
                <w:i/>
              </w:rPr>
              <w:t>Route</w:t>
            </w:r>
            <w:r w:rsidR="008E7846" w:rsidRPr="00487162">
              <w:rPr>
                <w:i/>
              </w:rPr>
              <w:t xml:space="preserve"> of administration:</w:t>
            </w:r>
          </w:p>
        </w:tc>
        <w:tc>
          <w:tcPr>
            <w:tcW w:w="6307" w:type="dxa"/>
          </w:tcPr>
          <w:p w:rsidR="008E7846" w:rsidRPr="00487162" w:rsidRDefault="00846D78" w:rsidP="00E45619">
            <w:r>
              <w:t>intravenous</w:t>
            </w:r>
          </w:p>
        </w:tc>
      </w:tr>
      <w:tr w:rsidR="008E7846" w:rsidRPr="00487162" w:rsidTr="008054ED">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0E681B" w:rsidRPr="000E681B" w:rsidRDefault="000E681B" w:rsidP="000E681B">
            <w:r w:rsidRPr="000E681B">
              <w:t>AVASTIN is administered in combination with paclitaxel and cisplatin or, if cisplatin is not</w:t>
            </w:r>
            <w:r>
              <w:t xml:space="preserve"> </w:t>
            </w:r>
            <w:r w:rsidRPr="000E681B">
              <w:t xml:space="preserve">tolerated or not indicated, paclitaxel and topotecan (see </w:t>
            </w:r>
            <w:r>
              <w:t xml:space="preserve">the Product Information </w:t>
            </w:r>
            <w:r w:rsidRPr="000E681B">
              <w:t>for further details on the chemotherapy regimens).</w:t>
            </w:r>
          </w:p>
          <w:p w:rsidR="008E7846" w:rsidRPr="000E681B" w:rsidRDefault="003B5618" w:rsidP="000E681B">
            <w:r w:rsidRPr="000E681B">
              <w:t>The recomm</w:t>
            </w:r>
            <w:r w:rsidR="000E681B" w:rsidRPr="000E681B">
              <w:t>ended dose of AVASTIN is 15 mg/</w:t>
            </w:r>
            <w:r w:rsidRPr="000E681B">
              <w:t>kg of body weight given once every 3 weeks as</w:t>
            </w:r>
            <w:r w:rsidR="000E681B" w:rsidRPr="000E681B">
              <w:t xml:space="preserve"> </w:t>
            </w:r>
            <w:r w:rsidRPr="000E681B">
              <w:t xml:space="preserve">an </w:t>
            </w:r>
            <w:r w:rsidR="003C6DF6">
              <w:rPr>
                <w:rFonts w:eastAsia="Times New Roman"/>
                <w:kern w:val="16"/>
                <w:szCs w:val="24"/>
              </w:rPr>
              <w:t>intravenous</w:t>
            </w:r>
            <w:r w:rsidR="003C6DF6" w:rsidRPr="000E681B">
              <w:t xml:space="preserve"> </w:t>
            </w:r>
            <w:r w:rsidR="003C6DF6">
              <w:t>(</w:t>
            </w:r>
            <w:r w:rsidRPr="000E681B">
              <w:t>IV</w:t>
            </w:r>
            <w:r w:rsidR="003C6DF6">
              <w:t>)</w:t>
            </w:r>
            <w:r w:rsidRPr="000E681B">
              <w:t xml:space="preserve"> infusion.</w:t>
            </w:r>
          </w:p>
        </w:tc>
      </w:tr>
      <w:tr w:rsidR="008E7846" w:rsidRPr="00487162" w:rsidTr="008054ED">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0E681B">
              <w:rPr>
                <w:i/>
              </w:rPr>
              <w:t>umbers</w:t>
            </w:r>
            <w:r w:rsidR="001B5C90">
              <w:rPr>
                <w:i/>
              </w:rPr>
              <w:t>:</w:t>
            </w:r>
          </w:p>
        </w:tc>
        <w:tc>
          <w:tcPr>
            <w:tcW w:w="6307" w:type="dxa"/>
          </w:tcPr>
          <w:p w:rsidR="008E7846" w:rsidRPr="00487162" w:rsidRDefault="00846D78" w:rsidP="00E45619">
            <w:r>
              <w:t>99756 and 99757</w:t>
            </w:r>
          </w:p>
        </w:tc>
      </w:tr>
    </w:tbl>
    <w:p w:rsidR="008E7846" w:rsidRDefault="008E7846" w:rsidP="008E7846">
      <w:pPr>
        <w:pStyle w:val="Heading3"/>
      </w:pPr>
      <w:bookmarkStart w:id="13" w:name="_Toc247691503"/>
      <w:bookmarkStart w:id="14" w:name="_Toc314842484"/>
      <w:bookmarkStart w:id="15" w:name="_Toc482191389"/>
      <w:r>
        <w:t>Product background</w:t>
      </w:r>
      <w:bookmarkEnd w:id="13"/>
      <w:bookmarkEnd w:id="14"/>
      <w:bookmarkEnd w:id="15"/>
    </w:p>
    <w:p w:rsidR="00974670" w:rsidRDefault="00940A89" w:rsidP="00940A89">
      <w:r w:rsidRPr="00940A89">
        <w:t xml:space="preserve">This AusPAR describes the application by the sponsor to register </w:t>
      </w:r>
      <w:proofErr w:type="spellStart"/>
      <w:r w:rsidR="006A1F90">
        <w:t>Avastin</w:t>
      </w:r>
      <w:proofErr w:type="spellEnd"/>
      <w:r w:rsidR="006A1F90">
        <w:t xml:space="preserve"> </w:t>
      </w:r>
      <w:proofErr w:type="spellStart"/>
      <w:r w:rsidR="006A1F90">
        <w:t>bevacizumab</w:t>
      </w:r>
      <w:proofErr w:type="spellEnd"/>
      <w:r w:rsidR="006A1F90">
        <w:t> </w:t>
      </w:r>
      <w:r w:rsidR="00BE0622">
        <w:t>(</w:t>
      </w:r>
      <w:proofErr w:type="spellStart"/>
      <w:r w:rsidR="00BE0622">
        <w:t>rch</w:t>
      </w:r>
      <w:proofErr w:type="spellEnd"/>
      <w:r w:rsidR="00BE0622">
        <w:t>)</w:t>
      </w:r>
      <w:r w:rsidRPr="00940A89">
        <w:t xml:space="preserve"> for the follo</w:t>
      </w:r>
      <w:r w:rsidR="00974670">
        <w:t>wing indication:</w:t>
      </w:r>
    </w:p>
    <w:p w:rsidR="008E7846" w:rsidRPr="00974670" w:rsidRDefault="00974670" w:rsidP="00974670">
      <w:pPr>
        <w:ind w:left="720"/>
        <w:rPr>
          <w:i/>
        </w:rPr>
      </w:pPr>
      <w:r w:rsidRPr="00974670">
        <w:rPr>
          <w:i/>
        </w:rPr>
        <w:t>AVASTIN (bevacizumab) in combination with paclitaxel and cisplatin or paclitaxel and topotecan is indicated for the treatment of persistent, recurrent or Stage IV carcinoma of the cervix.</w:t>
      </w:r>
    </w:p>
    <w:p w:rsidR="002C2661" w:rsidRPr="002C2661" w:rsidRDefault="002C2661" w:rsidP="002C2661">
      <w:r w:rsidRPr="002C2661">
        <w:lastRenderedPageBreak/>
        <w:t>In Australia cervical cancer is the twelfth most common cancer affecting women (excluding basal and squamous cell carcinoma of the skin), with 7 new cases diagnosed per 100,000 women in 2009. It is also the 19th most common cause of cancer-related death, with 2 deaths per 100,000 women in 2010.</w:t>
      </w:r>
    </w:p>
    <w:p w:rsidR="002C2661" w:rsidRDefault="002C2661" w:rsidP="00F90962">
      <w:r w:rsidRPr="002C2661">
        <w:t>The mainstay of primary treatment for advanced cervical cancer disease (stage II−IV) is combination radiation therapy and radiation sensitising platinum based chemotherapy. Up to 50% of patients with advanced disease will have a recurrence, which is generally considered incurable particularly if distant metastases have developed, and chemotherapy is usually recommended for these patients.</w:t>
      </w:r>
    </w:p>
    <w:p w:rsidR="00F90962" w:rsidRDefault="005C412B" w:rsidP="00F90962">
      <w:r w:rsidRPr="005C412B">
        <w:t>The current standard of care for patients with metastatic cervical cancer has evolved from single-agent chemotherapy regimens to doublet regimens (either platinum- or non-platinum based), the latter demonstrating efficacy and quality of life benefits.</w:t>
      </w:r>
      <w:r w:rsidR="00F90962">
        <w:t xml:space="preserve"> </w:t>
      </w:r>
      <w:r w:rsidR="00F90962" w:rsidRPr="005C412B">
        <w:t xml:space="preserve">The addition of </w:t>
      </w:r>
      <w:proofErr w:type="spellStart"/>
      <w:r w:rsidR="00F90962" w:rsidRPr="005C412B">
        <w:t>bevacizumab</w:t>
      </w:r>
      <w:proofErr w:type="spellEnd"/>
      <w:r w:rsidR="003C6DF6">
        <w:t xml:space="preserve"> (</w:t>
      </w:r>
      <w:proofErr w:type="spellStart"/>
      <w:r w:rsidR="003C6DF6">
        <w:t>Bv</w:t>
      </w:r>
      <w:proofErr w:type="spellEnd"/>
      <w:r w:rsidR="003C6DF6">
        <w:t>)</w:t>
      </w:r>
      <w:r w:rsidR="00F90962" w:rsidRPr="005C412B">
        <w:t xml:space="preserve"> to doublet regimens of chemotherapy is presented in this </w:t>
      </w:r>
      <w:r w:rsidR="00F90962">
        <w:t>submission</w:t>
      </w:r>
      <w:r w:rsidR="00F90962" w:rsidRPr="005C412B">
        <w:t>.</w:t>
      </w:r>
    </w:p>
    <w:p w:rsidR="00F90962" w:rsidRPr="00F90962" w:rsidRDefault="00F90962" w:rsidP="00F90962">
      <w:r w:rsidRPr="00F90962">
        <w:t>Staging of cervical carcinoma pertinent to the current submission:</w:t>
      </w:r>
    </w:p>
    <w:p w:rsidR="00F90962" w:rsidRPr="00F90962" w:rsidRDefault="00F90962" w:rsidP="00F90962">
      <w:pPr>
        <w:pStyle w:val="ListBullet"/>
      </w:pPr>
      <w:r w:rsidRPr="00F90962">
        <w:t xml:space="preserve">Stage IVA (T4, N0, </w:t>
      </w:r>
      <w:proofErr w:type="gramStart"/>
      <w:r w:rsidRPr="00F90962">
        <w:t>M0</w:t>
      </w:r>
      <w:proofErr w:type="gramEnd"/>
      <w:r w:rsidRPr="00F90962">
        <w:t>): The cancer has spread to the bladder or rectum, which are organs close to the cervix (T4). It has not spread to nearby lymph nodes (N0) or distant sites (M0).</w:t>
      </w:r>
    </w:p>
    <w:p w:rsidR="00F90962" w:rsidRPr="00F90962" w:rsidRDefault="00F90962" w:rsidP="00F90962">
      <w:pPr>
        <w:pStyle w:val="ListBullet"/>
      </w:pPr>
      <w:r w:rsidRPr="00F90962">
        <w:t xml:space="preserve">Stage IVB (any T, any N, </w:t>
      </w:r>
      <w:proofErr w:type="gramStart"/>
      <w:r w:rsidRPr="00F90962">
        <w:t>M1</w:t>
      </w:r>
      <w:proofErr w:type="gramEnd"/>
      <w:r w:rsidRPr="00F90962">
        <w:t>): The cancer has spread to distant organs beyond the pelvic area, such as the lungs or liver.</w:t>
      </w:r>
    </w:p>
    <w:p w:rsidR="002C2661" w:rsidRDefault="002C2661" w:rsidP="002C2661">
      <w:r w:rsidRPr="002C2661">
        <w:t>The prognosis for women with persistent, recurrent, or metastatic cervical cancer remains poor with median duration of ov</w:t>
      </w:r>
      <w:r>
        <w:t>erall survival of ≤ 12 months.</w:t>
      </w:r>
    </w:p>
    <w:p w:rsidR="002C2661" w:rsidRPr="002C2661" w:rsidRDefault="002C2661" w:rsidP="002C2661">
      <w:r>
        <w:t>Bevacizumab is an antineoplastic agent, comprising a recombinant humanised monoclonal antibody that selectively binds to and neutralises the biologic activity of human vascular endothelial growth factor (VEGF). VEGF inhibition reduces the vascularisation of tumours, thereby inhibiting tumour growth.</w:t>
      </w:r>
    </w:p>
    <w:p w:rsidR="002C2661" w:rsidRPr="002C2661" w:rsidRDefault="002C2661" w:rsidP="002C2661">
      <w:r w:rsidRPr="002C2661">
        <w:t xml:space="preserve">The rationale for bevacizumab use is that angiogenesis plays an important role in locally advanced cervical cancer via an increase in VEGF. The evidence was also reported to suggest that combining an anti-angiogenic agent with either cytotoxic chemotherapy or radiation enhances anti-tumour activity. Additionally, nonclinical data have shown that bevacizumab may normalize tumour vasculature, thereby relieving tumour hypoxia and promoting drug delivery, which may account for an additive treatment effect. </w:t>
      </w:r>
      <w:r>
        <w:t>T</w:t>
      </w:r>
      <w:r w:rsidRPr="002C2661">
        <w:t>herapeutic strategies incorporating the anti-VEGF antibody bevacizumab may be effective.</w:t>
      </w:r>
    </w:p>
    <w:p w:rsidR="008E7846" w:rsidRPr="003F31A2" w:rsidRDefault="00386150" w:rsidP="008E7846">
      <w:pPr>
        <w:pStyle w:val="Heading3"/>
      </w:pPr>
      <w:bookmarkStart w:id="16" w:name="_Toc314842485"/>
      <w:bookmarkStart w:id="17" w:name="_Toc247691504"/>
      <w:bookmarkStart w:id="18" w:name="_Toc482191390"/>
      <w:r>
        <w:t>Regulatory s</w:t>
      </w:r>
      <w:r w:rsidR="008E7846">
        <w:t>tatus</w:t>
      </w:r>
      <w:bookmarkEnd w:id="16"/>
      <w:bookmarkEnd w:id="17"/>
      <w:bookmarkEnd w:id="18"/>
    </w:p>
    <w:p w:rsidR="00940A89" w:rsidRDefault="00940A89" w:rsidP="00940A89">
      <w:bookmarkStart w:id="19" w:name="_Toc247691505"/>
      <w:bookmarkStart w:id="20" w:name="_Toc314842486"/>
      <w:r w:rsidRPr="00940A89">
        <w:t>The product received initial registration on the Australian Register of Therapeutic Goods (ARTG) on</w:t>
      </w:r>
      <w:r w:rsidR="005C412B">
        <w:t xml:space="preserve"> 24 February 2005.</w:t>
      </w:r>
    </w:p>
    <w:p w:rsidR="005C412B" w:rsidRPr="00974670" w:rsidRDefault="005C412B" w:rsidP="005C412B">
      <w:r>
        <w:t xml:space="preserve">At the time of this submission </w:t>
      </w:r>
      <w:proofErr w:type="spellStart"/>
      <w:r>
        <w:t>b</w:t>
      </w:r>
      <w:r w:rsidRPr="00974670">
        <w:t>evacizumab</w:t>
      </w:r>
      <w:proofErr w:type="spellEnd"/>
      <w:r w:rsidR="002C2661">
        <w:t xml:space="preserve"> </w:t>
      </w:r>
      <w:r>
        <w:t>(</w:t>
      </w:r>
      <w:proofErr w:type="spellStart"/>
      <w:r>
        <w:t>rch</w:t>
      </w:r>
      <w:proofErr w:type="spellEnd"/>
      <w:r>
        <w:t>) had</w:t>
      </w:r>
      <w:r w:rsidRPr="00974670">
        <w:t xml:space="preserve"> been approved in Australia for the indications:</w:t>
      </w:r>
    </w:p>
    <w:p w:rsidR="005C412B" w:rsidRPr="005C412B" w:rsidRDefault="005C412B" w:rsidP="005C412B">
      <w:pPr>
        <w:ind w:left="720"/>
        <w:rPr>
          <w:b/>
          <w:i/>
        </w:rPr>
      </w:pPr>
      <w:r w:rsidRPr="005C412B">
        <w:rPr>
          <w:b/>
          <w:i/>
        </w:rPr>
        <w:t>Metastatic colorectal cancer (CRC)</w:t>
      </w:r>
    </w:p>
    <w:p w:rsidR="005C412B" w:rsidRPr="005C412B" w:rsidRDefault="005C412B" w:rsidP="005C412B">
      <w:pPr>
        <w:ind w:left="720"/>
        <w:rPr>
          <w:i/>
        </w:rPr>
      </w:pPr>
      <w:proofErr w:type="spellStart"/>
      <w:r w:rsidRPr="005C412B">
        <w:rPr>
          <w:i/>
        </w:rPr>
        <w:t>Avastin</w:t>
      </w:r>
      <w:proofErr w:type="spellEnd"/>
      <w:r w:rsidRPr="005C412B">
        <w:rPr>
          <w:i/>
        </w:rPr>
        <w:t xml:space="preserve"> </w:t>
      </w:r>
      <w:proofErr w:type="spellStart"/>
      <w:r w:rsidRPr="005C412B">
        <w:rPr>
          <w:i/>
        </w:rPr>
        <w:t>bevacizumab</w:t>
      </w:r>
      <w:proofErr w:type="spellEnd"/>
      <w:r w:rsidRPr="005C412B">
        <w:rPr>
          <w:i/>
        </w:rPr>
        <w:t xml:space="preserve"> (</w:t>
      </w:r>
      <w:proofErr w:type="spellStart"/>
      <w:r w:rsidRPr="005C412B">
        <w:rPr>
          <w:i/>
        </w:rPr>
        <w:t>rch</w:t>
      </w:r>
      <w:proofErr w:type="spellEnd"/>
      <w:r w:rsidRPr="005C412B">
        <w:rPr>
          <w:i/>
        </w:rPr>
        <w:t xml:space="preserve">) in combination with </w:t>
      </w:r>
      <w:proofErr w:type="spellStart"/>
      <w:r w:rsidRPr="005C412B">
        <w:rPr>
          <w:i/>
        </w:rPr>
        <w:t>fluoropyrimidine</w:t>
      </w:r>
      <w:proofErr w:type="spellEnd"/>
      <w:r w:rsidRPr="005C412B">
        <w:rPr>
          <w:i/>
        </w:rPr>
        <w:t>-based chemotherapy, is indicated for treatment of patients with metastatic colorectal cancer</w:t>
      </w:r>
    </w:p>
    <w:p w:rsidR="005C412B" w:rsidRPr="005C412B" w:rsidRDefault="005C412B" w:rsidP="005C412B">
      <w:pPr>
        <w:ind w:left="720"/>
        <w:rPr>
          <w:b/>
          <w:i/>
        </w:rPr>
      </w:pPr>
      <w:r w:rsidRPr="005C412B">
        <w:rPr>
          <w:b/>
          <w:i/>
        </w:rPr>
        <w:t>Locally recurrent or metastatic breast cancer</w:t>
      </w:r>
    </w:p>
    <w:p w:rsidR="005C412B" w:rsidRPr="005C412B" w:rsidRDefault="005C412B" w:rsidP="005C412B">
      <w:pPr>
        <w:ind w:left="720"/>
        <w:rPr>
          <w:i/>
        </w:rPr>
      </w:pPr>
      <w:proofErr w:type="spellStart"/>
      <w:r w:rsidRPr="005C412B">
        <w:rPr>
          <w:i/>
        </w:rPr>
        <w:t>Avastin</w:t>
      </w:r>
      <w:proofErr w:type="spellEnd"/>
      <w:r w:rsidRPr="005C412B">
        <w:rPr>
          <w:i/>
        </w:rPr>
        <w:t xml:space="preserve"> </w:t>
      </w:r>
      <w:proofErr w:type="spellStart"/>
      <w:r w:rsidRPr="005C412B">
        <w:rPr>
          <w:i/>
        </w:rPr>
        <w:t>bevacizumab</w:t>
      </w:r>
      <w:proofErr w:type="spellEnd"/>
      <w:r w:rsidRPr="005C412B">
        <w:rPr>
          <w:i/>
        </w:rPr>
        <w:t xml:space="preserve"> (</w:t>
      </w:r>
      <w:proofErr w:type="spellStart"/>
      <w:r w:rsidRPr="005C412B">
        <w:rPr>
          <w:i/>
        </w:rPr>
        <w:t>rch</w:t>
      </w:r>
      <w:proofErr w:type="spellEnd"/>
      <w:r w:rsidRPr="005C412B">
        <w:rPr>
          <w:i/>
        </w:rPr>
        <w:t xml:space="preserve">) in combination with paclitaxel is indicated for the first-line treatment of metastatic breast cancer in patients in whom an </w:t>
      </w:r>
      <w:proofErr w:type="spellStart"/>
      <w:r w:rsidRPr="005C412B">
        <w:rPr>
          <w:i/>
        </w:rPr>
        <w:t>anthracycline</w:t>
      </w:r>
      <w:proofErr w:type="spellEnd"/>
      <w:r w:rsidRPr="005C412B">
        <w:rPr>
          <w:i/>
        </w:rPr>
        <w:t>-based therapy is contraindicated</w:t>
      </w:r>
    </w:p>
    <w:p w:rsidR="005C412B" w:rsidRPr="005C412B" w:rsidRDefault="005C412B" w:rsidP="005C412B">
      <w:pPr>
        <w:ind w:left="720"/>
        <w:rPr>
          <w:b/>
          <w:i/>
        </w:rPr>
      </w:pPr>
      <w:r w:rsidRPr="005C412B">
        <w:rPr>
          <w:b/>
          <w:i/>
        </w:rPr>
        <w:lastRenderedPageBreak/>
        <w:t xml:space="preserve">Advanced, metastatic or recurrent non-squamous </w:t>
      </w:r>
      <w:r w:rsidR="008054ED" w:rsidRPr="005C412B">
        <w:rPr>
          <w:b/>
          <w:i/>
        </w:rPr>
        <w:t xml:space="preserve">non-small cell lung cancer </w:t>
      </w:r>
      <w:r w:rsidRPr="005C412B">
        <w:rPr>
          <w:b/>
          <w:i/>
        </w:rPr>
        <w:t>(NSCLC)</w:t>
      </w:r>
    </w:p>
    <w:p w:rsidR="005C412B" w:rsidRPr="005C412B" w:rsidRDefault="005C412B" w:rsidP="005C412B">
      <w:pPr>
        <w:ind w:left="720"/>
        <w:rPr>
          <w:i/>
        </w:rPr>
      </w:pPr>
      <w:proofErr w:type="spellStart"/>
      <w:r w:rsidRPr="005C412B">
        <w:rPr>
          <w:i/>
        </w:rPr>
        <w:t>Avastin</w:t>
      </w:r>
      <w:proofErr w:type="spellEnd"/>
      <w:r w:rsidRPr="005C412B">
        <w:rPr>
          <w:i/>
        </w:rPr>
        <w:t xml:space="preserve"> </w:t>
      </w:r>
      <w:proofErr w:type="spellStart"/>
      <w:r w:rsidRPr="005C412B">
        <w:rPr>
          <w:i/>
        </w:rPr>
        <w:t>bevacizumab</w:t>
      </w:r>
      <w:proofErr w:type="spellEnd"/>
      <w:r w:rsidRPr="005C412B">
        <w:rPr>
          <w:i/>
        </w:rPr>
        <w:t xml:space="preserve"> (</w:t>
      </w:r>
      <w:proofErr w:type="spellStart"/>
      <w:r w:rsidRPr="005C412B">
        <w:rPr>
          <w:i/>
        </w:rPr>
        <w:t>rch</w:t>
      </w:r>
      <w:proofErr w:type="spellEnd"/>
      <w:r w:rsidRPr="005C412B">
        <w:rPr>
          <w:i/>
        </w:rPr>
        <w:t>) in combination with carboplatin and paclitaxel, is indicated for first-line treatment of patients with unresectable advanced, metastatic or recurrent, non-squamous, non-small cell lung cancer</w:t>
      </w:r>
    </w:p>
    <w:p w:rsidR="005C412B" w:rsidRPr="005C412B" w:rsidRDefault="005C412B" w:rsidP="005C412B">
      <w:pPr>
        <w:ind w:left="720"/>
        <w:rPr>
          <w:b/>
          <w:i/>
        </w:rPr>
      </w:pPr>
      <w:r w:rsidRPr="005C412B">
        <w:rPr>
          <w:b/>
          <w:i/>
        </w:rPr>
        <w:t>Advanced and/or metastatic renal cell cancer</w:t>
      </w:r>
    </w:p>
    <w:p w:rsidR="005C412B" w:rsidRPr="005C412B" w:rsidRDefault="005C412B" w:rsidP="005C412B">
      <w:pPr>
        <w:ind w:left="720"/>
        <w:rPr>
          <w:i/>
        </w:rPr>
      </w:pPr>
      <w:proofErr w:type="spellStart"/>
      <w:r w:rsidRPr="005C412B">
        <w:rPr>
          <w:i/>
        </w:rPr>
        <w:t>Avastin</w:t>
      </w:r>
      <w:proofErr w:type="spellEnd"/>
      <w:r w:rsidRPr="005C412B">
        <w:rPr>
          <w:i/>
        </w:rPr>
        <w:t xml:space="preserve"> </w:t>
      </w:r>
      <w:proofErr w:type="spellStart"/>
      <w:r w:rsidRPr="005C412B">
        <w:rPr>
          <w:i/>
        </w:rPr>
        <w:t>bevacizumab</w:t>
      </w:r>
      <w:proofErr w:type="spellEnd"/>
      <w:r w:rsidRPr="005C412B">
        <w:rPr>
          <w:i/>
        </w:rPr>
        <w:t xml:space="preserve"> (</w:t>
      </w:r>
      <w:proofErr w:type="spellStart"/>
      <w:r w:rsidRPr="005C412B">
        <w:rPr>
          <w:i/>
        </w:rPr>
        <w:t>rch</w:t>
      </w:r>
      <w:proofErr w:type="spellEnd"/>
      <w:r w:rsidRPr="005C412B">
        <w:rPr>
          <w:i/>
        </w:rPr>
        <w:t>) in combination with interferon alfa-2a is indicated for treatment of patients with advanced and/or metastatic renal cell cancer</w:t>
      </w:r>
    </w:p>
    <w:p w:rsidR="005C412B" w:rsidRPr="005C412B" w:rsidRDefault="005C412B" w:rsidP="005C412B">
      <w:pPr>
        <w:ind w:left="720"/>
        <w:rPr>
          <w:b/>
          <w:i/>
        </w:rPr>
      </w:pPr>
      <w:r w:rsidRPr="005C412B">
        <w:rPr>
          <w:b/>
          <w:i/>
        </w:rPr>
        <w:t>Grade IV glioma</w:t>
      </w:r>
    </w:p>
    <w:p w:rsidR="005C412B" w:rsidRPr="005C412B" w:rsidRDefault="005C412B" w:rsidP="005C412B">
      <w:pPr>
        <w:ind w:left="720"/>
        <w:rPr>
          <w:i/>
        </w:rPr>
      </w:pPr>
      <w:proofErr w:type="spellStart"/>
      <w:r w:rsidRPr="005C412B">
        <w:rPr>
          <w:i/>
        </w:rPr>
        <w:t>Avastin</w:t>
      </w:r>
      <w:proofErr w:type="spellEnd"/>
      <w:r w:rsidRPr="005C412B">
        <w:rPr>
          <w:i/>
        </w:rPr>
        <w:t xml:space="preserve"> </w:t>
      </w:r>
      <w:proofErr w:type="spellStart"/>
      <w:r w:rsidRPr="005C412B">
        <w:rPr>
          <w:i/>
        </w:rPr>
        <w:t>bevacizumab</w:t>
      </w:r>
      <w:proofErr w:type="spellEnd"/>
      <w:r w:rsidRPr="005C412B">
        <w:rPr>
          <w:i/>
        </w:rPr>
        <w:t xml:space="preserve"> (</w:t>
      </w:r>
      <w:proofErr w:type="spellStart"/>
      <w:r w:rsidRPr="005C412B">
        <w:rPr>
          <w:i/>
        </w:rPr>
        <w:t>rch</w:t>
      </w:r>
      <w:proofErr w:type="spellEnd"/>
      <w:r w:rsidRPr="005C412B">
        <w:rPr>
          <w:i/>
        </w:rPr>
        <w:t>) as a single agent, is indicated for the treatment of patients with Grade IV glioma after relapse or disease progression after standard therapy, including chemotherapy</w:t>
      </w:r>
    </w:p>
    <w:p w:rsidR="005C412B" w:rsidRPr="005C412B" w:rsidRDefault="005C412B" w:rsidP="005C412B">
      <w:pPr>
        <w:ind w:left="720"/>
        <w:rPr>
          <w:i/>
        </w:rPr>
      </w:pPr>
      <w:r w:rsidRPr="005C412B">
        <w:rPr>
          <w:b/>
          <w:i/>
        </w:rPr>
        <w:t>Epithelial ovarian, fallopian tube or primary peritoneal cancer</w:t>
      </w:r>
    </w:p>
    <w:p w:rsidR="005C412B" w:rsidRPr="005C412B" w:rsidRDefault="005C412B" w:rsidP="005C412B">
      <w:pPr>
        <w:ind w:left="720"/>
        <w:rPr>
          <w:i/>
        </w:rPr>
      </w:pPr>
      <w:proofErr w:type="spellStart"/>
      <w:r w:rsidRPr="005C412B">
        <w:rPr>
          <w:i/>
        </w:rPr>
        <w:t>Avastin</w:t>
      </w:r>
      <w:proofErr w:type="spellEnd"/>
      <w:r w:rsidRPr="005C412B">
        <w:rPr>
          <w:i/>
        </w:rPr>
        <w:t xml:space="preserve"> </w:t>
      </w:r>
      <w:proofErr w:type="spellStart"/>
      <w:r w:rsidRPr="005C412B">
        <w:rPr>
          <w:i/>
        </w:rPr>
        <w:t>bevacizumab</w:t>
      </w:r>
      <w:proofErr w:type="spellEnd"/>
      <w:r w:rsidRPr="005C412B">
        <w:rPr>
          <w:i/>
        </w:rPr>
        <w:t xml:space="preserve"> (</w:t>
      </w:r>
      <w:proofErr w:type="spellStart"/>
      <w:r w:rsidRPr="005C412B">
        <w:rPr>
          <w:i/>
        </w:rPr>
        <w:t>rch</w:t>
      </w:r>
      <w:proofErr w:type="spellEnd"/>
      <w:r w:rsidRPr="005C412B">
        <w:rPr>
          <w:i/>
        </w:rPr>
        <w:t>) in combination with carboplatin and paclitaxel, is indicated for first-line treatment of patients with advanced (FIGO stages IIIB, IIIC and IV) epithelial ovarian, fallopian tube, or primary peritoneal cancer</w:t>
      </w:r>
    </w:p>
    <w:p w:rsidR="005C412B" w:rsidRPr="005C412B" w:rsidRDefault="005C412B" w:rsidP="005C412B">
      <w:pPr>
        <w:ind w:left="720"/>
        <w:rPr>
          <w:b/>
          <w:i/>
        </w:rPr>
      </w:pPr>
      <w:r w:rsidRPr="005C412B">
        <w:rPr>
          <w:b/>
          <w:i/>
        </w:rPr>
        <w:t>Recurrent epithelial ovarian, fallopian tube or primary peritoneal cancer</w:t>
      </w:r>
    </w:p>
    <w:p w:rsidR="005C412B" w:rsidRPr="005C412B" w:rsidRDefault="005C412B" w:rsidP="005C412B">
      <w:pPr>
        <w:ind w:left="720"/>
        <w:rPr>
          <w:i/>
        </w:rPr>
      </w:pPr>
      <w:proofErr w:type="spellStart"/>
      <w:r w:rsidRPr="005C412B">
        <w:rPr>
          <w:i/>
        </w:rPr>
        <w:t>Avastin</w:t>
      </w:r>
      <w:proofErr w:type="spellEnd"/>
      <w:r w:rsidRPr="005C412B">
        <w:rPr>
          <w:i/>
        </w:rPr>
        <w:t xml:space="preserve"> </w:t>
      </w:r>
      <w:proofErr w:type="spellStart"/>
      <w:r w:rsidRPr="005C412B">
        <w:rPr>
          <w:i/>
        </w:rPr>
        <w:t>bevacizumab</w:t>
      </w:r>
      <w:proofErr w:type="spellEnd"/>
      <w:r w:rsidRPr="005C412B">
        <w:rPr>
          <w:i/>
        </w:rPr>
        <w:t xml:space="preserve"> (</w:t>
      </w:r>
      <w:proofErr w:type="spellStart"/>
      <w:r w:rsidRPr="005C412B">
        <w:rPr>
          <w:i/>
        </w:rPr>
        <w:t>rch</w:t>
      </w:r>
      <w:proofErr w:type="spellEnd"/>
      <w:r w:rsidRPr="005C412B">
        <w:rPr>
          <w:i/>
        </w:rPr>
        <w:t>) in combination with carboplatin and gemcitabine, is indicated for the treatment of patients with recurrent, platinum-sensitive, epithelial ovarian, fallopian tube, or primary peritoneal cancer who have not received prior bevacizumab or other VEGF-targeted angiogenesis inhibitors</w:t>
      </w:r>
    </w:p>
    <w:p w:rsidR="00940A89" w:rsidRDefault="00940A89" w:rsidP="00940A89">
      <w:r w:rsidRPr="00940A89">
        <w:t xml:space="preserve">At the time the TGA considered this application, a similar application had been approved in </w:t>
      </w:r>
      <w:r w:rsidR="002C2661">
        <w:t xml:space="preserve">European Union including in the UK (approved 30 March 2015); New Zealand (approved 16 April 2015); </w:t>
      </w:r>
      <w:r w:rsidR="00DF490C">
        <w:t>Switzerland (approved 10 December 2014) and USA (approved 14 August 2014) and</w:t>
      </w:r>
      <w:r w:rsidRPr="00940A89">
        <w:t xml:space="preserve"> was under co</w:t>
      </w:r>
      <w:r w:rsidR="00DF490C">
        <w:t>nsideration in Canada and Singapore</w:t>
      </w:r>
      <w:r>
        <w:t>.</w:t>
      </w:r>
      <w:r w:rsidR="00DF490C">
        <w:t xml:space="preserve"> There had been no withdrawals, rejections or deferrals.</w:t>
      </w:r>
    </w:p>
    <w:p w:rsidR="00DF490C" w:rsidRPr="00DF490C" w:rsidRDefault="00DF490C" w:rsidP="00DF490C">
      <w:pPr>
        <w:pStyle w:val="Heading3"/>
      </w:pPr>
      <w:bookmarkStart w:id="21" w:name="_Toc482191391"/>
      <w:r>
        <w:t>Orphan drug status</w:t>
      </w:r>
      <w:bookmarkEnd w:id="21"/>
    </w:p>
    <w:p w:rsidR="002C2661" w:rsidRDefault="00DF490C" w:rsidP="00940A89">
      <w:r w:rsidRPr="00DF490C">
        <w:t>Orphan drug designation was sought and approved for this submission.</w:t>
      </w:r>
    </w:p>
    <w:p w:rsidR="008E7846" w:rsidRDefault="008E7846" w:rsidP="00940A89">
      <w:pPr>
        <w:pStyle w:val="Heading3"/>
      </w:pPr>
      <w:bookmarkStart w:id="22" w:name="_Toc482191392"/>
      <w:r>
        <w:t xml:space="preserve">Product </w:t>
      </w:r>
      <w:r w:rsidR="003E6B2B">
        <w:t>information</w:t>
      </w:r>
      <w:bookmarkEnd w:id="19"/>
      <w:bookmarkEnd w:id="20"/>
      <w:bookmarkEnd w:id="22"/>
    </w:p>
    <w:p w:rsidR="00940A89" w:rsidRDefault="006136D7" w:rsidP="00940A89">
      <w:pPr>
        <w:rPr>
          <w:b/>
          <w:bCs/>
        </w:rPr>
      </w:pPr>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rsidR="008E7846" w:rsidRPr="003602A9" w:rsidRDefault="008E7846" w:rsidP="008E7846">
      <w:pPr>
        <w:pStyle w:val="Heading2"/>
        <w:ind w:left="-11"/>
      </w:pPr>
      <w:bookmarkStart w:id="25" w:name="_Toc482191393"/>
      <w:r>
        <w:t>II. Quality</w:t>
      </w:r>
      <w:bookmarkEnd w:id="2"/>
      <w:r>
        <w:t xml:space="preserve"> findings</w:t>
      </w:r>
      <w:bookmarkEnd w:id="23"/>
      <w:bookmarkEnd w:id="24"/>
      <w:bookmarkEnd w:id="25"/>
    </w:p>
    <w:p w:rsidR="008E7846" w:rsidRDefault="00940A89" w:rsidP="008E7846">
      <w:bookmarkStart w:id="26" w:name="_Toc247691507"/>
      <w:bookmarkStart w:id="27" w:name="_Toc314842488"/>
      <w:r w:rsidRPr="00940A89">
        <w:t>There was no requirement for a quality evaluation in a submission of this type.</w:t>
      </w:r>
      <w:bookmarkEnd w:id="26"/>
      <w:bookmarkEnd w:id="27"/>
    </w:p>
    <w:p w:rsidR="008E7846" w:rsidRDefault="008E7846" w:rsidP="008E7846">
      <w:pPr>
        <w:pStyle w:val="Heading2"/>
      </w:pPr>
      <w:bookmarkStart w:id="28" w:name="_Toc196046439"/>
      <w:bookmarkStart w:id="29" w:name="_Toc247691510"/>
      <w:bookmarkStart w:id="30" w:name="_Toc314842494"/>
      <w:bookmarkStart w:id="31" w:name="_Toc482191394"/>
      <w:r>
        <w:t>III. Nonclinical</w:t>
      </w:r>
      <w:bookmarkEnd w:id="28"/>
      <w:r>
        <w:t xml:space="preserve"> findings</w:t>
      </w:r>
      <w:bookmarkEnd w:id="29"/>
      <w:bookmarkEnd w:id="30"/>
      <w:bookmarkEnd w:id="31"/>
    </w:p>
    <w:p w:rsidR="00940A89" w:rsidRDefault="00940A89" w:rsidP="000E6196">
      <w:bookmarkStart w:id="32" w:name="_Toc247691511"/>
      <w:bookmarkStart w:id="33" w:name="_Toc314842495"/>
      <w:r>
        <w:t>There was no requirement for a nonclinical evaluation in a submission of this type.</w:t>
      </w:r>
    </w:p>
    <w:p w:rsidR="008E7846" w:rsidRPr="00254787" w:rsidRDefault="008E7846" w:rsidP="008E7846">
      <w:pPr>
        <w:pStyle w:val="Heading2"/>
      </w:pPr>
      <w:bookmarkStart w:id="34" w:name="_Toc196046462"/>
      <w:bookmarkStart w:id="35" w:name="_Toc247691516"/>
      <w:bookmarkStart w:id="36" w:name="_Toc314842500"/>
      <w:bookmarkStart w:id="37" w:name="_Toc482191395"/>
      <w:bookmarkStart w:id="38" w:name="_Toc163441353"/>
      <w:bookmarkStart w:id="39" w:name="_Toc163441348"/>
      <w:bookmarkEnd w:id="32"/>
      <w:bookmarkEnd w:id="33"/>
      <w:r>
        <w:lastRenderedPageBreak/>
        <w:t xml:space="preserve">IV. </w:t>
      </w:r>
      <w:r w:rsidRPr="00254787">
        <w:t>Clinical</w:t>
      </w:r>
      <w:bookmarkEnd w:id="34"/>
      <w:r>
        <w:t xml:space="preserve"> </w:t>
      </w:r>
      <w:r w:rsidR="003A7F6C">
        <w:t>f</w:t>
      </w:r>
      <w:r>
        <w:t>indings</w:t>
      </w:r>
      <w:bookmarkEnd w:id="35"/>
      <w:bookmarkEnd w:id="36"/>
      <w:bookmarkEnd w:id="37"/>
    </w:p>
    <w:p w:rsidR="00C80137" w:rsidRDefault="00C80137" w:rsidP="00D425BB">
      <w:bookmarkStart w:id="4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1" w:name="_Toc247691517"/>
      <w:bookmarkStart w:id="42" w:name="_Toc314842501"/>
      <w:bookmarkStart w:id="43" w:name="_Toc482191396"/>
      <w:r w:rsidRPr="00254787">
        <w:t>Introduction</w:t>
      </w:r>
      <w:bookmarkEnd w:id="40"/>
      <w:bookmarkEnd w:id="41"/>
      <w:bookmarkEnd w:id="42"/>
      <w:bookmarkEnd w:id="43"/>
    </w:p>
    <w:p w:rsidR="00605AD4" w:rsidRDefault="00605AD4" w:rsidP="00605AD4">
      <w:pPr>
        <w:pStyle w:val="Heading4"/>
      </w:pPr>
      <w:bookmarkStart w:id="44" w:name="_Toc196046464"/>
      <w:bookmarkStart w:id="45" w:name="_Toc247691518"/>
      <w:bookmarkStart w:id="46" w:name="_Toc314842502"/>
      <w:r w:rsidRPr="00605AD4">
        <w:t xml:space="preserve">Clinical </w:t>
      </w:r>
      <w:r w:rsidR="00EF59DC">
        <w:t>r</w:t>
      </w:r>
      <w:r w:rsidRPr="00605AD4">
        <w:t>ationale</w:t>
      </w:r>
    </w:p>
    <w:p w:rsidR="002015E9" w:rsidRPr="00417613" w:rsidRDefault="002015E9" w:rsidP="002015E9">
      <w:pPr>
        <w:spacing w:before="20"/>
        <w:rPr>
          <w:color w:val="000000"/>
        </w:rPr>
      </w:pPr>
      <w:r w:rsidRPr="00417613">
        <w:rPr>
          <w:color w:val="000000"/>
        </w:rPr>
        <w:t xml:space="preserve">As discussed by the </w:t>
      </w:r>
      <w:r>
        <w:rPr>
          <w:color w:val="000000"/>
        </w:rPr>
        <w:t>sponsor</w:t>
      </w:r>
      <w:r w:rsidRPr="00417613">
        <w:rPr>
          <w:color w:val="000000"/>
        </w:rPr>
        <w:t xml:space="preserve"> in the introduction for the clinical study report (CSR) of Study GOG-0240:</w:t>
      </w:r>
    </w:p>
    <w:p w:rsidR="002015E9" w:rsidRPr="00E86A9D" w:rsidRDefault="002015E9" w:rsidP="002015E9">
      <w:pPr>
        <w:pStyle w:val="ListBullet"/>
        <w:numPr>
          <w:ilvl w:val="0"/>
          <w:numId w:val="39"/>
        </w:numPr>
      </w:pPr>
      <w:r w:rsidRPr="00E86A9D">
        <w:t>Worldwide, cervical cancer is the fourth most common cancer in women and seventh most common cancer overall. In 2012, approximately 528,000 new cervical cancer cases were diagnosed globally. Cervical cancer accounted for 7.5% of all female cancer deaths with approximately 266,000 deaths; the majority (87%) of these deaths occurred in developing countries.</w:t>
      </w:r>
    </w:p>
    <w:p w:rsidR="002015E9" w:rsidRPr="00E86A9D" w:rsidRDefault="002015E9" w:rsidP="002015E9">
      <w:pPr>
        <w:pStyle w:val="ListBullet"/>
        <w:numPr>
          <w:ilvl w:val="0"/>
          <w:numId w:val="39"/>
        </w:numPr>
      </w:pPr>
      <w:r w:rsidRPr="00E86A9D">
        <w:t xml:space="preserve">In Australia cervical cancer is the twelfth most common cancer affecting women (excluding basal and squamous cell carcinoma of the skin), with 7 new cases diagnosed per 100,000 women in 2009. It is also the 19th most common cause </w:t>
      </w:r>
      <w:r>
        <w:t>of cancer-related death, with 2 </w:t>
      </w:r>
      <w:r w:rsidRPr="00E86A9D">
        <w:t>deaths per 100,000 women in 2010.</w:t>
      </w:r>
    </w:p>
    <w:p w:rsidR="002015E9" w:rsidRPr="00E86A9D" w:rsidRDefault="002015E9" w:rsidP="002015E9">
      <w:pPr>
        <w:pStyle w:val="ListBullet"/>
        <w:numPr>
          <w:ilvl w:val="0"/>
          <w:numId w:val="39"/>
        </w:numPr>
      </w:pPr>
      <w:r w:rsidRPr="00E86A9D">
        <w:t>Cervical cancer incidence and mortality are higher in Aboriginal and Torres Strait Islander women, with incidence more than twice, and mortality 5 times, that of non-Indigenous women.</w:t>
      </w:r>
    </w:p>
    <w:p w:rsidR="002015E9" w:rsidRPr="00E86A9D" w:rsidRDefault="002015E9" w:rsidP="002015E9">
      <w:pPr>
        <w:pStyle w:val="ListBullet"/>
        <w:numPr>
          <w:ilvl w:val="0"/>
          <w:numId w:val="39"/>
        </w:numPr>
      </w:pPr>
      <w:r w:rsidRPr="00E86A9D">
        <w:t>Cervical cancer screening has been in place since 1991 and is thought to be the reason for the relatively low incidence and mortality rates observed for the disease in Australia compared with other countries.</w:t>
      </w:r>
    </w:p>
    <w:p w:rsidR="002015E9" w:rsidRPr="00E86A9D" w:rsidRDefault="002015E9" w:rsidP="002015E9">
      <w:pPr>
        <w:pStyle w:val="ListBullet"/>
        <w:numPr>
          <w:ilvl w:val="0"/>
          <w:numId w:val="39"/>
        </w:numPr>
      </w:pPr>
      <w:r w:rsidRPr="00E86A9D">
        <w:t>In Australia the National human papillomavirus (HPV) Vaccination Program was introduced in 2007. The HPV vaccine against HPV t</w:t>
      </w:r>
      <w:r>
        <w:t xml:space="preserve">ypes 16 and 18, the cause of 70 to </w:t>
      </w:r>
      <w:r w:rsidRPr="00E86A9D">
        <w:t xml:space="preserve">80% of invasive cervical cancers. This therefore has the potential to reduce the incidence of cervical cancer below the already low levels that cervical screening has achieved in Australia. It is argued by the </w:t>
      </w:r>
      <w:r>
        <w:t>sponsor</w:t>
      </w:r>
      <w:r w:rsidRPr="00E86A9D">
        <w:t xml:space="preserve"> that this impact, however, will be seen many years into the future and for the present, cervical cancer remains a significant public health problem in Australia and around the world.</w:t>
      </w:r>
    </w:p>
    <w:p w:rsidR="002015E9" w:rsidRPr="00E86A9D" w:rsidRDefault="002015E9" w:rsidP="002015E9">
      <w:pPr>
        <w:pStyle w:val="ListBullet"/>
        <w:numPr>
          <w:ilvl w:val="0"/>
          <w:numId w:val="39"/>
        </w:numPr>
      </w:pPr>
      <w:r w:rsidRPr="00E86A9D">
        <w:t>The mainstay of primary treatment for advanced ce</w:t>
      </w:r>
      <w:r>
        <w:t xml:space="preserve">rvical cancer disease (stage II to </w:t>
      </w:r>
      <w:r w:rsidRPr="00E86A9D">
        <w:t>IV) is combination radiation therapy and radiation sensitising platinum based chemotherapy. Up to 50% of patients with advanced disease will have a recurrence, which is generally considered incurable particularly if distant metastases have developed, and chemotherapy is usually recommended for these patients.</w:t>
      </w:r>
    </w:p>
    <w:p w:rsidR="002015E9" w:rsidRPr="00E86A9D" w:rsidRDefault="002015E9" w:rsidP="002015E9">
      <w:pPr>
        <w:pStyle w:val="ListBullet"/>
        <w:numPr>
          <w:ilvl w:val="0"/>
          <w:numId w:val="39"/>
        </w:numPr>
      </w:pPr>
      <w:r w:rsidRPr="00E86A9D">
        <w:t>In patients who present with distant metastasis (stage IVB) treatment is essentially palliative and usually chemotherapy. The optimal regimen for chemotherapy has not been defined in these recurrent and metastatic disease patients but cisplatin combination therapy is generally considered the standard of care. Cisplatin</w:t>
      </w:r>
      <w:r w:rsidR="00CA0B25">
        <w:t xml:space="preserve"> </w:t>
      </w:r>
      <w:r w:rsidR="003C6DF6">
        <w:t>(Cis)</w:t>
      </w:r>
      <w:r w:rsidRPr="00E86A9D">
        <w:t xml:space="preserve"> use is recommended in Australia whilst topotecan is indicated, in combination with cisplatin.</w:t>
      </w:r>
    </w:p>
    <w:p w:rsidR="002015E9" w:rsidRDefault="002015E9" w:rsidP="002015E9">
      <w:pPr>
        <w:pStyle w:val="ListBullet"/>
        <w:numPr>
          <w:ilvl w:val="0"/>
          <w:numId w:val="39"/>
        </w:numPr>
      </w:pPr>
      <w:r w:rsidRPr="00E86A9D">
        <w:t xml:space="preserve">The prognosis for women with persistent, recurrent, or metastatic cervical cancer remains poor with median duration of overall survival of ≤ 12 months. The </w:t>
      </w:r>
      <w:r>
        <w:t>sponsor</w:t>
      </w:r>
      <w:r w:rsidRPr="00E86A9D">
        <w:t xml:space="preserve"> concluded that current treatment options provide limited clinical benefit and therefore there remains an unmet need for additional options.</w:t>
      </w:r>
    </w:p>
    <w:p w:rsidR="002015E9" w:rsidRPr="00417613" w:rsidRDefault="002015E9" w:rsidP="002015E9">
      <w:pPr>
        <w:pStyle w:val="ListBullet"/>
        <w:numPr>
          <w:ilvl w:val="0"/>
          <w:numId w:val="39"/>
        </w:numPr>
        <w:rPr>
          <w:rStyle w:val="Style1Char"/>
          <w:rFonts w:eastAsia="Cambria"/>
          <w:color w:val="000000"/>
        </w:rPr>
      </w:pPr>
      <w:r w:rsidRPr="00417613">
        <w:rPr>
          <w:rStyle w:val="Style1Char"/>
          <w:rFonts w:eastAsia="Cambria"/>
          <w:color w:val="000000"/>
        </w:rPr>
        <w:t xml:space="preserve">The rationale for bevacizumab use as indicated by the </w:t>
      </w:r>
      <w:r>
        <w:rPr>
          <w:rStyle w:val="Style1Char"/>
          <w:rFonts w:eastAsia="Cambria"/>
          <w:color w:val="000000"/>
        </w:rPr>
        <w:t>sponsor</w:t>
      </w:r>
      <w:r w:rsidRPr="00417613">
        <w:rPr>
          <w:rStyle w:val="Style1Char"/>
          <w:rFonts w:eastAsia="Cambria"/>
          <w:color w:val="000000"/>
        </w:rPr>
        <w:t xml:space="preserve"> is evidence that angiogenesis plays</w:t>
      </w:r>
      <w:r w:rsidRPr="00417613">
        <w:t xml:space="preserve"> an important role in locally advanced cervical cancer via an </w:t>
      </w:r>
      <w:r w:rsidRPr="00417613">
        <w:lastRenderedPageBreak/>
        <w:t>increase in VEGF. The evidence was also reported to suggest that combining an anti-angiogenic agent with either cytotoxic chemotherapy or radiation enhances anti-tumour activity</w:t>
      </w:r>
      <w:r w:rsidRPr="00417613">
        <w:rPr>
          <w:rStyle w:val="Style1Char"/>
          <w:rFonts w:eastAsia="Cambria"/>
          <w:color w:val="000000"/>
        </w:rPr>
        <w:t>. Additionally, nonclinical data have shown that bevacizumab may normalize tumour vasculature, thereby relieving tumour hypoxia and promoting drug delivery, which may account for an additive treatment effect.</w:t>
      </w:r>
      <w:r w:rsidRPr="00417613">
        <w:rPr>
          <w:rFonts w:ascii="Arial" w:hAnsi="Arial" w:cs="Arial"/>
        </w:rPr>
        <w:t xml:space="preserve"> </w:t>
      </w:r>
      <w:r w:rsidRPr="00417613">
        <w:rPr>
          <w:rStyle w:val="Style1Char"/>
          <w:rFonts w:eastAsia="Cambria"/>
          <w:color w:val="000000"/>
        </w:rPr>
        <w:t xml:space="preserve">The </w:t>
      </w:r>
      <w:r>
        <w:rPr>
          <w:rStyle w:val="Style1Char"/>
          <w:rFonts w:eastAsia="Cambria"/>
          <w:color w:val="000000"/>
        </w:rPr>
        <w:t>sponsor</w:t>
      </w:r>
      <w:r w:rsidRPr="00417613">
        <w:rPr>
          <w:rStyle w:val="Style1Char"/>
          <w:rFonts w:eastAsia="Cambria"/>
          <w:color w:val="000000"/>
        </w:rPr>
        <w:t xml:space="preserve"> concluded that therapeutic strategies incorporating the anti-VEGF antibody bevacizumab may be effective.</w:t>
      </w:r>
    </w:p>
    <w:p w:rsidR="002015E9" w:rsidRPr="002015E9" w:rsidRDefault="002015E9" w:rsidP="002015E9">
      <w:pPr>
        <w:pStyle w:val="Comment"/>
        <w:ind w:left="1134" w:hanging="1134"/>
      </w:pPr>
      <w:r w:rsidRPr="00CB4665">
        <w:rPr>
          <w:b/>
        </w:rPr>
        <w:t>Comment:</w:t>
      </w:r>
      <w:r w:rsidR="009D4AE1">
        <w:t xml:space="preserve"> </w:t>
      </w:r>
      <w:r w:rsidRPr="002015E9">
        <w:t>Although a global problem, the burden of cervical cancer disease in Australia is low, due to the National Cervical Screening Program which promotes routine screening with Pap smears every two years for women between the ages of 18 (or two years after first sexual intercourse, whichever is later) and 69 years. The burden of cervical cancer disease in Australia is likely to fall further due to the effect of the National HPV Vaccination Program in the coming years.</w:t>
      </w:r>
    </w:p>
    <w:p w:rsidR="002015E9" w:rsidRPr="00CB4665" w:rsidRDefault="002015E9" w:rsidP="002015E9">
      <w:pPr>
        <w:ind w:left="1134"/>
      </w:pPr>
      <w:r w:rsidRPr="00CB4665">
        <w:t>Despite this relatively low burden of disease, there remains an unmet need for additional treatment options for women with recurrent or metastatic cervical cancer disease who have a poor prognosis. There are also equity issues to consider with the relatively higher burden of disease in the Aboriginal and Torres Strait Islander population.</w:t>
      </w:r>
    </w:p>
    <w:p w:rsidR="002015E9" w:rsidRPr="002015E9" w:rsidRDefault="002015E9" w:rsidP="002015E9">
      <w:pPr>
        <w:ind w:left="1134"/>
      </w:pPr>
      <w:r w:rsidRPr="00CB4665">
        <w:t xml:space="preserve">Therefore, it is agreed with the </w:t>
      </w:r>
      <w:r>
        <w:t>sponsor</w:t>
      </w:r>
      <w:r w:rsidRPr="00CB4665">
        <w:t xml:space="preserve"> that there is a clinical rationale for this indication, despite the overall low disease burden.</w:t>
      </w:r>
    </w:p>
    <w:p w:rsidR="00605AD4" w:rsidRDefault="00605AD4" w:rsidP="00605AD4">
      <w:pPr>
        <w:pStyle w:val="Heading4"/>
      </w:pPr>
      <w:r w:rsidRPr="00605AD4">
        <w:t>Guidance</w:t>
      </w:r>
    </w:p>
    <w:p w:rsidR="006A1F90" w:rsidRDefault="006A1F90" w:rsidP="006A1F90">
      <w:r>
        <w:t>The Sponsor declared that the submission was in compliance with the pre-submission planning form and letter.</w:t>
      </w:r>
    </w:p>
    <w:p w:rsidR="006A1F90" w:rsidRDefault="006A1F90" w:rsidP="006A1F90">
      <w:r>
        <w:t>Pre-submission meetings were held with the EMA and FDA, and all recommendations from these meetings, particularly with respect to the factorial design of the pivotal study, were followed.</w:t>
      </w:r>
    </w:p>
    <w:p w:rsidR="006A1F90" w:rsidRPr="006A1F90" w:rsidRDefault="006A1F90" w:rsidP="006A1F90">
      <w:pPr>
        <w:spacing w:before="0" w:after="0" w:line="240" w:lineRule="auto"/>
        <w:jc w:val="both"/>
        <w:rPr>
          <w:rFonts w:asciiTheme="minorHAnsi" w:hAnsiTheme="minorHAnsi"/>
        </w:rPr>
      </w:pPr>
      <w:r>
        <w:rPr>
          <w:rFonts w:asciiTheme="minorHAnsi" w:hAnsiTheme="minorHAnsi"/>
        </w:rPr>
        <w:t>The single pivotal study was evaluated with reference to the relevant E</w:t>
      </w:r>
      <w:r w:rsidR="00CA0B25">
        <w:rPr>
          <w:rFonts w:asciiTheme="minorHAnsi" w:hAnsiTheme="minorHAnsi"/>
        </w:rPr>
        <w:t>MA guideline adopted by the TGA;</w:t>
      </w:r>
      <w:r>
        <w:rPr>
          <w:rFonts w:asciiTheme="minorHAnsi" w:hAnsiTheme="minorHAnsi"/>
        </w:rPr>
        <w:t xml:space="preserve"> CPMP/EWP/2330/99 </w:t>
      </w:r>
      <w:r w:rsidR="00AE5CA9">
        <w:rPr>
          <w:rFonts w:asciiTheme="minorHAnsi" w:hAnsiTheme="minorHAnsi"/>
        </w:rPr>
        <w:t>‘</w:t>
      </w:r>
      <w:r>
        <w:rPr>
          <w:rFonts w:asciiTheme="minorHAnsi" w:hAnsiTheme="minorHAnsi"/>
        </w:rPr>
        <w:t xml:space="preserve">Points to consider on application with 1. </w:t>
      </w:r>
      <w:proofErr w:type="gramStart"/>
      <w:r>
        <w:rPr>
          <w:rFonts w:asciiTheme="minorHAnsi" w:hAnsiTheme="minorHAnsi"/>
        </w:rPr>
        <w:t>Met</w:t>
      </w:r>
      <w:r w:rsidR="00CA0B25">
        <w:rPr>
          <w:rFonts w:asciiTheme="minorHAnsi" w:hAnsiTheme="minorHAnsi"/>
        </w:rPr>
        <w:t>a</w:t>
      </w:r>
      <w:r>
        <w:rPr>
          <w:rFonts w:asciiTheme="minorHAnsi" w:hAnsiTheme="minorHAnsi"/>
        </w:rPr>
        <w:t>-analyses; 2.</w:t>
      </w:r>
      <w:proofErr w:type="gramEnd"/>
      <w:r>
        <w:rPr>
          <w:rFonts w:asciiTheme="minorHAnsi" w:hAnsiTheme="minorHAnsi"/>
        </w:rPr>
        <w:t xml:space="preserve"> </w:t>
      </w:r>
      <w:proofErr w:type="gramStart"/>
      <w:r>
        <w:rPr>
          <w:rFonts w:asciiTheme="minorHAnsi" w:hAnsiTheme="minorHAnsi"/>
        </w:rPr>
        <w:t>One pivotal study.</w:t>
      </w:r>
      <w:r w:rsidR="00AE5CA9">
        <w:rPr>
          <w:rFonts w:asciiTheme="minorHAnsi" w:hAnsiTheme="minorHAnsi"/>
        </w:rPr>
        <w:t>’</w:t>
      </w:r>
      <w:proofErr w:type="gramEnd"/>
      <w:r>
        <w:rPr>
          <w:rFonts w:asciiTheme="minorHAnsi" w:hAnsiTheme="minorHAnsi"/>
        </w:rPr>
        <w:t xml:space="preserve"> (London 31 May 2001).</w:t>
      </w:r>
    </w:p>
    <w:p w:rsidR="00605AD4" w:rsidRDefault="00605AD4" w:rsidP="00605AD4">
      <w:pPr>
        <w:pStyle w:val="Heading4"/>
      </w:pPr>
      <w:r w:rsidRPr="00605AD4">
        <w:t>Contents of the clinical dossier</w:t>
      </w:r>
    </w:p>
    <w:p w:rsidR="002015E9" w:rsidRDefault="002015E9" w:rsidP="002015E9">
      <w:pPr>
        <w:spacing w:before="20"/>
        <w:rPr>
          <w:color w:val="000000"/>
        </w:rPr>
      </w:pPr>
      <w:r w:rsidRPr="00417613">
        <w:rPr>
          <w:color w:val="000000"/>
        </w:rPr>
        <w:t>The clinical dossier contained a single pivotal trial in support of the proposed extension of indications, and also included 5 previously submitted population pharmacokinetic (PK) analyses.</w:t>
      </w:r>
    </w:p>
    <w:p w:rsidR="002015E9" w:rsidRPr="00417613" w:rsidRDefault="002015E9" w:rsidP="002015E9">
      <w:pPr>
        <w:spacing w:before="20"/>
        <w:rPr>
          <w:color w:val="000000"/>
        </w:rPr>
      </w:pPr>
      <w:r w:rsidRPr="00417613">
        <w:rPr>
          <w:color w:val="000000"/>
        </w:rPr>
        <w:t>The submission contained the following clinical information:</w:t>
      </w:r>
    </w:p>
    <w:p w:rsidR="002015E9" w:rsidRPr="00CB4665" w:rsidRDefault="002015E9" w:rsidP="002015E9">
      <w:pPr>
        <w:pStyle w:val="ListBullet"/>
        <w:numPr>
          <w:ilvl w:val="0"/>
          <w:numId w:val="39"/>
        </w:numPr>
      </w:pPr>
      <w:r w:rsidRPr="00CB4665">
        <w:t>5 population pharmacokinetic analyses (BO17706, 03-0324-1751, 1025553, 1031796, 1025122).</w:t>
      </w:r>
    </w:p>
    <w:p w:rsidR="002015E9" w:rsidRPr="00CB4665" w:rsidRDefault="002015E9" w:rsidP="002015E9">
      <w:pPr>
        <w:pStyle w:val="ListBullet"/>
        <w:numPr>
          <w:ilvl w:val="0"/>
          <w:numId w:val="39"/>
        </w:numPr>
      </w:pPr>
      <w:r w:rsidRPr="00CB4665">
        <w:t>1 pivotal efficacy/safety study (GOG-0240)</w:t>
      </w:r>
      <w:r w:rsidR="006953E8">
        <w:t>.</w:t>
      </w:r>
    </w:p>
    <w:p w:rsidR="002015E9" w:rsidRPr="00CB4665" w:rsidRDefault="002015E9" w:rsidP="002015E9">
      <w:pPr>
        <w:pStyle w:val="ListBullet"/>
        <w:numPr>
          <w:ilvl w:val="0"/>
          <w:numId w:val="39"/>
        </w:numPr>
      </w:pPr>
      <w:r w:rsidRPr="00CB4665">
        <w:t>Literature references</w:t>
      </w:r>
      <w:r w:rsidR="00CA0B25">
        <w:t>.</w:t>
      </w:r>
    </w:p>
    <w:p w:rsidR="002015E9" w:rsidRPr="002015E9" w:rsidRDefault="002015E9" w:rsidP="002015E9">
      <w:pPr>
        <w:rPr>
          <w:lang w:eastAsia="ja-JP"/>
        </w:rPr>
      </w:pPr>
      <w:r>
        <w:t xml:space="preserve">The submission also contained </w:t>
      </w:r>
      <w:r w:rsidRPr="00017149">
        <w:t>Clinical Overview, Summary of Clinical Pharmacology, Summary of Clinical Efficacy, Summary of Clinical Safety and literature references</w:t>
      </w:r>
      <w:r w:rsidR="00CA0B25">
        <w:t>.</w:t>
      </w:r>
    </w:p>
    <w:p w:rsidR="00605AD4" w:rsidRDefault="00605AD4" w:rsidP="00605AD4">
      <w:pPr>
        <w:pStyle w:val="Heading4"/>
      </w:pPr>
      <w:r w:rsidRPr="00605AD4">
        <w:t>Paediatric data</w:t>
      </w:r>
    </w:p>
    <w:p w:rsidR="002015E9" w:rsidRPr="002015E9" w:rsidRDefault="002015E9" w:rsidP="002015E9">
      <w:pPr>
        <w:spacing w:before="20"/>
        <w:rPr>
          <w:lang w:eastAsia="ja-JP"/>
        </w:rPr>
      </w:pPr>
      <w:r w:rsidRPr="00417613">
        <w:rPr>
          <w:color w:val="000000"/>
        </w:rPr>
        <w:t xml:space="preserve">The submission did not include paediatric data. For the cervical cancer indication, a full Paediatric Study Plan (PSP) waiver is in place with the FDA. For all the other approved indications of Avastin, the </w:t>
      </w:r>
      <w:r>
        <w:rPr>
          <w:color w:val="000000"/>
        </w:rPr>
        <w:t>sponsor</w:t>
      </w:r>
      <w:r w:rsidRPr="00417613">
        <w:rPr>
          <w:color w:val="000000"/>
        </w:rPr>
        <w:t xml:space="preserve"> either has a waiver or orphan designation in place thereby releasing from any paediatric obligation.</w:t>
      </w:r>
    </w:p>
    <w:p w:rsidR="00605AD4" w:rsidRDefault="00605AD4" w:rsidP="00605AD4">
      <w:pPr>
        <w:pStyle w:val="Heading4"/>
      </w:pPr>
      <w:r w:rsidRPr="00605AD4">
        <w:lastRenderedPageBreak/>
        <w:t>Good clinical practice</w:t>
      </w:r>
    </w:p>
    <w:p w:rsidR="002015E9" w:rsidRPr="002015E9" w:rsidRDefault="002015E9" w:rsidP="002015E9">
      <w:pPr>
        <w:rPr>
          <w:lang w:eastAsia="ja-JP"/>
        </w:rPr>
      </w:pPr>
      <w:r w:rsidRPr="00417613">
        <w:rPr>
          <w:color w:val="000000"/>
        </w:rPr>
        <w:t xml:space="preserve">The </w:t>
      </w:r>
      <w:r>
        <w:rPr>
          <w:color w:val="000000"/>
        </w:rPr>
        <w:t>sponsor</w:t>
      </w:r>
      <w:r w:rsidRPr="00417613">
        <w:rPr>
          <w:color w:val="000000"/>
        </w:rPr>
        <w:t xml:space="preserve"> stated that Study GOG-0240 was conducted according to the International Conference on Harmonization (ICH) E6 Guideline for Good Clinical Practice (GCP) and the Declaration of Helsinki in addition to any applicable national requirements. It was stated that the appropriate Ethics Committees and Institutional Review Boards reviewed and approved this study.</w:t>
      </w:r>
    </w:p>
    <w:p w:rsidR="008E7846" w:rsidRDefault="008E7846" w:rsidP="00605AD4">
      <w:pPr>
        <w:pStyle w:val="Heading3"/>
      </w:pPr>
      <w:bookmarkStart w:id="47" w:name="_Toc482191397"/>
      <w:r w:rsidRPr="00254787">
        <w:t>Pharmacokinetics</w:t>
      </w:r>
      <w:bookmarkEnd w:id="38"/>
      <w:bookmarkEnd w:id="44"/>
      <w:bookmarkEnd w:id="45"/>
      <w:bookmarkEnd w:id="46"/>
      <w:bookmarkEnd w:id="47"/>
    </w:p>
    <w:p w:rsidR="00605AD4" w:rsidRDefault="00605AD4" w:rsidP="00605AD4">
      <w:pPr>
        <w:pStyle w:val="Heading4"/>
      </w:pPr>
      <w:r>
        <w:t>Studies providing pharmacokinetic da</w:t>
      </w:r>
      <w:r w:rsidR="00AE5CA9">
        <w:t>ta</w:t>
      </w:r>
    </w:p>
    <w:p w:rsidR="00E76D66" w:rsidRDefault="00E76D66" w:rsidP="00E76D66">
      <w:r>
        <w:t>T</w:t>
      </w:r>
      <w:r w:rsidRPr="00F90D8C">
        <w:t xml:space="preserve">he pharmacokinetics (PK) of bevacizumab </w:t>
      </w:r>
      <w:r w:rsidR="00AE5CA9">
        <w:t>was</w:t>
      </w:r>
      <w:r w:rsidRPr="00F90D8C">
        <w:t xml:space="preserve"> not assessed in pivotal trial GOG-0240 submitted with this application, and have not been characterised in patients with cervical cancer. Instead, the application contained several population PK analyses of pooled data across multiple clinical trials in patients with solid tumours (including colorectal, metastatic breast, hormone-refractory prostate, pancreatic, and non-small cell lung cancer) who received bevacizumab either as a single agent or in combination with chemotherapeutic agents.</w:t>
      </w:r>
    </w:p>
    <w:p w:rsidR="00E76D66" w:rsidRPr="00E76D66" w:rsidRDefault="00E76D66" w:rsidP="00E76D66">
      <w:pPr>
        <w:pStyle w:val="Comment"/>
        <w:ind w:left="1134" w:hanging="1134"/>
      </w:pPr>
      <w:r w:rsidRPr="00017149">
        <w:rPr>
          <w:b/>
          <w:lang w:eastAsia="en-AU"/>
        </w:rPr>
        <w:t>Comment:</w:t>
      </w:r>
      <w:r w:rsidR="009D4AE1">
        <w:rPr>
          <w:lang w:eastAsia="en-AU"/>
        </w:rPr>
        <w:t xml:space="preserve"> </w:t>
      </w:r>
      <w:r w:rsidRPr="00417613">
        <w:rPr>
          <w:lang w:eastAsia="en-AU"/>
        </w:rPr>
        <w:t>The population PK analyses submitted with this application (BO17706, 03-0324-1751, 1025553, 1031796, 1025122) have previously been submitted multiple times to the TGA and were last evaluated in March 2013 (PM-2013-</w:t>
      </w:r>
      <w:r w:rsidR="00AE5CA9">
        <w:rPr>
          <w:lang w:eastAsia="en-AU"/>
        </w:rPr>
        <w:t>00709-1-4</w:t>
      </w:r>
      <w:r w:rsidRPr="00417613">
        <w:rPr>
          <w:lang w:eastAsia="en-AU"/>
        </w:rPr>
        <w:t>). Therefore, these analyses have not been re-evaluated</w:t>
      </w:r>
      <w:r>
        <w:rPr>
          <w:lang w:eastAsia="en-AU"/>
        </w:rPr>
        <w:t>.</w:t>
      </w:r>
    </w:p>
    <w:p w:rsidR="00605AD4" w:rsidRDefault="00605AD4" w:rsidP="00605AD4">
      <w:pPr>
        <w:pStyle w:val="Heading4"/>
      </w:pPr>
      <w:r>
        <w:t>Evaluator’s conclusions on pharmacokinetics</w:t>
      </w:r>
    </w:p>
    <w:p w:rsidR="00E76D66" w:rsidRPr="00417613" w:rsidRDefault="00E76D66" w:rsidP="00E76D66">
      <w:pPr>
        <w:rPr>
          <w:lang w:eastAsia="en-AU"/>
        </w:rPr>
      </w:pPr>
      <w:r>
        <w:rPr>
          <w:lang w:eastAsia="en-AU"/>
        </w:rPr>
        <w:t>T</w:t>
      </w:r>
      <w:r w:rsidRPr="00417613">
        <w:rPr>
          <w:lang w:eastAsia="en-AU"/>
        </w:rPr>
        <w:t>here has been sufficient demonstration of comparable bevacizumab PK across multiple studies and tumour types during the development program, that it can be expected that the PK of bevacizumab in patients with cervical cancer is similar, and specific PK studies of bevacizumab in subjects with cervical cancer are not required. Relevant to the proposed indication, it is noted that gender and weight are influential covariates for bevacizumab, with slower clearance in lighter and female patients. However it is considered that the current weight based dosing regimen and experience from use in the currently approved indications of metastatic breast cancer and ovarian/fallopian tube cancer represents a sufficient understanding of dosing within female populations to enable the inference of similar dosing schedules to the cervical cancer setting.</w:t>
      </w:r>
    </w:p>
    <w:p w:rsidR="00E76D66" w:rsidRDefault="00E76D66" w:rsidP="00E76D66">
      <w:pPr>
        <w:rPr>
          <w:lang w:eastAsia="en-AU"/>
        </w:rPr>
      </w:pPr>
      <w:r w:rsidRPr="00417613">
        <w:rPr>
          <w:lang w:eastAsia="en-AU"/>
        </w:rPr>
        <w:t>The lack of drug-drug interaction data for bevacizumab in combination with the chemotherapy agents used in Study GOG-0240 (topotecan, paclitaxel, or cisplatin) and suggested for use in the proposed indication for this application is a limitation, and close attention needs to be paid to possible adverse effects in the safety analysis.</w:t>
      </w:r>
      <w:bookmarkStart w:id="48" w:name="_Toc196046481"/>
      <w:bookmarkStart w:id="49" w:name="_Toc247691520"/>
      <w:bookmarkStart w:id="50" w:name="_Toc314842503"/>
    </w:p>
    <w:p w:rsidR="008E7846" w:rsidRDefault="008E7846" w:rsidP="00E76D66">
      <w:pPr>
        <w:pStyle w:val="Heading3"/>
      </w:pPr>
      <w:bookmarkStart w:id="51" w:name="_Toc482191398"/>
      <w:r w:rsidRPr="00254787">
        <w:t>Pharmacodynamics</w:t>
      </w:r>
      <w:bookmarkEnd w:id="39"/>
      <w:bookmarkEnd w:id="48"/>
      <w:bookmarkEnd w:id="49"/>
      <w:bookmarkEnd w:id="50"/>
      <w:bookmarkEnd w:id="51"/>
    </w:p>
    <w:p w:rsidR="00E76D66" w:rsidRPr="00586F98" w:rsidRDefault="00E76D66" w:rsidP="00E76D66">
      <w:pPr>
        <w:rPr>
          <w:lang w:eastAsia="ja-JP"/>
        </w:rPr>
      </w:pPr>
      <w:r w:rsidRPr="00417613">
        <w:rPr>
          <w:rFonts w:eastAsia="Times New Roman"/>
          <w:kern w:val="16"/>
          <w:szCs w:val="24"/>
          <w:lang w:eastAsia="en-AU"/>
        </w:rPr>
        <w:t>No new pharmacodynamic data was provided with this submission</w:t>
      </w:r>
      <w:r>
        <w:rPr>
          <w:rFonts w:eastAsia="Times New Roman"/>
          <w:kern w:val="16"/>
          <w:szCs w:val="24"/>
          <w:lang w:eastAsia="en-AU"/>
        </w:rPr>
        <w:t>.</w:t>
      </w:r>
    </w:p>
    <w:p w:rsidR="008E7846" w:rsidRDefault="00605AD4" w:rsidP="00605AD4">
      <w:pPr>
        <w:pStyle w:val="Heading3"/>
      </w:pPr>
      <w:bookmarkStart w:id="52" w:name="_Toc482191399"/>
      <w:r>
        <w:t>Dosage selection for the pivotal studies</w:t>
      </w:r>
      <w:bookmarkEnd w:id="52"/>
    </w:p>
    <w:p w:rsidR="00E76D66" w:rsidRDefault="00E76D66" w:rsidP="00E76D66">
      <w:pPr>
        <w:rPr>
          <w:lang w:eastAsia="en-AU"/>
        </w:rPr>
      </w:pPr>
      <w:r w:rsidRPr="00417613">
        <w:rPr>
          <w:lang w:eastAsia="en-AU"/>
        </w:rPr>
        <w:t xml:space="preserve">The dose of </w:t>
      </w:r>
      <w:proofErr w:type="spellStart"/>
      <w:r w:rsidRPr="00417613">
        <w:rPr>
          <w:lang w:eastAsia="en-AU"/>
        </w:rPr>
        <w:t>bevacizumab</w:t>
      </w:r>
      <w:proofErr w:type="spellEnd"/>
      <w:r w:rsidRPr="00417613">
        <w:rPr>
          <w:lang w:eastAsia="en-AU"/>
        </w:rPr>
        <w:t xml:space="preserve"> </w:t>
      </w:r>
      <w:r w:rsidR="003C6DF6">
        <w:rPr>
          <w:lang w:eastAsia="en-AU"/>
        </w:rPr>
        <w:t>(</w:t>
      </w:r>
      <w:proofErr w:type="spellStart"/>
      <w:r w:rsidR="003C6DF6">
        <w:rPr>
          <w:lang w:eastAsia="en-AU"/>
        </w:rPr>
        <w:t>Bv</w:t>
      </w:r>
      <w:proofErr w:type="spellEnd"/>
      <w:r w:rsidR="003C6DF6">
        <w:rPr>
          <w:lang w:eastAsia="en-AU"/>
        </w:rPr>
        <w:t xml:space="preserve">) </w:t>
      </w:r>
      <w:r w:rsidRPr="00417613">
        <w:rPr>
          <w:lang w:eastAsia="en-AU"/>
        </w:rPr>
        <w:t xml:space="preserve">selected for use in the pivotal </w:t>
      </w:r>
      <w:r>
        <w:rPr>
          <w:lang w:eastAsia="en-AU"/>
        </w:rPr>
        <w:t>Study</w:t>
      </w:r>
      <w:r w:rsidRPr="00417613">
        <w:rPr>
          <w:lang w:eastAsia="en-AU"/>
        </w:rPr>
        <w:t xml:space="preserve"> GOG-0240 in combination with chemotherapy in patients with persistent, recurrent of stage IVB carcinoma of the cervix, was </w:t>
      </w:r>
      <w:r>
        <w:rPr>
          <w:lang w:eastAsia="en-AU"/>
        </w:rPr>
        <w:t>15 mg</w:t>
      </w:r>
      <w:r w:rsidRPr="00417613">
        <w:rPr>
          <w:lang w:eastAsia="en-AU"/>
        </w:rPr>
        <w:t xml:space="preserve">/kg IV every 3 weeks. This dosage was based on the most commonly used dose of bevacizumab that has been shown to be effective and safe when added to chemotherapy regimens in solid tumours, and is used for currently </w:t>
      </w:r>
      <w:r w:rsidRPr="00417613">
        <w:rPr>
          <w:lang w:eastAsia="en-AU"/>
        </w:rPr>
        <w:lastRenderedPageBreak/>
        <w:t xml:space="preserve">registered indications. In addition the </w:t>
      </w:r>
      <w:r>
        <w:rPr>
          <w:lang w:eastAsia="en-AU"/>
        </w:rPr>
        <w:t>sponsor</w:t>
      </w:r>
      <w:r w:rsidRPr="00417613">
        <w:rPr>
          <w:lang w:eastAsia="en-AU"/>
        </w:rPr>
        <w:t xml:space="preserve"> cited two earlier independent studies in patien</w:t>
      </w:r>
      <w:r w:rsidR="00AE5CA9">
        <w:rPr>
          <w:lang w:eastAsia="en-AU"/>
        </w:rPr>
        <w:t>ts with carcinoma of the cervix.</w:t>
      </w:r>
    </w:p>
    <w:p w:rsidR="00E76D66" w:rsidRDefault="00E76D66" w:rsidP="00E76D66">
      <w:pPr>
        <w:pStyle w:val="Heading4"/>
        <w:rPr>
          <w:lang w:eastAsia="en-AU"/>
        </w:rPr>
      </w:pPr>
      <w:r w:rsidRPr="00017149">
        <w:t>Study GOG-0227C</w:t>
      </w:r>
    </w:p>
    <w:p w:rsidR="00E76D66" w:rsidRDefault="00E76D66" w:rsidP="00E76D66">
      <w:pPr>
        <w:rPr>
          <w:lang w:eastAsia="en-AU"/>
        </w:rPr>
      </w:pPr>
      <w:r>
        <w:t xml:space="preserve">Study GOG-0227C </w:t>
      </w:r>
      <w:r w:rsidRPr="00017149">
        <w:t xml:space="preserve">was a </w:t>
      </w:r>
      <w:r>
        <w:t>Phase</w:t>
      </w:r>
      <w:r w:rsidRPr="00017149">
        <w:t xml:space="preserve"> II trial (2009) to assess the efficacy and tolerability of </w:t>
      </w:r>
      <w:r>
        <w:t>single agent</w:t>
      </w:r>
      <w:r w:rsidRPr="00017149">
        <w:t xml:space="preserve"> bevacizumab in patients with persistent or recurrent cervical cancer. Treatment consisted of bevacizumab </w:t>
      </w:r>
      <w:r>
        <w:t>15 mg</w:t>
      </w:r>
      <w:r w:rsidRPr="00017149">
        <w:t>/kg IV every 21 days until disease progression or prohibitive toxicity. Primary endpoints were progression-free survival (PFS) at 6 months and toxicity. 46 patients were enrolled, all of whom had had prior cytotoxic regime</w:t>
      </w:r>
      <w:r>
        <w:t>ns for recurrent disease and 38 </w:t>
      </w:r>
      <w:r w:rsidRPr="00017149">
        <w:t>(82.6%) had received prior radiation. It was assessed that bevacizumab was well tolerated and active in this group of patients</w:t>
      </w:r>
      <w:r>
        <w:t>.</w:t>
      </w:r>
      <w:bookmarkStart w:id="53" w:name="_Ref481747110"/>
      <w:r>
        <w:rPr>
          <w:rStyle w:val="FootnoteReference"/>
        </w:rPr>
        <w:footnoteReference w:id="1"/>
      </w:r>
      <w:bookmarkEnd w:id="53"/>
    </w:p>
    <w:p w:rsidR="00E76D66" w:rsidRDefault="00E76D66" w:rsidP="00E76D66">
      <w:pPr>
        <w:rPr>
          <w:lang w:eastAsia="en-AU"/>
        </w:rPr>
      </w:pPr>
      <w:r w:rsidRPr="00017149">
        <w:t>A retrospective analysis (2006) of six women with recurrent cervical cancer treated with bevacizumab combination therapy (5-flurouracil in 5</w:t>
      </w:r>
      <w:r w:rsidR="00CA0B25">
        <w:t xml:space="preserve"> patients and </w:t>
      </w:r>
      <w:proofErr w:type="spellStart"/>
      <w:r w:rsidR="00CA0B25">
        <w:t>capecitabine</w:t>
      </w:r>
      <w:proofErr w:type="spellEnd"/>
      <w:r w:rsidR="00CA0B25">
        <w:t xml:space="preserve"> in 1 </w:t>
      </w:r>
      <w:r w:rsidRPr="00017149">
        <w:t>patient). Bevacizumab was administered at a dose of 5</w:t>
      </w:r>
      <w:r>
        <w:t xml:space="preserve"> to 10 mg</w:t>
      </w:r>
      <w:r w:rsidRPr="00017149">
        <w:t xml:space="preserve">/kg IV at 2 weekly intervals in 5/6 subjects, and </w:t>
      </w:r>
      <w:r>
        <w:t>15 mg</w:t>
      </w:r>
      <w:r w:rsidRPr="00017149">
        <w:t xml:space="preserve">/kg every 3 weeks in the other subject. This small analysis found that treatment was well tolerated and </w:t>
      </w:r>
      <w:r>
        <w:t xml:space="preserve">there was clinical benefit in 4 out of </w:t>
      </w:r>
      <w:r w:rsidRPr="00017149">
        <w:t>6 subjects</w:t>
      </w:r>
      <w:r>
        <w:t>.</w:t>
      </w:r>
      <w:r>
        <w:rPr>
          <w:rStyle w:val="FootnoteReference"/>
        </w:rPr>
        <w:footnoteReference w:id="2"/>
      </w:r>
    </w:p>
    <w:p w:rsidR="00E76D66" w:rsidRPr="00417613" w:rsidRDefault="00E76D66" w:rsidP="00E76D66">
      <w:pPr>
        <w:pStyle w:val="Comment"/>
        <w:ind w:left="1134" w:hanging="1134"/>
        <w:rPr>
          <w:lang w:eastAsia="en-AU"/>
        </w:rPr>
      </w:pPr>
      <w:r w:rsidRPr="00017149">
        <w:rPr>
          <w:b/>
          <w:lang w:eastAsia="en-AU"/>
        </w:rPr>
        <w:t>Comment:</w:t>
      </w:r>
      <w:r w:rsidR="009D4AE1">
        <w:rPr>
          <w:lang w:eastAsia="en-AU"/>
        </w:rPr>
        <w:t xml:space="preserve"> </w:t>
      </w:r>
      <w:r w:rsidRPr="00417613">
        <w:rPr>
          <w:lang w:eastAsia="en-AU"/>
        </w:rPr>
        <w:t>Literature references were provided for the above two studies in the submission. However, as the full CSRs for these studies were not provided, a full evaluation was not performed.</w:t>
      </w:r>
    </w:p>
    <w:p w:rsidR="00E76D66" w:rsidRPr="00017149" w:rsidRDefault="00E76D66" w:rsidP="00E76D66">
      <w:pPr>
        <w:ind w:left="1134"/>
      </w:pPr>
      <w:r w:rsidRPr="00017149">
        <w:t xml:space="preserve">It is noted that the dose of bevacizumab used in </w:t>
      </w:r>
      <w:r>
        <w:t>Study</w:t>
      </w:r>
      <w:r w:rsidRPr="00017149">
        <w:t xml:space="preserve"> GOG-0227C and ultimately selected for pivotal </w:t>
      </w:r>
      <w:r>
        <w:t>Study</w:t>
      </w:r>
      <w:r w:rsidRPr="00017149">
        <w:t xml:space="preserve"> GOG-0240 of </w:t>
      </w:r>
      <w:r>
        <w:t>15 mg</w:t>
      </w:r>
      <w:r w:rsidRPr="00017149">
        <w:t>/kg IV every 3 weeks is consistent with currently approved treatment regimens for other indications and for which the safety profile has been established, including in combination with other chemotherapy agents.</w:t>
      </w:r>
    </w:p>
    <w:p w:rsidR="00E76D66" w:rsidRPr="00017149" w:rsidRDefault="00E76D66" w:rsidP="00E76D66">
      <w:pPr>
        <w:ind w:left="1134"/>
      </w:pPr>
      <w:r w:rsidRPr="00017149">
        <w:t xml:space="preserve">In contrast to the </w:t>
      </w:r>
      <w:r>
        <w:t>sponsor</w:t>
      </w:r>
      <w:r w:rsidRPr="00017149">
        <w:t xml:space="preserve">’s claim in the </w:t>
      </w:r>
      <w:r>
        <w:t xml:space="preserve">clinical overview </w:t>
      </w:r>
      <w:r w:rsidRPr="00017149">
        <w:t xml:space="preserve">regarding the 2006 retrospective analysis: ‘previous clinical trial experience in the metastatic cervical cancer setting demonstrated clinical activity and acceptable safety when bevacizumab was dosed at 15 mg/kg IV </w:t>
      </w:r>
      <w:r>
        <w:t>every 3 weeks</w:t>
      </w:r>
      <w:r w:rsidRPr="00017149">
        <w:t xml:space="preserve"> in combination with cytotoxic chemoth</w:t>
      </w:r>
      <w:r>
        <w:t xml:space="preserve">erapy’, it is noted that only 1 out of </w:t>
      </w:r>
      <w:r w:rsidRPr="00017149">
        <w:t>6 subjects in this analysis had the above dose of bevacizumab, and the chemotherapy agents used did not include those selected for the pivotal trial. Furthermore, a retrospective analysis of 6 patients provides a low level of evidence. Therefore, it is the opinion of this evaluator that this retrospective study does not provide sufficient supportive evidence for the dosage selection for bevacizumab in the current indication. None the less, even excluding this study, there is sufficient evidence from the use of bevacizumab at the selected dosage in combination with other chemotherapy agents for other registered indications to support the overall dosage selection.</w:t>
      </w:r>
    </w:p>
    <w:p w:rsidR="00E76D66" w:rsidRPr="00417613" w:rsidRDefault="00E76D66" w:rsidP="00E76D66">
      <w:pPr>
        <w:rPr>
          <w:lang w:eastAsia="en-AU"/>
        </w:rPr>
      </w:pPr>
      <w:r w:rsidRPr="00417613">
        <w:rPr>
          <w:lang w:eastAsia="en-AU"/>
        </w:rPr>
        <w:t>The chemotherapy combination cisplatin and paclitaxel wa</w:t>
      </w:r>
      <w:r>
        <w:rPr>
          <w:lang w:eastAsia="en-AU"/>
        </w:rPr>
        <w:t>s reported to be based on Study </w:t>
      </w:r>
      <w:r w:rsidRPr="00417613">
        <w:rPr>
          <w:lang w:eastAsia="en-AU"/>
        </w:rPr>
        <w:t xml:space="preserve">GOG-0204, where this combination showed favourable outcomes compared with other chemotherapy backbones. However, it is acknowledged by the </w:t>
      </w:r>
      <w:r>
        <w:rPr>
          <w:lang w:eastAsia="en-AU"/>
        </w:rPr>
        <w:t>sponsor</w:t>
      </w:r>
      <w:r w:rsidRPr="00417613">
        <w:rPr>
          <w:lang w:eastAsia="en-AU"/>
        </w:rPr>
        <w:t xml:space="preserve"> that the regimens employing topotecan and paclitaxel are experimental, with resulting concerns about the toxicity of this regimen (particularly with respect to myelosuppression and its related events) in addition to concerns about increased rates of serious and local complications caused by bevacizumab. The </w:t>
      </w:r>
      <w:r>
        <w:rPr>
          <w:lang w:eastAsia="en-AU"/>
        </w:rPr>
        <w:t>sponsor</w:t>
      </w:r>
      <w:r w:rsidRPr="00417613">
        <w:rPr>
          <w:lang w:eastAsia="en-AU"/>
        </w:rPr>
        <w:t xml:space="preserve">’s response to these concerns was </w:t>
      </w:r>
      <w:r w:rsidRPr="00417613">
        <w:rPr>
          <w:lang w:eastAsia="en-AU"/>
        </w:rPr>
        <w:lastRenderedPageBreak/>
        <w:t>close monitoring of these factors every 6 months to assess the additional risk associated with these regimens, in addition to usual adverse event monitoring.</w:t>
      </w:r>
    </w:p>
    <w:p w:rsidR="00E76D66" w:rsidRPr="00E76D66" w:rsidRDefault="00E76D66" w:rsidP="00D33373">
      <w:pPr>
        <w:pStyle w:val="Comment"/>
        <w:ind w:left="1134" w:hanging="1134"/>
        <w:rPr>
          <w:lang w:eastAsia="en-AU"/>
        </w:rPr>
      </w:pPr>
      <w:r w:rsidRPr="00017149">
        <w:rPr>
          <w:b/>
          <w:lang w:eastAsia="en-AU"/>
        </w:rPr>
        <w:t>Comment</w:t>
      </w:r>
      <w:r>
        <w:rPr>
          <w:lang w:eastAsia="en-AU"/>
        </w:rPr>
        <w:t xml:space="preserve">: </w:t>
      </w:r>
      <w:r w:rsidRPr="00417613">
        <w:rPr>
          <w:lang w:eastAsia="en-AU"/>
        </w:rPr>
        <w:t xml:space="preserve">Overall, </w:t>
      </w:r>
      <w:r>
        <w:rPr>
          <w:lang w:eastAsia="en-AU"/>
        </w:rPr>
        <w:t>the clinical</w:t>
      </w:r>
      <w:r w:rsidRPr="00417613">
        <w:rPr>
          <w:lang w:eastAsia="en-AU"/>
        </w:rPr>
        <w:t xml:space="preserve"> evaluator </w:t>
      </w:r>
      <w:r>
        <w:rPr>
          <w:lang w:eastAsia="en-AU"/>
        </w:rPr>
        <w:t>was</w:t>
      </w:r>
      <w:r w:rsidRPr="00417613">
        <w:rPr>
          <w:lang w:eastAsia="en-AU"/>
        </w:rPr>
        <w:t xml:space="preserve"> satisfied regarding the rationale for the </w:t>
      </w:r>
      <w:proofErr w:type="gramStart"/>
      <w:r w:rsidRPr="00417613">
        <w:rPr>
          <w:lang w:eastAsia="en-AU"/>
        </w:rPr>
        <w:t>dose</w:t>
      </w:r>
      <w:r w:rsidR="009D4AE1">
        <w:rPr>
          <w:lang w:eastAsia="en-AU"/>
        </w:rPr>
        <w:t xml:space="preserve"> </w:t>
      </w:r>
      <w:r w:rsidR="006022AD">
        <w:rPr>
          <w:lang w:eastAsia="en-AU"/>
        </w:rPr>
        <w:t xml:space="preserve"> </w:t>
      </w:r>
      <w:r w:rsidRPr="00417613">
        <w:rPr>
          <w:lang w:eastAsia="en-AU"/>
        </w:rPr>
        <w:t>of</w:t>
      </w:r>
      <w:proofErr w:type="gramEnd"/>
      <w:r w:rsidRPr="00417613">
        <w:rPr>
          <w:lang w:eastAsia="en-AU"/>
        </w:rPr>
        <w:t xml:space="preserve"> </w:t>
      </w:r>
      <w:proofErr w:type="spellStart"/>
      <w:r w:rsidRPr="00417613">
        <w:rPr>
          <w:lang w:eastAsia="en-AU"/>
        </w:rPr>
        <w:t>bevacizumab</w:t>
      </w:r>
      <w:proofErr w:type="spellEnd"/>
      <w:r w:rsidRPr="00417613">
        <w:rPr>
          <w:lang w:eastAsia="en-AU"/>
        </w:rPr>
        <w:t xml:space="preserve"> selected for the pivotal trial. However, in light of the experimental nature of the chemotherapy backbones (particularly topotecan and paclitaxel) and their combination with bevacizumab, close attention will ne</w:t>
      </w:r>
      <w:r>
        <w:rPr>
          <w:lang w:eastAsia="en-AU"/>
        </w:rPr>
        <w:t>ed to be paid to safety issues.</w:t>
      </w:r>
    </w:p>
    <w:p w:rsidR="008E7846" w:rsidRDefault="008E7846" w:rsidP="008E7846">
      <w:pPr>
        <w:pStyle w:val="Heading3"/>
      </w:pPr>
      <w:bookmarkStart w:id="54" w:name="_Toc163441372"/>
      <w:bookmarkStart w:id="55" w:name="_Toc196046485"/>
      <w:bookmarkStart w:id="56" w:name="_Toc247691521"/>
      <w:bookmarkStart w:id="57" w:name="_Toc314842504"/>
      <w:bookmarkStart w:id="58" w:name="_Toc482191400"/>
      <w:r w:rsidRPr="00254787">
        <w:t>Efficacy</w:t>
      </w:r>
      <w:bookmarkEnd w:id="54"/>
      <w:bookmarkEnd w:id="55"/>
      <w:bookmarkEnd w:id="56"/>
      <w:bookmarkEnd w:id="57"/>
      <w:bookmarkEnd w:id="58"/>
    </w:p>
    <w:p w:rsidR="00E76D66" w:rsidRPr="00E76D66" w:rsidRDefault="00E76D66" w:rsidP="00E76D66">
      <w:bookmarkStart w:id="59" w:name="_Toc400531351"/>
      <w:bookmarkStart w:id="60" w:name="_Toc478549857"/>
      <w:r>
        <w:t>The clinical efficacy is assessed for p</w:t>
      </w:r>
      <w:r w:rsidRPr="005B6F65">
        <w:t>ersistent, recurrent of Stage IV carcinoma of the cervix</w:t>
      </w:r>
      <w:bookmarkEnd w:id="59"/>
      <w:bookmarkEnd w:id="60"/>
      <w:r>
        <w:t>.</w:t>
      </w:r>
    </w:p>
    <w:p w:rsidR="00605AD4" w:rsidRDefault="00605AD4" w:rsidP="00605AD4">
      <w:pPr>
        <w:pStyle w:val="Heading4"/>
      </w:pPr>
      <w:bookmarkStart w:id="61" w:name="_Toc184439992"/>
      <w:bookmarkStart w:id="62" w:name="_Toc184440279"/>
      <w:bookmarkStart w:id="63" w:name="_Toc184444657"/>
      <w:bookmarkStart w:id="64" w:name="_Toc196046487"/>
      <w:r>
        <w:t>Studies providing efficacy data</w:t>
      </w:r>
    </w:p>
    <w:p w:rsidR="00E76D66" w:rsidRDefault="00E76D66" w:rsidP="00E76D66">
      <w:bookmarkStart w:id="65" w:name="_Ref271037274"/>
      <w:bookmarkStart w:id="66" w:name="_Toc272414652"/>
      <w:bookmarkStart w:id="67" w:name="_Toc290846274"/>
      <w:bookmarkStart w:id="68" w:name="_Toc400531352"/>
      <w:bookmarkStart w:id="69" w:name="_Toc478549858"/>
      <w:proofErr w:type="gramStart"/>
      <w:r>
        <w:t xml:space="preserve">Pivotal efficacy </w:t>
      </w:r>
      <w:bookmarkEnd w:id="65"/>
      <w:bookmarkEnd w:id="66"/>
      <w:bookmarkEnd w:id="67"/>
      <w:r>
        <w:t>Study</w:t>
      </w:r>
      <w:bookmarkEnd w:id="68"/>
      <w:bookmarkEnd w:id="69"/>
      <w:r>
        <w:t xml:space="preserve"> GOG-0240</w:t>
      </w:r>
      <w:r w:rsidR="00CA0B25">
        <w:t>.</w:t>
      </w:r>
      <w:proofErr w:type="gramEnd"/>
    </w:p>
    <w:p w:rsidR="00630B7C" w:rsidRPr="00E76D66" w:rsidRDefault="00630B7C" w:rsidP="00E76D66">
      <w:r w:rsidRPr="005C749F">
        <w:t>For full details of the evaluation of the efficacy study please see Attachment 2</w:t>
      </w:r>
      <w:r w:rsidR="00AE5CA9" w:rsidRPr="005C749F">
        <w:t>, extract from the CER</w:t>
      </w:r>
      <w:r w:rsidRPr="005C749F">
        <w:t>.</w:t>
      </w:r>
    </w:p>
    <w:p w:rsidR="008E7846" w:rsidRDefault="00605AD4" w:rsidP="00605AD4">
      <w:pPr>
        <w:pStyle w:val="Heading4"/>
      </w:pPr>
      <w:r>
        <w:t>Evaluator’s conclusions on efficacy</w:t>
      </w:r>
    </w:p>
    <w:p w:rsidR="00630B7C" w:rsidRPr="00676ED5" w:rsidRDefault="00630B7C" w:rsidP="00630B7C">
      <w:r w:rsidRPr="00676ED5">
        <w:t xml:space="preserve">Study GOG-0240 employed a </w:t>
      </w:r>
      <w:r>
        <w:t>2 x 2</w:t>
      </w:r>
      <w:r w:rsidRPr="00676ED5">
        <w:t xml:space="preserve"> factorial design, and therefore simultaneously tested two different hypotheses:</w:t>
      </w:r>
    </w:p>
    <w:p w:rsidR="00630B7C" w:rsidRPr="00676ED5" w:rsidRDefault="00630B7C" w:rsidP="00630B7C">
      <w:pPr>
        <w:pStyle w:val="ListBullet"/>
        <w:numPr>
          <w:ilvl w:val="0"/>
          <w:numId w:val="39"/>
        </w:numPr>
      </w:pPr>
      <w:r w:rsidRPr="004E1FE0">
        <w:t>H</w:t>
      </w:r>
      <w:r w:rsidRPr="00A44ABC">
        <w:rPr>
          <w:vertAlign w:val="subscript"/>
        </w:rPr>
        <w:t>01</w:t>
      </w:r>
      <w:r w:rsidRPr="00676ED5">
        <w:t>:</w:t>
      </w:r>
      <w:r>
        <w:t xml:space="preserve"> </w:t>
      </w:r>
      <w:r w:rsidRPr="00676ED5">
        <w:t>Whether bevacizumab in combination with chemotherapy (either Cis</w:t>
      </w:r>
      <w:r>
        <w:rPr>
          <w:lang w:eastAsia="en-AU"/>
        </w:rPr>
        <w:t>+</w:t>
      </w:r>
      <w:r w:rsidR="003C6DF6" w:rsidRPr="003C6DF6">
        <w:rPr>
          <w:rFonts w:eastAsia="Times New Roman"/>
          <w:kern w:val="16"/>
          <w:szCs w:val="24"/>
        </w:rPr>
        <w:t xml:space="preserve"> </w:t>
      </w:r>
      <w:r w:rsidR="003C6DF6">
        <w:rPr>
          <w:rFonts w:eastAsia="Times New Roman"/>
          <w:kern w:val="16"/>
          <w:szCs w:val="24"/>
        </w:rPr>
        <w:t>paclitaxel</w:t>
      </w:r>
      <w:r w:rsidR="003C6DF6" w:rsidRPr="00676ED5">
        <w:t xml:space="preserve"> </w:t>
      </w:r>
      <w:r w:rsidR="003C6DF6">
        <w:t>(</w:t>
      </w:r>
      <w:r w:rsidRPr="00676ED5">
        <w:t>Pac</w:t>
      </w:r>
      <w:r w:rsidR="003C6DF6">
        <w:t>)</w:t>
      </w:r>
      <w:r w:rsidRPr="00676ED5">
        <w:t xml:space="preserve"> or </w:t>
      </w:r>
      <w:r w:rsidR="003C6DF6">
        <w:rPr>
          <w:rFonts w:eastAsia="Times New Roman"/>
          <w:kern w:val="16"/>
          <w:szCs w:val="24"/>
        </w:rPr>
        <w:t>topotecan</w:t>
      </w:r>
      <w:r w:rsidR="003C6DF6" w:rsidRPr="00676ED5">
        <w:t xml:space="preserve"> </w:t>
      </w:r>
      <w:r w:rsidR="003C6DF6">
        <w:t>(</w:t>
      </w:r>
      <w:r w:rsidRPr="00676ED5">
        <w:t>Top</w:t>
      </w:r>
      <w:proofErr w:type="gramStart"/>
      <w:r w:rsidR="003C6DF6">
        <w:t>)</w:t>
      </w:r>
      <w:r>
        <w:rPr>
          <w:lang w:eastAsia="en-AU"/>
        </w:rPr>
        <w:t>+</w:t>
      </w:r>
      <w:proofErr w:type="gramEnd"/>
      <w:r w:rsidRPr="00676ED5">
        <w:t>Pac) improved overall survival (OS) (OS analysis by bevacizumab treatment) in patients with stage IVB, recurrent or persistent carcinoma of the cervix.</w:t>
      </w:r>
    </w:p>
    <w:p w:rsidR="00630B7C" w:rsidRPr="00676ED5" w:rsidRDefault="00630B7C" w:rsidP="00630B7C">
      <w:pPr>
        <w:pStyle w:val="ListBullet"/>
        <w:numPr>
          <w:ilvl w:val="0"/>
          <w:numId w:val="39"/>
        </w:numPr>
      </w:pPr>
      <w:r w:rsidRPr="004E1FE0">
        <w:t>H</w:t>
      </w:r>
      <w:r w:rsidRPr="00A44ABC">
        <w:rPr>
          <w:vertAlign w:val="subscript"/>
        </w:rPr>
        <w:t>02</w:t>
      </w:r>
      <w:r w:rsidRPr="00676ED5">
        <w:t xml:space="preserve">: Whether </w:t>
      </w:r>
      <w:proofErr w:type="spellStart"/>
      <w:r w:rsidRPr="00676ED5">
        <w:t>Top</w:t>
      </w:r>
      <w:r>
        <w:rPr>
          <w:lang w:eastAsia="en-AU"/>
        </w:rPr>
        <w:t>+</w:t>
      </w:r>
      <w:r w:rsidRPr="00676ED5">
        <w:t>Pac</w:t>
      </w:r>
      <w:proofErr w:type="spellEnd"/>
      <w:r w:rsidRPr="00676ED5">
        <w:t xml:space="preserve"> with or without bevacizumab improves OS in comparison to </w:t>
      </w:r>
      <w:proofErr w:type="spellStart"/>
      <w:r w:rsidRPr="00676ED5">
        <w:t>Cis</w:t>
      </w:r>
      <w:r>
        <w:rPr>
          <w:lang w:eastAsia="en-AU"/>
        </w:rPr>
        <w:t>+</w:t>
      </w:r>
      <w:r w:rsidRPr="00676ED5">
        <w:t>Pac</w:t>
      </w:r>
      <w:proofErr w:type="spellEnd"/>
      <w:r w:rsidRPr="00676ED5">
        <w:t xml:space="preserve"> with or without bevacizumab (OS analysis by chemotherapy backbone) in patients with stage IVB, recurrent or persistent carcinoma of the cervix.</w:t>
      </w:r>
    </w:p>
    <w:p w:rsidR="00630B7C" w:rsidRPr="00676ED5" w:rsidRDefault="00630B7C" w:rsidP="00630B7C">
      <w:r w:rsidRPr="00676ED5">
        <w:t>As was noted earlier, the subjects included in this pivotal trial were for a narrower indication than is proposed in this submission (persistent, recurrent or Stage IV carcinoma of the cervix).</w:t>
      </w:r>
    </w:p>
    <w:p w:rsidR="00630B7C" w:rsidRPr="00676ED5" w:rsidRDefault="00630B7C" w:rsidP="00630B7C">
      <w:r w:rsidRPr="00676ED5">
        <w:t xml:space="preserve">Subjects were randomised to one of four treatment arms, however a limitation of this study is that it was an </w:t>
      </w:r>
      <w:r>
        <w:t>open label</w:t>
      </w:r>
      <w:r w:rsidRPr="00676ED5">
        <w:t xml:space="preserve"> study and treatment and assessment were not blinded.</w:t>
      </w:r>
    </w:p>
    <w:p w:rsidR="00630B7C" w:rsidRPr="00676ED5" w:rsidRDefault="00630B7C" w:rsidP="00630B7C">
      <w:r w:rsidRPr="00676ED5">
        <w:t>At the time of data cut-off for the analysis presented in the CSR (12 December 2012), 288 of a planned 346 OS events had occurred. At this point it was assessed that the efficacy boundary for this primary endpoint had been reached with regards to the bevacizumab hypothesis (</w:t>
      </w:r>
      <w:r w:rsidRPr="004E1FE0">
        <w:t>H</w:t>
      </w:r>
      <w:r w:rsidRPr="00A44ABC">
        <w:rPr>
          <w:vertAlign w:val="subscript"/>
        </w:rPr>
        <w:t>01</w:t>
      </w:r>
      <w:r w:rsidRPr="00676ED5">
        <w:t>), however it is the opinion of this evaluator that the chemotherapy backbone hypothesis (</w:t>
      </w:r>
      <w:r w:rsidRPr="004E1FE0">
        <w:t>H</w:t>
      </w:r>
      <w:r w:rsidRPr="00A44ABC">
        <w:rPr>
          <w:vertAlign w:val="subscript"/>
        </w:rPr>
        <w:t>02</w:t>
      </w:r>
      <w:r w:rsidRPr="00676ED5">
        <w:t>) should still be considered interim, and a final analysis is required when the planned 346 OS events have occurred.</w:t>
      </w:r>
    </w:p>
    <w:p w:rsidR="00630B7C" w:rsidRPr="00676ED5" w:rsidRDefault="00630B7C" w:rsidP="00630B7C">
      <w:pPr>
        <w:pStyle w:val="Heading4"/>
        <w:numPr>
          <w:ilvl w:val="2"/>
          <w:numId w:val="0"/>
        </w:numPr>
        <w:tabs>
          <w:tab w:val="num" w:pos="1134"/>
        </w:tabs>
        <w:adjustRightInd w:val="0"/>
        <w:snapToGrid w:val="0"/>
        <w:spacing w:before="120" w:after="120"/>
        <w:ind w:left="1134" w:hanging="964"/>
      </w:pPr>
      <w:r w:rsidRPr="004E1FE0">
        <w:t>H</w:t>
      </w:r>
      <w:r w:rsidRPr="00A44ABC">
        <w:rPr>
          <w:vertAlign w:val="subscript"/>
        </w:rPr>
        <w:t>01</w:t>
      </w:r>
      <w:r w:rsidRPr="0057246B">
        <w:t>:</w:t>
      </w:r>
      <w:r w:rsidRPr="00676ED5">
        <w:t xml:space="preserve"> Clinical efficacy by bevacizumab treatment</w:t>
      </w:r>
    </w:p>
    <w:p w:rsidR="00630B7C" w:rsidRPr="00676ED5" w:rsidRDefault="00630B7C" w:rsidP="00630B7C">
      <w:r w:rsidRPr="00676ED5">
        <w:t xml:space="preserve">In Study GOG-0240, the addition of bevacizumab to chemotherapy was found to demonstrate a statistically significant benefit in OS, with a </w:t>
      </w:r>
      <w:r w:rsidR="003C6DF6">
        <w:rPr>
          <w:rFonts w:eastAsia="Times New Roman"/>
          <w:kern w:val="16"/>
          <w:szCs w:val="24"/>
        </w:rPr>
        <w:t>hazard ratio</w:t>
      </w:r>
      <w:r w:rsidR="003C6DF6" w:rsidRPr="00676ED5">
        <w:t xml:space="preserve"> </w:t>
      </w:r>
      <w:r w:rsidR="003C6DF6">
        <w:t>(</w:t>
      </w:r>
      <w:r w:rsidRPr="00676ED5">
        <w:t>HR</w:t>
      </w:r>
      <w:r w:rsidR="003C6DF6">
        <w:t>)</w:t>
      </w:r>
      <w:r w:rsidRPr="00676ED5">
        <w:t xml:space="preserve"> of 0.74 (95% </w:t>
      </w:r>
      <w:r w:rsidR="003C6DF6">
        <w:rPr>
          <w:rFonts w:eastAsia="Times New Roman"/>
          <w:kern w:val="16"/>
          <w:szCs w:val="24"/>
        </w:rPr>
        <w:t>confidence interval</w:t>
      </w:r>
      <w:r w:rsidR="003C6DF6" w:rsidRPr="00676ED5">
        <w:t xml:space="preserve"> </w:t>
      </w:r>
      <w:r w:rsidR="003C6DF6">
        <w:t>(</w:t>
      </w:r>
      <w:r w:rsidRPr="00676ED5">
        <w:t>CI</w:t>
      </w:r>
      <w:r w:rsidR="003C6DF6">
        <w:t>)</w:t>
      </w:r>
      <w:r w:rsidRPr="00676ED5">
        <w:t xml:space="preserve"> 0.58-0.94, </w:t>
      </w:r>
      <w:r>
        <w:t xml:space="preserve">p = </w:t>
      </w:r>
      <w:r w:rsidRPr="00676ED5">
        <w:t xml:space="preserve">0.0132). The Kaplan-Meier-estimated median time to event was 12.9 months in the Chemo alone group and 16.8 months in the </w:t>
      </w:r>
      <w:proofErr w:type="spellStart"/>
      <w:r w:rsidRPr="00676ED5">
        <w:t>Chemo</w:t>
      </w:r>
      <w:r>
        <w:rPr>
          <w:lang w:eastAsia="en-AU"/>
        </w:rPr>
        <w:t>+</w:t>
      </w:r>
      <w:r w:rsidRPr="00676ED5">
        <w:t>Bv</w:t>
      </w:r>
      <w:proofErr w:type="spellEnd"/>
      <w:r w:rsidRPr="00676ED5">
        <w:t xml:space="preserve"> group, an improvement in the median OS of 3.9 months. It is agreed that this improvement is clinically significant in a patient population with limited options.</w:t>
      </w:r>
    </w:p>
    <w:p w:rsidR="00630B7C" w:rsidRPr="00676ED5" w:rsidRDefault="00630B7C" w:rsidP="00630B7C">
      <w:r w:rsidRPr="00676ED5">
        <w:lastRenderedPageBreak/>
        <w:t>Although this study was not powered to detect interaction, the effect of any potential interaction between bevacizumab and chemotherapy treatments will not affect the interpretation of the results for this hypothesis (</w:t>
      </w:r>
      <w:r w:rsidRPr="004E1FE0">
        <w:t>H</w:t>
      </w:r>
      <w:r w:rsidRPr="00A44ABC">
        <w:rPr>
          <w:vertAlign w:val="subscript"/>
        </w:rPr>
        <w:t>01</w:t>
      </w:r>
      <w:r w:rsidRPr="00676ED5">
        <w:t>).</w:t>
      </w:r>
    </w:p>
    <w:p w:rsidR="00630B7C" w:rsidRPr="00676ED5" w:rsidRDefault="00630B7C" w:rsidP="00630B7C">
      <w:r w:rsidRPr="00676ED5">
        <w:t xml:space="preserve">This improvement in OS was supported by the secondary endpoints of PFS and </w:t>
      </w:r>
      <w:r w:rsidR="003C6DF6">
        <w:rPr>
          <w:rFonts w:eastAsia="Times New Roman"/>
          <w:kern w:val="16"/>
          <w:szCs w:val="24"/>
        </w:rPr>
        <w:t>objective response rate</w:t>
      </w:r>
      <w:r w:rsidR="003C6DF6" w:rsidRPr="00676ED5">
        <w:t xml:space="preserve"> </w:t>
      </w:r>
      <w:r w:rsidR="003C6DF6">
        <w:t>(</w:t>
      </w:r>
      <w:r w:rsidRPr="00676ED5">
        <w:t>ORR</w:t>
      </w:r>
      <w:r w:rsidR="003C6DF6">
        <w:t>)</w:t>
      </w:r>
      <w:r w:rsidRPr="00676ED5">
        <w:t xml:space="preserve">. Median PFS was 8.3 months in the </w:t>
      </w:r>
      <w:proofErr w:type="spellStart"/>
      <w:r w:rsidRPr="00676ED5">
        <w:t>Chemo</w:t>
      </w:r>
      <w:r>
        <w:rPr>
          <w:lang w:eastAsia="en-AU"/>
        </w:rPr>
        <w:t>+</w:t>
      </w:r>
      <w:r w:rsidRPr="00676ED5">
        <w:t>Bv</w:t>
      </w:r>
      <w:proofErr w:type="spellEnd"/>
      <w:r w:rsidRPr="00676ED5">
        <w:t xml:space="preserve"> group compared to 6.0 months with Chemo alone (an improvement of 2.3 months), with a stratified HR of 0.66 (95% CI: 0.54, 0.81; log-rank p-value </w:t>
      </w:r>
      <w:r>
        <w:t>&lt; </w:t>
      </w:r>
      <w:r w:rsidRPr="00676ED5">
        <w:t xml:space="preserve">0.0001). ORR was 45.4% in the </w:t>
      </w:r>
      <w:proofErr w:type="spellStart"/>
      <w:r w:rsidRPr="00676ED5">
        <w:t>Chemo</w:t>
      </w:r>
      <w:r>
        <w:rPr>
          <w:lang w:eastAsia="en-AU"/>
        </w:rPr>
        <w:t>+</w:t>
      </w:r>
      <w:r w:rsidRPr="00676ED5">
        <w:t>Bv</w:t>
      </w:r>
      <w:proofErr w:type="spellEnd"/>
      <w:r w:rsidRPr="00676ED5">
        <w:t xml:space="preserve"> group compared to 33.8% in the Chemo alone group, with an absolute difference of 11.6% between the two groups (95% CI: 2.4, 20.8; p-value [chi-squared] = 0.0117).</w:t>
      </w:r>
    </w:p>
    <w:p w:rsidR="00630B7C" w:rsidRPr="00676ED5" w:rsidRDefault="00630B7C" w:rsidP="00630B7C">
      <w:proofErr w:type="spellStart"/>
      <w:r w:rsidRPr="00676ED5">
        <w:t>HRQoL</w:t>
      </w:r>
      <w:proofErr w:type="spellEnd"/>
      <w:r w:rsidRPr="00676ED5">
        <w:t xml:space="preserve"> measures revealed a non-clinically significant small reduction in </w:t>
      </w:r>
      <w:proofErr w:type="spellStart"/>
      <w:r w:rsidRPr="00676ED5">
        <w:t>QoL</w:t>
      </w:r>
      <w:proofErr w:type="spellEnd"/>
      <w:r w:rsidRPr="00676ED5">
        <w:t xml:space="preserve"> in the </w:t>
      </w:r>
      <w:proofErr w:type="spellStart"/>
      <w:r w:rsidRPr="00676ED5">
        <w:t>Chemo</w:t>
      </w:r>
      <w:r>
        <w:rPr>
          <w:lang w:eastAsia="en-AU"/>
        </w:rPr>
        <w:t>+</w:t>
      </w:r>
      <w:r w:rsidRPr="00676ED5">
        <w:t>Bv</w:t>
      </w:r>
      <w:proofErr w:type="spellEnd"/>
      <w:r w:rsidRPr="00676ED5">
        <w:t xml:space="preserve"> group compared to the Chemo alone group. A similar increase in neurotoxicity was observed in both the </w:t>
      </w:r>
      <w:proofErr w:type="spellStart"/>
      <w:r w:rsidRPr="00676ED5">
        <w:t>Chemo</w:t>
      </w:r>
      <w:r>
        <w:rPr>
          <w:lang w:eastAsia="en-AU"/>
        </w:rPr>
        <w:t>+</w:t>
      </w:r>
      <w:r w:rsidRPr="00676ED5">
        <w:t>Bv</w:t>
      </w:r>
      <w:proofErr w:type="spellEnd"/>
      <w:r w:rsidRPr="00676ED5">
        <w:t xml:space="preserve"> groups and the Chemo alone groups, and</w:t>
      </w:r>
      <w:r w:rsidR="003C6DF6" w:rsidRPr="00676ED5">
        <w:t xml:space="preserve"> </w:t>
      </w:r>
      <w:r w:rsidR="003C6DF6">
        <w:rPr>
          <w:rFonts w:eastAsia="Times New Roman"/>
          <w:kern w:val="16"/>
          <w:szCs w:val="24"/>
        </w:rPr>
        <w:t>brief pain inventory</w:t>
      </w:r>
      <w:r w:rsidR="003C6DF6" w:rsidRPr="00676ED5">
        <w:t xml:space="preserve"> </w:t>
      </w:r>
      <w:r w:rsidR="003C6DF6">
        <w:t>(</w:t>
      </w:r>
      <w:r w:rsidRPr="00676ED5">
        <w:t>BPI</w:t>
      </w:r>
      <w:r w:rsidR="003C6DF6">
        <w:t>)</w:t>
      </w:r>
      <w:r w:rsidRPr="00676ED5">
        <w:t xml:space="preserve"> Worst pain item mean scores decreased over time, and were slightly worse in the </w:t>
      </w:r>
      <w:proofErr w:type="spellStart"/>
      <w:r w:rsidRPr="00676ED5">
        <w:t>Chemo</w:t>
      </w:r>
      <w:r>
        <w:rPr>
          <w:lang w:eastAsia="en-AU"/>
        </w:rPr>
        <w:t>+</w:t>
      </w:r>
      <w:r w:rsidRPr="00676ED5">
        <w:t>Bv</w:t>
      </w:r>
      <w:proofErr w:type="spellEnd"/>
      <w:r w:rsidRPr="00676ED5">
        <w:t xml:space="preserve"> arm compared to the Chemo alone arm, potentially due to the greater proportion of patients surviving in this arm of the study.</w:t>
      </w:r>
    </w:p>
    <w:p w:rsidR="00630B7C" w:rsidRPr="00676ED5" w:rsidRDefault="00630B7C" w:rsidP="00630B7C">
      <w:r w:rsidRPr="00676ED5">
        <w:t>However, overall it is concluded that the efficacy results of Study GOG-0240 support the addition of bevacizumab to chemotherapy treatment in the treatment of advanced cervical cancer.</w:t>
      </w:r>
    </w:p>
    <w:p w:rsidR="00630B7C" w:rsidRPr="00676ED5" w:rsidRDefault="00630B7C" w:rsidP="00630B7C">
      <w:pPr>
        <w:pStyle w:val="Heading4"/>
        <w:numPr>
          <w:ilvl w:val="2"/>
          <w:numId w:val="0"/>
        </w:numPr>
        <w:tabs>
          <w:tab w:val="num" w:pos="1134"/>
        </w:tabs>
        <w:adjustRightInd w:val="0"/>
        <w:snapToGrid w:val="0"/>
        <w:spacing w:before="120" w:after="120"/>
        <w:ind w:left="1134" w:hanging="964"/>
      </w:pPr>
      <w:r w:rsidRPr="004E1FE0">
        <w:t>H</w:t>
      </w:r>
      <w:r w:rsidRPr="00A44ABC">
        <w:rPr>
          <w:vertAlign w:val="subscript"/>
        </w:rPr>
        <w:t>02</w:t>
      </w:r>
      <w:r>
        <w:t xml:space="preserve">: </w:t>
      </w:r>
      <w:r w:rsidRPr="00676ED5">
        <w:t>Clinical efficacy by chemotherapy backbone</w:t>
      </w:r>
    </w:p>
    <w:p w:rsidR="00630B7C" w:rsidRPr="00676ED5" w:rsidRDefault="00630B7C" w:rsidP="00630B7C">
      <w:r w:rsidRPr="00676ED5">
        <w:t>This evaluation has identified several unresolved issues that impact on the interpretation of the results for the analysis by chemotherapy backbone. These include:</w:t>
      </w:r>
    </w:p>
    <w:p w:rsidR="00630B7C" w:rsidRPr="00676ED5" w:rsidRDefault="00630B7C" w:rsidP="00630B7C">
      <w:pPr>
        <w:pStyle w:val="ListBullet"/>
        <w:numPr>
          <w:ilvl w:val="0"/>
          <w:numId w:val="39"/>
        </w:numPr>
      </w:pPr>
      <w:r w:rsidRPr="00676ED5">
        <w:t>The efficacy boundary for this hypothesis had not been reached at the time of the data cut-off for this analysis, and therefore results should be considered interim.</w:t>
      </w:r>
    </w:p>
    <w:p w:rsidR="00630B7C" w:rsidRPr="00676ED5" w:rsidRDefault="00630B7C" w:rsidP="00630B7C">
      <w:pPr>
        <w:pStyle w:val="ListBullet"/>
        <w:numPr>
          <w:ilvl w:val="0"/>
          <w:numId w:val="39"/>
        </w:numPr>
      </w:pPr>
      <w:r w:rsidRPr="00676ED5">
        <w:t xml:space="preserve">The interim results suggest there is a difference in efficacy between the two chemotherapy backbones </w:t>
      </w:r>
      <w:proofErr w:type="spellStart"/>
      <w:r w:rsidRPr="00676ED5">
        <w:t>Cis</w:t>
      </w:r>
      <w:r>
        <w:rPr>
          <w:lang w:eastAsia="en-AU"/>
        </w:rPr>
        <w:t>+</w:t>
      </w:r>
      <w:r w:rsidRPr="00676ED5">
        <w:t>Pac±Bv</w:t>
      </w:r>
      <w:proofErr w:type="spellEnd"/>
      <w:r w:rsidRPr="00676ED5">
        <w:t xml:space="preserve"> and </w:t>
      </w:r>
      <w:proofErr w:type="spellStart"/>
      <w:r w:rsidRPr="00676ED5">
        <w:t>Top</w:t>
      </w:r>
      <w:r>
        <w:rPr>
          <w:lang w:eastAsia="en-AU"/>
        </w:rPr>
        <w:t>+</w:t>
      </w:r>
      <w:r w:rsidRPr="00676ED5">
        <w:t>Pac±Bv</w:t>
      </w:r>
      <w:proofErr w:type="spellEnd"/>
      <w:r w:rsidRPr="00676ED5">
        <w:t xml:space="preserve">. There is a non-significant difference between the two arms for the primary endpoint of OS, with a median duration of 15.5 months in the </w:t>
      </w:r>
      <w:proofErr w:type="spellStart"/>
      <w:r w:rsidRPr="00676ED5">
        <w:t>Cis</w:t>
      </w:r>
      <w:r>
        <w:rPr>
          <w:lang w:eastAsia="en-AU"/>
        </w:rPr>
        <w:t>+</w:t>
      </w:r>
      <w:r w:rsidRPr="00676ED5">
        <w:t>Pac±Bv</w:t>
      </w:r>
      <w:proofErr w:type="spellEnd"/>
      <w:r w:rsidRPr="00676ED5">
        <w:t xml:space="preserve"> group and 13.3 months in the </w:t>
      </w:r>
      <w:proofErr w:type="spellStart"/>
      <w:r w:rsidRPr="00676ED5">
        <w:t>Top</w:t>
      </w:r>
      <w:r>
        <w:rPr>
          <w:lang w:eastAsia="en-AU"/>
        </w:rPr>
        <w:t>+</w:t>
      </w:r>
      <w:r w:rsidRPr="00676ED5">
        <w:t>Pac±Bv</w:t>
      </w:r>
      <w:proofErr w:type="spellEnd"/>
      <w:r w:rsidRPr="00676ED5">
        <w:t xml:space="preserve"> group (difference of 2.2 months), with HR 1.15 (95% CI: 0.91, 1.46, log-rank p-value=0.2326).</w:t>
      </w:r>
    </w:p>
    <w:p w:rsidR="00630B7C" w:rsidRPr="00676ED5" w:rsidRDefault="00630B7C" w:rsidP="00630B7C">
      <w:pPr>
        <w:pStyle w:val="ListBullet"/>
        <w:numPr>
          <w:ilvl w:val="0"/>
          <w:numId w:val="39"/>
        </w:numPr>
      </w:pPr>
      <w:r w:rsidRPr="00676ED5">
        <w:t xml:space="preserve">The primary OS results are complemented by statistically significant differences in the secondary endpoints of PFS and ORR between the chemotherapy backbone arms. The duration of PFS was 7.9 months in the </w:t>
      </w:r>
      <w:proofErr w:type="spellStart"/>
      <w:r w:rsidRPr="00676ED5">
        <w:t>Cis</w:t>
      </w:r>
      <w:r>
        <w:rPr>
          <w:lang w:eastAsia="en-AU"/>
        </w:rPr>
        <w:t>+</w:t>
      </w:r>
      <w:r w:rsidRPr="00676ED5">
        <w:t>Pac±Bv</w:t>
      </w:r>
      <w:proofErr w:type="spellEnd"/>
      <w:r w:rsidRPr="00676ED5">
        <w:t xml:space="preserve"> group comp</w:t>
      </w:r>
      <w:r>
        <w:t xml:space="preserve">ared with 5.8 months </w:t>
      </w:r>
      <w:r w:rsidRPr="00676ED5">
        <w:t xml:space="preserve">in the </w:t>
      </w:r>
      <w:proofErr w:type="spellStart"/>
      <w:r w:rsidRPr="00676ED5">
        <w:t>Top</w:t>
      </w:r>
      <w:r>
        <w:rPr>
          <w:lang w:eastAsia="en-AU"/>
        </w:rPr>
        <w:t>+</w:t>
      </w:r>
      <w:r w:rsidRPr="00676ED5">
        <w:t>Pac±Bv</w:t>
      </w:r>
      <w:proofErr w:type="spellEnd"/>
      <w:r w:rsidRPr="00676ED5">
        <w:t xml:space="preserve"> group (difference of 2.1 months) with a HR of 1.26 (95% CI: 1.02, 1.54; log-rank p-value = 0.0290). The ORR was 45.0% in the </w:t>
      </w:r>
      <w:proofErr w:type="spellStart"/>
      <w:r w:rsidRPr="00676ED5">
        <w:t>Cis</w:t>
      </w:r>
      <w:r>
        <w:rPr>
          <w:lang w:eastAsia="en-AU"/>
        </w:rPr>
        <w:t>+</w:t>
      </w:r>
      <w:r w:rsidRPr="00676ED5">
        <w:t>Pac±Bv</w:t>
      </w:r>
      <w:proofErr w:type="spellEnd"/>
      <w:r w:rsidRPr="00676ED5">
        <w:t xml:space="preserve"> group compared to 34.1% in the </w:t>
      </w:r>
      <w:proofErr w:type="spellStart"/>
      <w:r w:rsidRPr="00676ED5">
        <w:t>Top</w:t>
      </w:r>
      <w:r>
        <w:rPr>
          <w:lang w:eastAsia="en-AU"/>
        </w:rPr>
        <w:t>+</w:t>
      </w:r>
      <w:r w:rsidRPr="00676ED5">
        <w:t>Pac±Bv</w:t>
      </w:r>
      <w:proofErr w:type="spellEnd"/>
      <w:r w:rsidRPr="00676ED5">
        <w:t xml:space="preserve"> group, with a difference between the groups of 10.9% (95% CI: 1.7, 20.1; p-value [chi-squared] = 0.0179).</w:t>
      </w:r>
    </w:p>
    <w:p w:rsidR="00630B7C" w:rsidRPr="00676ED5" w:rsidRDefault="00630B7C" w:rsidP="00630B7C">
      <w:pPr>
        <w:pStyle w:val="ListBullet"/>
        <w:numPr>
          <w:ilvl w:val="0"/>
          <w:numId w:val="39"/>
        </w:numPr>
      </w:pPr>
      <w:r w:rsidRPr="00676ED5">
        <w:t>Due to insufficient study power, the potential effect of interaction between bevacizumab and the chemotherapy backbone cannot be ruled out. Therefore, unaccounted for confounding could confound the effect of chemotherapy backbone on efficacy outcomes in either direction.</w:t>
      </w:r>
    </w:p>
    <w:p w:rsidR="00630B7C" w:rsidRPr="00676ED5" w:rsidRDefault="00630B7C" w:rsidP="00630B7C">
      <w:pPr>
        <w:pStyle w:val="ListBullet"/>
        <w:numPr>
          <w:ilvl w:val="0"/>
          <w:numId w:val="39"/>
        </w:numPr>
      </w:pPr>
      <w:r w:rsidRPr="00676ED5">
        <w:t xml:space="preserve">There were differences in the baseline tumour histology between the two chemotherapy backbone treatments, with more squamous carcinoma in the </w:t>
      </w:r>
      <w:proofErr w:type="spellStart"/>
      <w:r w:rsidRPr="00676ED5">
        <w:t>Cis</w:t>
      </w:r>
      <w:r>
        <w:rPr>
          <w:lang w:eastAsia="en-AU"/>
        </w:rPr>
        <w:t>+</w:t>
      </w:r>
      <w:r w:rsidRPr="00676ED5">
        <w:t>Pac±Bv</w:t>
      </w:r>
      <w:proofErr w:type="spellEnd"/>
      <w:r w:rsidRPr="00676ED5">
        <w:t xml:space="preserve"> arm and more other tumour types in the </w:t>
      </w:r>
      <w:proofErr w:type="spellStart"/>
      <w:r w:rsidRPr="00676ED5">
        <w:t>Top</w:t>
      </w:r>
      <w:r>
        <w:rPr>
          <w:lang w:eastAsia="en-AU"/>
        </w:rPr>
        <w:t>+</w:t>
      </w:r>
      <w:r w:rsidRPr="00676ED5">
        <w:t>Pac±Bv</w:t>
      </w:r>
      <w:proofErr w:type="spellEnd"/>
      <w:r w:rsidRPr="00676ED5">
        <w:t xml:space="preserve"> arm. This may affect tumour response to treatment and bias the results.</w:t>
      </w:r>
    </w:p>
    <w:p w:rsidR="00630B7C" w:rsidRPr="00676ED5" w:rsidRDefault="00630B7C" w:rsidP="00630B7C">
      <w:pPr>
        <w:pStyle w:val="ListBullet"/>
        <w:numPr>
          <w:ilvl w:val="0"/>
          <w:numId w:val="39"/>
        </w:numPr>
      </w:pPr>
      <w:r w:rsidRPr="00676ED5">
        <w:t xml:space="preserve">The fact that previous treatment with cisplatin was allowed, while prior treatment with paclitaxel or topotecan was excluded from the study may reduce the apparent efficacy of the </w:t>
      </w:r>
      <w:proofErr w:type="spellStart"/>
      <w:r w:rsidRPr="00676ED5">
        <w:t>Cis</w:t>
      </w:r>
      <w:r>
        <w:rPr>
          <w:lang w:eastAsia="en-AU"/>
        </w:rPr>
        <w:t>+</w:t>
      </w:r>
      <w:r w:rsidRPr="00676ED5">
        <w:t>Pac±Bv</w:t>
      </w:r>
      <w:proofErr w:type="spellEnd"/>
      <w:r w:rsidRPr="00676ED5">
        <w:t xml:space="preserve"> arm due to resistance, and therefore reduce the apparent benefit of this arm over the </w:t>
      </w:r>
      <w:proofErr w:type="spellStart"/>
      <w:r w:rsidRPr="00676ED5">
        <w:t>Top</w:t>
      </w:r>
      <w:r>
        <w:rPr>
          <w:lang w:eastAsia="en-AU"/>
        </w:rPr>
        <w:t>+</w:t>
      </w:r>
      <w:r w:rsidRPr="00676ED5">
        <w:t>Pac±Bv</w:t>
      </w:r>
      <w:proofErr w:type="spellEnd"/>
      <w:r w:rsidRPr="00676ED5">
        <w:t xml:space="preserve"> arm.</w:t>
      </w:r>
    </w:p>
    <w:p w:rsidR="00630B7C" w:rsidRPr="00676ED5" w:rsidRDefault="00630B7C" w:rsidP="00630B7C">
      <w:r w:rsidRPr="00676ED5">
        <w:lastRenderedPageBreak/>
        <w:t xml:space="preserve">As a result, it is the opinion of this evaluator that it cannot be concluded from these interim results that treatment of patients with advanced cervical cancer is equivalent for the chemotherapy backbones </w:t>
      </w:r>
      <w:proofErr w:type="spellStart"/>
      <w:r w:rsidRPr="00676ED5">
        <w:t>Cis</w:t>
      </w:r>
      <w:r>
        <w:rPr>
          <w:lang w:eastAsia="en-AU"/>
        </w:rPr>
        <w:t>+</w:t>
      </w:r>
      <w:r w:rsidRPr="00676ED5">
        <w:t>Pac±Bv</w:t>
      </w:r>
      <w:proofErr w:type="spellEnd"/>
      <w:r w:rsidRPr="00676ED5">
        <w:t xml:space="preserve"> and </w:t>
      </w:r>
      <w:proofErr w:type="spellStart"/>
      <w:r w:rsidRPr="00676ED5">
        <w:t>Top</w:t>
      </w:r>
      <w:r>
        <w:rPr>
          <w:lang w:eastAsia="en-AU"/>
        </w:rPr>
        <w:t>+</w:t>
      </w:r>
      <w:r w:rsidRPr="00676ED5">
        <w:t>Pac±Bv</w:t>
      </w:r>
      <w:proofErr w:type="spellEnd"/>
      <w:r w:rsidRPr="00676ED5">
        <w:t xml:space="preserve">. Rather the evidence suggests that efficacy outcomes may be improved in the </w:t>
      </w:r>
      <w:proofErr w:type="spellStart"/>
      <w:r w:rsidRPr="00676ED5">
        <w:t>Cis</w:t>
      </w:r>
      <w:r>
        <w:rPr>
          <w:lang w:eastAsia="en-AU"/>
        </w:rPr>
        <w:t>+</w:t>
      </w:r>
      <w:r w:rsidRPr="00676ED5">
        <w:t>Pac±Bv</w:t>
      </w:r>
      <w:proofErr w:type="spellEnd"/>
      <w:r w:rsidRPr="00676ED5">
        <w:t>, which warrants further follow-up and analysis.</w:t>
      </w:r>
    </w:p>
    <w:p w:rsidR="00630B7C" w:rsidRPr="00630B7C" w:rsidRDefault="00630B7C" w:rsidP="00630B7C">
      <w:r w:rsidRPr="00676ED5">
        <w:t xml:space="preserve">Therefore, overall it is the opinion of this evaluator that the interim efficacy results by chemotherapy backbone favour </w:t>
      </w:r>
      <w:proofErr w:type="spellStart"/>
      <w:r w:rsidRPr="00676ED5">
        <w:t>Cis</w:t>
      </w:r>
      <w:r>
        <w:rPr>
          <w:lang w:eastAsia="en-AU"/>
        </w:rPr>
        <w:t>+</w:t>
      </w:r>
      <w:r w:rsidRPr="00676ED5">
        <w:t>Pac</w:t>
      </w:r>
      <w:proofErr w:type="spellEnd"/>
      <w:r w:rsidRPr="00676ED5">
        <w:t xml:space="preserve"> over </w:t>
      </w:r>
      <w:proofErr w:type="spellStart"/>
      <w:r w:rsidRPr="00676ED5">
        <w:t>Top</w:t>
      </w:r>
      <w:r>
        <w:rPr>
          <w:lang w:eastAsia="en-AU"/>
        </w:rPr>
        <w:t>+</w:t>
      </w:r>
      <w:r w:rsidRPr="00676ED5">
        <w:t>Pac</w:t>
      </w:r>
      <w:proofErr w:type="spellEnd"/>
      <w:r w:rsidRPr="00676ED5">
        <w:t>. This requires further evaluation of the final results at 346 OS events, and should be considered against the safety profile for the respective chemotherapy backbones.</w:t>
      </w:r>
    </w:p>
    <w:p w:rsidR="008E7846" w:rsidRPr="002E238E" w:rsidRDefault="008E7846" w:rsidP="008E7846">
      <w:pPr>
        <w:pStyle w:val="Heading3"/>
      </w:pPr>
      <w:bookmarkStart w:id="70" w:name="_Toc163441378"/>
      <w:bookmarkStart w:id="71" w:name="_Toc196046495"/>
      <w:bookmarkStart w:id="72" w:name="_Toc247691522"/>
      <w:bookmarkStart w:id="73" w:name="_Toc314842505"/>
      <w:bookmarkStart w:id="74" w:name="_Toc482191401"/>
      <w:bookmarkEnd w:id="61"/>
      <w:bookmarkEnd w:id="62"/>
      <w:bookmarkEnd w:id="63"/>
      <w:bookmarkEnd w:id="64"/>
      <w:r w:rsidRPr="002E238E">
        <w:t>Safety</w:t>
      </w:r>
      <w:bookmarkEnd w:id="70"/>
      <w:bookmarkEnd w:id="71"/>
      <w:bookmarkEnd w:id="72"/>
      <w:bookmarkEnd w:id="73"/>
      <w:bookmarkEnd w:id="74"/>
    </w:p>
    <w:p w:rsidR="00605AD4" w:rsidRDefault="00605AD4" w:rsidP="00605AD4">
      <w:pPr>
        <w:pStyle w:val="Heading4"/>
      </w:pPr>
      <w:bookmarkStart w:id="75" w:name="_Toc247691524"/>
      <w:bookmarkStart w:id="76" w:name="_Toc314842508"/>
      <w:bookmarkStart w:id="77" w:name="_Toc196046504"/>
      <w:bookmarkStart w:id="78" w:name="_Toc163441390"/>
      <w:r w:rsidRPr="00605AD4">
        <w:t>Studies providing safety data</w:t>
      </w:r>
    </w:p>
    <w:p w:rsidR="00630B7C" w:rsidRDefault="00630B7C" w:rsidP="00630B7C">
      <w:r w:rsidRPr="00A565F3">
        <w:t>Study GOG-0240 assessed safety as a primary o</w:t>
      </w:r>
      <w:r w:rsidR="00B32A52">
        <w:t>utcome in addition to efficacy.</w:t>
      </w:r>
    </w:p>
    <w:p w:rsidR="00B32A52" w:rsidRPr="00630B7C" w:rsidRDefault="00B32A52" w:rsidP="00630B7C">
      <w:r>
        <w:t xml:space="preserve">For details of the evaluation of the clinical safety data please see </w:t>
      </w:r>
      <w:r w:rsidR="005C749F">
        <w:t>Attachment 2, extract from the CER</w:t>
      </w:r>
      <w:r>
        <w:t>.</w:t>
      </w:r>
    </w:p>
    <w:p w:rsidR="00605AD4" w:rsidRDefault="00605AD4" w:rsidP="00605AD4">
      <w:pPr>
        <w:pStyle w:val="Heading4"/>
      </w:pPr>
      <w:r w:rsidRPr="00605AD4">
        <w:t>Patient exposure</w:t>
      </w:r>
    </w:p>
    <w:p w:rsidR="00630B7C" w:rsidRDefault="00630B7C" w:rsidP="00630B7C">
      <w:r w:rsidRPr="00A565F3">
        <w:t xml:space="preserve">In Study GOG-0240, 218 patients randomised to receive bevacizumab were exposed to bevacizumab for a median duration of 17.6 weeks (mean 21.1 weeks), for a median of 6 cycles (mean 7.25), and a median total dose of bevacizumab of 6534.5mg (mean 8271.3mg). See </w:t>
      </w:r>
      <w:r>
        <w:t xml:space="preserve">Tables </w:t>
      </w:r>
      <w:r w:rsidR="00E95BD0">
        <w:t>1</w:t>
      </w:r>
      <w:r>
        <w:t xml:space="preserve"> and </w:t>
      </w:r>
      <w:r w:rsidR="00E95BD0">
        <w:t>2</w:t>
      </w:r>
      <w:r>
        <w:t xml:space="preserve"> </w:t>
      </w:r>
      <w:r w:rsidRPr="00A565F3">
        <w:t xml:space="preserve">for further breakdown. Overall, the median duration of therapy, number of cycles and total dose of chemotherapy were similar between the Chemo alone and </w:t>
      </w:r>
      <w:proofErr w:type="spellStart"/>
      <w:r w:rsidRPr="00A565F3">
        <w:t>Chemo</w:t>
      </w:r>
      <w:r>
        <w:rPr>
          <w:lang w:eastAsia="en-AU"/>
        </w:rPr>
        <w:t>+</w:t>
      </w:r>
      <w:r w:rsidRPr="00A565F3">
        <w:t>Bv</w:t>
      </w:r>
      <w:proofErr w:type="spellEnd"/>
      <w:r w:rsidRPr="00A565F3">
        <w:t xml:space="preserve"> groups, being slightly greater for the </w:t>
      </w:r>
      <w:proofErr w:type="spellStart"/>
      <w:r w:rsidRPr="00A565F3">
        <w:t>Chemo</w:t>
      </w:r>
      <w:r>
        <w:rPr>
          <w:lang w:eastAsia="en-AU"/>
        </w:rPr>
        <w:t>+</w:t>
      </w:r>
      <w:r>
        <w:t>Bv</w:t>
      </w:r>
      <w:proofErr w:type="spellEnd"/>
      <w:r>
        <w:t xml:space="preserve"> arms.</w:t>
      </w:r>
    </w:p>
    <w:p w:rsidR="00630B7C" w:rsidRPr="00A565F3" w:rsidRDefault="00630B7C" w:rsidP="00630B7C">
      <w:pPr>
        <w:pStyle w:val="Tabletitle0"/>
      </w:pPr>
      <w:bookmarkStart w:id="79" w:name="_Toc400460930"/>
      <w:r w:rsidRPr="00EF1C21">
        <w:t xml:space="preserve">Table </w:t>
      </w:r>
      <w:r w:rsidR="00E95BD0">
        <w:t>1</w:t>
      </w:r>
      <w:r>
        <w:t>:</w:t>
      </w:r>
      <w:r w:rsidRPr="00EF1C21">
        <w:t xml:space="preserve"> Exposure</w:t>
      </w:r>
      <w:r w:rsidRPr="00A565F3">
        <w:t xml:space="preserve"> to bevacizumab and comparators in clinical studies</w:t>
      </w:r>
      <w:bookmarkEnd w:id="79"/>
    </w:p>
    <w:tbl>
      <w:tblPr>
        <w:tblStyle w:val="TableTGAblue"/>
        <w:tblW w:w="8330" w:type="dxa"/>
        <w:tblLayout w:type="fixed"/>
        <w:tblLook w:val="04A0" w:firstRow="1" w:lastRow="0" w:firstColumn="1" w:lastColumn="0" w:noHBand="0" w:noVBand="1"/>
      </w:tblPr>
      <w:tblGrid>
        <w:gridCol w:w="2943"/>
        <w:gridCol w:w="1985"/>
        <w:gridCol w:w="1559"/>
        <w:gridCol w:w="1843"/>
      </w:tblGrid>
      <w:tr w:rsidR="00630B7C" w:rsidRPr="00A565F3" w:rsidTr="00D559E8">
        <w:trPr>
          <w:cnfStyle w:val="100000000000" w:firstRow="1" w:lastRow="0" w:firstColumn="0" w:lastColumn="0" w:oddVBand="0" w:evenVBand="0" w:oddHBand="0" w:evenHBand="0" w:firstRowFirstColumn="0" w:firstRowLastColumn="0" w:lastRowFirstColumn="0" w:lastRowLastColumn="0"/>
        </w:trPr>
        <w:tc>
          <w:tcPr>
            <w:tcW w:w="2943" w:type="dxa"/>
            <w:vMerge w:val="restart"/>
          </w:tcPr>
          <w:p w:rsidR="00630B7C" w:rsidRPr="005A5D5F" w:rsidRDefault="00630B7C" w:rsidP="008054ED">
            <w:r w:rsidRPr="005A5D5F">
              <w:t>Study type/</w:t>
            </w:r>
          </w:p>
          <w:p w:rsidR="00630B7C" w:rsidRPr="005A5D5F" w:rsidRDefault="00630B7C" w:rsidP="008054ED">
            <w:r w:rsidRPr="005A5D5F">
              <w:t>Indication</w:t>
            </w:r>
          </w:p>
        </w:tc>
        <w:tc>
          <w:tcPr>
            <w:tcW w:w="3544" w:type="dxa"/>
            <w:gridSpan w:val="2"/>
          </w:tcPr>
          <w:p w:rsidR="00630B7C" w:rsidRPr="005A5D5F" w:rsidRDefault="00630B7C" w:rsidP="008054ED">
            <w:r w:rsidRPr="005A5D5F">
              <w:t>Controlled studies</w:t>
            </w:r>
          </w:p>
        </w:tc>
        <w:tc>
          <w:tcPr>
            <w:tcW w:w="1843" w:type="dxa"/>
            <w:vMerge w:val="restart"/>
          </w:tcPr>
          <w:p w:rsidR="00630B7C" w:rsidRPr="005A5D5F" w:rsidRDefault="00630B7C" w:rsidP="008054ED">
            <w:r w:rsidRPr="005A5D5F">
              <w:t>Total</w:t>
            </w:r>
          </w:p>
          <w:p w:rsidR="00630B7C" w:rsidRPr="005A5D5F" w:rsidRDefault="00630B7C" w:rsidP="0022194D">
            <w:pPr>
              <w:ind w:right="34"/>
            </w:pPr>
            <w:r w:rsidRPr="005A5D5F">
              <w:t>Bevacizumab</w:t>
            </w:r>
          </w:p>
        </w:tc>
      </w:tr>
      <w:tr w:rsidR="00630B7C" w:rsidRPr="00A565F3" w:rsidTr="00D559E8">
        <w:tc>
          <w:tcPr>
            <w:tcW w:w="2943" w:type="dxa"/>
            <w:vMerge/>
          </w:tcPr>
          <w:p w:rsidR="00630B7C" w:rsidRPr="005A5D5F" w:rsidRDefault="00630B7C" w:rsidP="008054ED"/>
        </w:tc>
        <w:tc>
          <w:tcPr>
            <w:tcW w:w="1985" w:type="dxa"/>
          </w:tcPr>
          <w:p w:rsidR="00630B7C" w:rsidRPr="005A5D5F" w:rsidRDefault="00630B7C" w:rsidP="008054ED">
            <w:r w:rsidRPr="005A5D5F">
              <w:t>Bevacizumab</w:t>
            </w:r>
          </w:p>
        </w:tc>
        <w:tc>
          <w:tcPr>
            <w:tcW w:w="1559" w:type="dxa"/>
          </w:tcPr>
          <w:p w:rsidR="00630B7C" w:rsidRPr="005A5D5F" w:rsidRDefault="00630B7C" w:rsidP="008054ED">
            <w:r w:rsidRPr="005A5D5F">
              <w:t>Chemo alone</w:t>
            </w:r>
          </w:p>
        </w:tc>
        <w:tc>
          <w:tcPr>
            <w:tcW w:w="1843" w:type="dxa"/>
            <w:vMerge/>
          </w:tcPr>
          <w:p w:rsidR="00630B7C" w:rsidRPr="005A5D5F" w:rsidRDefault="00630B7C" w:rsidP="008054ED"/>
        </w:tc>
      </w:tr>
      <w:tr w:rsidR="00630B7C" w:rsidRPr="00A565F3" w:rsidTr="00E84525">
        <w:trPr>
          <w:trHeight w:val="980"/>
        </w:trPr>
        <w:tc>
          <w:tcPr>
            <w:tcW w:w="2943" w:type="dxa"/>
          </w:tcPr>
          <w:p w:rsidR="00630B7C" w:rsidRPr="005A5D5F" w:rsidRDefault="00630B7C" w:rsidP="008054ED">
            <w:r w:rsidRPr="005A5D5F">
              <w:t>Advanced cervical cancer</w:t>
            </w:r>
          </w:p>
          <w:p w:rsidR="00630B7C" w:rsidRPr="005A5D5F" w:rsidRDefault="00630B7C" w:rsidP="008054ED">
            <w:r w:rsidRPr="005A5D5F">
              <w:t>Pivotal Study GOG-0240</w:t>
            </w:r>
          </w:p>
        </w:tc>
        <w:tc>
          <w:tcPr>
            <w:tcW w:w="1985" w:type="dxa"/>
            <w:vAlign w:val="center"/>
          </w:tcPr>
          <w:p w:rsidR="00630B7C" w:rsidRPr="005A5D5F" w:rsidRDefault="00630B7C" w:rsidP="008054ED">
            <w:r w:rsidRPr="005A5D5F">
              <w:t>218</w:t>
            </w:r>
          </w:p>
        </w:tc>
        <w:tc>
          <w:tcPr>
            <w:tcW w:w="1559" w:type="dxa"/>
            <w:vAlign w:val="center"/>
          </w:tcPr>
          <w:p w:rsidR="00630B7C" w:rsidRPr="005A5D5F" w:rsidRDefault="00630B7C" w:rsidP="008054ED">
            <w:r w:rsidRPr="005A5D5F">
              <w:t>222</w:t>
            </w:r>
          </w:p>
        </w:tc>
        <w:tc>
          <w:tcPr>
            <w:tcW w:w="1843" w:type="dxa"/>
            <w:vAlign w:val="center"/>
          </w:tcPr>
          <w:p w:rsidR="00630B7C" w:rsidRPr="005A5D5F" w:rsidRDefault="00630B7C" w:rsidP="008054ED">
            <w:r w:rsidRPr="005A5D5F">
              <w:t>218</w:t>
            </w:r>
          </w:p>
        </w:tc>
      </w:tr>
      <w:tr w:rsidR="00630B7C" w:rsidRPr="00A565F3" w:rsidTr="00E84525">
        <w:tc>
          <w:tcPr>
            <w:tcW w:w="2943" w:type="dxa"/>
          </w:tcPr>
          <w:p w:rsidR="00630B7C" w:rsidRPr="005A5D5F" w:rsidRDefault="00630B7C" w:rsidP="008054ED">
            <w:r w:rsidRPr="005A5D5F">
              <w:t>TOTAL</w:t>
            </w:r>
          </w:p>
        </w:tc>
        <w:tc>
          <w:tcPr>
            <w:tcW w:w="1985" w:type="dxa"/>
            <w:vAlign w:val="center"/>
          </w:tcPr>
          <w:p w:rsidR="00630B7C" w:rsidRPr="005A5D5F" w:rsidRDefault="00630B7C" w:rsidP="008054ED">
            <w:r w:rsidRPr="005A5D5F">
              <w:t>218</w:t>
            </w:r>
          </w:p>
        </w:tc>
        <w:tc>
          <w:tcPr>
            <w:tcW w:w="1559" w:type="dxa"/>
            <w:vAlign w:val="center"/>
          </w:tcPr>
          <w:p w:rsidR="00630B7C" w:rsidRPr="005A5D5F" w:rsidRDefault="00630B7C" w:rsidP="008054ED">
            <w:r w:rsidRPr="005A5D5F">
              <w:t>222</w:t>
            </w:r>
          </w:p>
        </w:tc>
        <w:tc>
          <w:tcPr>
            <w:tcW w:w="1843" w:type="dxa"/>
            <w:vAlign w:val="center"/>
          </w:tcPr>
          <w:p w:rsidR="00630B7C" w:rsidRPr="005A5D5F" w:rsidRDefault="00630B7C" w:rsidP="008054ED">
            <w:r w:rsidRPr="005A5D5F">
              <w:t>218</w:t>
            </w:r>
          </w:p>
        </w:tc>
      </w:tr>
    </w:tbl>
    <w:p w:rsidR="00630B7C" w:rsidRPr="005A5D5F" w:rsidRDefault="00630B7C" w:rsidP="00630B7C">
      <w:pPr>
        <w:pStyle w:val="Tabletitle0"/>
      </w:pPr>
      <w:bookmarkStart w:id="80" w:name="_Toc269112508"/>
      <w:bookmarkStart w:id="81" w:name="_Toc400460931"/>
      <w:r>
        <w:t xml:space="preserve">Table </w:t>
      </w:r>
      <w:r w:rsidR="00E95BD0">
        <w:t>2</w:t>
      </w:r>
      <w:r>
        <w:t xml:space="preserve">: </w:t>
      </w:r>
      <w:r w:rsidRPr="005A5D5F">
        <w:t>Exposure to bevacizumab in clinical studies according to dose and duration (approximate based on number of cycles of treatment received)</w:t>
      </w:r>
      <w:bookmarkEnd w:id="80"/>
      <w:bookmarkEnd w:id="81"/>
    </w:p>
    <w:tbl>
      <w:tblPr>
        <w:tblStyle w:val="TableTGAblue"/>
        <w:tblW w:w="8472" w:type="dxa"/>
        <w:tblLayout w:type="fixed"/>
        <w:tblLook w:val="04A0" w:firstRow="1" w:lastRow="0" w:firstColumn="1" w:lastColumn="0" w:noHBand="0" w:noVBand="1"/>
      </w:tblPr>
      <w:tblGrid>
        <w:gridCol w:w="2802"/>
        <w:gridCol w:w="1417"/>
        <w:gridCol w:w="1276"/>
        <w:gridCol w:w="1417"/>
        <w:gridCol w:w="1560"/>
      </w:tblGrid>
      <w:tr w:rsidR="00630B7C" w:rsidRPr="005A5D5F" w:rsidTr="00196D60">
        <w:trPr>
          <w:cnfStyle w:val="100000000000" w:firstRow="1" w:lastRow="0" w:firstColumn="0" w:lastColumn="0" w:oddVBand="0" w:evenVBand="0" w:oddHBand="0" w:evenHBand="0" w:firstRowFirstColumn="0" w:firstRowLastColumn="0" w:lastRowFirstColumn="0" w:lastRowLastColumn="0"/>
        </w:trPr>
        <w:tc>
          <w:tcPr>
            <w:tcW w:w="2802" w:type="dxa"/>
            <w:vMerge w:val="restart"/>
          </w:tcPr>
          <w:p w:rsidR="00630B7C" w:rsidRPr="005A5D5F" w:rsidRDefault="00630B7C" w:rsidP="0022194D">
            <w:r w:rsidRPr="005A5D5F">
              <w:t>Study type/</w:t>
            </w:r>
          </w:p>
          <w:p w:rsidR="00630B7C" w:rsidRPr="005A5D5F" w:rsidRDefault="00630B7C" w:rsidP="0022194D">
            <w:r w:rsidRPr="005A5D5F">
              <w:t>Indication</w:t>
            </w:r>
          </w:p>
        </w:tc>
        <w:tc>
          <w:tcPr>
            <w:tcW w:w="5670" w:type="dxa"/>
            <w:gridSpan w:val="4"/>
          </w:tcPr>
          <w:p w:rsidR="00630B7C" w:rsidRPr="005A5D5F" w:rsidRDefault="00630B7C" w:rsidP="0022194D">
            <w:r w:rsidRPr="005A5D5F">
              <w:t>Proposed dose range = Proposed max dose</w:t>
            </w:r>
          </w:p>
        </w:tc>
      </w:tr>
      <w:tr w:rsidR="00630B7C" w:rsidRPr="005A5D5F" w:rsidTr="00196D60">
        <w:tc>
          <w:tcPr>
            <w:tcW w:w="2802" w:type="dxa"/>
            <w:vMerge/>
          </w:tcPr>
          <w:p w:rsidR="00630B7C" w:rsidRPr="005A5D5F" w:rsidRDefault="00630B7C" w:rsidP="0022194D"/>
        </w:tc>
        <w:tc>
          <w:tcPr>
            <w:tcW w:w="1417" w:type="dxa"/>
          </w:tcPr>
          <w:p w:rsidR="00630B7C" w:rsidRPr="005A5D5F" w:rsidRDefault="00630B7C" w:rsidP="0022194D">
            <w:r w:rsidRPr="005A5D5F">
              <w:t>≥ 3 mo.</w:t>
            </w:r>
          </w:p>
        </w:tc>
        <w:tc>
          <w:tcPr>
            <w:tcW w:w="1276" w:type="dxa"/>
          </w:tcPr>
          <w:p w:rsidR="00630B7C" w:rsidRPr="005A5D5F" w:rsidRDefault="00630B7C" w:rsidP="00196D60">
            <w:pPr>
              <w:ind w:right="34"/>
            </w:pPr>
            <w:r w:rsidRPr="005A5D5F">
              <w:t>≥ 6 mo.</w:t>
            </w:r>
          </w:p>
        </w:tc>
        <w:tc>
          <w:tcPr>
            <w:tcW w:w="1417" w:type="dxa"/>
          </w:tcPr>
          <w:p w:rsidR="00630B7C" w:rsidRPr="005A5D5F" w:rsidRDefault="00630B7C" w:rsidP="0022194D">
            <w:r w:rsidRPr="005A5D5F">
              <w:t>≥ 12 mo.</w:t>
            </w:r>
          </w:p>
        </w:tc>
        <w:tc>
          <w:tcPr>
            <w:tcW w:w="1560" w:type="dxa"/>
          </w:tcPr>
          <w:p w:rsidR="00630B7C" w:rsidRPr="005A5D5F" w:rsidRDefault="00630B7C" w:rsidP="0022194D">
            <w:r w:rsidRPr="005A5D5F">
              <w:t xml:space="preserve">Any </w:t>
            </w:r>
            <w:proofErr w:type="spellStart"/>
            <w:r w:rsidRPr="005A5D5F">
              <w:t>dur’n</w:t>
            </w:r>
            <w:proofErr w:type="spellEnd"/>
          </w:p>
        </w:tc>
      </w:tr>
      <w:tr w:rsidR="00630B7C" w:rsidRPr="005A5D5F" w:rsidTr="0022194D">
        <w:trPr>
          <w:trHeight w:val="1016"/>
        </w:trPr>
        <w:tc>
          <w:tcPr>
            <w:tcW w:w="2802" w:type="dxa"/>
          </w:tcPr>
          <w:p w:rsidR="0022194D" w:rsidRDefault="0022194D" w:rsidP="0022194D">
            <w:r>
              <w:t>Advanced cervical cancer</w:t>
            </w:r>
          </w:p>
          <w:p w:rsidR="00630B7C" w:rsidRPr="005A5D5F" w:rsidRDefault="00630B7C" w:rsidP="0022194D">
            <w:r w:rsidRPr="005A5D5F">
              <w:t>Active-controlled</w:t>
            </w:r>
          </w:p>
        </w:tc>
        <w:tc>
          <w:tcPr>
            <w:tcW w:w="1417" w:type="dxa"/>
            <w:vAlign w:val="center"/>
          </w:tcPr>
          <w:p w:rsidR="00630B7C" w:rsidRPr="005A5D5F" w:rsidRDefault="00630B7C" w:rsidP="0022194D">
            <w:r w:rsidRPr="005A5D5F">
              <w:t>166</w:t>
            </w:r>
          </w:p>
        </w:tc>
        <w:tc>
          <w:tcPr>
            <w:tcW w:w="1276" w:type="dxa"/>
            <w:vAlign w:val="center"/>
          </w:tcPr>
          <w:p w:rsidR="00630B7C" w:rsidRPr="005A5D5F" w:rsidRDefault="00630B7C" w:rsidP="0022194D">
            <w:r w:rsidRPr="005A5D5F">
              <w:t>104</w:t>
            </w:r>
          </w:p>
        </w:tc>
        <w:tc>
          <w:tcPr>
            <w:tcW w:w="1417" w:type="dxa"/>
            <w:vAlign w:val="center"/>
          </w:tcPr>
          <w:p w:rsidR="00630B7C" w:rsidRPr="005A5D5F" w:rsidRDefault="00630B7C" w:rsidP="0022194D">
            <w:r w:rsidRPr="005A5D5F">
              <w:t>5</w:t>
            </w:r>
          </w:p>
        </w:tc>
        <w:tc>
          <w:tcPr>
            <w:tcW w:w="1560" w:type="dxa"/>
            <w:vAlign w:val="center"/>
          </w:tcPr>
          <w:p w:rsidR="00630B7C" w:rsidRPr="005A5D5F" w:rsidRDefault="00630B7C" w:rsidP="0022194D">
            <w:r w:rsidRPr="005A5D5F">
              <w:t>218</w:t>
            </w:r>
          </w:p>
        </w:tc>
      </w:tr>
      <w:tr w:rsidR="00630B7C" w:rsidRPr="005A5D5F" w:rsidTr="0022194D">
        <w:tc>
          <w:tcPr>
            <w:tcW w:w="2802" w:type="dxa"/>
          </w:tcPr>
          <w:p w:rsidR="00630B7C" w:rsidRPr="005A5D5F" w:rsidRDefault="00630B7C" w:rsidP="0022194D">
            <w:r w:rsidRPr="005A5D5F">
              <w:t>TOTAL</w:t>
            </w:r>
          </w:p>
        </w:tc>
        <w:tc>
          <w:tcPr>
            <w:tcW w:w="1417" w:type="dxa"/>
            <w:vAlign w:val="center"/>
          </w:tcPr>
          <w:p w:rsidR="00630B7C" w:rsidRPr="005A5D5F" w:rsidRDefault="00630B7C" w:rsidP="0022194D">
            <w:r w:rsidRPr="005A5D5F">
              <w:t>166</w:t>
            </w:r>
          </w:p>
        </w:tc>
        <w:tc>
          <w:tcPr>
            <w:tcW w:w="1276" w:type="dxa"/>
            <w:vAlign w:val="center"/>
          </w:tcPr>
          <w:p w:rsidR="00630B7C" w:rsidRPr="005A5D5F" w:rsidRDefault="00630B7C" w:rsidP="0022194D">
            <w:r w:rsidRPr="005A5D5F">
              <w:t>104</w:t>
            </w:r>
          </w:p>
        </w:tc>
        <w:tc>
          <w:tcPr>
            <w:tcW w:w="1417" w:type="dxa"/>
            <w:vAlign w:val="center"/>
          </w:tcPr>
          <w:p w:rsidR="00630B7C" w:rsidRPr="005A5D5F" w:rsidRDefault="00630B7C" w:rsidP="0022194D">
            <w:r w:rsidRPr="005A5D5F">
              <w:t>5</w:t>
            </w:r>
          </w:p>
        </w:tc>
        <w:tc>
          <w:tcPr>
            <w:tcW w:w="1560" w:type="dxa"/>
            <w:vAlign w:val="center"/>
          </w:tcPr>
          <w:p w:rsidR="00630B7C" w:rsidRPr="005A5D5F" w:rsidRDefault="00630B7C" w:rsidP="0022194D">
            <w:r w:rsidRPr="005A5D5F">
              <w:t>218</w:t>
            </w:r>
          </w:p>
        </w:tc>
      </w:tr>
    </w:tbl>
    <w:p w:rsidR="00630B7C" w:rsidRPr="005A5D5F" w:rsidRDefault="00630B7C" w:rsidP="00630B7C">
      <w:r w:rsidRPr="005A5D5F">
        <w:lastRenderedPageBreak/>
        <w:t xml:space="preserve">Bevacizumab exposure was similar between the two chemotherapy backbone arms, although slightly higher in the </w:t>
      </w:r>
      <w:proofErr w:type="spellStart"/>
      <w:r w:rsidRPr="005A5D5F">
        <w:t>Cis</w:t>
      </w:r>
      <w:r>
        <w:rPr>
          <w:lang w:eastAsia="en-AU"/>
        </w:rPr>
        <w:t>+</w:t>
      </w:r>
      <w:r w:rsidRPr="005A5D5F">
        <w:t>Pac</w:t>
      </w:r>
      <w:r>
        <w:rPr>
          <w:lang w:eastAsia="en-AU"/>
        </w:rPr>
        <w:t>+</w:t>
      </w:r>
      <w:r w:rsidRPr="005A5D5F">
        <w:t>Bv</w:t>
      </w:r>
      <w:proofErr w:type="spellEnd"/>
      <w:r w:rsidRPr="005A5D5F">
        <w:t xml:space="preserve"> arm (median duration of </w:t>
      </w:r>
      <w:proofErr w:type="spellStart"/>
      <w:r w:rsidRPr="005A5D5F">
        <w:t>Bv</w:t>
      </w:r>
      <w:proofErr w:type="spellEnd"/>
      <w:r w:rsidRPr="005A5D5F">
        <w:t xml:space="preserve"> exposure 18.7 weeks, median 6 cycles, median total dose of </w:t>
      </w:r>
      <w:proofErr w:type="spellStart"/>
      <w:r w:rsidRPr="005A5D5F">
        <w:t>Bv</w:t>
      </w:r>
      <w:proofErr w:type="spellEnd"/>
      <w:r w:rsidRPr="005A5D5F">
        <w:t xml:space="preserve"> 6</w:t>
      </w:r>
      <w:r w:rsidR="005C749F">
        <w:t>,</w:t>
      </w:r>
      <w:r w:rsidRPr="005A5D5F">
        <w:t xml:space="preserve">840mg) compared to the </w:t>
      </w:r>
      <w:proofErr w:type="spellStart"/>
      <w:r w:rsidRPr="005A5D5F">
        <w:t>Top</w:t>
      </w:r>
      <w:r>
        <w:rPr>
          <w:lang w:eastAsia="en-AU"/>
        </w:rPr>
        <w:t>+</w:t>
      </w:r>
      <w:r w:rsidRPr="005A5D5F">
        <w:t>Pac</w:t>
      </w:r>
      <w:r>
        <w:rPr>
          <w:lang w:eastAsia="en-AU"/>
        </w:rPr>
        <w:t>+</w:t>
      </w:r>
      <w:r w:rsidRPr="005A5D5F">
        <w:t>Bv</w:t>
      </w:r>
      <w:proofErr w:type="spellEnd"/>
      <w:r w:rsidRPr="005A5D5F">
        <w:t xml:space="preserve"> arm (median duration of </w:t>
      </w:r>
      <w:proofErr w:type="spellStart"/>
      <w:r w:rsidRPr="005A5D5F">
        <w:t>Bv</w:t>
      </w:r>
      <w:proofErr w:type="spellEnd"/>
      <w:r w:rsidRPr="005A5D5F">
        <w:t xml:space="preserve"> exposure 16.3 weeks, median 6 </w:t>
      </w:r>
      <w:r w:rsidR="005C749F">
        <w:t xml:space="preserve">cycles, median total dose of </w:t>
      </w:r>
      <w:proofErr w:type="spellStart"/>
      <w:r w:rsidR="005C749F">
        <w:t>Bv</w:t>
      </w:r>
      <w:proofErr w:type="spellEnd"/>
      <w:r w:rsidR="005C749F">
        <w:t> </w:t>
      </w:r>
      <w:r w:rsidRPr="005A5D5F">
        <w:t>6</w:t>
      </w:r>
      <w:r w:rsidR="005C749F">
        <w:t>,</w:t>
      </w:r>
      <w:r w:rsidRPr="005A5D5F">
        <w:t>390mg).</w:t>
      </w:r>
    </w:p>
    <w:p w:rsidR="00630B7C" w:rsidRPr="00630B7C" w:rsidRDefault="00630B7C" w:rsidP="00D33373">
      <w:pPr>
        <w:pStyle w:val="Comment"/>
        <w:ind w:left="1134" w:hanging="1134"/>
      </w:pPr>
      <w:r w:rsidRPr="005A5D5F">
        <w:rPr>
          <w:b/>
        </w:rPr>
        <w:t xml:space="preserve">Comment: </w:t>
      </w:r>
      <w:r w:rsidRPr="005A5D5F">
        <w:t xml:space="preserve">The slightly higher exposure to </w:t>
      </w:r>
      <w:proofErr w:type="spellStart"/>
      <w:r w:rsidRPr="005A5D5F">
        <w:t>bevacizumab</w:t>
      </w:r>
      <w:proofErr w:type="spellEnd"/>
      <w:r w:rsidRPr="005A5D5F">
        <w:t xml:space="preserve"> in the </w:t>
      </w:r>
      <w:proofErr w:type="spellStart"/>
      <w:r w:rsidRPr="005A5D5F">
        <w:t>Cis</w:t>
      </w:r>
      <w:r>
        <w:rPr>
          <w:lang w:eastAsia="en-AU"/>
        </w:rPr>
        <w:t>+</w:t>
      </w:r>
      <w:r w:rsidRPr="005A5D5F">
        <w:t>Pac±Bv</w:t>
      </w:r>
      <w:proofErr w:type="spellEnd"/>
      <w:r w:rsidRPr="005A5D5F">
        <w:t xml:space="preserve"> arm compared to the </w:t>
      </w:r>
      <w:proofErr w:type="spellStart"/>
      <w:r w:rsidRPr="005A5D5F">
        <w:t>Top</w:t>
      </w:r>
      <w:r>
        <w:rPr>
          <w:lang w:eastAsia="en-AU"/>
        </w:rPr>
        <w:t>+</w:t>
      </w:r>
      <w:r w:rsidRPr="005A5D5F">
        <w:t>Bac±Bv</w:t>
      </w:r>
      <w:proofErr w:type="spellEnd"/>
      <w:r w:rsidRPr="005A5D5F">
        <w:t xml:space="preserve"> arm needs to be considered in the interpretation of the results, which may confound the efficacy and safety results when anal</w:t>
      </w:r>
      <w:r>
        <w:t>ysing by chemotherapy backbone.</w:t>
      </w:r>
    </w:p>
    <w:p w:rsidR="00605AD4" w:rsidRDefault="00605AD4" w:rsidP="00605AD4">
      <w:pPr>
        <w:pStyle w:val="Heading4"/>
      </w:pPr>
      <w:r w:rsidRPr="00605AD4">
        <w:t>Safety issues with the potential for major regulatory impact</w:t>
      </w:r>
    </w:p>
    <w:p w:rsidR="00630B7C" w:rsidRPr="00630B7C" w:rsidRDefault="00630B7C" w:rsidP="00630B7C">
      <w:r>
        <w:t>No new issues identified.</w:t>
      </w:r>
    </w:p>
    <w:p w:rsidR="00605AD4" w:rsidRDefault="00605AD4" w:rsidP="00605AD4">
      <w:pPr>
        <w:pStyle w:val="Heading4"/>
      </w:pPr>
      <w:r w:rsidRPr="00605AD4">
        <w:t>Post</w:t>
      </w:r>
      <w:r w:rsidR="005C749F">
        <w:t>-</w:t>
      </w:r>
      <w:r w:rsidRPr="00605AD4">
        <w:t>marketing data</w:t>
      </w:r>
    </w:p>
    <w:p w:rsidR="00630B7C" w:rsidRPr="00D9189B" w:rsidRDefault="00630B7C" w:rsidP="00630B7C">
      <w:r w:rsidRPr="00D9189B">
        <w:t>In Australia and globally, bevacizumab has been approved for a variety of indications in combination with severa</w:t>
      </w:r>
      <w:r>
        <w:t>l different chemotherapy agents.</w:t>
      </w:r>
    </w:p>
    <w:p w:rsidR="00630B7C" w:rsidRDefault="00630B7C" w:rsidP="00630B7C">
      <w:r w:rsidRPr="00D9189B">
        <w:t xml:space="preserve">The total number of patients exposed to bevacizumab in the post-marketing setting from the International Birth Date (IBD) up to 9 January 2014 is estimated to be approximately 1,558,181 patients. During this period there were 101,432 </w:t>
      </w:r>
      <w:r w:rsidR="003C6DF6">
        <w:rPr>
          <w:rFonts w:eastAsia="Times New Roman"/>
          <w:kern w:val="16"/>
          <w:szCs w:val="24"/>
        </w:rPr>
        <w:t>adverse events</w:t>
      </w:r>
      <w:r w:rsidR="003C6DF6" w:rsidRPr="00D9189B">
        <w:t xml:space="preserve"> </w:t>
      </w:r>
      <w:r w:rsidR="003C6DF6">
        <w:t>(</w:t>
      </w:r>
      <w:r w:rsidRPr="00D9189B">
        <w:t>AEs</w:t>
      </w:r>
      <w:r w:rsidR="003C6DF6">
        <w:t xml:space="preserve">) </w:t>
      </w:r>
      <w:r w:rsidRPr="00D9189B">
        <w:t xml:space="preserve">reported to the </w:t>
      </w:r>
      <w:r>
        <w:t>sponsor</w:t>
      </w:r>
      <w:r w:rsidRPr="00D9189B">
        <w:t xml:space="preserve">, including spontaneous notifications from health care professionals; </w:t>
      </w:r>
      <w:r w:rsidR="003C6DF6">
        <w:rPr>
          <w:rFonts w:eastAsia="Times New Roman"/>
          <w:kern w:val="16"/>
          <w:szCs w:val="24"/>
        </w:rPr>
        <w:t>serious adverse events</w:t>
      </w:r>
      <w:r w:rsidR="003C6DF6" w:rsidRPr="00D9189B">
        <w:t xml:space="preserve"> </w:t>
      </w:r>
      <w:r w:rsidR="003C6DF6">
        <w:t>(</w:t>
      </w:r>
      <w:r w:rsidRPr="00D9189B">
        <w:t>SAEs</w:t>
      </w:r>
      <w:r w:rsidR="003C6DF6">
        <w:t>)</w:t>
      </w:r>
      <w:r w:rsidRPr="00D9189B">
        <w:t xml:space="preserve"> from clinical studies; literature reports; and case reports from other sources</w:t>
      </w:r>
      <w:r w:rsidR="00E95BD0">
        <w:t xml:space="preserve"> (Table 3</w:t>
      </w:r>
      <w:r>
        <w:t>)</w:t>
      </w:r>
      <w:r w:rsidR="00CA0B25">
        <w:t>.</w:t>
      </w:r>
    </w:p>
    <w:p w:rsidR="00630B7C" w:rsidRDefault="00630B7C" w:rsidP="00D33373">
      <w:pPr>
        <w:pStyle w:val="Comment"/>
        <w:ind w:left="1134" w:hanging="1134"/>
      </w:pPr>
      <w:r w:rsidRPr="00F07A4C">
        <w:rPr>
          <w:b/>
        </w:rPr>
        <w:t>Comment:</w:t>
      </w:r>
      <w:r>
        <w:t xml:space="preserve"> </w:t>
      </w:r>
      <w:r w:rsidRPr="00D9189B">
        <w:t>The broad categories of post-marketing AEs presented in the CSR prevent in-depth evaluation. However, the safety results of Study GOG-0240 are generally in keeping with the broad picture.</w:t>
      </w:r>
    </w:p>
    <w:p w:rsidR="00630B7C" w:rsidRDefault="00630B7C" w:rsidP="00630B7C">
      <w:pPr>
        <w:pStyle w:val="Tabletitle0"/>
      </w:pPr>
      <w:r>
        <w:lastRenderedPageBreak/>
        <w:t xml:space="preserve">Table </w:t>
      </w:r>
      <w:r w:rsidR="00E95BD0">
        <w:t>3</w:t>
      </w:r>
      <w:r>
        <w:t>: Cumulative adverse events from post-marketing sources for bevacizumab</w:t>
      </w:r>
    </w:p>
    <w:p w:rsidR="00B32A52" w:rsidRDefault="00630B7C" w:rsidP="0022194D">
      <w:r>
        <w:rPr>
          <w:noProof/>
          <w:lang w:eastAsia="en-AU"/>
        </w:rPr>
        <w:drawing>
          <wp:inline distT="0" distB="0" distL="0" distR="0" wp14:anchorId="7907E363" wp14:editId="3EAB4945">
            <wp:extent cx="4138492" cy="6415431"/>
            <wp:effectExtent l="0" t="0" r="0" b="4445"/>
            <wp:docPr id="3" name="Picture 3" descr="Table 3: Cumulative adverse events from post-marketing sources for bevac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38254" cy="6415062"/>
                    </a:xfrm>
                    <a:prstGeom prst="rect">
                      <a:avLst/>
                    </a:prstGeom>
                  </pic:spPr>
                </pic:pic>
              </a:graphicData>
            </a:graphic>
          </wp:inline>
        </w:drawing>
      </w:r>
    </w:p>
    <w:p w:rsidR="00605AD4" w:rsidRPr="00605AD4" w:rsidRDefault="00605AD4" w:rsidP="00605AD4">
      <w:pPr>
        <w:pStyle w:val="Heading4"/>
      </w:pPr>
      <w:r w:rsidRPr="00605AD4">
        <w:t>Evaluator’s conclusions on safety</w:t>
      </w:r>
    </w:p>
    <w:p w:rsidR="00630B7C" w:rsidRPr="00D9189B" w:rsidRDefault="00630B7C" w:rsidP="00630B7C">
      <w:r w:rsidRPr="00D9189B">
        <w:t>Pivotal Study GOG-0240 assessed the efficacy and safety cisplatin plus paclitaxel (</w:t>
      </w:r>
      <w:proofErr w:type="spellStart"/>
      <w:r w:rsidRPr="00D9189B">
        <w:t>Cis</w:t>
      </w:r>
      <w:r>
        <w:rPr>
          <w:lang w:eastAsia="en-AU"/>
        </w:rPr>
        <w:t>+</w:t>
      </w:r>
      <w:r w:rsidRPr="00D9189B">
        <w:t>Pac</w:t>
      </w:r>
      <w:proofErr w:type="spellEnd"/>
      <w:r w:rsidRPr="00D9189B">
        <w:t xml:space="preserve">) with and without </w:t>
      </w:r>
      <w:proofErr w:type="spellStart"/>
      <w:r w:rsidRPr="00D9189B">
        <w:t>bevacizumab</w:t>
      </w:r>
      <w:proofErr w:type="spellEnd"/>
      <w:r w:rsidRPr="00D9189B">
        <w:t xml:space="preserve"> (</w:t>
      </w:r>
      <w:proofErr w:type="spellStart"/>
      <w:r w:rsidRPr="00D9189B">
        <w:t>Bv</w:t>
      </w:r>
      <w:proofErr w:type="spellEnd"/>
      <w:r w:rsidRPr="00D9189B">
        <w:t xml:space="preserve">) versus </w:t>
      </w:r>
      <w:proofErr w:type="spellStart"/>
      <w:r w:rsidRPr="00D9189B">
        <w:t>topotecan</w:t>
      </w:r>
      <w:proofErr w:type="spellEnd"/>
      <w:r w:rsidRPr="00D9189B">
        <w:t xml:space="preserve"> plus paclitaxel (</w:t>
      </w:r>
      <w:proofErr w:type="spellStart"/>
      <w:r w:rsidRPr="00D9189B">
        <w:t>Top</w:t>
      </w:r>
      <w:r>
        <w:rPr>
          <w:lang w:eastAsia="en-AU"/>
        </w:rPr>
        <w:t>+</w:t>
      </w:r>
      <w:r w:rsidRPr="00D9189B">
        <w:t>Pac</w:t>
      </w:r>
      <w:proofErr w:type="spellEnd"/>
      <w:r w:rsidRPr="00D9189B">
        <w:t xml:space="preserve">), with and without bevacizumab, in stage IVB, recurrent or persistent carcinoma of the cervix. As a </w:t>
      </w:r>
      <w:r w:rsidR="00E95BD0">
        <w:t>2 </w:t>
      </w:r>
      <w:r>
        <w:t>x 2</w:t>
      </w:r>
      <w:r w:rsidRPr="00D9189B">
        <w:t xml:space="preserve"> factorial design was used for this study, the safety analysis was performed according to the two hypotheses for the study: </w:t>
      </w:r>
      <w:r w:rsidRPr="004E1FE0">
        <w:t>H</w:t>
      </w:r>
      <w:r w:rsidRPr="00A44ABC">
        <w:rPr>
          <w:vertAlign w:val="subscript"/>
        </w:rPr>
        <w:t>01</w:t>
      </w:r>
      <w:r>
        <w:t xml:space="preserve">; </w:t>
      </w:r>
      <w:r w:rsidRPr="00D9189B">
        <w:t xml:space="preserve">according to bevacizumab treatment, and </w:t>
      </w:r>
      <w:r w:rsidRPr="004E1FE0">
        <w:t>H</w:t>
      </w:r>
      <w:r w:rsidRPr="00A44ABC">
        <w:rPr>
          <w:vertAlign w:val="subscript"/>
        </w:rPr>
        <w:t>02</w:t>
      </w:r>
      <w:r>
        <w:t>;</w:t>
      </w:r>
      <w:r w:rsidRPr="00D9189B">
        <w:t xml:space="preserve"> according to chemotherapy backbone.</w:t>
      </w:r>
    </w:p>
    <w:p w:rsidR="00630B7C" w:rsidRPr="00D9189B" w:rsidRDefault="00630B7C" w:rsidP="00630B7C">
      <w:r w:rsidRPr="00D9189B">
        <w:t>It is noted that this analysis was the second analysis (data cut-off 12 December 2012) at 288 OS events, short of the planned final analysis at 346 OS events. Therefore, this safety analysis should be considered interim, and evaluation of the final study analysis is required.</w:t>
      </w:r>
    </w:p>
    <w:p w:rsidR="00630B7C" w:rsidRPr="00D9189B" w:rsidRDefault="00630B7C" w:rsidP="00630B7C">
      <w:pPr>
        <w:pStyle w:val="Heading4"/>
      </w:pPr>
      <w:r w:rsidRPr="004E1FE0">
        <w:lastRenderedPageBreak/>
        <w:t>H</w:t>
      </w:r>
      <w:r w:rsidRPr="00A44ABC">
        <w:rPr>
          <w:vertAlign w:val="subscript"/>
        </w:rPr>
        <w:t>01</w:t>
      </w:r>
      <w:r>
        <w:t>; s</w:t>
      </w:r>
      <w:r w:rsidRPr="00D9189B">
        <w:t>afety conclusions by bevacizumab treatment</w:t>
      </w:r>
    </w:p>
    <w:p w:rsidR="00630B7C" w:rsidRPr="00D9189B" w:rsidRDefault="00630B7C" w:rsidP="00630B7C">
      <w:r w:rsidRPr="00D9189B">
        <w:t xml:space="preserve">At least one AE was experienced by 98.6% of patients in the Chemo alone group and 99.1% patients in the </w:t>
      </w:r>
      <w:proofErr w:type="spellStart"/>
      <w:r w:rsidRPr="00D9189B">
        <w:t>Chemo</w:t>
      </w:r>
      <w:r>
        <w:rPr>
          <w:lang w:eastAsia="en-AU"/>
        </w:rPr>
        <w:t>+</w:t>
      </w:r>
      <w:r w:rsidRPr="00D9189B">
        <w:t>Bv</w:t>
      </w:r>
      <w:proofErr w:type="spellEnd"/>
      <w:r w:rsidRPr="00D9189B">
        <w:t xml:space="preserve"> group. The most common AEs were those typically associated with components of chemotherapy and had a similar incidence across the two groups, with the greatest difference in incidence between the Chemo alone group and the </w:t>
      </w:r>
      <w:proofErr w:type="spellStart"/>
      <w:r w:rsidRPr="00D9189B">
        <w:t>Chemo</w:t>
      </w:r>
      <w:r>
        <w:rPr>
          <w:lang w:eastAsia="en-AU"/>
        </w:rPr>
        <w:t>+</w:t>
      </w:r>
      <w:r w:rsidRPr="00D9189B">
        <w:t>Bv</w:t>
      </w:r>
      <w:proofErr w:type="spellEnd"/>
      <w:r w:rsidRPr="00D9189B">
        <w:t xml:space="preserve"> group being with hypertension (Chemo alone: 6.3% </w:t>
      </w:r>
      <w:r>
        <w:t>versus</w:t>
      </w:r>
      <w:r w:rsidRPr="00D9189B">
        <w:t xml:space="preserve"> </w:t>
      </w:r>
      <w:proofErr w:type="spellStart"/>
      <w:r w:rsidRPr="00D9189B">
        <w:t>Chemo</w:t>
      </w:r>
      <w:r>
        <w:rPr>
          <w:lang w:eastAsia="en-AU"/>
        </w:rPr>
        <w:t>+</w:t>
      </w:r>
      <w:r w:rsidRPr="00D9189B">
        <w:t>Bv</w:t>
      </w:r>
      <w:proofErr w:type="spellEnd"/>
      <w:r w:rsidRPr="00D9189B">
        <w:t xml:space="preserve">: 28.9% respectively); epistaxis (1.8% </w:t>
      </w:r>
      <w:r>
        <w:t>versus</w:t>
      </w:r>
      <w:r w:rsidRPr="00D9189B">
        <w:t xml:space="preserve"> 17.0%); and weight decreased (6.8% </w:t>
      </w:r>
      <w:r>
        <w:t>versus</w:t>
      </w:r>
      <w:r w:rsidRPr="00D9189B">
        <w:t xml:space="preserve"> 20.6%). In addition, this study identified a higher incidence of </w:t>
      </w:r>
      <w:r w:rsidR="003C6DF6">
        <w:rPr>
          <w:rFonts w:eastAsia="Times New Roman"/>
          <w:kern w:val="16"/>
          <w:szCs w:val="24"/>
        </w:rPr>
        <w:t>gastrointestinal</w:t>
      </w:r>
      <w:r w:rsidR="003C6DF6" w:rsidRPr="00D9189B">
        <w:t xml:space="preserve"> </w:t>
      </w:r>
      <w:r w:rsidR="003C6DF6">
        <w:t>(</w:t>
      </w:r>
      <w:r w:rsidRPr="00D9189B">
        <w:t>GI</w:t>
      </w:r>
      <w:r w:rsidR="003C6DF6">
        <w:t>)</w:t>
      </w:r>
      <w:r w:rsidRPr="00D9189B">
        <w:t xml:space="preserve">-vaginal fistulae in the </w:t>
      </w:r>
      <w:proofErr w:type="spellStart"/>
      <w:r w:rsidRPr="00D9189B">
        <w:t>Chemo</w:t>
      </w:r>
      <w:r>
        <w:rPr>
          <w:lang w:eastAsia="en-AU"/>
        </w:rPr>
        <w:t>+</w:t>
      </w:r>
      <w:r w:rsidRPr="00D9189B">
        <w:t>Bv</w:t>
      </w:r>
      <w:proofErr w:type="spellEnd"/>
      <w:r w:rsidRPr="00D9189B">
        <w:t xml:space="preserve"> group (0.9% Chemo alone </w:t>
      </w:r>
      <w:r>
        <w:t>versus</w:t>
      </w:r>
      <w:r w:rsidRPr="00D9189B">
        <w:t xml:space="preserve"> 8.2% </w:t>
      </w:r>
      <w:proofErr w:type="spellStart"/>
      <w:r w:rsidRPr="00D9189B">
        <w:t>Chemo</w:t>
      </w:r>
      <w:r>
        <w:rPr>
          <w:lang w:eastAsia="en-AU"/>
        </w:rPr>
        <w:t>+</w:t>
      </w:r>
      <w:r w:rsidRPr="00D9189B">
        <w:t>Bv</w:t>
      </w:r>
      <w:proofErr w:type="spellEnd"/>
      <w:r w:rsidRPr="00D9189B">
        <w:t xml:space="preserve">) and a higher incidence of Grade </w:t>
      </w:r>
      <w:r>
        <w:t>≥ 3</w:t>
      </w:r>
      <w:r w:rsidRPr="00D9189B">
        <w:t xml:space="preserve"> </w:t>
      </w:r>
      <w:r w:rsidR="003C6DF6">
        <w:rPr>
          <w:rFonts w:eastAsia="Times New Roman"/>
          <w:kern w:val="16"/>
          <w:szCs w:val="24"/>
        </w:rPr>
        <w:t>venous thromboembolic events</w:t>
      </w:r>
      <w:r w:rsidR="003C6DF6" w:rsidRPr="00D9189B">
        <w:t xml:space="preserve"> </w:t>
      </w:r>
      <w:r w:rsidR="003C6DF6">
        <w:t>(</w:t>
      </w:r>
      <w:r w:rsidRPr="00D9189B">
        <w:t>VTEs</w:t>
      </w:r>
      <w:r w:rsidR="003C6DF6">
        <w:t>)</w:t>
      </w:r>
      <w:r w:rsidRPr="00D9189B">
        <w:t xml:space="preserve"> (5.4% Chemo alone </w:t>
      </w:r>
      <w:r>
        <w:t>versus</w:t>
      </w:r>
      <w:r w:rsidRPr="00D9189B">
        <w:t xml:space="preserve"> 10.6% </w:t>
      </w:r>
      <w:proofErr w:type="spellStart"/>
      <w:r w:rsidRPr="00D9189B">
        <w:t>Chemo</w:t>
      </w:r>
      <w:r>
        <w:rPr>
          <w:lang w:eastAsia="en-AU"/>
        </w:rPr>
        <w:t>+</w:t>
      </w:r>
      <w:r w:rsidRPr="00D9189B">
        <w:t>Bv</w:t>
      </w:r>
      <w:proofErr w:type="spellEnd"/>
      <w:r w:rsidRPr="00D9189B">
        <w:t>).</w:t>
      </w:r>
    </w:p>
    <w:p w:rsidR="00630B7C" w:rsidRPr="00D9189B" w:rsidRDefault="00630B7C" w:rsidP="00630B7C">
      <w:r w:rsidRPr="00D9189B">
        <w:t xml:space="preserve">There was a higher incidence of Grade 5 AEs in the </w:t>
      </w:r>
      <w:proofErr w:type="spellStart"/>
      <w:r w:rsidRPr="00D9189B">
        <w:t>Chemo</w:t>
      </w:r>
      <w:r>
        <w:rPr>
          <w:lang w:eastAsia="en-AU"/>
        </w:rPr>
        <w:t>+</w:t>
      </w:r>
      <w:r w:rsidRPr="00D9189B">
        <w:t>Bv</w:t>
      </w:r>
      <w:proofErr w:type="spellEnd"/>
      <w:r w:rsidRPr="00D9189B">
        <w:t xml:space="preserve"> group (2.3% Chemo alone </w:t>
      </w:r>
      <w:r>
        <w:t>versus</w:t>
      </w:r>
      <w:r w:rsidRPr="00D9189B">
        <w:t xml:space="preserve"> 4.1% </w:t>
      </w:r>
      <w:proofErr w:type="spellStart"/>
      <w:r w:rsidRPr="00D9189B">
        <w:t>Chemo</w:t>
      </w:r>
      <w:r>
        <w:rPr>
          <w:lang w:eastAsia="en-AU"/>
        </w:rPr>
        <w:t>+</w:t>
      </w:r>
      <w:r w:rsidRPr="00D9189B">
        <w:t>Bv</w:t>
      </w:r>
      <w:proofErr w:type="spellEnd"/>
      <w:r w:rsidRPr="00D9189B">
        <w:t>)</w:t>
      </w:r>
      <w:proofErr w:type="gramStart"/>
      <w:r w:rsidRPr="00D9189B">
        <w:t>,</w:t>
      </w:r>
      <w:proofErr w:type="gramEnd"/>
      <w:r w:rsidRPr="00D9189B">
        <w:t xml:space="preserve"> however, this was offset by a lower incidence of deaths (65.3% Chemo alone </w:t>
      </w:r>
      <w:r>
        <w:t>versus</w:t>
      </w:r>
      <w:r w:rsidRPr="00D9189B">
        <w:t xml:space="preserve"> 61.9% </w:t>
      </w:r>
      <w:proofErr w:type="spellStart"/>
      <w:r w:rsidRPr="00D9189B">
        <w:t>Chemo</w:t>
      </w:r>
      <w:r>
        <w:rPr>
          <w:lang w:eastAsia="en-AU"/>
        </w:rPr>
        <w:t>+</w:t>
      </w:r>
      <w:r w:rsidRPr="00D9189B">
        <w:t>Bv</w:t>
      </w:r>
      <w:proofErr w:type="spellEnd"/>
      <w:r w:rsidRPr="00D9189B">
        <w:t>).</w:t>
      </w:r>
    </w:p>
    <w:p w:rsidR="00630B7C" w:rsidRPr="00D9189B" w:rsidRDefault="00630B7C" w:rsidP="00630B7C">
      <w:r w:rsidRPr="00D9189B">
        <w:t xml:space="preserve">Overall more patients in the </w:t>
      </w:r>
      <w:proofErr w:type="spellStart"/>
      <w:r w:rsidRPr="00D9189B">
        <w:t>Chemo</w:t>
      </w:r>
      <w:r>
        <w:rPr>
          <w:lang w:eastAsia="en-AU"/>
        </w:rPr>
        <w:t>+</w:t>
      </w:r>
      <w:r w:rsidRPr="00D9189B">
        <w:t>Bv</w:t>
      </w:r>
      <w:proofErr w:type="spellEnd"/>
      <w:r w:rsidRPr="00D9189B">
        <w:t xml:space="preserve"> group (25.7%) discontinued study treatment due to AEs compared to the Chemo alone group (18.0%), due to fistula, general disorders and administrative site conditions, gastrointestinal disorders including nausea and vomiting, and blood and lymphatic system disorders including neutropenia.</w:t>
      </w:r>
    </w:p>
    <w:p w:rsidR="00630B7C" w:rsidRPr="00D9189B" w:rsidRDefault="00630B7C" w:rsidP="00630B7C">
      <w:r w:rsidRPr="00D9189B">
        <w:t xml:space="preserve">Insufficient detail was provided in the CER to fully evaluate laboratory abnormalities, and this has been requested from the </w:t>
      </w:r>
      <w:r>
        <w:t>sponsor</w:t>
      </w:r>
      <w:r w:rsidRPr="00D9189B">
        <w:t>. Subgroup analysis by age, race and study treatment was not informative.</w:t>
      </w:r>
    </w:p>
    <w:p w:rsidR="00630B7C" w:rsidRPr="00D9189B" w:rsidRDefault="00630B7C" w:rsidP="00630B7C">
      <w:r w:rsidRPr="00D9189B">
        <w:t xml:space="preserve">Overall this interim analysis suggests that the safety profile of bevacizumab is in keeping with that previously identified and as documented in the PI. New safety issues identified as a result of this study include an increased incidence of GI-vaginal fistulae and increased Grade </w:t>
      </w:r>
      <w:r>
        <w:t>≥ 3 VTEs.</w:t>
      </w:r>
    </w:p>
    <w:p w:rsidR="00630B7C" w:rsidRPr="00D9189B" w:rsidRDefault="00630B7C" w:rsidP="00630B7C">
      <w:pPr>
        <w:pStyle w:val="Heading4"/>
      </w:pPr>
      <w:r w:rsidRPr="004E1FE0">
        <w:t>H</w:t>
      </w:r>
      <w:r w:rsidRPr="00A44ABC">
        <w:rPr>
          <w:vertAlign w:val="subscript"/>
        </w:rPr>
        <w:t>02</w:t>
      </w:r>
      <w:r>
        <w:t xml:space="preserve">; </w:t>
      </w:r>
      <w:r w:rsidRPr="00D9189B">
        <w:t>Safety conclusions by chemotherapy backbone</w:t>
      </w:r>
    </w:p>
    <w:p w:rsidR="00630B7C" w:rsidRPr="00D9189B" w:rsidRDefault="00630B7C" w:rsidP="00630B7C">
      <w:r w:rsidRPr="00D9189B">
        <w:t xml:space="preserve">At least one AE was experienced by 99.1% of subjects in the </w:t>
      </w:r>
      <w:proofErr w:type="spellStart"/>
      <w:r w:rsidRPr="00D9189B">
        <w:t>Cis</w:t>
      </w:r>
      <w:r>
        <w:rPr>
          <w:lang w:eastAsia="en-AU"/>
        </w:rPr>
        <w:t>+</w:t>
      </w:r>
      <w:r w:rsidRPr="00D9189B">
        <w:t>Pac±Bv</w:t>
      </w:r>
      <w:proofErr w:type="spellEnd"/>
      <w:r w:rsidRPr="00D9189B">
        <w:t xml:space="preserve"> group and 98.6% of subjects in the </w:t>
      </w:r>
      <w:proofErr w:type="spellStart"/>
      <w:r w:rsidRPr="00D9189B">
        <w:t>Top</w:t>
      </w:r>
      <w:r>
        <w:rPr>
          <w:lang w:eastAsia="en-AU"/>
        </w:rPr>
        <w:t>+</w:t>
      </w:r>
      <w:r w:rsidRPr="00D9189B">
        <w:t>Pac±Bv</w:t>
      </w:r>
      <w:proofErr w:type="spellEnd"/>
      <w:r w:rsidRPr="00D9189B">
        <w:t xml:space="preserve"> group. There were some slight differences in the AE profiles of the two chemotherapy backbones.</w:t>
      </w:r>
    </w:p>
    <w:p w:rsidR="00630B7C" w:rsidRPr="00D9189B" w:rsidRDefault="00630B7C" w:rsidP="00630B7C">
      <w:r w:rsidRPr="00D9189B">
        <w:t xml:space="preserve">AEs more common in the </w:t>
      </w:r>
      <w:proofErr w:type="spellStart"/>
      <w:r w:rsidRPr="00D9189B">
        <w:t>Cis</w:t>
      </w:r>
      <w:r>
        <w:rPr>
          <w:lang w:eastAsia="en-AU"/>
        </w:rPr>
        <w:t>+</w:t>
      </w:r>
      <w:r w:rsidRPr="00D9189B">
        <w:t>Pac±Bv</w:t>
      </w:r>
      <w:proofErr w:type="spellEnd"/>
      <w:r w:rsidRPr="00D9189B">
        <w:t xml:space="preserve"> group compared to the </w:t>
      </w:r>
      <w:proofErr w:type="spellStart"/>
      <w:r w:rsidRPr="00D9189B">
        <w:t>Top</w:t>
      </w:r>
      <w:r>
        <w:rPr>
          <w:lang w:eastAsia="en-AU"/>
        </w:rPr>
        <w:t>+</w:t>
      </w:r>
      <w:r w:rsidRPr="00D9189B">
        <w:t>Pac±Bv</w:t>
      </w:r>
      <w:proofErr w:type="spellEnd"/>
      <w:r w:rsidRPr="00D9189B">
        <w:t xml:space="preserve"> group included: GI disorders including nausea, vomiting, constipation and diarrhoea (89% </w:t>
      </w:r>
      <w:proofErr w:type="spellStart"/>
      <w:r w:rsidRPr="00D9189B">
        <w:t>Cis</w:t>
      </w:r>
      <w:r>
        <w:rPr>
          <w:lang w:eastAsia="en-AU"/>
        </w:rPr>
        <w:t>+</w:t>
      </w:r>
      <w:r w:rsidRPr="00D9189B">
        <w:t>Pac±Bv</w:t>
      </w:r>
      <w:proofErr w:type="spellEnd"/>
      <w:r w:rsidRPr="00D9189B">
        <w:t xml:space="preserve"> </w:t>
      </w:r>
      <w:r>
        <w:t>versus</w:t>
      </w:r>
      <w:r w:rsidRPr="00D9189B">
        <w:t xml:space="preserve"> 83% </w:t>
      </w:r>
      <w:proofErr w:type="spellStart"/>
      <w:r w:rsidRPr="00D9189B">
        <w:t>Top</w:t>
      </w:r>
      <w:r>
        <w:rPr>
          <w:lang w:eastAsia="en-AU"/>
        </w:rPr>
        <w:t>+</w:t>
      </w:r>
      <w:r w:rsidRPr="00D9189B">
        <w:t>Pac±Bv</w:t>
      </w:r>
      <w:proofErr w:type="spellEnd"/>
      <w:r w:rsidRPr="00D9189B">
        <w:t xml:space="preserve">), fatigue (82% </w:t>
      </w:r>
      <w:proofErr w:type="spellStart"/>
      <w:r w:rsidRPr="00D9189B">
        <w:t>Cis</w:t>
      </w:r>
      <w:r>
        <w:rPr>
          <w:lang w:eastAsia="en-AU"/>
        </w:rPr>
        <w:t>+</w:t>
      </w:r>
      <w:r w:rsidRPr="00D9189B">
        <w:t>Pac±Bv</w:t>
      </w:r>
      <w:proofErr w:type="spellEnd"/>
      <w:r w:rsidRPr="00D9189B">
        <w:t xml:space="preserve"> </w:t>
      </w:r>
      <w:r>
        <w:t>versus</w:t>
      </w:r>
      <w:r w:rsidRPr="00D9189B">
        <w:t xml:space="preserve"> 73% </w:t>
      </w:r>
      <w:proofErr w:type="spellStart"/>
      <w:r w:rsidRPr="00D9189B">
        <w:t>Top</w:t>
      </w:r>
      <w:r>
        <w:rPr>
          <w:lang w:eastAsia="en-AU"/>
        </w:rPr>
        <w:t>+</w:t>
      </w:r>
      <w:r w:rsidRPr="00D9189B">
        <w:t>Pac±Bv</w:t>
      </w:r>
      <w:proofErr w:type="spellEnd"/>
      <w:r w:rsidRPr="00D9189B">
        <w:t xml:space="preserve">), metabolism and nutrition disorders (59% </w:t>
      </w:r>
      <w:proofErr w:type="spellStart"/>
      <w:r w:rsidRPr="00D9189B">
        <w:t>Cis</w:t>
      </w:r>
      <w:r>
        <w:rPr>
          <w:lang w:eastAsia="en-AU"/>
        </w:rPr>
        <w:t>+</w:t>
      </w:r>
      <w:r w:rsidRPr="00D9189B">
        <w:t>Pac±Bv</w:t>
      </w:r>
      <w:proofErr w:type="spellEnd"/>
      <w:r w:rsidRPr="00D9189B">
        <w:t xml:space="preserve"> </w:t>
      </w:r>
      <w:r>
        <w:t>versus</w:t>
      </w:r>
      <w:r w:rsidRPr="00D9189B">
        <w:t xml:space="preserve"> 53% </w:t>
      </w:r>
      <w:proofErr w:type="spellStart"/>
      <w:r w:rsidRPr="00D9189B">
        <w:t>Top</w:t>
      </w:r>
      <w:r>
        <w:rPr>
          <w:lang w:eastAsia="en-AU"/>
        </w:rPr>
        <w:t>+</w:t>
      </w:r>
      <w:r w:rsidRPr="00D9189B">
        <w:t>Pac±Bv</w:t>
      </w:r>
      <w:proofErr w:type="spellEnd"/>
      <w:r w:rsidRPr="00D9189B">
        <w:t xml:space="preserve">), and hypertension (21% </w:t>
      </w:r>
      <w:proofErr w:type="spellStart"/>
      <w:r w:rsidRPr="00D9189B">
        <w:t>Cis</w:t>
      </w:r>
      <w:r>
        <w:rPr>
          <w:lang w:eastAsia="en-AU"/>
        </w:rPr>
        <w:t>+</w:t>
      </w:r>
      <w:r w:rsidRPr="00D9189B">
        <w:t>Pac±Bv</w:t>
      </w:r>
      <w:proofErr w:type="spellEnd"/>
      <w:r w:rsidRPr="00D9189B">
        <w:t xml:space="preserve"> </w:t>
      </w:r>
      <w:r>
        <w:t>versus</w:t>
      </w:r>
      <w:r w:rsidRPr="00D9189B">
        <w:t xml:space="preserve"> 14% </w:t>
      </w:r>
      <w:proofErr w:type="spellStart"/>
      <w:r w:rsidRPr="00D9189B">
        <w:t>Top</w:t>
      </w:r>
      <w:r>
        <w:rPr>
          <w:lang w:eastAsia="en-AU"/>
        </w:rPr>
        <w:t>+</w:t>
      </w:r>
      <w:r w:rsidRPr="00D9189B">
        <w:t>Pac±Bv</w:t>
      </w:r>
      <w:proofErr w:type="spellEnd"/>
      <w:r w:rsidRPr="00D9189B">
        <w:t xml:space="preserve">). There was also a higher incidence of Grade </w:t>
      </w:r>
      <w:r>
        <w:t>≥ 3</w:t>
      </w:r>
      <w:r w:rsidRPr="00D9189B">
        <w:t xml:space="preserve"> peripheral sensory neuropathy (9% </w:t>
      </w:r>
      <w:proofErr w:type="spellStart"/>
      <w:r w:rsidRPr="00D9189B">
        <w:t>Cis</w:t>
      </w:r>
      <w:r>
        <w:rPr>
          <w:lang w:eastAsia="en-AU"/>
        </w:rPr>
        <w:t>+</w:t>
      </w:r>
      <w:r w:rsidRPr="00D9189B">
        <w:t>Pac±Bv</w:t>
      </w:r>
      <w:proofErr w:type="spellEnd"/>
      <w:r w:rsidRPr="00D9189B">
        <w:t xml:space="preserve"> </w:t>
      </w:r>
      <w:r>
        <w:t>versus</w:t>
      </w:r>
      <w:r w:rsidRPr="00D9189B">
        <w:t xml:space="preserve"> 2% </w:t>
      </w:r>
      <w:proofErr w:type="spellStart"/>
      <w:r w:rsidRPr="00D9189B">
        <w:t>Top</w:t>
      </w:r>
      <w:r>
        <w:rPr>
          <w:lang w:eastAsia="en-AU"/>
        </w:rPr>
        <w:t>+</w:t>
      </w:r>
      <w:r w:rsidRPr="00D9189B">
        <w:t>Pac±Bv</w:t>
      </w:r>
      <w:proofErr w:type="spellEnd"/>
      <w:r w:rsidRPr="00D9189B">
        <w:t xml:space="preserve">), VTEs (9% </w:t>
      </w:r>
      <w:proofErr w:type="spellStart"/>
      <w:r w:rsidRPr="00D9189B">
        <w:t>Cis</w:t>
      </w:r>
      <w:r>
        <w:rPr>
          <w:lang w:eastAsia="en-AU"/>
        </w:rPr>
        <w:t>+</w:t>
      </w:r>
      <w:r w:rsidRPr="00D9189B">
        <w:t>Pac±Bv</w:t>
      </w:r>
      <w:proofErr w:type="spellEnd"/>
      <w:r w:rsidRPr="00D9189B">
        <w:t xml:space="preserve"> </w:t>
      </w:r>
      <w:r>
        <w:t>versus</w:t>
      </w:r>
      <w:r w:rsidRPr="00D9189B">
        <w:t xml:space="preserve"> 3% </w:t>
      </w:r>
      <w:proofErr w:type="spellStart"/>
      <w:r w:rsidRPr="00D9189B">
        <w:t>Top</w:t>
      </w:r>
      <w:r>
        <w:rPr>
          <w:lang w:eastAsia="en-AU"/>
        </w:rPr>
        <w:t>+</w:t>
      </w:r>
      <w:r w:rsidRPr="00D9189B">
        <w:t>Pac±Bv</w:t>
      </w:r>
      <w:proofErr w:type="spellEnd"/>
      <w:r w:rsidRPr="00D9189B">
        <w:t xml:space="preserve">) and </w:t>
      </w:r>
      <w:r w:rsidR="003C6DF6">
        <w:rPr>
          <w:rFonts w:eastAsia="Times New Roman"/>
          <w:kern w:val="16"/>
          <w:szCs w:val="24"/>
        </w:rPr>
        <w:t>arterial thromboembolic events</w:t>
      </w:r>
      <w:r w:rsidR="003C6DF6" w:rsidRPr="00D9189B">
        <w:t xml:space="preserve"> </w:t>
      </w:r>
      <w:r w:rsidR="003C6DF6">
        <w:t>(</w:t>
      </w:r>
      <w:r w:rsidRPr="00D9189B">
        <w:t>ATEs</w:t>
      </w:r>
      <w:r w:rsidR="003C6DF6">
        <w:t>)</w:t>
      </w:r>
      <w:r w:rsidRPr="00D9189B">
        <w:t xml:space="preserve"> (4% </w:t>
      </w:r>
      <w:proofErr w:type="spellStart"/>
      <w:r w:rsidRPr="00D9189B">
        <w:t>Cis</w:t>
      </w:r>
      <w:r>
        <w:rPr>
          <w:lang w:eastAsia="en-AU"/>
        </w:rPr>
        <w:t>+</w:t>
      </w:r>
      <w:r w:rsidRPr="00D9189B">
        <w:t>Pac±Bv</w:t>
      </w:r>
      <w:proofErr w:type="spellEnd"/>
      <w:r w:rsidRPr="00D9189B">
        <w:t xml:space="preserve"> </w:t>
      </w:r>
      <w:r>
        <w:t>versus</w:t>
      </w:r>
      <w:r w:rsidRPr="00D9189B">
        <w:t xml:space="preserve"> 2% </w:t>
      </w:r>
      <w:proofErr w:type="spellStart"/>
      <w:r w:rsidRPr="00D9189B">
        <w:t>Top</w:t>
      </w:r>
      <w:r>
        <w:rPr>
          <w:lang w:eastAsia="en-AU"/>
        </w:rPr>
        <w:t>+</w:t>
      </w:r>
      <w:r w:rsidRPr="00D9189B">
        <w:t>Pac±Bv</w:t>
      </w:r>
      <w:proofErr w:type="spellEnd"/>
      <w:r w:rsidRPr="00D9189B">
        <w:t xml:space="preserve">) in the </w:t>
      </w:r>
      <w:proofErr w:type="spellStart"/>
      <w:r w:rsidRPr="00D9189B">
        <w:t>Cis</w:t>
      </w:r>
      <w:r>
        <w:rPr>
          <w:lang w:eastAsia="en-AU"/>
        </w:rPr>
        <w:t>+</w:t>
      </w:r>
      <w:r w:rsidRPr="00D9189B">
        <w:t>Pac±Bv</w:t>
      </w:r>
      <w:proofErr w:type="spellEnd"/>
      <w:r w:rsidRPr="00D9189B">
        <w:t xml:space="preserve"> group.</w:t>
      </w:r>
    </w:p>
    <w:p w:rsidR="00630B7C" w:rsidRPr="00D9189B" w:rsidRDefault="00630B7C" w:rsidP="00630B7C">
      <w:r w:rsidRPr="00D9189B">
        <w:t xml:space="preserve">AEs more common in the </w:t>
      </w:r>
      <w:proofErr w:type="spellStart"/>
      <w:r w:rsidRPr="00D9189B">
        <w:t>Top</w:t>
      </w:r>
      <w:r>
        <w:rPr>
          <w:lang w:eastAsia="en-AU"/>
        </w:rPr>
        <w:t>+</w:t>
      </w:r>
      <w:r w:rsidRPr="00D9189B">
        <w:t>Pac±Bv</w:t>
      </w:r>
      <w:proofErr w:type="spellEnd"/>
      <w:r w:rsidRPr="00D9189B">
        <w:t xml:space="preserve"> group compared to the </w:t>
      </w:r>
      <w:proofErr w:type="spellStart"/>
      <w:r w:rsidRPr="00D9189B">
        <w:t>Cis</w:t>
      </w:r>
      <w:r>
        <w:rPr>
          <w:lang w:eastAsia="en-AU"/>
        </w:rPr>
        <w:t>+</w:t>
      </w:r>
      <w:r w:rsidRPr="00D9189B">
        <w:t>Pac±Bv</w:t>
      </w:r>
      <w:proofErr w:type="spellEnd"/>
      <w:r w:rsidRPr="00D9189B">
        <w:t xml:space="preserve"> group included infections and infestations (31% </w:t>
      </w:r>
      <w:proofErr w:type="spellStart"/>
      <w:r w:rsidRPr="00D9189B">
        <w:t>Cis</w:t>
      </w:r>
      <w:r>
        <w:rPr>
          <w:lang w:eastAsia="en-AU"/>
        </w:rPr>
        <w:t>+</w:t>
      </w:r>
      <w:r w:rsidRPr="00D9189B">
        <w:t>Pac±Bv</w:t>
      </w:r>
      <w:proofErr w:type="spellEnd"/>
      <w:r w:rsidRPr="00D9189B">
        <w:t xml:space="preserve"> </w:t>
      </w:r>
      <w:r>
        <w:t>versus</w:t>
      </w:r>
      <w:r w:rsidRPr="00D9189B">
        <w:t xml:space="preserve"> 41% </w:t>
      </w:r>
      <w:proofErr w:type="spellStart"/>
      <w:r w:rsidRPr="00D9189B">
        <w:t>Top</w:t>
      </w:r>
      <w:r>
        <w:rPr>
          <w:lang w:eastAsia="en-AU"/>
        </w:rPr>
        <w:t>+</w:t>
      </w:r>
      <w:r w:rsidRPr="00D9189B">
        <w:t>Pac±Bv</w:t>
      </w:r>
      <w:proofErr w:type="spellEnd"/>
      <w:r w:rsidRPr="00D9189B">
        <w:t xml:space="preserve">), and a slightly higher incidence of Grade </w:t>
      </w:r>
      <w:r>
        <w:t>≥ 3</w:t>
      </w:r>
      <w:r w:rsidRPr="00D9189B">
        <w:t xml:space="preserve"> blood and lymphatic system disorders including neutropenia and febrile neutropenia (4% </w:t>
      </w:r>
      <w:proofErr w:type="spellStart"/>
      <w:r w:rsidRPr="00D9189B">
        <w:t>Cis</w:t>
      </w:r>
      <w:r>
        <w:rPr>
          <w:lang w:eastAsia="en-AU"/>
        </w:rPr>
        <w:t>+</w:t>
      </w:r>
      <w:r w:rsidRPr="00D9189B">
        <w:t>Pac±Bv</w:t>
      </w:r>
      <w:proofErr w:type="spellEnd"/>
      <w:r w:rsidRPr="00D9189B">
        <w:t xml:space="preserve"> </w:t>
      </w:r>
      <w:r>
        <w:t>versus</w:t>
      </w:r>
      <w:r w:rsidRPr="00D9189B">
        <w:t xml:space="preserve"> 7% </w:t>
      </w:r>
      <w:proofErr w:type="spellStart"/>
      <w:r w:rsidRPr="00D9189B">
        <w:t>Top</w:t>
      </w:r>
      <w:r>
        <w:rPr>
          <w:lang w:eastAsia="en-AU"/>
        </w:rPr>
        <w:t>+</w:t>
      </w:r>
      <w:r w:rsidRPr="00D9189B">
        <w:t>Pac±Bv</w:t>
      </w:r>
      <w:proofErr w:type="spellEnd"/>
      <w:r w:rsidRPr="00D9189B">
        <w:t>).</w:t>
      </w:r>
    </w:p>
    <w:p w:rsidR="00630B7C" w:rsidRPr="00D9189B" w:rsidRDefault="00630B7C" w:rsidP="00630B7C">
      <w:r w:rsidRPr="00D9189B">
        <w:t xml:space="preserve">In keeping with the OS analysis, there were a higher number of deaths in the </w:t>
      </w:r>
      <w:proofErr w:type="spellStart"/>
      <w:r w:rsidRPr="00D9189B">
        <w:t>Top</w:t>
      </w:r>
      <w:r>
        <w:rPr>
          <w:lang w:eastAsia="en-AU"/>
        </w:rPr>
        <w:t>+</w:t>
      </w:r>
      <w:r w:rsidRPr="00D9189B">
        <w:t>Pac±Bv</w:t>
      </w:r>
      <w:proofErr w:type="spellEnd"/>
      <w:r w:rsidRPr="00D9189B">
        <w:t xml:space="preserve"> group (66.4%) compared to the </w:t>
      </w:r>
      <w:proofErr w:type="spellStart"/>
      <w:r w:rsidRPr="00D9189B">
        <w:t>Cis</w:t>
      </w:r>
      <w:r>
        <w:rPr>
          <w:lang w:eastAsia="en-AU"/>
        </w:rPr>
        <w:t>+</w:t>
      </w:r>
      <w:r w:rsidRPr="00D9189B">
        <w:t>Pac±Bv</w:t>
      </w:r>
      <w:proofErr w:type="spellEnd"/>
      <w:r w:rsidRPr="00D9189B">
        <w:t xml:space="preserve"> group (61.0%). There was also a higher frequency of Grade 5 AEs noted in the </w:t>
      </w:r>
      <w:proofErr w:type="spellStart"/>
      <w:r w:rsidRPr="00D9189B">
        <w:t>Top</w:t>
      </w:r>
      <w:r>
        <w:rPr>
          <w:lang w:eastAsia="en-AU"/>
        </w:rPr>
        <w:t>+</w:t>
      </w:r>
      <w:r w:rsidRPr="00D9189B">
        <w:t>Pac±Bv</w:t>
      </w:r>
      <w:proofErr w:type="spellEnd"/>
      <w:r w:rsidRPr="00D9189B">
        <w:t xml:space="preserve"> arm (4.6%) compared to the </w:t>
      </w:r>
      <w:proofErr w:type="spellStart"/>
      <w:r w:rsidRPr="00D9189B">
        <w:t>Cis</w:t>
      </w:r>
      <w:r>
        <w:rPr>
          <w:lang w:eastAsia="en-AU"/>
        </w:rPr>
        <w:t>+</w:t>
      </w:r>
      <w:r w:rsidRPr="00D9189B">
        <w:t>Pac±Bv</w:t>
      </w:r>
      <w:proofErr w:type="spellEnd"/>
      <w:r w:rsidRPr="00D9189B">
        <w:t xml:space="preserve"> arm (1.8%).</w:t>
      </w:r>
    </w:p>
    <w:p w:rsidR="00630B7C" w:rsidRPr="00D9189B" w:rsidRDefault="00630B7C" w:rsidP="00630B7C">
      <w:r w:rsidRPr="00D9189B">
        <w:lastRenderedPageBreak/>
        <w:t xml:space="preserve">The incidence of SAEs was comparable between the two chemotherapy backbone arms, apart from thrombosis which was reported with a higher frequency in the </w:t>
      </w:r>
      <w:proofErr w:type="spellStart"/>
      <w:r w:rsidRPr="00D9189B">
        <w:t>Cis</w:t>
      </w:r>
      <w:r>
        <w:rPr>
          <w:lang w:eastAsia="en-AU"/>
        </w:rPr>
        <w:t>+</w:t>
      </w:r>
      <w:r w:rsidRPr="00D9189B">
        <w:t>Pac±Bv</w:t>
      </w:r>
      <w:proofErr w:type="spellEnd"/>
      <w:r w:rsidRPr="00D9189B">
        <w:t xml:space="preserve"> arm (8%) compared to the </w:t>
      </w:r>
      <w:proofErr w:type="spellStart"/>
      <w:r w:rsidRPr="00D9189B">
        <w:t>Top</w:t>
      </w:r>
      <w:r>
        <w:rPr>
          <w:lang w:eastAsia="en-AU"/>
        </w:rPr>
        <w:t>+</w:t>
      </w:r>
      <w:r w:rsidRPr="00D9189B">
        <w:t>Pac±Bv</w:t>
      </w:r>
      <w:proofErr w:type="spellEnd"/>
      <w:r w:rsidRPr="00D9189B">
        <w:t xml:space="preserve"> arm (2%).</w:t>
      </w:r>
    </w:p>
    <w:p w:rsidR="00630B7C" w:rsidRPr="00D9189B" w:rsidRDefault="00630B7C" w:rsidP="00630B7C">
      <w:r w:rsidRPr="00D9189B">
        <w:t xml:space="preserve">More than twice as many patients in the </w:t>
      </w:r>
      <w:proofErr w:type="spellStart"/>
      <w:r w:rsidRPr="00D9189B">
        <w:t>Cis</w:t>
      </w:r>
      <w:r>
        <w:rPr>
          <w:lang w:eastAsia="en-AU"/>
        </w:rPr>
        <w:t>+</w:t>
      </w:r>
      <w:r w:rsidRPr="00D9189B">
        <w:t>Pac±Bv</w:t>
      </w:r>
      <w:proofErr w:type="spellEnd"/>
      <w:r w:rsidRPr="00D9189B">
        <w:t xml:space="preserve"> group discontinued study treatment due to AEs compared to the </w:t>
      </w:r>
      <w:proofErr w:type="spellStart"/>
      <w:r w:rsidRPr="00D9189B">
        <w:t>Top</w:t>
      </w:r>
      <w:r>
        <w:rPr>
          <w:lang w:eastAsia="en-AU"/>
        </w:rPr>
        <w:t>+</w:t>
      </w:r>
      <w:r w:rsidRPr="00D9189B">
        <w:t>Pac±Bv</w:t>
      </w:r>
      <w:proofErr w:type="spellEnd"/>
      <w:r w:rsidRPr="00D9189B">
        <w:t xml:space="preserve"> group (29.1% </w:t>
      </w:r>
      <w:proofErr w:type="spellStart"/>
      <w:r w:rsidRPr="00D9189B">
        <w:t>Cis</w:t>
      </w:r>
      <w:r>
        <w:rPr>
          <w:lang w:eastAsia="en-AU"/>
        </w:rPr>
        <w:t>+</w:t>
      </w:r>
      <w:r w:rsidRPr="00D9189B">
        <w:t>Pac±Bv</w:t>
      </w:r>
      <w:proofErr w:type="spellEnd"/>
      <w:r w:rsidRPr="00D9189B">
        <w:t xml:space="preserve"> </w:t>
      </w:r>
      <w:r>
        <w:t>versus</w:t>
      </w:r>
      <w:r w:rsidRPr="00D9189B">
        <w:t xml:space="preserve">14.3% </w:t>
      </w:r>
      <w:proofErr w:type="spellStart"/>
      <w:r w:rsidRPr="00D9189B">
        <w:t>Top</w:t>
      </w:r>
      <w:r>
        <w:rPr>
          <w:lang w:eastAsia="en-AU"/>
        </w:rPr>
        <w:t>+</w:t>
      </w:r>
      <w:r w:rsidRPr="00D9189B">
        <w:t>Pac±Bv</w:t>
      </w:r>
      <w:proofErr w:type="spellEnd"/>
      <w:r w:rsidRPr="00D9189B">
        <w:t xml:space="preserve">). The most common reasons for treatment discontinuation that occurred more frequently in the </w:t>
      </w:r>
      <w:proofErr w:type="spellStart"/>
      <w:r w:rsidRPr="00D9189B">
        <w:t>Cis</w:t>
      </w:r>
      <w:r>
        <w:rPr>
          <w:lang w:eastAsia="en-AU"/>
        </w:rPr>
        <w:t>+</w:t>
      </w:r>
      <w:r w:rsidRPr="00D9189B">
        <w:t>Pac±Bv</w:t>
      </w:r>
      <w:proofErr w:type="spellEnd"/>
      <w:r w:rsidRPr="00D9189B">
        <w:t xml:space="preserve"> group included nervous system disorders including neuropathies, general and administration site conditions, gastrointestinal disorders, and toxicity/drug hypersensitivity.</w:t>
      </w:r>
    </w:p>
    <w:p w:rsidR="00605AD4" w:rsidRPr="00605AD4" w:rsidRDefault="00630B7C" w:rsidP="00605AD4">
      <w:r w:rsidRPr="00D9189B">
        <w:t xml:space="preserve">Overall the interim analysis of safety by chemotherapy backbone presents a mixed picture. It appears that although the general incidence of AEs and AEs leading to treatment discontinuation are higher in the </w:t>
      </w:r>
      <w:proofErr w:type="spellStart"/>
      <w:r w:rsidRPr="00D9189B">
        <w:t>Cis</w:t>
      </w:r>
      <w:r>
        <w:rPr>
          <w:lang w:eastAsia="en-AU"/>
        </w:rPr>
        <w:t>+</w:t>
      </w:r>
      <w:r w:rsidRPr="00D9189B">
        <w:t>Pac±Bv</w:t>
      </w:r>
      <w:proofErr w:type="spellEnd"/>
      <w:r w:rsidRPr="00D9189B">
        <w:t xml:space="preserve"> arm, there is a higher incidence of deaths and Grade 5 AEs in the </w:t>
      </w:r>
      <w:proofErr w:type="spellStart"/>
      <w:r w:rsidRPr="00D9189B">
        <w:t>Top</w:t>
      </w:r>
      <w:r>
        <w:rPr>
          <w:lang w:eastAsia="en-AU"/>
        </w:rPr>
        <w:t>+</w:t>
      </w:r>
      <w:r w:rsidRPr="00D9189B">
        <w:t>Pac±Bv</w:t>
      </w:r>
      <w:proofErr w:type="spellEnd"/>
      <w:r w:rsidRPr="00D9189B">
        <w:t xml:space="preserve"> arm. Further evaluation of the final analysis at 346 OS events would be beneficial.</w:t>
      </w:r>
    </w:p>
    <w:p w:rsidR="00605AD4" w:rsidRPr="00605AD4" w:rsidRDefault="00605AD4" w:rsidP="00605AD4">
      <w:pPr>
        <w:pStyle w:val="Heading3"/>
        <w:rPr>
          <w:rFonts w:eastAsia="Cambria"/>
        </w:rPr>
      </w:pPr>
      <w:bookmarkStart w:id="82" w:name="_Toc482191402"/>
      <w:r w:rsidRPr="00605AD4">
        <w:rPr>
          <w:rFonts w:eastAsia="Cambria"/>
        </w:rPr>
        <w:t xml:space="preserve">First </w:t>
      </w:r>
      <w:r w:rsidR="009D4AE1" w:rsidRPr="00605AD4">
        <w:rPr>
          <w:rFonts w:eastAsia="Cambria"/>
        </w:rPr>
        <w:t xml:space="preserve">round </w:t>
      </w:r>
      <w:r w:rsidR="003E6B2B" w:rsidRPr="00605AD4">
        <w:rPr>
          <w:rFonts w:eastAsia="Cambria"/>
        </w:rPr>
        <w:t>benefit-risk assessment</w:t>
      </w:r>
      <w:bookmarkEnd w:id="82"/>
    </w:p>
    <w:p w:rsidR="00605AD4" w:rsidRDefault="00605AD4" w:rsidP="00605AD4">
      <w:pPr>
        <w:pStyle w:val="Heading4"/>
      </w:pPr>
      <w:r w:rsidRPr="00605AD4">
        <w:t>First round assessment of benefits</w:t>
      </w:r>
    </w:p>
    <w:p w:rsidR="00E84525" w:rsidRPr="00F56342" w:rsidRDefault="00E84525" w:rsidP="00E84525">
      <w:r w:rsidRPr="004E1FE0">
        <w:t>H</w:t>
      </w:r>
      <w:r w:rsidRPr="00A44ABC">
        <w:rPr>
          <w:vertAlign w:val="subscript"/>
        </w:rPr>
        <w:t>01</w:t>
      </w:r>
      <w:r w:rsidRPr="00F56342">
        <w:t>: Based on Study GOG-0240, the benefits of bevacizumab in combination with chemotherapy compared to chemotherapy alone in patients with stage IVB, recurrent or persistent carcinoma of the cervix (analysis by bevacizumab treatment) are:</w:t>
      </w:r>
    </w:p>
    <w:p w:rsidR="00E84525" w:rsidRPr="00F56342" w:rsidRDefault="00E84525" w:rsidP="00E84525">
      <w:pPr>
        <w:pStyle w:val="ListBullet"/>
        <w:numPr>
          <w:ilvl w:val="0"/>
          <w:numId w:val="39"/>
        </w:numPr>
      </w:pPr>
      <w:r w:rsidRPr="00F56342">
        <w:t xml:space="preserve">A statistically and clinically significant improvement in the median OS of 3.9 months (12.9 months Chemo alone </w:t>
      </w:r>
      <w:r>
        <w:t>versus</w:t>
      </w:r>
      <w:r w:rsidRPr="00F56342">
        <w:t xml:space="preserve"> 16.8 months </w:t>
      </w:r>
      <w:proofErr w:type="spellStart"/>
      <w:r w:rsidRPr="00F56342">
        <w:t>Chemo</w:t>
      </w:r>
      <w:r>
        <w:rPr>
          <w:lang w:eastAsia="en-AU"/>
        </w:rPr>
        <w:t>+</w:t>
      </w:r>
      <w:r w:rsidRPr="00F56342">
        <w:t>Bv</w:t>
      </w:r>
      <w:proofErr w:type="spellEnd"/>
      <w:r w:rsidRPr="00F56342">
        <w:t xml:space="preserve">), HR: 0.74 (95% CI 0.58-0.94, </w:t>
      </w:r>
      <w:r>
        <w:t xml:space="preserve">p = </w:t>
      </w:r>
      <w:r w:rsidRPr="00F56342">
        <w:t>0.0132). This result is supported by the secondary endpoints of PFS and ORR.</w:t>
      </w:r>
    </w:p>
    <w:p w:rsidR="00E84525" w:rsidRPr="00F56342" w:rsidRDefault="00E84525" w:rsidP="00E84525">
      <w:pPr>
        <w:pStyle w:val="ListBullet"/>
        <w:numPr>
          <w:ilvl w:val="0"/>
          <w:numId w:val="39"/>
        </w:numPr>
      </w:pPr>
      <w:r w:rsidRPr="00F56342">
        <w:t>Exploratory subgroup analysis indicated potentially inferior efficacy of bevacizumab in patients with adenocarcinoma and adenosquamous carcinoma compared to squamous carcinoma histology.</w:t>
      </w:r>
    </w:p>
    <w:p w:rsidR="00E84525" w:rsidRPr="00F56342" w:rsidRDefault="00E84525" w:rsidP="00E84525">
      <w:r w:rsidRPr="004E1FE0">
        <w:t>H</w:t>
      </w:r>
      <w:r w:rsidRPr="00A44ABC">
        <w:rPr>
          <w:vertAlign w:val="subscript"/>
        </w:rPr>
        <w:t>02</w:t>
      </w:r>
      <w:r w:rsidRPr="00F56342">
        <w:t xml:space="preserve">: The benefits of </w:t>
      </w:r>
      <w:proofErr w:type="spellStart"/>
      <w:r w:rsidRPr="00F56342">
        <w:t>Cis</w:t>
      </w:r>
      <w:r>
        <w:rPr>
          <w:lang w:eastAsia="en-AU"/>
        </w:rPr>
        <w:t>+</w:t>
      </w:r>
      <w:r w:rsidRPr="00F56342">
        <w:t>Pac±Bv</w:t>
      </w:r>
      <w:proofErr w:type="spellEnd"/>
      <w:r w:rsidRPr="00F56342">
        <w:t xml:space="preserve"> compared to the </w:t>
      </w:r>
      <w:proofErr w:type="spellStart"/>
      <w:r w:rsidRPr="00F56342">
        <w:t>Top</w:t>
      </w:r>
      <w:r>
        <w:rPr>
          <w:lang w:eastAsia="en-AU"/>
        </w:rPr>
        <w:t>+</w:t>
      </w:r>
      <w:r w:rsidRPr="00F56342">
        <w:t>Pac±Bv</w:t>
      </w:r>
      <w:proofErr w:type="spellEnd"/>
      <w:r w:rsidRPr="00F56342">
        <w:t xml:space="preserve"> in patients with stage IVB, recurrent or persistent carcinoma of the cervix (analysis by chemotherapy backbone):</w:t>
      </w:r>
    </w:p>
    <w:p w:rsidR="00E84525" w:rsidRPr="00F56342" w:rsidRDefault="00E84525" w:rsidP="00E84525">
      <w:pPr>
        <w:pStyle w:val="ListBullet"/>
        <w:numPr>
          <w:ilvl w:val="0"/>
          <w:numId w:val="39"/>
        </w:numPr>
      </w:pPr>
      <w:r w:rsidRPr="00F56342">
        <w:t xml:space="preserve">Appear to favour </w:t>
      </w:r>
      <w:proofErr w:type="spellStart"/>
      <w:r w:rsidRPr="00F56342">
        <w:t>Cis</w:t>
      </w:r>
      <w:r>
        <w:rPr>
          <w:lang w:eastAsia="en-AU"/>
        </w:rPr>
        <w:t>+</w:t>
      </w:r>
      <w:r w:rsidRPr="00F56342">
        <w:t>Pac±Bv</w:t>
      </w:r>
      <w:proofErr w:type="spellEnd"/>
      <w:r w:rsidRPr="00F56342">
        <w:t xml:space="preserve"> over </w:t>
      </w:r>
      <w:proofErr w:type="spellStart"/>
      <w:r w:rsidRPr="00F56342">
        <w:t>Top</w:t>
      </w:r>
      <w:r>
        <w:rPr>
          <w:lang w:eastAsia="en-AU"/>
        </w:rPr>
        <w:t>+</w:t>
      </w:r>
      <w:r w:rsidRPr="00F56342">
        <w:t>Pac±Bv</w:t>
      </w:r>
      <w:proofErr w:type="spellEnd"/>
      <w:r w:rsidRPr="00F56342">
        <w:t xml:space="preserve"> at interim analysis by a difference of 2.2 months (OS of 15.5 months </w:t>
      </w:r>
      <w:proofErr w:type="spellStart"/>
      <w:r w:rsidRPr="00F56342">
        <w:t>Cis</w:t>
      </w:r>
      <w:r>
        <w:rPr>
          <w:lang w:eastAsia="en-AU"/>
        </w:rPr>
        <w:t>+</w:t>
      </w:r>
      <w:r w:rsidRPr="00F56342">
        <w:t>Pac±Bv</w:t>
      </w:r>
      <w:proofErr w:type="spellEnd"/>
      <w:r w:rsidRPr="00F56342">
        <w:t xml:space="preserve"> </w:t>
      </w:r>
      <w:r>
        <w:t>versus</w:t>
      </w:r>
      <w:r w:rsidRPr="00F56342">
        <w:t xml:space="preserve"> 13.3 months </w:t>
      </w:r>
      <w:proofErr w:type="spellStart"/>
      <w:r w:rsidRPr="00F56342">
        <w:t>Top</w:t>
      </w:r>
      <w:r>
        <w:rPr>
          <w:lang w:eastAsia="en-AU"/>
        </w:rPr>
        <w:t>+</w:t>
      </w:r>
      <w:r w:rsidRPr="00F56342">
        <w:t>Pac±Bv</w:t>
      </w:r>
      <w:proofErr w:type="spellEnd"/>
      <w:r w:rsidRPr="00F56342">
        <w:t xml:space="preserve"> group,), HR 1.15 (95% CI: 0.91, 1.46, log-rank p-value=0.2326) at interim analysis. Secondary endpoints of PFS and ORR were statistically significant in favour of </w:t>
      </w:r>
      <w:proofErr w:type="spellStart"/>
      <w:r w:rsidRPr="00F56342">
        <w:t>Cis</w:t>
      </w:r>
      <w:r>
        <w:rPr>
          <w:lang w:eastAsia="en-AU"/>
        </w:rPr>
        <w:t>+</w:t>
      </w:r>
      <w:r w:rsidRPr="00F56342">
        <w:t>Pac±Bv</w:t>
      </w:r>
      <w:proofErr w:type="spellEnd"/>
      <w:r w:rsidRPr="00F56342">
        <w:t>.</w:t>
      </w:r>
    </w:p>
    <w:p w:rsidR="00E84525" w:rsidRPr="00E84525" w:rsidRDefault="00E84525" w:rsidP="00E84525">
      <w:r w:rsidRPr="00F56342">
        <w:t>It is noted that the pivotal study used narrower inclusion criteria than the indication for the proposed usage: ‘treatment of persistent, recurrent or Stage IV carcinoma of the cervix’. Specifically, the proposed usage also includes resectable Stage IVA disease (bladder or rectum extension), which were a group of patients who were excluded from the pivotal trial.</w:t>
      </w:r>
    </w:p>
    <w:p w:rsidR="00605AD4" w:rsidRDefault="00605AD4" w:rsidP="00605AD4">
      <w:pPr>
        <w:pStyle w:val="Heading4"/>
      </w:pPr>
      <w:r w:rsidRPr="00605AD4">
        <w:t>First round assessment of risks</w:t>
      </w:r>
    </w:p>
    <w:p w:rsidR="00E84525" w:rsidRPr="00F56342" w:rsidRDefault="00E84525" w:rsidP="00E84525">
      <w:r w:rsidRPr="00F56342">
        <w:t>Safety data presented for Study GOG-0240 have been interpreted as interim at this stage.</w:t>
      </w:r>
    </w:p>
    <w:p w:rsidR="00E84525" w:rsidRPr="00F56342" w:rsidRDefault="00E84525" w:rsidP="00E84525">
      <w:r w:rsidRPr="004E1FE0">
        <w:t>H</w:t>
      </w:r>
      <w:r w:rsidRPr="00A44ABC">
        <w:rPr>
          <w:vertAlign w:val="subscript"/>
        </w:rPr>
        <w:t>01</w:t>
      </w:r>
      <w:r w:rsidRPr="00F56342">
        <w:t>: The risks of bevacizumab in the proposed usage (analysis by bevacizumab treatment) are:</w:t>
      </w:r>
    </w:p>
    <w:p w:rsidR="00E84525" w:rsidRPr="00F56342" w:rsidRDefault="00E84525" w:rsidP="00E84525">
      <w:pPr>
        <w:pStyle w:val="ListBullet"/>
        <w:numPr>
          <w:ilvl w:val="0"/>
          <w:numId w:val="39"/>
        </w:numPr>
      </w:pPr>
      <w:r w:rsidRPr="00F56342">
        <w:t xml:space="preserve">Generally in keeping with the known adverse event profile of bevacizumab, but with an increased incidence of GI-vaginal fistulae and increased Grade </w:t>
      </w:r>
      <w:r>
        <w:t>≥ 3</w:t>
      </w:r>
      <w:r w:rsidRPr="00F56342">
        <w:t xml:space="preserve"> VTEs.</w:t>
      </w:r>
    </w:p>
    <w:p w:rsidR="00E84525" w:rsidRPr="00F56342" w:rsidRDefault="00E84525" w:rsidP="00E84525">
      <w:r w:rsidRPr="004E1FE0">
        <w:t>H</w:t>
      </w:r>
      <w:r w:rsidRPr="00A44ABC">
        <w:rPr>
          <w:vertAlign w:val="subscript"/>
        </w:rPr>
        <w:t>02</w:t>
      </w:r>
      <w:r w:rsidRPr="00F56342">
        <w:t xml:space="preserve">: The risks of </w:t>
      </w:r>
      <w:proofErr w:type="spellStart"/>
      <w:r w:rsidRPr="00F56342">
        <w:t>Cis</w:t>
      </w:r>
      <w:r>
        <w:rPr>
          <w:lang w:eastAsia="en-AU"/>
        </w:rPr>
        <w:t>+</w:t>
      </w:r>
      <w:r w:rsidRPr="00F56342">
        <w:t>Pac±Bv</w:t>
      </w:r>
      <w:proofErr w:type="spellEnd"/>
      <w:r w:rsidRPr="00F56342">
        <w:t xml:space="preserve"> compared to the </w:t>
      </w:r>
      <w:proofErr w:type="spellStart"/>
      <w:r w:rsidRPr="00F56342">
        <w:t>Top</w:t>
      </w:r>
      <w:r>
        <w:rPr>
          <w:lang w:eastAsia="en-AU"/>
        </w:rPr>
        <w:t>+</w:t>
      </w:r>
      <w:r w:rsidRPr="00F56342">
        <w:t>Pac±Bv</w:t>
      </w:r>
      <w:proofErr w:type="spellEnd"/>
      <w:r w:rsidRPr="00F56342">
        <w:t xml:space="preserve"> in the proposed usage (analysis by chemotherapy backbone) are:</w:t>
      </w:r>
    </w:p>
    <w:p w:rsidR="00E84525" w:rsidRPr="00F56342" w:rsidRDefault="00E84525" w:rsidP="00E84525">
      <w:pPr>
        <w:pStyle w:val="ListBullet"/>
        <w:numPr>
          <w:ilvl w:val="0"/>
          <w:numId w:val="39"/>
        </w:numPr>
      </w:pPr>
      <w:r w:rsidRPr="00F56342">
        <w:lastRenderedPageBreak/>
        <w:t xml:space="preserve">A higher incidence of AEs and AEs leading to treatment discontinuation with </w:t>
      </w:r>
      <w:proofErr w:type="spellStart"/>
      <w:r w:rsidRPr="00F56342">
        <w:t>Cis</w:t>
      </w:r>
      <w:r>
        <w:rPr>
          <w:lang w:eastAsia="en-AU"/>
        </w:rPr>
        <w:t>+</w:t>
      </w:r>
      <w:r w:rsidRPr="00F56342">
        <w:t>Pac±Bv</w:t>
      </w:r>
      <w:proofErr w:type="spellEnd"/>
      <w:r w:rsidRPr="00F56342">
        <w:t xml:space="preserve">, but a higher incidence of deaths and Grade 5 AEs with </w:t>
      </w:r>
      <w:proofErr w:type="spellStart"/>
      <w:r w:rsidRPr="00F56342">
        <w:t>Top</w:t>
      </w:r>
      <w:r>
        <w:rPr>
          <w:lang w:eastAsia="en-AU"/>
        </w:rPr>
        <w:t>+</w:t>
      </w:r>
      <w:r w:rsidRPr="00F56342">
        <w:t>Pac±Bv</w:t>
      </w:r>
      <w:proofErr w:type="spellEnd"/>
      <w:r w:rsidRPr="00F56342">
        <w:t>.</w:t>
      </w:r>
    </w:p>
    <w:p w:rsidR="00E84525" w:rsidRPr="00E84525" w:rsidRDefault="00E84525" w:rsidP="00E84525">
      <w:r w:rsidRPr="00F56342">
        <w:t>Generally these risks are in keeping with the known safety profile of bevacizumab.</w:t>
      </w:r>
    </w:p>
    <w:p w:rsidR="00605AD4" w:rsidRPr="00605AD4" w:rsidRDefault="00605AD4" w:rsidP="00605AD4">
      <w:pPr>
        <w:pStyle w:val="Heading4"/>
      </w:pPr>
      <w:r w:rsidRPr="00605AD4">
        <w:t>First round assessment of benefit-risk balance</w:t>
      </w:r>
    </w:p>
    <w:p w:rsidR="00E84525" w:rsidRPr="00F56342" w:rsidRDefault="00E84525" w:rsidP="00E84525">
      <w:r w:rsidRPr="00F56342">
        <w:t xml:space="preserve">The benefit-risk balance of bevacizumab is unfavourable given the proposed usage, but would become favourable if the changes recommended </w:t>
      </w:r>
      <w:r>
        <w:t>below</w:t>
      </w:r>
      <w:r w:rsidRPr="00F56342">
        <w:t xml:space="preserve"> adopted.</w:t>
      </w:r>
    </w:p>
    <w:p w:rsidR="00E84525" w:rsidRPr="00F56342" w:rsidRDefault="00E84525" w:rsidP="00E84525">
      <w:r w:rsidRPr="00F56342">
        <w:t>In particular, the use of bevacizumab is recommended for a narrowed indication in keeping with the data provided in the pivotal trial, and taking into account the insufficient evidence of equivalence between the proposed chemotherapy backbone treatments.</w:t>
      </w:r>
    </w:p>
    <w:p w:rsidR="00605AD4" w:rsidRPr="00605AD4" w:rsidRDefault="00E84525" w:rsidP="00605AD4">
      <w:r w:rsidRPr="00F56342">
        <w:t xml:space="preserve">Overall, the data presented indicates a survival advantage with bevacizumab treatment for patients with stage IVB, recurrent or persistent carcinoma of the cervix who otherwise </w:t>
      </w:r>
      <w:proofErr w:type="gramStart"/>
      <w:r w:rsidRPr="00F56342">
        <w:t>have</w:t>
      </w:r>
      <w:proofErr w:type="gramEnd"/>
      <w:r w:rsidRPr="00F56342">
        <w:t xml:space="preserve"> limited treatment options.</w:t>
      </w:r>
    </w:p>
    <w:p w:rsidR="00605AD4" w:rsidRPr="00605AD4" w:rsidRDefault="00605AD4" w:rsidP="00605AD4">
      <w:pPr>
        <w:pStyle w:val="Heading3"/>
        <w:rPr>
          <w:rFonts w:eastAsia="Cambria"/>
        </w:rPr>
      </w:pPr>
      <w:bookmarkStart w:id="83" w:name="_Toc482191403"/>
      <w:r w:rsidRPr="00605AD4">
        <w:rPr>
          <w:rFonts w:eastAsia="Cambria"/>
        </w:rPr>
        <w:t xml:space="preserve">First </w:t>
      </w:r>
      <w:r w:rsidR="009D4AE1" w:rsidRPr="00605AD4">
        <w:rPr>
          <w:rFonts w:eastAsia="Cambria"/>
        </w:rPr>
        <w:t xml:space="preserve">round </w:t>
      </w:r>
      <w:r w:rsidR="003E6B2B" w:rsidRPr="00605AD4">
        <w:rPr>
          <w:rFonts w:eastAsia="Cambria"/>
        </w:rPr>
        <w:t>recommendation regarding authorisation</w:t>
      </w:r>
      <w:bookmarkEnd w:id="83"/>
    </w:p>
    <w:p w:rsidR="00E84525" w:rsidRPr="00F56342" w:rsidRDefault="00E84525" w:rsidP="00E84525">
      <w:r w:rsidRPr="00F56342">
        <w:t xml:space="preserve">The </w:t>
      </w:r>
      <w:r>
        <w:t>sponsor</w:t>
      </w:r>
      <w:r w:rsidRPr="00F56342">
        <w:t xml:space="preserve"> has applied to register bevacizumab for the indication:</w:t>
      </w:r>
    </w:p>
    <w:p w:rsidR="00E84525" w:rsidRPr="00F56342" w:rsidRDefault="00E84525" w:rsidP="00E84525">
      <w:pPr>
        <w:ind w:left="720"/>
        <w:rPr>
          <w:i/>
        </w:rPr>
      </w:pPr>
      <w:r w:rsidRPr="00F56342">
        <w:rPr>
          <w:i/>
        </w:rPr>
        <w:t xml:space="preserve">Cervical cancer – </w:t>
      </w:r>
      <w:r>
        <w:rPr>
          <w:i/>
        </w:rPr>
        <w:t>Avastin</w:t>
      </w:r>
      <w:r w:rsidRPr="00F56342">
        <w:rPr>
          <w:i/>
        </w:rPr>
        <w:t xml:space="preserve"> (bevacizumab) in combination with paclitaxel and cisplatin or paclitaxel and topotecan is indicated for the treatment of persistent, recurrent or Stage IV carcinoma of the cervix</w:t>
      </w:r>
      <w:r w:rsidR="00CA0B25">
        <w:rPr>
          <w:i/>
        </w:rPr>
        <w:t>.</w:t>
      </w:r>
    </w:p>
    <w:p w:rsidR="00E84525" w:rsidRPr="00F56342" w:rsidRDefault="00E84525" w:rsidP="00E84525">
      <w:r w:rsidRPr="00F56342">
        <w:t xml:space="preserve">It is recommended that this indication be narrowed to reflect that used in the pivotal trial, and also to reflect the data which suggests an improved efficacy with the </w:t>
      </w:r>
      <w:proofErr w:type="spellStart"/>
      <w:r w:rsidRPr="00F56342">
        <w:t>Cis</w:t>
      </w:r>
      <w:r>
        <w:rPr>
          <w:lang w:eastAsia="en-AU"/>
        </w:rPr>
        <w:t>+</w:t>
      </w:r>
      <w:r w:rsidRPr="00F56342">
        <w:t>Pac</w:t>
      </w:r>
      <w:proofErr w:type="spellEnd"/>
      <w:r w:rsidRPr="00F56342">
        <w:t xml:space="preserve"> chemotherapy backbone. A proposed amended indication would be:</w:t>
      </w:r>
    </w:p>
    <w:p w:rsidR="00605AD4" w:rsidRPr="00E84525" w:rsidRDefault="00E84525" w:rsidP="00E84525">
      <w:pPr>
        <w:ind w:left="567"/>
        <w:rPr>
          <w:i/>
        </w:rPr>
      </w:pPr>
      <w:r w:rsidRPr="00F56342">
        <w:rPr>
          <w:i/>
        </w:rPr>
        <w:t xml:space="preserve">Cervical cancer – </w:t>
      </w:r>
      <w:r>
        <w:rPr>
          <w:i/>
        </w:rPr>
        <w:t>Avastin</w:t>
      </w:r>
      <w:r w:rsidRPr="00F56342">
        <w:rPr>
          <w:i/>
        </w:rPr>
        <w:t xml:space="preserve"> (bevacizumab) in combination with paclitaxel and cisplatin is indicated for the treatment of persistent, recurrent or Stage IV carcinoma of the cervix that is not amenable to curative treatment with surgery and/or radiotherapy. </w:t>
      </w:r>
      <w:r>
        <w:rPr>
          <w:i/>
        </w:rPr>
        <w:t>Avastin</w:t>
      </w:r>
      <w:r w:rsidRPr="00F56342">
        <w:rPr>
          <w:i/>
        </w:rPr>
        <w:t xml:space="preserve"> (bevacizumab) in combination with paclitaxel and topotecan is an acceptable alternative where cisplatin is not tolerated or not indicated.</w:t>
      </w:r>
    </w:p>
    <w:p w:rsidR="00605AD4" w:rsidRPr="00CA0B25" w:rsidRDefault="00605AD4" w:rsidP="00605AD4">
      <w:pPr>
        <w:pStyle w:val="Heading3"/>
        <w:rPr>
          <w:rFonts w:eastAsia="Cambria"/>
        </w:rPr>
      </w:pPr>
      <w:bookmarkStart w:id="84" w:name="_Toc482191404"/>
      <w:r w:rsidRPr="00CA0B25">
        <w:rPr>
          <w:rFonts w:eastAsia="Cambria"/>
        </w:rPr>
        <w:t xml:space="preserve">Second </w:t>
      </w:r>
      <w:r w:rsidR="009D4AE1" w:rsidRPr="00CA0B25">
        <w:rPr>
          <w:rFonts w:eastAsia="Cambria"/>
        </w:rPr>
        <w:t xml:space="preserve">round evaluation </w:t>
      </w:r>
      <w:r w:rsidRPr="00CA0B25">
        <w:rPr>
          <w:rFonts w:eastAsia="Cambria"/>
        </w:rPr>
        <w:t>of clinical data submitted in response to questions</w:t>
      </w:r>
      <w:bookmarkEnd w:id="84"/>
    </w:p>
    <w:p w:rsidR="006136D7" w:rsidRPr="00CA0B25" w:rsidRDefault="006136D7" w:rsidP="006136D7">
      <w:r w:rsidRPr="00CA0B25">
        <w:t>For details of the</w:t>
      </w:r>
      <w:r w:rsidR="00D33373" w:rsidRPr="00CA0B25">
        <w:t xml:space="preserve"> questions raised by the clinical evaluato</w:t>
      </w:r>
      <w:r w:rsidR="00CA0B25">
        <w:t>r,</w:t>
      </w:r>
      <w:r w:rsidRPr="00CA0B25">
        <w:t xml:space="preserve"> sponsor’s responses and the evaluation of these responses please see </w:t>
      </w:r>
      <w:r w:rsidR="005C749F" w:rsidRPr="00CA0B25">
        <w:t>Attachment 2, extract from the CER</w:t>
      </w:r>
      <w:r w:rsidRPr="00CA0B25">
        <w:t>.</w:t>
      </w:r>
    </w:p>
    <w:p w:rsidR="00605AD4" w:rsidRPr="00CA0B25" w:rsidRDefault="00605AD4" w:rsidP="00546154">
      <w:pPr>
        <w:pStyle w:val="Heading3"/>
        <w:rPr>
          <w:rFonts w:eastAsia="Cambria"/>
        </w:rPr>
      </w:pPr>
      <w:bookmarkStart w:id="85" w:name="_Toc482191405"/>
      <w:r w:rsidRPr="00CA0B25">
        <w:rPr>
          <w:rFonts w:eastAsia="Cambria"/>
        </w:rPr>
        <w:t xml:space="preserve">Second </w:t>
      </w:r>
      <w:r w:rsidR="009D4AE1" w:rsidRPr="00CA0B25">
        <w:rPr>
          <w:rFonts w:eastAsia="Cambria"/>
        </w:rPr>
        <w:t>round benefit-risk assessment</w:t>
      </w:r>
      <w:bookmarkEnd w:id="85"/>
    </w:p>
    <w:p w:rsidR="00D33373" w:rsidRPr="00CA0B25" w:rsidRDefault="00D33373" w:rsidP="00D33373">
      <w:r w:rsidRPr="00CA0B25">
        <w:t xml:space="preserve">For the second round </w:t>
      </w:r>
      <w:r w:rsidR="00CA0B25" w:rsidRPr="00CA0B25">
        <w:t>benefit</w:t>
      </w:r>
      <w:r w:rsidR="00CA0B25">
        <w:t>-</w:t>
      </w:r>
      <w:r w:rsidRPr="00CA0B25">
        <w:t>risk assessment please see Attachment 2</w:t>
      </w:r>
      <w:r w:rsidR="00CA0B25">
        <w:t xml:space="preserve"> </w:t>
      </w:r>
      <w:r w:rsidR="00CA0B25" w:rsidRPr="00CA0B25">
        <w:t>extract from the CER</w:t>
      </w:r>
      <w:r w:rsidRPr="00CA0B25">
        <w:t>.</w:t>
      </w:r>
    </w:p>
    <w:p w:rsidR="00E84525" w:rsidRPr="00BF365F" w:rsidRDefault="00E84525" w:rsidP="00E84525">
      <w:pPr>
        <w:pStyle w:val="Heading4"/>
      </w:pPr>
      <w:bookmarkStart w:id="86" w:name="_Toc272414711"/>
      <w:bookmarkStart w:id="87" w:name="_Toc290846351"/>
      <w:bookmarkStart w:id="88" w:name="_Toc400531399"/>
      <w:r w:rsidRPr="00BF365F">
        <w:t>Second round assessment of benefit-risk balance</w:t>
      </w:r>
      <w:bookmarkEnd w:id="86"/>
      <w:bookmarkEnd w:id="87"/>
      <w:bookmarkEnd w:id="88"/>
    </w:p>
    <w:p w:rsidR="00E84525" w:rsidRPr="00586F98" w:rsidRDefault="00E84525" w:rsidP="00E84525">
      <w:r w:rsidRPr="00BF365F">
        <w:t xml:space="preserve">The benefit-risk balance of bevacizumab is unfavourable given the proposed usage, but would become favourable if the changes recommended in Section </w:t>
      </w:r>
      <w:r>
        <w:t>14</w:t>
      </w:r>
      <w:r w:rsidRPr="00BF365F">
        <w:t xml:space="preserve"> are adopted.</w:t>
      </w:r>
    </w:p>
    <w:p w:rsidR="00E84525" w:rsidRDefault="00E84525" w:rsidP="00E84525">
      <w:pPr>
        <w:pStyle w:val="Heading4"/>
      </w:pPr>
      <w:bookmarkStart w:id="89" w:name="_Toc430959554"/>
      <w:r>
        <w:lastRenderedPageBreak/>
        <w:t>Second round recommendation regarding authorisation</w:t>
      </w:r>
      <w:bookmarkEnd w:id="89"/>
    </w:p>
    <w:p w:rsidR="00E84525" w:rsidRPr="00BF365F" w:rsidRDefault="00E84525" w:rsidP="00E84525">
      <w:r w:rsidRPr="00BF365F">
        <w:t>The pivotal study population was heterogeneous. The sponsor has not provided compelling evidence of a benefit from bevacizumab exposure for patients with all histological sub-types of cervical carcinoma.</w:t>
      </w:r>
    </w:p>
    <w:p w:rsidR="00605AD4" w:rsidRPr="00605AD4" w:rsidRDefault="00E84525" w:rsidP="00546154">
      <w:r w:rsidRPr="00BF365F">
        <w:t xml:space="preserve">The evaluator recommends that authorisation not proceed pending the further advice of </w:t>
      </w:r>
      <w:r w:rsidR="003C6DF6">
        <w:rPr>
          <w:rFonts w:eastAsia="Times New Roman"/>
          <w:kern w:val="16"/>
          <w:szCs w:val="24"/>
        </w:rPr>
        <w:t>Advisory Committee on Prescription Medicines</w:t>
      </w:r>
      <w:r w:rsidR="003C6DF6" w:rsidRPr="00BF365F">
        <w:t xml:space="preserve"> </w:t>
      </w:r>
      <w:r w:rsidR="003C6DF6">
        <w:t>(</w:t>
      </w:r>
      <w:r w:rsidRPr="00BF365F">
        <w:t>ACPM</w:t>
      </w:r>
      <w:r w:rsidR="003C6DF6">
        <w:t>)</w:t>
      </w:r>
      <w:r w:rsidRPr="00BF365F">
        <w:t>.</w:t>
      </w:r>
    </w:p>
    <w:p w:rsidR="008E7846" w:rsidRPr="00E41208" w:rsidRDefault="008E7846" w:rsidP="00546154">
      <w:pPr>
        <w:pStyle w:val="Heading2"/>
      </w:pPr>
      <w:bookmarkStart w:id="90" w:name="_Toc482191406"/>
      <w:r w:rsidRPr="00E41208">
        <w:t xml:space="preserve">V. Pharmacovigilance </w:t>
      </w:r>
      <w:r>
        <w:t>f</w:t>
      </w:r>
      <w:r w:rsidRPr="00E41208">
        <w:t>indings</w:t>
      </w:r>
      <w:bookmarkEnd w:id="75"/>
      <w:bookmarkEnd w:id="76"/>
      <w:bookmarkEnd w:id="90"/>
    </w:p>
    <w:p w:rsidR="008E7846" w:rsidRDefault="00386150" w:rsidP="008E7846">
      <w:pPr>
        <w:pStyle w:val="Heading3"/>
        <w:rPr>
          <w:lang w:eastAsia="en-AU"/>
        </w:rPr>
      </w:pPr>
      <w:bookmarkStart w:id="91" w:name="_Toc247691526"/>
      <w:bookmarkStart w:id="92" w:name="_Toc314842509"/>
      <w:bookmarkStart w:id="93" w:name="_Toc482191407"/>
      <w:r>
        <w:rPr>
          <w:lang w:eastAsia="en-AU"/>
        </w:rPr>
        <w:t>Risk m</w:t>
      </w:r>
      <w:r w:rsidR="008E7846">
        <w:rPr>
          <w:lang w:eastAsia="en-AU"/>
        </w:rPr>
        <w:t xml:space="preserve">anagement </w:t>
      </w:r>
      <w:r>
        <w:rPr>
          <w:lang w:eastAsia="en-AU"/>
        </w:rPr>
        <w:t>p</w:t>
      </w:r>
      <w:r w:rsidR="008E7846">
        <w:rPr>
          <w:lang w:eastAsia="en-AU"/>
        </w:rPr>
        <w:t>lan</w:t>
      </w:r>
      <w:bookmarkEnd w:id="91"/>
      <w:bookmarkEnd w:id="92"/>
      <w:bookmarkEnd w:id="93"/>
    </w:p>
    <w:p w:rsidR="008E7846" w:rsidRDefault="008E7846" w:rsidP="008E7846">
      <w:pPr>
        <w:rPr>
          <w:lang w:eastAsia="en-AU"/>
        </w:rPr>
      </w:pPr>
      <w:r>
        <w:rPr>
          <w:lang w:eastAsia="en-AU"/>
        </w:rPr>
        <w:t>The sponsor submitted a Risk Management Plan</w:t>
      </w:r>
      <w:r w:rsidR="006F25B8">
        <w:rPr>
          <w:lang w:eastAsia="en-AU"/>
        </w:rPr>
        <w:t xml:space="preserve"> </w:t>
      </w:r>
      <w:r w:rsidR="00467E16">
        <w:rPr>
          <w:lang w:eastAsia="en-AU"/>
        </w:rPr>
        <w:t>EU-RMP Version 16.1 (dated 29 May 2014 DLP 25 April 2014) and Australian Specific Annex Version 5.0 (dated August 2014)</w:t>
      </w:r>
      <w:r>
        <w:rPr>
          <w:lang w:eastAsia="en-AU"/>
        </w:rPr>
        <w:t xml:space="preserve">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E95BD0">
        <w:rPr>
          <w:lang w:eastAsia="en-AU"/>
        </w:rPr>
        <w:t>4</w:t>
      </w:r>
      <w:r>
        <w:rPr>
          <w:lang w:eastAsia="en-AU"/>
        </w:rPr>
        <w:t>.</w:t>
      </w:r>
    </w:p>
    <w:p w:rsidR="00467E16" w:rsidRDefault="00467E16" w:rsidP="00E95BD0">
      <w:pPr>
        <w:pStyle w:val="Tabletitle0"/>
        <w:rPr>
          <w:lang w:eastAsia="en-AU"/>
        </w:rPr>
      </w:pPr>
      <w:r>
        <w:rPr>
          <w:lang w:eastAsia="en-AU"/>
        </w:rPr>
        <w:t xml:space="preserve">Table </w:t>
      </w:r>
      <w:r w:rsidR="00E95BD0">
        <w:rPr>
          <w:lang w:eastAsia="en-AU"/>
        </w:rPr>
        <w:t>4:</w:t>
      </w:r>
      <w:r>
        <w:rPr>
          <w:lang w:eastAsia="en-AU"/>
        </w:rPr>
        <w:t xml:space="preserve"> Summary of ongoing safety concerns</w:t>
      </w:r>
    </w:p>
    <w:tbl>
      <w:tblPr>
        <w:tblStyle w:val="TableTGAblue"/>
        <w:tblW w:w="0" w:type="auto"/>
        <w:tblLook w:val="04A0" w:firstRow="1" w:lastRow="0" w:firstColumn="1" w:lastColumn="0" w:noHBand="0" w:noVBand="1"/>
      </w:tblPr>
      <w:tblGrid>
        <w:gridCol w:w="3510"/>
        <w:gridCol w:w="5210"/>
      </w:tblGrid>
      <w:tr w:rsidR="00467E16" w:rsidTr="00467E16">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467E16" w:rsidRDefault="00467E16" w:rsidP="0022194D">
            <w:r>
              <w:t>Summary of ongoing safety concerns</w:t>
            </w:r>
          </w:p>
        </w:tc>
      </w:tr>
      <w:tr w:rsidR="00467E16" w:rsidTr="00467E16">
        <w:tc>
          <w:tcPr>
            <w:tcW w:w="3510" w:type="dxa"/>
          </w:tcPr>
          <w:p w:rsidR="00467E16" w:rsidRPr="00467E16" w:rsidRDefault="00467E16" w:rsidP="0022194D">
            <w:r w:rsidRPr="00467E16">
              <w:t>Important identified risks</w:t>
            </w:r>
          </w:p>
        </w:tc>
        <w:tc>
          <w:tcPr>
            <w:tcW w:w="5210" w:type="dxa"/>
          </w:tcPr>
          <w:p w:rsidR="00467E16" w:rsidRDefault="00467E16" w:rsidP="0022194D">
            <w:r>
              <w:t xml:space="preserve">Bleeding / </w:t>
            </w:r>
            <w:r w:rsidR="005A4261">
              <w:t>haemorrhage</w:t>
            </w:r>
            <w:r w:rsidR="005A4261">
              <w:br/>
            </w:r>
            <w:r>
              <w:t xml:space="preserve">Pulmonary </w:t>
            </w:r>
            <w:r w:rsidR="005A4261">
              <w:t>haemorrhage</w:t>
            </w:r>
            <w:r w:rsidR="005A4261">
              <w:br/>
            </w:r>
            <w:r>
              <w:t>Proteinuria</w:t>
            </w:r>
            <w:r w:rsidR="005A4261">
              <w:br/>
            </w:r>
            <w:r w:rsidRPr="00467E16">
              <w:t>Arter</w:t>
            </w:r>
            <w:r>
              <w:t>ial thromboembolic events (ATE)</w:t>
            </w:r>
            <w:r w:rsidR="005A4261">
              <w:br/>
            </w:r>
            <w:r>
              <w:t>Hypertension</w:t>
            </w:r>
            <w:r w:rsidR="005A4261">
              <w:br/>
            </w:r>
            <w:r>
              <w:t>Congestive heart failure</w:t>
            </w:r>
            <w:r w:rsidR="005A4261">
              <w:br/>
            </w:r>
            <w:r>
              <w:t>Wound healing complications</w:t>
            </w:r>
            <w:r w:rsidR="005A4261">
              <w:br/>
            </w:r>
            <w:r>
              <w:t>Gastrointestinal perforations</w:t>
            </w:r>
            <w:r w:rsidR="005A4261">
              <w:br/>
            </w:r>
            <w:r w:rsidRPr="00467E16">
              <w:t>Post</w:t>
            </w:r>
            <w:r>
              <w:t xml:space="preserve">erior reversible encephalopathy </w:t>
            </w:r>
            <w:r w:rsidRPr="00467E16">
              <w:t>syn</w:t>
            </w:r>
            <w:r w:rsidR="005A4261">
              <w:t>drome</w:t>
            </w:r>
            <w:r w:rsidR="005A4261">
              <w:br/>
            </w:r>
            <w:r>
              <w:t>Neutropenia</w:t>
            </w:r>
            <w:r w:rsidR="005A4261">
              <w:br/>
            </w:r>
            <w:r w:rsidRPr="00467E16">
              <w:t>Ven</w:t>
            </w:r>
            <w:r>
              <w:t>ous thromboembolic events (VTE)</w:t>
            </w:r>
            <w:r w:rsidR="005A4261">
              <w:br/>
            </w:r>
            <w:r w:rsidRPr="00467E16">
              <w:t>Fistul</w:t>
            </w:r>
            <w:r>
              <w:t>a (other than gastrointestinal)</w:t>
            </w:r>
            <w:r w:rsidR="005A4261">
              <w:br/>
              <w:t xml:space="preserve">Thrombotic </w:t>
            </w:r>
            <w:proofErr w:type="spellStart"/>
            <w:r w:rsidR="005A4261">
              <w:t>microangiopathy</w:t>
            </w:r>
            <w:proofErr w:type="spellEnd"/>
            <w:r w:rsidR="005A4261">
              <w:br/>
              <w:t>Pulmonary hypertension</w:t>
            </w:r>
            <w:r w:rsidR="005A4261">
              <w:br/>
              <w:t>Ovarian failure</w:t>
            </w:r>
            <w:r w:rsidR="005A4261">
              <w:br/>
            </w:r>
            <w:r w:rsidRPr="00467E16">
              <w:t>Hypersensitivity</w:t>
            </w:r>
            <w:r w:rsidR="005A4261">
              <w:t xml:space="preserve"> reactions / infusion reactions</w:t>
            </w:r>
            <w:r w:rsidR="005A4261">
              <w:br/>
              <w:t>Gall bladder perforation</w:t>
            </w:r>
            <w:r w:rsidR="005A4261">
              <w:br/>
            </w:r>
            <w:r w:rsidRPr="00467E16">
              <w:t>Peripheral s</w:t>
            </w:r>
            <w:r w:rsidR="005A4261">
              <w:t>ensory neuropathy</w:t>
            </w:r>
            <w:r w:rsidR="005A4261">
              <w:br/>
            </w:r>
            <w:r w:rsidRPr="00467E16">
              <w:t>Cardiac di</w:t>
            </w:r>
            <w:r w:rsidR="005A4261">
              <w:t xml:space="preserve">sorders (excluding </w:t>
            </w:r>
            <w:r w:rsidR="003C6DF6">
              <w:rPr>
                <w:rFonts w:eastAsia="Times New Roman"/>
                <w:kern w:val="16"/>
                <w:szCs w:val="24"/>
              </w:rPr>
              <w:t>congestive heart failure</w:t>
            </w:r>
            <w:r w:rsidR="003C6DF6">
              <w:t xml:space="preserve"> (</w:t>
            </w:r>
            <w:r w:rsidR="005A4261">
              <w:t>CHF</w:t>
            </w:r>
            <w:r w:rsidR="003C6DF6">
              <w:t>)</w:t>
            </w:r>
            <w:r w:rsidR="005A4261">
              <w:t xml:space="preserve"> and ATE)</w:t>
            </w:r>
            <w:r w:rsidR="005A4261">
              <w:br/>
              <w:t>Osteonecrosis of the jaw</w:t>
            </w:r>
            <w:r w:rsidR="005A4261">
              <w:br/>
              <w:t>Necrotizing fasciitis</w:t>
            </w:r>
            <w:r w:rsidR="005A4261">
              <w:br/>
            </w:r>
            <w:r w:rsidRPr="00467E16">
              <w:t>Adverse events follow</w:t>
            </w:r>
            <w:r w:rsidR="005A4261">
              <w:t>ing off-label intravitreal use</w:t>
            </w:r>
          </w:p>
        </w:tc>
      </w:tr>
      <w:tr w:rsidR="00467E16" w:rsidTr="00467E16">
        <w:tc>
          <w:tcPr>
            <w:tcW w:w="3510" w:type="dxa"/>
          </w:tcPr>
          <w:p w:rsidR="00467E16" w:rsidRPr="005A4261" w:rsidRDefault="005A4261" w:rsidP="0022194D">
            <w:r w:rsidRPr="005A4261">
              <w:t>Important potential risks</w:t>
            </w:r>
          </w:p>
        </w:tc>
        <w:tc>
          <w:tcPr>
            <w:tcW w:w="5210" w:type="dxa"/>
          </w:tcPr>
          <w:p w:rsidR="00467E16" w:rsidRDefault="005A4261" w:rsidP="0022194D">
            <w:r w:rsidRPr="005A4261">
              <w:t>Embry</w:t>
            </w:r>
            <w:r>
              <w:t>o-</w:t>
            </w:r>
            <w:proofErr w:type="spellStart"/>
            <w:r>
              <w:t>fetal</w:t>
            </w:r>
            <w:proofErr w:type="spellEnd"/>
            <w:r>
              <w:t xml:space="preserve"> development disturbance</w:t>
            </w:r>
            <w:r>
              <w:br/>
            </w:r>
            <w:proofErr w:type="spellStart"/>
            <w:r>
              <w:t>Physeal</w:t>
            </w:r>
            <w:proofErr w:type="spellEnd"/>
            <w:r>
              <w:t xml:space="preserve"> dysplasia</w:t>
            </w:r>
          </w:p>
        </w:tc>
      </w:tr>
      <w:tr w:rsidR="00467E16" w:rsidTr="00467E16">
        <w:tc>
          <w:tcPr>
            <w:tcW w:w="3510" w:type="dxa"/>
          </w:tcPr>
          <w:p w:rsidR="00467E16" w:rsidRPr="005A4261" w:rsidRDefault="005A4261" w:rsidP="0022194D">
            <w:r>
              <w:lastRenderedPageBreak/>
              <w:t>Missing information</w:t>
            </w:r>
          </w:p>
        </w:tc>
        <w:tc>
          <w:tcPr>
            <w:tcW w:w="5210" w:type="dxa"/>
          </w:tcPr>
          <w:p w:rsidR="005A4261" w:rsidRPr="005A4261" w:rsidRDefault="005A4261" w:rsidP="0022194D">
            <w:r w:rsidRPr="005A4261">
              <w:t>Safety profile of the different treatment combinations in patients with non-squamous NSCLC</w:t>
            </w:r>
          </w:p>
          <w:p w:rsidR="005A4261" w:rsidRPr="005A4261" w:rsidRDefault="005A4261" w:rsidP="0022194D">
            <w:r w:rsidRPr="005A4261">
              <w:t xml:space="preserve">Long-term effects of bevacizumab when used in the </w:t>
            </w:r>
            <w:r w:rsidR="00D220F6" w:rsidRPr="005A4261">
              <w:t>paediatric</w:t>
            </w:r>
            <w:r w:rsidRPr="005A4261">
              <w:t xml:space="preserve"> population</w:t>
            </w:r>
          </w:p>
          <w:p w:rsidR="005A4261" w:rsidRPr="005A4261" w:rsidRDefault="005A4261" w:rsidP="0022194D">
            <w:r w:rsidRPr="005A4261">
              <w:t>Safety and efficacy in patients with renal impairment</w:t>
            </w:r>
          </w:p>
          <w:p w:rsidR="005A4261" w:rsidRPr="005A4261" w:rsidRDefault="005A4261" w:rsidP="0022194D">
            <w:r w:rsidRPr="005A4261">
              <w:t>Safety and efficacy in patients with hepatic impairment</w:t>
            </w:r>
          </w:p>
          <w:p w:rsidR="00467E16" w:rsidRDefault="005A4261" w:rsidP="0022194D">
            <w:r w:rsidRPr="005A4261">
              <w:t>Use in pregnancy and lactation</w:t>
            </w:r>
          </w:p>
        </w:tc>
      </w:tr>
    </w:tbl>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5A4261" w:rsidRPr="005A4261" w:rsidRDefault="005A4261" w:rsidP="005A4261">
      <w:r w:rsidRPr="005A4261">
        <w:t>Routine pharmacovigilance is proposed for all safety concerns. Routine pharmacovigilance includes a guided questionnaire for adverse events relating to important identified risks ‘arterial thrombotic events’, ‘congestive heart failure’ and ‘venous thromboembolic events’. A follow-up checklist is also proposed for missing information ‘safety profile of the different treatment combinations in patients with non-squamous NSCLC’.</w:t>
      </w:r>
    </w:p>
    <w:p w:rsidR="005A4261" w:rsidRPr="005A4261" w:rsidRDefault="005A4261" w:rsidP="005A4261">
      <w:r w:rsidRPr="005A4261">
        <w:t>A number of ongoing and planned studies are proposed as addition</w:t>
      </w:r>
      <w:r>
        <w:t xml:space="preserve">al pharmacovigilance as follows in Table </w:t>
      </w:r>
      <w:r w:rsidR="00E95BD0">
        <w:t>5</w:t>
      </w:r>
    </w:p>
    <w:p w:rsidR="008E7846" w:rsidRDefault="00E95BD0" w:rsidP="00E95BD0">
      <w:pPr>
        <w:pStyle w:val="Tabletitle0"/>
      </w:pPr>
      <w:r>
        <w:t>Table 5: Ongoing and planned studies</w:t>
      </w:r>
    </w:p>
    <w:tbl>
      <w:tblPr>
        <w:tblStyle w:val="TableTGAblue"/>
        <w:tblW w:w="0" w:type="auto"/>
        <w:tblLook w:val="04A0" w:firstRow="1" w:lastRow="0" w:firstColumn="1" w:lastColumn="0" w:noHBand="0" w:noVBand="1"/>
      </w:tblPr>
      <w:tblGrid>
        <w:gridCol w:w="2180"/>
        <w:gridCol w:w="2180"/>
        <w:gridCol w:w="2180"/>
        <w:gridCol w:w="2180"/>
      </w:tblGrid>
      <w:tr w:rsidR="005A4261" w:rsidRPr="0022194D" w:rsidTr="005A4261">
        <w:trPr>
          <w:cnfStyle w:val="100000000000" w:firstRow="1" w:lastRow="0" w:firstColumn="0" w:lastColumn="0" w:oddVBand="0" w:evenVBand="0" w:oddHBand="0" w:evenHBand="0" w:firstRowFirstColumn="0" w:firstRowLastColumn="0" w:lastRowFirstColumn="0" w:lastRowLastColumn="0"/>
        </w:trPr>
        <w:tc>
          <w:tcPr>
            <w:tcW w:w="2180" w:type="dxa"/>
          </w:tcPr>
          <w:p w:rsidR="005A4261" w:rsidRPr="0022194D" w:rsidRDefault="005A4261" w:rsidP="0022194D">
            <w:pPr>
              <w:ind w:left="0" w:right="0"/>
              <w:rPr>
                <w:sz w:val="20"/>
                <w:szCs w:val="20"/>
              </w:rPr>
            </w:pPr>
            <w:r w:rsidRPr="0022194D">
              <w:rPr>
                <w:sz w:val="20"/>
                <w:szCs w:val="20"/>
              </w:rPr>
              <w:t>Additional activity</w:t>
            </w:r>
          </w:p>
        </w:tc>
        <w:tc>
          <w:tcPr>
            <w:tcW w:w="2180" w:type="dxa"/>
          </w:tcPr>
          <w:p w:rsidR="005A4261" w:rsidRPr="0022194D" w:rsidRDefault="005A4261" w:rsidP="0022194D">
            <w:pPr>
              <w:ind w:left="0" w:right="33"/>
              <w:rPr>
                <w:sz w:val="20"/>
                <w:szCs w:val="20"/>
              </w:rPr>
            </w:pPr>
            <w:r w:rsidRPr="0022194D">
              <w:rPr>
                <w:sz w:val="20"/>
                <w:szCs w:val="20"/>
              </w:rPr>
              <w:t>Assigned safety concern</w:t>
            </w:r>
          </w:p>
        </w:tc>
        <w:tc>
          <w:tcPr>
            <w:tcW w:w="2180" w:type="dxa"/>
          </w:tcPr>
          <w:p w:rsidR="005A4261" w:rsidRPr="0022194D" w:rsidRDefault="005A4261" w:rsidP="0022194D">
            <w:pPr>
              <w:tabs>
                <w:tab w:val="left" w:pos="2019"/>
              </w:tabs>
              <w:ind w:left="35" w:right="87"/>
              <w:rPr>
                <w:sz w:val="20"/>
                <w:szCs w:val="20"/>
              </w:rPr>
            </w:pPr>
            <w:r w:rsidRPr="0022194D">
              <w:rPr>
                <w:sz w:val="20"/>
                <w:szCs w:val="20"/>
              </w:rPr>
              <w:t>Objectives</w:t>
            </w:r>
          </w:p>
        </w:tc>
        <w:tc>
          <w:tcPr>
            <w:tcW w:w="2180" w:type="dxa"/>
          </w:tcPr>
          <w:p w:rsidR="005A4261" w:rsidRPr="0022194D" w:rsidRDefault="005A4261" w:rsidP="0022194D">
            <w:pPr>
              <w:rPr>
                <w:sz w:val="20"/>
                <w:szCs w:val="20"/>
              </w:rPr>
            </w:pPr>
            <w:r w:rsidRPr="0022194D">
              <w:rPr>
                <w:sz w:val="20"/>
                <w:szCs w:val="20"/>
              </w:rPr>
              <w:t>Planned submission of final data</w:t>
            </w:r>
          </w:p>
        </w:tc>
      </w:tr>
      <w:tr w:rsidR="005A4261" w:rsidRPr="0022194D" w:rsidTr="005A4261">
        <w:tc>
          <w:tcPr>
            <w:tcW w:w="2180" w:type="dxa"/>
          </w:tcPr>
          <w:p w:rsidR="005A4261" w:rsidRPr="0022194D" w:rsidRDefault="005A4261" w:rsidP="0022194D">
            <w:pPr>
              <w:ind w:left="0" w:right="0"/>
              <w:rPr>
                <w:sz w:val="20"/>
                <w:szCs w:val="20"/>
              </w:rPr>
            </w:pPr>
            <w:r w:rsidRPr="0022194D">
              <w:rPr>
                <w:sz w:val="20"/>
                <w:szCs w:val="20"/>
              </w:rPr>
              <w:t>Biomarker investigation (ongoing)</w:t>
            </w:r>
          </w:p>
        </w:tc>
        <w:tc>
          <w:tcPr>
            <w:tcW w:w="2180" w:type="dxa"/>
          </w:tcPr>
          <w:p w:rsidR="005A4261" w:rsidRPr="0022194D" w:rsidRDefault="005A4261" w:rsidP="0022194D">
            <w:pPr>
              <w:ind w:left="0" w:right="33"/>
              <w:rPr>
                <w:sz w:val="20"/>
                <w:szCs w:val="20"/>
              </w:rPr>
            </w:pPr>
            <w:r w:rsidRPr="0022194D">
              <w:rPr>
                <w:sz w:val="20"/>
                <w:szCs w:val="20"/>
              </w:rPr>
              <w:t>None</w:t>
            </w:r>
          </w:p>
        </w:tc>
        <w:tc>
          <w:tcPr>
            <w:tcW w:w="2180" w:type="dxa"/>
          </w:tcPr>
          <w:p w:rsidR="005A4261" w:rsidRPr="0022194D" w:rsidRDefault="005A4261" w:rsidP="0022194D">
            <w:pPr>
              <w:tabs>
                <w:tab w:val="left" w:pos="2019"/>
              </w:tabs>
              <w:ind w:left="35" w:right="87"/>
              <w:rPr>
                <w:sz w:val="20"/>
                <w:szCs w:val="20"/>
              </w:rPr>
            </w:pPr>
            <w:r w:rsidRPr="0022194D">
              <w:rPr>
                <w:sz w:val="20"/>
                <w:szCs w:val="20"/>
              </w:rPr>
              <w:t>Identification and selection of a more targeted population of patients most likely to benefit from the combination of bevacizumab and paclitaxel in the treatment of first-line metastatic breast cancer.</w:t>
            </w:r>
          </w:p>
        </w:tc>
        <w:tc>
          <w:tcPr>
            <w:tcW w:w="2180" w:type="dxa"/>
          </w:tcPr>
          <w:p w:rsidR="005A4261" w:rsidRPr="0022194D" w:rsidRDefault="00967891" w:rsidP="0022194D">
            <w:pPr>
              <w:rPr>
                <w:sz w:val="20"/>
                <w:szCs w:val="20"/>
              </w:rPr>
            </w:pPr>
            <w:r w:rsidRPr="0022194D">
              <w:rPr>
                <w:sz w:val="20"/>
                <w:szCs w:val="20"/>
              </w:rPr>
              <w:t>Annually</w:t>
            </w:r>
          </w:p>
        </w:tc>
      </w:tr>
      <w:tr w:rsidR="005A4261" w:rsidRPr="0022194D" w:rsidTr="005A4261">
        <w:tc>
          <w:tcPr>
            <w:tcW w:w="2180" w:type="dxa"/>
          </w:tcPr>
          <w:p w:rsidR="005A4261" w:rsidRPr="0022194D" w:rsidRDefault="00967891" w:rsidP="0022194D">
            <w:pPr>
              <w:ind w:left="0" w:right="0"/>
              <w:rPr>
                <w:sz w:val="20"/>
                <w:szCs w:val="20"/>
              </w:rPr>
            </w:pPr>
            <w:r w:rsidRPr="0022194D">
              <w:rPr>
                <w:sz w:val="20"/>
                <w:szCs w:val="20"/>
              </w:rPr>
              <w:t xml:space="preserve">BO17707 (ongoing ) </w:t>
            </w:r>
          </w:p>
        </w:tc>
        <w:tc>
          <w:tcPr>
            <w:tcW w:w="2180" w:type="dxa"/>
          </w:tcPr>
          <w:p w:rsidR="005A4261" w:rsidRPr="0022194D" w:rsidRDefault="00967891" w:rsidP="0022194D">
            <w:pPr>
              <w:ind w:left="0" w:right="33"/>
              <w:rPr>
                <w:sz w:val="20"/>
                <w:szCs w:val="20"/>
              </w:rPr>
            </w:pPr>
            <w:r w:rsidRPr="0022194D">
              <w:rPr>
                <w:sz w:val="20"/>
                <w:szCs w:val="20"/>
              </w:rPr>
              <w:t xml:space="preserve">All safety concerns </w:t>
            </w:r>
          </w:p>
        </w:tc>
        <w:tc>
          <w:tcPr>
            <w:tcW w:w="2180" w:type="dxa"/>
          </w:tcPr>
          <w:p w:rsidR="005A4261" w:rsidRPr="0022194D" w:rsidRDefault="00967891" w:rsidP="0022194D">
            <w:pPr>
              <w:tabs>
                <w:tab w:val="left" w:pos="2019"/>
              </w:tabs>
              <w:ind w:left="35" w:right="87"/>
              <w:rPr>
                <w:sz w:val="20"/>
                <w:szCs w:val="20"/>
              </w:rPr>
            </w:pPr>
            <w:r w:rsidRPr="0022194D">
              <w:rPr>
                <w:sz w:val="20"/>
                <w:szCs w:val="20"/>
              </w:rPr>
              <w:t>Submission of results from the pre-specified final analysis for overall survival.</w:t>
            </w:r>
          </w:p>
        </w:tc>
        <w:tc>
          <w:tcPr>
            <w:tcW w:w="2180" w:type="dxa"/>
          </w:tcPr>
          <w:p w:rsidR="005A4261" w:rsidRPr="0022194D" w:rsidRDefault="00967891" w:rsidP="0022194D">
            <w:pPr>
              <w:rPr>
                <w:sz w:val="20"/>
                <w:szCs w:val="20"/>
              </w:rPr>
            </w:pPr>
            <w:r w:rsidRPr="0022194D">
              <w:rPr>
                <w:sz w:val="20"/>
                <w:szCs w:val="20"/>
              </w:rPr>
              <w:t>December 2013</w:t>
            </w:r>
          </w:p>
        </w:tc>
      </w:tr>
      <w:tr w:rsidR="005A4261" w:rsidRPr="0022194D" w:rsidTr="005A4261">
        <w:tc>
          <w:tcPr>
            <w:tcW w:w="2180" w:type="dxa"/>
          </w:tcPr>
          <w:p w:rsidR="005A4261" w:rsidRPr="0022194D" w:rsidRDefault="00967891" w:rsidP="0022194D">
            <w:pPr>
              <w:ind w:left="0" w:right="0"/>
              <w:rPr>
                <w:sz w:val="20"/>
                <w:szCs w:val="20"/>
              </w:rPr>
            </w:pPr>
            <w:r w:rsidRPr="0022194D">
              <w:rPr>
                <w:sz w:val="20"/>
                <w:szCs w:val="20"/>
              </w:rPr>
              <w:t>BO20924 (ongoing)</w:t>
            </w:r>
          </w:p>
        </w:tc>
        <w:tc>
          <w:tcPr>
            <w:tcW w:w="2180" w:type="dxa"/>
          </w:tcPr>
          <w:p w:rsidR="00967891" w:rsidRPr="0022194D" w:rsidRDefault="00967891" w:rsidP="0022194D">
            <w:pPr>
              <w:ind w:left="0" w:right="33"/>
              <w:rPr>
                <w:sz w:val="20"/>
                <w:szCs w:val="20"/>
              </w:rPr>
            </w:pPr>
            <w:r w:rsidRPr="0022194D">
              <w:rPr>
                <w:sz w:val="20"/>
                <w:szCs w:val="20"/>
              </w:rPr>
              <w:t xml:space="preserve">Important potential risk: </w:t>
            </w:r>
            <w:proofErr w:type="spellStart"/>
            <w:r w:rsidRPr="0022194D">
              <w:rPr>
                <w:sz w:val="20"/>
                <w:szCs w:val="20"/>
              </w:rPr>
              <w:t>physeal</w:t>
            </w:r>
            <w:proofErr w:type="spellEnd"/>
            <w:r w:rsidRPr="0022194D">
              <w:rPr>
                <w:sz w:val="20"/>
                <w:szCs w:val="20"/>
              </w:rPr>
              <w:t xml:space="preserve"> dysplasia</w:t>
            </w:r>
          </w:p>
          <w:p w:rsidR="005A4261" w:rsidRPr="0022194D" w:rsidRDefault="00967891" w:rsidP="0022194D">
            <w:pPr>
              <w:ind w:left="0" w:right="33"/>
              <w:rPr>
                <w:sz w:val="20"/>
                <w:szCs w:val="20"/>
              </w:rPr>
            </w:pPr>
            <w:r w:rsidRPr="0022194D">
              <w:rPr>
                <w:sz w:val="20"/>
                <w:szCs w:val="20"/>
              </w:rPr>
              <w:t xml:space="preserve">Missing information: Long-term effects of bevacizumab when </w:t>
            </w:r>
            <w:r w:rsidRPr="0022194D">
              <w:rPr>
                <w:sz w:val="20"/>
                <w:szCs w:val="20"/>
              </w:rPr>
              <w:lastRenderedPageBreak/>
              <w:t>used in the paediatric population.</w:t>
            </w:r>
          </w:p>
        </w:tc>
        <w:tc>
          <w:tcPr>
            <w:tcW w:w="2180" w:type="dxa"/>
          </w:tcPr>
          <w:p w:rsidR="005A4261" w:rsidRPr="0022194D" w:rsidRDefault="00967891" w:rsidP="0022194D">
            <w:pPr>
              <w:tabs>
                <w:tab w:val="left" w:pos="2019"/>
              </w:tabs>
              <w:ind w:left="35" w:right="87"/>
              <w:rPr>
                <w:sz w:val="20"/>
                <w:szCs w:val="20"/>
              </w:rPr>
            </w:pPr>
            <w:r w:rsidRPr="0022194D">
              <w:rPr>
                <w:sz w:val="20"/>
                <w:szCs w:val="20"/>
              </w:rPr>
              <w:lastRenderedPageBreak/>
              <w:t>Assess safety and efficacy in paediatric patients.</w:t>
            </w:r>
          </w:p>
        </w:tc>
        <w:tc>
          <w:tcPr>
            <w:tcW w:w="2180" w:type="dxa"/>
          </w:tcPr>
          <w:p w:rsidR="005A4261" w:rsidRPr="0022194D" w:rsidRDefault="00967891" w:rsidP="0022194D">
            <w:pPr>
              <w:rPr>
                <w:sz w:val="20"/>
                <w:szCs w:val="20"/>
              </w:rPr>
            </w:pPr>
            <w:r w:rsidRPr="0022194D">
              <w:rPr>
                <w:sz w:val="20"/>
                <w:szCs w:val="20"/>
              </w:rPr>
              <w:t>CSR expected Q1 2017</w:t>
            </w:r>
          </w:p>
        </w:tc>
      </w:tr>
      <w:tr w:rsidR="005A4261" w:rsidRPr="0022194D" w:rsidTr="005A4261">
        <w:tc>
          <w:tcPr>
            <w:tcW w:w="2180" w:type="dxa"/>
          </w:tcPr>
          <w:p w:rsidR="005A4261" w:rsidRPr="0022194D" w:rsidRDefault="00967891" w:rsidP="0022194D">
            <w:pPr>
              <w:ind w:left="0" w:right="0"/>
              <w:rPr>
                <w:sz w:val="20"/>
                <w:szCs w:val="20"/>
              </w:rPr>
            </w:pPr>
            <w:r w:rsidRPr="0022194D">
              <w:rPr>
                <w:sz w:val="20"/>
                <w:szCs w:val="20"/>
              </w:rPr>
              <w:lastRenderedPageBreak/>
              <w:t>MO18725 (ongoing)</w:t>
            </w:r>
          </w:p>
        </w:tc>
        <w:tc>
          <w:tcPr>
            <w:tcW w:w="2180" w:type="dxa"/>
          </w:tcPr>
          <w:p w:rsidR="005A4261" w:rsidRPr="0022194D" w:rsidRDefault="00967891" w:rsidP="0022194D">
            <w:pPr>
              <w:ind w:left="0" w:right="33"/>
              <w:rPr>
                <w:sz w:val="20"/>
                <w:szCs w:val="20"/>
              </w:rPr>
            </w:pPr>
            <w:r w:rsidRPr="0022194D">
              <w:rPr>
                <w:sz w:val="20"/>
                <w:szCs w:val="20"/>
              </w:rPr>
              <w:t>Important identified risk: wound healing complications</w:t>
            </w:r>
          </w:p>
        </w:tc>
        <w:tc>
          <w:tcPr>
            <w:tcW w:w="2180" w:type="dxa"/>
          </w:tcPr>
          <w:p w:rsidR="005A4261" w:rsidRPr="0022194D" w:rsidRDefault="00967891" w:rsidP="0022194D">
            <w:pPr>
              <w:tabs>
                <w:tab w:val="left" w:pos="2019"/>
              </w:tabs>
              <w:ind w:left="35" w:right="87"/>
              <w:rPr>
                <w:sz w:val="20"/>
                <w:szCs w:val="20"/>
              </w:rPr>
            </w:pPr>
            <w:r w:rsidRPr="0022194D">
              <w:rPr>
                <w:sz w:val="20"/>
                <w:szCs w:val="20"/>
              </w:rPr>
              <w:t xml:space="preserve">To assess safety and </w:t>
            </w:r>
            <w:proofErr w:type="spellStart"/>
            <w:r w:rsidRPr="0022194D">
              <w:rPr>
                <w:sz w:val="20"/>
                <w:szCs w:val="20"/>
              </w:rPr>
              <w:t>resectability</w:t>
            </w:r>
            <w:proofErr w:type="spellEnd"/>
            <w:r w:rsidRPr="0022194D">
              <w:rPr>
                <w:sz w:val="20"/>
                <w:szCs w:val="20"/>
              </w:rPr>
              <w:t xml:space="preserve"> in patients treated with bevacizumab who have primarily unresectable liver metastases secondary to colorectal cancer and who are scheduled for first line chemotherapy.</w:t>
            </w:r>
          </w:p>
        </w:tc>
        <w:tc>
          <w:tcPr>
            <w:tcW w:w="2180" w:type="dxa"/>
          </w:tcPr>
          <w:p w:rsidR="005A4261" w:rsidRPr="0022194D" w:rsidRDefault="00967891" w:rsidP="0022194D">
            <w:pPr>
              <w:rPr>
                <w:sz w:val="20"/>
                <w:szCs w:val="20"/>
              </w:rPr>
            </w:pPr>
            <w:r w:rsidRPr="0022194D">
              <w:rPr>
                <w:sz w:val="20"/>
                <w:szCs w:val="20"/>
              </w:rPr>
              <w:t>CSR expected Q2 2014</w:t>
            </w:r>
          </w:p>
        </w:tc>
      </w:tr>
      <w:tr w:rsidR="005A4261" w:rsidRPr="0022194D" w:rsidTr="005A4261">
        <w:tc>
          <w:tcPr>
            <w:tcW w:w="2180" w:type="dxa"/>
          </w:tcPr>
          <w:p w:rsidR="005A4261" w:rsidRPr="0022194D" w:rsidRDefault="00967891" w:rsidP="0022194D">
            <w:pPr>
              <w:ind w:left="0" w:right="0"/>
              <w:rPr>
                <w:sz w:val="20"/>
                <w:szCs w:val="20"/>
              </w:rPr>
            </w:pPr>
            <w:r w:rsidRPr="0022194D">
              <w:rPr>
                <w:sz w:val="20"/>
                <w:szCs w:val="20"/>
              </w:rPr>
              <w:t xml:space="preserve">Obtain long-term follow up information from studies in the paediatric population after patients complete their 5.5 years of follow up in </w:t>
            </w:r>
            <w:r w:rsidR="00DA4DE1" w:rsidRPr="0022194D">
              <w:rPr>
                <w:sz w:val="20"/>
                <w:szCs w:val="20"/>
              </w:rPr>
              <w:t>Study</w:t>
            </w:r>
            <w:r w:rsidRPr="0022194D">
              <w:rPr>
                <w:sz w:val="20"/>
                <w:szCs w:val="20"/>
              </w:rPr>
              <w:t xml:space="preserve"> BO20924 (planned)</w:t>
            </w:r>
          </w:p>
        </w:tc>
        <w:tc>
          <w:tcPr>
            <w:tcW w:w="2180" w:type="dxa"/>
          </w:tcPr>
          <w:p w:rsidR="005A4261" w:rsidRPr="0022194D" w:rsidRDefault="00967891" w:rsidP="0022194D">
            <w:pPr>
              <w:ind w:left="0" w:right="33"/>
              <w:rPr>
                <w:sz w:val="20"/>
                <w:szCs w:val="20"/>
              </w:rPr>
            </w:pPr>
            <w:r w:rsidRPr="0022194D">
              <w:rPr>
                <w:sz w:val="20"/>
                <w:szCs w:val="20"/>
              </w:rPr>
              <w:t>Missing information: long-term effects of bevacizumab when used in the paediatric population.</w:t>
            </w:r>
          </w:p>
        </w:tc>
        <w:tc>
          <w:tcPr>
            <w:tcW w:w="2180" w:type="dxa"/>
          </w:tcPr>
          <w:p w:rsidR="005A4261" w:rsidRPr="0022194D" w:rsidRDefault="00967891" w:rsidP="0022194D">
            <w:pPr>
              <w:tabs>
                <w:tab w:val="left" w:pos="2019"/>
              </w:tabs>
              <w:ind w:left="35" w:right="87"/>
              <w:rPr>
                <w:sz w:val="20"/>
                <w:szCs w:val="20"/>
              </w:rPr>
            </w:pPr>
            <w:r w:rsidRPr="0022194D">
              <w:rPr>
                <w:sz w:val="20"/>
                <w:szCs w:val="20"/>
              </w:rPr>
              <w:t>Long-term effects of bevacizumab when used in the paediatric population</w:t>
            </w:r>
          </w:p>
        </w:tc>
        <w:tc>
          <w:tcPr>
            <w:tcW w:w="2180" w:type="dxa"/>
          </w:tcPr>
          <w:p w:rsidR="005A4261" w:rsidRPr="0022194D" w:rsidRDefault="00967891" w:rsidP="0022194D">
            <w:pPr>
              <w:rPr>
                <w:sz w:val="20"/>
                <w:szCs w:val="20"/>
              </w:rPr>
            </w:pPr>
            <w:r w:rsidRPr="0022194D">
              <w:rPr>
                <w:sz w:val="20"/>
                <w:szCs w:val="20"/>
              </w:rPr>
              <w:t>Protocol submission Q4 2017</w:t>
            </w:r>
          </w:p>
        </w:tc>
      </w:tr>
    </w:tbl>
    <w:p w:rsidR="005A4261" w:rsidRPr="00967891" w:rsidRDefault="00967891" w:rsidP="00967891">
      <w:r w:rsidRPr="00967891">
        <w:t>A “safety monitoring plan” is also being implemented in all breast cancer studies for the important identified risk ‘congestive heart failure’. This includes regular left ventricle ejection fraction monitoring and cardiology input in data and safety monitoring boards.</w:t>
      </w:r>
    </w:p>
    <w:p w:rsidR="008E7846" w:rsidRDefault="008E7846" w:rsidP="0022194D">
      <w:pPr>
        <w:pStyle w:val="Heading4"/>
        <w:rPr>
          <w:lang w:eastAsia="en-AU"/>
        </w:rPr>
      </w:pPr>
      <w:r>
        <w:rPr>
          <w:lang w:eastAsia="en-AU"/>
        </w:rPr>
        <w:t xml:space="preserve">Risk </w:t>
      </w:r>
      <w:r w:rsidR="003A7F6C">
        <w:rPr>
          <w:lang w:eastAsia="en-AU"/>
        </w:rPr>
        <w:t>m</w:t>
      </w:r>
      <w:r>
        <w:rPr>
          <w:lang w:eastAsia="en-AU"/>
        </w:rPr>
        <w:t xml:space="preserve">inimisation </w:t>
      </w:r>
      <w:r w:rsidR="003A7F6C" w:rsidRPr="0022194D">
        <w:t>a</w:t>
      </w:r>
      <w:r w:rsidRPr="0022194D">
        <w:t>ctivities</w:t>
      </w:r>
    </w:p>
    <w:p w:rsidR="00967891" w:rsidRPr="00967891" w:rsidRDefault="00967891" w:rsidP="00967891">
      <w:r w:rsidRPr="00967891">
        <w:t>Routine risk minimisation is proposed by the sponsor to mitigate all safety concerns. No additional risk minimisation activities are proposed.</w:t>
      </w:r>
    </w:p>
    <w:p w:rsidR="006F25B8" w:rsidRDefault="006F25B8" w:rsidP="006F25B8">
      <w:pPr>
        <w:pStyle w:val="Heading4"/>
        <w:rPr>
          <w:lang w:eastAsia="en-AU"/>
        </w:rPr>
      </w:pPr>
      <w:bookmarkStart w:id="94" w:name="_Toc247691527"/>
      <w:r w:rsidRPr="006F25B8">
        <w:rPr>
          <w:lang w:eastAsia="en-AU"/>
        </w:rPr>
        <w:t>Reconciliation of is</w:t>
      </w:r>
      <w:r w:rsidR="00E95BD0">
        <w:rPr>
          <w:lang w:eastAsia="en-AU"/>
        </w:rPr>
        <w:t>sues outlined in the RMP report</w:t>
      </w:r>
    </w:p>
    <w:p w:rsidR="006F25B8" w:rsidRDefault="006F25B8" w:rsidP="006F25B8">
      <w:pPr>
        <w:rPr>
          <w:lang w:eastAsia="en-AU"/>
        </w:rPr>
      </w:pPr>
      <w:r>
        <w:rPr>
          <w:lang w:eastAsia="en-AU"/>
        </w:rPr>
        <w:t xml:space="preserve">Table </w:t>
      </w:r>
      <w:r w:rsidR="00E95BD0">
        <w:rPr>
          <w:lang w:eastAsia="en-AU"/>
        </w:rPr>
        <w:t>6</w:t>
      </w:r>
      <w:r>
        <w:rPr>
          <w:lang w:eastAsia="en-AU"/>
        </w:rPr>
        <w:t xml:space="preserve"> summarises the first round evaluation of the RMP, the sponsor’s responses to issues raised and the </w:t>
      </w:r>
      <w:r w:rsidR="00F056D5">
        <w:rPr>
          <w:lang w:eastAsia="en-AU"/>
        </w:rPr>
        <w:t>RMP evaluator’s</w:t>
      </w:r>
      <w:r>
        <w:rPr>
          <w:lang w:eastAsia="en-AU"/>
        </w:rPr>
        <w:t xml:space="preserve"> evaluat</w:t>
      </w:r>
      <w:r w:rsidR="00F056D5">
        <w:rPr>
          <w:lang w:eastAsia="en-AU"/>
        </w:rPr>
        <w:t>ion of the sponsor’s responses.</w:t>
      </w:r>
    </w:p>
    <w:p w:rsidR="00E95BD0" w:rsidRDefault="00E95BD0" w:rsidP="00E95BD0">
      <w:pPr>
        <w:pStyle w:val="Tabletitle0"/>
        <w:rPr>
          <w:lang w:eastAsia="en-AU"/>
        </w:rPr>
      </w:pPr>
      <w:r>
        <w:rPr>
          <w:lang w:eastAsia="en-AU"/>
        </w:rPr>
        <w:t xml:space="preserve">Table 6: </w:t>
      </w:r>
      <w:r w:rsidRPr="006F25B8">
        <w:rPr>
          <w:lang w:eastAsia="en-AU"/>
        </w:rPr>
        <w:t>Reconciliation of is</w:t>
      </w:r>
      <w:r>
        <w:rPr>
          <w:lang w:eastAsia="en-AU"/>
        </w:rPr>
        <w:t>sues outlined in the RMP report</w:t>
      </w:r>
    </w:p>
    <w:tbl>
      <w:tblPr>
        <w:tblStyle w:val="TableTGAblue"/>
        <w:tblW w:w="5000" w:type="pct"/>
        <w:jc w:val="center"/>
        <w:tblLayout w:type="fixed"/>
        <w:tblLook w:val="04A0" w:firstRow="1" w:lastRow="0" w:firstColumn="1" w:lastColumn="0" w:noHBand="0" w:noVBand="1"/>
      </w:tblPr>
      <w:tblGrid>
        <w:gridCol w:w="3652"/>
        <w:gridCol w:w="3350"/>
        <w:gridCol w:w="1718"/>
      </w:tblGrid>
      <w:tr w:rsidR="00EF2931" w:rsidRPr="00D61547" w:rsidTr="00EF2931">
        <w:trPr>
          <w:cnfStyle w:val="100000000000" w:firstRow="1" w:lastRow="0" w:firstColumn="0" w:lastColumn="0" w:oddVBand="0" w:evenVBand="0" w:oddHBand="0" w:evenHBand="0" w:firstRowFirstColumn="0" w:firstRowLastColumn="0" w:lastRowFirstColumn="0" w:lastRowLastColumn="0"/>
          <w:jc w:val="center"/>
        </w:trPr>
        <w:tc>
          <w:tcPr>
            <w:tcW w:w="2094" w:type="pct"/>
            <w:noWrap/>
          </w:tcPr>
          <w:p w:rsidR="00EF2931" w:rsidRPr="00D61547" w:rsidRDefault="00EF2931" w:rsidP="00D61547">
            <w:pPr>
              <w:rPr>
                <w:sz w:val="20"/>
                <w:szCs w:val="20"/>
              </w:rPr>
            </w:pPr>
            <w:r w:rsidRPr="00D61547">
              <w:rPr>
                <w:sz w:val="20"/>
                <w:szCs w:val="20"/>
              </w:rPr>
              <w:t>Recommendation in RMP evaluation report</w:t>
            </w:r>
          </w:p>
        </w:tc>
        <w:tc>
          <w:tcPr>
            <w:tcW w:w="1921" w:type="pct"/>
            <w:noWrap/>
          </w:tcPr>
          <w:p w:rsidR="00EF2931" w:rsidRPr="00D61547" w:rsidRDefault="00EF2931" w:rsidP="00D61547">
            <w:pPr>
              <w:ind w:left="34"/>
              <w:rPr>
                <w:sz w:val="20"/>
                <w:szCs w:val="20"/>
              </w:rPr>
            </w:pPr>
            <w:r w:rsidRPr="00D61547">
              <w:rPr>
                <w:sz w:val="20"/>
                <w:szCs w:val="20"/>
              </w:rPr>
              <w:t>Sponsor’s response (or summary of the response)</w:t>
            </w:r>
          </w:p>
        </w:tc>
        <w:tc>
          <w:tcPr>
            <w:tcW w:w="985" w:type="pct"/>
            <w:noWrap/>
          </w:tcPr>
          <w:p w:rsidR="00EF2931" w:rsidRPr="00D61547" w:rsidRDefault="00EF2931" w:rsidP="00D61547">
            <w:pPr>
              <w:rPr>
                <w:sz w:val="20"/>
                <w:szCs w:val="20"/>
              </w:rPr>
            </w:pPr>
            <w:r w:rsidRPr="00D61547">
              <w:rPr>
                <w:sz w:val="20"/>
                <w:szCs w:val="20"/>
              </w:rPr>
              <w:t>RMP evaluator’s comment</w:t>
            </w:r>
          </w:p>
        </w:tc>
      </w:tr>
      <w:tr w:rsidR="00EF2931" w:rsidRPr="00D61547" w:rsidTr="00EF2931">
        <w:trPr>
          <w:jc w:val="center"/>
        </w:trPr>
        <w:tc>
          <w:tcPr>
            <w:tcW w:w="20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2931" w:rsidRPr="00D61547" w:rsidRDefault="00EF2931" w:rsidP="00D61547">
            <w:pPr>
              <w:rPr>
                <w:sz w:val="20"/>
                <w:szCs w:val="20"/>
              </w:rPr>
            </w:pPr>
            <w:r w:rsidRPr="00D61547">
              <w:rPr>
                <w:sz w:val="20"/>
                <w:szCs w:val="20"/>
              </w:rPr>
              <w:t xml:space="preserve">Safety considerations may be raised by the clinical evaluator through the </w:t>
            </w:r>
            <w:r w:rsidR="00CA0B25" w:rsidRPr="00D61547">
              <w:rPr>
                <w:sz w:val="20"/>
                <w:szCs w:val="20"/>
              </w:rPr>
              <w:t xml:space="preserve">TGA </w:t>
            </w:r>
            <w:r w:rsidRPr="00D61547">
              <w:rPr>
                <w:sz w:val="20"/>
                <w:szCs w:val="20"/>
              </w:rPr>
              <w:t>consolidated request</w:t>
            </w:r>
            <w:r w:rsidR="00CA0B25" w:rsidRPr="00D61547">
              <w:rPr>
                <w:sz w:val="20"/>
                <w:szCs w:val="20"/>
              </w:rPr>
              <w:t xml:space="preserve"> for information</w:t>
            </w:r>
            <w:r w:rsidRPr="00D61547">
              <w:rPr>
                <w:sz w:val="20"/>
                <w:szCs w:val="20"/>
              </w:rPr>
              <w:t xml:space="preserve"> and/or the </w:t>
            </w:r>
            <w:r w:rsidR="00CA0B25" w:rsidRPr="00D61547">
              <w:rPr>
                <w:sz w:val="20"/>
                <w:szCs w:val="20"/>
              </w:rPr>
              <w:t>CER respectively.</w:t>
            </w:r>
            <w:r w:rsidRPr="00D61547">
              <w:rPr>
                <w:sz w:val="20"/>
                <w:szCs w:val="20"/>
              </w:rPr>
              <w:t xml:space="preserve"> It is important to ensure that the information provided in response to these </w:t>
            </w:r>
            <w:r w:rsidRPr="00D61547">
              <w:rPr>
                <w:sz w:val="20"/>
                <w:szCs w:val="20"/>
              </w:rPr>
              <w:lastRenderedPageBreak/>
              <w:t xml:space="preserve">includes a consideration of the relevance for the </w:t>
            </w:r>
            <w:r w:rsidR="00CA0B25" w:rsidRPr="00D61547">
              <w:rPr>
                <w:sz w:val="20"/>
                <w:szCs w:val="20"/>
              </w:rPr>
              <w:t>RMP</w:t>
            </w:r>
            <w:r w:rsidRPr="00D61547">
              <w:rPr>
                <w:sz w:val="20"/>
                <w:szCs w:val="20"/>
              </w:rPr>
              <w:t>, and any specific information needed to address this issue in the RMP.</w:t>
            </w:r>
            <w:r w:rsidR="009D4AE1" w:rsidRPr="00D61547">
              <w:rPr>
                <w:sz w:val="20"/>
                <w:szCs w:val="20"/>
              </w:rPr>
              <w:t xml:space="preserve"> </w:t>
            </w:r>
            <w:r w:rsidRPr="00D61547">
              <w:rPr>
                <w:sz w:val="20"/>
                <w:szCs w:val="20"/>
              </w:rPr>
              <w:t>For any safety considerations so raised, the sponsor should provide information that is relevant and necessary to address the issue in the RMP.</w:t>
            </w:r>
          </w:p>
        </w:tc>
        <w:tc>
          <w:tcPr>
            <w:tcW w:w="192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2931" w:rsidRPr="00D61547" w:rsidRDefault="00EF2931" w:rsidP="00D61547">
            <w:pPr>
              <w:ind w:left="34"/>
              <w:rPr>
                <w:sz w:val="20"/>
                <w:szCs w:val="20"/>
              </w:rPr>
            </w:pPr>
            <w:r w:rsidRPr="00D61547">
              <w:rPr>
                <w:sz w:val="20"/>
                <w:szCs w:val="20"/>
              </w:rPr>
              <w:lastRenderedPageBreak/>
              <w:t xml:space="preserve">The </w:t>
            </w:r>
            <w:r w:rsidR="00AC2ABD" w:rsidRPr="00D61547">
              <w:rPr>
                <w:sz w:val="20"/>
                <w:szCs w:val="20"/>
              </w:rPr>
              <w:t>sponsor</w:t>
            </w:r>
            <w:r w:rsidR="00CA0B25" w:rsidRPr="00D61547">
              <w:rPr>
                <w:sz w:val="20"/>
                <w:szCs w:val="20"/>
              </w:rPr>
              <w:t xml:space="preserve"> acknowledges this requirement.</w:t>
            </w:r>
            <w:r w:rsidRPr="00D61547">
              <w:rPr>
                <w:sz w:val="20"/>
                <w:szCs w:val="20"/>
              </w:rPr>
              <w:t xml:space="preserve"> No new risks are required to be added to the RMP as a consequence of the additional information provided in this response.</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2931" w:rsidRPr="00D61547" w:rsidRDefault="00EF2931" w:rsidP="00D61547">
            <w:pPr>
              <w:rPr>
                <w:sz w:val="20"/>
                <w:szCs w:val="20"/>
              </w:rPr>
            </w:pPr>
            <w:r w:rsidRPr="00D61547">
              <w:rPr>
                <w:sz w:val="20"/>
                <w:szCs w:val="20"/>
              </w:rPr>
              <w:t>The sponsor’s response is noted.</w:t>
            </w:r>
          </w:p>
        </w:tc>
      </w:tr>
      <w:tr w:rsidR="00EF2931" w:rsidRPr="00D61547" w:rsidTr="00EF2931">
        <w:trPr>
          <w:jc w:val="center"/>
        </w:trPr>
        <w:tc>
          <w:tcPr>
            <w:tcW w:w="20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2931" w:rsidRPr="00D61547" w:rsidRDefault="00EF2931" w:rsidP="00D61547">
            <w:pPr>
              <w:rPr>
                <w:sz w:val="20"/>
                <w:szCs w:val="20"/>
              </w:rPr>
            </w:pPr>
            <w:r w:rsidRPr="00D61547">
              <w:rPr>
                <w:sz w:val="20"/>
                <w:szCs w:val="20"/>
              </w:rPr>
              <w:lastRenderedPageBreak/>
              <w:t>The EU-RMP also includes a follow-up questionnaire for adverse events relating to important identified risk ‘osteonecrosis of the jaw’ which is not p</w:t>
            </w:r>
            <w:r w:rsidR="00CA0B25" w:rsidRPr="00D61547">
              <w:rPr>
                <w:sz w:val="20"/>
                <w:szCs w:val="20"/>
              </w:rPr>
              <w:t xml:space="preserve">roposed in the ASA. </w:t>
            </w:r>
            <w:r w:rsidRPr="00D61547">
              <w:rPr>
                <w:sz w:val="20"/>
                <w:szCs w:val="20"/>
              </w:rPr>
              <w:t>The sponsor should confirm that this activity is also undertaken in Australia, and if so, the pharmacovigilance section of the ASA should be amended to reflect this.</w:t>
            </w:r>
          </w:p>
        </w:tc>
        <w:tc>
          <w:tcPr>
            <w:tcW w:w="192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2931" w:rsidRPr="00D61547" w:rsidRDefault="00EF2931" w:rsidP="00D61547">
            <w:pPr>
              <w:ind w:left="34"/>
              <w:rPr>
                <w:sz w:val="20"/>
                <w:szCs w:val="20"/>
              </w:rPr>
            </w:pPr>
            <w:r w:rsidRPr="00D61547">
              <w:rPr>
                <w:sz w:val="20"/>
                <w:szCs w:val="20"/>
              </w:rPr>
              <w:t xml:space="preserve">The </w:t>
            </w:r>
            <w:r w:rsidR="00AC2ABD" w:rsidRPr="00D61547">
              <w:rPr>
                <w:sz w:val="20"/>
                <w:szCs w:val="20"/>
              </w:rPr>
              <w:t>sponsor</w:t>
            </w:r>
            <w:r w:rsidRPr="00D61547">
              <w:rPr>
                <w:sz w:val="20"/>
                <w:szCs w:val="20"/>
              </w:rPr>
              <w:t xml:space="preserve"> confirms the follow-up questionnaire for ‘osteonecrosis of the ja</w:t>
            </w:r>
            <w:r w:rsidR="00CA0B25" w:rsidRPr="00D61547">
              <w:rPr>
                <w:sz w:val="20"/>
                <w:szCs w:val="20"/>
              </w:rPr>
              <w:t xml:space="preserve">w’ is undertaken in Australia. </w:t>
            </w:r>
            <w:r w:rsidRPr="00D61547">
              <w:rPr>
                <w:sz w:val="20"/>
                <w:szCs w:val="20"/>
              </w:rPr>
              <w:t xml:space="preserve">The </w:t>
            </w:r>
            <w:r w:rsidR="00AC2ABD" w:rsidRPr="00D61547">
              <w:rPr>
                <w:sz w:val="20"/>
                <w:szCs w:val="20"/>
              </w:rPr>
              <w:t>sponsor</w:t>
            </w:r>
            <w:r w:rsidRPr="00D61547">
              <w:rPr>
                <w:sz w:val="20"/>
                <w:szCs w:val="20"/>
              </w:rPr>
              <w:t xml:space="preserve"> provides the assurance that the ASA will be amended to reflect this.</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2931" w:rsidRPr="00D61547" w:rsidRDefault="00EF2931" w:rsidP="00D61547">
            <w:pPr>
              <w:rPr>
                <w:sz w:val="20"/>
                <w:szCs w:val="20"/>
              </w:rPr>
            </w:pPr>
            <w:r w:rsidRPr="00D61547">
              <w:rPr>
                <w:sz w:val="20"/>
                <w:szCs w:val="20"/>
              </w:rPr>
              <w:t>The sponsor’s assurance is noted.</w:t>
            </w:r>
          </w:p>
        </w:tc>
      </w:tr>
      <w:tr w:rsidR="00EF2931" w:rsidRPr="00D61547" w:rsidTr="00EF2931">
        <w:trPr>
          <w:jc w:val="center"/>
        </w:trPr>
        <w:tc>
          <w:tcPr>
            <w:tcW w:w="20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2931" w:rsidRPr="00D61547" w:rsidRDefault="00EF2931" w:rsidP="00D61547">
            <w:pPr>
              <w:rPr>
                <w:sz w:val="20"/>
                <w:szCs w:val="20"/>
              </w:rPr>
            </w:pPr>
            <w:r w:rsidRPr="00D61547">
              <w:rPr>
                <w:sz w:val="20"/>
                <w:szCs w:val="20"/>
              </w:rPr>
              <w:t>The evaluator has no objection to the additional phar</w:t>
            </w:r>
            <w:r w:rsidR="00CA0B25" w:rsidRPr="00D61547">
              <w:rPr>
                <w:sz w:val="20"/>
                <w:szCs w:val="20"/>
              </w:rPr>
              <w:t>macovigilance studies proposed.</w:t>
            </w:r>
            <w:r w:rsidRPr="00D61547">
              <w:rPr>
                <w:sz w:val="20"/>
                <w:szCs w:val="20"/>
              </w:rPr>
              <w:t xml:space="preserve"> However it appears that several milestones of the ongoing studies listed in the pharmacovigilance section of t</w:t>
            </w:r>
            <w:r w:rsidR="00CA0B25" w:rsidRPr="00D61547">
              <w:rPr>
                <w:sz w:val="20"/>
                <w:szCs w:val="20"/>
              </w:rPr>
              <w:t xml:space="preserve">he EU-RMP and ASA have passed. </w:t>
            </w:r>
            <w:r w:rsidRPr="00D61547">
              <w:rPr>
                <w:sz w:val="20"/>
                <w:szCs w:val="20"/>
              </w:rPr>
              <w:t>These tables should be updated to reflect the completed studies.</w:t>
            </w:r>
          </w:p>
        </w:tc>
        <w:tc>
          <w:tcPr>
            <w:tcW w:w="192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2931" w:rsidRPr="00D61547" w:rsidRDefault="00EF2931" w:rsidP="00D61547">
            <w:pPr>
              <w:ind w:left="34"/>
              <w:rPr>
                <w:sz w:val="20"/>
                <w:szCs w:val="20"/>
              </w:rPr>
            </w:pPr>
            <w:r w:rsidRPr="00D61547">
              <w:rPr>
                <w:sz w:val="20"/>
                <w:szCs w:val="20"/>
              </w:rPr>
              <w:t xml:space="preserve">The </w:t>
            </w:r>
            <w:r w:rsidR="00AC2ABD" w:rsidRPr="00D61547">
              <w:rPr>
                <w:sz w:val="20"/>
                <w:szCs w:val="20"/>
              </w:rPr>
              <w:t>sponsor</w:t>
            </w:r>
            <w:r w:rsidRPr="00D61547">
              <w:rPr>
                <w:sz w:val="20"/>
                <w:szCs w:val="20"/>
              </w:rPr>
              <w:t xml:space="preserve"> provides the assurance that in the next version of these documents submitted to TGA the ongoing studies tables in the EU-RMP and ASA will be updated to reflect those studies that have since been completed.</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F2931" w:rsidRPr="00D61547" w:rsidRDefault="00EF2931" w:rsidP="00D61547">
            <w:pPr>
              <w:rPr>
                <w:sz w:val="20"/>
                <w:szCs w:val="20"/>
              </w:rPr>
            </w:pPr>
            <w:r w:rsidRPr="00D61547">
              <w:rPr>
                <w:sz w:val="20"/>
                <w:szCs w:val="20"/>
              </w:rPr>
              <w:t>The sponsor’s assurance is noted.</w:t>
            </w:r>
          </w:p>
        </w:tc>
      </w:tr>
    </w:tbl>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EF2931" w:rsidRPr="00EF2931" w:rsidRDefault="00E95BD0" w:rsidP="00EF2931">
      <w:pPr>
        <w:pStyle w:val="Heading5"/>
      </w:pPr>
      <w:r>
        <w:t>Issues in relation to the RMP</w:t>
      </w:r>
    </w:p>
    <w:p w:rsidR="00EF2931" w:rsidRPr="00EF2931" w:rsidRDefault="00EF2931" w:rsidP="00EF2931">
      <w:r w:rsidRPr="00EF2931">
        <w:t xml:space="preserve">The clinical evaluator has recommended that the safety specification should be revised to include data from </w:t>
      </w:r>
      <w:r w:rsidR="00DA4DE1">
        <w:t>Study</w:t>
      </w:r>
      <w:r w:rsidRPr="00EF2931">
        <w:t xml:space="preserve"> GOG-0240</w:t>
      </w:r>
      <w:r w:rsidR="00E95BD0">
        <w:t xml:space="preserve">. </w:t>
      </w:r>
      <w:r w:rsidRPr="00EF2931">
        <w:t>This recommendation is endorsed by the RMP evaluator.</w:t>
      </w:r>
    </w:p>
    <w:p w:rsidR="00EF2931" w:rsidRPr="00EF2931" w:rsidRDefault="00EF2931" w:rsidP="00EF2931">
      <w:pPr>
        <w:pStyle w:val="Heading5"/>
      </w:pPr>
      <w:r w:rsidRPr="00EF2931">
        <w:t>Advice from the Advisory Committee on the Safety of Medicines (ACSOM)</w:t>
      </w:r>
    </w:p>
    <w:p w:rsidR="00EF2931" w:rsidRPr="00EF2931" w:rsidRDefault="00EF2931" w:rsidP="00EF2931">
      <w:r w:rsidRPr="00EF2931">
        <w:t>ACSOM advice was not sought for this submission.</w:t>
      </w:r>
    </w:p>
    <w:p w:rsidR="00EF2931" w:rsidRPr="00EF2931" w:rsidRDefault="00EF2931" w:rsidP="00EF2931">
      <w:pPr>
        <w:pStyle w:val="Heading4"/>
      </w:pPr>
      <w:r w:rsidRPr="00EF2931">
        <w:t>Suggested wording</w:t>
      </w:r>
      <w:r w:rsidR="00E95BD0">
        <w:t xml:space="preserve"> for conditions of registration</w:t>
      </w:r>
    </w:p>
    <w:p w:rsidR="00EF2931" w:rsidRPr="00EF2931" w:rsidRDefault="00EF2931" w:rsidP="00EF2931">
      <w:r w:rsidRPr="00EF2931">
        <w:t>RMP</w:t>
      </w:r>
    </w:p>
    <w:p w:rsidR="00EF2931" w:rsidRPr="00EF2931" w:rsidRDefault="00EF2931" w:rsidP="00EF2931">
      <w:r w:rsidRPr="00EF2931">
        <w:t>Any changes to which the sponsor agreed become part of the risk management system, whether they are included in the currently available version of the RMP document, or not included, inadvertently or otherwise.</w:t>
      </w:r>
    </w:p>
    <w:p w:rsidR="00EF2931" w:rsidRPr="00EF2931" w:rsidRDefault="00EF2931" w:rsidP="00EF2931">
      <w:r w:rsidRPr="00EF2931">
        <w:t>The suggested wording is:</w:t>
      </w:r>
    </w:p>
    <w:p w:rsidR="00EF2931" w:rsidRPr="00EF2931" w:rsidRDefault="00EF2931" w:rsidP="00EF2931">
      <w:r w:rsidRPr="00EF2931">
        <w:lastRenderedPageBreak/>
        <w:t>Implement EU-RMP Version 16.1 (dated 29 May 2014 DLP 25 April 2014) and Australian Specific Annex Version 5.0 (dated August 2014) revised as agreed with the TGA and any future updates as a condition of registration</w:t>
      </w:r>
    </w:p>
    <w:p w:rsidR="008E7846" w:rsidRPr="00792A32" w:rsidRDefault="008E7846" w:rsidP="008E7846">
      <w:pPr>
        <w:pStyle w:val="Heading2"/>
      </w:pPr>
      <w:bookmarkStart w:id="95" w:name="_Toc314842510"/>
      <w:bookmarkStart w:id="96" w:name="_Toc48219140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7"/>
      <w:bookmarkEnd w:id="94"/>
      <w:bookmarkEnd w:id="95"/>
      <w:bookmarkEnd w:id="96"/>
    </w:p>
    <w:p w:rsidR="008E7846" w:rsidRDefault="008E7846" w:rsidP="008E7846">
      <w:bookmarkStart w:id="97"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98" w:name="_Toc314842511"/>
      <w:bookmarkStart w:id="99" w:name="_Toc482191409"/>
      <w:r>
        <w:t>Quality</w:t>
      </w:r>
      <w:bookmarkEnd w:id="97"/>
      <w:bookmarkEnd w:id="98"/>
      <w:bookmarkEnd w:id="99"/>
    </w:p>
    <w:p w:rsidR="00E45619" w:rsidRDefault="008E7846" w:rsidP="003A7F6C">
      <w:r>
        <w:t>There was no requirement for a quality evaluation in a submission of this type.</w:t>
      </w:r>
    </w:p>
    <w:p w:rsidR="008E7846" w:rsidRDefault="008E7846" w:rsidP="008E7846">
      <w:pPr>
        <w:pStyle w:val="Heading3"/>
      </w:pPr>
      <w:bookmarkStart w:id="100" w:name="_Toc314842512"/>
      <w:bookmarkStart w:id="101" w:name="_Toc482191410"/>
      <w:r>
        <w:t>Nonclinical</w:t>
      </w:r>
      <w:bookmarkEnd w:id="100"/>
      <w:bookmarkEnd w:id="101"/>
    </w:p>
    <w:p w:rsidR="008E7846" w:rsidRDefault="008E7846" w:rsidP="008E7846">
      <w:r>
        <w:t>There was no requirement for a nonclinical evaluation in a submission of this type.</w:t>
      </w:r>
    </w:p>
    <w:p w:rsidR="008E7846" w:rsidRDefault="008E7846" w:rsidP="008E7846">
      <w:pPr>
        <w:pStyle w:val="Heading3"/>
      </w:pPr>
      <w:bookmarkStart w:id="102" w:name="_Toc247691530"/>
      <w:bookmarkStart w:id="103" w:name="_Toc314842513"/>
      <w:bookmarkStart w:id="104" w:name="_Toc482191411"/>
      <w:r>
        <w:t>Clinical</w:t>
      </w:r>
      <w:bookmarkEnd w:id="102"/>
      <w:bookmarkEnd w:id="103"/>
      <w:bookmarkEnd w:id="104"/>
    </w:p>
    <w:p w:rsidR="00DA5072" w:rsidRPr="00DA5072" w:rsidRDefault="00DA5072" w:rsidP="00DA5072">
      <w:bookmarkStart w:id="105" w:name="_Toc314842514"/>
      <w:r w:rsidRPr="00DA5072">
        <w:t>Study GOG-02</w:t>
      </w:r>
      <w:r w:rsidR="007F1DED">
        <w:t>40 was a randomised, open label,</w:t>
      </w:r>
      <w:r w:rsidRPr="00DA5072">
        <w:t xml:space="preserve"> Phase III, multi-centre study to assess the effects on overall survival and safety of cisplatin plus paclitaxel (</w:t>
      </w:r>
      <w:proofErr w:type="spellStart"/>
      <w:r w:rsidRPr="00DA5072">
        <w:t>Cis+Pac</w:t>
      </w:r>
      <w:proofErr w:type="spellEnd"/>
      <w:r w:rsidRPr="00DA5072">
        <w:t xml:space="preserve">) with and without </w:t>
      </w:r>
      <w:proofErr w:type="spellStart"/>
      <w:r w:rsidRPr="00DA5072">
        <w:t>bevacizumab</w:t>
      </w:r>
      <w:proofErr w:type="spellEnd"/>
      <w:r w:rsidRPr="00DA5072">
        <w:t xml:space="preserve"> (</w:t>
      </w:r>
      <w:proofErr w:type="spellStart"/>
      <w:r w:rsidRPr="00DA5072">
        <w:t>Bv</w:t>
      </w:r>
      <w:proofErr w:type="spellEnd"/>
      <w:r w:rsidRPr="00DA5072">
        <w:t>) versus the non-platinum doublet, topotecan plus paclitaxel (</w:t>
      </w:r>
      <w:proofErr w:type="spellStart"/>
      <w:r w:rsidRPr="00DA5072">
        <w:t>Top+Pac</w:t>
      </w:r>
      <w:proofErr w:type="spellEnd"/>
      <w:r w:rsidRPr="00DA5072">
        <w:t>), wi</w:t>
      </w:r>
      <w:r w:rsidR="007F1DED">
        <w:t>th and without bevacizumab, in s</w:t>
      </w:r>
      <w:r w:rsidRPr="00DA5072">
        <w:t>tage IVB, recurrent or persistent carcinoma of the cervix. This study was conducted across 159 sites in the United States and 6 sites in Spain.</w:t>
      </w:r>
      <w:r w:rsidR="007F1DED">
        <w:t xml:space="preserve"> </w:t>
      </w:r>
      <w:r w:rsidRPr="00DA5072">
        <w:t xml:space="preserve">An interim analysis of this study </w:t>
      </w:r>
      <w:r w:rsidRPr="00947E21">
        <w:t>was published in the New England Journal of Medicine</w:t>
      </w:r>
      <w:r w:rsidR="00947E21">
        <w:t>.</w:t>
      </w:r>
      <w:r w:rsidR="007F1DED" w:rsidRPr="00947E21">
        <w:rPr>
          <w:rStyle w:val="FootnoteReference"/>
        </w:rPr>
        <w:footnoteReference w:id="3"/>
      </w:r>
    </w:p>
    <w:p w:rsidR="00DA5072" w:rsidRDefault="00DA5072" w:rsidP="00DA5072">
      <w:r w:rsidRPr="00DA5072">
        <w:t>The pivotal study for this submission recruited patients that were assigned recurrent or persistent disease plus those with stage IVB. The study specifically excluded wome</w:t>
      </w:r>
      <w:r w:rsidR="007F1DED">
        <w:t>n that had cerebral metastases;</w:t>
      </w:r>
      <w:r w:rsidRPr="00DA5072">
        <w:t xml:space="preserve"> this exclusion criterion is documented in the cli</w:t>
      </w:r>
      <w:r w:rsidR="00947E21">
        <w:t xml:space="preserve">nical trials section of the PI. </w:t>
      </w:r>
      <w:r w:rsidRPr="00DA5072">
        <w:t>The study design of GOG</w:t>
      </w:r>
      <w:r w:rsidR="007F1DED">
        <w:t xml:space="preserve">-0240 is shown below </w:t>
      </w:r>
      <w:r w:rsidR="007F1DED" w:rsidRPr="00E95BD0">
        <w:t>in F</w:t>
      </w:r>
      <w:r w:rsidRPr="00E95BD0">
        <w:t>igure 1</w:t>
      </w:r>
      <w:r w:rsidR="00947E21" w:rsidRPr="00E95BD0">
        <w:t>.</w:t>
      </w:r>
    </w:p>
    <w:p w:rsidR="00947E21" w:rsidRPr="00DA5072" w:rsidRDefault="00E95BD0" w:rsidP="00947E21">
      <w:pPr>
        <w:pStyle w:val="FigureTitle"/>
      </w:pPr>
      <w:r>
        <w:lastRenderedPageBreak/>
        <w:t>Figure 1:</w:t>
      </w:r>
      <w:r w:rsidR="00947E21">
        <w:t xml:space="preserve"> Design of </w:t>
      </w:r>
      <w:r w:rsidR="00DA4DE1">
        <w:t>Study</w:t>
      </w:r>
      <w:r w:rsidR="00947E21">
        <w:t xml:space="preserve"> GOG-0240</w:t>
      </w:r>
    </w:p>
    <w:p w:rsidR="00DA5072" w:rsidRDefault="00DA5072" w:rsidP="00C748DA">
      <w:r>
        <w:rPr>
          <w:noProof/>
          <w:lang w:eastAsia="en-AU"/>
        </w:rPr>
        <w:drawing>
          <wp:inline distT="0" distB="0" distL="0" distR="0" wp14:anchorId="345CAE8A" wp14:editId="62A0BCD9">
            <wp:extent cx="5400040" cy="3753489"/>
            <wp:effectExtent l="0" t="0" r="0" b="0"/>
            <wp:docPr id="1" name="Picture 1" descr="Figure 1: Design of Study GOG-0240&#10;452 patients with persiswtent, recurrent or Stage IVB carcinoma of the cervix with (measurable disease, GOG PSO vs.1, no prior chemotherapy other than with radiation, no prior ant VEGF drug) were randomised in a 1:1:1:1  ratio into&#10; chemo alone ( either Cisplatin or placitaxel)&#10;Chemo + Bv (either Cisplatin or pacliitaxel + Bv)&#10;chemo alone (either Paclitaxel or topotecan)&#10;Chemo + Bv (either Paclitaxel or topotecan +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753489"/>
                    </a:xfrm>
                    <a:prstGeom prst="rect">
                      <a:avLst/>
                    </a:prstGeom>
                  </pic:spPr>
                </pic:pic>
              </a:graphicData>
            </a:graphic>
          </wp:inline>
        </w:drawing>
      </w:r>
    </w:p>
    <w:p w:rsidR="00DA5072" w:rsidRPr="00DA5072" w:rsidRDefault="00DA5072" w:rsidP="00947E21">
      <w:pPr>
        <w:pStyle w:val="Heading5"/>
      </w:pPr>
      <w:r w:rsidRPr="00DA5072">
        <w:t>Pharmacology</w:t>
      </w:r>
    </w:p>
    <w:p w:rsidR="00DA5072" w:rsidRPr="00DA5072" w:rsidRDefault="00DA5072" w:rsidP="00DA5072">
      <w:r w:rsidRPr="00DA5072">
        <w:t>The evaluators’ conclusions on pharmacokinetics included “experience from use in the currently approved indications of metastatic breast cancer and ovarian/fallopian tube cancer represents a sufficient understanding of dosing within female populations to enable the inference of similar dosing schedules to the cervical cancer setting”.</w:t>
      </w:r>
    </w:p>
    <w:p w:rsidR="00DA5072" w:rsidRPr="00DA5072" w:rsidRDefault="00DA5072" w:rsidP="00DA5072">
      <w:r w:rsidRPr="00DA5072">
        <w:t>The evaluator did not make comment on the difference in dosage regimen for patients with ovarian/fallopian tube cancer who have evidence of platinum resistance. The proportion of patients with known platinum resistance was not reporte</w:t>
      </w:r>
      <w:r w:rsidR="00346A94">
        <w:t>d for patients in GOG-0240.</w:t>
      </w:r>
    </w:p>
    <w:p w:rsidR="00DA5072" w:rsidRPr="00DA5072" w:rsidRDefault="00DA5072" w:rsidP="00DA5072">
      <w:r w:rsidRPr="00DA5072">
        <w:t>The sponsor should therefore justify in their pre-ACPM response the reasons for not recommending a different dosing regimen for patients with cervical cancer who have confirmed platinum resistance, which is inconsistent with the dosing regimen for ovarian/fallo</w:t>
      </w:r>
      <w:r w:rsidR="00346A94">
        <w:t>pian tube or peritoneal cancer.</w:t>
      </w:r>
    </w:p>
    <w:p w:rsidR="00DA5072" w:rsidRPr="00DA5072" w:rsidRDefault="00346A94" w:rsidP="00947E21">
      <w:pPr>
        <w:pStyle w:val="Heading5"/>
      </w:pPr>
      <w:r>
        <w:t>Efficacy</w:t>
      </w:r>
    </w:p>
    <w:p w:rsidR="00DA5072" w:rsidRPr="00DA5072" w:rsidRDefault="00DA5072" w:rsidP="00DA5072">
      <w:r w:rsidRPr="00DA5072">
        <w:t>A single pivotal study of efficacy and safet</w:t>
      </w:r>
      <w:r w:rsidR="00346A94">
        <w:t>y was presented for evaluation.</w:t>
      </w:r>
    </w:p>
    <w:p w:rsidR="00DA5072" w:rsidRPr="00DA5072" w:rsidRDefault="00DA5072" w:rsidP="00DA5072">
      <w:r w:rsidRPr="00DA5072">
        <w:t>The pivotal study treatment arms comprised 225 patients in the chemotherapy alone arm and 227 in the bevacizumab + chemotherapy arm. The chemotherapy agents: cisplatin, paclitaxel and topotecan were administered accordi</w:t>
      </w:r>
      <w:r w:rsidR="00947E21">
        <w:t xml:space="preserve">ng to approved dosing regimens (for description of the dosing regimens used see Attachment 2). </w:t>
      </w:r>
      <w:r w:rsidRPr="00DA5072">
        <w:t>Study treatment continued until disease progress</w:t>
      </w:r>
      <w:r w:rsidR="00346A94">
        <w:t>ion or unacceptable toxicities.</w:t>
      </w:r>
    </w:p>
    <w:p w:rsidR="00346A94" w:rsidRPr="00346A94" w:rsidRDefault="00DA5072" w:rsidP="00346A94">
      <w:r w:rsidRPr="00DA5072">
        <w:t xml:space="preserve">The demographic and baseline disease characteristics and histological sub-types were balanced between these two treatment </w:t>
      </w:r>
      <w:r w:rsidRPr="00657505">
        <w:t>arms</w:t>
      </w:r>
      <w:r w:rsidR="00AC2ABD" w:rsidRPr="00657505">
        <w:t>.</w:t>
      </w:r>
      <w:r w:rsidR="00AC2ABD">
        <w:t xml:space="preserve"> Patients </w:t>
      </w:r>
      <w:r w:rsidR="00346A94" w:rsidRPr="00346A94">
        <w:t>were required to have disease which was not amenable to curative treatment with surgery and/or radiotherapy.</w:t>
      </w:r>
    </w:p>
    <w:p w:rsidR="00346A94" w:rsidRPr="00346A94" w:rsidRDefault="00346A94" w:rsidP="00346A94">
      <w:r w:rsidRPr="00346A94">
        <w:t xml:space="preserve">Patients with either adenocarcinoma or adenosquamous disease comprised approximately 29% of each treatment arm, the majority of the remainder having </w:t>
      </w:r>
      <w:r w:rsidR="001D5B23">
        <w:lastRenderedPageBreak/>
        <w:t xml:space="preserve">squamous disease </w:t>
      </w:r>
      <w:r w:rsidR="001D5B23" w:rsidRPr="00E95BD0">
        <w:t>(see T</w:t>
      </w:r>
      <w:r w:rsidRPr="00E95BD0">
        <w:t xml:space="preserve">able </w:t>
      </w:r>
      <w:r w:rsidR="00E95BD0" w:rsidRPr="00E95BD0">
        <w:t>7</w:t>
      </w:r>
      <w:r w:rsidR="001D5B23" w:rsidRPr="00E95BD0">
        <w:t xml:space="preserve"> below</w:t>
      </w:r>
      <w:r w:rsidR="001D5B23">
        <w:t>)</w:t>
      </w:r>
      <w:r w:rsidRPr="00346A94">
        <w:t>. The distribution of histological variants and disease stage is consistent with that seen in clinical practice.</w:t>
      </w:r>
    </w:p>
    <w:p w:rsidR="00346A94" w:rsidRPr="00346A94" w:rsidRDefault="00346A94" w:rsidP="00E95BD0">
      <w:pPr>
        <w:pStyle w:val="Tabletitle0"/>
      </w:pPr>
      <w:r w:rsidRPr="00E95BD0">
        <w:t xml:space="preserve">Table </w:t>
      </w:r>
      <w:r w:rsidR="00E95BD0" w:rsidRPr="00E95BD0">
        <w:t xml:space="preserve">7: </w:t>
      </w:r>
      <w:r w:rsidRPr="00E95BD0">
        <w:t>Baseline</w:t>
      </w:r>
      <w:r w:rsidRPr="00346A94">
        <w:t xml:space="preserve"> histology, staging and prior surgery</w:t>
      </w:r>
      <w:r w:rsidR="00E95BD0">
        <w:t>. Study</w:t>
      </w:r>
      <w:r w:rsidRPr="00346A94">
        <w:t xml:space="preserve"> GOG-0240</w:t>
      </w:r>
    </w:p>
    <w:p w:rsidR="00346A94" w:rsidRPr="00346A94" w:rsidRDefault="00346A94" w:rsidP="00D61547">
      <w:r>
        <w:rPr>
          <w:noProof/>
          <w:lang w:eastAsia="en-AU"/>
        </w:rPr>
        <w:drawing>
          <wp:inline distT="0" distB="0" distL="0" distR="0" wp14:anchorId="3B2A2D49" wp14:editId="5C18169F">
            <wp:extent cx="4111142" cy="3950087"/>
            <wp:effectExtent l="0" t="0" r="3810" b="0"/>
            <wp:docPr id="2" name="Picture 2" descr="Table 7: Baseline histology, staging and prior surgery.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09589" cy="3948595"/>
                    </a:xfrm>
                    <a:prstGeom prst="rect">
                      <a:avLst/>
                    </a:prstGeom>
                  </pic:spPr>
                </pic:pic>
              </a:graphicData>
            </a:graphic>
          </wp:inline>
        </w:drawing>
      </w:r>
    </w:p>
    <w:p w:rsidR="00346A94" w:rsidRPr="00346A94" w:rsidRDefault="00346A94" w:rsidP="00346A94">
      <w:r w:rsidRPr="00346A94">
        <w:t>In both treatment arms, patients predominately were classified as persistent/recurrent (approximately 83%) or with stage IVB (approximately 17%), with all fulfilling the wording of the proposed indication. Patients were not permitted to enter the study if they had cerebral metastases.</w:t>
      </w:r>
    </w:p>
    <w:p w:rsidR="00346A94" w:rsidRPr="00346A94" w:rsidRDefault="00346A94" w:rsidP="00346A94">
      <w:r w:rsidRPr="00346A94">
        <w:t>Patients who had received prior platinum therapy were permitted trial entry, with a similar proportion included in each treatment arm. However, the proportion of patients in each treatment arm with platinum resistance was not reported.</w:t>
      </w:r>
    </w:p>
    <w:p w:rsidR="00346A94" w:rsidRDefault="00346A94" w:rsidP="00346A94">
      <w:r w:rsidRPr="00346A94">
        <w:t xml:space="preserve">In the sub-group analysis presented in the dossier </w:t>
      </w:r>
      <w:r w:rsidRPr="00E95BD0">
        <w:t>(</w:t>
      </w:r>
      <w:r w:rsidR="00E95BD0">
        <w:t>Figure 2</w:t>
      </w:r>
      <w:r w:rsidRPr="00E95BD0">
        <w:t>), the</w:t>
      </w:r>
      <w:r w:rsidRPr="00346A94">
        <w:t xml:space="preserve"> hazard ratio of OS was similar for patients who had received either: prior chemotherapy,</w:t>
      </w:r>
      <w:r w:rsidR="001D5B23">
        <w:t xml:space="preserve"> radiation or platinum therapy;</w:t>
      </w:r>
      <w:r w:rsidRPr="00346A94">
        <w:t xml:space="preserve"> the apparent independent effect of bevacizumab is consistent with the different mechanisms of action.</w:t>
      </w:r>
    </w:p>
    <w:p w:rsidR="00657505" w:rsidRDefault="00E95BD0" w:rsidP="00657505">
      <w:pPr>
        <w:pStyle w:val="FigureTitle"/>
      </w:pPr>
      <w:r>
        <w:lastRenderedPageBreak/>
        <w:t>Figure 2:</w:t>
      </w:r>
      <w:r w:rsidR="00657505">
        <w:t xml:space="preserve"> </w:t>
      </w:r>
      <w:r w:rsidR="00657505" w:rsidRPr="00EB471F">
        <w:t>Forrest plot of overall survival by bevacizumab treatment and subgroup in</w:t>
      </w:r>
      <w:r w:rsidR="00657505">
        <w:t xml:space="preserve"> Study GOG-0240</w:t>
      </w:r>
    </w:p>
    <w:p w:rsidR="00657505" w:rsidRPr="00346A94" w:rsidRDefault="00657505" w:rsidP="00346A94">
      <w:r>
        <w:rPr>
          <w:noProof/>
          <w:lang w:eastAsia="en-AU"/>
        </w:rPr>
        <w:drawing>
          <wp:inline distT="0" distB="0" distL="0" distR="0" wp14:anchorId="28DAAAB7" wp14:editId="67D3F80F">
            <wp:extent cx="5400040" cy="6385560"/>
            <wp:effectExtent l="0" t="0" r="0" b="0"/>
            <wp:docPr id="8" name="Picture 8" descr="Figure 2: Attachment 2 Figure 5: Forrest plot of overall survival by bevacizumab treatment and subgroup in Study GOG-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6385560"/>
                    </a:xfrm>
                    <a:prstGeom prst="rect">
                      <a:avLst/>
                    </a:prstGeom>
                  </pic:spPr>
                </pic:pic>
              </a:graphicData>
            </a:graphic>
          </wp:inline>
        </w:drawing>
      </w:r>
    </w:p>
    <w:p w:rsidR="00346A94" w:rsidRPr="00346A94" w:rsidRDefault="00346A94" w:rsidP="001D5B23">
      <w:pPr>
        <w:pStyle w:val="Heading5"/>
      </w:pPr>
      <w:r w:rsidRPr="00346A94">
        <w:t>Efficacy outcomes</w:t>
      </w:r>
    </w:p>
    <w:p w:rsidR="00346A94" w:rsidRPr="00346A94" w:rsidRDefault="00346A94" w:rsidP="00346A94">
      <w:r w:rsidRPr="00346A94">
        <w:t xml:space="preserve">The primary outcome of GOG-0240 of overall survival (OS), assessed from randomisation to death from any cause, as initially presented in the dossier was met, with a hazard ratio of 0.74 (95% CI 0.58, 0.94), p=0.01. A follow-up analysis of more mature data presented in the </w:t>
      </w:r>
      <w:r w:rsidR="001D5B23">
        <w:t>sponsor’s</w:t>
      </w:r>
      <w:r w:rsidRPr="00346A94">
        <w:t xml:space="preserve"> response </w:t>
      </w:r>
      <w:r w:rsidR="001D5B23">
        <w:t xml:space="preserve">to questions </w:t>
      </w:r>
      <w:r w:rsidRPr="00346A94">
        <w:t>was consistent wit</w:t>
      </w:r>
      <w:r w:rsidR="001D5B23">
        <w:t>h the initially presented data;</w:t>
      </w:r>
      <w:r w:rsidRPr="00346A94">
        <w:t xml:space="preserve"> OS HR 0.76 (95% CI 0.62, 0.94), p=0.01.</w:t>
      </w:r>
    </w:p>
    <w:p w:rsidR="00346A94" w:rsidRPr="00346A94" w:rsidRDefault="00346A94" w:rsidP="00346A94">
      <w:r w:rsidRPr="00346A94">
        <w:t>In the dossier, the median duration of OS was reported as 12.9 months (95% CI 10.9, 15.0) in the placebo arm as compared to 1</w:t>
      </w:r>
      <w:r w:rsidR="00CD2E95">
        <w:t>6.8 months (95% CI 14.1, 19.0);</w:t>
      </w:r>
      <w:r w:rsidRPr="00346A94">
        <w:t xml:space="preserve"> of note, the 95% confidence intervals of the median estimates overlap.</w:t>
      </w:r>
    </w:p>
    <w:p w:rsidR="00346A94" w:rsidRPr="00346A94" w:rsidRDefault="00346A94" w:rsidP="00346A94">
      <w:r w:rsidRPr="00346A94">
        <w:lastRenderedPageBreak/>
        <w:t>The median duration of OS was consistent between the initially presented and follow-</w:t>
      </w:r>
      <w:r w:rsidR="00CD2E95">
        <w:t>up data for each treatment arm; 12.9 and</w:t>
      </w:r>
      <w:r w:rsidRPr="00346A94">
        <w:t xml:space="preserve"> 13.3 months for the placebo arm and 16.8 months for the bevacizumab arm (at both time-points) respectively.</w:t>
      </w:r>
    </w:p>
    <w:p w:rsidR="00346A94" w:rsidRPr="00346A94" w:rsidRDefault="00346A94" w:rsidP="00346A94">
      <w:r w:rsidRPr="00346A94">
        <w:t>The median duration of PFS was 6.0 months (95% CI 5.2, 6.9) and 8.3 months (95% CI 7.1, 9.7) for the placebo and bevacizumab arms respectively, HR 0.66 (95% CI 0.54, 0.81).</w:t>
      </w:r>
    </w:p>
    <w:p w:rsidR="00346A94" w:rsidRPr="00346A94" w:rsidRDefault="00346A94" w:rsidP="00346A94">
      <w:r w:rsidRPr="00346A94">
        <w:t>The overall response rate (complete or partial response) was 45.5% (95% CI 38.8, 52.1) and 33.8% (95% CI 27.6, 40.4) of the bevacizumab and placebo arms respectively.</w:t>
      </w:r>
    </w:p>
    <w:p w:rsidR="00346A94" w:rsidRPr="00346A94" w:rsidRDefault="00346A94" w:rsidP="00346A94">
      <w:r w:rsidRPr="00346A94">
        <w:t xml:space="preserve">Quality of life assessments were undertaken throughout the study. However, with the increasing study duration, there </w:t>
      </w:r>
      <w:r w:rsidR="00CD2E95" w:rsidRPr="00346A94">
        <w:t>were</w:t>
      </w:r>
      <w:r w:rsidRPr="00346A94">
        <w:t xml:space="preserve"> an increasingly large proportion of subjects that did not complete them, which precludes a meaningful analysis of this end-point.</w:t>
      </w:r>
    </w:p>
    <w:p w:rsidR="00346A94" w:rsidRPr="00346A94" w:rsidRDefault="00346A94" w:rsidP="00346A94">
      <w:r w:rsidRPr="00346A94">
        <w:t xml:space="preserve">No efficacy data, other than the estimate of hazard ratio of OS has been presented for sub-groups of patients with differing histological diagnoses </w:t>
      </w:r>
      <w:r w:rsidR="00CD2E95">
        <w:t>(</w:t>
      </w:r>
      <w:r w:rsidRPr="00346A94">
        <w:t xml:space="preserve">see </w:t>
      </w:r>
      <w:r w:rsidR="00DA4DE1">
        <w:t>below in risk benefit analysis</w:t>
      </w:r>
      <w:r w:rsidR="00CD2E95">
        <w:t>)</w:t>
      </w:r>
      <w:r w:rsidRPr="00346A94">
        <w:t>.</w:t>
      </w:r>
    </w:p>
    <w:p w:rsidR="00346A94" w:rsidRPr="00346A94" w:rsidRDefault="00346A94" w:rsidP="00CD2E95">
      <w:pPr>
        <w:pStyle w:val="Heading5"/>
      </w:pPr>
      <w:r w:rsidRPr="00346A94">
        <w:t>Safety</w:t>
      </w:r>
    </w:p>
    <w:p w:rsidR="00346A94" w:rsidRPr="00346A94" w:rsidRDefault="00346A94" w:rsidP="00346A94">
      <w:r w:rsidRPr="00346A94">
        <w:t xml:space="preserve">The safety profile of bevacizumab, in the currently approved indications, is described in the </w:t>
      </w:r>
      <w:r w:rsidR="00CD2E95">
        <w:t>PI</w:t>
      </w:r>
      <w:r w:rsidRPr="00346A94">
        <w:t>.</w:t>
      </w:r>
    </w:p>
    <w:p w:rsidR="00346A94" w:rsidRPr="00346A94" w:rsidRDefault="00346A94" w:rsidP="00346A94">
      <w:r w:rsidRPr="00346A94">
        <w:t xml:space="preserve">In </w:t>
      </w:r>
      <w:r w:rsidR="00DA4DE1">
        <w:t>Study</w:t>
      </w:r>
      <w:r w:rsidRPr="00346A94">
        <w:t xml:space="preserve"> GOG-0240, general adverse events and adverse events of special interest were recorded. The results of laboratory tests at baseline and at each treatment cycle were recorded, but only presented according to incidence of adverse events, not the</w:t>
      </w:r>
      <w:r w:rsidR="00CD2E95">
        <w:t xml:space="preserve"> incidence of events over time. </w:t>
      </w:r>
      <w:r w:rsidRPr="00346A94">
        <w:t>The incidence of grade 3-5 adverse events was 75.7% in the bevacizumab arm as compared to 57.2% with placebo; a higher proportion of subjects discontinued bevacizumab than placebo</w:t>
      </w:r>
      <w:r w:rsidR="00CD2E95">
        <w:t>.</w:t>
      </w:r>
    </w:p>
    <w:p w:rsidR="00346A94" w:rsidRPr="00346A94" w:rsidRDefault="00346A94" w:rsidP="00346A94">
      <w:r w:rsidRPr="00346A94">
        <w:t>The evaluator commented that the common adverse events occurring in GOG-0204 were consistent with the adverse event profile reported in other indications. There was a higher incidence of grade 3-5: hypertension, thrombosis, infection fatigue and</w:t>
      </w:r>
      <w:r w:rsidR="00CD2E95">
        <w:t xml:space="preserve"> pelvic pain in the bevacizumab </w:t>
      </w:r>
      <w:r w:rsidRPr="00346A94">
        <w:t>exposed patients.</w:t>
      </w:r>
    </w:p>
    <w:p w:rsidR="00346A94" w:rsidRPr="00346A94" w:rsidRDefault="00346A94" w:rsidP="00CD2E95">
      <w:pPr>
        <w:pStyle w:val="Heading5"/>
      </w:pPr>
      <w:r w:rsidRPr="00346A94">
        <w:t>Adv</w:t>
      </w:r>
      <w:r w:rsidR="00CD2E95">
        <w:t>erse events of special interest</w:t>
      </w:r>
    </w:p>
    <w:p w:rsidR="00346A94" w:rsidRPr="00346A94" w:rsidRDefault="00346A94" w:rsidP="00346A94">
      <w:r w:rsidRPr="00346A94">
        <w:t>The incidence of GI perforation events, fistula or abscess was assessed at the first round evaluation to be 10.1% in the bevacizumab arm as compared to 0.5% in the placebo arm. The sponsor provided an additional analysis of the incidence of such events in the response</w:t>
      </w:r>
      <w:r w:rsidR="00CD2E95">
        <w:t xml:space="preserve"> to TGA questions</w:t>
      </w:r>
      <w:r w:rsidRPr="00346A94">
        <w:t xml:space="preserve">. This analysis yielded the incidence in the bevacizumab </w:t>
      </w:r>
      <w:r w:rsidR="005B7889">
        <w:t>and</w:t>
      </w:r>
      <w:r w:rsidRPr="00346A94">
        <w:t xml:space="preserve"> placebo arms respectively of: GI perforation to be 3.2% versus 0%, GI-vaginal fistulae to be 8.2% </w:t>
      </w:r>
      <w:r w:rsidR="00DA4DE1">
        <w:t>versus</w:t>
      </w:r>
      <w:r w:rsidRPr="00346A94">
        <w:t>. 0.9% and non-GI abscess/fistula to be 1.8% versus 1.4%.</w:t>
      </w:r>
    </w:p>
    <w:p w:rsidR="00346A94" w:rsidRPr="00346A94" w:rsidRDefault="00346A94" w:rsidP="00346A94">
      <w:r w:rsidRPr="00346A94">
        <w:t xml:space="preserve">Grade </w:t>
      </w:r>
      <w:r w:rsidR="00DA4DE1">
        <w:t xml:space="preserve">≥ </w:t>
      </w:r>
      <w:r w:rsidRPr="00346A94">
        <w:t>3 bleeding events were observed in a similar proportion of each treatment arm, with specific sites of haemorrhage affec</w:t>
      </w:r>
      <w:r w:rsidR="00DA4DE1">
        <w:t xml:space="preserve">ting small numbers of patients. </w:t>
      </w:r>
      <w:r w:rsidRPr="00346A94">
        <w:t xml:space="preserve">The incidence of febrile </w:t>
      </w:r>
      <w:r w:rsidR="00D62DDD" w:rsidRPr="00346A94">
        <w:t>neutropenia</w:t>
      </w:r>
      <w:r w:rsidRPr="00346A94">
        <w:t xml:space="preserve"> was similar between treatment arms (5.9% placebo </w:t>
      </w:r>
      <w:r w:rsidR="00DA4DE1">
        <w:t>versus</w:t>
      </w:r>
      <w:r w:rsidRPr="00346A94">
        <w:t xml:space="preserve"> 5.5% </w:t>
      </w:r>
      <w:proofErr w:type="spellStart"/>
      <w:r w:rsidRPr="00346A94">
        <w:t>bevacizumab</w:t>
      </w:r>
      <w:proofErr w:type="spellEnd"/>
      <w:r w:rsidRPr="00346A94">
        <w:t>)</w:t>
      </w:r>
      <w:r w:rsidR="00196D60">
        <w:t>.</w:t>
      </w:r>
    </w:p>
    <w:p w:rsidR="00346A94" w:rsidRDefault="00346A94" w:rsidP="00346A94">
      <w:r w:rsidRPr="00346A94">
        <w:t>The incidence of grade ≥</w:t>
      </w:r>
      <w:r w:rsidR="00DA4DE1">
        <w:t xml:space="preserve"> </w:t>
      </w:r>
      <w:proofErr w:type="gramStart"/>
      <w:r w:rsidRPr="00346A94">
        <w:t>3 hypertension</w:t>
      </w:r>
      <w:proofErr w:type="gramEnd"/>
      <w:r w:rsidRPr="00346A94">
        <w:t xml:space="preserve"> was 0.5% in the placebo arm versus 11.0% in the bevacizumab arm</w:t>
      </w:r>
      <w:r w:rsidR="00DA4DE1">
        <w:t xml:space="preserve">. </w:t>
      </w:r>
      <w:r w:rsidRPr="00346A94">
        <w:t>The incidence of grade ≥</w:t>
      </w:r>
      <w:r w:rsidR="00DA4DE1">
        <w:t xml:space="preserve"> </w:t>
      </w:r>
      <w:r w:rsidRPr="00346A94">
        <w:t xml:space="preserve">3 proteinuria was 1.8% of patients in the bevacizumab arm as compared </w:t>
      </w:r>
      <w:r w:rsidR="00DA4DE1">
        <w:t xml:space="preserve">no patients in the placebo arm. </w:t>
      </w:r>
      <w:r w:rsidRPr="00346A94">
        <w:t>The evaluation of laboratory adverse events did not reveal any new safety concerns over and above those already documented in the PI.</w:t>
      </w:r>
    </w:p>
    <w:p w:rsidR="00511DEF" w:rsidRDefault="00511DEF" w:rsidP="00511DEF">
      <w:pPr>
        <w:pStyle w:val="Heading3"/>
      </w:pPr>
      <w:bookmarkStart w:id="106" w:name="_Toc482191412"/>
      <w:r>
        <w:t>RMP evaluation</w:t>
      </w:r>
      <w:bookmarkEnd w:id="106"/>
    </w:p>
    <w:p w:rsidR="00511DEF" w:rsidRPr="00346A94" w:rsidRDefault="00511DEF" w:rsidP="00346A94">
      <w:r w:rsidRPr="00346A94">
        <w:t xml:space="preserve">The RMP evaluation was “generally consistent with that accepted in a previous evaluation of an earlier version of the RMP/ASA”, with no specific activities required in the proposed indication. There were no outstanding issues identified in the </w:t>
      </w:r>
      <w:r w:rsidR="00DA4DE1">
        <w:t>second round</w:t>
      </w:r>
      <w:r w:rsidRPr="00346A94">
        <w:t xml:space="preserve"> RMP evaluation report.</w:t>
      </w:r>
    </w:p>
    <w:p w:rsidR="00511DEF" w:rsidRDefault="00511DEF" w:rsidP="00511DEF">
      <w:pPr>
        <w:pStyle w:val="Heading3"/>
      </w:pPr>
      <w:bookmarkStart w:id="107" w:name="_Toc247691531"/>
      <w:bookmarkStart w:id="108" w:name="_Toc314842515"/>
      <w:bookmarkStart w:id="109" w:name="_Toc482191413"/>
      <w:r>
        <w:lastRenderedPageBreak/>
        <w:t>Risk-benefit analysis</w:t>
      </w:r>
      <w:bookmarkEnd w:id="107"/>
      <w:bookmarkEnd w:id="108"/>
      <w:bookmarkEnd w:id="109"/>
    </w:p>
    <w:p w:rsidR="00A146B5" w:rsidRPr="00A146B5" w:rsidRDefault="00A146B5" w:rsidP="00A146B5">
      <w:pPr>
        <w:pStyle w:val="Heading4"/>
      </w:pPr>
      <w:r>
        <w:t>Discussion</w:t>
      </w:r>
    </w:p>
    <w:p w:rsidR="00346A94" w:rsidRPr="00346A94" w:rsidRDefault="00346A94" w:rsidP="00346A94">
      <w:r w:rsidRPr="00346A94">
        <w:t>The currently approved PI for topotecan has an indication for u</w:t>
      </w:r>
      <w:r w:rsidR="00DA4DE1">
        <w:t>se in cervical cancer based on S</w:t>
      </w:r>
      <w:r w:rsidRPr="00346A94">
        <w:t>tudy GOG-0179. Of note, the currently approved PIs for paclitaxel and cisplatin do not contain a specific indication</w:t>
      </w:r>
      <w:r w:rsidR="00DA4DE1">
        <w:t xml:space="preserve"> for use in cervical carcinoma.</w:t>
      </w:r>
      <w:r w:rsidRPr="00346A94">
        <w:t xml:space="preserve"> Prior to the </w:t>
      </w:r>
      <w:r w:rsidR="00DA4DE1">
        <w:t>Study</w:t>
      </w:r>
      <w:r w:rsidRPr="00346A94">
        <w:t xml:space="preserve"> GOG-0240, the accepted best treatment for patients with persistent, recurrent of metastatic cervical carcinoma was chemotherapy. The chemotherapy regimens of </w:t>
      </w:r>
      <w:proofErr w:type="spellStart"/>
      <w:r w:rsidR="00D220F6">
        <w:t>Top</w:t>
      </w:r>
      <w:r w:rsidR="00D220F6">
        <w:rPr>
          <w:lang w:eastAsia="en-AU"/>
        </w:rPr>
        <w:t>+</w:t>
      </w:r>
      <w:r w:rsidR="00D220F6">
        <w:t>Pac</w:t>
      </w:r>
      <w:proofErr w:type="spellEnd"/>
      <w:r w:rsidRPr="00346A94">
        <w:t xml:space="preserve"> and </w:t>
      </w:r>
      <w:proofErr w:type="spellStart"/>
      <w:r w:rsidR="005B7889">
        <w:t>Cis</w:t>
      </w:r>
      <w:r w:rsidR="005B7889">
        <w:rPr>
          <w:lang w:eastAsia="en-AU"/>
        </w:rPr>
        <w:t>+</w:t>
      </w:r>
      <w:r w:rsidR="005B7889">
        <w:t>Pac</w:t>
      </w:r>
      <w:proofErr w:type="spellEnd"/>
      <w:r w:rsidRPr="00346A94">
        <w:t xml:space="preserve"> have a demonstration of OS benefit seen in published literature, with incorporation into oncology clinical practice guidelines.</w:t>
      </w:r>
    </w:p>
    <w:p w:rsidR="00346A94" w:rsidRPr="00346A94" w:rsidRDefault="00346A94" w:rsidP="00346A94">
      <w:r w:rsidRPr="00346A94">
        <w:t xml:space="preserve">The analysis of outcomes according to chemotherapy regimen in GOG-0240, demonstrated no significant difference between the patients that </w:t>
      </w:r>
      <w:r w:rsidRPr="00D220F6">
        <w:t xml:space="preserve">received </w:t>
      </w:r>
      <w:proofErr w:type="spellStart"/>
      <w:r w:rsidR="00D220F6" w:rsidRPr="00D220F6">
        <w:t>Cis</w:t>
      </w:r>
      <w:r w:rsidR="00D220F6" w:rsidRPr="00D220F6">
        <w:rPr>
          <w:lang w:eastAsia="en-AU"/>
        </w:rPr>
        <w:t>+</w:t>
      </w:r>
      <w:r w:rsidR="00D220F6" w:rsidRPr="00D220F6">
        <w:t>Pac</w:t>
      </w:r>
      <w:proofErr w:type="spellEnd"/>
      <w:r w:rsidR="00D220F6" w:rsidRPr="00D220F6">
        <w:rPr>
          <w:lang w:eastAsia="en-AU"/>
        </w:rPr>
        <w:t xml:space="preserve"> </w:t>
      </w:r>
      <w:r w:rsidRPr="00D220F6">
        <w:t>as</w:t>
      </w:r>
      <w:r w:rsidRPr="00346A94">
        <w:t xml:space="preserve"> compared those that received </w:t>
      </w:r>
      <w:proofErr w:type="spellStart"/>
      <w:r w:rsidR="00D220F6">
        <w:t>Top</w:t>
      </w:r>
      <w:r w:rsidR="00D220F6">
        <w:rPr>
          <w:lang w:eastAsia="en-AU"/>
        </w:rPr>
        <w:t>+</w:t>
      </w:r>
      <w:r w:rsidR="00D220F6">
        <w:t>Pac</w:t>
      </w:r>
      <w:proofErr w:type="spellEnd"/>
      <w:r w:rsidRPr="00346A94">
        <w:t xml:space="preserve">. The estimated median duration of OS from GOG-0240 was 15.5 months for </w:t>
      </w:r>
      <w:proofErr w:type="spellStart"/>
      <w:r w:rsidR="005B7889">
        <w:t>Cis</w:t>
      </w:r>
      <w:r w:rsidR="005B7889">
        <w:rPr>
          <w:lang w:eastAsia="en-AU"/>
        </w:rPr>
        <w:t>+</w:t>
      </w:r>
      <w:r w:rsidR="005B7889">
        <w:t>Pac</w:t>
      </w:r>
      <w:proofErr w:type="spellEnd"/>
      <w:r w:rsidR="005B7889" w:rsidRPr="00346A94">
        <w:t xml:space="preserve"> </w:t>
      </w:r>
      <w:r w:rsidRPr="00346A94">
        <w:t xml:space="preserve">versus 13.3 months for </w:t>
      </w:r>
      <w:proofErr w:type="spellStart"/>
      <w:r w:rsidR="00D220F6">
        <w:t>Top</w:t>
      </w:r>
      <w:r w:rsidR="00D220F6">
        <w:rPr>
          <w:lang w:eastAsia="en-AU"/>
        </w:rPr>
        <w:t>+</w:t>
      </w:r>
      <w:r w:rsidR="00D220F6">
        <w:t>Pac</w:t>
      </w:r>
      <w:proofErr w:type="spellEnd"/>
      <w:r w:rsidR="00D220F6" w:rsidRPr="00346A94">
        <w:t xml:space="preserve"> </w:t>
      </w:r>
      <w:r w:rsidRPr="00346A94">
        <w:t>(HR 1.15 (95% CI 0.91, 1.46)).</w:t>
      </w:r>
    </w:p>
    <w:p w:rsidR="00346A94" w:rsidRPr="00346A94" w:rsidRDefault="00346A94" w:rsidP="00346A94">
      <w:r w:rsidRPr="00346A94">
        <w:t xml:space="preserve">This finding is consistent with the outcomes of a study of 434 women </w:t>
      </w:r>
      <w:r w:rsidR="00DA4DE1">
        <w:t xml:space="preserve">receiving one of four cisplatin </w:t>
      </w:r>
      <w:r w:rsidRPr="00346A94">
        <w:t>containing doublet combinations, in a study po</w:t>
      </w:r>
      <w:r w:rsidR="00DA4DE1">
        <w:t>pulation similar to that in GOG</w:t>
      </w:r>
      <w:r w:rsidR="00DA4DE1">
        <w:noBreakHyphen/>
      </w:r>
      <w:r w:rsidRPr="00346A94">
        <w:t>0240</w:t>
      </w:r>
      <w:r w:rsidRPr="00D33373">
        <w:rPr>
          <w:vertAlign w:val="superscript"/>
        </w:rPr>
        <w:t>.</w:t>
      </w:r>
      <w:r w:rsidR="00FA1CB1" w:rsidRPr="00D33373">
        <w:rPr>
          <w:vertAlign w:val="superscript"/>
        </w:rPr>
        <w:fldChar w:fldCharType="begin"/>
      </w:r>
      <w:r w:rsidR="00FA1CB1" w:rsidRPr="00D33373">
        <w:rPr>
          <w:vertAlign w:val="superscript"/>
        </w:rPr>
        <w:instrText xml:space="preserve"> NOTEREF _Ref481747110 \h </w:instrText>
      </w:r>
      <w:r w:rsidR="00FA1CB1">
        <w:rPr>
          <w:vertAlign w:val="superscript"/>
        </w:rPr>
        <w:instrText xml:space="preserve"> \* MERGEFORMAT </w:instrText>
      </w:r>
      <w:r w:rsidR="00FA1CB1" w:rsidRPr="00D33373">
        <w:rPr>
          <w:vertAlign w:val="superscript"/>
        </w:rPr>
      </w:r>
      <w:r w:rsidR="00FA1CB1" w:rsidRPr="00D33373">
        <w:rPr>
          <w:vertAlign w:val="superscript"/>
        </w:rPr>
        <w:fldChar w:fldCharType="separate"/>
      </w:r>
      <w:r w:rsidR="00FA1CB1" w:rsidRPr="00D33373">
        <w:rPr>
          <w:vertAlign w:val="superscript"/>
        </w:rPr>
        <w:t>1</w:t>
      </w:r>
      <w:r w:rsidR="00FA1CB1" w:rsidRPr="00D33373">
        <w:rPr>
          <w:vertAlign w:val="superscript"/>
        </w:rPr>
        <w:fldChar w:fldCharType="end"/>
      </w:r>
      <w:r w:rsidRPr="00346A94">
        <w:t xml:space="preserve"> This publication reported the median survival of patients in the </w:t>
      </w:r>
      <w:proofErr w:type="spellStart"/>
      <w:r w:rsidR="005B7889">
        <w:t>Cis</w:t>
      </w:r>
      <w:r w:rsidR="005B7889">
        <w:rPr>
          <w:lang w:eastAsia="en-AU"/>
        </w:rPr>
        <w:t>+</w:t>
      </w:r>
      <w:r w:rsidR="005B7889">
        <w:t>Pac</w:t>
      </w:r>
      <w:proofErr w:type="spellEnd"/>
      <w:r w:rsidR="005B7889" w:rsidRPr="00346A94">
        <w:t xml:space="preserve"> </w:t>
      </w:r>
      <w:r w:rsidRPr="00346A94">
        <w:t xml:space="preserve">arm was 12.87 months whereas that for </w:t>
      </w:r>
      <w:r w:rsidR="005B7889">
        <w:t>Cis +Top</w:t>
      </w:r>
      <w:r w:rsidRPr="00346A94">
        <w:t xml:space="preserve"> was 10.25 months (HR 1.26 (95% CI 0.91, 1.92).</w:t>
      </w:r>
    </w:p>
    <w:p w:rsidR="00346A94" w:rsidRDefault="00346A94" w:rsidP="00346A94">
      <w:pPr>
        <w:spacing w:before="0" w:after="0" w:line="240" w:lineRule="auto"/>
        <w:jc w:val="both"/>
        <w:rPr>
          <w:rFonts w:asciiTheme="minorHAnsi" w:hAnsiTheme="minorHAnsi"/>
        </w:rPr>
      </w:pPr>
      <w:r>
        <w:rPr>
          <w:rFonts w:asciiTheme="minorHAnsi" w:hAnsiTheme="minorHAnsi"/>
        </w:rPr>
        <w:t>The single pivotal study was evaluated with reference to the relevant EMA guideline adopted by the TGA.</w:t>
      </w:r>
      <w:r>
        <w:rPr>
          <w:rStyle w:val="FootnoteReference"/>
          <w:rFonts w:asciiTheme="minorHAnsi" w:hAnsiTheme="minorHAnsi"/>
        </w:rPr>
        <w:footnoteReference w:id="4"/>
      </w:r>
    </w:p>
    <w:p w:rsidR="00523ECD" w:rsidRPr="00523ECD" w:rsidRDefault="00523ECD" w:rsidP="00523ECD">
      <w:r w:rsidRPr="00523ECD">
        <w:t>The pertinent sections of the guideline for this submission states:</w:t>
      </w:r>
    </w:p>
    <w:p w:rsidR="00523ECD" w:rsidRPr="00A146B5" w:rsidRDefault="00A146B5" w:rsidP="00A146B5">
      <w:pPr>
        <w:pStyle w:val="Numberbullet0"/>
        <w:numPr>
          <w:ilvl w:val="0"/>
          <w:numId w:val="47"/>
        </w:numPr>
        <w:rPr>
          <w:i/>
        </w:rPr>
      </w:pPr>
      <w:r>
        <w:rPr>
          <w:i/>
        </w:rPr>
        <w:t>Internal validity; t</w:t>
      </w:r>
      <w:r w:rsidR="00523ECD" w:rsidRPr="00A146B5">
        <w:rPr>
          <w:i/>
        </w:rPr>
        <w:t>here should be no indications of a potential bias</w:t>
      </w:r>
    </w:p>
    <w:p w:rsidR="00523ECD" w:rsidRPr="00523ECD" w:rsidRDefault="00523ECD" w:rsidP="00523ECD">
      <w:r w:rsidRPr="00523ECD">
        <w:t xml:space="preserve">There </w:t>
      </w:r>
      <w:r w:rsidR="00A146B5" w:rsidRPr="00523ECD">
        <w:t>were</w:t>
      </w:r>
      <w:r w:rsidRPr="00523ECD">
        <w:t xml:space="preserve"> a similar proportion of patients </w:t>
      </w:r>
      <w:r w:rsidR="00A146B5">
        <w:t xml:space="preserve">who had received prior platinum </w:t>
      </w:r>
      <w:r w:rsidRPr="00523ECD">
        <w:t>based therapy in each study arm. The evaluator could not identify the proportion of patients in GOG-0240 study arms that had e</w:t>
      </w:r>
      <w:r w:rsidR="00A146B5">
        <w:t>vidence of platinum resistance</w:t>
      </w:r>
      <w:r w:rsidRPr="00523ECD">
        <w:t xml:space="preserve"> which is a potential source of bias. The sponsor </w:t>
      </w:r>
      <w:r w:rsidR="00A146B5">
        <w:t>was</w:t>
      </w:r>
      <w:r w:rsidRPr="00523ECD">
        <w:t xml:space="preserve"> requested to provide this data, and justify the </w:t>
      </w:r>
      <w:r w:rsidR="00A146B5">
        <w:t xml:space="preserve">same dosing regimen in platinum </w:t>
      </w:r>
      <w:r w:rsidRPr="00523ECD">
        <w:t>sensitive and platinum-resistant patients with cervical cancer.</w:t>
      </w:r>
    </w:p>
    <w:p w:rsidR="00523ECD" w:rsidRPr="00A146B5" w:rsidRDefault="00A146B5" w:rsidP="00523ECD">
      <w:pPr>
        <w:pStyle w:val="Numberbullet0"/>
        <w:rPr>
          <w:i/>
        </w:rPr>
      </w:pPr>
      <w:r>
        <w:rPr>
          <w:i/>
        </w:rPr>
        <w:t>External validity; t</w:t>
      </w:r>
      <w:r w:rsidR="00523ECD" w:rsidRPr="00A146B5">
        <w:rPr>
          <w:i/>
        </w:rPr>
        <w:t>he study population should be suitable for extrapolation to the population to be treated</w:t>
      </w:r>
    </w:p>
    <w:p w:rsidR="00523ECD" w:rsidRPr="00523ECD" w:rsidRDefault="00523ECD" w:rsidP="00523ECD">
      <w:r w:rsidRPr="00523ECD">
        <w:t>The majority of the study population were classified as having persistent or recurrent cervical cancer at baseline, balanced between treatment arms. A small proportion of the study population was classified as having stage IVB disease; these study patients did not have cerebral metastases at trial entry.</w:t>
      </w:r>
    </w:p>
    <w:p w:rsidR="00523ECD" w:rsidRPr="00523ECD" w:rsidRDefault="00523ECD" w:rsidP="00523ECD">
      <w:r w:rsidRPr="00523ECD">
        <w:t>The sponsor, in their response</w:t>
      </w:r>
      <w:r w:rsidR="00A146B5">
        <w:t xml:space="preserve"> to TGA questions</w:t>
      </w:r>
      <w:r w:rsidRPr="00523ECD">
        <w:t>, proposed an amended indication, removing specific reference to “stage IV carcinoma of the cervix”, replacing it with the more general term “metastatic carcinoma of the cervix”:</w:t>
      </w:r>
    </w:p>
    <w:p w:rsidR="00523ECD" w:rsidRPr="00523ECD" w:rsidRDefault="00523ECD" w:rsidP="00523ECD">
      <w:pPr>
        <w:ind w:left="720"/>
        <w:rPr>
          <w:i/>
        </w:rPr>
      </w:pPr>
      <w:r w:rsidRPr="00523ECD">
        <w:rPr>
          <w:i/>
        </w:rPr>
        <w:t>“A</w:t>
      </w:r>
      <w:r w:rsidR="005217DE" w:rsidRPr="00523ECD">
        <w:rPr>
          <w:i/>
        </w:rPr>
        <w:t>vastin</w:t>
      </w:r>
      <w:r w:rsidRPr="00523ECD">
        <w:rPr>
          <w:i/>
        </w:rPr>
        <w:t xml:space="preserve"> (bevacizumab) in combination with paclitaxel and cisplatin is indicated for the treatment of persistent, recurrent or metastatic carcinoma of the cervix. A</w:t>
      </w:r>
      <w:r w:rsidR="005217DE" w:rsidRPr="00523ECD">
        <w:rPr>
          <w:i/>
        </w:rPr>
        <w:t>vastin</w:t>
      </w:r>
      <w:r w:rsidRPr="00523ECD">
        <w:rPr>
          <w:i/>
        </w:rPr>
        <w:t xml:space="preserve"> (bevacizumab) in combination with paclitaxel and topotecan is an acceptable alternative where cisplatin is not tolerated or not indicated.”</w:t>
      </w:r>
    </w:p>
    <w:p w:rsidR="00523ECD" w:rsidRPr="00523ECD" w:rsidRDefault="00523ECD" w:rsidP="00523ECD">
      <w:r w:rsidRPr="00523ECD">
        <w:t>In regard to the acceptability of this amended indication, the Delegate has considered the following:</w:t>
      </w:r>
    </w:p>
    <w:p w:rsidR="00523ECD" w:rsidRPr="00523ECD" w:rsidRDefault="00523ECD" w:rsidP="00A146B5">
      <w:pPr>
        <w:ind w:left="720"/>
        <w:rPr>
          <w:i/>
        </w:rPr>
      </w:pPr>
      <w:r w:rsidRPr="00523ECD">
        <w:rPr>
          <w:i/>
        </w:rPr>
        <w:t>Are the study population of patients with stage IVB disease and without cerebral metastases representative of all patients with stage IVB disease?</w:t>
      </w:r>
    </w:p>
    <w:p w:rsidR="00523ECD" w:rsidRPr="00523ECD" w:rsidRDefault="00523ECD" w:rsidP="00523ECD">
      <w:r w:rsidRPr="00523ECD">
        <w:lastRenderedPageBreak/>
        <w:t xml:space="preserve">The </w:t>
      </w:r>
      <w:r w:rsidR="00494D5D">
        <w:t>Delegate</w:t>
      </w:r>
      <w:r w:rsidRPr="00523ECD">
        <w:t xml:space="preserve"> considers there is no biologically plausible mechanism why a distant metastasis at a site other than the brain should respond in a different manner to treatment from one which is situated in the brain. Although the pivotal study excluded patients with cerebral metastases, such patients are likely to represent a small sub-group of all patients that fulfil the proposed indication definition. Pragmatically, given the rarity of the patients with metastatic cervical cancer disease and cerebral metastases (from a total population which fulfil the orphan criteria), it is unlikely that a study with sufficient power to demonstrate any difference in outcome could be readily performed.</w:t>
      </w:r>
    </w:p>
    <w:p w:rsidR="00523ECD" w:rsidRPr="00523ECD" w:rsidRDefault="00523ECD" w:rsidP="00A146B5">
      <w:pPr>
        <w:ind w:left="720"/>
        <w:rPr>
          <w:i/>
        </w:rPr>
      </w:pPr>
      <w:r w:rsidRPr="00523ECD">
        <w:rPr>
          <w:i/>
        </w:rPr>
        <w:t>Are p</w:t>
      </w:r>
      <w:r w:rsidR="00A146B5">
        <w:rPr>
          <w:i/>
        </w:rPr>
        <w:t>atients with stage IVB disease and</w:t>
      </w:r>
      <w:r w:rsidRPr="00523ECD">
        <w:rPr>
          <w:i/>
        </w:rPr>
        <w:t xml:space="preserve"> without cerebral metastases representative of patients with stage IVA disease?</w:t>
      </w:r>
    </w:p>
    <w:p w:rsidR="00523ECD" w:rsidRPr="00523ECD" w:rsidRDefault="00523ECD" w:rsidP="00523ECD">
      <w:r w:rsidRPr="00523ECD">
        <w:t xml:space="preserve">The </w:t>
      </w:r>
      <w:r w:rsidR="00494D5D">
        <w:t>Delegate</w:t>
      </w:r>
      <w:r w:rsidRPr="00523ECD">
        <w:t xml:space="preserve"> considers that the site of metastasis does not necessarily confer a difference in treatment effect, but may confer a difference in adverse events, such as fistula formation in association with disease involvement of the mucosa of bladder or bowel. Thus these two populations may be plausibly considered sufficiently similar.</w:t>
      </w:r>
    </w:p>
    <w:p w:rsidR="00523ECD" w:rsidRPr="00523ECD" w:rsidRDefault="00523ECD" w:rsidP="00523ECD">
      <w:r w:rsidRPr="00523ECD">
        <w:t>Thus, stages IVB and IVA may be considered sufficiently represented by those patients recruited into the pivotal study. Furthermore, these two categories define the population of all those with metastatic disease. The wording of the proposed, amended, indication is therefore considered satisfactory, and fulfils the guideline requirement.</w:t>
      </w:r>
    </w:p>
    <w:p w:rsidR="00523ECD" w:rsidRPr="00523ECD" w:rsidRDefault="00523ECD" w:rsidP="00523ECD">
      <w:r w:rsidRPr="00523ECD">
        <w:t>The patients that were categorised as having persistent or recurrent cervical carcinoma are directly represented by the wording of the indication.</w:t>
      </w:r>
    </w:p>
    <w:p w:rsidR="00523ECD" w:rsidRPr="00523ECD" w:rsidRDefault="00523ECD" w:rsidP="00A146B5">
      <w:pPr>
        <w:ind w:left="720"/>
        <w:rPr>
          <w:i/>
        </w:rPr>
      </w:pPr>
      <w:r w:rsidRPr="00523ECD">
        <w:rPr>
          <w:i/>
        </w:rPr>
        <w:t>Is the study population representative of the wider population of patients with cervical cancer?</w:t>
      </w:r>
    </w:p>
    <w:p w:rsidR="00523ECD" w:rsidRPr="00523ECD" w:rsidRDefault="00523ECD" w:rsidP="00523ECD">
      <w:r w:rsidRPr="00523ECD">
        <w:t xml:space="preserve">Yes. </w:t>
      </w:r>
      <w:r w:rsidR="00A146B5">
        <w:t xml:space="preserve">Study </w:t>
      </w:r>
      <w:r w:rsidRPr="00523ECD">
        <w:t>GOG-0240 recruited patients with an appropriately categorised stage of disease and also a population with known histological variants representative of that expected in clinical practice.</w:t>
      </w:r>
    </w:p>
    <w:p w:rsidR="00523ECD" w:rsidRPr="00A146B5" w:rsidRDefault="00A146B5" w:rsidP="00523ECD">
      <w:pPr>
        <w:pStyle w:val="Numberbullet0"/>
        <w:rPr>
          <w:i/>
        </w:rPr>
      </w:pPr>
      <w:r>
        <w:rPr>
          <w:i/>
        </w:rPr>
        <w:t>Clinical relevance; t</w:t>
      </w:r>
      <w:r w:rsidR="00523ECD" w:rsidRPr="00A146B5">
        <w:rPr>
          <w:i/>
        </w:rPr>
        <w:t>he estimated size of treatment benefit must be large enough to be clinically valuable</w:t>
      </w:r>
    </w:p>
    <w:p w:rsidR="00523ECD" w:rsidRPr="00523ECD" w:rsidRDefault="00523ECD" w:rsidP="00523ECD">
      <w:r w:rsidRPr="00523ECD">
        <w:t>For the whole study population, the addition of bevacizumab to chemotherapy was observed to increase the duration of overall survival to a median of 16.9 months as compared to a median of 12.9 months for chemotherapy alone.</w:t>
      </w:r>
    </w:p>
    <w:p w:rsidR="00523ECD" w:rsidRPr="00523ECD" w:rsidRDefault="00523ECD" w:rsidP="00523ECD">
      <w:r w:rsidRPr="00523ECD">
        <w:t>A systematic review, comprising 1</w:t>
      </w:r>
      <w:r w:rsidR="0040529E">
        <w:t>,</w:t>
      </w:r>
      <w:r w:rsidRPr="00523ECD">
        <w:t xml:space="preserve">181 patients, comparing cisplatin and carboplatin plus </w:t>
      </w:r>
      <w:r w:rsidR="00A146B5">
        <w:t>paclitaxel based</w:t>
      </w:r>
      <w:r w:rsidRPr="00523ECD">
        <w:t xml:space="preserve"> chemotherapy in recurrent or metastatic cervical cancer reported a (weighted) median estimate of overall survival of 10 months.</w:t>
      </w:r>
      <w:r w:rsidR="00A146B5">
        <w:rPr>
          <w:rStyle w:val="FootnoteReference"/>
        </w:rPr>
        <w:footnoteReference w:id="5"/>
      </w:r>
      <w:r w:rsidR="00A146B5">
        <w:t xml:space="preserve"> </w:t>
      </w:r>
      <w:r w:rsidRPr="00523ECD">
        <w:t>The observed median duration of OS for the whole GOG-0240 study population is better than that reported in this systematic review.</w:t>
      </w:r>
    </w:p>
    <w:p w:rsidR="00523ECD" w:rsidRPr="00523ECD" w:rsidRDefault="00523ECD" w:rsidP="00523ECD">
      <w:r w:rsidRPr="00523ECD">
        <w:t>The 4 month difference in median overall survival observed in the whole GOG-0204 study population satisfies the requirement that the estimated size of treatment benefit is clinically valuable. The observed benefit in overall survival was determined in population of patients with the most commonly reported stages and histological sub-types of cervical cancer.</w:t>
      </w:r>
    </w:p>
    <w:p w:rsidR="00523ECD" w:rsidRPr="00523ECD" w:rsidRDefault="00523ECD" w:rsidP="00523ECD">
      <w:r w:rsidRPr="00523ECD">
        <w:t xml:space="preserve">However, there is inconsistency of the observed estimated treatment effect across histological sub-groups –see </w:t>
      </w:r>
      <w:r w:rsidR="0040529E">
        <w:t xml:space="preserve">point </w:t>
      </w:r>
      <w:r w:rsidRPr="00523ECD">
        <w:t xml:space="preserve">4 </w:t>
      </w:r>
      <w:r w:rsidR="0040529E">
        <w:t xml:space="preserve">(internal consistency) </w:t>
      </w:r>
      <w:r w:rsidRPr="00523ECD">
        <w:t>below. The 95% confidence interval of the estimate of OS hazard ratio for patients with adenocarcinoma and adenosquamous crosses the line of unity, with a point estimate favouring placebo. The sponsor has not documented a benefit from bevacizumab in patients with non-squamous disease in regard to duration o</w:t>
      </w:r>
      <w:r w:rsidR="0040529E">
        <w:t xml:space="preserve">f overall survival, progression </w:t>
      </w:r>
      <w:r w:rsidRPr="00523ECD">
        <w:t xml:space="preserve">free survival or overall </w:t>
      </w:r>
      <w:r w:rsidRPr="00523ECD">
        <w:lastRenderedPageBreak/>
        <w:t>response rate. In the absence of such information, a recommendation for registration in this sub-group of patients cannot be recommended.</w:t>
      </w:r>
    </w:p>
    <w:p w:rsidR="00523ECD" w:rsidRPr="0040529E" w:rsidRDefault="00523ECD" w:rsidP="00523ECD">
      <w:pPr>
        <w:pStyle w:val="Numberbullet0"/>
        <w:rPr>
          <w:i/>
        </w:rPr>
      </w:pPr>
      <w:r w:rsidRPr="0040529E">
        <w:rPr>
          <w:i/>
        </w:rPr>
        <w:t>Internal consistency - Similar effects demonstrated in different pre-specified sub-populations. All important endpoints showing similar findings</w:t>
      </w:r>
    </w:p>
    <w:p w:rsidR="00523ECD" w:rsidRPr="00523ECD" w:rsidRDefault="00523ECD" w:rsidP="00523ECD">
      <w:r w:rsidRPr="00523ECD">
        <w:t>Patients with non-squamous disease represent approximately 30% of the GOG-0240 study population. Patients with squamous and non-squamous cervical cancer are seen to have dissimilar efficacy responses in other therapeutic settings.</w:t>
      </w:r>
      <w:bookmarkStart w:id="110" w:name="_Ref480380889"/>
      <w:r w:rsidR="0040529E">
        <w:rPr>
          <w:rStyle w:val="FootnoteReference"/>
        </w:rPr>
        <w:footnoteReference w:id="6"/>
      </w:r>
      <w:bookmarkEnd w:id="110"/>
      <w:proofErr w:type="gramStart"/>
      <w:r w:rsidR="0040529E">
        <w:t xml:space="preserve">, </w:t>
      </w:r>
      <w:proofErr w:type="gramEnd"/>
      <w:r w:rsidR="0040529E">
        <w:rPr>
          <w:rStyle w:val="FootnoteReference"/>
        </w:rPr>
        <w:footnoteReference w:id="7"/>
      </w:r>
      <w:r w:rsidR="0040529E">
        <w:t xml:space="preserve">, </w:t>
      </w:r>
      <w:r w:rsidR="0040529E">
        <w:rPr>
          <w:rStyle w:val="FootnoteReference"/>
        </w:rPr>
        <w:footnoteReference w:id="8"/>
      </w:r>
      <w:r w:rsidR="0040529E">
        <w:t xml:space="preserve">, </w:t>
      </w:r>
      <w:r w:rsidR="0040529E">
        <w:rPr>
          <w:rStyle w:val="FootnoteReference"/>
        </w:rPr>
        <w:footnoteReference w:id="9"/>
      </w:r>
    </w:p>
    <w:p w:rsidR="00523ECD" w:rsidRDefault="00523ECD" w:rsidP="00523ECD">
      <w:r w:rsidRPr="00523ECD">
        <w:t xml:space="preserve">The sponsor presented two Forest plots of hazard of OS, in the dossier and </w:t>
      </w:r>
      <w:r w:rsidR="0040529E">
        <w:t>in the</w:t>
      </w:r>
      <w:r w:rsidRPr="00523ECD">
        <w:t xml:space="preserve"> response</w:t>
      </w:r>
      <w:r w:rsidR="0040529E">
        <w:t xml:space="preserve"> to TGA consolidated questions</w:t>
      </w:r>
      <w:r w:rsidRPr="00523ECD">
        <w:t>. Furthermore, a Forest plot is presented in the NEJM article reporting the outcomes of GOG-0240 (</w:t>
      </w:r>
      <w:r w:rsidR="0040529E" w:rsidRPr="00E95BD0">
        <w:t xml:space="preserve">Figures </w:t>
      </w:r>
      <w:r w:rsidR="00E95BD0" w:rsidRPr="00E95BD0">
        <w:t>3</w:t>
      </w:r>
      <w:r w:rsidR="0040529E" w:rsidRPr="00E95BD0">
        <w:t xml:space="preserve">, </w:t>
      </w:r>
      <w:r w:rsidR="00E95BD0" w:rsidRPr="00E95BD0">
        <w:t>4</w:t>
      </w:r>
      <w:r w:rsidR="0040529E" w:rsidRPr="00E95BD0">
        <w:t xml:space="preserve"> and </w:t>
      </w:r>
      <w:r w:rsidR="00E95BD0" w:rsidRPr="00E95BD0">
        <w:t>5</w:t>
      </w:r>
      <w:r w:rsidRPr="00E95BD0">
        <w:t>). Each</w:t>
      </w:r>
      <w:r w:rsidRPr="00523ECD">
        <w:t xml:space="preserve"> of the three Forest plots, representing a progressively longer duration of study duration, does not unequivocally demonstrate a benefit for patients with adenocarcinoma or adenosquamous disease, with a point estimate of hazard of OS favouring placebo in the last two plots reporting the longest period of follow-up.</w:t>
      </w:r>
    </w:p>
    <w:p w:rsidR="00E55C26" w:rsidRPr="00966581" w:rsidRDefault="00E55C26" w:rsidP="00E55C26">
      <w:pPr>
        <w:pStyle w:val="FigureTitle"/>
      </w:pPr>
      <w:r>
        <w:t xml:space="preserve">Figure </w:t>
      </w:r>
      <w:r w:rsidR="00E95BD0">
        <w:t>3</w:t>
      </w:r>
      <w:r>
        <w:t xml:space="preserve">: </w:t>
      </w:r>
      <w:r w:rsidRPr="00966581">
        <w:t>The Forest plot of OS by treatment sub-group from t</w:t>
      </w:r>
      <w:r w:rsidR="005217DE">
        <w:t xml:space="preserve">he NEJM article by </w:t>
      </w:r>
      <w:proofErr w:type="spellStart"/>
      <w:r w:rsidR="005217DE">
        <w:t>Tewari</w:t>
      </w:r>
      <w:proofErr w:type="spellEnd"/>
      <w:r w:rsidR="005217DE">
        <w:t xml:space="preserve"> et al</w:t>
      </w:r>
      <w:r w:rsidRPr="00966581">
        <w:t xml:space="preserve"> at an interim data cut-off of 12 December 2012, after 271 OS events</w:t>
      </w:r>
    </w:p>
    <w:p w:rsidR="00E55C26" w:rsidRDefault="00E55C26" w:rsidP="00D61547">
      <w:r>
        <w:rPr>
          <w:noProof/>
          <w:lang w:eastAsia="en-AU"/>
        </w:rPr>
        <w:drawing>
          <wp:inline distT="0" distB="0" distL="0" distR="0" wp14:anchorId="426C89ED" wp14:editId="58F42C14">
            <wp:extent cx="5400040" cy="3001753"/>
            <wp:effectExtent l="0" t="0" r="0" b="8255"/>
            <wp:docPr id="9" name="Picture 9" descr="Figure 3: The Forest plot of OS by treatment sub-group from the NEJM article by Tewari et al. at an interim data cut-off of 12 December 2012, after 271 O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001753"/>
                    </a:xfrm>
                    <a:prstGeom prst="rect">
                      <a:avLst/>
                    </a:prstGeom>
                  </pic:spPr>
                </pic:pic>
              </a:graphicData>
            </a:graphic>
          </wp:inline>
        </w:drawing>
      </w:r>
    </w:p>
    <w:p w:rsidR="00E55C26" w:rsidRPr="00966581" w:rsidRDefault="00E55C26" w:rsidP="00E55C26">
      <w:pPr>
        <w:pStyle w:val="FigureTitle"/>
      </w:pPr>
      <w:r>
        <w:lastRenderedPageBreak/>
        <w:t xml:space="preserve">Figure </w:t>
      </w:r>
      <w:r w:rsidR="00E95BD0">
        <w:t>4</w:t>
      </w:r>
      <w:r>
        <w:t>: F</w:t>
      </w:r>
      <w:r w:rsidRPr="00966581">
        <w:t>orest plot of OS by sub-group, from the initial data supplied in the dossier after 288 OS events</w:t>
      </w:r>
    </w:p>
    <w:p w:rsidR="00E55C26" w:rsidRDefault="00E55C26" w:rsidP="00523ECD">
      <w:r>
        <w:rPr>
          <w:noProof/>
          <w:lang w:eastAsia="en-AU"/>
        </w:rPr>
        <w:drawing>
          <wp:inline distT="0" distB="0" distL="0" distR="0" wp14:anchorId="6BB77933" wp14:editId="78B18891">
            <wp:extent cx="5400040" cy="3369833"/>
            <wp:effectExtent l="0" t="0" r="0" b="2540"/>
            <wp:docPr id="10" name="Picture 10" descr="Figure 4: Forest plot of OS by sub-group, from the initial data supplied in the dossier after 288 O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369833"/>
                    </a:xfrm>
                    <a:prstGeom prst="rect">
                      <a:avLst/>
                    </a:prstGeom>
                  </pic:spPr>
                </pic:pic>
              </a:graphicData>
            </a:graphic>
          </wp:inline>
        </w:drawing>
      </w:r>
    </w:p>
    <w:p w:rsidR="00E55C26" w:rsidRPr="00C86F29" w:rsidRDefault="00E55C26" w:rsidP="00E55C26">
      <w:pPr>
        <w:pStyle w:val="FigureTitle"/>
      </w:pPr>
      <w:r>
        <w:t xml:space="preserve">Figure </w:t>
      </w:r>
      <w:r w:rsidR="00E95BD0">
        <w:t>5</w:t>
      </w:r>
      <w:r>
        <w:t xml:space="preserve">: </w:t>
      </w:r>
      <w:r w:rsidRPr="00C86F29">
        <w:t xml:space="preserve">Forest plot of OS by treatment subgroup from the updated CSR provided with the </w:t>
      </w:r>
      <w:r>
        <w:t>sponsor’s response</w:t>
      </w:r>
      <w:r w:rsidRPr="00C86F29">
        <w:t>, performed after 350 OS events</w:t>
      </w:r>
    </w:p>
    <w:p w:rsidR="00E55C26" w:rsidRPr="00523ECD" w:rsidRDefault="00E55C26" w:rsidP="00523ECD">
      <w:r>
        <w:rPr>
          <w:noProof/>
          <w:lang w:eastAsia="en-AU"/>
        </w:rPr>
        <w:drawing>
          <wp:inline distT="0" distB="0" distL="0" distR="0" wp14:anchorId="4DD12A38" wp14:editId="6C4D96CF">
            <wp:extent cx="5400040" cy="3424641"/>
            <wp:effectExtent l="0" t="0" r="0" b="4445"/>
            <wp:docPr id="11" name="Picture 11" descr="Figure 5: Forest plot of OS by treatment subgroup from the updated CSR provided with the sponsor’s response, performed after 350 O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424641"/>
                    </a:xfrm>
                    <a:prstGeom prst="rect">
                      <a:avLst/>
                    </a:prstGeom>
                  </pic:spPr>
                </pic:pic>
              </a:graphicData>
            </a:graphic>
          </wp:inline>
        </w:drawing>
      </w:r>
    </w:p>
    <w:p w:rsidR="00523ECD" w:rsidRPr="00523ECD" w:rsidRDefault="00523ECD" w:rsidP="00523ECD">
      <w:r w:rsidRPr="00523ECD">
        <w:t>Despite this difference in hazard of OS according to histology sub-type, the sponsor did not present other efficacy data (duration of OS, duration of PFS and ORR) according to histological sub-type.</w:t>
      </w:r>
    </w:p>
    <w:p w:rsidR="00523ECD" w:rsidRPr="00523ECD" w:rsidRDefault="00523ECD" w:rsidP="00523ECD">
      <w:r w:rsidRPr="00523ECD">
        <w:t xml:space="preserve">The lack of provision of data on estimated duration of overall survival and overall response rate precludes the Delegate from establishing the estimate of treatment effect in patients with non-squamous disease and therefore would preclude clinicians from being </w:t>
      </w:r>
      <w:r w:rsidRPr="00523ECD">
        <w:lastRenderedPageBreak/>
        <w:t>able to satisfactorily consent patients to treatment. Furthermore, for bevacizumab to have a positive risk-benefit assessment in patients with non-squamous disease, the safety profile in these patients would necessarily have to be more favourable than for those with squamous disease.</w:t>
      </w:r>
    </w:p>
    <w:p w:rsidR="00A3674D" w:rsidRPr="00523ECD" w:rsidRDefault="00523ECD" w:rsidP="00523ECD">
      <w:r w:rsidRPr="00523ECD">
        <w:t xml:space="preserve">The sponsor has also presented a sub-group analysis of efficacy by chemotherapy backbone, which demonstrates a dissimilar response according to histology sub-group, consistent with published literature </w:t>
      </w:r>
      <w:r w:rsidRPr="00E95BD0">
        <w:t>(</w:t>
      </w:r>
      <w:r w:rsidR="0040529E" w:rsidRPr="00E95BD0">
        <w:t>Figure 2</w:t>
      </w:r>
      <w:r w:rsidRPr="00E95BD0">
        <w:t>).</w:t>
      </w:r>
    </w:p>
    <w:p w:rsidR="00523ECD" w:rsidRPr="00523ECD" w:rsidRDefault="00523ECD" w:rsidP="00523ECD">
      <w:r w:rsidRPr="00523ECD">
        <w:t>The sponsor has n</w:t>
      </w:r>
      <w:r w:rsidR="0040529E">
        <w:t xml:space="preserve">ot presented “all important end </w:t>
      </w:r>
      <w:r w:rsidRPr="00523ECD">
        <w:t>points” according to histological subgroups. The estimated hazard ratio of OS is dissimilar between histological subgroups, with that for non-squamous disease plausibly favouring placebo.</w:t>
      </w:r>
    </w:p>
    <w:p w:rsidR="00523ECD" w:rsidRPr="00523ECD" w:rsidRDefault="00523ECD" w:rsidP="00523ECD">
      <w:r w:rsidRPr="00523ECD">
        <w:t>It is biologically plausible that a difference in bevacizumab effect may be observed according to cervical cancer histological diagnosis. VEGF expression has been shown to be significantly different between squamous and non-squamous histologies, being lower in patients with non-squamous sub-types.</w:t>
      </w:r>
      <w:r w:rsidR="00E968A3">
        <w:rPr>
          <w:rStyle w:val="FootnoteReference"/>
        </w:rPr>
        <w:footnoteReference w:id="10"/>
      </w:r>
      <w:r w:rsidR="00E968A3">
        <w:t xml:space="preserve">, </w:t>
      </w:r>
      <w:r w:rsidR="00E968A3">
        <w:rPr>
          <w:rStyle w:val="FootnoteReference"/>
        </w:rPr>
        <w:footnoteReference w:id="11"/>
      </w:r>
      <w:r w:rsidRPr="00523ECD">
        <w:t xml:space="preserve"> Furthermore, in the sett</w:t>
      </w:r>
      <w:r w:rsidR="00E968A3">
        <w:t xml:space="preserve">ing of gastric adenocarcinoma, </w:t>
      </w:r>
      <w:r w:rsidRPr="00523ECD">
        <w:t xml:space="preserve">a beneficial treatment response to </w:t>
      </w:r>
      <w:proofErr w:type="spellStart"/>
      <w:r w:rsidRPr="00523ECD">
        <w:t>ramucirumab</w:t>
      </w:r>
      <w:proofErr w:type="spellEnd"/>
      <w:r w:rsidRPr="00523ECD">
        <w:t xml:space="preserve"> (acting via VEGF-2R) has been observed, but was not from bevacizumab.</w:t>
      </w:r>
      <w:r w:rsidR="00E968A3">
        <w:rPr>
          <w:rStyle w:val="FootnoteReference"/>
        </w:rPr>
        <w:footnoteReference w:id="12"/>
      </w:r>
      <w:r w:rsidR="00E968A3">
        <w:t xml:space="preserve">, </w:t>
      </w:r>
      <w:r w:rsidR="00E968A3">
        <w:rPr>
          <w:rStyle w:val="FootnoteReference"/>
        </w:rPr>
        <w:footnoteReference w:id="13"/>
      </w:r>
    </w:p>
    <w:p w:rsidR="00523ECD" w:rsidRPr="00523ECD" w:rsidRDefault="00523ECD" w:rsidP="0040529E">
      <w:pPr>
        <w:keepNext/>
        <w:rPr>
          <w:b/>
        </w:rPr>
      </w:pPr>
      <w:r w:rsidRPr="00523ECD">
        <w:rPr>
          <w:b/>
        </w:rPr>
        <w:t>Proposed regulatory action and indication</w:t>
      </w:r>
    </w:p>
    <w:p w:rsidR="00523ECD" w:rsidRPr="00523ECD" w:rsidRDefault="00523ECD" w:rsidP="00523ECD">
      <w:r w:rsidRPr="00523ECD">
        <w:t>While th</w:t>
      </w:r>
      <w:r w:rsidR="00E968A3">
        <w:t xml:space="preserve">e study has met its primary end </w:t>
      </w:r>
      <w:r w:rsidRPr="00523ECD">
        <w:t>point, sub-groups of patients with histological variants have not been demonstrated to have similar outcomes contrary to the TGA adopted EMA guidance on single pivotal studies.</w:t>
      </w:r>
    </w:p>
    <w:p w:rsidR="00523ECD" w:rsidRPr="00523ECD" w:rsidRDefault="00523ECD" w:rsidP="00523ECD">
      <w:r w:rsidRPr="00523ECD">
        <w:t>The results of the whole study population cannot reliably be used to inform clinicians or individual patients with non-squamous histological sub-type. Given that an efficacy benefit has not been satisfactorily demonstrated for patients with non-squamous disease, the risks from t</w:t>
      </w:r>
      <w:r w:rsidR="00E968A3">
        <w:t>reatment naturally predominate.</w:t>
      </w:r>
    </w:p>
    <w:p w:rsidR="00523ECD" w:rsidRPr="00523ECD" w:rsidRDefault="00523ECD" w:rsidP="00523ECD">
      <w:r w:rsidRPr="00523ECD">
        <w:t>The sponsor has not satisfactorily demonstrated that administration of bevacizumab in patients with non-squamous disease is sufficient for registration.</w:t>
      </w:r>
    </w:p>
    <w:p w:rsidR="00523ECD" w:rsidRPr="00E968A3" w:rsidRDefault="00523ECD" w:rsidP="00E968A3">
      <w:r w:rsidRPr="00523ECD">
        <w:t xml:space="preserve">The Delegate therefore considers that the indication which could be considered for </w:t>
      </w:r>
      <w:r w:rsidRPr="00E968A3">
        <w:t>registration is:</w:t>
      </w:r>
    </w:p>
    <w:p w:rsidR="00523ECD" w:rsidRPr="00523ECD" w:rsidRDefault="00523ECD" w:rsidP="00523ECD">
      <w:pPr>
        <w:ind w:left="720"/>
        <w:rPr>
          <w:i/>
        </w:rPr>
      </w:pPr>
      <w:r w:rsidRPr="00523ECD">
        <w:rPr>
          <w:i/>
        </w:rPr>
        <w:t>“AVASTIN (bevacizumab) in combination with paclitaxel and cisplatin or paclitaxel and topotecan is indicated for the treatment of persistent, recurrent or metastatic squamous cell carcinoma of the cervix.</w:t>
      </w:r>
    </w:p>
    <w:p w:rsidR="00523ECD" w:rsidRPr="00523ECD" w:rsidRDefault="00523ECD" w:rsidP="00523ECD">
      <w:pPr>
        <w:ind w:left="720"/>
        <w:rPr>
          <w:i/>
        </w:rPr>
      </w:pPr>
      <w:r w:rsidRPr="00523ECD">
        <w:rPr>
          <w:i/>
        </w:rPr>
        <w:t>AVASTIN (bevacizumab) in combination with paclitaxel and topotecan is an acceptable alternative where cisplatin is not tolerated or not indicated.”</w:t>
      </w:r>
    </w:p>
    <w:p w:rsidR="00523ECD" w:rsidRPr="00523ECD" w:rsidRDefault="00523ECD" w:rsidP="00523ECD">
      <w:r w:rsidRPr="00523ECD">
        <w:t>The sponsor has satisfactorily documented the additional risks observed in the study population of hypertension, venous thromboembolism, GI-fistulae and non-GI fistulae in the PI.</w:t>
      </w:r>
    </w:p>
    <w:p w:rsidR="00523ECD" w:rsidRPr="00523ECD" w:rsidRDefault="00523ECD" w:rsidP="005B7889">
      <w:pPr>
        <w:keepNext/>
        <w:rPr>
          <w:b/>
        </w:rPr>
      </w:pPr>
      <w:r w:rsidRPr="00523ECD">
        <w:rPr>
          <w:b/>
        </w:rPr>
        <w:lastRenderedPageBreak/>
        <w:t>Outstanding questions for the sponsor</w:t>
      </w:r>
    </w:p>
    <w:p w:rsidR="00523ECD" w:rsidRPr="00523ECD" w:rsidRDefault="00523ECD" w:rsidP="00523ECD">
      <w:pPr>
        <w:pStyle w:val="Numberbullet0"/>
        <w:numPr>
          <w:ilvl w:val="0"/>
          <w:numId w:val="29"/>
        </w:numPr>
      </w:pPr>
      <w:r w:rsidRPr="00523ECD">
        <w:t>The sponsor should present the data regarding the proportion of patients in the bevacizumab and placebo arms of GOG-0240 that had confirmed platinum resistance</w:t>
      </w:r>
      <w:r w:rsidR="00E968A3">
        <w:t>.</w:t>
      </w:r>
    </w:p>
    <w:p w:rsidR="00523ECD" w:rsidRPr="00523ECD" w:rsidRDefault="00523ECD" w:rsidP="00523ECD">
      <w:pPr>
        <w:pStyle w:val="Numberbullet0"/>
        <w:numPr>
          <w:ilvl w:val="0"/>
          <w:numId w:val="29"/>
        </w:numPr>
      </w:pPr>
      <w:r w:rsidRPr="00523ECD">
        <w:t>The sponsor should justify why patients with cervical cancer and confirmed platinum resistance do not warrant a separate dosing regimen from those without platinum resistance.</w:t>
      </w:r>
    </w:p>
    <w:p w:rsidR="00523ECD" w:rsidRPr="00523ECD" w:rsidRDefault="00523ECD" w:rsidP="00523ECD">
      <w:pPr>
        <w:pStyle w:val="Numberbullet0"/>
        <w:numPr>
          <w:ilvl w:val="0"/>
          <w:numId w:val="29"/>
        </w:numPr>
      </w:pPr>
      <w:r w:rsidRPr="00523ECD">
        <w:t>The sponsor should present top-line efficacy (duration of OS, duration of PFS and ORR) and safety data according to histological sub-type of cervical cancer.</w:t>
      </w:r>
    </w:p>
    <w:bookmarkEnd w:id="105"/>
    <w:p w:rsidR="00511DEF" w:rsidRPr="00D23139" w:rsidRDefault="00E968A3" w:rsidP="00511DEF">
      <w:pPr>
        <w:pStyle w:val="Heading4"/>
      </w:pPr>
      <w:r>
        <w:t>Delegate’s considerations</w:t>
      </w:r>
    </w:p>
    <w:p w:rsidR="00E968A3" w:rsidRDefault="00E968A3" w:rsidP="00511DEF">
      <w:r>
        <w:t>A single Phase III</w:t>
      </w:r>
      <w:r w:rsidR="00511DEF" w:rsidRPr="00511DEF">
        <w:t xml:space="preserve"> study was presented for evaluation – the relevant EMA guidance for a single pivotal study applies</w:t>
      </w:r>
      <w:r w:rsidR="005217DE">
        <w:t>.</w:t>
      </w:r>
    </w:p>
    <w:p w:rsidR="00511DEF" w:rsidRPr="00511DEF" w:rsidRDefault="00511DEF" w:rsidP="00511DEF">
      <w:r w:rsidRPr="00511DEF">
        <w:t xml:space="preserve">The study showed an </w:t>
      </w:r>
      <w:r w:rsidR="00E968A3">
        <w:t>improvement in hazard of death and</w:t>
      </w:r>
      <w:r w:rsidRPr="00511DEF">
        <w:t xml:space="preserve"> PFS for the whole heterogeneous study population</w:t>
      </w:r>
      <w:r w:rsidR="00E968A3">
        <w:t>.</w:t>
      </w:r>
    </w:p>
    <w:p w:rsidR="00511DEF" w:rsidRPr="00511DEF" w:rsidRDefault="00511DEF" w:rsidP="00511DEF">
      <w:r w:rsidRPr="00511DEF">
        <w:t>No improvement in the hazard of OS was observed for patients with adenocarcinoma or adenosquamous disease sub-types, but was seen for squamous disease</w:t>
      </w:r>
      <w:r w:rsidR="00E968A3">
        <w:t>.</w:t>
      </w:r>
    </w:p>
    <w:p w:rsidR="00511DEF" w:rsidRPr="00511DEF" w:rsidRDefault="00511DEF" w:rsidP="00511DEF">
      <w:r w:rsidRPr="00511DEF">
        <w:t>In the overall analysis, the 95% confidence intervals for the estimated duration of OS in bevacizumab and placebo arms overlap</w:t>
      </w:r>
      <w:r w:rsidR="00E968A3">
        <w:t>.</w:t>
      </w:r>
    </w:p>
    <w:p w:rsidR="00511DEF" w:rsidRPr="00511DEF" w:rsidRDefault="00511DEF" w:rsidP="00511DEF">
      <w:r w:rsidRPr="00511DEF">
        <w:t xml:space="preserve">Patients with cerebral metastases were </w:t>
      </w:r>
      <w:r w:rsidR="005B7889" w:rsidRPr="00511DEF">
        <w:t>excluded;</w:t>
      </w:r>
      <w:r w:rsidRPr="00511DEF">
        <w:t xml:space="preserve"> therefore no benefit has been demonstrated for these patients</w:t>
      </w:r>
      <w:r w:rsidR="00E968A3">
        <w:t>.</w:t>
      </w:r>
    </w:p>
    <w:p w:rsidR="008E7846" w:rsidRPr="00511DEF" w:rsidRDefault="00511DEF" w:rsidP="00511DEF">
      <w:r w:rsidRPr="00511DEF">
        <w:t>In addition to the known risks of bevacizumab administration, the risk of GI perforation and fistula formation was higher with bevacizumab than placebo. Plus, there was an increased risk of grade 3-5 venous thromboembolism and hypertension with bevacizumab as compared to placebo.</w:t>
      </w:r>
    </w:p>
    <w:p w:rsidR="00D23139" w:rsidRDefault="00D23139" w:rsidP="00D23139">
      <w:pPr>
        <w:pStyle w:val="Heading4"/>
      </w:pPr>
      <w:bookmarkStart w:id="111" w:name="_Toc196046505"/>
      <w:bookmarkStart w:id="112" w:name="_Toc196046949"/>
      <w:r w:rsidRPr="00D23139">
        <w:t>Proposed action</w:t>
      </w:r>
    </w:p>
    <w:p w:rsidR="00511DEF" w:rsidRPr="00511DEF" w:rsidRDefault="00E968A3" w:rsidP="00511DEF">
      <w:r>
        <w:t xml:space="preserve">The Delegate had </w:t>
      </w:r>
      <w:r w:rsidR="00511DEF" w:rsidRPr="00511DEF">
        <w:t>no reason to say, at this time, that the application for bevacizumab should not be approved for registration.</w:t>
      </w:r>
    </w:p>
    <w:p w:rsidR="00D23139" w:rsidRDefault="00D23139" w:rsidP="00D23139">
      <w:pPr>
        <w:pStyle w:val="Heading4"/>
      </w:pPr>
      <w:r w:rsidRPr="00D23139">
        <w:t>Request for ACPM advice</w:t>
      </w:r>
    </w:p>
    <w:p w:rsidR="00511DEF" w:rsidRPr="00511DEF" w:rsidRDefault="00511DEF" w:rsidP="00511DEF">
      <w:r w:rsidRPr="00511DEF">
        <w:t>The committee is requested to provide advice on the following specific issues:</w:t>
      </w:r>
    </w:p>
    <w:p w:rsidR="00511DEF" w:rsidRPr="00511DEF" w:rsidRDefault="00511DEF" w:rsidP="00511DEF">
      <w:pPr>
        <w:pStyle w:val="Numberbullet0"/>
        <w:numPr>
          <w:ilvl w:val="0"/>
          <w:numId w:val="31"/>
        </w:numPr>
      </w:pPr>
      <w:r w:rsidRPr="00511DEF">
        <w:t>In which histological sub-population(s) of patients with advanced, recurrent or metastatic cervical cancer has bevacizumab satisfactorily been demonstrated to confer an efficacy benefit over placebo?</w:t>
      </w:r>
    </w:p>
    <w:p w:rsidR="00511DEF" w:rsidRPr="00511DEF" w:rsidRDefault="00511DEF" w:rsidP="00511DEF">
      <w:pPr>
        <w:pStyle w:val="Numberbullet0"/>
      </w:pPr>
      <w:r w:rsidRPr="00511DEF">
        <w:t>In which histological sub-populations(s) of patients with advanced, recurrent or metastatic cervical cancer has bevacizumab satisfactorily been demonstrated to have a positive risk-benefit assessment for the purposes of (</w:t>
      </w:r>
      <w:proofErr w:type="spellStart"/>
      <w:r w:rsidRPr="00511DEF">
        <w:t>i</w:t>
      </w:r>
      <w:proofErr w:type="spellEnd"/>
      <w:r w:rsidRPr="00511DEF">
        <w:t>) delivering informed consent and (ii) product registra</w:t>
      </w:r>
      <w:r w:rsidR="005217DE">
        <w:t>tion?</w:t>
      </w:r>
    </w:p>
    <w:p w:rsidR="00511DEF" w:rsidRPr="00511DEF" w:rsidRDefault="00511DEF" w:rsidP="00511DEF">
      <w:pPr>
        <w:pStyle w:val="Numberbullet0"/>
      </w:pPr>
      <w:r w:rsidRPr="00511DEF">
        <w:t>What does the Committee consider the appropriate wording of the proposed indication in cervical cancer?</w:t>
      </w:r>
    </w:p>
    <w:p w:rsidR="00511DEF" w:rsidRPr="00511DEF" w:rsidRDefault="00511DEF" w:rsidP="00511DEF">
      <w:r w:rsidRPr="00511DEF">
        <w:t>The committee is also requested to provide advice on any other issues that it thinks may be relevant to a decision on whether or not to approve this application.</w:t>
      </w:r>
    </w:p>
    <w:p w:rsidR="00D23139" w:rsidRDefault="00494D5D" w:rsidP="0050001D">
      <w:pPr>
        <w:pStyle w:val="Heading3"/>
      </w:pPr>
      <w:bookmarkStart w:id="113" w:name="_Toc482191414"/>
      <w:r>
        <w:lastRenderedPageBreak/>
        <w:t xml:space="preserve">Response from </w:t>
      </w:r>
      <w:r w:rsidR="00AC2ABD">
        <w:t>sponsor</w:t>
      </w:r>
      <w:bookmarkEnd w:id="113"/>
    </w:p>
    <w:p w:rsidR="00C93438" w:rsidRPr="00C93438" w:rsidRDefault="00C93438" w:rsidP="00C93438">
      <w:r w:rsidRPr="00C93438">
        <w:t>Worldwide, cervical cancer is the fourth most common cancer in women and the seventh most common</w:t>
      </w:r>
      <w:r>
        <w:t xml:space="preserve"> </w:t>
      </w:r>
      <w:r w:rsidRPr="00C93438">
        <w:t>cancer overall</w:t>
      </w:r>
      <w:r w:rsidR="00494D5D">
        <w:t>.</w:t>
      </w:r>
      <w:r w:rsidR="00494D5D">
        <w:rPr>
          <w:rStyle w:val="FootnoteReference"/>
        </w:rPr>
        <w:footnoteReference w:id="14"/>
      </w:r>
      <w:r w:rsidRPr="00C93438">
        <w:t xml:space="preserve"> In Australia, cervical cancer is the twelfth mos</w:t>
      </w:r>
      <w:r>
        <w:t xml:space="preserve">t common cancer affecting women </w:t>
      </w:r>
      <w:r w:rsidRPr="00C93438">
        <w:t xml:space="preserve">(excluding basal and squamous cell carcinoma of the skin), with 7 </w:t>
      </w:r>
      <w:r>
        <w:t xml:space="preserve">new cases diagnosed per 100,000 </w:t>
      </w:r>
      <w:r w:rsidRPr="00C93438">
        <w:t xml:space="preserve">women in 2009. Up to 50% of patients with bulky primary or advanced </w:t>
      </w:r>
      <w:r>
        <w:t xml:space="preserve">disease will have a recurrence, </w:t>
      </w:r>
      <w:r w:rsidRPr="00C93438">
        <w:t>which is generally considered incurable, particularly if distant metastas</w:t>
      </w:r>
      <w:r>
        <w:t xml:space="preserve">es have developed. Treatment in </w:t>
      </w:r>
      <w:r w:rsidRPr="00C93438">
        <w:t>the recurrent setting is considered palliative, and for many patients, bes</w:t>
      </w:r>
      <w:r>
        <w:t xml:space="preserve">t supportive care is frequently </w:t>
      </w:r>
      <w:r w:rsidRPr="00C93438">
        <w:t>recommended as current treatment options provide little clinical benefit.</w:t>
      </w:r>
    </w:p>
    <w:p w:rsidR="00C93438" w:rsidRPr="00C93438" w:rsidRDefault="00C93438" w:rsidP="00C93438">
      <w:r w:rsidRPr="00C93438">
        <w:t xml:space="preserve">Improving overall survival (OS) has remained the primary endpoint </w:t>
      </w:r>
      <w:r>
        <w:t xml:space="preserve">for clinical trials in advanced </w:t>
      </w:r>
      <w:r w:rsidRPr="00C93438">
        <w:t>cervical cancer, as the prognosis for women with persistent, recurren</w:t>
      </w:r>
      <w:r>
        <w:t xml:space="preserve">t, or stage IVB cervical cancer </w:t>
      </w:r>
      <w:r w:rsidRPr="00C93438">
        <w:t>remains poor with median durations of OS</w:t>
      </w:r>
      <w:r w:rsidR="008C181D">
        <w:t xml:space="preserve"> ≤</w:t>
      </w:r>
      <w:r w:rsidRPr="00C93438">
        <w:t xml:space="preserve"> 12 months. To date, no clinical trials in re</w:t>
      </w:r>
      <w:r>
        <w:t xml:space="preserve">current or metastatic </w:t>
      </w:r>
      <w:r w:rsidRPr="00C93438">
        <w:t xml:space="preserve">cervical cancer over the last decade have resulted in a significant increase in OS </w:t>
      </w:r>
      <w:r>
        <w:t xml:space="preserve">and there remains a high unmet </w:t>
      </w:r>
      <w:r w:rsidRPr="00C93438">
        <w:t>medical need.</w:t>
      </w:r>
    </w:p>
    <w:p w:rsidR="00C93438" w:rsidRPr="00C93438" w:rsidRDefault="00C93438" w:rsidP="0050001D">
      <w:pPr>
        <w:pStyle w:val="Heading4"/>
      </w:pPr>
      <w:r w:rsidRPr="00C93438">
        <w:t xml:space="preserve">Comment on the </w:t>
      </w:r>
      <w:r w:rsidR="003E6B2B" w:rsidRPr="00C93438">
        <w:t xml:space="preserve">delegate’s </w:t>
      </w:r>
      <w:r w:rsidR="00E968A3" w:rsidRPr="00C93438">
        <w:t>proposed a</w:t>
      </w:r>
      <w:r w:rsidRPr="00C93438">
        <w:t>ction</w:t>
      </w:r>
    </w:p>
    <w:p w:rsidR="00C93438" w:rsidRPr="00C93438" w:rsidRDefault="00C93438" w:rsidP="00C93438">
      <w:r w:rsidRPr="00C93438">
        <w:t xml:space="preserve">The </w:t>
      </w:r>
      <w:r w:rsidR="00AC2ABD">
        <w:t>sponsor</w:t>
      </w:r>
      <w:r w:rsidRPr="00C93438">
        <w:t xml:space="preserve"> notes the Delegate’s </w:t>
      </w:r>
      <w:r w:rsidR="008C181D" w:rsidRPr="00C93438">
        <w:t xml:space="preserve">summary of issues and </w:t>
      </w:r>
      <w:r w:rsidRPr="00C93438">
        <w:t>requests for ACPM advice in relation to:</w:t>
      </w:r>
    </w:p>
    <w:p w:rsidR="00C93438" w:rsidRPr="00C93438" w:rsidRDefault="00C93438" w:rsidP="008C181D">
      <w:pPr>
        <w:pStyle w:val="Numberbullet0"/>
        <w:numPr>
          <w:ilvl w:val="0"/>
          <w:numId w:val="45"/>
        </w:numPr>
      </w:pPr>
      <w:r w:rsidRPr="00C93438">
        <w:t>In which histological sub-population(s) of patients with advanced, r</w:t>
      </w:r>
      <w:r>
        <w:t xml:space="preserve">ecurrent or metastatic cervical </w:t>
      </w:r>
      <w:r w:rsidRPr="00C93438">
        <w:t>cancer has bevacizumab satisfactorily been demonstrated to confer an efficacy benefit over placebo?</w:t>
      </w:r>
    </w:p>
    <w:p w:rsidR="00C93438" w:rsidRPr="00C93438" w:rsidRDefault="00C93438" w:rsidP="008C181D">
      <w:pPr>
        <w:pStyle w:val="Numberbullet0"/>
        <w:numPr>
          <w:ilvl w:val="0"/>
          <w:numId w:val="45"/>
        </w:numPr>
      </w:pPr>
      <w:r w:rsidRPr="00C93438">
        <w:t>In which histological sub-populations(s) of patients with advanced, recurrent or metastatic cervical</w:t>
      </w:r>
      <w:r>
        <w:t xml:space="preserve"> </w:t>
      </w:r>
      <w:r w:rsidRPr="00C93438">
        <w:t>cancer has bevacizumab satisfactorily been demonstrated to have a positive risk-</w:t>
      </w:r>
      <w:r>
        <w:t xml:space="preserve">benefit assessment </w:t>
      </w:r>
      <w:r w:rsidRPr="00C93438">
        <w:t>for the purposes of (</w:t>
      </w:r>
      <w:proofErr w:type="spellStart"/>
      <w:r w:rsidRPr="00C93438">
        <w:t>i</w:t>
      </w:r>
      <w:proofErr w:type="spellEnd"/>
      <w:r w:rsidRPr="00C93438">
        <w:t>) delivering informed consent and (ii) product registration?</w:t>
      </w:r>
    </w:p>
    <w:p w:rsidR="00C93438" w:rsidRPr="00C93438" w:rsidRDefault="00C93438" w:rsidP="008C181D">
      <w:pPr>
        <w:pStyle w:val="Numberbullet0"/>
        <w:numPr>
          <w:ilvl w:val="0"/>
          <w:numId w:val="45"/>
        </w:numPr>
      </w:pPr>
      <w:r w:rsidRPr="00C93438">
        <w:t xml:space="preserve">What does the Committee consider the appropriate wording of the </w:t>
      </w:r>
      <w:r>
        <w:t xml:space="preserve">proposed indication in cervical </w:t>
      </w:r>
      <w:r w:rsidRPr="00C93438">
        <w:t>cancer?</w:t>
      </w:r>
    </w:p>
    <w:p w:rsidR="00C93438" w:rsidRPr="00C93438" w:rsidRDefault="00C93438" w:rsidP="008C181D">
      <w:pPr>
        <w:pStyle w:val="Numberbullet0"/>
        <w:numPr>
          <w:ilvl w:val="0"/>
          <w:numId w:val="45"/>
        </w:numPr>
      </w:pPr>
      <w:r w:rsidRPr="00C93438">
        <w:t>The committee is also requested to provide advice on any other issues th</w:t>
      </w:r>
      <w:r>
        <w:t xml:space="preserve">at it thinks may be relevant to </w:t>
      </w:r>
      <w:r w:rsidRPr="00C93438">
        <w:t>a decision on whether or not to approve this application.</w:t>
      </w:r>
    </w:p>
    <w:p w:rsidR="00C93438" w:rsidRPr="00C93438" w:rsidRDefault="00C93438" w:rsidP="00C93438">
      <w:r w:rsidRPr="00C93438">
        <w:t>Based on the above summary of issues, the Delegate has proposed the following modified indication</w:t>
      </w:r>
    </w:p>
    <w:p w:rsidR="00C93438" w:rsidRPr="00C93438" w:rsidRDefault="00C93438" w:rsidP="00C93438">
      <w:pPr>
        <w:ind w:left="720"/>
        <w:rPr>
          <w:i/>
        </w:rPr>
      </w:pPr>
      <w:r w:rsidRPr="00C93438">
        <w:rPr>
          <w:i/>
        </w:rPr>
        <w:t>“Avastin (bevacizumab) in combination with paclitaxel and cisplatin or paclitaxel and topotecan is indicated for the treatment of persistent, recurrent or metastatic squamou</w:t>
      </w:r>
      <w:r w:rsidR="009D4AE1">
        <w:rPr>
          <w:i/>
        </w:rPr>
        <w:t>s cell carcinoma of the cervix.</w:t>
      </w:r>
    </w:p>
    <w:p w:rsidR="00C93438" w:rsidRPr="00C93438" w:rsidRDefault="00C93438" w:rsidP="00C93438">
      <w:pPr>
        <w:ind w:left="720"/>
        <w:rPr>
          <w:i/>
        </w:rPr>
      </w:pPr>
      <w:r w:rsidRPr="00C93438">
        <w:rPr>
          <w:i/>
        </w:rPr>
        <w:t>Avastin (bevacizumab) in combination with paclitaxel and topotecan is an acceptable alternative where cisplatin is not tolerated or not indicated”</w:t>
      </w:r>
    </w:p>
    <w:p w:rsidR="00C93438" w:rsidRPr="00C93438" w:rsidRDefault="00C93438" w:rsidP="00C93438">
      <w:r w:rsidRPr="00C93438">
        <w:t xml:space="preserve">The </w:t>
      </w:r>
      <w:r w:rsidR="00AC2ABD">
        <w:t>sponsor</w:t>
      </w:r>
      <w:r w:rsidRPr="00C93438">
        <w:t xml:space="preserve"> wishes to respond to the Delegate’s request for ACPM advice as follows:</w:t>
      </w:r>
    </w:p>
    <w:p w:rsidR="00C93438" w:rsidRPr="00C93438" w:rsidRDefault="00C93438" w:rsidP="00C93438">
      <w:r w:rsidRPr="00C93438">
        <w:t>Roche believes the data submitted in support of this application demonstrates a positive risk-benefit for</w:t>
      </w:r>
      <w:r>
        <w:t xml:space="preserve"> </w:t>
      </w:r>
      <w:r w:rsidRPr="00C93438">
        <w:t>bevacizumab for the purposes of delivering informed consent and registration in patients with persistent,</w:t>
      </w:r>
      <w:r>
        <w:t xml:space="preserve"> </w:t>
      </w:r>
      <w:r w:rsidRPr="00C93438">
        <w:t>recurrent or metastatic cervical cancer, regardless of histological sub-population.</w:t>
      </w:r>
    </w:p>
    <w:p w:rsidR="00AC2ABD" w:rsidRDefault="00C93438" w:rsidP="00C93438">
      <w:r w:rsidRPr="00C93438">
        <w:t>The pivotal study included in this application, Study GOG-0240, was d</w:t>
      </w:r>
      <w:r>
        <w:t xml:space="preserve">esigned to answer two important </w:t>
      </w:r>
      <w:r w:rsidRPr="00C93438">
        <w:t>questions for persistent, recurrent and metastatic cervical cancer. Given</w:t>
      </w:r>
      <w:r>
        <w:t xml:space="preserve"> </w:t>
      </w:r>
      <w:r>
        <w:lastRenderedPageBreak/>
        <w:t xml:space="preserve">the limited patient population </w:t>
      </w:r>
      <w:r w:rsidRPr="00C93438">
        <w:t>with this disease and the urgent medical need for novel therapies</w:t>
      </w:r>
      <w:r>
        <w:t xml:space="preserve">, two different hypotheses were </w:t>
      </w:r>
      <w:r w:rsidR="00970ABA">
        <w:t>simultaneously tested:</w:t>
      </w:r>
    </w:p>
    <w:p w:rsidR="00AC2ABD" w:rsidRDefault="00970ABA" w:rsidP="00970ABA">
      <w:pPr>
        <w:ind w:left="720"/>
      </w:pPr>
      <w:r>
        <w:t>H</w:t>
      </w:r>
      <w:r>
        <w:rPr>
          <w:vertAlign w:val="subscript"/>
        </w:rPr>
        <w:t>01</w:t>
      </w:r>
      <w:r>
        <w:t>:</w:t>
      </w:r>
      <w:r w:rsidR="00C93438" w:rsidRPr="00C93438">
        <w:t xml:space="preserve"> whether bevacizumab in combination with c</w:t>
      </w:r>
      <w:r w:rsidR="00C93438">
        <w:t>hemotherapy improved OS (</w:t>
      </w:r>
      <w:proofErr w:type="gramStart"/>
      <w:r w:rsidR="00C93438">
        <w:t xml:space="preserve">either </w:t>
      </w:r>
      <w:r w:rsidR="00C93438" w:rsidRPr="00C93438">
        <w:t>Cisplatin</w:t>
      </w:r>
      <w:proofErr w:type="gramEnd"/>
      <w:r w:rsidR="00C93438" w:rsidRPr="00C93438">
        <w:t xml:space="preserve"> + Paclitaxel or </w:t>
      </w:r>
      <w:proofErr w:type="spellStart"/>
      <w:r w:rsidR="00C93438" w:rsidRPr="00C93438">
        <w:t>To</w:t>
      </w:r>
      <w:r w:rsidR="00AC2ABD">
        <w:t>petecan</w:t>
      </w:r>
      <w:proofErr w:type="spellEnd"/>
      <w:r w:rsidR="00AC2ABD">
        <w:t>+ Paclitaxel)</w:t>
      </w:r>
    </w:p>
    <w:p w:rsidR="00AC2ABD" w:rsidRDefault="00970ABA" w:rsidP="00970ABA">
      <w:pPr>
        <w:ind w:left="720"/>
      </w:pPr>
      <w:r>
        <w:t>H</w:t>
      </w:r>
      <w:r>
        <w:rPr>
          <w:vertAlign w:val="subscript"/>
        </w:rPr>
        <w:t>02</w:t>
      </w:r>
      <w:r>
        <w:t xml:space="preserve">: </w:t>
      </w:r>
      <w:r w:rsidR="00C93438" w:rsidRPr="00C93438">
        <w:t xml:space="preserve">whether </w:t>
      </w:r>
      <w:proofErr w:type="spellStart"/>
      <w:r w:rsidR="00C93438" w:rsidRPr="00C93438">
        <w:t>Topete</w:t>
      </w:r>
      <w:r w:rsidR="00C93438">
        <w:t>can</w:t>
      </w:r>
      <w:proofErr w:type="spellEnd"/>
      <w:r w:rsidR="00C93438">
        <w:t xml:space="preserve">+ Paclitaxel with or without </w:t>
      </w:r>
      <w:r w:rsidR="00C93438" w:rsidRPr="00C93438">
        <w:t>bevacizumab improves OS in comparison to Cisplatin + Paclitaxel wit</w:t>
      </w:r>
      <w:r w:rsidR="00AC2ABD">
        <w:t>h or without bevacizumab</w:t>
      </w:r>
    </w:p>
    <w:p w:rsidR="00C93438" w:rsidRDefault="00C93438" w:rsidP="00C93438">
      <w:proofErr w:type="gramStart"/>
      <w:r>
        <w:t>given</w:t>
      </w:r>
      <w:proofErr w:type="gramEnd"/>
      <w:r>
        <w:t xml:space="preserve"> </w:t>
      </w:r>
      <w:r w:rsidRPr="00C93438">
        <w:t>that not all patients would be ideal candidates for platinum-based chemotherapy.</w:t>
      </w:r>
    </w:p>
    <w:p w:rsidR="00C93438" w:rsidRPr="00C93438" w:rsidRDefault="00C93438" w:rsidP="00C93438">
      <w:r w:rsidRPr="00C93438">
        <w:t xml:space="preserve">The primary analysis of OS from </w:t>
      </w:r>
      <w:r w:rsidR="00DA4DE1">
        <w:t>Study</w:t>
      </w:r>
      <w:r w:rsidRPr="00C93438">
        <w:t xml:space="preserve"> GOG-0240 demonstrated statistically significant, clinically</w:t>
      </w:r>
      <w:r>
        <w:t xml:space="preserve"> </w:t>
      </w:r>
      <w:r w:rsidRPr="00C93438">
        <w:t xml:space="preserve">meaningful, and robust results and supports the use of bevacizumab in combination with </w:t>
      </w:r>
      <w:r>
        <w:t xml:space="preserve">paclitaxel and </w:t>
      </w:r>
      <w:r w:rsidRPr="00C93438">
        <w:t>cisplatin or paclitaxel and topotecan for treatment of patients with persi</w:t>
      </w:r>
      <w:r>
        <w:t xml:space="preserve">stent, recurrent, or metastatic </w:t>
      </w:r>
      <w:r w:rsidRPr="00C93438">
        <w:t xml:space="preserve">carcinoma of the cervix. The addition of bevacizumab to </w:t>
      </w:r>
      <w:r w:rsidR="00A146B5">
        <w:t>paclitaxel based</w:t>
      </w:r>
      <w:r>
        <w:t xml:space="preserve"> chemotherapy resulted in an </w:t>
      </w:r>
      <w:r w:rsidRPr="00C93438">
        <w:t>improvement in median OS of 3.9 months from 12.9 months with ch</w:t>
      </w:r>
      <w:r>
        <w:t xml:space="preserve">emotherapy alone to 16.8 months </w:t>
      </w:r>
      <w:r w:rsidRPr="00C93438">
        <w:t>with bevacizumab in combination with chemotherapy (HR= 0.74; 95% CI</w:t>
      </w:r>
      <w:r w:rsidR="00AC2ABD">
        <w:t>: 0.58, 0.94; p = </w:t>
      </w:r>
      <w:r>
        <w:t xml:space="preserve">0.0132). This </w:t>
      </w:r>
      <w:r w:rsidRPr="00C93438">
        <w:t>is the first time that OS has been increased to well over 12 months in this disease setting.</w:t>
      </w:r>
    </w:p>
    <w:p w:rsidR="00970ABA" w:rsidRPr="00C93438" w:rsidRDefault="00C93438" w:rsidP="00C93438">
      <w:r w:rsidRPr="00C93438">
        <w:t>Study GOG-0240 included an exploratory subgroup analysis for OS for h</w:t>
      </w:r>
      <w:r>
        <w:t xml:space="preserve">istology subgroups. The results </w:t>
      </w:r>
      <w:r w:rsidRPr="00C93438">
        <w:t>from the primary analysis reported hazard ratios that were greater than</w:t>
      </w:r>
      <w:r>
        <w:t xml:space="preserve"> 1 in all sub groups other than </w:t>
      </w:r>
      <w:r w:rsidRPr="00C93438">
        <w:t xml:space="preserve">squamous-cell carcinoma </w:t>
      </w:r>
      <w:r w:rsidR="008C181D">
        <w:t>that is</w:t>
      </w:r>
      <w:r w:rsidRPr="00C93438">
        <w:t xml:space="preserve">, adenocarcinoma [HR = 1.17] and adenosquamous [HR = </w:t>
      </w:r>
      <w:r w:rsidR="003E6952">
        <w:t xml:space="preserve">1.20] </w:t>
      </w:r>
      <w:r w:rsidR="003E6952" w:rsidRPr="00E95BD0">
        <w:t>(</w:t>
      </w:r>
      <w:r w:rsidRPr="00E95BD0">
        <w:t xml:space="preserve">Figure </w:t>
      </w:r>
      <w:r w:rsidR="001A4A69">
        <w:t>2</w:t>
      </w:r>
      <w:bookmarkStart w:id="114" w:name="_Ref479265289"/>
      <w:r w:rsidR="001A4A69">
        <w:t>)</w:t>
      </w:r>
      <w:r w:rsidR="008C181D">
        <w:rPr>
          <w:rStyle w:val="FootnoteReference"/>
        </w:rPr>
        <w:footnoteReference w:id="15"/>
      </w:r>
      <w:bookmarkEnd w:id="114"/>
      <w:r w:rsidRPr="00C93438">
        <w:t>).</w:t>
      </w:r>
    </w:p>
    <w:p w:rsidR="00C93438" w:rsidRDefault="00C93438" w:rsidP="00C93438">
      <w:r w:rsidRPr="00C93438">
        <w:t>Considering the relatively small numbers of patients in the histology s</w:t>
      </w:r>
      <w:r w:rsidR="003E6952">
        <w:t xml:space="preserve">ubgroups “adenocarcinoma” (AC), </w:t>
      </w:r>
      <w:r w:rsidRPr="00C93438">
        <w:t>n = 94 and “adenosquamous carcinoma” (AS), n = 44, there is no statist</w:t>
      </w:r>
      <w:r w:rsidR="003E6952">
        <w:t xml:space="preserve">ical rationale to conclude that </w:t>
      </w:r>
      <w:r w:rsidRPr="00C93438">
        <w:t>these subgroups behave differently from the entire patient population, and</w:t>
      </w:r>
      <w:r w:rsidR="003E6952">
        <w:t xml:space="preserve"> the most reliable estimate for </w:t>
      </w:r>
      <w:r w:rsidRPr="00C93438">
        <w:t>the treatment effect is the one derived from the analysis of all patients. Moreover, the wide co</w:t>
      </w:r>
      <w:r w:rsidR="003E6952">
        <w:t xml:space="preserve">nfidence </w:t>
      </w:r>
      <w:r w:rsidRPr="00C93438">
        <w:t xml:space="preserve">intervals (CIs) in both the AC and AS subgroups, as </w:t>
      </w:r>
      <w:r w:rsidRPr="00E95BD0">
        <w:t xml:space="preserve">shown in </w:t>
      </w:r>
      <w:r w:rsidR="001A4A69" w:rsidRPr="00E95BD0">
        <w:t>(Figure 2)</w:t>
      </w:r>
      <w:r w:rsidR="008C181D" w:rsidRPr="00E95BD0">
        <w:rPr>
          <w:vertAlign w:val="superscript"/>
        </w:rPr>
        <w:fldChar w:fldCharType="begin"/>
      </w:r>
      <w:r w:rsidR="008C181D" w:rsidRPr="00E95BD0">
        <w:rPr>
          <w:vertAlign w:val="superscript"/>
        </w:rPr>
        <w:instrText xml:space="preserve"> NOTEREF _Ref479265289 \h  \* MERGEFORMAT </w:instrText>
      </w:r>
      <w:r w:rsidR="008C181D" w:rsidRPr="00E95BD0">
        <w:rPr>
          <w:vertAlign w:val="superscript"/>
        </w:rPr>
      </w:r>
      <w:r w:rsidR="008C181D" w:rsidRPr="00E95BD0">
        <w:rPr>
          <w:vertAlign w:val="superscript"/>
        </w:rPr>
        <w:fldChar w:fldCharType="separate"/>
      </w:r>
      <w:r w:rsidR="008C181D" w:rsidRPr="00E95BD0">
        <w:rPr>
          <w:vertAlign w:val="superscript"/>
        </w:rPr>
        <w:t>5</w:t>
      </w:r>
      <w:r w:rsidR="008C181D" w:rsidRPr="00E95BD0">
        <w:rPr>
          <w:vertAlign w:val="superscript"/>
        </w:rPr>
        <w:fldChar w:fldCharType="end"/>
      </w:r>
      <w:r w:rsidR="008C181D" w:rsidRPr="00E95BD0">
        <w:t xml:space="preserve"> </w:t>
      </w:r>
      <w:r w:rsidR="003E6952" w:rsidRPr="00E95BD0">
        <w:t>and in</w:t>
      </w:r>
      <w:r w:rsidR="003E6952">
        <w:t xml:space="preserve"> the </w:t>
      </w:r>
      <w:r w:rsidRPr="00C93438">
        <w:t xml:space="preserve">analysis provided in response </w:t>
      </w:r>
      <w:r w:rsidRPr="00E95BD0">
        <w:t xml:space="preserve">to </w:t>
      </w:r>
      <w:r w:rsidR="008C181D" w:rsidRPr="00E95BD0">
        <w:t>Q</w:t>
      </w:r>
      <w:r w:rsidRPr="00E95BD0">
        <w:t xml:space="preserve">uestion 3 (Tables </w:t>
      </w:r>
      <w:r w:rsidR="00E95BD0" w:rsidRPr="00E95BD0">
        <w:t>8</w:t>
      </w:r>
      <w:r w:rsidRPr="00E95BD0">
        <w:t xml:space="preserve"> and </w:t>
      </w:r>
      <w:r w:rsidR="00E95BD0" w:rsidRPr="00E95BD0">
        <w:t>9</w:t>
      </w:r>
      <w:r w:rsidRPr="00E95BD0">
        <w:t>; also refe</w:t>
      </w:r>
      <w:r w:rsidR="003E6952" w:rsidRPr="00E95BD0">
        <w:t xml:space="preserve">r to Tables </w:t>
      </w:r>
      <w:r w:rsidR="00E95BD0" w:rsidRPr="00E95BD0">
        <w:t>10</w:t>
      </w:r>
      <w:r w:rsidR="003E6952" w:rsidRPr="00E95BD0">
        <w:t xml:space="preserve"> and </w:t>
      </w:r>
      <w:r w:rsidR="00E95BD0" w:rsidRPr="00E95BD0">
        <w:t>11</w:t>
      </w:r>
      <w:r w:rsidRPr="00E95BD0">
        <w:t>); s</w:t>
      </w:r>
      <w:r w:rsidRPr="00C93438">
        <w:t>uggest that no definitive conclusions should be derived. Advers</w:t>
      </w:r>
      <w:r w:rsidR="003E6952">
        <w:t xml:space="preserve">e event </w:t>
      </w:r>
      <w:r w:rsidR="008C181D">
        <w:t>frequencies in the AC and AS histological subtypes were</w:t>
      </w:r>
      <w:r w:rsidRPr="00C93438">
        <w:t xml:space="preserve"> consistent with the overall safety populati</w:t>
      </w:r>
      <w:r w:rsidR="003E6952">
        <w:t xml:space="preserve">on. Given the known limitations </w:t>
      </w:r>
      <w:r w:rsidRPr="00C93438">
        <w:t>of subgroup analyses, caution needs to be taken when interpreting the results.</w:t>
      </w:r>
    </w:p>
    <w:p w:rsidR="00A3674D" w:rsidRDefault="00A3674D" w:rsidP="00A3674D">
      <w:pPr>
        <w:pStyle w:val="Tabletitle0"/>
      </w:pPr>
      <w:r>
        <w:lastRenderedPageBreak/>
        <w:t xml:space="preserve">Table </w:t>
      </w:r>
      <w:r w:rsidR="00E95BD0">
        <w:t>8:</w:t>
      </w:r>
      <w:r w:rsidRPr="00A3674D">
        <w:t xml:space="preserve"> Summary of Overall Efficacy for Patients with Adenosquamous (AS) Histology**</w:t>
      </w:r>
    </w:p>
    <w:p w:rsidR="00A3674D" w:rsidRDefault="00A3674D" w:rsidP="006A7859">
      <w:r>
        <w:rPr>
          <w:noProof/>
          <w:lang w:eastAsia="en-AU"/>
        </w:rPr>
        <w:drawing>
          <wp:inline distT="0" distB="0" distL="0" distR="0" wp14:anchorId="1880CD7A" wp14:editId="20577ACB">
            <wp:extent cx="5400040" cy="5384463"/>
            <wp:effectExtent l="0" t="0" r="0" b="6985"/>
            <wp:docPr id="6" name="Picture 6" descr="Table 8: Summary of Overall Efficacy for Patients with Adenosquamous (AS)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5384463"/>
                    </a:xfrm>
                    <a:prstGeom prst="rect">
                      <a:avLst/>
                    </a:prstGeom>
                  </pic:spPr>
                </pic:pic>
              </a:graphicData>
            </a:graphic>
          </wp:inline>
        </w:drawing>
      </w:r>
    </w:p>
    <w:p w:rsidR="00A3674D" w:rsidRDefault="00A3674D" w:rsidP="00C748DA">
      <w:pPr>
        <w:pStyle w:val="TableDescription"/>
      </w:pPr>
      <w:r>
        <w:t xml:space="preserve">** For the analysis of Progression Free Survival and Overall Survival, chemotherapy backbone has been used as a covariate; and performance </w:t>
      </w:r>
      <w:r w:rsidRPr="00C748DA">
        <w:t>status</w:t>
      </w:r>
      <w:r>
        <w:t>, tumour stage and previous platinum treatment used as stratification factors</w:t>
      </w:r>
    </w:p>
    <w:p w:rsidR="00A3674D" w:rsidRDefault="00A3674D" w:rsidP="00A3674D">
      <w:pPr>
        <w:pStyle w:val="Tabletitle0"/>
      </w:pPr>
      <w:r>
        <w:lastRenderedPageBreak/>
        <w:t xml:space="preserve">Table </w:t>
      </w:r>
      <w:r w:rsidR="00E95BD0">
        <w:t>9:</w:t>
      </w:r>
      <w:r w:rsidRPr="00A3674D">
        <w:t xml:space="preserve"> Summary of Overall Efficacy for Patients with Adenocarcinoma (AC) Histology**</w:t>
      </w:r>
    </w:p>
    <w:p w:rsidR="00A3674D" w:rsidRDefault="00A3674D" w:rsidP="00C748DA">
      <w:r>
        <w:rPr>
          <w:noProof/>
          <w:lang w:eastAsia="en-AU"/>
        </w:rPr>
        <w:drawing>
          <wp:inline distT="0" distB="0" distL="0" distR="0" wp14:anchorId="54699155" wp14:editId="70F93C72">
            <wp:extent cx="5400040" cy="5384463"/>
            <wp:effectExtent l="0" t="0" r="0" b="6985"/>
            <wp:docPr id="7" name="Picture 7" descr="Table 9: Summary of Overall Efficacy for Patients with Adenocarcinoma (AC)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5384463"/>
                    </a:xfrm>
                    <a:prstGeom prst="rect">
                      <a:avLst/>
                    </a:prstGeom>
                  </pic:spPr>
                </pic:pic>
              </a:graphicData>
            </a:graphic>
          </wp:inline>
        </w:drawing>
      </w:r>
    </w:p>
    <w:p w:rsidR="00A3674D" w:rsidRPr="00A3674D" w:rsidRDefault="00A3674D" w:rsidP="00A3674D">
      <w:pPr>
        <w:pStyle w:val="TableDescription"/>
      </w:pPr>
      <w:r>
        <w:t>** For the analysis of Progression Free Survival and Overall Survival, chemotherapy backbone has been used as a covariate; and performance status, tumour stage and previous platinum treatment used as stratification factors</w:t>
      </w:r>
    </w:p>
    <w:p w:rsidR="001A4A69" w:rsidRPr="00A3674D" w:rsidRDefault="001A4A69" w:rsidP="001A4A69">
      <w:pPr>
        <w:pStyle w:val="Tabletitle0"/>
      </w:pPr>
      <w:r w:rsidRPr="001A4A69">
        <w:lastRenderedPageBreak/>
        <w:t xml:space="preserve">Table </w:t>
      </w:r>
      <w:r w:rsidR="00E95BD0">
        <w:t>10:</w:t>
      </w:r>
      <w:r w:rsidRPr="001A4A69">
        <w:t xml:space="preserve"> Summary of Overall Efficacy for Patients wi</w:t>
      </w:r>
      <w:r w:rsidR="00A3674D">
        <w:t xml:space="preserve">th Adenosquamous (AS) </w:t>
      </w:r>
      <w:r w:rsidR="00A3674D" w:rsidRPr="00A3674D">
        <w:t>Histology (Unstratified data)</w:t>
      </w:r>
    </w:p>
    <w:p w:rsidR="001A4A69" w:rsidRDefault="001A4A69" w:rsidP="00C748DA">
      <w:r>
        <w:rPr>
          <w:noProof/>
          <w:lang w:eastAsia="en-AU"/>
        </w:rPr>
        <w:drawing>
          <wp:inline distT="0" distB="0" distL="0" distR="0" wp14:anchorId="78B3CA65" wp14:editId="24686F04">
            <wp:extent cx="5400040" cy="5440425"/>
            <wp:effectExtent l="0" t="0" r="0" b="8255"/>
            <wp:docPr id="4" name="Picture 4" descr="Table 10: Summary of Overall Efficacy for Patients with Adenosquamous (AS) Histology (Unstratifi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5440425"/>
                    </a:xfrm>
                    <a:prstGeom prst="rect">
                      <a:avLst/>
                    </a:prstGeom>
                  </pic:spPr>
                </pic:pic>
              </a:graphicData>
            </a:graphic>
          </wp:inline>
        </w:drawing>
      </w:r>
    </w:p>
    <w:p w:rsidR="001A4A69" w:rsidRDefault="001A4A69" w:rsidP="001A4A69">
      <w:pPr>
        <w:pStyle w:val="Tabletitle0"/>
      </w:pPr>
      <w:r w:rsidRPr="001A4A69">
        <w:lastRenderedPageBreak/>
        <w:t xml:space="preserve">Table </w:t>
      </w:r>
      <w:r w:rsidR="00E95BD0">
        <w:t>11:</w:t>
      </w:r>
      <w:r w:rsidRPr="001A4A69">
        <w:t xml:space="preserve"> Summary of Overall Efficacy for Patients with Adenocarcinoma (AC) Histology</w:t>
      </w:r>
      <w:r w:rsidR="00A3674D">
        <w:t xml:space="preserve"> (</w:t>
      </w:r>
      <w:r w:rsidR="00A3674D" w:rsidRPr="00A3674D">
        <w:t>Unstratified data</w:t>
      </w:r>
      <w:r w:rsidR="00A3674D">
        <w:t>)</w:t>
      </w:r>
    </w:p>
    <w:p w:rsidR="001A4A69" w:rsidRPr="001A4A69" w:rsidRDefault="001A4A69" w:rsidP="00C748DA">
      <w:r>
        <w:rPr>
          <w:noProof/>
          <w:lang w:eastAsia="en-AU"/>
        </w:rPr>
        <w:drawing>
          <wp:inline distT="0" distB="0" distL="0" distR="0" wp14:anchorId="2404AAC2" wp14:editId="6217992F">
            <wp:extent cx="5400040" cy="5424271"/>
            <wp:effectExtent l="0" t="0" r="0" b="5080"/>
            <wp:docPr id="5" name="Picture 5" descr="Table 11: Summary of Overall Efficacy for Patients with Adenocarcinoma (AC) Histology (Unstratifi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5424271"/>
                    </a:xfrm>
                    <a:prstGeom prst="rect">
                      <a:avLst/>
                    </a:prstGeom>
                  </pic:spPr>
                </pic:pic>
              </a:graphicData>
            </a:graphic>
          </wp:inline>
        </w:drawing>
      </w:r>
    </w:p>
    <w:p w:rsidR="003E6952" w:rsidRPr="003E6952" w:rsidRDefault="003E6952" w:rsidP="003E6952">
      <w:r w:rsidRPr="003E6952">
        <w:t>Furthermore, there is no clinical rationale to treat subgroups of patients with AC and AS differently from</w:t>
      </w:r>
      <w:r>
        <w:t xml:space="preserve"> </w:t>
      </w:r>
      <w:r w:rsidRPr="003E6952">
        <w:t>patients with SCCA of the cervix. This has been addressed in an analys</w:t>
      </w:r>
      <w:r>
        <w:t xml:space="preserve">is done by </w:t>
      </w:r>
      <w:proofErr w:type="spellStart"/>
      <w:r>
        <w:t>Seamon</w:t>
      </w:r>
      <w:proofErr w:type="spellEnd"/>
      <w:r>
        <w:t xml:space="preserve"> et al. (2014)</w:t>
      </w:r>
      <w:r w:rsidR="008C181D">
        <w:rPr>
          <w:rStyle w:val="FootnoteReference"/>
        </w:rPr>
        <w:footnoteReference w:id="16"/>
      </w:r>
      <w:r w:rsidRPr="003E6952">
        <w:t xml:space="preserve"> which showed that Study GOG-0240 was not sufficiently p</w:t>
      </w:r>
      <w:r>
        <w:t xml:space="preserve">owered for AC or AS to draw any </w:t>
      </w:r>
      <w:r w:rsidRPr="003E6952">
        <w:t>conclusions regarding the efficacy of incorporation of anti-angioge</w:t>
      </w:r>
      <w:r>
        <w:t xml:space="preserve">nesis therapy in these uncommon </w:t>
      </w:r>
      <w:r w:rsidRPr="003E6952">
        <w:t>histologies. The results of</w:t>
      </w:r>
      <w:r w:rsidR="00AC2ABD">
        <w:t xml:space="preserve"> the analysis (see response </w:t>
      </w:r>
      <w:r w:rsidR="00AC2ABD" w:rsidRPr="00E55C26">
        <w:t>to Q</w:t>
      </w:r>
      <w:r w:rsidRPr="00E55C26">
        <w:t xml:space="preserve">uestion 3 </w:t>
      </w:r>
      <w:r w:rsidR="00E55C26" w:rsidRPr="00E55C26">
        <w:t>below</w:t>
      </w:r>
      <w:r w:rsidR="00E55C26">
        <w:t xml:space="preserve"> </w:t>
      </w:r>
      <w:r w:rsidRPr="003E6952">
        <w:t>for d</w:t>
      </w:r>
      <w:r>
        <w:t xml:space="preserve">etails) are consistent with the </w:t>
      </w:r>
      <w:r w:rsidRPr="003E6952">
        <w:t>hypothesis that the AC or AS carcinoma histologic subtypes are not s</w:t>
      </w:r>
      <w:r>
        <w:t xml:space="preserve">ignificantly different in their </w:t>
      </w:r>
      <w:r w:rsidRPr="003E6952">
        <w:t>biologic response to systemic therapy in the recurrent/metastatic setting, and this supports the use of</w:t>
      </w:r>
      <w:r>
        <w:t xml:space="preserve"> </w:t>
      </w:r>
      <w:r w:rsidRPr="003E6952">
        <w:t>bevacizumab plus chemotherapy in patients with advanced cervical cancer regardless of histologic</w:t>
      </w:r>
      <w:r>
        <w:t xml:space="preserve"> </w:t>
      </w:r>
      <w:r w:rsidRPr="003E6952">
        <w:t>subtype.</w:t>
      </w:r>
    </w:p>
    <w:p w:rsidR="003E6952" w:rsidRPr="003E6952" w:rsidRDefault="003E6952" w:rsidP="003E6952">
      <w:r w:rsidRPr="003E6952">
        <w:t xml:space="preserve">Globally, the standard of care is that non-squamous and squamous cell </w:t>
      </w:r>
      <w:r w:rsidR="00E55C26" w:rsidRPr="003E6952">
        <w:t>ca</w:t>
      </w:r>
      <w:r w:rsidR="00E55C26">
        <w:t>rcinomas are</w:t>
      </w:r>
      <w:r>
        <w:t xml:space="preserve"> treated in the same </w:t>
      </w:r>
      <w:r w:rsidRPr="003E6952">
        <w:t>manner. The median duration of OS in patients with metastatic carcinoma of the cervix is</w:t>
      </w:r>
      <w:r w:rsidR="00AC2ABD">
        <w:t xml:space="preserve"> ≤</w:t>
      </w:r>
      <w:r>
        <w:t xml:space="preserve"> 12 months, </w:t>
      </w:r>
      <w:r w:rsidRPr="003E6952">
        <w:t>with current treatment options providing limited clinical bene</w:t>
      </w:r>
      <w:r>
        <w:t xml:space="preserve">fit. In addition, patients with </w:t>
      </w:r>
      <w:r w:rsidRPr="003E6952">
        <w:t xml:space="preserve">adenocarcinoma histology subtypes may have a </w:t>
      </w:r>
      <w:r w:rsidRPr="003E6952">
        <w:lastRenderedPageBreak/>
        <w:t>poorer prognosis t</w:t>
      </w:r>
      <w:r>
        <w:t xml:space="preserve">han patients with squamous cell </w:t>
      </w:r>
      <w:r w:rsidRPr="003E6952">
        <w:t>carcinomas. There is currently no evidence for patients with these h</w:t>
      </w:r>
      <w:r>
        <w:t xml:space="preserve">istology subtypes to be treated </w:t>
      </w:r>
      <w:r w:rsidRPr="003E6952">
        <w:t>differently to patients with squamous cell carcinoma and as such the p</w:t>
      </w:r>
      <w:r>
        <w:t xml:space="preserve">otential benefit on improved OS </w:t>
      </w:r>
      <w:r w:rsidRPr="003E6952">
        <w:t>should not be withheld from patients with cervical AC or AS carcinom</w:t>
      </w:r>
      <w:r>
        <w:t xml:space="preserve">a due to the high unmet need in </w:t>
      </w:r>
      <w:r w:rsidRPr="003E6952">
        <w:t>this group of patients.</w:t>
      </w:r>
    </w:p>
    <w:p w:rsidR="003E6952" w:rsidRPr="003E6952" w:rsidRDefault="003E6952" w:rsidP="003E6952">
      <w:r w:rsidRPr="003E6952">
        <w:t xml:space="preserve">Given the relevant statistical and clinical rationale described above, the </w:t>
      </w:r>
      <w:r w:rsidR="00AC2ABD">
        <w:t>sponsor</w:t>
      </w:r>
      <w:r w:rsidRPr="003E6952">
        <w:t xml:space="preserve"> does not concur with the Delegate’s recommendation to restrict the indication to patients with metastatic squamous cell carcinoma only. The </w:t>
      </w:r>
      <w:r w:rsidR="00AC2ABD">
        <w:t>sponsor</w:t>
      </w:r>
      <w:r w:rsidRPr="003E6952">
        <w:t xml:space="preserve"> maintains that the indication proposed by Roche is appropriate for registration:</w:t>
      </w:r>
    </w:p>
    <w:p w:rsidR="003E6952" w:rsidRPr="003E6952" w:rsidRDefault="003E6952" w:rsidP="003E6952">
      <w:pPr>
        <w:ind w:left="720"/>
        <w:rPr>
          <w:i/>
        </w:rPr>
      </w:pPr>
      <w:r w:rsidRPr="003E6952">
        <w:rPr>
          <w:i/>
        </w:rPr>
        <w:t>“Avastin (bevacizumab) in combination with paclitaxel and cisplatin or paclitaxel and topotecan is indicated for the treatment of persistent, recurrent or metastatic carcinoma of the cervix.</w:t>
      </w:r>
    </w:p>
    <w:p w:rsidR="003E6952" w:rsidRPr="003E6952" w:rsidRDefault="003E6952" w:rsidP="003E6952">
      <w:pPr>
        <w:ind w:left="720"/>
        <w:rPr>
          <w:i/>
        </w:rPr>
      </w:pPr>
      <w:r w:rsidRPr="003E6952">
        <w:rPr>
          <w:i/>
        </w:rPr>
        <w:t>Avastin (bevacizumab) in combination with paclitaxel and topotecan is an acceptable alternative where cisplatin is not tolerated or not indicated”</w:t>
      </w:r>
    </w:p>
    <w:p w:rsidR="003E6952" w:rsidRPr="003E6952" w:rsidRDefault="008C181D" w:rsidP="008C181D">
      <w:pPr>
        <w:pStyle w:val="Heading5"/>
      </w:pPr>
      <w:r>
        <w:t>Response to o</w:t>
      </w:r>
      <w:r w:rsidR="003E6952" w:rsidRPr="003E6952">
        <w:t>utstanding questions for the sponsor</w:t>
      </w:r>
      <w:r>
        <w:t xml:space="preserve"> (from the second round clinical evaluation)</w:t>
      </w:r>
    </w:p>
    <w:p w:rsidR="003E6952" w:rsidRPr="008C181D" w:rsidRDefault="003E6952" w:rsidP="008C181D">
      <w:pPr>
        <w:pStyle w:val="Numberbullet0"/>
        <w:numPr>
          <w:ilvl w:val="0"/>
          <w:numId w:val="46"/>
        </w:numPr>
        <w:rPr>
          <w:i/>
        </w:rPr>
      </w:pPr>
      <w:r w:rsidRPr="008C181D">
        <w:rPr>
          <w:i/>
        </w:rPr>
        <w:t>The sponsor should present the data regarding the proportion of patients in the bevacizumab and placebo arms of GOG0240 that had confirmed platinum resistance.</w:t>
      </w:r>
    </w:p>
    <w:p w:rsidR="003E6952" w:rsidRDefault="003E6952" w:rsidP="003E6952">
      <w:r w:rsidRPr="003E6952">
        <w:t xml:space="preserve">As requested, the top-line efficacy results, including OS, PFS, and ORR, </w:t>
      </w:r>
      <w:r>
        <w:t xml:space="preserve">are presented by chemotherapy </w:t>
      </w:r>
      <w:r w:rsidRPr="003E6952">
        <w:t>backbone for the patients who had received prior platinum the</w:t>
      </w:r>
      <w:r>
        <w:t xml:space="preserve">rapy and thus may have platinum </w:t>
      </w:r>
      <w:r w:rsidRPr="003E6952">
        <w:t xml:space="preserve">resistance in the Chemo alone (non-bevacizumab) and Chemo + </w:t>
      </w:r>
      <w:proofErr w:type="spellStart"/>
      <w:r w:rsidRPr="003E6952">
        <w:t>Bv</w:t>
      </w:r>
      <w:proofErr w:type="spellEnd"/>
      <w:r w:rsidRPr="003E6952">
        <w:t xml:space="preserve"> (</w:t>
      </w:r>
      <w:proofErr w:type="spellStart"/>
      <w:r w:rsidRPr="003E6952">
        <w:t>beva</w:t>
      </w:r>
      <w:r>
        <w:t>cizumab</w:t>
      </w:r>
      <w:proofErr w:type="spellEnd"/>
      <w:r>
        <w:t xml:space="preserve">) arms, respectively, in </w:t>
      </w:r>
      <w:r w:rsidRPr="003E6952">
        <w:t>Study GOG-0240 (</w:t>
      </w:r>
      <w:r w:rsidRPr="00E95BD0">
        <w:t>see Table 1</w:t>
      </w:r>
      <w:r w:rsidR="00E95BD0" w:rsidRPr="00E95BD0">
        <w:t>2</w:t>
      </w:r>
      <w:r w:rsidRPr="00E95BD0">
        <w:t xml:space="preserve"> and Table </w:t>
      </w:r>
      <w:r w:rsidR="00E95BD0" w:rsidRPr="00E95BD0">
        <w:t>13</w:t>
      </w:r>
      <w:r w:rsidRPr="00E95BD0">
        <w:t>).</w:t>
      </w:r>
    </w:p>
    <w:p w:rsidR="00E55C26" w:rsidRDefault="00E55C26" w:rsidP="00E55C26">
      <w:pPr>
        <w:pStyle w:val="Tabletitle0"/>
      </w:pPr>
      <w:r w:rsidRPr="00E55C26">
        <w:lastRenderedPageBreak/>
        <w:t xml:space="preserve">Table </w:t>
      </w:r>
      <w:r w:rsidR="00E95BD0">
        <w:t>12:</w:t>
      </w:r>
      <w:r w:rsidR="009D4AE1">
        <w:t xml:space="preserve"> </w:t>
      </w:r>
      <w:r w:rsidRPr="00E55C26">
        <w:t>Summary of Overall Efficacy for Bevacizumab Patients Who Received Prior Platinum Therapy by Chemotherapy Backbone</w:t>
      </w:r>
    </w:p>
    <w:p w:rsidR="00E55C26" w:rsidRDefault="00E55C26" w:rsidP="001E697B">
      <w:r>
        <w:rPr>
          <w:noProof/>
          <w:lang w:eastAsia="en-AU"/>
        </w:rPr>
        <w:drawing>
          <wp:inline distT="0" distB="0" distL="0" distR="0" wp14:anchorId="050DBFFE" wp14:editId="7B8B288B">
            <wp:extent cx="5400040" cy="5447925"/>
            <wp:effectExtent l="0" t="0" r="0" b="635"/>
            <wp:docPr id="12" name="Picture 12" descr="Table 12:  Summary of Overall Efficacy for Bevacizumab Patients Who Received Prior Platinum Therapy by Chemotherapy Back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Lst>
                    </a:blip>
                    <a:stretch>
                      <a:fillRect/>
                    </a:stretch>
                  </pic:blipFill>
                  <pic:spPr>
                    <a:xfrm>
                      <a:off x="0" y="0"/>
                      <a:ext cx="5400040" cy="5447925"/>
                    </a:xfrm>
                    <a:prstGeom prst="rect">
                      <a:avLst/>
                    </a:prstGeom>
                  </pic:spPr>
                </pic:pic>
              </a:graphicData>
            </a:graphic>
          </wp:inline>
        </w:drawing>
      </w:r>
    </w:p>
    <w:p w:rsidR="00E55C26" w:rsidRDefault="00E55C26" w:rsidP="00E55C26">
      <w:pPr>
        <w:pStyle w:val="Tabletitle0"/>
      </w:pPr>
      <w:r>
        <w:lastRenderedPageBreak/>
        <w:t xml:space="preserve">Table </w:t>
      </w:r>
      <w:r w:rsidR="00E95BD0">
        <w:t>13:</w:t>
      </w:r>
      <w:r>
        <w:t xml:space="preserve"> Summary of Overall Efficacy for Non−Bevacizumab Patients who received prior Platinum Therapy by Chemotherapy Backbone</w:t>
      </w:r>
    </w:p>
    <w:p w:rsidR="00665318" w:rsidRPr="00665318" w:rsidRDefault="00665318" w:rsidP="00994DB9">
      <w:r>
        <w:rPr>
          <w:noProof/>
          <w:lang w:eastAsia="en-AU"/>
        </w:rPr>
        <w:drawing>
          <wp:inline distT="0" distB="0" distL="0" distR="0" wp14:anchorId="0AB5AE53" wp14:editId="76ED6BD5">
            <wp:extent cx="5400040" cy="5431771"/>
            <wp:effectExtent l="0" t="0" r="0" b="0"/>
            <wp:docPr id="13" name="Picture 13" descr="Table 13: Summary of Overall Efficacy for Non−Bevacizumab Patients who received prior Platinum Therapy by Chemotherapy Back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Lst>
                    </a:blip>
                    <a:stretch>
                      <a:fillRect/>
                    </a:stretch>
                  </pic:blipFill>
                  <pic:spPr>
                    <a:xfrm>
                      <a:off x="0" y="0"/>
                      <a:ext cx="5400040" cy="5431771"/>
                    </a:xfrm>
                    <a:prstGeom prst="rect">
                      <a:avLst/>
                    </a:prstGeom>
                  </pic:spPr>
                </pic:pic>
              </a:graphicData>
            </a:graphic>
          </wp:inline>
        </w:drawing>
      </w:r>
    </w:p>
    <w:p w:rsidR="003E6952" w:rsidRPr="003E6952" w:rsidRDefault="003E6952" w:rsidP="003E6952">
      <w:r w:rsidRPr="003E6952">
        <w:t>A tot</w:t>
      </w:r>
      <w:r w:rsidR="009100B8">
        <w:t xml:space="preserve">al of 169 patients in the </w:t>
      </w:r>
      <w:proofErr w:type="spellStart"/>
      <w:r w:rsidR="009100B8">
        <w:t>Chemo+</w:t>
      </w:r>
      <w:r w:rsidRPr="003E6952">
        <w:t>Bv</w:t>
      </w:r>
      <w:proofErr w:type="spellEnd"/>
      <w:r w:rsidRPr="003E6952">
        <w:t xml:space="preserve"> arm had received prio</w:t>
      </w:r>
      <w:r>
        <w:t xml:space="preserve">r platinum therapy and may have </w:t>
      </w:r>
      <w:r w:rsidRPr="003E6952">
        <w:t xml:space="preserve">platinum resistance; 87 patients in the </w:t>
      </w:r>
      <w:proofErr w:type="spellStart"/>
      <w:r w:rsidR="009100B8">
        <w:t>Cis+Pac+Bv</w:t>
      </w:r>
      <w:proofErr w:type="spellEnd"/>
      <w:proofErr w:type="gramStart"/>
      <w:r w:rsidR="009100B8">
        <w:t>)</w:t>
      </w:r>
      <w:r>
        <w:t>arm</w:t>
      </w:r>
      <w:proofErr w:type="gramEnd"/>
      <w:r>
        <w:t xml:space="preserve"> and </w:t>
      </w:r>
      <w:r w:rsidRPr="003E6952">
        <w:t xml:space="preserve">82 patients in the </w:t>
      </w:r>
      <w:proofErr w:type="spellStart"/>
      <w:r w:rsidR="009100B8">
        <w:t>Top+Pac+Bv</w:t>
      </w:r>
      <w:proofErr w:type="spellEnd"/>
      <w:r w:rsidRPr="003E6952">
        <w:t xml:space="preserve"> </w:t>
      </w:r>
      <w:r>
        <w:t xml:space="preserve">arm. A total of 164 patients in </w:t>
      </w:r>
      <w:r w:rsidRPr="003E6952">
        <w:t>the Chemo alone arm had received prior platinum therapy and may have p</w:t>
      </w:r>
      <w:r>
        <w:t xml:space="preserve">latinum resistance; 85 patients </w:t>
      </w:r>
      <w:r w:rsidRPr="003E6952">
        <w:t xml:space="preserve">in the </w:t>
      </w:r>
      <w:proofErr w:type="spellStart"/>
      <w:r w:rsidR="009100B8">
        <w:t>Cis+Pac</w:t>
      </w:r>
      <w:proofErr w:type="spellEnd"/>
      <w:r w:rsidRPr="003E6952">
        <w:t xml:space="preserve"> arm and 79 patients in the </w:t>
      </w:r>
      <w:proofErr w:type="spellStart"/>
      <w:r w:rsidR="009100B8">
        <w:t>Top+Pac</w:t>
      </w:r>
      <w:proofErr w:type="spellEnd"/>
      <w:r>
        <w:t xml:space="preserve"> </w:t>
      </w:r>
      <w:r w:rsidRPr="003E6952">
        <w:t>arm.</w:t>
      </w:r>
    </w:p>
    <w:p w:rsidR="003E6952" w:rsidRPr="003E6952" w:rsidRDefault="003E6952" w:rsidP="003E6952">
      <w:r w:rsidRPr="003E6952">
        <w:t>In the analysis of OS in bevacizumab patients who received prior platinum</w:t>
      </w:r>
      <w:r>
        <w:t xml:space="preserve"> therapy, the hazard ratio (HR) </w:t>
      </w:r>
      <w:r w:rsidR="009100B8">
        <w:t xml:space="preserve">comparing the </w:t>
      </w:r>
      <w:proofErr w:type="spellStart"/>
      <w:r w:rsidR="009100B8">
        <w:t>Top+Pac+</w:t>
      </w:r>
      <w:r w:rsidRPr="003E6952">
        <w:t>Bv</w:t>
      </w:r>
      <w:proofErr w:type="spellEnd"/>
      <w:r w:rsidRPr="003E6952">
        <w:t xml:space="preserve"> </w:t>
      </w:r>
      <w:r w:rsidR="00DA4DE1">
        <w:t>versus</w:t>
      </w:r>
      <w:r w:rsidR="009100B8">
        <w:t xml:space="preserve"> </w:t>
      </w:r>
      <w:proofErr w:type="spellStart"/>
      <w:r w:rsidR="009100B8">
        <w:t>Cis+Pac+</w:t>
      </w:r>
      <w:r w:rsidRPr="003E6952">
        <w:t>Bv</w:t>
      </w:r>
      <w:proofErr w:type="spellEnd"/>
      <w:r w:rsidRPr="003E6952">
        <w:t xml:space="preserve"> arms was estimated to be 1.07 (95% CI: 0.74, 1.5</w:t>
      </w:r>
      <w:r>
        <w:t xml:space="preserve">6; </w:t>
      </w:r>
      <w:r w:rsidRPr="003E6952">
        <w:t xml:space="preserve">log-rank p-value = 0.7050), with a median duration of OS of 15.4 months in the </w:t>
      </w:r>
      <w:proofErr w:type="spellStart"/>
      <w:r w:rsidR="009100B8">
        <w:t>Cis+Pac+</w:t>
      </w:r>
      <w:r w:rsidR="009100B8" w:rsidRPr="003E6952">
        <w:t>Bv</w:t>
      </w:r>
      <w:proofErr w:type="spellEnd"/>
      <w:r>
        <w:t xml:space="preserve"> arm and </w:t>
      </w:r>
      <w:r w:rsidRPr="003E6952">
        <w:t xml:space="preserve">14.2 months in the </w:t>
      </w:r>
      <w:proofErr w:type="spellStart"/>
      <w:r w:rsidR="009100B8">
        <w:t>Top</w:t>
      </w:r>
      <w:r w:rsidR="009100B8">
        <w:rPr>
          <w:lang w:eastAsia="en-AU"/>
        </w:rPr>
        <w:t>+</w:t>
      </w:r>
      <w:r w:rsidR="009100B8">
        <w:t>Pac</w:t>
      </w:r>
      <w:r w:rsidR="009100B8">
        <w:rPr>
          <w:lang w:eastAsia="en-AU"/>
        </w:rPr>
        <w:t>+</w:t>
      </w:r>
      <w:r w:rsidR="009100B8">
        <w:t>Bv</w:t>
      </w:r>
      <w:proofErr w:type="spellEnd"/>
      <w:r w:rsidR="009100B8" w:rsidRPr="003E6952">
        <w:t xml:space="preserve"> </w:t>
      </w:r>
      <w:r w:rsidRPr="003E6952">
        <w:t>arm. In the analysis of PFS, the H</w:t>
      </w:r>
      <w:r>
        <w:t xml:space="preserve">R was 1.35 (95% CI: 0.97, 1.88; </w:t>
      </w:r>
      <w:r w:rsidRPr="003E6952">
        <w:t>log-rank p-value = 0.0749) and showed a median time to progressio</w:t>
      </w:r>
      <w:r>
        <w:t xml:space="preserve">n or death of 8.8 months in the </w:t>
      </w:r>
      <w:proofErr w:type="spellStart"/>
      <w:r w:rsidR="009100B8">
        <w:t>Cis+Pac+</w:t>
      </w:r>
      <w:r w:rsidR="009100B8" w:rsidRPr="003E6952">
        <w:t>Bv</w:t>
      </w:r>
      <w:proofErr w:type="spellEnd"/>
      <w:r w:rsidR="009100B8" w:rsidRPr="003E6952">
        <w:t xml:space="preserve"> </w:t>
      </w:r>
      <w:r w:rsidRPr="003E6952">
        <w:t xml:space="preserve">arm and 6.0 months in the </w:t>
      </w:r>
      <w:proofErr w:type="spellStart"/>
      <w:r w:rsidR="009100B8">
        <w:t>Top</w:t>
      </w:r>
      <w:r w:rsidR="009100B8">
        <w:rPr>
          <w:lang w:eastAsia="en-AU"/>
        </w:rPr>
        <w:t>+</w:t>
      </w:r>
      <w:r w:rsidR="009100B8">
        <w:t>Pac</w:t>
      </w:r>
      <w:r w:rsidR="009100B8">
        <w:rPr>
          <w:lang w:eastAsia="en-AU"/>
        </w:rPr>
        <w:t>+</w:t>
      </w:r>
      <w:r w:rsidR="009100B8">
        <w:t>Bv</w:t>
      </w:r>
      <w:proofErr w:type="spellEnd"/>
      <w:r w:rsidRPr="003E6952">
        <w:t xml:space="preserve"> arm. An </w:t>
      </w:r>
      <w:r>
        <w:t xml:space="preserve">analysis of ORR by chemotherapy </w:t>
      </w:r>
      <w:r w:rsidRPr="003E6952">
        <w:t>backbone in bevacizumab patients who received prior platinum therap</w:t>
      </w:r>
      <w:r>
        <w:t xml:space="preserve">y showed that the proportion of </w:t>
      </w:r>
      <w:r w:rsidRPr="003E6952">
        <w:t xml:space="preserve">responders in the </w:t>
      </w:r>
      <w:proofErr w:type="spellStart"/>
      <w:r w:rsidR="009100B8">
        <w:t>Cis+Pac+</w:t>
      </w:r>
      <w:r w:rsidR="009100B8" w:rsidRPr="003E6952">
        <w:t>Bv</w:t>
      </w:r>
      <w:proofErr w:type="spellEnd"/>
      <w:r w:rsidR="009100B8" w:rsidRPr="003E6952">
        <w:t xml:space="preserve"> </w:t>
      </w:r>
      <w:r w:rsidRPr="003E6952">
        <w:t xml:space="preserve">arm was 41.4% (36 of 87) and 37.8% in the </w:t>
      </w:r>
      <w:proofErr w:type="spellStart"/>
      <w:r w:rsidR="009100B8">
        <w:t>Top</w:t>
      </w:r>
      <w:r w:rsidR="009100B8">
        <w:rPr>
          <w:lang w:eastAsia="en-AU"/>
        </w:rPr>
        <w:t>+</w:t>
      </w:r>
      <w:r w:rsidR="009100B8">
        <w:t>Pac</w:t>
      </w:r>
      <w:r w:rsidR="009100B8">
        <w:rPr>
          <w:lang w:eastAsia="en-AU"/>
        </w:rPr>
        <w:t>+</w:t>
      </w:r>
      <w:r w:rsidR="009100B8">
        <w:t>Bv</w:t>
      </w:r>
      <w:proofErr w:type="spellEnd"/>
      <w:r>
        <w:t xml:space="preserve"> arm (31 of </w:t>
      </w:r>
      <w:r w:rsidRPr="003E6952">
        <w:t>82).</w:t>
      </w:r>
    </w:p>
    <w:p w:rsidR="003E6952" w:rsidRPr="003E6952" w:rsidRDefault="003E6952" w:rsidP="003E6952">
      <w:r w:rsidRPr="003E6952">
        <w:t>In the analysis of OS in non-bevacizumab patients (</w:t>
      </w:r>
      <w:r w:rsidR="008C181D">
        <w:t>that is</w:t>
      </w:r>
      <w:r w:rsidR="00665318">
        <w:t>, c</w:t>
      </w:r>
      <w:r w:rsidRPr="003E6952">
        <w:t>hemotherap</w:t>
      </w:r>
      <w:r>
        <w:t xml:space="preserve">y alone arm) who received prior </w:t>
      </w:r>
      <w:r w:rsidRPr="003E6952">
        <w:t xml:space="preserve">platinum therapy, the HR comparing the </w:t>
      </w:r>
      <w:proofErr w:type="spellStart"/>
      <w:r w:rsidR="009100B8">
        <w:t>Top</w:t>
      </w:r>
      <w:r w:rsidR="009100B8">
        <w:rPr>
          <w:lang w:eastAsia="en-AU"/>
        </w:rPr>
        <w:t>+</w:t>
      </w:r>
      <w:r w:rsidR="009100B8">
        <w:t>Pac</w:t>
      </w:r>
      <w:proofErr w:type="spellEnd"/>
      <w:r w:rsidRPr="003E6952">
        <w:t xml:space="preserve"> </w:t>
      </w:r>
      <w:r w:rsidR="00DA4DE1">
        <w:t>versus</w:t>
      </w:r>
      <w:r w:rsidRPr="003E6952">
        <w:t xml:space="preserve"> </w:t>
      </w:r>
      <w:proofErr w:type="spellStart"/>
      <w:r w:rsidR="009100B8">
        <w:t>Cis</w:t>
      </w:r>
      <w:r w:rsidR="009100B8">
        <w:rPr>
          <w:lang w:eastAsia="en-AU"/>
        </w:rPr>
        <w:t>+</w:t>
      </w:r>
      <w:r w:rsidR="009100B8">
        <w:t>Pac</w:t>
      </w:r>
      <w:proofErr w:type="spellEnd"/>
      <w:r w:rsidRPr="003E6952">
        <w:t xml:space="preserve"> arms wa</w:t>
      </w:r>
      <w:r>
        <w:t xml:space="preserve">s </w:t>
      </w:r>
      <w:r>
        <w:lastRenderedPageBreak/>
        <w:t xml:space="preserve">estimated to be 1.17 (95% CI: </w:t>
      </w:r>
      <w:r w:rsidRPr="003E6952">
        <w:t xml:space="preserve">0.80, 1.72; log-rank p-value = 0.4083), with a median duration of OS of 12.1 months in the </w:t>
      </w:r>
      <w:proofErr w:type="spellStart"/>
      <w:r w:rsidR="009100B8">
        <w:t>Cis</w:t>
      </w:r>
      <w:r w:rsidR="009100B8">
        <w:rPr>
          <w:lang w:eastAsia="en-AU"/>
        </w:rPr>
        <w:t>+</w:t>
      </w:r>
      <w:r w:rsidR="009100B8">
        <w:t>Pac</w:t>
      </w:r>
      <w:proofErr w:type="spellEnd"/>
      <w:r>
        <w:t xml:space="preserve"> </w:t>
      </w:r>
      <w:r w:rsidRPr="003E6952">
        <w:t xml:space="preserve">arm and 10.9 months in the </w:t>
      </w:r>
      <w:proofErr w:type="spellStart"/>
      <w:r w:rsidR="009100B8">
        <w:t>Top</w:t>
      </w:r>
      <w:r w:rsidR="009100B8">
        <w:rPr>
          <w:lang w:eastAsia="en-AU"/>
        </w:rPr>
        <w:t>+</w:t>
      </w:r>
      <w:r w:rsidR="009100B8">
        <w:t>Pac</w:t>
      </w:r>
      <w:proofErr w:type="spellEnd"/>
      <w:r w:rsidRPr="003E6952">
        <w:t xml:space="preserve"> arm. In the analysis of PFS, the H</w:t>
      </w:r>
      <w:r>
        <w:t xml:space="preserve">R was 1.22 (95% CI: 0.88, 1.70; </w:t>
      </w:r>
      <w:r w:rsidRPr="003E6952">
        <w:t>log-rank p-value = 0.2367) and showed a median time to progression or death of 6.5 months in the</w:t>
      </w:r>
      <w:r>
        <w:t xml:space="preserve"> </w:t>
      </w:r>
      <w:proofErr w:type="spellStart"/>
      <w:r w:rsidR="009100B8">
        <w:t>Cis</w:t>
      </w:r>
      <w:r w:rsidR="009100B8">
        <w:rPr>
          <w:lang w:eastAsia="en-AU"/>
        </w:rPr>
        <w:t>+</w:t>
      </w:r>
      <w:r w:rsidR="009100B8">
        <w:t>Pac</w:t>
      </w:r>
      <w:proofErr w:type="spellEnd"/>
      <w:r w:rsidRPr="003E6952">
        <w:t xml:space="preserve"> arm and 4.9 months in the </w:t>
      </w:r>
      <w:proofErr w:type="spellStart"/>
      <w:r w:rsidR="009100B8">
        <w:t>Top</w:t>
      </w:r>
      <w:r w:rsidR="009100B8">
        <w:rPr>
          <w:lang w:eastAsia="en-AU"/>
        </w:rPr>
        <w:t>+</w:t>
      </w:r>
      <w:r w:rsidR="009100B8">
        <w:t>Pac</w:t>
      </w:r>
      <w:proofErr w:type="spellEnd"/>
      <w:r w:rsidRPr="003E6952">
        <w:t xml:space="preserve"> arm. An analysis of ORR by chemotherapy backbone in</w:t>
      </w:r>
      <w:r>
        <w:t xml:space="preserve"> </w:t>
      </w:r>
      <w:r w:rsidRPr="003E6952">
        <w:t>non-bevacizumab (</w:t>
      </w:r>
      <w:r w:rsidR="008C181D">
        <w:t>that is</w:t>
      </w:r>
      <w:r w:rsidR="00665318">
        <w:t>, c</w:t>
      </w:r>
      <w:r w:rsidRPr="003E6952">
        <w:t>hemotherapy alone arm) patients who received prior p</w:t>
      </w:r>
      <w:r>
        <w:t xml:space="preserve">latinum therapy showed </w:t>
      </w:r>
      <w:r w:rsidRPr="003E6952">
        <w:t xml:space="preserve">that the proportion of responders in the </w:t>
      </w:r>
      <w:proofErr w:type="spellStart"/>
      <w:r w:rsidR="009100B8">
        <w:t>Cis</w:t>
      </w:r>
      <w:r w:rsidR="009100B8">
        <w:rPr>
          <w:lang w:eastAsia="en-AU"/>
        </w:rPr>
        <w:t>+</w:t>
      </w:r>
      <w:r w:rsidR="009100B8">
        <w:t>Pac</w:t>
      </w:r>
      <w:proofErr w:type="spellEnd"/>
      <w:r w:rsidRPr="003E6952">
        <w:t xml:space="preserve"> arm was 35.3% (30 of 85) and 22.8% in the </w:t>
      </w:r>
      <w:proofErr w:type="spellStart"/>
      <w:r w:rsidR="009100B8">
        <w:t>Top</w:t>
      </w:r>
      <w:r w:rsidR="009100B8">
        <w:rPr>
          <w:lang w:eastAsia="en-AU"/>
        </w:rPr>
        <w:t>+</w:t>
      </w:r>
      <w:r w:rsidR="009100B8">
        <w:t>Pac</w:t>
      </w:r>
      <w:proofErr w:type="spellEnd"/>
      <w:r>
        <w:t xml:space="preserve"> </w:t>
      </w:r>
      <w:r w:rsidRPr="003E6952">
        <w:t>arm (18 of 79).</w:t>
      </w:r>
    </w:p>
    <w:p w:rsidR="003E6952" w:rsidRPr="003E6952" w:rsidRDefault="003E6952" w:rsidP="003E6952">
      <w:r w:rsidRPr="003E6952">
        <w:t>Caution needs to be taken when interpreting the results of subgroup analyses, nevertheless patients receiving bevacizumab and having received prior platinum therapy seem to have a longer median OS, longer median PFS, and a better response than those receiving chemotherapy alone and having received prior platinum therapy.</w:t>
      </w:r>
    </w:p>
    <w:p w:rsidR="003E6952" w:rsidRPr="008C181D" w:rsidRDefault="003E6952" w:rsidP="008C181D">
      <w:pPr>
        <w:pStyle w:val="Numberbullet0"/>
        <w:rPr>
          <w:i/>
        </w:rPr>
      </w:pPr>
      <w:r w:rsidRPr="008C181D">
        <w:rPr>
          <w:i/>
        </w:rPr>
        <w:t>The sponsor should justify why patients with cervical cancer and confirmed platinum resistance do not warrant a separate dosing regimen from those without platinum resistance (which is inconsistent with the dosing regimen for ovarian/fallopian tube or peritoneal cancer).</w:t>
      </w:r>
    </w:p>
    <w:p w:rsidR="003E6952" w:rsidRPr="003E6952" w:rsidRDefault="003E6952" w:rsidP="003E6952">
      <w:r w:rsidRPr="003E6952">
        <w:t>Platinum resistance has been defined in several retrospective analyses of pa</w:t>
      </w:r>
      <w:r>
        <w:t xml:space="preserve">tients treated with platinum in </w:t>
      </w:r>
      <w:r w:rsidRPr="003E6952">
        <w:t>multiple lines for recurrent ovarian cancer (</w:t>
      </w:r>
      <w:r w:rsidR="008C181D">
        <w:t>that is</w:t>
      </w:r>
      <w:r w:rsidRPr="003E6952">
        <w:t>, epithelial, fallopi</w:t>
      </w:r>
      <w:r>
        <w:t xml:space="preserve">an tube, and primary peritoneal </w:t>
      </w:r>
      <w:r w:rsidRPr="003E6952">
        <w:t>cancers), but not in cervical cancer. There is no evidence for “confirme</w:t>
      </w:r>
      <w:r>
        <w:t xml:space="preserve">d platinum” resistance in Study </w:t>
      </w:r>
      <w:r w:rsidRPr="003E6952">
        <w:t>GOG-0240. In ovarian cancer, recurrent di</w:t>
      </w:r>
      <w:r w:rsidR="00AC321D">
        <w:t xml:space="preserve">sease is classified as platinum </w:t>
      </w:r>
      <w:r w:rsidRPr="003E6952">
        <w:t>r</w:t>
      </w:r>
      <w:r w:rsidR="00AC321D">
        <w:t xml:space="preserve">esistant or platinum </w:t>
      </w:r>
      <w:r>
        <w:t xml:space="preserve">sensitive, </w:t>
      </w:r>
      <w:r w:rsidRPr="003E6952">
        <w:t xml:space="preserve">depending on whether the disease </w:t>
      </w:r>
      <w:proofErr w:type="gramStart"/>
      <w:r w:rsidRPr="003E6952">
        <w:t>recurs</w:t>
      </w:r>
      <w:proofErr w:type="gramEnd"/>
      <w:r w:rsidRPr="003E6952">
        <w:t xml:space="preserve"> &lt; 6 or </w:t>
      </w:r>
      <w:r w:rsidR="00AC321D">
        <w:t>≥</w:t>
      </w:r>
      <w:r w:rsidRPr="003E6952">
        <w:t xml:space="preserve"> 6 months following previous platinum therapy. This</w:t>
      </w:r>
      <w:r>
        <w:t xml:space="preserve"> </w:t>
      </w:r>
      <w:r w:rsidRPr="003E6952">
        <w:t>classification is highly prognostic in recurrent ovarian cancer and is impo</w:t>
      </w:r>
      <w:r>
        <w:t xml:space="preserve">rtant in determining subsequent </w:t>
      </w:r>
      <w:r w:rsidRPr="003E6952">
        <w:t xml:space="preserve">treatment </w:t>
      </w:r>
      <w:r w:rsidR="00AC321D" w:rsidRPr="003E6952">
        <w:t>options;</w:t>
      </w:r>
      <w:r w:rsidRPr="003E6952">
        <w:t xml:space="preserve"> however there are several differences with regard t</w:t>
      </w:r>
      <w:r>
        <w:t xml:space="preserve">o cervical cancer. The previous </w:t>
      </w:r>
      <w:r w:rsidRPr="003E6952">
        <w:t>platinum treatment in cervical cancer (and in the GOG-0240 trial) refers to the use of</w:t>
      </w:r>
      <w:r>
        <w:t xml:space="preserve"> cisplatin as a radio</w:t>
      </w:r>
      <w:r w:rsidR="00AC321D">
        <w:t>-</w:t>
      </w:r>
      <w:r>
        <w:t xml:space="preserve">sensitizer </w:t>
      </w:r>
      <w:r w:rsidRPr="003E6952">
        <w:t xml:space="preserve">in patients who received radiation therapy for locally advanced </w:t>
      </w:r>
      <w:r>
        <w:t xml:space="preserve">disease, and for which the dose </w:t>
      </w:r>
      <w:r w:rsidRPr="003E6952">
        <w:t>administered is low at 40 mg/m</w:t>
      </w:r>
      <w:r w:rsidRPr="00AC321D">
        <w:rPr>
          <w:vertAlign w:val="superscript"/>
        </w:rPr>
        <w:t>2</w:t>
      </w:r>
      <w:r w:rsidRPr="003E6952">
        <w:t xml:space="preserve"> every week for 6 weeks. This is not comparable to the st</w:t>
      </w:r>
      <w:r>
        <w:t xml:space="preserve">andard </w:t>
      </w:r>
      <w:r w:rsidRPr="003E6952">
        <w:t xml:space="preserve">platinum dose administered in the treatment of ovarian cancer (carboplatin </w:t>
      </w:r>
      <w:r>
        <w:t xml:space="preserve">at target AUC 5 or 6) or to the </w:t>
      </w:r>
      <w:r w:rsidRPr="003E6952">
        <w:t>dose of cisplatin in GOG-0240 given every 3 weeks until disease pro</w:t>
      </w:r>
      <w:r>
        <w:t xml:space="preserve">gression. Moreover, in cervical </w:t>
      </w:r>
      <w:r w:rsidRPr="003E6952">
        <w:t xml:space="preserve">cancer, there is no definitive definition of “platinum resistance” compared </w:t>
      </w:r>
      <w:r>
        <w:t xml:space="preserve">with the established definition </w:t>
      </w:r>
      <w:r w:rsidRPr="003E6952">
        <w:t>used in ovarian cancer, thus there is no standard treatment based on the pa</w:t>
      </w:r>
      <w:r>
        <w:t xml:space="preserve">tient’s previously demonstrated </w:t>
      </w:r>
      <w:r w:rsidRPr="003E6952">
        <w:t>sens</w:t>
      </w:r>
      <w:r w:rsidR="00AC321D">
        <w:t xml:space="preserve">itivity to a platinum </w:t>
      </w:r>
      <w:r w:rsidRPr="003E6952">
        <w:t>based chemotherapy in this disease setting.</w:t>
      </w:r>
    </w:p>
    <w:p w:rsidR="003E6952" w:rsidRPr="003E6952" w:rsidRDefault="003E6952" w:rsidP="003E6952">
      <w:r w:rsidRPr="003E6952">
        <w:t>The GOG-0240 trial specifically evaluated whether the non-platinum doubl</w:t>
      </w:r>
      <w:r>
        <w:t xml:space="preserve">et of topotecan plus paclitaxel </w:t>
      </w:r>
      <w:r w:rsidRPr="003E6952">
        <w:t>may be suitable for study in this population of potentially platinum</w:t>
      </w:r>
      <w:r w:rsidR="00AC321D">
        <w:t xml:space="preserve"> </w:t>
      </w:r>
      <w:r w:rsidRPr="003E6952">
        <w:t>resista</w:t>
      </w:r>
      <w:r>
        <w:t xml:space="preserve">nt patients. The results showed </w:t>
      </w:r>
      <w:r w:rsidRPr="003E6952">
        <w:t>that a non-platinum double</w:t>
      </w:r>
      <w:r w:rsidR="00AC321D">
        <w:t xml:space="preserve">t is not superior to a platinum </w:t>
      </w:r>
      <w:r w:rsidRPr="003E6952">
        <w:t>contai</w:t>
      </w:r>
      <w:r>
        <w:t xml:space="preserve">ning regimen in a population of </w:t>
      </w:r>
      <w:r w:rsidRPr="003E6952">
        <w:t xml:space="preserve">potentially platinum-resistant cervical cancer patients (see </w:t>
      </w:r>
      <w:r w:rsidR="00AC321D">
        <w:t>r</w:t>
      </w:r>
      <w:r w:rsidRPr="003E6952">
        <w:t>esponse to Question 1</w:t>
      </w:r>
      <w:r w:rsidR="00AC321D">
        <w:t xml:space="preserve"> above</w:t>
      </w:r>
      <w:r>
        <w:t xml:space="preserve">). In fact, this trial </w:t>
      </w:r>
      <w:r w:rsidRPr="003E6952">
        <w:t>has shown that cervical cancer patients, who received previous platinum</w:t>
      </w:r>
      <w:r>
        <w:t xml:space="preserve"> as a radio-sensitizer, benefit </w:t>
      </w:r>
      <w:r w:rsidR="00AC321D">
        <w:t xml:space="preserve">with a subsequent cisplatin </w:t>
      </w:r>
      <w:r w:rsidRPr="003E6952">
        <w:t xml:space="preserve">containing regimen given at the standard dose. </w:t>
      </w:r>
      <w:r>
        <w:t xml:space="preserve">To date, there is no definitive </w:t>
      </w:r>
      <w:r w:rsidRPr="003E6952">
        <w:t>clinical trial data or published literature in cervical cancer supporting t</w:t>
      </w:r>
      <w:r>
        <w:t xml:space="preserve">hat patients who are considered </w:t>
      </w:r>
      <w:r w:rsidRPr="003E6952">
        <w:t>potentially platinum-resistant should be given a different dosing regimen.</w:t>
      </w:r>
    </w:p>
    <w:p w:rsidR="003E6952" w:rsidRPr="008C181D" w:rsidRDefault="003E6952" w:rsidP="00AC321D">
      <w:pPr>
        <w:pStyle w:val="Numberbullet0"/>
        <w:keepNext/>
        <w:rPr>
          <w:i/>
        </w:rPr>
      </w:pPr>
      <w:r w:rsidRPr="008C181D">
        <w:rPr>
          <w:i/>
        </w:rPr>
        <w:lastRenderedPageBreak/>
        <w:t>The sponsor should provide top-line efficacy (duration of OS, duration of PFS and ORR) and safety data according to histological sub-type of cervical cancer.</w:t>
      </w:r>
    </w:p>
    <w:p w:rsidR="003E6952" w:rsidRPr="003E6952" w:rsidRDefault="003E6952" w:rsidP="003E6952">
      <w:r w:rsidRPr="003E6952">
        <w:t>As requested, the top-line efficacy and safety results, including OS, PFS</w:t>
      </w:r>
      <w:r>
        <w:t xml:space="preserve">, and ORR, for patients with AS </w:t>
      </w:r>
      <w:r w:rsidRPr="003E6952">
        <w:t xml:space="preserve">and AC histology, of which the majority are non-squamous histological </w:t>
      </w:r>
      <w:r>
        <w:t xml:space="preserve">subtypes, are presented in this </w:t>
      </w:r>
      <w:r w:rsidRPr="003E6952">
        <w:t>section</w:t>
      </w:r>
      <w:r w:rsidR="00DF67EF">
        <w:rPr>
          <w:rStyle w:val="FootnoteReference"/>
        </w:rPr>
        <w:footnoteReference w:id="17"/>
      </w:r>
      <w:r w:rsidRPr="003E6952">
        <w:t>.</w:t>
      </w:r>
    </w:p>
    <w:p w:rsidR="003E6952" w:rsidRDefault="003E6952" w:rsidP="003E6952">
      <w:r w:rsidRPr="003E6952">
        <w:t>The top-line efficacy results, including OS, PFS, and ORR, for th</w:t>
      </w:r>
      <w:r>
        <w:t xml:space="preserve">e patients with AS histology is </w:t>
      </w:r>
      <w:r w:rsidRPr="003E6952">
        <w:t xml:space="preserve">presented in </w:t>
      </w:r>
      <w:r w:rsidRPr="00E95BD0">
        <w:t xml:space="preserve">Table </w:t>
      </w:r>
      <w:r w:rsidR="00E95BD0" w:rsidRPr="00E95BD0">
        <w:t>8</w:t>
      </w:r>
      <w:r w:rsidR="00AC321D" w:rsidRPr="00E95BD0">
        <w:t xml:space="preserve"> above</w:t>
      </w:r>
      <w:r w:rsidRPr="00E95BD0">
        <w:t>. As</w:t>
      </w:r>
      <w:r w:rsidRPr="003E6952">
        <w:t xml:space="preserve"> expected, given the sma</w:t>
      </w:r>
      <w:r>
        <w:t xml:space="preserve">ll number in the non-randomized </w:t>
      </w:r>
      <w:r w:rsidRPr="003E6952">
        <w:t>subgroup of patients in the Chemo alo</w:t>
      </w:r>
      <w:r w:rsidR="009100B8">
        <w:t xml:space="preserve">ne arm (n = 21) and the </w:t>
      </w:r>
      <w:proofErr w:type="spellStart"/>
      <w:r w:rsidR="009100B8">
        <w:t>Chemo+</w:t>
      </w:r>
      <w:r w:rsidRPr="003E6952">
        <w:t>Bv</w:t>
      </w:r>
      <w:proofErr w:type="spellEnd"/>
      <w:r w:rsidRPr="003E6952">
        <w:t xml:space="preserve"> arm (n = </w:t>
      </w:r>
      <w:r>
        <w:t xml:space="preserve">23), the results are </w:t>
      </w:r>
      <w:r w:rsidRPr="003E6952">
        <w:t xml:space="preserve">not considered to be reliable and informative. The OS HR = 0.89 (95% </w:t>
      </w:r>
      <w:r>
        <w:t xml:space="preserve">confidence interval [CI]: 0.36, </w:t>
      </w:r>
      <w:r w:rsidRPr="003E6952">
        <w:t>2.19)</w:t>
      </w:r>
      <w:r w:rsidR="00AC321D">
        <w:t xml:space="preserve"> has very wide CIs that include </w:t>
      </w:r>
      <w:r w:rsidRPr="003E6952">
        <w:t>1. No definitive conclusions should be derived. Given the known</w:t>
      </w:r>
      <w:r>
        <w:t xml:space="preserve"> </w:t>
      </w:r>
      <w:r w:rsidRPr="003E6952">
        <w:t>limitations of retrospective subgroup analyses, caution needs to be taken when interpreting the results.</w:t>
      </w:r>
    </w:p>
    <w:p w:rsidR="001A4A69" w:rsidRDefault="001A4A69" w:rsidP="003E6952">
      <w:r>
        <w:t xml:space="preserve">The top-line efficacy results, including OS, PFS, and ORR, for the patients with AC histology are presented in </w:t>
      </w:r>
      <w:r w:rsidR="00D62DDD" w:rsidRPr="00E95BD0">
        <w:t>T</w:t>
      </w:r>
      <w:r w:rsidRPr="00E95BD0">
        <w:t xml:space="preserve">able </w:t>
      </w:r>
      <w:r w:rsidR="00E95BD0" w:rsidRPr="00E95BD0">
        <w:t>9</w:t>
      </w:r>
      <w:r w:rsidRPr="00E95BD0">
        <w:t>. Again</w:t>
      </w:r>
      <w:r>
        <w:t xml:space="preserve"> as expected, given the small number in the non-randomised subgroup of patients with AC histology in the Chemo alone</w:t>
      </w:r>
      <w:r w:rsidR="009100B8">
        <w:t xml:space="preserve"> arm (n = 49) and </w:t>
      </w:r>
      <w:proofErr w:type="spellStart"/>
      <w:r w:rsidR="009100B8">
        <w:t>Chemo+</w:t>
      </w:r>
      <w:r w:rsidR="00AC321D">
        <w:t>Bv</w:t>
      </w:r>
      <w:proofErr w:type="spellEnd"/>
      <w:r w:rsidR="00AC321D">
        <w:t xml:space="preserve"> arm (n = </w:t>
      </w:r>
      <w:r>
        <w:t xml:space="preserve">45), respectively, the results are not reliable and informative. The OS HR = 1.10 (95% </w:t>
      </w:r>
      <w:r w:rsidR="009100B8">
        <w:t>CI: 0.61, 1.98) has very wide CI’</w:t>
      </w:r>
      <w:r>
        <w:t xml:space="preserve">s that include 1. </w:t>
      </w:r>
      <w:r w:rsidR="00DB51DE">
        <w:t>No definitive conclusions should be derived. Given the known limitations of retrospective subgroup analyses, caution needs to be taken when interpreting the results.</w:t>
      </w:r>
    </w:p>
    <w:p w:rsidR="00DB51DE" w:rsidRDefault="00DB51DE" w:rsidP="003E6952">
      <w:r>
        <w:t xml:space="preserve">A top-line safety summary for patients with AS and AC histology in Study GOG-0240, which represent the main non-squamous histological subtypes, is </w:t>
      </w:r>
      <w:r w:rsidRPr="00E95BD0">
        <w:t xml:space="preserve">presented in Table </w:t>
      </w:r>
      <w:r w:rsidR="00E95BD0" w:rsidRPr="00E95BD0">
        <w:t>14</w:t>
      </w:r>
      <w:r>
        <w:t>. Analysis by these histological subtypes is limited by the disproportionately low patient populations in the AC (Che</w:t>
      </w:r>
      <w:r w:rsidR="009100B8">
        <w:t xml:space="preserve">mo alone: [n = 48] versus </w:t>
      </w:r>
      <w:proofErr w:type="spellStart"/>
      <w:r w:rsidR="009100B8">
        <w:t>Chemo+</w:t>
      </w:r>
      <w:r>
        <w:t>Bv</w:t>
      </w:r>
      <w:proofErr w:type="spellEnd"/>
      <w:r>
        <w:t>: [n = 44]) and AS (Che</w:t>
      </w:r>
      <w:r w:rsidR="009100B8">
        <w:t xml:space="preserve">mo alone: [n = 21] versus </w:t>
      </w:r>
      <w:proofErr w:type="spellStart"/>
      <w:r w:rsidR="009100B8">
        <w:t>Chemo+</w:t>
      </w:r>
      <w:r>
        <w:t>Bv</w:t>
      </w:r>
      <w:proofErr w:type="spellEnd"/>
      <w:r>
        <w:t xml:space="preserve">: [n = 22]) </w:t>
      </w:r>
      <w:r w:rsidR="00900316">
        <w:t>histological</w:t>
      </w:r>
      <w:r>
        <w:t xml:space="preserve"> subgroups, relative to the overall safety population in Study GOG-0240. Overall across both </w:t>
      </w:r>
      <w:r w:rsidR="00900316">
        <w:t>histological</w:t>
      </w:r>
      <w:r>
        <w:t xml:space="preserve"> subgroups, the </w:t>
      </w:r>
      <w:r w:rsidR="00900316">
        <w:t>frequencies</w:t>
      </w:r>
      <w:r>
        <w:t xml:space="preserve"> of adverse events (AEs) (including all grade, Grade ≥ 3, and Grade 5) and AEs of special interest were similar. Irrespective of his</w:t>
      </w:r>
      <w:r w:rsidR="00900316">
        <w:t>tological subgroup, the frequencies of Grade ≥ 3AEs, serious AEs (SAEs), AEs of special interest , and AEs leading to discontinuation were c</w:t>
      </w:r>
      <w:r w:rsidR="009100B8">
        <w:t xml:space="preserve">onsistently higher in the </w:t>
      </w:r>
      <w:proofErr w:type="spellStart"/>
      <w:r w:rsidR="009100B8">
        <w:t>Chemo+</w:t>
      </w:r>
      <w:r w:rsidR="00900316">
        <w:t>Bv</w:t>
      </w:r>
      <w:proofErr w:type="spellEnd"/>
      <w:r w:rsidR="00900316">
        <w:t xml:space="preserve"> arm versus the Chemo alone arm. The differences in frequencies between the two treatment arms were also similar across both histological subgroups and consistent with the overall safety population in Study GOG-0240.</w:t>
      </w:r>
    </w:p>
    <w:p w:rsidR="00AC321D" w:rsidRDefault="00AC321D" w:rsidP="00AC321D">
      <w:pPr>
        <w:pStyle w:val="Tabletitle0"/>
      </w:pPr>
      <w:r>
        <w:lastRenderedPageBreak/>
        <w:t xml:space="preserve">Table </w:t>
      </w:r>
      <w:r w:rsidR="00E95BD0">
        <w:t>14:</w:t>
      </w:r>
      <w:r w:rsidRPr="00AC321D">
        <w:t xml:space="preserve"> </w:t>
      </w:r>
      <w:r>
        <w:t>Summary of Overall Safety by Histology and Bevacizumab Treatment</w:t>
      </w:r>
    </w:p>
    <w:p w:rsidR="00AC321D" w:rsidRPr="00AC321D" w:rsidRDefault="00AC321D" w:rsidP="00994DB9">
      <w:r>
        <w:rPr>
          <w:noProof/>
          <w:lang w:eastAsia="en-AU"/>
        </w:rPr>
        <w:drawing>
          <wp:inline distT="0" distB="0" distL="0" distR="0" wp14:anchorId="23FBC4E4" wp14:editId="0CBD1AB3">
            <wp:extent cx="5400040" cy="2944637"/>
            <wp:effectExtent l="0" t="0" r="0" b="8255"/>
            <wp:docPr id="14" name="Picture 14" descr="Table 14: Summary of Overall Safety by Histology and Bevacizumab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2944637"/>
                    </a:xfrm>
                    <a:prstGeom prst="rect">
                      <a:avLst/>
                    </a:prstGeom>
                  </pic:spPr>
                </pic:pic>
              </a:graphicData>
            </a:graphic>
          </wp:inline>
        </w:drawing>
      </w:r>
    </w:p>
    <w:p w:rsidR="00900316" w:rsidRDefault="00900316" w:rsidP="003E6952">
      <w:r>
        <w:t>The frequencies of SAEs in patients tr</w:t>
      </w:r>
      <w:r w:rsidR="009100B8">
        <w:t xml:space="preserve">eated with </w:t>
      </w:r>
      <w:proofErr w:type="spellStart"/>
      <w:r w:rsidR="009100B8">
        <w:t>Chemo+</w:t>
      </w:r>
      <w:r>
        <w:t>Bv</w:t>
      </w:r>
      <w:proofErr w:type="spellEnd"/>
      <w:r>
        <w:t xml:space="preserve"> in the AC and AS histological subgroups were 61.4% and 40.9 % respectively. Although the frequencies of AEs across these histological subgroups were different, the most commonly reported SAEs in both histological subgroups were within the system organ cla</w:t>
      </w:r>
      <w:r w:rsidR="00BA65CF">
        <w:t>ss (SOC) “g</w:t>
      </w:r>
      <w:r>
        <w:t>astrointestinal disorders” and this is also consistent with the overall safety population.</w:t>
      </w:r>
    </w:p>
    <w:p w:rsidR="005D7070" w:rsidRDefault="00900316" w:rsidP="003E6952">
      <w:r>
        <w:t>The frequencies of AEs leading to treatment discontinuation in the AC and AS histologic</w:t>
      </w:r>
      <w:r w:rsidR="009100B8">
        <w:t xml:space="preserve">al subgroups treated with </w:t>
      </w:r>
      <w:proofErr w:type="spellStart"/>
      <w:r w:rsidR="009100B8">
        <w:t>Chemo+Bv</w:t>
      </w:r>
      <w:proofErr w:type="spellEnd"/>
      <w:r>
        <w:t xml:space="preserve"> were 27.3% and 9.1% respectively. The relatively low AE rate leading to treatment discontinuation in the AS histological subgroup must </w:t>
      </w:r>
      <w:r w:rsidR="005D7070">
        <w:t>be interpreted with caution and may be due to small patient numbers.</w:t>
      </w:r>
    </w:p>
    <w:p w:rsidR="00900316" w:rsidRDefault="005D7070" w:rsidP="003E6952">
      <w:r>
        <w:t>Given the known limitations of</w:t>
      </w:r>
      <w:r w:rsidR="00900316">
        <w:t xml:space="preserve"> </w:t>
      </w:r>
      <w:r>
        <w:t>retrospective subgroup analyses, caution needs to be taken when interpreting the safety results by histological subtypes. Overall the safety results in both of these histological subgroups remained consistent with the know safety profile of bevacizumab.</w:t>
      </w:r>
    </w:p>
    <w:p w:rsidR="005D7070" w:rsidRPr="003E6952" w:rsidRDefault="005D7070" w:rsidP="003E6952">
      <w:r>
        <w:t>In summary, all the analyses performed as requested by the TGA have been provided and described above. Given the small numbers and the limitations of retrospective subgroup analyses, no definitive conclusion can be derived. However the results do not support excluding adenocarcinoma and adenosquamous subgroups when treating cervical cancer patients with bevacizumab. It is for these reason</w:t>
      </w:r>
      <w:r w:rsidR="00D77F46">
        <w:t>s that limiting the indication to patients with squamous cell carcinoma of the cervix would not be appropriate.</w:t>
      </w:r>
    </w:p>
    <w:p w:rsidR="008E7846" w:rsidRDefault="008E7846" w:rsidP="008E7846">
      <w:pPr>
        <w:pStyle w:val="Heading4"/>
      </w:pPr>
      <w:r>
        <w:t xml:space="preserve">Advisory </w:t>
      </w:r>
      <w:r w:rsidR="0050001D">
        <w:t>c</w:t>
      </w:r>
      <w:r>
        <w:t xml:space="preserve">ommittee </w:t>
      </w:r>
      <w:r w:rsidR="00C748DA">
        <w:t>considerations</w:t>
      </w:r>
    </w:p>
    <w:p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FC293A" w:rsidRPr="00FC293A" w:rsidRDefault="00FC293A" w:rsidP="00FC293A">
      <w:r w:rsidRPr="00FC293A">
        <w:t xml:space="preserve">The ACPM resolved to recommend to the TGA </w:t>
      </w:r>
      <w:r w:rsidR="00494D5D">
        <w:t>Delegate</w:t>
      </w:r>
      <w:r w:rsidRPr="00FC293A">
        <w:t xml:space="preserve"> of t</w:t>
      </w:r>
      <w:r w:rsidR="00494D5D">
        <w:t>he Minister and Secretary that:</w:t>
      </w:r>
    </w:p>
    <w:p w:rsidR="00FC293A" w:rsidRPr="00FC293A" w:rsidRDefault="00FC293A" w:rsidP="00FC293A">
      <w:r w:rsidRPr="00FC293A">
        <w:t xml:space="preserve">The ACPM, taking into account the submitted evidence of efficacy, safety and quality, agreed with the </w:t>
      </w:r>
      <w:r w:rsidR="00494D5D">
        <w:t>Delegate</w:t>
      </w:r>
      <w:r w:rsidRPr="00FC293A">
        <w:t xml:space="preserve"> and considered A</w:t>
      </w:r>
      <w:r w:rsidR="00494D5D" w:rsidRPr="00FC293A">
        <w:t>vastin</w:t>
      </w:r>
      <w:r w:rsidRPr="00FC293A">
        <w:t xml:space="preserve"> solution for in</w:t>
      </w:r>
      <w:r w:rsidR="00494D5D">
        <w:t>jection containing 100 mg/4 mL and</w:t>
      </w:r>
      <w:r w:rsidRPr="00FC293A">
        <w:t xml:space="preserve"> 400 mg /16 mL of bevacizumab to have an overall positive benefit–risk prof</w:t>
      </w:r>
      <w:r w:rsidR="00494D5D">
        <w:t>ile for the amended indication;</w:t>
      </w:r>
    </w:p>
    <w:p w:rsidR="00FC293A" w:rsidRPr="00FC293A" w:rsidRDefault="00FC293A" w:rsidP="00FC293A">
      <w:pPr>
        <w:ind w:left="720"/>
        <w:rPr>
          <w:i/>
        </w:rPr>
      </w:pPr>
      <w:r w:rsidRPr="00FC293A">
        <w:rPr>
          <w:i/>
        </w:rPr>
        <w:lastRenderedPageBreak/>
        <w:t>AVASTIN (bevacizumab) in combination with paclitaxel and cisplatin is indicated for the treatment of persistent, recurrent or metastatic carcinoma of the cervix.</w:t>
      </w:r>
    </w:p>
    <w:p w:rsidR="00FC293A" w:rsidRPr="00FC293A" w:rsidRDefault="00FC293A" w:rsidP="00FC293A">
      <w:pPr>
        <w:ind w:left="720"/>
        <w:rPr>
          <w:i/>
        </w:rPr>
      </w:pPr>
      <w:r w:rsidRPr="00FC293A">
        <w:rPr>
          <w:i/>
        </w:rPr>
        <w:t>AVASTIN (bevacizumab) in combination with paclitaxel and topotecan is an acceptable alternative where cisplatin is not tolerated or not indicated.</w:t>
      </w:r>
    </w:p>
    <w:p w:rsidR="00FC293A" w:rsidRPr="00FC293A" w:rsidRDefault="00FC293A" w:rsidP="00FC293A">
      <w:r w:rsidRPr="00FC293A">
        <w:t>In making this recommendation the ACPM was of the view that the histological sub-populations should not</w:t>
      </w:r>
      <w:r w:rsidR="00494D5D">
        <w:t xml:space="preserve"> be included in the indication.</w:t>
      </w:r>
    </w:p>
    <w:p w:rsidR="00FC293A" w:rsidRPr="00FC293A" w:rsidRDefault="00FC293A" w:rsidP="00FC293A">
      <w:pPr>
        <w:pStyle w:val="Heading5"/>
        <w:rPr>
          <w:rFonts w:eastAsia="MS Mincho"/>
        </w:rPr>
      </w:pPr>
      <w:r w:rsidRPr="00FC293A">
        <w:rPr>
          <w:rFonts w:eastAsia="MS Mincho"/>
        </w:rPr>
        <w:t>Proposed conditions of registration</w:t>
      </w:r>
    </w:p>
    <w:p w:rsidR="00FC293A" w:rsidRPr="00FC293A" w:rsidRDefault="00FC293A" w:rsidP="00FC293A">
      <w:r w:rsidRPr="00FC293A">
        <w:t xml:space="preserve">The ACPM agreed with the </w:t>
      </w:r>
      <w:r w:rsidR="00494D5D">
        <w:t>Delegate</w:t>
      </w:r>
      <w:r w:rsidRPr="00FC293A">
        <w:t xml:space="preserve"> on the proposed conditions of registrati</w:t>
      </w:r>
      <w:r w:rsidR="00494D5D">
        <w:t>on.</w:t>
      </w:r>
    </w:p>
    <w:p w:rsidR="00FC293A" w:rsidRPr="00FC293A" w:rsidRDefault="00FC293A" w:rsidP="00FC293A">
      <w:pPr>
        <w:pStyle w:val="Heading5"/>
        <w:rPr>
          <w:rFonts w:eastAsia="MS Mincho"/>
        </w:rPr>
      </w:pPr>
      <w:r w:rsidRPr="00FC293A">
        <w:rPr>
          <w:rFonts w:eastAsia="MS Mincho"/>
        </w:rPr>
        <w:t xml:space="preserve">Proposed </w:t>
      </w:r>
      <w:r w:rsidR="003E6B2B" w:rsidRPr="00FC293A">
        <w:rPr>
          <w:rFonts w:eastAsia="MS Mincho"/>
        </w:rPr>
        <w:t xml:space="preserve">product information </w:t>
      </w:r>
      <w:r w:rsidRPr="00FC293A">
        <w:rPr>
          <w:rFonts w:eastAsia="MS Mincho"/>
        </w:rPr>
        <w:t>(PI)/</w:t>
      </w:r>
      <w:r w:rsidR="003E6B2B" w:rsidRPr="00FC293A">
        <w:rPr>
          <w:rFonts w:eastAsia="MS Mincho"/>
        </w:rPr>
        <w:t xml:space="preserve">consumer medicine information </w:t>
      </w:r>
      <w:r w:rsidRPr="00FC293A">
        <w:rPr>
          <w:rFonts w:eastAsia="MS Mincho"/>
        </w:rPr>
        <w:t>(CMI) amendments</w:t>
      </w:r>
    </w:p>
    <w:p w:rsidR="00FC293A" w:rsidRPr="00FC293A" w:rsidRDefault="00FC293A" w:rsidP="00FC293A">
      <w:r w:rsidRPr="00FC293A">
        <w:t xml:space="preserve">The ACPM agreed with the </w:t>
      </w:r>
      <w:r w:rsidR="00494D5D">
        <w:t>Delegate</w:t>
      </w:r>
      <w:r w:rsidRPr="00FC293A">
        <w:t xml:space="preserve"> to the proposed amendments to the Product Information (PI) and Consumer Medicine Information (CMI) and specifically advised on the inclu</w:t>
      </w:r>
      <w:r w:rsidR="00494D5D">
        <w:t>sion of the following:</w:t>
      </w:r>
    </w:p>
    <w:p w:rsidR="00FC293A" w:rsidRPr="00FC293A" w:rsidRDefault="00FC293A" w:rsidP="00FC293A">
      <w:pPr>
        <w:pStyle w:val="ListBullet"/>
      </w:pPr>
      <w:r w:rsidRPr="00FC293A">
        <w:t>Include more information in the PI and CMI on the risk of fistula formation with use of bevacizumab to raise awareness of this serious adverse event for both clinicians and consumers.</w:t>
      </w:r>
    </w:p>
    <w:p w:rsidR="00FC293A" w:rsidRPr="00FC293A" w:rsidRDefault="00FC293A" w:rsidP="00FC293A">
      <w:pPr>
        <w:pStyle w:val="ListBullet"/>
      </w:pPr>
      <w:r w:rsidRPr="00FC293A">
        <w:t>Ensure that the limitation of the data for the treatment of AC (adenocarcinoma)/AS (adenosquamous carcinoma) of the cervix is clear.</w:t>
      </w:r>
    </w:p>
    <w:p w:rsidR="00FC293A" w:rsidRPr="00FC293A" w:rsidRDefault="00FC293A" w:rsidP="00FC293A">
      <w:pPr>
        <w:pStyle w:val="ListBullet"/>
      </w:pPr>
      <w:r w:rsidRPr="00FC293A">
        <w:t>Clearly state in the PI that patients with brain metastases were not included in the clinical trials.</w:t>
      </w:r>
    </w:p>
    <w:p w:rsidR="00FC293A" w:rsidRPr="00FC293A" w:rsidRDefault="00FC293A" w:rsidP="00FC293A">
      <w:pPr>
        <w:pStyle w:val="Heading5"/>
        <w:rPr>
          <w:rFonts w:eastAsia="MS Mincho"/>
          <w:highlight w:val="yellow"/>
        </w:rPr>
      </w:pPr>
      <w:r w:rsidRPr="00FC293A">
        <w:rPr>
          <w:rFonts w:eastAsia="MS Mincho"/>
        </w:rPr>
        <w:t xml:space="preserve">Specific </w:t>
      </w:r>
      <w:r w:rsidR="00BA65CF">
        <w:rPr>
          <w:rFonts w:eastAsia="MS Mincho"/>
        </w:rPr>
        <w:t>a</w:t>
      </w:r>
      <w:r w:rsidRPr="00FC293A">
        <w:rPr>
          <w:rFonts w:eastAsia="MS Mincho"/>
        </w:rPr>
        <w:t>dvice</w:t>
      </w:r>
    </w:p>
    <w:p w:rsidR="00FC293A" w:rsidRPr="00FC293A" w:rsidRDefault="00FC293A" w:rsidP="00FC293A">
      <w:pPr>
        <w:rPr>
          <w:highlight w:val="yellow"/>
        </w:rPr>
      </w:pPr>
      <w:r w:rsidRPr="00FC293A">
        <w:t xml:space="preserve">The ACPM advised the following in response to the </w:t>
      </w:r>
      <w:r w:rsidR="00494D5D">
        <w:t>Delegate</w:t>
      </w:r>
      <w:r w:rsidRPr="00FC293A">
        <w:t>’s specific questions on this submission:</w:t>
      </w:r>
    </w:p>
    <w:p w:rsidR="00FC293A" w:rsidRPr="00FC293A" w:rsidRDefault="00FC293A" w:rsidP="00FC293A">
      <w:pPr>
        <w:pStyle w:val="Numberbullet0"/>
        <w:numPr>
          <w:ilvl w:val="0"/>
          <w:numId w:val="36"/>
        </w:numPr>
        <w:rPr>
          <w:i/>
        </w:rPr>
      </w:pPr>
      <w:r w:rsidRPr="00FC293A">
        <w:rPr>
          <w:i/>
        </w:rPr>
        <w:t>In which histological sub-population(s) of patients with advanced, recurrent or metastatic cervical cancer has bevacizumab satisfactorily been demonstrated to confer an efficacy benefit over placebo?</w:t>
      </w:r>
    </w:p>
    <w:p w:rsidR="00FC293A" w:rsidRPr="00FC293A" w:rsidRDefault="00FC293A" w:rsidP="00FC293A">
      <w:r w:rsidRPr="00FC293A">
        <w:t xml:space="preserve">The ACPM noted that a benefit from bevacizumab in patients with non-squamous disease had not been documented with regard to duration of overall survival, progression-free survival or overall response rate. However, the ACPM did not consider that AC /AS subtypes should be </w:t>
      </w:r>
      <w:r w:rsidR="00BA65CF" w:rsidRPr="00FC293A">
        <w:t>excluded</w:t>
      </w:r>
      <w:r w:rsidRPr="00FC293A">
        <w:t xml:space="preserve"> from the indication as the analysis was not pre-planned and not powered to detect a difference in these subtypes. The ACPM noted that the EU and </w:t>
      </w:r>
      <w:proofErr w:type="gramStart"/>
      <w:r w:rsidRPr="00FC293A">
        <w:t>US</w:t>
      </w:r>
      <w:proofErr w:type="gramEnd"/>
      <w:r w:rsidRPr="00FC293A">
        <w:t xml:space="preserve"> do not specify histological subtype in the indication. Further, although AC/AS subtypes have a worse prognosis, they are treated with the same chemotherapy regimens as patients with squamous cell carcinoma of the cervix and may benefit from treatment with bevacizumab and should not be excluded from the indication. The ACPM advised that future data on AC/ASC subtypes and treatment with bevacizumab should be collected and requested from sponsor.</w:t>
      </w:r>
    </w:p>
    <w:p w:rsidR="00FC293A" w:rsidRPr="00FC293A" w:rsidRDefault="00FC293A" w:rsidP="00FC293A">
      <w:pPr>
        <w:pStyle w:val="Numberbullet0"/>
        <w:rPr>
          <w:i/>
        </w:rPr>
      </w:pPr>
      <w:r w:rsidRPr="00FC293A">
        <w:rPr>
          <w:i/>
        </w:rPr>
        <w:t>In which histological sub-populations(s) of patients with advanced, recurrent or metastatic cervical cancer has bevacizumab satisfactorily been demonstrated to have a positive risk-benefit assessment for the purposes of (</w:t>
      </w:r>
      <w:proofErr w:type="spellStart"/>
      <w:r w:rsidRPr="00FC293A">
        <w:rPr>
          <w:i/>
        </w:rPr>
        <w:t>i</w:t>
      </w:r>
      <w:proofErr w:type="spellEnd"/>
      <w:r w:rsidRPr="00FC293A">
        <w:rPr>
          <w:i/>
        </w:rPr>
        <w:t>) delivering informed consent</w:t>
      </w:r>
      <w:r w:rsidR="00494D5D">
        <w:rPr>
          <w:i/>
        </w:rPr>
        <w:t xml:space="preserve"> and (ii) product registration?</w:t>
      </w:r>
    </w:p>
    <w:p w:rsidR="00FC293A" w:rsidRPr="00FC293A" w:rsidRDefault="00FC293A" w:rsidP="00FC293A">
      <w:r w:rsidRPr="00FC293A">
        <w:t xml:space="preserve">The ACPM agreed that the risk-benefit discussion is limited by the data in AC/AS histological subtypes, but there are precedents in other cancers, e.g. lobular carcinoma of the breast and clear cell carcinoma of the ovary, where prognosis may be poor or response to chemotherapy potentially less but treatment is still a consideration. The ACPM agreed that the best evidence is for squamous cell carcinoma of the cervix and that the data regarding AC/AS are limited by small numbers and are difficult to interpret. However, </w:t>
      </w:r>
      <w:r w:rsidRPr="00FC293A">
        <w:lastRenderedPageBreak/>
        <w:t>currently SCC/AC/AS subgroups are all treated same. The</w:t>
      </w:r>
      <w:r w:rsidR="00BA65CF">
        <w:t xml:space="preserve"> </w:t>
      </w:r>
      <w:r w:rsidRPr="00FC293A">
        <w:t>ACPM advised that limitations in data need to be made clear in PI</w:t>
      </w:r>
      <w:r w:rsidR="00494D5D">
        <w:t>.</w:t>
      </w:r>
    </w:p>
    <w:p w:rsidR="00FC293A" w:rsidRPr="00FC293A" w:rsidRDefault="00FC293A" w:rsidP="00FC293A">
      <w:pPr>
        <w:pStyle w:val="Numberbullet0"/>
        <w:rPr>
          <w:i/>
        </w:rPr>
      </w:pPr>
      <w:r w:rsidRPr="00FC293A">
        <w:rPr>
          <w:i/>
        </w:rPr>
        <w:t>What does the Committee consider the appropriate wording of the proposed indication in cervical cancer?</w:t>
      </w:r>
    </w:p>
    <w:p w:rsidR="00FC293A" w:rsidRPr="00FC293A" w:rsidRDefault="00FC293A" w:rsidP="00FC293A">
      <w:r w:rsidRPr="00FC293A">
        <w:t xml:space="preserve">The ACPM advised that the indication proposed by the sponsor is acceptable and that the indication should not be limited to squamous cell carcinoma </w:t>
      </w:r>
      <w:r w:rsidR="00494D5D">
        <w:t>of the cervix.</w:t>
      </w:r>
    </w:p>
    <w:p w:rsidR="00FC293A" w:rsidRPr="00FC293A" w:rsidRDefault="00FC293A" w:rsidP="00FC293A">
      <w:pPr>
        <w:pStyle w:val="Numberbullet0"/>
        <w:rPr>
          <w:i/>
        </w:rPr>
      </w:pPr>
      <w:r w:rsidRPr="00FC293A">
        <w:rPr>
          <w:i/>
        </w:rPr>
        <w:t>The committee is also requested to provide advice on any other issues that it thinks may be relevant to a decision on whether or not to approve this application.</w:t>
      </w:r>
    </w:p>
    <w:p w:rsidR="00FC293A" w:rsidRPr="00FC293A" w:rsidRDefault="00FC293A" w:rsidP="00FC293A">
      <w:r w:rsidRPr="00FC293A">
        <w:t>The ACPM noted that the standard of care in Australia to treat cervix cancer is carboplatin and paclitaxel but the indication specifies use with cisplatin, not carboplatin, and paclitaxel. The ACPM noted that two studies</w:t>
      </w:r>
      <w:r w:rsidRPr="00D62DDD">
        <w:t xml:space="preserve">, JGOG0505 (Journal of Clinical Oncology March 2015) </w:t>
      </w:r>
      <w:r w:rsidR="00D62DDD" w:rsidRPr="00463A01">
        <w:rPr>
          <w:vertAlign w:val="superscript"/>
        </w:rPr>
        <w:fldChar w:fldCharType="begin"/>
      </w:r>
      <w:r w:rsidR="00D62DDD" w:rsidRPr="00463A01">
        <w:rPr>
          <w:vertAlign w:val="superscript"/>
        </w:rPr>
        <w:instrText xml:space="preserve"> NOTEREF _Ref480380889 \h  \* MERGEFORMAT </w:instrText>
      </w:r>
      <w:r w:rsidR="00D62DDD" w:rsidRPr="00463A01">
        <w:rPr>
          <w:vertAlign w:val="superscript"/>
        </w:rPr>
      </w:r>
      <w:r w:rsidR="00D62DDD" w:rsidRPr="00463A01">
        <w:rPr>
          <w:vertAlign w:val="superscript"/>
        </w:rPr>
        <w:fldChar w:fldCharType="separate"/>
      </w:r>
      <w:r w:rsidR="00D62DDD" w:rsidRPr="00463A01">
        <w:rPr>
          <w:vertAlign w:val="superscript"/>
        </w:rPr>
        <w:t>6</w:t>
      </w:r>
      <w:r w:rsidR="00D62DDD" w:rsidRPr="00463A01">
        <w:rPr>
          <w:vertAlign w:val="superscript"/>
        </w:rPr>
        <w:fldChar w:fldCharType="end"/>
      </w:r>
      <w:r w:rsidRPr="00463A01">
        <w:t>and GOG</w:t>
      </w:r>
      <w:r w:rsidR="00463A01" w:rsidRPr="00463A01">
        <w:t>-</w:t>
      </w:r>
      <w:r w:rsidRPr="00463A01">
        <w:t>158 have</w:t>
      </w:r>
      <w:r w:rsidRPr="00FC293A">
        <w:t xml:space="preserve"> both shown non-inferiority of carboplatin/paclitaxel and cisplatin/paclitaxel. However, the ACPM accepted that the indication reflected the dat</w:t>
      </w:r>
      <w:r w:rsidR="00494D5D">
        <w:t>a presented in the application.</w:t>
      </w:r>
    </w:p>
    <w:p w:rsidR="00FC293A" w:rsidRPr="00FC293A" w:rsidRDefault="00FC293A" w:rsidP="00FC293A">
      <w:r w:rsidRPr="00FC293A">
        <w:t>The ACPM advised that the term ‘metastatic’ is appropriate. The term ‘persistent/recurrent’ will incorporate Stage IVA and the next stage is IVB, which is inoperable.</w:t>
      </w:r>
    </w:p>
    <w:p w:rsidR="00FC293A" w:rsidRPr="00FC293A" w:rsidRDefault="00FC293A" w:rsidP="00FC293A">
      <w:r w:rsidRPr="00FC293A">
        <w:t>The ACPM advised that brain metastases should not be an explicit exclusion in the indication. The ACPM noted that this is a very rare occurrence in cervix cancer and a powered study is unlikely to be done. Use of bevacizumab in patients with brain metastases should be weighed up for each individual patient, but the ACPM advised that the PI should clearly state that these patients were NOT included in the study.</w:t>
      </w:r>
    </w:p>
    <w:p w:rsidR="00FC293A" w:rsidRPr="00FC293A" w:rsidRDefault="00FC293A" w:rsidP="00FC293A">
      <w:r w:rsidRPr="00FC293A">
        <w:t>With regards to selection of dose, the ACPM noted that dose selection in different indications did not seem to be based on any data surrounding differential affect with dose and that the dose selected is somewhat arbitrary. The ACPM noted that platinum sensitivity/resistance in ovarian cancer is a very specific situation based on retrospective review of outcomes in patient groups with varying progression-free interval.</w:t>
      </w:r>
    </w:p>
    <w:p w:rsidR="00FC293A" w:rsidRPr="00FC293A" w:rsidRDefault="00FC293A" w:rsidP="00FC293A">
      <w:r w:rsidRPr="00FC293A">
        <w:t>The ACPM advised that cisplatin resistance in cervix cancer is not possible to assess in this context as most people only received first-line cisplatin as a radio-sensitiser during primary chemo-radiation. There is also no defined time for definition of platinum resistance that has proven clinical utility in cervix cancer. The ACPM noted that the percentage of patients who had prior cisplatin was similar in both groups, removing potential bias.</w:t>
      </w:r>
    </w:p>
    <w:p w:rsidR="00FC293A" w:rsidRPr="00A322B3" w:rsidRDefault="00FC293A" w:rsidP="008E7846">
      <w:r w:rsidRPr="00FC293A">
        <w:t>The ACPM advised that implementation by the sponsor of the recommendations outlined above to the satisfaction of the TGA, in addition to the evidence of efficacy and safety provided would support the safe and e</w:t>
      </w:r>
      <w:r w:rsidR="00494D5D">
        <w:t>ffective use of these products.</w:t>
      </w:r>
    </w:p>
    <w:p w:rsidR="008E7846" w:rsidRPr="002E238E" w:rsidRDefault="008E7846" w:rsidP="008E7846">
      <w:pPr>
        <w:pStyle w:val="Heading3"/>
      </w:pPr>
      <w:bookmarkStart w:id="115" w:name="_Toc247691532"/>
      <w:bookmarkStart w:id="116" w:name="_Toc314842516"/>
      <w:bookmarkStart w:id="117" w:name="_Toc482191415"/>
      <w:bookmarkEnd w:id="78"/>
      <w:bookmarkEnd w:id="111"/>
      <w:bookmarkEnd w:id="112"/>
      <w:r>
        <w:t>Outcome</w:t>
      </w:r>
      <w:bookmarkEnd w:id="115"/>
      <w:bookmarkEnd w:id="116"/>
      <w:bookmarkEnd w:id="117"/>
    </w:p>
    <w:p w:rsidR="00D23139" w:rsidRPr="00D23139" w:rsidRDefault="00D23139" w:rsidP="00D23139">
      <w:bookmarkStart w:id="118" w:name="_Toc247691533"/>
      <w:bookmarkStart w:id="119" w:name="_Toc314842517"/>
      <w:r w:rsidRPr="00D23139">
        <w:t xml:space="preserve">Based on a review of quality, safety and efficacy, TGA approved the registration of </w:t>
      </w:r>
      <w:proofErr w:type="spellStart"/>
      <w:r w:rsidR="00494D5D">
        <w:t>Avastin</w:t>
      </w:r>
      <w:proofErr w:type="spellEnd"/>
      <w:r w:rsidR="00494D5D">
        <w:t xml:space="preserve"> </w:t>
      </w:r>
      <w:proofErr w:type="spellStart"/>
      <w:r w:rsidR="00494D5D">
        <w:t>bevacizumab</w:t>
      </w:r>
      <w:proofErr w:type="spellEnd"/>
      <w:r w:rsidR="00494D5D">
        <w:t xml:space="preserve"> (</w:t>
      </w:r>
      <w:proofErr w:type="spellStart"/>
      <w:r w:rsidR="00494D5D">
        <w:t>rch</w:t>
      </w:r>
      <w:proofErr w:type="spellEnd"/>
      <w:r w:rsidR="00494D5D">
        <w:t>) 400 mg/16 mL and 100 mg /4 ml concentrated injection vial</w:t>
      </w:r>
      <w:r w:rsidRPr="00D23139">
        <w:t xml:space="preserve"> indicated for:</w:t>
      </w:r>
    </w:p>
    <w:p w:rsidR="00D23139" w:rsidRPr="00D23139" w:rsidRDefault="003B5618" w:rsidP="003B5618">
      <w:pPr>
        <w:ind w:left="720"/>
      </w:pPr>
      <w:r w:rsidRPr="003B5618">
        <w:rPr>
          <w:i/>
        </w:rPr>
        <w:t>In combination with paclitaxel and cisplatin is indicated for the treatment of persistent, recurrent or metastatic carcinoma of the cervix. In combination with paclitaxel and topotecan is an acceptable alternative where cisplatin is not tolerated or not indicated.</w:t>
      </w:r>
    </w:p>
    <w:p w:rsidR="00D23139" w:rsidRPr="00D23139" w:rsidRDefault="00D23139" w:rsidP="00D23139">
      <w:pPr>
        <w:pStyle w:val="Heading4"/>
      </w:pPr>
      <w:r w:rsidRPr="00D23139">
        <w:lastRenderedPageBreak/>
        <w:t>Specific conditions of registration applying to these goods</w:t>
      </w:r>
    </w:p>
    <w:p w:rsidR="00494D5D" w:rsidRPr="00494D5D" w:rsidRDefault="00494D5D" w:rsidP="00494D5D">
      <w:r w:rsidRPr="00582BDF">
        <w:t>The Avastin</w:t>
      </w:r>
      <w:r w:rsidR="00BA65CF" w:rsidRPr="00582BDF">
        <w:t xml:space="preserve"> EU-RMP Version16</w:t>
      </w:r>
      <w:r w:rsidR="00582BDF" w:rsidRPr="00582BDF">
        <w:t>.1</w:t>
      </w:r>
      <w:r w:rsidR="00BA65CF" w:rsidRPr="00582BDF">
        <w:t xml:space="preserve"> </w:t>
      </w:r>
      <w:r w:rsidRPr="00582BDF">
        <w:t xml:space="preserve">(dated 29 May 2014 </w:t>
      </w:r>
      <w:r w:rsidRPr="00494D5D">
        <w:t>DLP 25 April</w:t>
      </w:r>
      <w:r w:rsidR="00582BDF">
        <w:t xml:space="preserve"> </w:t>
      </w:r>
      <w:r w:rsidRPr="00494D5D">
        <w:t>2014) and</w:t>
      </w:r>
      <w:r>
        <w:t xml:space="preserve"> </w:t>
      </w:r>
      <w:r w:rsidRPr="00494D5D">
        <w:t>Australian Specific Annex Version 5.0 (dated Augu</w:t>
      </w:r>
      <w:r>
        <w:t xml:space="preserve">st 2014) revised as agreed with </w:t>
      </w:r>
      <w:r w:rsidRPr="00494D5D">
        <w:t>the TGA and any future updates, as agreed with</w:t>
      </w:r>
      <w:r>
        <w:t xml:space="preserve"> the TGA will be implemented in </w:t>
      </w:r>
      <w:r w:rsidRPr="00494D5D">
        <w:t>Australia</w:t>
      </w:r>
      <w:r w:rsidR="009371AD">
        <w:t>.</w:t>
      </w:r>
    </w:p>
    <w:p w:rsidR="008E7846" w:rsidRDefault="00A80B5B" w:rsidP="00494D5D">
      <w:pPr>
        <w:pStyle w:val="Heading2"/>
      </w:pPr>
      <w:bookmarkStart w:id="120" w:name="_Toc482191416"/>
      <w:proofErr w:type="gramStart"/>
      <w:r>
        <w:t>Attachment 1.</w:t>
      </w:r>
      <w:proofErr w:type="gramEnd"/>
      <w:r>
        <w:t xml:space="preserve"> </w:t>
      </w:r>
      <w:r w:rsidR="008E7846">
        <w:t xml:space="preserve">Product </w:t>
      </w:r>
      <w:r w:rsidR="00AA0ED0">
        <w:t>I</w:t>
      </w:r>
      <w:r w:rsidR="008E7846">
        <w:t>nformation</w:t>
      </w:r>
      <w:bookmarkEnd w:id="118"/>
      <w:bookmarkEnd w:id="119"/>
      <w:bookmarkEnd w:id="120"/>
    </w:p>
    <w:p w:rsidR="00C80137" w:rsidRDefault="006136D7" w:rsidP="00C80137">
      <w:pPr>
        <w:rPr>
          <w:color w:val="000000"/>
          <w:lang w:eastAsia="en-AU"/>
        </w:rPr>
      </w:pPr>
      <w:r w:rsidRPr="002B3624">
        <w:t xml:space="preserve">The </w:t>
      </w:r>
      <w:r>
        <w:t>PI</w:t>
      </w:r>
      <w:r w:rsidRPr="002B3624">
        <w:t xml:space="preserve"> for </w:t>
      </w:r>
      <w:r w:rsidR="00FC293A">
        <w:t xml:space="preserve">AVASTIN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1" w:history="1">
        <w:r w:rsidR="007C6B9B" w:rsidRPr="007C6B9B">
          <w:rPr>
            <w:rStyle w:val="Hyperlink"/>
          </w:rPr>
          <w:t>https://www.tga.gov.au/product-information-pi</w:t>
        </w:r>
      </w:hyperlink>
      <w:r w:rsidR="00FC293A">
        <w:t>&gt;.</w:t>
      </w:r>
    </w:p>
    <w:p w:rsidR="00C80137" w:rsidRDefault="00C80137" w:rsidP="00C80137">
      <w:pPr>
        <w:pStyle w:val="Heading2"/>
        <w:rPr>
          <w:lang w:eastAsia="en-AU"/>
        </w:rPr>
      </w:pPr>
      <w:bookmarkStart w:id="121" w:name="_Toc482191417"/>
      <w:proofErr w:type="gramStart"/>
      <w:r>
        <w:rPr>
          <w:lang w:eastAsia="en-AU"/>
        </w:rPr>
        <w:t>Attachment 2.</w:t>
      </w:r>
      <w:proofErr w:type="gramEnd"/>
      <w:r w:rsidR="00A80B5B">
        <w:rPr>
          <w:lang w:eastAsia="en-AU"/>
        </w:rPr>
        <w:t xml:space="preserve"> </w:t>
      </w:r>
      <w:r>
        <w:rPr>
          <w:lang w:eastAsia="en-AU"/>
        </w:rPr>
        <w:t>Extract from the Clinical Evaluation Report</w:t>
      </w:r>
      <w:bookmarkEnd w:id="121"/>
    </w:p>
    <w:p w:rsidR="00770CAC" w:rsidRDefault="00770CAC" w:rsidP="00494D5D">
      <w:pPr>
        <w:autoSpaceDE w:val="0"/>
        <w:autoSpaceDN w:val="0"/>
        <w:adjustRightInd w:val="0"/>
        <w:spacing w:after="0"/>
      </w:pPr>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6" w:history="1">
              <w:r w:rsidRPr="004C239D">
                <w:rPr>
                  <w:rStyle w:val="Hyperlink"/>
                </w:rPr>
                <w:t>info@tga.gov.au</w:t>
              </w:r>
            </w:hyperlink>
            <w:r w:rsidR="009D4AE1">
              <w:t xml:space="preserve"> </w:t>
            </w:r>
            <w:r w:rsidRPr="00487162">
              <w:t>Phone: 1800 020 653</w:t>
            </w:r>
            <w:r w:rsidR="009D4AE1">
              <w:t xml:space="preserve"> </w:t>
            </w:r>
            <w:r w:rsidRPr="00487162">
              <w:t>Fax: 02 6232 8605</w:t>
            </w:r>
          </w:p>
          <w:p w:rsidR="001C32CD" w:rsidRPr="004C239D" w:rsidRDefault="005D2F1A"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3E8" w:rsidRDefault="006953E8" w:rsidP="00C40A36">
      <w:pPr>
        <w:spacing w:after="0"/>
      </w:pPr>
      <w:r>
        <w:separator/>
      </w:r>
    </w:p>
  </w:endnote>
  <w:endnote w:type="continuationSeparator" w:id="0">
    <w:p w:rsidR="006953E8" w:rsidRDefault="006953E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953E8" w:rsidRPr="00487162" w:rsidTr="00DB750B">
      <w:trPr>
        <w:trHeight w:val="269"/>
      </w:trPr>
      <w:tc>
        <w:tcPr>
          <w:tcW w:w="7371" w:type="dxa"/>
          <w:tcMar>
            <w:top w:w="142" w:type="dxa"/>
            <w:bottom w:w="0" w:type="dxa"/>
          </w:tcMar>
        </w:tcPr>
        <w:p w:rsidR="006953E8" w:rsidRPr="00487162" w:rsidRDefault="006953E8" w:rsidP="009D4AE1">
          <w:pPr>
            <w:pStyle w:val="Footer"/>
          </w:pPr>
          <w:proofErr w:type="spellStart"/>
          <w:r>
            <w:t>AusPAR</w:t>
          </w:r>
          <w:proofErr w:type="spellEnd"/>
          <w:r>
            <w:t xml:space="preserve"> </w:t>
          </w:r>
          <w:r w:rsidRPr="00DA39FE">
            <w:t xml:space="preserve">AVASTIN - </w:t>
          </w:r>
          <w:proofErr w:type="spellStart"/>
          <w:r w:rsidRPr="00DA39FE">
            <w:t>Bevacizumab</w:t>
          </w:r>
          <w:proofErr w:type="spellEnd"/>
          <w:r w:rsidRPr="00DA39FE">
            <w:t xml:space="preserve"> </w:t>
          </w:r>
          <w:r>
            <w:t>(</w:t>
          </w:r>
          <w:proofErr w:type="spellStart"/>
          <w:r>
            <w:t>rch</w:t>
          </w:r>
          <w:proofErr w:type="spellEnd"/>
          <w:r>
            <w:t>)</w:t>
          </w:r>
          <w:r w:rsidRPr="00DA39FE">
            <w:t>- Roche Products Pty Ltd - PM-201</w:t>
          </w:r>
          <w:r>
            <w:t>4-01871-1-4 Final 10 May 2017</w:t>
          </w:r>
        </w:p>
      </w:tc>
      <w:tc>
        <w:tcPr>
          <w:tcW w:w="1490" w:type="dxa"/>
          <w:tcMar>
            <w:top w:w="142" w:type="dxa"/>
            <w:bottom w:w="0" w:type="dxa"/>
          </w:tcMar>
        </w:tcPr>
        <w:p w:rsidR="006953E8" w:rsidRPr="00487162" w:rsidRDefault="006953E8" w:rsidP="00DB750B">
          <w:pPr>
            <w:pStyle w:val="Footer"/>
            <w:jc w:val="right"/>
          </w:pPr>
          <w:r w:rsidRPr="00487162">
            <w:t xml:space="preserve">Page </w:t>
          </w:r>
          <w:r>
            <w:fldChar w:fldCharType="begin"/>
          </w:r>
          <w:r>
            <w:instrText xml:space="preserve"> PAGE  \* Arabic </w:instrText>
          </w:r>
          <w:r>
            <w:fldChar w:fldCharType="separate"/>
          </w:r>
          <w:r w:rsidR="005D2F1A">
            <w:rPr>
              <w:noProof/>
            </w:rPr>
            <w:t>2</w:t>
          </w:r>
          <w:r>
            <w:fldChar w:fldCharType="end"/>
          </w:r>
          <w:r w:rsidRPr="00487162">
            <w:t xml:space="preserve"> of </w:t>
          </w:r>
          <w:r w:rsidR="005D2F1A">
            <w:fldChar w:fldCharType="begin"/>
          </w:r>
          <w:r w:rsidR="005D2F1A">
            <w:instrText xml:space="preserve"> NUMPAGES  \* Arabic </w:instrText>
          </w:r>
          <w:r w:rsidR="005D2F1A">
            <w:fldChar w:fldCharType="separate"/>
          </w:r>
          <w:r w:rsidR="005D2F1A">
            <w:rPr>
              <w:noProof/>
            </w:rPr>
            <w:t>50</w:t>
          </w:r>
          <w:r w:rsidR="005D2F1A">
            <w:rPr>
              <w:noProof/>
            </w:rPr>
            <w:fldChar w:fldCharType="end"/>
          </w:r>
        </w:p>
      </w:tc>
    </w:tr>
  </w:tbl>
  <w:p w:rsidR="006953E8" w:rsidRDefault="006953E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953E8" w:rsidRPr="00487162" w:rsidTr="00E45619">
      <w:trPr>
        <w:trHeight w:val="269"/>
      </w:trPr>
      <w:tc>
        <w:tcPr>
          <w:tcW w:w="4519" w:type="dxa"/>
          <w:tcBorders>
            <w:top w:val="single" w:sz="4" w:space="0" w:color="auto"/>
          </w:tcBorders>
          <w:tcMar>
            <w:top w:w="142" w:type="dxa"/>
            <w:bottom w:w="0" w:type="dxa"/>
          </w:tcMar>
        </w:tcPr>
        <w:p w:rsidR="006953E8" w:rsidRPr="00487162" w:rsidRDefault="006953E8" w:rsidP="00FE1DEE">
          <w:pPr>
            <w:pStyle w:val="Footer"/>
          </w:pPr>
          <w:r w:rsidRPr="00487162">
            <w:t>Document title, Part #, Section # - Section title</w:t>
          </w:r>
        </w:p>
        <w:p w:rsidR="006953E8" w:rsidRPr="00487162" w:rsidRDefault="006953E8" w:rsidP="00FE1DEE">
          <w:pPr>
            <w:pStyle w:val="Footer"/>
          </w:pPr>
          <w:r w:rsidRPr="00487162">
            <w:t>V1.0 October 2010</w:t>
          </w:r>
        </w:p>
      </w:tc>
      <w:tc>
        <w:tcPr>
          <w:tcW w:w="4342" w:type="dxa"/>
          <w:tcBorders>
            <w:top w:val="single" w:sz="4" w:space="0" w:color="auto"/>
          </w:tcBorders>
          <w:tcMar>
            <w:top w:w="142" w:type="dxa"/>
            <w:bottom w:w="0" w:type="dxa"/>
          </w:tcMar>
        </w:tcPr>
        <w:p w:rsidR="006953E8" w:rsidRPr="00487162" w:rsidRDefault="006953E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D2F1A">
            <w:fldChar w:fldCharType="begin"/>
          </w:r>
          <w:r w:rsidR="005D2F1A">
            <w:instrText xml:space="preserve"> NUMPAGES  </w:instrText>
          </w:r>
          <w:r w:rsidR="005D2F1A">
            <w:fldChar w:fldCharType="separate"/>
          </w:r>
          <w:r>
            <w:rPr>
              <w:noProof/>
            </w:rPr>
            <w:t>3</w:t>
          </w:r>
          <w:r w:rsidR="005D2F1A">
            <w:rPr>
              <w:noProof/>
            </w:rPr>
            <w:fldChar w:fldCharType="end"/>
          </w:r>
        </w:p>
      </w:tc>
    </w:tr>
  </w:tbl>
  <w:p w:rsidR="006953E8" w:rsidRDefault="006953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E8" w:rsidRPr="001C32CD" w:rsidRDefault="006953E8"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953E8" w:rsidTr="0010601F">
      <w:trPr>
        <w:trHeight w:val="108"/>
      </w:trPr>
      <w:tc>
        <w:tcPr>
          <w:tcW w:w="8875" w:type="dxa"/>
          <w:gridSpan w:val="2"/>
          <w:tcBorders>
            <w:bottom w:val="single" w:sz="4" w:space="0" w:color="auto"/>
          </w:tcBorders>
          <w:tcMar>
            <w:right w:w="284" w:type="dxa"/>
          </w:tcMar>
        </w:tcPr>
        <w:p w:rsidR="006953E8" w:rsidRDefault="006953E8" w:rsidP="006E08B3">
          <w:pPr>
            <w:pStyle w:val="Heading3"/>
          </w:pPr>
          <w:r>
            <w:t>Copyright</w:t>
          </w:r>
        </w:p>
        <w:p w:rsidR="006953E8" w:rsidRDefault="006953E8" w:rsidP="006E08B3">
          <w:r>
            <w:rPr>
              <w:rFonts w:cs="Arial"/>
            </w:rPr>
            <w:t>©</w:t>
          </w:r>
          <w:r>
            <w:t xml:space="preserve"> Commonwealth of Australia [add year]</w:t>
          </w:r>
        </w:p>
        <w:p w:rsidR="006953E8" w:rsidRDefault="006953E8" w:rsidP="006E08B3"/>
        <w:p w:rsidR="006953E8" w:rsidRDefault="006953E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953E8" w:rsidRDefault="006953E8" w:rsidP="006E08B3"/>
        <w:p w:rsidR="006953E8" w:rsidRDefault="006953E8" w:rsidP="006E08B3">
          <w:pPr>
            <w:pStyle w:val="Heading3"/>
          </w:pPr>
          <w:r>
            <w:t>Confidentiality</w:t>
          </w:r>
        </w:p>
        <w:p w:rsidR="006953E8" w:rsidRDefault="006953E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953E8" w:rsidRDefault="006953E8" w:rsidP="006E08B3"/>
        <w:p w:rsidR="006953E8" w:rsidRDefault="006953E8" w:rsidP="006E08B3">
          <w:r>
            <w:t>For submission made by individuals, all personal details, other than your name, will be removed from your submission before it is published on the TGA’s Internet site.</w:t>
          </w:r>
        </w:p>
        <w:p w:rsidR="006953E8" w:rsidRDefault="006953E8" w:rsidP="006E08B3"/>
        <w:p w:rsidR="006953E8" w:rsidRDefault="006953E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953E8" w:rsidTr="0010601F">
      <w:trPr>
        <w:trHeight w:val="417"/>
      </w:trPr>
      <w:tc>
        <w:tcPr>
          <w:tcW w:w="4519" w:type="dxa"/>
          <w:tcBorders>
            <w:top w:val="single" w:sz="4" w:space="0" w:color="auto"/>
          </w:tcBorders>
          <w:tcMar>
            <w:top w:w="142" w:type="dxa"/>
            <w:bottom w:w="0" w:type="dxa"/>
          </w:tcMar>
        </w:tcPr>
        <w:p w:rsidR="006953E8" w:rsidRDefault="006953E8" w:rsidP="006E08B3">
          <w:r>
            <w:t>Document title, Part #, Section # - Section title</w:t>
          </w:r>
        </w:p>
        <w:p w:rsidR="006953E8" w:rsidRDefault="006953E8" w:rsidP="006E08B3">
          <w:r>
            <w:t>V1.0 October 2010</w:t>
          </w:r>
        </w:p>
      </w:tc>
      <w:tc>
        <w:tcPr>
          <w:tcW w:w="4356" w:type="dxa"/>
          <w:tcBorders>
            <w:top w:val="single" w:sz="4" w:space="0" w:color="auto"/>
          </w:tcBorders>
          <w:tcMar>
            <w:top w:w="142" w:type="dxa"/>
            <w:bottom w:w="0" w:type="dxa"/>
          </w:tcMar>
        </w:tcPr>
        <w:p w:rsidR="006953E8" w:rsidRDefault="006953E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D2F1A">
            <w:fldChar w:fldCharType="begin"/>
          </w:r>
          <w:r w:rsidR="005D2F1A">
            <w:instrText xml:space="preserve"> NUMPAGES  \* Arabic </w:instrText>
          </w:r>
          <w:r w:rsidR="005D2F1A">
            <w:fldChar w:fldCharType="separate"/>
          </w:r>
          <w:r>
            <w:rPr>
              <w:noProof/>
            </w:rPr>
            <w:t>3</w:t>
          </w:r>
          <w:r w:rsidR="005D2F1A">
            <w:rPr>
              <w:noProof/>
            </w:rPr>
            <w:fldChar w:fldCharType="end"/>
          </w:r>
          <w:r>
            <w:t xml:space="preserve"> </w:t>
          </w:r>
        </w:p>
      </w:tc>
    </w:tr>
  </w:tbl>
  <w:p w:rsidR="006953E8" w:rsidRDefault="006953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3E8" w:rsidRDefault="006953E8" w:rsidP="00C40A36">
      <w:pPr>
        <w:spacing w:after="0"/>
      </w:pPr>
      <w:r>
        <w:separator/>
      </w:r>
    </w:p>
  </w:footnote>
  <w:footnote w:type="continuationSeparator" w:id="0">
    <w:p w:rsidR="006953E8" w:rsidRDefault="006953E8" w:rsidP="00C40A36">
      <w:pPr>
        <w:spacing w:after="0"/>
      </w:pPr>
      <w:r>
        <w:continuationSeparator/>
      </w:r>
    </w:p>
  </w:footnote>
  <w:footnote w:id="1">
    <w:p w:rsidR="006953E8" w:rsidRPr="00F90D8C" w:rsidRDefault="006953E8" w:rsidP="009D4AE1">
      <w:pPr>
        <w:pStyle w:val="FootnoteText"/>
        <w:rPr>
          <w:lang w:val="en-US"/>
        </w:rPr>
      </w:pPr>
      <w:r>
        <w:rPr>
          <w:rStyle w:val="FootnoteReference"/>
        </w:rPr>
        <w:footnoteRef/>
      </w:r>
      <w:r>
        <w:t xml:space="preserve"> </w:t>
      </w:r>
      <w:r w:rsidRPr="00BF365F">
        <w:t xml:space="preserve">Monk BJ, et al. Phase II trial of bevacizumab in the treatment of persistent or recurrent squamous cell carcinoma of the cervix: a </w:t>
      </w:r>
      <w:proofErr w:type="spellStart"/>
      <w:r w:rsidRPr="00BF365F">
        <w:t>gynecologic</w:t>
      </w:r>
      <w:proofErr w:type="spellEnd"/>
      <w:r w:rsidRPr="00BF365F">
        <w:t xml:space="preserve"> oncology group study</w:t>
      </w:r>
      <w:r w:rsidRPr="00F90D8C">
        <w:rPr>
          <w:i/>
        </w:rPr>
        <w:t xml:space="preserve">. J </w:t>
      </w:r>
      <w:proofErr w:type="spellStart"/>
      <w:r w:rsidRPr="00F90D8C">
        <w:rPr>
          <w:i/>
        </w:rPr>
        <w:t>Clin</w:t>
      </w:r>
      <w:proofErr w:type="spellEnd"/>
      <w:r w:rsidRPr="00F90D8C">
        <w:rPr>
          <w:i/>
        </w:rPr>
        <w:t xml:space="preserve"> </w:t>
      </w:r>
      <w:proofErr w:type="spellStart"/>
      <w:r w:rsidRPr="00F90D8C">
        <w:rPr>
          <w:i/>
        </w:rPr>
        <w:t>Oncol</w:t>
      </w:r>
      <w:proofErr w:type="spellEnd"/>
      <w:r w:rsidRPr="00BF365F">
        <w:t xml:space="preserve"> 2009;</w:t>
      </w:r>
      <w:r>
        <w:t xml:space="preserve"> </w:t>
      </w:r>
      <w:r w:rsidRPr="00BF365F">
        <w:t>27:</w:t>
      </w:r>
      <w:r>
        <w:t xml:space="preserve"> </w:t>
      </w:r>
      <w:r w:rsidRPr="00BF365F">
        <w:t>1069-1074</w:t>
      </w:r>
    </w:p>
  </w:footnote>
  <w:footnote w:id="2">
    <w:p w:rsidR="006953E8" w:rsidRPr="00F90D8C" w:rsidRDefault="006953E8" w:rsidP="009D4AE1">
      <w:pPr>
        <w:pStyle w:val="FootnoteText"/>
        <w:rPr>
          <w:lang w:val="en-US"/>
        </w:rPr>
      </w:pPr>
      <w:r>
        <w:rPr>
          <w:rStyle w:val="FootnoteReference"/>
        </w:rPr>
        <w:footnoteRef/>
      </w:r>
      <w:r>
        <w:t xml:space="preserve"> </w:t>
      </w:r>
      <w:r w:rsidRPr="00BF365F">
        <w:t xml:space="preserve">Wright JD, et al. Bevacizumab combination therapy in heavily </w:t>
      </w:r>
      <w:proofErr w:type="spellStart"/>
      <w:r w:rsidRPr="00BF365F">
        <w:t>pretreated</w:t>
      </w:r>
      <w:proofErr w:type="spellEnd"/>
      <w:r w:rsidRPr="00BF365F">
        <w:t xml:space="preserve">, recurrent cervical cancer. </w:t>
      </w:r>
      <w:proofErr w:type="spellStart"/>
      <w:r w:rsidRPr="00F90D8C">
        <w:rPr>
          <w:i/>
        </w:rPr>
        <w:t>Gynecol</w:t>
      </w:r>
      <w:proofErr w:type="spellEnd"/>
      <w:r w:rsidRPr="00F90D8C">
        <w:rPr>
          <w:i/>
        </w:rPr>
        <w:t xml:space="preserve"> </w:t>
      </w:r>
      <w:proofErr w:type="spellStart"/>
      <w:r w:rsidRPr="00F90D8C">
        <w:rPr>
          <w:i/>
        </w:rPr>
        <w:t>Oncol</w:t>
      </w:r>
      <w:proofErr w:type="spellEnd"/>
      <w:r w:rsidRPr="00BF365F">
        <w:t xml:space="preserve"> 2006;</w:t>
      </w:r>
      <w:r>
        <w:t xml:space="preserve"> </w:t>
      </w:r>
      <w:r w:rsidRPr="009D4AE1">
        <w:t>103</w:t>
      </w:r>
      <w:r w:rsidRPr="00BF365F">
        <w:t>:</w:t>
      </w:r>
      <w:r>
        <w:t xml:space="preserve"> </w:t>
      </w:r>
      <w:r w:rsidRPr="00BF365F">
        <w:t>489-493</w:t>
      </w:r>
    </w:p>
  </w:footnote>
  <w:footnote w:id="3">
    <w:p w:rsidR="006953E8" w:rsidRPr="007F1DED" w:rsidRDefault="006953E8" w:rsidP="007F1DED">
      <w:pPr>
        <w:pStyle w:val="FootnoteText"/>
      </w:pPr>
      <w:r w:rsidRPr="007F1DED">
        <w:footnoteRef/>
      </w:r>
      <w:r w:rsidRPr="007F1DED">
        <w:t xml:space="preserve"> </w:t>
      </w:r>
      <w:proofErr w:type="spellStart"/>
      <w:r w:rsidRPr="007F1DED">
        <w:t>Krishnansu</w:t>
      </w:r>
      <w:proofErr w:type="spellEnd"/>
      <w:r w:rsidRPr="007F1DED">
        <w:t xml:space="preserve"> S.et al. Improved Survival with Bevacizumab</w:t>
      </w:r>
      <w:r>
        <w:t xml:space="preserve"> </w:t>
      </w:r>
      <w:r w:rsidRPr="007F1DED">
        <w:t xml:space="preserve">in Advanced Cervical Cancer </w:t>
      </w:r>
      <w:r w:rsidRPr="007F1DED">
        <w:rPr>
          <w:i/>
        </w:rPr>
        <w:t xml:space="preserve">N </w:t>
      </w:r>
      <w:proofErr w:type="spellStart"/>
      <w:r w:rsidRPr="007F1DED">
        <w:rPr>
          <w:i/>
        </w:rPr>
        <w:t>Engl</w:t>
      </w:r>
      <w:proofErr w:type="spellEnd"/>
      <w:r w:rsidRPr="007F1DED">
        <w:rPr>
          <w:i/>
        </w:rPr>
        <w:t xml:space="preserve"> J Med</w:t>
      </w:r>
      <w:r w:rsidRPr="007F1DED">
        <w:t xml:space="preserve"> 2014;</w:t>
      </w:r>
      <w:r>
        <w:t xml:space="preserve"> </w:t>
      </w:r>
      <w:r w:rsidRPr="007F1DED">
        <w:t>370:</w:t>
      </w:r>
      <w:r>
        <w:t xml:space="preserve"> </w:t>
      </w:r>
      <w:r w:rsidRPr="007F1DED">
        <w:t>734-</w:t>
      </w:r>
      <w:r>
        <w:t>7</w:t>
      </w:r>
      <w:r w:rsidRPr="007F1DED">
        <w:t>43.</w:t>
      </w:r>
    </w:p>
  </w:footnote>
  <w:footnote w:id="4">
    <w:p w:rsidR="006953E8" w:rsidRPr="00346A94" w:rsidRDefault="006953E8">
      <w:pPr>
        <w:pStyle w:val="FootnoteText"/>
        <w:rPr>
          <w:lang w:val="en-US"/>
        </w:rPr>
      </w:pPr>
      <w:r>
        <w:rPr>
          <w:rStyle w:val="FootnoteReference"/>
        </w:rPr>
        <w:footnoteRef/>
      </w:r>
      <w:r>
        <w:t xml:space="preserve"> </w:t>
      </w:r>
      <w:r>
        <w:rPr>
          <w:lang w:val="en-US"/>
        </w:rPr>
        <w:t xml:space="preserve">CPMP/EWP/2330/99 Points to consider on application with 1. </w:t>
      </w:r>
      <w:proofErr w:type="gramStart"/>
      <w:r>
        <w:rPr>
          <w:lang w:val="en-US"/>
        </w:rPr>
        <w:t>Meta-analyses; 2.</w:t>
      </w:r>
      <w:proofErr w:type="gramEnd"/>
      <w:r>
        <w:rPr>
          <w:lang w:val="en-US"/>
        </w:rPr>
        <w:t xml:space="preserve"> One pivotal study (31 May 2001)</w:t>
      </w:r>
    </w:p>
  </w:footnote>
  <w:footnote w:id="5">
    <w:p w:rsidR="006953E8" w:rsidRPr="00A146B5" w:rsidRDefault="006953E8" w:rsidP="00C748DA">
      <w:pPr>
        <w:pStyle w:val="FootnoteText"/>
        <w:rPr>
          <w:lang w:val="en-US"/>
        </w:rPr>
      </w:pPr>
      <w:r>
        <w:rPr>
          <w:rStyle w:val="FootnoteReference"/>
        </w:rPr>
        <w:footnoteRef/>
      </w:r>
      <w:r>
        <w:t xml:space="preserve"> </w:t>
      </w:r>
      <w:proofErr w:type="spellStart"/>
      <w:r>
        <w:t>Lorusso</w:t>
      </w:r>
      <w:proofErr w:type="spellEnd"/>
      <w:r>
        <w:t xml:space="preserve">, D. et al. </w:t>
      </w:r>
      <w:proofErr w:type="gramStart"/>
      <w:r>
        <w:t>A systematic review comparing cisplatin and carboplatin plus paclitaxel-based chemotherapy for recurrent or metastatic cervical cancer.</w:t>
      </w:r>
      <w:proofErr w:type="gramEnd"/>
      <w:r>
        <w:t xml:space="preserve"> </w:t>
      </w:r>
      <w:proofErr w:type="gramStart"/>
      <w:r w:rsidRPr="00A146B5">
        <w:rPr>
          <w:i/>
        </w:rPr>
        <w:t>Gynaecologic Oncology</w:t>
      </w:r>
      <w:r>
        <w:t>.</w:t>
      </w:r>
      <w:proofErr w:type="gramEnd"/>
      <w:r>
        <w:t xml:space="preserve"> 2014; 133: 117-123</w:t>
      </w:r>
    </w:p>
  </w:footnote>
  <w:footnote w:id="6">
    <w:p w:rsidR="006953E8" w:rsidRPr="0040529E" w:rsidRDefault="006953E8" w:rsidP="00C748DA">
      <w:pPr>
        <w:pStyle w:val="FootnoteText"/>
        <w:rPr>
          <w:lang w:val="en-US"/>
        </w:rPr>
      </w:pPr>
      <w:r>
        <w:rPr>
          <w:rStyle w:val="FootnoteReference"/>
        </w:rPr>
        <w:footnoteRef/>
      </w:r>
      <w:r>
        <w:t xml:space="preserve"> Kitagawa, R. et al. Paclitaxel plus carboplatin versus paclitaxel plus cisplatin in metastatic or recurrent cervical </w:t>
      </w:r>
      <w:r w:rsidRPr="00C748DA">
        <w:t>cancer</w:t>
      </w:r>
      <w:r>
        <w:t>: the open label phase III trial JCOG0505</w:t>
      </w:r>
      <w:r w:rsidRPr="0040529E">
        <w:rPr>
          <w:i/>
        </w:rPr>
        <w:t xml:space="preserve">. Journal of Clinical Oncology </w:t>
      </w:r>
      <w:r w:rsidRPr="00806F47">
        <w:t>2015</w:t>
      </w:r>
      <w:r>
        <w:t>;</w:t>
      </w:r>
      <w:r w:rsidRPr="00806F47">
        <w:t xml:space="preserve"> </w:t>
      </w:r>
      <w:r>
        <w:t>19: 2129-2135</w:t>
      </w:r>
    </w:p>
  </w:footnote>
  <w:footnote w:id="7">
    <w:p w:rsidR="006953E8" w:rsidRPr="0040529E" w:rsidRDefault="006953E8">
      <w:pPr>
        <w:pStyle w:val="FootnoteText"/>
        <w:rPr>
          <w:lang w:val="en-US"/>
        </w:rPr>
      </w:pPr>
      <w:r>
        <w:rPr>
          <w:rStyle w:val="FootnoteReference"/>
        </w:rPr>
        <w:footnoteRef/>
      </w:r>
      <w:r>
        <w:t xml:space="preserve"> </w:t>
      </w:r>
      <w:proofErr w:type="gramStart"/>
      <w:r>
        <w:rPr>
          <w:rFonts w:asciiTheme="minorHAnsi" w:hAnsiTheme="minorHAnsi"/>
          <w:szCs w:val="22"/>
        </w:rPr>
        <w:t>Moore, K. et al.</w:t>
      </w:r>
      <w:proofErr w:type="gramEnd"/>
      <w:r>
        <w:rPr>
          <w:rFonts w:asciiTheme="minorHAnsi" w:hAnsiTheme="minorHAnsi"/>
          <w:szCs w:val="22"/>
        </w:rPr>
        <w:t xml:space="preserve"> </w:t>
      </w:r>
      <w:proofErr w:type="gramStart"/>
      <w:r>
        <w:rPr>
          <w:rFonts w:asciiTheme="minorHAnsi" w:hAnsiTheme="minorHAnsi"/>
          <w:szCs w:val="22"/>
        </w:rPr>
        <w:t>A comparison of cisplatin/paclitaxel and carboplatin/paclitaxel in stage IVB, recurrent or persistent cervical cancer.</w:t>
      </w:r>
      <w:proofErr w:type="gramEnd"/>
      <w:r>
        <w:rPr>
          <w:rFonts w:asciiTheme="minorHAnsi" w:hAnsiTheme="minorHAnsi"/>
          <w:szCs w:val="22"/>
        </w:rPr>
        <w:t xml:space="preserve"> </w:t>
      </w:r>
      <w:r w:rsidRPr="0040529E">
        <w:rPr>
          <w:rFonts w:asciiTheme="minorHAnsi" w:hAnsiTheme="minorHAnsi"/>
          <w:i/>
          <w:szCs w:val="22"/>
        </w:rPr>
        <w:t>Gynaecologic Oncology</w:t>
      </w:r>
      <w:r>
        <w:rPr>
          <w:rFonts w:asciiTheme="minorHAnsi" w:hAnsiTheme="minorHAnsi"/>
          <w:szCs w:val="22"/>
        </w:rPr>
        <w:t xml:space="preserve"> 2007; 105: 299-303</w:t>
      </w:r>
    </w:p>
  </w:footnote>
  <w:footnote w:id="8">
    <w:p w:rsidR="006953E8" w:rsidRPr="0040529E" w:rsidRDefault="006953E8">
      <w:pPr>
        <w:pStyle w:val="FootnoteText"/>
        <w:rPr>
          <w:lang w:val="en-US"/>
        </w:rPr>
      </w:pPr>
      <w:r>
        <w:rPr>
          <w:rStyle w:val="FootnoteReference"/>
        </w:rPr>
        <w:footnoteRef/>
      </w:r>
      <w:r>
        <w:t xml:space="preserve"> </w:t>
      </w:r>
      <w:r>
        <w:rPr>
          <w:rFonts w:asciiTheme="minorHAnsi" w:hAnsiTheme="minorHAnsi"/>
          <w:szCs w:val="22"/>
        </w:rPr>
        <w:t xml:space="preserve">Rose, P. et al. </w:t>
      </w:r>
      <w:proofErr w:type="gramStart"/>
      <w:r>
        <w:rPr>
          <w:rFonts w:asciiTheme="minorHAnsi" w:hAnsiTheme="minorHAnsi"/>
          <w:szCs w:val="22"/>
        </w:rPr>
        <w:t>Locally</w:t>
      </w:r>
      <w:proofErr w:type="gramEnd"/>
      <w:r>
        <w:rPr>
          <w:rFonts w:asciiTheme="minorHAnsi" w:hAnsiTheme="minorHAnsi"/>
          <w:szCs w:val="22"/>
        </w:rPr>
        <w:t xml:space="preserve"> advanced adenocarcinoma and adenosquamous carcinomas of the cervix compared to squamous cell carcinomas of the cervix in Gynaecologic Oncology Group trials of cisplatin-based </w:t>
      </w:r>
      <w:proofErr w:type="spellStart"/>
      <w:r>
        <w:rPr>
          <w:rFonts w:asciiTheme="minorHAnsi" w:hAnsiTheme="minorHAnsi"/>
          <w:szCs w:val="22"/>
        </w:rPr>
        <w:t>chemoradiation</w:t>
      </w:r>
      <w:proofErr w:type="spellEnd"/>
      <w:r>
        <w:rPr>
          <w:rFonts w:asciiTheme="minorHAnsi" w:hAnsiTheme="minorHAnsi"/>
          <w:szCs w:val="22"/>
        </w:rPr>
        <w:t xml:space="preserve">. </w:t>
      </w:r>
      <w:proofErr w:type="gramStart"/>
      <w:r w:rsidRPr="0040529E">
        <w:rPr>
          <w:rFonts w:asciiTheme="minorHAnsi" w:hAnsiTheme="minorHAnsi"/>
          <w:i/>
          <w:szCs w:val="22"/>
        </w:rPr>
        <w:t>Gynaecologic Oncology</w:t>
      </w:r>
      <w:r>
        <w:rPr>
          <w:rFonts w:asciiTheme="minorHAnsi" w:hAnsiTheme="minorHAnsi"/>
          <w:szCs w:val="22"/>
        </w:rPr>
        <w:t>.</w:t>
      </w:r>
      <w:proofErr w:type="gramEnd"/>
      <w:r>
        <w:rPr>
          <w:rFonts w:asciiTheme="minorHAnsi" w:hAnsiTheme="minorHAnsi"/>
          <w:szCs w:val="22"/>
        </w:rPr>
        <w:t xml:space="preserve"> 2014; 135: 208-212</w:t>
      </w:r>
    </w:p>
  </w:footnote>
  <w:footnote w:id="9">
    <w:p w:rsidR="006953E8" w:rsidRPr="0040529E" w:rsidRDefault="006953E8">
      <w:pPr>
        <w:pStyle w:val="FootnoteText"/>
        <w:rPr>
          <w:lang w:val="en-US"/>
        </w:rPr>
      </w:pPr>
      <w:r>
        <w:rPr>
          <w:rStyle w:val="FootnoteReference"/>
        </w:rPr>
        <w:footnoteRef/>
      </w:r>
      <w:r>
        <w:t xml:space="preserve"> </w:t>
      </w:r>
      <w:r>
        <w:rPr>
          <w:rFonts w:asciiTheme="minorHAnsi" w:hAnsiTheme="minorHAnsi"/>
          <w:szCs w:val="22"/>
        </w:rPr>
        <w:t>Moore, D. et al. Phase III study of cisplatin with or without paclitaxel in stage IVB, recurrent, or persistent squamous cell carcinoma of the cervix: a Gynaecologic Oncology Group Study</w:t>
      </w:r>
      <w:r w:rsidRPr="0040529E">
        <w:rPr>
          <w:rFonts w:asciiTheme="minorHAnsi" w:hAnsiTheme="minorHAnsi"/>
          <w:i/>
          <w:szCs w:val="22"/>
        </w:rPr>
        <w:t>. JCO</w:t>
      </w:r>
      <w:r>
        <w:rPr>
          <w:rFonts w:asciiTheme="minorHAnsi" w:hAnsiTheme="minorHAnsi"/>
          <w:szCs w:val="22"/>
        </w:rPr>
        <w:t xml:space="preserve"> 2004; 22: 3113-3119</w:t>
      </w:r>
    </w:p>
  </w:footnote>
  <w:footnote w:id="10">
    <w:p w:rsidR="006953E8" w:rsidRPr="00E968A3" w:rsidRDefault="006953E8">
      <w:pPr>
        <w:pStyle w:val="FootnoteText"/>
        <w:rPr>
          <w:lang w:val="en-US"/>
        </w:rPr>
      </w:pPr>
      <w:r>
        <w:rPr>
          <w:rStyle w:val="FootnoteReference"/>
        </w:rPr>
        <w:footnoteRef/>
      </w:r>
      <w:r>
        <w:t xml:space="preserve"> </w:t>
      </w:r>
      <w:proofErr w:type="spellStart"/>
      <w:proofErr w:type="gramStart"/>
      <w:r>
        <w:rPr>
          <w:rFonts w:asciiTheme="minorHAnsi" w:hAnsiTheme="minorHAnsi"/>
          <w:szCs w:val="22"/>
        </w:rPr>
        <w:t>Tjalma</w:t>
      </w:r>
      <w:proofErr w:type="spellEnd"/>
      <w:r>
        <w:rPr>
          <w:rFonts w:asciiTheme="minorHAnsi" w:hAnsiTheme="minorHAnsi"/>
          <w:szCs w:val="22"/>
        </w:rPr>
        <w:t>, W. et al.</w:t>
      </w:r>
      <w:proofErr w:type="gramEnd"/>
      <w:r>
        <w:rPr>
          <w:rFonts w:asciiTheme="minorHAnsi" w:hAnsiTheme="minorHAnsi"/>
          <w:szCs w:val="22"/>
        </w:rPr>
        <w:t xml:space="preserve"> The association between vascular endothelial growth factor, </w:t>
      </w:r>
      <w:proofErr w:type="spellStart"/>
      <w:r>
        <w:rPr>
          <w:rFonts w:asciiTheme="minorHAnsi" w:hAnsiTheme="minorHAnsi"/>
          <w:szCs w:val="22"/>
        </w:rPr>
        <w:t>microvessel</w:t>
      </w:r>
      <w:proofErr w:type="spellEnd"/>
      <w:r>
        <w:rPr>
          <w:rFonts w:asciiTheme="minorHAnsi" w:hAnsiTheme="minorHAnsi"/>
          <w:szCs w:val="22"/>
        </w:rPr>
        <w:t xml:space="preserve"> density and </w:t>
      </w:r>
      <w:proofErr w:type="spellStart"/>
      <w:r>
        <w:rPr>
          <w:rFonts w:asciiTheme="minorHAnsi" w:hAnsiTheme="minorHAnsi"/>
          <w:szCs w:val="22"/>
        </w:rPr>
        <w:t>clinicopathological</w:t>
      </w:r>
      <w:proofErr w:type="spellEnd"/>
      <w:r>
        <w:rPr>
          <w:rFonts w:asciiTheme="minorHAnsi" w:hAnsiTheme="minorHAnsi"/>
          <w:szCs w:val="22"/>
        </w:rPr>
        <w:t xml:space="preserve"> features in invasive cervical cancer. </w:t>
      </w:r>
      <w:proofErr w:type="gramStart"/>
      <w:r w:rsidRPr="00E968A3">
        <w:rPr>
          <w:rFonts w:asciiTheme="minorHAnsi" w:hAnsiTheme="minorHAnsi"/>
          <w:i/>
          <w:szCs w:val="22"/>
        </w:rPr>
        <w:t>European Journal of Obstetrics &amp; Gynaecology and Reproductive Biology</w:t>
      </w:r>
      <w:r>
        <w:rPr>
          <w:rFonts w:asciiTheme="minorHAnsi" w:hAnsiTheme="minorHAnsi"/>
          <w:szCs w:val="22"/>
        </w:rPr>
        <w:t>.</w:t>
      </w:r>
      <w:proofErr w:type="gramEnd"/>
      <w:r>
        <w:rPr>
          <w:rFonts w:asciiTheme="minorHAnsi" w:hAnsiTheme="minorHAnsi"/>
          <w:szCs w:val="22"/>
        </w:rPr>
        <w:t xml:space="preserve"> 200; 92: 251-257</w:t>
      </w:r>
    </w:p>
  </w:footnote>
  <w:footnote w:id="11">
    <w:p w:rsidR="006953E8" w:rsidRPr="00E968A3" w:rsidRDefault="006953E8">
      <w:pPr>
        <w:pStyle w:val="FootnoteText"/>
        <w:rPr>
          <w:lang w:val="en-US"/>
        </w:rPr>
      </w:pPr>
      <w:r>
        <w:rPr>
          <w:rStyle w:val="FootnoteReference"/>
        </w:rPr>
        <w:footnoteRef/>
      </w:r>
      <w:r>
        <w:t xml:space="preserve"> </w:t>
      </w:r>
      <w:proofErr w:type="gramStart"/>
      <w:r>
        <w:rPr>
          <w:rFonts w:asciiTheme="minorHAnsi" w:hAnsiTheme="minorHAnsi"/>
          <w:szCs w:val="22"/>
        </w:rPr>
        <w:t xml:space="preserve">El </w:t>
      </w:r>
      <w:proofErr w:type="spellStart"/>
      <w:r>
        <w:rPr>
          <w:rFonts w:asciiTheme="minorHAnsi" w:hAnsiTheme="minorHAnsi"/>
          <w:szCs w:val="22"/>
        </w:rPr>
        <w:t>Sabaa</w:t>
      </w:r>
      <w:proofErr w:type="spellEnd"/>
      <w:r>
        <w:rPr>
          <w:rFonts w:asciiTheme="minorHAnsi" w:hAnsiTheme="minorHAnsi"/>
          <w:szCs w:val="22"/>
        </w:rPr>
        <w:t xml:space="preserve">, B. et al. VEGF expression and microvasculature density in relation to high-risk HPV </w:t>
      </w:r>
      <w:proofErr w:type="spellStart"/>
      <w:r>
        <w:rPr>
          <w:rFonts w:asciiTheme="minorHAnsi" w:hAnsiTheme="minorHAnsi"/>
          <w:szCs w:val="22"/>
        </w:rPr>
        <w:t>infectionin</w:t>
      </w:r>
      <w:proofErr w:type="spellEnd"/>
      <w:r>
        <w:rPr>
          <w:rFonts w:asciiTheme="minorHAnsi" w:hAnsiTheme="minorHAnsi"/>
          <w:szCs w:val="22"/>
        </w:rPr>
        <w:t xml:space="preserve"> cervical carcinoma – An </w:t>
      </w:r>
      <w:proofErr w:type="spellStart"/>
      <w:r>
        <w:rPr>
          <w:rFonts w:asciiTheme="minorHAnsi" w:hAnsiTheme="minorHAnsi"/>
          <w:szCs w:val="22"/>
        </w:rPr>
        <w:t>immunohistochemical</w:t>
      </w:r>
      <w:proofErr w:type="spellEnd"/>
      <w:r>
        <w:rPr>
          <w:rFonts w:asciiTheme="minorHAnsi" w:hAnsiTheme="minorHAnsi"/>
          <w:szCs w:val="22"/>
        </w:rPr>
        <w:t xml:space="preserve"> study.</w:t>
      </w:r>
      <w:proofErr w:type="gramEnd"/>
      <w:r>
        <w:rPr>
          <w:rFonts w:asciiTheme="minorHAnsi" w:hAnsiTheme="minorHAnsi"/>
          <w:szCs w:val="22"/>
        </w:rPr>
        <w:t xml:space="preserve"> </w:t>
      </w:r>
      <w:proofErr w:type="gramStart"/>
      <w:r w:rsidRPr="00E968A3">
        <w:rPr>
          <w:rFonts w:asciiTheme="minorHAnsi" w:hAnsiTheme="minorHAnsi"/>
          <w:i/>
          <w:szCs w:val="22"/>
        </w:rPr>
        <w:t>Alexandria Journal of Medicine</w:t>
      </w:r>
      <w:r>
        <w:rPr>
          <w:rFonts w:asciiTheme="minorHAnsi" w:hAnsiTheme="minorHAnsi"/>
          <w:szCs w:val="22"/>
        </w:rPr>
        <w:t>.</w:t>
      </w:r>
      <w:proofErr w:type="gramEnd"/>
      <w:r>
        <w:rPr>
          <w:rFonts w:asciiTheme="minorHAnsi" w:hAnsiTheme="minorHAnsi"/>
          <w:szCs w:val="22"/>
        </w:rPr>
        <w:t xml:space="preserve"> 2012; 48: 47-57</w:t>
      </w:r>
    </w:p>
  </w:footnote>
  <w:footnote w:id="12">
    <w:p w:rsidR="006953E8" w:rsidRPr="00E968A3" w:rsidRDefault="006953E8">
      <w:pPr>
        <w:pStyle w:val="FootnoteText"/>
        <w:rPr>
          <w:lang w:val="en-US"/>
        </w:rPr>
      </w:pPr>
      <w:r>
        <w:rPr>
          <w:rStyle w:val="FootnoteReference"/>
        </w:rPr>
        <w:footnoteRef/>
      </w:r>
      <w:r>
        <w:t xml:space="preserve"> </w:t>
      </w:r>
      <w:r>
        <w:rPr>
          <w:rFonts w:asciiTheme="minorHAnsi" w:hAnsiTheme="minorHAnsi"/>
          <w:szCs w:val="22"/>
        </w:rPr>
        <w:t xml:space="preserve">Fuchs, T. et al. </w:t>
      </w:r>
      <w:proofErr w:type="spellStart"/>
      <w:r w:rsidRPr="006F1641">
        <w:rPr>
          <w:rFonts w:asciiTheme="minorHAnsi" w:hAnsiTheme="minorHAnsi"/>
          <w:szCs w:val="22"/>
        </w:rPr>
        <w:t>Ramucirumab</w:t>
      </w:r>
      <w:proofErr w:type="spellEnd"/>
      <w:r w:rsidRPr="006F1641">
        <w:rPr>
          <w:rFonts w:asciiTheme="minorHAnsi" w:hAnsiTheme="minorHAnsi"/>
          <w:szCs w:val="22"/>
        </w:rPr>
        <w:t xml:space="preserve"> monotherapy for previously treated advanced gastric or gastro-oesophageal junction adenocarcinoma (REGARD): an international, randomised, multicentre, placebo-controlled, phase 3 trial.</w:t>
      </w:r>
      <w:r>
        <w:rPr>
          <w:rFonts w:asciiTheme="minorHAnsi" w:hAnsiTheme="minorHAnsi"/>
          <w:szCs w:val="22"/>
        </w:rPr>
        <w:t xml:space="preserve"> </w:t>
      </w:r>
      <w:r w:rsidRPr="00E968A3">
        <w:rPr>
          <w:rFonts w:asciiTheme="minorHAnsi" w:hAnsiTheme="minorHAnsi"/>
          <w:i/>
          <w:szCs w:val="22"/>
        </w:rPr>
        <w:t>Lancet</w:t>
      </w:r>
      <w:r>
        <w:rPr>
          <w:rFonts w:asciiTheme="minorHAnsi" w:hAnsiTheme="minorHAnsi"/>
          <w:szCs w:val="22"/>
        </w:rPr>
        <w:t xml:space="preserve"> 2014; 383: 31-39</w:t>
      </w:r>
    </w:p>
  </w:footnote>
  <w:footnote w:id="13">
    <w:p w:rsidR="006953E8" w:rsidRPr="00E968A3" w:rsidRDefault="006953E8">
      <w:pPr>
        <w:pStyle w:val="FootnoteText"/>
        <w:rPr>
          <w:lang w:val="en-US"/>
        </w:rPr>
      </w:pPr>
      <w:r>
        <w:rPr>
          <w:rStyle w:val="FootnoteReference"/>
        </w:rPr>
        <w:footnoteRef/>
      </w:r>
      <w:r>
        <w:t xml:space="preserve"> </w:t>
      </w:r>
      <w:proofErr w:type="spellStart"/>
      <w:r>
        <w:rPr>
          <w:rFonts w:asciiTheme="minorHAnsi" w:hAnsiTheme="minorHAnsi"/>
          <w:szCs w:val="22"/>
        </w:rPr>
        <w:t>Ohtsu</w:t>
      </w:r>
      <w:proofErr w:type="spellEnd"/>
      <w:r>
        <w:rPr>
          <w:rFonts w:asciiTheme="minorHAnsi" w:hAnsiTheme="minorHAnsi"/>
          <w:szCs w:val="22"/>
        </w:rPr>
        <w:t>, A. et al. Bevacizumab in combination with chemotherapy ad first-line therapy in advanced gastric cancer: a randomized, double-blind, placebo-controlled Phase III study</w:t>
      </w:r>
      <w:r w:rsidRPr="00E968A3">
        <w:rPr>
          <w:rFonts w:asciiTheme="minorHAnsi" w:hAnsiTheme="minorHAnsi"/>
          <w:i/>
          <w:szCs w:val="22"/>
        </w:rPr>
        <w:t xml:space="preserve">. </w:t>
      </w:r>
      <w:proofErr w:type="gramStart"/>
      <w:r w:rsidRPr="00E968A3">
        <w:rPr>
          <w:rFonts w:asciiTheme="minorHAnsi" w:hAnsiTheme="minorHAnsi"/>
          <w:i/>
          <w:szCs w:val="22"/>
        </w:rPr>
        <w:t>Journal of Clinical Oncolo</w:t>
      </w:r>
      <w:r>
        <w:rPr>
          <w:rFonts w:asciiTheme="minorHAnsi" w:hAnsiTheme="minorHAnsi"/>
          <w:szCs w:val="22"/>
        </w:rPr>
        <w:t>gy.</w:t>
      </w:r>
      <w:proofErr w:type="gramEnd"/>
      <w:r>
        <w:rPr>
          <w:rFonts w:asciiTheme="minorHAnsi" w:hAnsiTheme="minorHAnsi"/>
          <w:szCs w:val="22"/>
        </w:rPr>
        <w:t xml:space="preserve"> 2011; 29: 3968-3976</w:t>
      </w:r>
    </w:p>
  </w:footnote>
  <w:footnote w:id="14">
    <w:p w:rsidR="006953E8" w:rsidRPr="008C181D" w:rsidRDefault="006953E8" w:rsidP="008C181D">
      <w:pPr>
        <w:pStyle w:val="FootnoteText"/>
      </w:pPr>
      <w:r>
        <w:rPr>
          <w:rStyle w:val="FootnoteReference"/>
        </w:rPr>
        <w:footnoteRef/>
      </w:r>
      <w:r>
        <w:t xml:space="preserve"> </w:t>
      </w:r>
      <w:proofErr w:type="spellStart"/>
      <w:r w:rsidRPr="008C181D">
        <w:t>Ferlay</w:t>
      </w:r>
      <w:proofErr w:type="spellEnd"/>
      <w:r w:rsidRPr="008C181D">
        <w:t xml:space="preserve"> J et al. GLOBOCAN 2012 v1.0, Cancer Incidence and Mortality Worldwide: IARC</w:t>
      </w:r>
      <w:r>
        <w:t xml:space="preserve"> </w:t>
      </w:r>
      <w:r w:rsidRPr="008C181D">
        <w:t>Cancer</w:t>
      </w:r>
      <w:r>
        <w:t xml:space="preserve"> </w:t>
      </w:r>
      <w:r w:rsidRPr="008C181D">
        <w:t>Base No. 11 [Internet]. Lyon, France: International Agenc</w:t>
      </w:r>
      <w:r>
        <w:t xml:space="preserve">y for Research on Cancer; 2013. </w:t>
      </w:r>
      <w:r w:rsidRPr="008C181D">
        <w:t>Available from: http://globocan.iarc.fr/</w:t>
      </w:r>
    </w:p>
  </w:footnote>
  <w:footnote w:id="15">
    <w:p w:rsidR="006953E8" w:rsidRPr="008C181D" w:rsidRDefault="006953E8" w:rsidP="00C748DA">
      <w:pPr>
        <w:pStyle w:val="FootnoteText"/>
      </w:pPr>
      <w:r>
        <w:rPr>
          <w:rStyle w:val="FootnoteReference"/>
        </w:rPr>
        <w:footnoteRef/>
      </w:r>
      <w:r>
        <w:t xml:space="preserve"> </w:t>
      </w:r>
      <w:r w:rsidRPr="008C181D">
        <w:t>Primary Clinical Study Report – GOG-0240 – A randomized Phase III trial of cisplatin plus paclitaxel</w:t>
      </w:r>
      <w:r>
        <w:t xml:space="preserve"> </w:t>
      </w:r>
      <w:r w:rsidRPr="008C181D">
        <w:t xml:space="preserve">with and without NCI-supplied </w:t>
      </w:r>
      <w:proofErr w:type="spellStart"/>
      <w:r w:rsidRPr="00C748DA">
        <w:t>bevacizumab</w:t>
      </w:r>
      <w:proofErr w:type="spellEnd"/>
      <w:r w:rsidRPr="008C181D">
        <w:t xml:space="preserve"> (NSC #704865, IND #</w:t>
      </w:r>
      <w:r>
        <w:t xml:space="preserve">113912) versus the non-platinum </w:t>
      </w:r>
      <w:r w:rsidRPr="008C181D">
        <w:t>doublet, topotecan plus paclitaxel, with and without NCI-supplied bevac</w:t>
      </w:r>
      <w:r>
        <w:t xml:space="preserve">izumab, in stage IVB, recurrent </w:t>
      </w:r>
      <w:r w:rsidRPr="008C181D">
        <w:t>or persistent carcinoma of the cervix – Report No. 1058089. March 2014</w:t>
      </w:r>
    </w:p>
  </w:footnote>
  <w:footnote w:id="16">
    <w:p w:rsidR="006953E8" w:rsidRPr="008C181D" w:rsidRDefault="006953E8" w:rsidP="008C181D">
      <w:pPr>
        <w:pStyle w:val="FootnoteText"/>
      </w:pPr>
      <w:r>
        <w:rPr>
          <w:rStyle w:val="FootnoteReference"/>
        </w:rPr>
        <w:footnoteRef/>
      </w:r>
      <w:r>
        <w:t xml:space="preserve"> </w:t>
      </w:r>
      <w:proofErr w:type="spellStart"/>
      <w:r>
        <w:t>Seamon</w:t>
      </w:r>
      <w:proofErr w:type="spellEnd"/>
      <w:r>
        <w:t xml:space="preserve"> LG </w:t>
      </w:r>
      <w:r w:rsidRPr="008C181D">
        <w:t>et al. Prognostic impact of histology in recurrent and metastatic</w:t>
      </w:r>
      <w:r>
        <w:t xml:space="preserve"> </w:t>
      </w:r>
      <w:r w:rsidRPr="008C181D">
        <w:t xml:space="preserve">cervical carcinoma: A </w:t>
      </w:r>
      <w:proofErr w:type="spellStart"/>
      <w:r w:rsidRPr="008C181D">
        <w:t>Gynecologic</w:t>
      </w:r>
      <w:proofErr w:type="spellEnd"/>
      <w:r w:rsidRPr="008C181D">
        <w:t xml:space="preserve"> Oncology Group Study (publication i</w:t>
      </w:r>
      <w:r>
        <w:t xml:space="preserve">n preparation for International </w:t>
      </w:r>
      <w:proofErr w:type="spellStart"/>
      <w:r w:rsidRPr="008C181D">
        <w:t>Gynecologic</w:t>
      </w:r>
      <w:proofErr w:type="spellEnd"/>
      <w:r w:rsidRPr="008C181D">
        <w:t xml:space="preserve"> Cancer Society [ICGS] Meeting in 2014; oral presentation).</w:t>
      </w:r>
    </w:p>
  </w:footnote>
  <w:footnote w:id="17">
    <w:p w:rsidR="006953E8" w:rsidRPr="00DF67EF" w:rsidRDefault="006953E8" w:rsidP="00C748DA">
      <w:pPr>
        <w:pStyle w:val="FootnoteText"/>
        <w:rPr>
          <w:rStyle w:val="FootnoteTextChar"/>
        </w:rPr>
      </w:pPr>
      <w:r>
        <w:rPr>
          <w:rStyle w:val="FootnoteReference"/>
        </w:rPr>
        <w:footnoteRef/>
      </w:r>
      <w:r>
        <w:t xml:space="preserve"> </w:t>
      </w:r>
      <w:r w:rsidRPr="00E95BD0">
        <w:rPr>
          <w:rStyle w:val="FootnoteTextChar"/>
        </w:rPr>
        <w:t>Data in Tables 8 and 9 has been presented</w:t>
      </w:r>
      <w:r w:rsidRPr="00DF67EF">
        <w:rPr>
          <w:rStyle w:val="FootnoteTextChar"/>
        </w:rPr>
        <w:t xml:space="preserve"> using chemotherapy backbone as a covariate; and performance status, tumour stage and previous platinum treatment used as stratification factors. Unstratified data is presented </w:t>
      </w:r>
      <w:r w:rsidRPr="00E95BD0">
        <w:rPr>
          <w:rStyle w:val="FootnoteTextChar"/>
        </w:rPr>
        <w:t>in Tables 10 and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E8" w:rsidRDefault="006953E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E8" w:rsidRDefault="006953E8">
    <w:pPr>
      <w:rPr>
        <w:noProof/>
        <w:lang w:eastAsia="en-AU"/>
      </w:rPr>
    </w:pPr>
    <w:r w:rsidRPr="00347824">
      <w:rPr>
        <w:noProof/>
        <w:lang w:eastAsia="en-AU"/>
      </w:rPr>
      <w:drawing>
        <wp:anchor distT="0" distB="0" distL="114300" distR="114300" simplePos="0" relativeHeight="251659264" behindDoc="1" locked="0" layoutInCell="1" allowOverlap="1" wp14:anchorId="78EA6BBC" wp14:editId="543415FD">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953E8" w:rsidRDefault="006953E8" w:rsidP="00593AD1">
    <w:pPr>
      <w:pStyle w:val="HeaderNoLine"/>
    </w:pPr>
    <w:r>
      <w:rPr>
        <w:noProof/>
        <w:lang w:eastAsia="en-AU"/>
      </w:rPr>
      <w:drawing>
        <wp:inline distT="0" distB="0" distL="0" distR="0" wp14:anchorId="6D3C6D24" wp14:editId="4233DCF0">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E8" w:rsidRDefault="006953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E8" w:rsidRDefault="006953E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E8" w:rsidRDefault="006953E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E8" w:rsidRDefault="006953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E8" w:rsidRDefault="006953E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E8" w:rsidRDefault="006953E8" w:rsidP="006E08B3">
    <w:r>
      <w:t>Therapeutic Goods Administration</w:t>
    </w:r>
  </w:p>
  <w:p w:rsidR="006953E8" w:rsidRDefault="006953E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1CB6729"/>
    <w:multiLevelType w:val="multilevel"/>
    <w:tmpl w:val="DA5A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00675FA"/>
    <w:multiLevelType w:val="multilevel"/>
    <w:tmpl w:val="043267C6"/>
    <w:lvl w:ilvl="0">
      <w:start w:val="1"/>
      <w:numFmt w:val="decimal"/>
      <w:lvlText w:val="%1."/>
      <w:legacy w:legacy="1" w:legacySpace="0" w:legacyIndent="720"/>
      <w:lvlJc w:val="left"/>
      <w:pPr>
        <w:ind w:left="720" w:hanging="720"/>
      </w:pPr>
      <w:rPr>
        <w:rFonts w:ascii="Helv" w:eastAsiaTheme="minorHAnsi" w:hAnsi="Helv" w:cs="Helv"/>
      </w:rPr>
    </w:lvl>
    <w:lvl w:ilvl="1">
      <w:start w:val="1"/>
      <w:numFmt w:val="upperLetter"/>
      <w:lvlText w:val="%2."/>
      <w:legacy w:legacy="1" w:legacySpace="0" w:legacyIndent="720"/>
      <w:lvlJc w:val="left"/>
      <w:pPr>
        <w:ind w:left="72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7">
    <w:nsid w:val="12ED47FF"/>
    <w:multiLevelType w:val="hybridMultilevel"/>
    <w:tmpl w:val="6332018A"/>
    <w:lvl w:ilvl="0" w:tplc="4E42D0E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7134795"/>
    <w:multiLevelType w:val="hybridMultilevel"/>
    <w:tmpl w:val="6332018A"/>
    <w:lvl w:ilvl="0" w:tplc="4E42D0E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27FF0E93"/>
    <w:multiLevelType w:val="hybridMultilevel"/>
    <w:tmpl w:val="8DBA9254"/>
    <w:lvl w:ilvl="0" w:tplc="23421C04">
      <w:start w:val="2"/>
      <w:numFmt w:val="decimal"/>
      <w:lvlText w:val="%1."/>
      <w:lvlJc w:val="left"/>
      <w:pPr>
        <w:ind w:left="75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A7F11F4"/>
    <w:multiLevelType w:val="hybridMultilevel"/>
    <w:tmpl w:val="0660C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66740A"/>
    <w:multiLevelType w:val="hybridMultilevel"/>
    <w:tmpl w:val="9FCAB04A"/>
    <w:lvl w:ilvl="0" w:tplc="BBFA09CC">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07D705F"/>
    <w:multiLevelType w:val="hybridMultilevel"/>
    <w:tmpl w:val="5E1CE522"/>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5">
    <w:nsid w:val="37ED3AB6"/>
    <w:multiLevelType w:val="hybridMultilevel"/>
    <w:tmpl w:val="8F44AB1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BA83719"/>
    <w:multiLevelType w:val="hybridMultilevel"/>
    <w:tmpl w:val="2384DC0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59109A0"/>
    <w:multiLevelType w:val="hybridMultilevel"/>
    <w:tmpl w:val="E854A280"/>
    <w:lvl w:ilvl="0" w:tplc="F74228E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5"/>
  </w:num>
  <w:num w:numId="17">
    <w:abstractNumId w:val="5"/>
  </w:num>
  <w:num w:numId="18">
    <w:abstractNumId w:val="5"/>
  </w:num>
  <w:num w:numId="19">
    <w:abstractNumId w:val="8"/>
  </w:num>
  <w:num w:numId="20">
    <w:abstractNumId w:val="8"/>
  </w:num>
  <w:num w:numId="21">
    <w:abstractNumId w:val="8"/>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16"/>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1"/>
  </w:num>
  <w:num w:numId="34">
    <w:abstractNumId w:val="9"/>
  </w:num>
  <w:num w:numId="35">
    <w:abstractNumId w:val="7"/>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13"/>
  </w:num>
  <w:num w:numId="39">
    <w:abstractNumId w:val="8"/>
    <w:lvlOverride w:ilvl="0">
      <w:lvl w:ilvl="0">
        <w:start w:val="1"/>
        <w:numFmt w:val="bullet"/>
        <w:pStyle w:val="ListBullet"/>
        <w:lvlText w:val=""/>
        <w:lvlJc w:val="left"/>
        <w:pPr>
          <w:ind w:left="360" w:hanging="360"/>
        </w:pPr>
        <w:rPr>
          <w:rFonts w:ascii="Symbol" w:hAnsi="Symbol" w:hint="default"/>
        </w:rPr>
      </w:lvl>
    </w:lvlOverride>
  </w:num>
  <w:num w:numId="40">
    <w:abstractNumId w:val="14"/>
  </w:num>
  <w:num w:numId="41">
    <w:abstractNumId w:val="18"/>
  </w:num>
  <w:num w:numId="42">
    <w:abstractNumId w:val="10"/>
  </w:num>
  <w:num w:numId="43">
    <w:abstractNumId w:val="12"/>
  </w:num>
  <w:num w:numId="44">
    <w:abstractNumId w:val="19"/>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99E"/>
    <w:rsid w:val="00002031"/>
    <w:rsid w:val="00004734"/>
    <w:rsid w:val="00006B22"/>
    <w:rsid w:val="0001276A"/>
    <w:rsid w:val="0002151E"/>
    <w:rsid w:val="000246AE"/>
    <w:rsid w:val="00025C67"/>
    <w:rsid w:val="00044772"/>
    <w:rsid w:val="0005559E"/>
    <w:rsid w:val="000604D6"/>
    <w:rsid w:val="000734D8"/>
    <w:rsid w:val="00077775"/>
    <w:rsid w:val="00090471"/>
    <w:rsid w:val="00096AA7"/>
    <w:rsid w:val="000A3AED"/>
    <w:rsid w:val="000B3532"/>
    <w:rsid w:val="000B3A75"/>
    <w:rsid w:val="000C00C2"/>
    <w:rsid w:val="000C690F"/>
    <w:rsid w:val="000D1295"/>
    <w:rsid w:val="000D391B"/>
    <w:rsid w:val="000D3D6D"/>
    <w:rsid w:val="000D4FC7"/>
    <w:rsid w:val="000E6196"/>
    <w:rsid w:val="000E681B"/>
    <w:rsid w:val="000F4869"/>
    <w:rsid w:val="000F5B42"/>
    <w:rsid w:val="000F6E6F"/>
    <w:rsid w:val="0010601F"/>
    <w:rsid w:val="0010788A"/>
    <w:rsid w:val="00107A31"/>
    <w:rsid w:val="00110EA5"/>
    <w:rsid w:val="00112F56"/>
    <w:rsid w:val="00116C78"/>
    <w:rsid w:val="00125318"/>
    <w:rsid w:val="001305A2"/>
    <w:rsid w:val="00133238"/>
    <w:rsid w:val="00133A1B"/>
    <w:rsid w:val="0014197B"/>
    <w:rsid w:val="001447CD"/>
    <w:rsid w:val="001516B1"/>
    <w:rsid w:val="00154EBB"/>
    <w:rsid w:val="00156316"/>
    <w:rsid w:val="00161181"/>
    <w:rsid w:val="00162D14"/>
    <w:rsid w:val="00165389"/>
    <w:rsid w:val="001730A4"/>
    <w:rsid w:val="0017693F"/>
    <w:rsid w:val="0018110E"/>
    <w:rsid w:val="00181684"/>
    <w:rsid w:val="001843C6"/>
    <w:rsid w:val="001850E0"/>
    <w:rsid w:val="00196D60"/>
    <w:rsid w:val="001A2158"/>
    <w:rsid w:val="001A3655"/>
    <w:rsid w:val="001A4A69"/>
    <w:rsid w:val="001A525F"/>
    <w:rsid w:val="001B09F9"/>
    <w:rsid w:val="001B5C90"/>
    <w:rsid w:val="001B6448"/>
    <w:rsid w:val="001C32CD"/>
    <w:rsid w:val="001D2984"/>
    <w:rsid w:val="001D5B23"/>
    <w:rsid w:val="001E07CF"/>
    <w:rsid w:val="001E59F1"/>
    <w:rsid w:val="001E697B"/>
    <w:rsid w:val="001F2CEE"/>
    <w:rsid w:val="001F49EB"/>
    <w:rsid w:val="001F6CBA"/>
    <w:rsid w:val="002015E9"/>
    <w:rsid w:val="00201D4E"/>
    <w:rsid w:val="002076C9"/>
    <w:rsid w:val="00220B8A"/>
    <w:rsid w:val="0022194D"/>
    <w:rsid w:val="002257F3"/>
    <w:rsid w:val="00233456"/>
    <w:rsid w:val="002339A5"/>
    <w:rsid w:val="00257848"/>
    <w:rsid w:val="0027084A"/>
    <w:rsid w:val="00286434"/>
    <w:rsid w:val="00286C59"/>
    <w:rsid w:val="00291957"/>
    <w:rsid w:val="002942D1"/>
    <w:rsid w:val="0029501A"/>
    <w:rsid w:val="002A3721"/>
    <w:rsid w:val="002B1638"/>
    <w:rsid w:val="002B3624"/>
    <w:rsid w:val="002C2661"/>
    <w:rsid w:val="002D0952"/>
    <w:rsid w:val="002D39EE"/>
    <w:rsid w:val="002E40B3"/>
    <w:rsid w:val="002E4C9A"/>
    <w:rsid w:val="002F11F8"/>
    <w:rsid w:val="002F3F56"/>
    <w:rsid w:val="002F44B5"/>
    <w:rsid w:val="00311AC0"/>
    <w:rsid w:val="003157DF"/>
    <w:rsid w:val="003176FC"/>
    <w:rsid w:val="0032583B"/>
    <w:rsid w:val="00327883"/>
    <w:rsid w:val="00335504"/>
    <w:rsid w:val="00340C18"/>
    <w:rsid w:val="003442FD"/>
    <w:rsid w:val="00346A94"/>
    <w:rsid w:val="00347824"/>
    <w:rsid w:val="00350567"/>
    <w:rsid w:val="003521E8"/>
    <w:rsid w:val="00370CE3"/>
    <w:rsid w:val="003728F3"/>
    <w:rsid w:val="0037496E"/>
    <w:rsid w:val="00383221"/>
    <w:rsid w:val="00386150"/>
    <w:rsid w:val="003874CE"/>
    <w:rsid w:val="00390900"/>
    <w:rsid w:val="003A7F6C"/>
    <w:rsid w:val="003B4D60"/>
    <w:rsid w:val="003B5618"/>
    <w:rsid w:val="003B7E39"/>
    <w:rsid w:val="003C1CDA"/>
    <w:rsid w:val="003C58DC"/>
    <w:rsid w:val="003C6DF6"/>
    <w:rsid w:val="003D1E62"/>
    <w:rsid w:val="003E0B99"/>
    <w:rsid w:val="003E2486"/>
    <w:rsid w:val="003E3208"/>
    <w:rsid w:val="003E6952"/>
    <w:rsid w:val="003E6B2B"/>
    <w:rsid w:val="003F0B04"/>
    <w:rsid w:val="0040134E"/>
    <w:rsid w:val="0040529E"/>
    <w:rsid w:val="00406730"/>
    <w:rsid w:val="004334C7"/>
    <w:rsid w:val="00440A2D"/>
    <w:rsid w:val="00441C3F"/>
    <w:rsid w:val="004564A7"/>
    <w:rsid w:val="004617BF"/>
    <w:rsid w:val="00463658"/>
    <w:rsid w:val="004637A0"/>
    <w:rsid w:val="00463A01"/>
    <w:rsid w:val="00467E16"/>
    <w:rsid w:val="004722CC"/>
    <w:rsid w:val="004936E4"/>
    <w:rsid w:val="00494D5D"/>
    <w:rsid w:val="00494E60"/>
    <w:rsid w:val="00497487"/>
    <w:rsid w:val="004A6189"/>
    <w:rsid w:val="004A7390"/>
    <w:rsid w:val="004B7B76"/>
    <w:rsid w:val="004C239D"/>
    <w:rsid w:val="004C2DCA"/>
    <w:rsid w:val="004C5BBA"/>
    <w:rsid w:val="004C61D2"/>
    <w:rsid w:val="004C77FA"/>
    <w:rsid w:val="004D06CD"/>
    <w:rsid w:val="004F0C4A"/>
    <w:rsid w:val="004F0F38"/>
    <w:rsid w:val="004F47D6"/>
    <w:rsid w:val="0050001D"/>
    <w:rsid w:val="00501921"/>
    <w:rsid w:val="00511DEF"/>
    <w:rsid w:val="005217DE"/>
    <w:rsid w:val="00523ECD"/>
    <w:rsid w:val="00530354"/>
    <w:rsid w:val="0053625B"/>
    <w:rsid w:val="005434C6"/>
    <w:rsid w:val="00543B39"/>
    <w:rsid w:val="00546154"/>
    <w:rsid w:val="00550096"/>
    <w:rsid w:val="00551CB1"/>
    <w:rsid w:val="00555280"/>
    <w:rsid w:val="00557FF9"/>
    <w:rsid w:val="00562327"/>
    <w:rsid w:val="005711D5"/>
    <w:rsid w:val="00576378"/>
    <w:rsid w:val="00577130"/>
    <w:rsid w:val="00577945"/>
    <w:rsid w:val="00577E38"/>
    <w:rsid w:val="00582BDF"/>
    <w:rsid w:val="00585322"/>
    <w:rsid w:val="005857C6"/>
    <w:rsid w:val="00592F6E"/>
    <w:rsid w:val="00593AD1"/>
    <w:rsid w:val="005A4261"/>
    <w:rsid w:val="005A68B6"/>
    <w:rsid w:val="005B7889"/>
    <w:rsid w:val="005C412B"/>
    <w:rsid w:val="005C499E"/>
    <w:rsid w:val="005C5570"/>
    <w:rsid w:val="005C749F"/>
    <w:rsid w:val="005C79A4"/>
    <w:rsid w:val="005D2F1A"/>
    <w:rsid w:val="005D5442"/>
    <w:rsid w:val="005D7070"/>
    <w:rsid w:val="006022AD"/>
    <w:rsid w:val="00603F32"/>
    <w:rsid w:val="00605AD4"/>
    <w:rsid w:val="006136D7"/>
    <w:rsid w:val="00625A6E"/>
    <w:rsid w:val="00630B7C"/>
    <w:rsid w:val="00632398"/>
    <w:rsid w:val="00640FC3"/>
    <w:rsid w:val="00642020"/>
    <w:rsid w:val="0065337B"/>
    <w:rsid w:val="0065419D"/>
    <w:rsid w:val="00657505"/>
    <w:rsid w:val="006604D8"/>
    <w:rsid w:val="00664A5B"/>
    <w:rsid w:val="00665318"/>
    <w:rsid w:val="0066735C"/>
    <w:rsid w:val="006763D2"/>
    <w:rsid w:val="00680C08"/>
    <w:rsid w:val="006916A0"/>
    <w:rsid w:val="006931B1"/>
    <w:rsid w:val="006953E8"/>
    <w:rsid w:val="006A15C0"/>
    <w:rsid w:val="006A1F90"/>
    <w:rsid w:val="006A7859"/>
    <w:rsid w:val="006C3E2A"/>
    <w:rsid w:val="006C642F"/>
    <w:rsid w:val="006D03E5"/>
    <w:rsid w:val="006D5D3E"/>
    <w:rsid w:val="006E08B3"/>
    <w:rsid w:val="006F17AC"/>
    <w:rsid w:val="006F25B8"/>
    <w:rsid w:val="006F572E"/>
    <w:rsid w:val="00701011"/>
    <w:rsid w:val="007046D6"/>
    <w:rsid w:val="00705DB0"/>
    <w:rsid w:val="00722B57"/>
    <w:rsid w:val="00730F8A"/>
    <w:rsid w:val="00735A8C"/>
    <w:rsid w:val="0074253D"/>
    <w:rsid w:val="0074429B"/>
    <w:rsid w:val="007615BC"/>
    <w:rsid w:val="00762F05"/>
    <w:rsid w:val="007652FF"/>
    <w:rsid w:val="00765FC7"/>
    <w:rsid w:val="00770CAC"/>
    <w:rsid w:val="00770EF1"/>
    <w:rsid w:val="00773EF7"/>
    <w:rsid w:val="00774888"/>
    <w:rsid w:val="00774E1D"/>
    <w:rsid w:val="007765D8"/>
    <w:rsid w:val="0077675A"/>
    <w:rsid w:val="00780355"/>
    <w:rsid w:val="007819FD"/>
    <w:rsid w:val="00785717"/>
    <w:rsid w:val="00785721"/>
    <w:rsid w:val="00793A59"/>
    <w:rsid w:val="007B6132"/>
    <w:rsid w:val="007B6E9F"/>
    <w:rsid w:val="007C1216"/>
    <w:rsid w:val="007C1AF7"/>
    <w:rsid w:val="007C6B9B"/>
    <w:rsid w:val="007F1DED"/>
    <w:rsid w:val="008054ED"/>
    <w:rsid w:val="00805D27"/>
    <w:rsid w:val="00806DCB"/>
    <w:rsid w:val="00821776"/>
    <w:rsid w:val="008321F5"/>
    <w:rsid w:val="00832369"/>
    <w:rsid w:val="00834660"/>
    <w:rsid w:val="00836BC2"/>
    <w:rsid w:val="00844F7E"/>
    <w:rsid w:val="00846D78"/>
    <w:rsid w:val="0085156D"/>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1D"/>
    <w:rsid w:val="008C1850"/>
    <w:rsid w:val="008C51A9"/>
    <w:rsid w:val="008E7846"/>
    <w:rsid w:val="008F02E5"/>
    <w:rsid w:val="008F1CCC"/>
    <w:rsid w:val="008F2967"/>
    <w:rsid w:val="008F6943"/>
    <w:rsid w:val="00900316"/>
    <w:rsid w:val="00902A21"/>
    <w:rsid w:val="009100B8"/>
    <w:rsid w:val="00920330"/>
    <w:rsid w:val="009219D7"/>
    <w:rsid w:val="00922D53"/>
    <w:rsid w:val="00923B70"/>
    <w:rsid w:val="00924482"/>
    <w:rsid w:val="00930237"/>
    <w:rsid w:val="009371AD"/>
    <w:rsid w:val="00937C17"/>
    <w:rsid w:val="00940A89"/>
    <w:rsid w:val="00946EA5"/>
    <w:rsid w:val="00947E21"/>
    <w:rsid w:val="00963C08"/>
    <w:rsid w:val="00967891"/>
    <w:rsid w:val="00970ABA"/>
    <w:rsid w:val="00974670"/>
    <w:rsid w:val="009752A5"/>
    <w:rsid w:val="0098585A"/>
    <w:rsid w:val="00994DB9"/>
    <w:rsid w:val="009A4CED"/>
    <w:rsid w:val="009A690D"/>
    <w:rsid w:val="009B1D12"/>
    <w:rsid w:val="009B416B"/>
    <w:rsid w:val="009C4BD5"/>
    <w:rsid w:val="009D4AE1"/>
    <w:rsid w:val="009D7B77"/>
    <w:rsid w:val="009E0BB0"/>
    <w:rsid w:val="009E3FBB"/>
    <w:rsid w:val="009F7353"/>
    <w:rsid w:val="00A04F85"/>
    <w:rsid w:val="00A05FA4"/>
    <w:rsid w:val="00A102E4"/>
    <w:rsid w:val="00A12C42"/>
    <w:rsid w:val="00A146B5"/>
    <w:rsid w:val="00A14DF7"/>
    <w:rsid w:val="00A3246D"/>
    <w:rsid w:val="00A3674D"/>
    <w:rsid w:val="00A36FA7"/>
    <w:rsid w:val="00A44DDB"/>
    <w:rsid w:val="00A475B7"/>
    <w:rsid w:val="00A47AF7"/>
    <w:rsid w:val="00A47C3E"/>
    <w:rsid w:val="00A50226"/>
    <w:rsid w:val="00A60BAD"/>
    <w:rsid w:val="00A80B5B"/>
    <w:rsid w:val="00A84E36"/>
    <w:rsid w:val="00A964D1"/>
    <w:rsid w:val="00AA0ED0"/>
    <w:rsid w:val="00AC2ABD"/>
    <w:rsid w:val="00AC2B40"/>
    <w:rsid w:val="00AC2BB2"/>
    <w:rsid w:val="00AC2C3C"/>
    <w:rsid w:val="00AC321D"/>
    <w:rsid w:val="00AC512D"/>
    <w:rsid w:val="00AD0083"/>
    <w:rsid w:val="00AD3935"/>
    <w:rsid w:val="00AE5CA9"/>
    <w:rsid w:val="00AE65EB"/>
    <w:rsid w:val="00AE67A7"/>
    <w:rsid w:val="00AF1D94"/>
    <w:rsid w:val="00AF60C5"/>
    <w:rsid w:val="00B009C6"/>
    <w:rsid w:val="00B01548"/>
    <w:rsid w:val="00B13EBD"/>
    <w:rsid w:val="00B21D29"/>
    <w:rsid w:val="00B25034"/>
    <w:rsid w:val="00B32A52"/>
    <w:rsid w:val="00B33588"/>
    <w:rsid w:val="00B33863"/>
    <w:rsid w:val="00B37D17"/>
    <w:rsid w:val="00B4175E"/>
    <w:rsid w:val="00B452CE"/>
    <w:rsid w:val="00B54C25"/>
    <w:rsid w:val="00B76B91"/>
    <w:rsid w:val="00B77EB1"/>
    <w:rsid w:val="00B811C6"/>
    <w:rsid w:val="00B855B0"/>
    <w:rsid w:val="00B92E08"/>
    <w:rsid w:val="00BA65CF"/>
    <w:rsid w:val="00BB0775"/>
    <w:rsid w:val="00BC622A"/>
    <w:rsid w:val="00BE0622"/>
    <w:rsid w:val="00BE0A78"/>
    <w:rsid w:val="00BE79F0"/>
    <w:rsid w:val="00BF046D"/>
    <w:rsid w:val="00BF1190"/>
    <w:rsid w:val="00BF5D04"/>
    <w:rsid w:val="00C009AA"/>
    <w:rsid w:val="00C1164D"/>
    <w:rsid w:val="00C16861"/>
    <w:rsid w:val="00C32A3E"/>
    <w:rsid w:val="00C346AB"/>
    <w:rsid w:val="00C404A6"/>
    <w:rsid w:val="00C40A36"/>
    <w:rsid w:val="00C44419"/>
    <w:rsid w:val="00C45E7B"/>
    <w:rsid w:val="00C471B1"/>
    <w:rsid w:val="00C6316B"/>
    <w:rsid w:val="00C634A9"/>
    <w:rsid w:val="00C64586"/>
    <w:rsid w:val="00C70D53"/>
    <w:rsid w:val="00C73D0B"/>
    <w:rsid w:val="00C748DA"/>
    <w:rsid w:val="00C772FF"/>
    <w:rsid w:val="00C80137"/>
    <w:rsid w:val="00C801AF"/>
    <w:rsid w:val="00C80256"/>
    <w:rsid w:val="00C93438"/>
    <w:rsid w:val="00C94CD4"/>
    <w:rsid w:val="00C9747E"/>
    <w:rsid w:val="00CA0B25"/>
    <w:rsid w:val="00CB189F"/>
    <w:rsid w:val="00CB6BC0"/>
    <w:rsid w:val="00CC1B7C"/>
    <w:rsid w:val="00CC727F"/>
    <w:rsid w:val="00CD2E95"/>
    <w:rsid w:val="00CF15C3"/>
    <w:rsid w:val="00CF2B6F"/>
    <w:rsid w:val="00CF2F3E"/>
    <w:rsid w:val="00CF4142"/>
    <w:rsid w:val="00CF58B6"/>
    <w:rsid w:val="00D0062D"/>
    <w:rsid w:val="00D017ED"/>
    <w:rsid w:val="00D040D3"/>
    <w:rsid w:val="00D04C65"/>
    <w:rsid w:val="00D201D2"/>
    <w:rsid w:val="00D220F6"/>
    <w:rsid w:val="00D224FE"/>
    <w:rsid w:val="00D23139"/>
    <w:rsid w:val="00D33373"/>
    <w:rsid w:val="00D342AD"/>
    <w:rsid w:val="00D425BB"/>
    <w:rsid w:val="00D509F1"/>
    <w:rsid w:val="00D559E8"/>
    <w:rsid w:val="00D61547"/>
    <w:rsid w:val="00D62DDD"/>
    <w:rsid w:val="00D6493E"/>
    <w:rsid w:val="00D7195D"/>
    <w:rsid w:val="00D7301E"/>
    <w:rsid w:val="00D77F46"/>
    <w:rsid w:val="00D83AE1"/>
    <w:rsid w:val="00D855D4"/>
    <w:rsid w:val="00D902C9"/>
    <w:rsid w:val="00D93466"/>
    <w:rsid w:val="00DA1124"/>
    <w:rsid w:val="00DA39FE"/>
    <w:rsid w:val="00DA4DE1"/>
    <w:rsid w:val="00DA5072"/>
    <w:rsid w:val="00DB51DE"/>
    <w:rsid w:val="00DB6124"/>
    <w:rsid w:val="00DB750B"/>
    <w:rsid w:val="00DB75B7"/>
    <w:rsid w:val="00DC6E02"/>
    <w:rsid w:val="00DD28CD"/>
    <w:rsid w:val="00DE02AE"/>
    <w:rsid w:val="00DF1D7F"/>
    <w:rsid w:val="00DF490C"/>
    <w:rsid w:val="00DF4BE4"/>
    <w:rsid w:val="00DF67EF"/>
    <w:rsid w:val="00E02FB4"/>
    <w:rsid w:val="00E13FC7"/>
    <w:rsid w:val="00E20571"/>
    <w:rsid w:val="00E235F7"/>
    <w:rsid w:val="00E23659"/>
    <w:rsid w:val="00E239D4"/>
    <w:rsid w:val="00E26130"/>
    <w:rsid w:val="00E40B22"/>
    <w:rsid w:val="00E44ED1"/>
    <w:rsid w:val="00E45619"/>
    <w:rsid w:val="00E4588F"/>
    <w:rsid w:val="00E46DA3"/>
    <w:rsid w:val="00E51BB1"/>
    <w:rsid w:val="00E55C26"/>
    <w:rsid w:val="00E624A5"/>
    <w:rsid w:val="00E64BA4"/>
    <w:rsid w:val="00E7344E"/>
    <w:rsid w:val="00E76D66"/>
    <w:rsid w:val="00E82665"/>
    <w:rsid w:val="00E84525"/>
    <w:rsid w:val="00E95BD0"/>
    <w:rsid w:val="00E968A3"/>
    <w:rsid w:val="00EB0798"/>
    <w:rsid w:val="00EB40AD"/>
    <w:rsid w:val="00EB586E"/>
    <w:rsid w:val="00EB5FC8"/>
    <w:rsid w:val="00EC463D"/>
    <w:rsid w:val="00EC7A85"/>
    <w:rsid w:val="00ED2922"/>
    <w:rsid w:val="00ED3CAD"/>
    <w:rsid w:val="00ED5A41"/>
    <w:rsid w:val="00EE1DE8"/>
    <w:rsid w:val="00EE27C2"/>
    <w:rsid w:val="00EF2931"/>
    <w:rsid w:val="00EF4BAD"/>
    <w:rsid w:val="00EF59DC"/>
    <w:rsid w:val="00F033EC"/>
    <w:rsid w:val="00F04F68"/>
    <w:rsid w:val="00F056D5"/>
    <w:rsid w:val="00F12670"/>
    <w:rsid w:val="00F14B27"/>
    <w:rsid w:val="00F3148D"/>
    <w:rsid w:val="00F325C5"/>
    <w:rsid w:val="00F32FE0"/>
    <w:rsid w:val="00F35298"/>
    <w:rsid w:val="00F447E5"/>
    <w:rsid w:val="00F47333"/>
    <w:rsid w:val="00F47E37"/>
    <w:rsid w:val="00F53C07"/>
    <w:rsid w:val="00F54B65"/>
    <w:rsid w:val="00F640B6"/>
    <w:rsid w:val="00F66DF2"/>
    <w:rsid w:val="00F80E40"/>
    <w:rsid w:val="00F848D9"/>
    <w:rsid w:val="00F90962"/>
    <w:rsid w:val="00FA1CB1"/>
    <w:rsid w:val="00FA5B82"/>
    <w:rsid w:val="00FA639E"/>
    <w:rsid w:val="00FC1FCA"/>
    <w:rsid w:val="00FC25E4"/>
    <w:rsid w:val="00FC293A"/>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F67EF"/>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0001D"/>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523ECD"/>
    <w:pPr>
      <w:adjustRightInd w:val="0"/>
      <w:snapToGrid w:val="0"/>
      <w:spacing w:before="180" w:after="180"/>
      <w:ind w:left="720"/>
      <w:contextualSpacing/>
    </w:pPr>
    <w:rPr>
      <w:rFonts w:eastAsia="MS Mincho"/>
      <w:szCs w:val="20"/>
      <w:lang w:eastAsia="ja-JP"/>
    </w:rPr>
  </w:style>
  <w:style w:type="paragraph" w:customStyle="1" w:styleId="Bullet1">
    <w:name w:val="Bullet 1"/>
    <w:basedOn w:val="Normal"/>
    <w:rsid w:val="002C2661"/>
    <w:pPr>
      <w:numPr>
        <w:numId w:val="38"/>
      </w:numPr>
      <w:spacing w:after="0" w:line="240" w:lineRule="auto"/>
    </w:pPr>
    <w:rPr>
      <w:rFonts w:eastAsia="Times New Roman"/>
      <w:kern w:val="24"/>
      <w:szCs w:val="24"/>
      <w:lang w:eastAsia="en-AU"/>
    </w:rPr>
  </w:style>
  <w:style w:type="paragraph" w:customStyle="1" w:styleId="Style1">
    <w:name w:val="Style1"/>
    <w:basedOn w:val="Bullet1"/>
    <w:link w:val="Style1Char"/>
    <w:qFormat/>
    <w:rsid w:val="002C2661"/>
  </w:style>
  <w:style w:type="character" w:customStyle="1" w:styleId="Style1Char">
    <w:name w:val="Style1 Char"/>
    <w:basedOn w:val="DefaultParagraphFont"/>
    <w:link w:val="Style1"/>
    <w:rsid w:val="002C2661"/>
    <w:rPr>
      <w:rFonts w:ascii="Cambria" w:eastAsia="Times New Roman" w:hAnsi="Cambria" w:cs="Times New Roman"/>
      <w:kern w:val="24"/>
      <w:szCs w:val="24"/>
      <w:lang w:eastAsia="en-AU"/>
    </w:rPr>
  </w:style>
  <w:style w:type="paragraph" w:customStyle="1" w:styleId="Tabletitle0">
    <w:name w:val="Table title"/>
    <w:basedOn w:val="Normal"/>
    <w:next w:val="Normal"/>
    <w:rsid w:val="00630B7C"/>
    <w:pPr>
      <w:keepNext/>
      <w:spacing w:after="180"/>
      <w:outlineLvl w:val="4"/>
    </w:pPr>
    <w:rPr>
      <w:rFonts w:cstheme="minorBidi"/>
      <w:b/>
    </w:rPr>
  </w:style>
  <w:style w:type="paragraph" w:customStyle="1" w:styleId="Default">
    <w:name w:val="Default"/>
    <w:rsid w:val="00467E16"/>
    <w:pPr>
      <w:autoSpaceDE w:val="0"/>
      <w:autoSpaceDN w:val="0"/>
      <w:adjustRightInd w:val="0"/>
      <w:spacing w:after="0" w:line="240" w:lineRule="auto"/>
    </w:pPr>
    <w:rPr>
      <w:rFonts w:ascii="Cambria" w:hAnsi="Cambria" w:cs="Cambria"/>
      <w:color w:val="000000"/>
      <w:sz w:val="24"/>
      <w:szCs w:val="24"/>
    </w:rPr>
  </w:style>
  <w:style w:type="character" w:customStyle="1" w:styleId="st1">
    <w:name w:val="st1"/>
    <w:basedOn w:val="DefaultParagraphFont"/>
    <w:rsid w:val="00EF29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F67EF"/>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0001D"/>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523ECD"/>
    <w:pPr>
      <w:adjustRightInd w:val="0"/>
      <w:snapToGrid w:val="0"/>
      <w:spacing w:before="180" w:after="180"/>
      <w:ind w:left="720"/>
      <w:contextualSpacing/>
    </w:pPr>
    <w:rPr>
      <w:rFonts w:eastAsia="MS Mincho"/>
      <w:szCs w:val="20"/>
      <w:lang w:eastAsia="ja-JP"/>
    </w:rPr>
  </w:style>
  <w:style w:type="paragraph" w:customStyle="1" w:styleId="Bullet1">
    <w:name w:val="Bullet 1"/>
    <w:basedOn w:val="Normal"/>
    <w:rsid w:val="002C2661"/>
    <w:pPr>
      <w:numPr>
        <w:numId w:val="38"/>
      </w:numPr>
      <w:spacing w:after="0" w:line="240" w:lineRule="auto"/>
    </w:pPr>
    <w:rPr>
      <w:rFonts w:eastAsia="Times New Roman"/>
      <w:kern w:val="24"/>
      <w:szCs w:val="24"/>
      <w:lang w:eastAsia="en-AU"/>
    </w:rPr>
  </w:style>
  <w:style w:type="paragraph" w:customStyle="1" w:styleId="Style1">
    <w:name w:val="Style1"/>
    <w:basedOn w:val="Bullet1"/>
    <w:link w:val="Style1Char"/>
    <w:qFormat/>
    <w:rsid w:val="002C2661"/>
  </w:style>
  <w:style w:type="character" w:customStyle="1" w:styleId="Style1Char">
    <w:name w:val="Style1 Char"/>
    <w:basedOn w:val="DefaultParagraphFont"/>
    <w:link w:val="Style1"/>
    <w:rsid w:val="002C2661"/>
    <w:rPr>
      <w:rFonts w:ascii="Cambria" w:eastAsia="Times New Roman" w:hAnsi="Cambria" w:cs="Times New Roman"/>
      <w:kern w:val="24"/>
      <w:szCs w:val="24"/>
      <w:lang w:eastAsia="en-AU"/>
    </w:rPr>
  </w:style>
  <w:style w:type="paragraph" w:customStyle="1" w:styleId="Tabletitle0">
    <w:name w:val="Table title"/>
    <w:basedOn w:val="Normal"/>
    <w:next w:val="Normal"/>
    <w:rsid w:val="00630B7C"/>
    <w:pPr>
      <w:keepNext/>
      <w:spacing w:after="180"/>
      <w:outlineLvl w:val="4"/>
    </w:pPr>
    <w:rPr>
      <w:rFonts w:cstheme="minorBidi"/>
      <w:b/>
    </w:rPr>
  </w:style>
  <w:style w:type="paragraph" w:customStyle="1" w:styleId="Default">
    <w:name w:val="Default"/>
    <w:rsid w:val="00467E16"/>
    <w:pPr>
      <w:autoSpaceDE w:val="0"/>
      <w:autoSpaceDN w:val="0"/>
      <w:adjustRightInd w:val="0"/>
      <w:spacing w:after="0" w:line="240" w:lineRule="auto"/>
    </w:pPr>
    <w:rPr>
      <w:rFonts w:ascii="Cambria" w:hAnsi="Cambria" w:cs="Cambria"/>
      <w:color w:val="000000"/>
      <w:sz w:val="24"/>
      <w:szCs w:val="24"/>
    </w:rPr>
  </w:style>
  <w:style w:type="character" w:customStyle="1" w:styleId="st1">
    <w:name w:val="st1"/>
    <w:basedOn w:val="DefaultParagraphFont"/>
    <w:rsid w:val="00EF2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56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5.xm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microsoft.com/office/2007/relationships/hdphoto" Target="media/hdphoto2.wdp"/><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hyperlink" Target="https://www.tga.gov.au"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mailto:info@tga.gov.au" TargetMode="Externa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microsoft.com/office/2007/relationships/hdphoto" Target="media/hdphoto1.wdp"/><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22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2C6F1-800E-43D8-AEA0-A5841DA1D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315</TotalTime>
  <Pages>50</Pages>
  <Words>15162</Words>
  <Characters>86424</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Australian Public Assessment Report for Bevacizumab</vt:lpstr>
    </vt:vector>
  </TitlesOfParts>
  <Company/>
  <LinksUpToDate>false</LinksUpToDate>
  <CharactersWithSpaces>101384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Bevacizumab (rch)</dc:title>
  <dc:subject>Prescription medicines</dc:subject>
  <dc:creator>Therapeutic Goods Administration</dc:creator>
  <cp:keywords>AusPARs</cp:keywords>
  <cp:lastModifiedBy>MORENO, David</cp:lastModifiedBy>
  <cp:revision>14</cp:revision>
  <cp:lastPrinted>2015-09-22T23:39:00Z</cp:lastPrinted>
  <dcterms:created xsi:type="dcterms:W3CDTF">2017-05-10T04:31:00Z</dcterms:created>
  <dcterms:modified xsi:type="dcterms:W3CDTF">2017-05-25T00:31:00Z</dcterms:modified>
  <cp:category/>
</cp:coreProperties>
</file>