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5B69EC" w:rsidP="005B69EC">
            <w:pPr>
              <w:rPr>
                <w:rFonts w:ascii="Arial" w:hAnsi="Arial" w:cs="Arial"/>
                <w:b/>
                <w:color w:val="002C47"/>
                <w:sz w:val="36"/>
                <w:szCs w:val="36"/>
              </w:rPr>
            </w:pPr>
            <w:r w:rsidRPr="005B69EC">
              <w:rPr>
                <w:rFonts w:ascii="Arial" w:hAnsi="Arial" w:cs="Arial"/>
                <w:b/>
                <w:color w:val="002C47"/>
                <w:sz w:val="36"/>
                <w:szCs w:val="36"/>
              </w:rPr>
              <w:t>May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770321">
              <w:rPr>
                <w:color w:val="FFFFFF" w:themeColor="background1"/>
              </w:rPr>
              <w:t xml:space="preserve"> B</w:t>
            </w:r>
            <w:r w:rsidR="00770321" w:rsidRPr="00770321">
              <w:rPr>
                <w:color w:val="FFFFFF" w:themeColor="background1"/>
              </w:rPr>
              <w:t>evacizumab</w:t>
            </w:r>
          </w:p>
        </w:tc>
      </w:tr>
      <w:tr w:rsidR="00E07F15" w:rsidRPr="00B64760" w:rsidTr="00E07F15">
        <w:tc>
          <w:tcPr>
            <w:tcW w:w="9079" w:type="dxa"/>
          </w:tcPr>
          <w:p w:rsidR="00E07F15" w:rsidRPr="008E7846" w:rsidRDefault="00E07F15" w:rsidP="00770321">
            <w:pPr>
              <w:pStyle w:val="Subtitle"/>
              <w:rPr>
                <w:color w:val="FFFFFF" w:themeColor="background1"/>
              </w:rPr>
            </w:pPr>
            <w:r w:rsidRPr="008E7846">
              <w:rPr>
                <w:color w:val="FFFFFF" w:themeColor="background1"/>
              </w:rPr>
              <w:t xml:space="preserve">Proprietary Product Name: </w:t>
            </w:r>
            <w:r w:rsidR="00770321">
              <w:rPr>
                <w:color w:val="FFFFFF" w:themeColor="background1"/>
              </w:rPr>
              <w:t>Avastin</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770321">
            <w:pPr>
              <w:pStyle w:val="Subtitle"/>
              <w:rPr>
                <w:color w:val="FFFFFF" w:themeColor="background1"/>
              </w:rPr>
            </w:pPr>
            <w:r w:rsidRPr="008E7846">
              <w:rPr>
                <w:color w:val="FFFFFF" w:themeColor="background1"/>
              </w:rPr>
              <w:t xml:space="preserve">Sponsor: </w:t>
            </w:r>
            <w:r w:rsidR="00770321" w:rsidRPr="00770321">
              <w:rPr>
                <w:color w:val="FFFFFF" w:themeColor="background1"/>
              </w:rPr>
              <w:t xml:space="preserve">Roche Products Pty Ltd </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A6D7B" w:rsidRDefault="005C504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1608380" w:history="1">
            <w:r w:rsidR="009A6D7B" w:rsidRPr="00E42A3F">
              <w:rPr>
                <w:rStyle w:val="Hyperlink"/>
                <w:noProof/>
              </w:rPr>
              <w:t>List of abbreviations</w:t>
            </w:r>
            <w:r w:rsidR="009A6D7B">
              <w:rPr>
                <w:noProof/>
                <w:webHidden/>
              </w:rPr>
              <w:tab/>
            </w:r>
            <w:r w:rsidR="009A6D7B">
              <w:rPr>
                <w:noProof/>
                <w:webHidden/>
              </w:rPr>
              <w:fldChar w:fldCharType="begin"/>
            </w:r>
            <w:r w:rsidR="009A6D7B">
              <w:rPr>
                <w:noProof/>
                <w:webHidden/>
              </w:rPr>
              <w:instrText xml:space="preserve"> PAGEREF _Toc381608380 \h </w:instrText>
            </w:r>
            <w:r w:rsidR="009A6D7B">
              <w:rPr>
                <w:noProof/>
                <w:webHidden/>
              </w:rPr>
            </w:r>
            <w:r w:rsidR="009A6D7B">
              <w:rPr>
                <w:noProof/>
                <w:webHidden/>
              </w:rPr>
              <w:fldChar w:fldCharType="separate"/>
            </w:r>
            <w:r w:rsidR="009A6D7B">
              <w:rPr>
                <w:noProof/>
                <w:webHidden/>
              </w:rPr>
              <w:t>4</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1" w:history="1">
            <w:r w:rsidR="009A6D7B" w:rsidRPr="00E42A3F">
              <w:rPr>
                <w:rStyle w:val="Hyperlink"/>
                <w:noProof/>
                <w:lang w:eastAsia="en-AU"/>
              </w:rPr>
              <w:t>1.</w:t>
            </w:r>
            <w:r w:rsidR="009A6D7B">
              <w:rPr>
                <w:rFonts w:asciiTheme="minorHAnsi" w:eastAsiaTheme="minorEastAsia" w:hAnsiTheme="minorHAnsi" w:cstheme="minorBidi"/>
                <w:b w:val="0"/>
                <w:noProof/>
                <w:sz w:val="22"/>
                <w:lang w:eastAsia="en-AU"/>
              </w:rPr>
              <w:tab/>
            </w:r>
            <w:r w:rsidR="009A6D7B" w:rsidRPr="00E42A3F">
              <w:rPr>
                <w:rStyle w:val="Hyperlink"/>
                <w:noProof/>
                <w:lang w:eastAsia="en-AU"/>
              </w:rPr>
              <w:t>Clinical rationale</w:t>
            </w:r>
            <w:r w:rsidR="009A6D7B">
              <w:rPr>
                <w:noProof/>
                <w:webHidden/>
              </w:rPr>
              <w:tab/>
            </w:r>
            <w:r w:rsidR="009A6D7B">
              <w:rPr>
                <w:noProof/>
                <w:webHidden/>
              </w:rPr>
              <w:fldChar w:fldCharType="begin"/>
            </w:r>
            <w:r w:rsidR="009A6D7B">
              <w:rPr>
                <w:noProof/>
                <w:webHidden/>
              </w:rPr>
              <w:instrText xml:space="preserve"> PAGEREF _Toc381608381 \h </w:instrText>
            </w:r>
            <w:r w:rsidR="009A6D7B">
              <w:rPr>
                <w:noProof/>
                <w:webHidden/>
              </w:rPr>
            </w:r>
            <w:r w:rsidR="009A6D7B">
              <w:rPr>
                <w:noProof/>
                <w:webHidden/>
              </w:rPr>
              <w:fldChar w:fldCharType="separate"/>
            </w:r>
            <w:r w:rsidR="009A6D7B">
              <w:rPr>
                <w:noProof/>
                <w:webHidden/>
              </w:rPr>
              <w:t>7</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2" w:history="1">
            <w:r w:rsidR="009A6D7B" w:rsidRPr="00E42A3F">
              <w:rPr>
                <w:rStyle w:val="Hyperlink"/>
                <w:noProof/>
                <w:lang w:eastAsia="en-AU"/>
              </w:rPr>
              <w:t>2.</w:t>
            </w:r>
            <w:r w:rsidR="009A6D7B">
              <w:rPr>
                <w:rFonts w:asciiTheme="minorHAnsi" w:eastAsiaTheme="minorEastAsia" w:hAnsiTheme="minorHAnsi" w:cstheme="minorBidi"/>
                <w:b w:val="0"/>
                <w:noProof/>
                <w:sz w:val="22"/>
                <w:lang w:eastAsia="en-AU"/>
              </w:rPr>
              <w:tab/>
            </w:r>
            <w:r w:rsidR="009A6D7B" w:rsidRPr="00E42A3F">
              <w:rPr>
                <w:rStyle w:val="Hyperlink"/>
                <w:noProof/>
                <w:lang w:eastAsia="en-AU"/>
              </w:rPr>
              <w:t>Contents of the clinical dossier</w:t>
            </w:r>
            <w:r w:rsidR="009A6D7B">
              <w:rPr>
                <w:noProof/>
                <w:webHidden/>
              </w:rPr>
              <w:tab/>
            </w:r>
            <w:r w:rsidR="009A6D7B">
              <w:rPr>
                <w:noProof/>
                <w:webHidden/>
              </w:rPr>
              <w:fldChar w:fldCharType="begin"/>
            </w:r>
            <w:r w:rsidR="009A6D7B">
              <w:rPr>
                <w:noProof/>
                <w:webHidden/>
              </w:rPr>
              <w:instrText xml:space="preserve"> PAGEREF _Toc381608382 \h </w:instrText>
            </w:r>
            <w:r w:rsidR="009A6D7B">
              <w:rPr>
                <w:noProof/>
                <w:webHidden/>
              </w:rPr>
            </w:r>
            <w:r w:rsidR="009A6D7B">
              <w:rPr>
                <w:noProof/>
                <w:webHidden/>
              </w:rPr>
              <w:fldChar w:fldCharType="separate"/>
            </w:r>
            <w:r w:rsidR="009A6D7B">
              <w:rPr>
                <w:noProof/>
                <w:webHidden/>
              </w:rPr>
              <w:t>7</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83" w:history="1">
            <w:r w:rsidR="009A6D7B" w:rsidRPr="00E42A3F">
              <w:rPr>
                <w:rStyle w:val="Hyperlink"/>
                <w:noProof/>
              </w:rPr>
              <w:t>2.1.</w:t>
            </w:r>
            <w:r w:rsidR="009A6D7B">
              <w:rPr>
                <w:rFonts w:asciiTheme="minorHAnsi" w:eastAsiaTheme="minorEastAsia" w:hAnsiTheme="minorHAnsi" w:cstheme="minorBidi"/>
                <w:noProof/>
                <w:lang w:eastAsia="en-AU"/>
              </w:rPr>
              <w:tab/>
            </w:r>
            <w:r w:rsidR="009A6D7B" w:rsidRPr="00E42A3F">
              <w:rPr>
                <w:rStyle w:val="Hyperlink"/>
                <w:noProof/>
              </w:rPr>
              <w:t>Scope of the clinical dossier</w:t>
            </w:r>
            <w:r w:rsidR="009A6D7B">
              <w:rPr>
                <w:noProof/>
                <w:webHidden/>
              </w:rPr>
              <w:tab/>
            </w:r>
            <w:r w:rsidR="009A6D7B">
              <w:rPr>
                <w:noProof/>
                <w:webHidden/>
              </w:rPr>
              <w:fldChar w:fldCharType="begin"/>
            </w:r>
            <w:r w:rsidR="009A6D7B">
              <w:rPr>
                <w:noProof/>
                <w:webHidden/>
              </w:rPr>
              <w:instrText xml:space="preserve"> PAGEREF _Toc381608383 \h </w:instrText>
            </w:r>
            <w:r w:rsidR="009A6D7B">
              <w:rPr>
                <w:noProof/>
                <w:webHidden/>
              </w:rPr>
            </w:r>
            <w:r w:rsidR="009A6D7B">
              <w:rPr>
                <w:noProof/>
                <w:webHidden/>
              </w:rPr>
              <w:fldChar w:fldCharType="separate"/>
            </w:r>
            <w:r w:rsidR="009A6D7B">
              <w:rPr>
                <w:noProof/>
                <w:webHidden/>
              </w:rPr>
              <w:t>7</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84" w:history="1">
            <w:r w:rsidR="009A6D7B" w:rsidRPr="00E42A3F">
              <w:rPr>
                <w:rStyle w:val="Hyperlink"/>
                <w:noProof/>
              </w:rPr>
              <w:t>2.2.</w:t>
            </w:r>
            <w:r w:rsidR="009A6D7B">
              <w:rPr>
                <w:rFonts w:asciiTheme="minorHAnsi" w:eastAsiaTheme="minorEastAsia" w:hAnsiTheme="minorHAnsi" w:cstheme="minorBidi"/>
                <w:noProof/>
                <w:lang w:eastAsia="en-AU"/>
              </w:rPr>
              <w:tab/>
            </w:r>
            <w:r w:rsidR="009A6D7B" w:rsidRPr="00E42A3F">
              <w:rPr>
                <w:rStyle w:val="Hyperlink"/>
                <w:noProof/>
              </w:rPr>
              <w:t>Paediatric data</w:t>
            </w:r>
            <w:r w:rsidR="009A6D7B">
              <w:rPr>
                <w:noProof/>
                <w:webHidden/>
              </w:rPr>
              <w:tab/>
            </w:r>
            <w:r w:rsidR="009A6D7B">
              <w:rPr>
                <w:noProof/>
                <w:webHidden/>
              </w:rPr>
              <w:fldChar w:fldCharType="begin"/>
            </w:r>
            <w:r w:rsidR="009A6D7B">
              <w:rPr>
                <w:noProof/>
                <w:webHidden/>
              </w:rPr>
              <w:instrText xml:space="preserve"> PAGEREF _Toc381608384 \h </w:instrText>
            </w:r>
            <w:r w:rsidR="009A6D7B">
              <w:rPr>
                <w:noProof/>
                <w:webHidden/>
              </w:rPr>
            </w:r>
            <w:r w:rsidR="009A6D7B">
              <w:rPr>
                <w:noProof/>
                <w:webHidden/>
              </w:rPr>
              <w:fldChar w:fldCharType="separate"/>
            </w:r>
            <w:r w:rsidR="009A6D7B">
              <w:rPr>
                <w:noProof/>
                <w:webHidden/>
              </w:rPr>
              <w:t>7</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85" w:history="1">
            <w:r w:rsidR="009A6D7B" w:rsidRPr="00E42A3F">
              <w:rPr>
                <w:rStyle w:val="Hyperlink"/>
                <w:noProof/>
              </w:rPr>
              <w:t>2.3.</w:t>
            </w:r>
            <w:r w:rsidR="009A6D7B">
              <w:rPr>
                <w:rFonts w:asciiTheme="minorHAnsi" w:eastAsiaTheme="minorEastAsia" w:hAnsiTheme="minorHAnsi" w:cstheme="minorBidi"/>
                <w:noProof/>
                <w:lang w:eastAsia="en-AU"/>
              </w:rPr>
              <w:tab/>
            </w:r>
            <w:r w:rsidR="009A6D7B" w:rsidRPr="00E42A3F">
              <w:rPr>
                <w:rStyle w:val="Hyperlink"/>
                <w:noProof/>
              </w:rPr>
              <w:t>Good clinical practice (GCP)</w:t>
            </w:r>
            <w:r w:rsidR="009A6D7B">
              <w:rPr>
                <w:noProof/>
                <w:webHidden/>
              </w:rPr>
              <w:tab/>
            </w:r>
            <w:r w:rsidR="009A6D7B">
              <w:rPr>
                <w:noProof/>
                <w:webHidden/>
              </w:rPr>
              <w:fldChar w:fldCharType="begin"/>
            </w:r>
            <w:r w:rsidR="009A6D7B">
              <w:rPr>
                <w:noProof/>
                <w:webHidden/>
              </w:rPr>
              <w:instrText xml:space="preserve"> PAGEREF _Toc381608385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6" w:history="1">
            <w:r w:rsidR="009A6D7B" w:rsidRPr="00E42A3F">
              <w:rPr>
                <w:rStyle w:val="Hyperlink"/>
                <w:noProof/>
              </w:rPr>
              <w:t>3.</w:t>
            </w:r>
            <w:r w:rsidR="009A6D7B">
              <w:rPr>
                <w:rFonts w:asciiTheme="minorHAnsi" w:eastAsiaTheme="minorEastAsia" w:hAnsiTheme="minorHAnsi" w:cstheme="minorBidi"/>
                <w:b w:val="0"/>
                <w:noProof/>
                <w:sz w:val="22"/>
                <w:lang w:eastAsia="en-AU"/>
              </w:rPr>
              <w:tab/>
            </w:r>
            <w:r w:rsidR="009A6D7B" w:rsidRPr="00E42A3F">
              <w:rPr>
                <w:rStyle w:val="Hyperlink"/>
                <w:noProof/>
              </w:rPr>
              <w:t>Pharmacokinetics</w:t>
            </w:r>
            <w:r w:rsidR="009A6D7B">
              <w:rPr>
                <w:noProof/>
                <w:webHidden/>
              </w:rPr>
              <w:tab/>
            </w:r>
            <w:r w:rsidR="009A6D7B">
              <w:rPr>
                <w:noProof/>
                <w:webHidden/>
              </w:rPr>
              <w:fldChar w:fldCharType="begin"/>
            </w:r>
            <w:r w:rsidR="009A6D7B">
              <w:rPr>
                <w:noProof/>
                <w:webHidden/>
              </w:rPr>
              <w:instrText xml:space="preserve"> PAGEREF _Toc381608386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7" w:history="1">
            <w:r w:rsidR="009A6D7B" w:rsidRPr="00E42A3F">
              <w:rPr>
                <w:rStyle w:val="Hyperlink"/>
                <w:noProof/>
              </w:rPr>
              <w:t>4.</w:t>
            </w:r>
            <w:r w:rsidR="009A6D7B">
              <w:rPr>
                <w:rFonts w:asciiTheme="minorHAnsi" w:eastAsiaTheme="minorEastAsia" w:hAnsiTheme="minorHAnsi" w:cstheme="minorBidi"/>
                <w:b w:val="0"/>
                <w:noProof/>
                <w:sz w:val="22"/>
                <w:lang w:eastAsia="en-AU"/>
              </w:rPr>
              <w:tab/>
            </w:r>
            <w:r w:rsidR="009A6D7B" w:rsidRPr="00E42A3F">
              <w:rPr>
                <w:rStyle w:val="Hyperlink"/>
                <w:noProof/>
              </w:rPr>
              <w:t>Pharmacodynamics</w:t>
            </w:r>
            <w:r w:rsidR="009A6D7B">
              <w:rPr>
                <w:noProof/>
                <w:webHidden/>
              </w:rPr>
              <w:tab/>
            </w:r>
            <w:r w:rsidR="009A6D7B">
              <w:rPr>
                <w:noProof/>
                <w:webHidden/>
              </w:rPr>
              <w:fldChar w:fldCharType="begin"/>
            </w:r>
            <w:r w:rsidR="009A6D7B">
              <w:rPr>
                <w:noProof/>
                <w:webHidden/>
              </w:rPr>
              <w:instrText xml:space="preserve"> PAGEREF _Toc381608387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8" w:history="1">
            <w:r w:rsidR="009A6D7B" w:rsidRPr="00E42A3F">
              <w:rPr>
                <w:rStyle w:val="Hyperlink"/>
                <w:noProof/>
              </w:rPr>
              <w:t>5.</w:t>
            </w:r>
            <w:r w:rsidR="009A6D7B">
              <w:rPr>
                <w:rFonts w:asciiTheme="minorHAnsi" w:eastAsiaTheme="minorEastAsia" w:hAnsiTheme="minorHAnsi" w:cstheme="minorBidi"/>
                <w:b w:val="0"/>
                <w:noProof/>
                <w:sz w:val="22"/>
                <w:lang w:eastAsia="en-AU"/>
              </w:rPr>
              <w:tab/>
            </w:r>
            <w:r w:rsidR="009A6D7B" w:rsidRPr="00E42A3F">
              <w:rPr>
                <w:rStyle w:val="Hyperlink"/>
                <w:noProof/>
              </w:rPr>
              <w:t>Dosage selection for the pivotal studies</w:t>
            </w:r>
            <w:r w:rsidR="009A6D7B">
              <w:rPr>
                <w:noProof/>
                <w:webHidden/>
              </w:rPr>
              <w:tab/>
            </w:r>
            <w:r w:rsidR="009A6D7B">
              <w:rPr>
                <w:noProof/>
                <w:webHidden/>
              </w:rPr>
              <w:fldChar w:fldCharType="begin"/>
            </w:r>
            <w:r w:rsidR="009A6D7B">
              <w:rPr>
                <w:noProof/>
                <w:webHidden/>
              </w:rPr>
              <w:instrText xml:space="preserve"> PAGEREF _Toc381608388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89" w:history="1">
            <w:r w:rsidR="009A6D7B" w:rsidRPr="00E42A3F">
              <w:rPr>
                <w:rStyle w:val="Hyperlink"/>
                <w:noProof/>
              </w:rPr>
              <w:t>6.</w:t>
            </w:r>
            <w:r w:rsidR="009A6D7B">
              <w:rPr>
                <w:rFonts w:asciiTheme="minorHAnsi" w:eastAsiaTheme="minorEastAsia" w:hAnsiTheme="minorHAnsi" w:cstheme="minorBidi"/>
                <w:b w:val="0"/>
                <w:noProof/>
                <w:sz w:val="22"/>
                <w:lang w:eastAsia="en-AU"/>
              </w:rPr>
              <w:tab/>
            </w:r>
            <w:r w:rsidR="009A6D7B" w:rsidRPr="00E42A3F">
              <w:rPr>
                <w:rStyle w:val="Hyperlink"/>
                <w:noProof/>
              </w:rPr>
              <w:t>Clinical efficacy</w:t>
            </w:r>
            <w:r w:rsidR="009A6D7B">
              <w:rPr>
                <w:noProof/>
                <w:webHidden/>
              </w:rPr>
              <w:tab/>
            </w:r>
            <w:r w:rsidR="009A6D7B">
              <w:rPr>
                <w:noProof/>
                <w:webHidden/>
              </w:rPr>
              <w:fldChar w:fldCharType="begin"/>
            </w:r>
            <w:r w:rsidR="009A6D7B">
              <w:rPr>
                <w:noProof/>
                <w:webHidden/>
              </w:rPr>
              <w:instrText xml:space="preserve"> PAGEREF _Toc381608389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0" w:history="1">
            <w:r w:rsidR="009A6D7B" w:rsidRPr="00E42A3F">
              <w:rPr>
                <w:rStyle w:val="Hyperlink"/>
                <w:noProof/>
              </w:rPr>
              <w:t>6.1.</w:t>
            </w:r>
            <w:r w:rsidR="009A6D7B">
              <w:rPr>
                <w:rFonts w:asciiTheme="minorHAnsi" w:eastAsiaTheme="minorEastAsia" w:hAnsiTheme="minorHAnsi" w:cstheme="minorBidi"/>
                <w:noProof/>
                <w:lang w:eastAsia="en-AU"/>
              </w:rPr>
              <w:tab/>
            </w:r>
            <w:r w:rsidR="009A6D7B" w:rsidRPr="00E42A3F">
              <w:rPr>
                <w:rStyle w:val="Hyperlink"/>
                <w:noProof/>
              </w:rPr>
              <w:t>Pivotal Efficacy Studies</w:t>
            </w:r>
            <w:r w:rsidR="009A6D7B">
              <w:rPr>
                <w:noProof/>
                <w:webHidden/>
              </w:rPr>
              <w:tab/>
            </w:r>
            <w:r w:rsidR="009A6D7B">
              <w:rPr>
                <w:noProof/>
                <w:webHidden/>
              </w:rPr>
              <w:fldChar w:fldCharType="begin"/>
            </w:r>
            <w:r w:rsidR="009A6D7B">
              <w:rPr>
                <w:noProof/>
                <w:webHidden/>
              </w:rPr>
              <w:instrText xml:space="preserve"> PAGEREF _Toc381608390 \h </w:instrText>
            </w:r>
            <w:r w:rsidR="009A6D7B">
              <w:rPr>
                <w:noProof/>
                <w:webHidden/>
              </w:rPr>
            </w:r>
            <w:r w:rsidR="009A6D7B">
              <w:rPr>
                <w:noProof/>
                <w:webHidden/>
              </w:rPr>
              <w:fldChar w:fldCharType="separate"/>
            </w:r>
            <w:r w:rsidR="009A6D7B">
              <w:rPr>
                <w:noProof/>
                <w:webHidden/>
              </w:rPr>
              <w:t>8</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1" w:history="1">
            <w:r w:rsidR="009A6D7B" w:rsidRPr="00E42A3F">
              <w:rPr>
                <w:rStyle w:val="Hyperlink"/>
                <w:noProof/>
              </w:rPr>
              <w:t>6.2.</w:t>
            </w:r>
            <w:r w:rsidR="009A6D7B">
              <w:rPr>
                <w:rFonts w:asciiTheme="minorHAnsi" w:eastAsiaTheme="minorEastAsia" w:hAnsiTheme="minorHAnsi" w:cstheme="minorBidi"/>
                <w:noProof/>
                <w:lang w:eastAsia="en-AU"/>
              </w:rPr>
              <w:tab/>
            </w:r>
            <w:r w:rsidR="009A6D7B" w:rsidRPr="00E42A3F">
              <w:rPr>
                <w:rStyle w:val="Hyperlink"/>
                <w:noProof/>
              </w:rPr>
              <w:t>Evaluator’s Conclusions on Clinical Efficacy</w:t>
            </w:r>
            <w:r w:rsidR="009A6D7B">
              <w:rPr>
                <w:noProof/>
                <w:webHidden/>
              </w:rPr>
              <w:tab/>
            </w:r>
            <w:r w:rsidR="009A6D7B">
              <w:rPr>
                <w:noProof/>
                <w:webHidden/>
              </w:rPr>
              <w:fldChar w:fldCharType="begin"/>
            </w:r>
            <w:r w:rsidR="009A6D7B">
              <w:rPr>
                <w:noProof/>
                <w:webHidden/>
              </w:rPr>
              <w:instrText xml:space="preserve"> PAGEREF _Toc381608391 \h </w:instrText>
            </w:r>
            <w:r w:rsidR="009A6D7B">
              <w:rPr>
                <w:noProof/>
                <w:webHidden/>
              </w:rPr>
            </w:r>
            <w:r w:rsidR="009A6D7B">
              <w:rPr>
                <w:noProof/>
                <w:webHidden/>
              </w:rPr>
              <w:fldChar w:fldCharType="separate"/>
            </w:r>
            <w:r w:rsidR="009A6D7B">
              <w:rPr>
                <w:noProof/>
                <w:webHidden/>
              </w:rPr>
              <w:t>16</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92" w:history="1">
            <w:r w:rsidR="009A6D7B" w:rsidRPr="00E42A3F">
              <w:rPr>
                <w:rStyle w:val="Hyperlink"/>
                <w:noProof/>
              </w:rPr>
              <w:t>7.</w:t>
            </w:r>
            <w:r w:rsidR="009A6D7B">
              <w:rPr>
                <w:rFonts w:asciiTheme="minorHAnsi" w:eastAsiaTheme="minorEastAsia" w:hAnsiTheme="minorHAnsi" w:cstheme="minorBidi"/>
                <w:b w:val="0"/>
                <w:noProof/>
                <w:sz w:val="22"/>
                <w:lang w:eastAsia="en-AU"/>
              </w:rPr>
              <w:tab/>
            </w:r>
            <w:r w:rsidR="009A6D7B" w:rsidRPr="00E42A3F">
              <w:rPr>
                <w:rStyle w:val="Hyperlink"/>
                <w:noProof/>
              </w:rPr>
              <w:t>Clinical safety</w:t>
            </w:r>
            <w:r w:rsidR="009A6D7B">
              <w:rPr>
                <w:noProof/>
                <w:webHidden/>
              </w:rPr>
              <w:tab/>
            </w:r>
            <w:r w:rsidR="009A6D7B">
              <w:rPr>
                <w:noProof/>
                <w:webHidden/>
              </w:rPr>
              <w:fldChar w:fldCharType="begin"/>
            </w:r>
            <w:r w:rsidR="009A6D7B">
              <w:rPr>
                <w:noProof/>
                <w:webHidden/>
              </w:rPr>
              <w:instrText xml:space="preserve"> PAGEREF _Toc381608392 \h </w:instrText>
            </w:r>
            <w:r w:rsidR="009A6D7B">
              <w:rPr>
                <w:noProof/>
                <w:webHidden/>
              </w:rPr>
            </w:r>
            <w:r w:rsidR="009A6D7B">
              <w:rPr>
                <w:noProof/>
                <w:webHidden/>
              </w:rPr>
              <w:fldChar w:fldCharType="separate"/>
            </w:r>
            <w:r w:rsidR="009A6D7B">
              <w:rPr>
                <w:noProof/>
                <w:webHidden/>
              </w:rPr>
              <w:t>16</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3" w:history="1">
            <w:r w:rsidR="009A6D7B" w:rsidRPr="00E42A3F">
              <w:rPr>
                <w:rStyle w:val="Hyperlink"/>
                <w:noProof/>
              </w:rPr>
              <w:t>7.1.</w:t>
            </w:r>
            <w:r w:rsidR="009A6D7B">
              <w:rPr>
                <w:rFonts w:asciiTheme="minorHAnsi" w:eastAsiaTheme="minorEastAsia" w:hAnsiTheme="minorHAnsi" w:cstheme="minorBidi"/>
                <w:noProof/>
                <w:lang w:eastAsia="en-AU"/>
              </w:rPr>
              <w:tab/>
            </w:r>
            <w:r w:rsidR="009A6D7B" w:rsidRPr="00E42A3F">
              <w:rPr>
                <w:rStyle w:val="Hyperlink"/>
                <w:noProof/>
              </w:rPr>
              <w:t>Pivotal Study That Assessed Safety as a Primary Outcome</w:t>
            </w:r>
            <w:r w:rsidR="009A6D7B">
              <w:rPr>
                <w:noProof/>
                <w:webHidden/>
              </w:rPr>
              <w:tab/>
            </w:r>
            <w:r w:rsidR="009A6D7B">
              <w:rPr>
                <w:noProof/>
                <w:webHidden/>
              </w:rPr>
              <w:fldChar w:fldCharType="begin"/>
            </w:r>
            <w:r w:rsidR="009A6D7B">
              <w:rPr>
                <w:noProof/>
                <w:webHidden/>
              </w:rPr>
              <w:instrText xml:space="preserve"> PAGEREF _Toc381608393 \h </w:instrText>
            </w:r>
            <w:r w:rsidR="009A6D7B">
              <w:rPr>
                <w:noProof/>
                <w:webHidden/>
              </w:rPr>
            </w:r>
            <w:r w:rsidR="009A6D7B">
              <w:rPr>
                <w:noProof/>
                <w:webHidden/>
              </w:rPr>
              <w:fldChar w:fldCharType="separate"/>
            </w:r>
            <w:r w:rsidR="009A6D7B">
              <w:rPr>
                <w:noProof/>
                <w:webHidden/>
              </w:rPr>
              <w:t>16</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4" w:history="1">
            <w:r w:rsidR="009A6D7B" w:rsidRPr="00E42A3F">
              <w:rPr>
                <w:rStyle w:val="Hyperlink"/>
                <w:noProof/>
              </w:rPr>
              <w:t>7.2.</w:t>
            </w:r>
            <w:r w:rsidR="009A6D7B">
              <w:rPr>
                <w:rFonts w:asciiTheme="minorHAnsi" w:eastAsiaTheme="minorEastAsia" w:hAnsiTheme="minorHAnsi" w:cstheme="minorBidi"/>
                <w:noProof/>
                <w:lang w:eastAsia="en-AU"/>
              </w:rPr>
              <w:tab/>
            </w:r>
            <w:r w:rsidR="009A6D7B" w:rsidRPr="00E42A3F">
              <w:rPr>
                <w:rStyle w:val="Hyperlink"/>
                <w:noProof/>
              </w:rPr>
              <w:t>Evaluator’s Overall Conclusions on Clinical Safety</w:t>
            </w:r>
            <w:r w:rsidR="009A6D7B">
              <w:rPr>
                <w:noProof/>
                <w:webHidden/>
              </w:rPr>
              <w:tab/>
            </w:r>
            <w:r w:rsidR="009A6D7B">
              <w:rPr>
                <w:noProof/>
                <w:webHidden/>
              </w:rPr>
              <w:fldChar w:fldCharType="begin"/>
            </w:r>
            <w:r w:rsidR="009A6D7B">
              <w:rPr>
                <w:noProof/>
                <w:webHidden/>
              </w:rPr>
              <w:instrText xml:space="preserve"> PAGEREF _Toc381608394 \h </w:instrText>
            </w:r>
            <w:r w:rsidR="009A6D7B">
              <w:rPr>
                <w:noProof/>
                <w:webHidden/>
              </w:rPr>
            </w:r>
            <w:r w:rsidR="009A6D7B">
              <w:rPr>
                <w:noProof/>
                <w:webHidden/>
              </w:rPr>
              <w:fldChar w:fldCharType="separate"/>
            </w:r>
            <w:r w:rsidR="009A6D7B">
              <w:rPr>
                <w:noProof/>
                <w:webHidden/>
              </w:rPr>
              <w:t>28</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95" w:history="1">
            <w:r w:rsidR="009A6D7B" w:rsidRPr="00E42A3F">
              <w:rPr>
                <w:rStyle w:val="Hyperlink"/>
                <w:noProof/>
              </w:rPr>
              <w:t>8.</w:t>
            </w:r>
            <w:r w:rsidR="009A6D7B">
              <w:rPr>
                <w:rFonts w:asciiTheme="minorHAnsi" w:eastAsiaTheme="minorEastAsia" w:hAnsiTheme="minorHAnsi" w:cstheme="minorBidi"/>
                <w:b w:val="0"/>
                <w:noProof/>
                <w:sz w:val="22"/>
                <w:lang w:eastAsia="en-AU"/>
              </w:rPr>
              <w:tab/>
            </w:r>
            <w:r w:rsidR="009A6D7B" w:rsidRPr="00E42A3F">
              <w:rPr>
                <w:rStyle w:val="Hyperlink"/>
                <w:noProof/>
              </w:rPr>
              <w:t>First round benefit-risk assessment</w:t>
            </w:r>
            <w:r w:rsidR="009A6D7B">
              <w:rPr>
                <w:noProof/>
                <w:webHidden/>
              </w:rPr>
              <w:tab/>
            </w:r>
            <w:r w:rsidR="009A6D7B">
              <w:rPr>
                <w:noProof/>
                <w:webHidden/>
              </w:rPr>
              <w:fldChar w:fldCharType="begin"/>
            </w:r>
            <w:r w:rsidR="009A6D7B">
              <w:rPr>
                <w:noProof/>
                <w:webHidden/>
              </w:rPr>
              <w:instrText xml:space="preserve"> PAGEREF _Toc381608395 \h </w:instrText>
            </w:r>
            <w:r w:rsidR="009A6D7B">
              <w:rPr>
                <w:noProof/>
                <w:webHidden/>
              </w:rPr>
            </w:r>
            <w:r w:rsidR="009A6D7B">
              <w:rPr>
                <w:noProof/>
                <w:webHidden/>
              </w:rPr>
              <w:fldChar w:fldCharType="separate"/>
            </w:r>
            <w:r w:rsidR="009A6D7B">
              <w:rPr>
                <w:noProof/>
                <w:webHidden/>
              </w:rPr>
              <w:t>29</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6" w:history="1">
            <w:r w:rsidR="009A6D7B" w:rsidRPr="00E42A3F">
              <w:rPr>
                <w:rStyle w:val="Hyperlink"/>
                <w:noProof/>
              </w:rPr>
              <w:t>8.1.</w:t>
            </w:r>
            <w:r w:rsidR="009A6D7B">
              <w:rPr>
                <w:rFonts w:asciiTheme="minorHAnsi" w:eastAsiaTheme="minorEastAsia" w:hAnsiTheme="minorHAnsi" w:cstheme="minorBidi"/>
                <w:noProof/>
                <w:lang w:eastAsia="en-AU"/>
              </w:rPr>
              <w:tab/>
            </w:r>
            <w:r w:rsidR="009A6D7B" w:rsidRPr="00E42A3F">
              <w:rPr>
                <w:rStyle w:val="Hyperlink"/>
                <w:noProof/>
              </w:rPr>
              <w:t>First Round Assessment of Benefits</w:t>
            </w:r>
            <w:r w:rsidR="009A6D7B">
              <w:rPr>
                <w:noProof/>
                <w:webHidden/>
              </w:rPr>
              <w:tab/>
            </w:r>
            <w:r w:rsidR="009A6D7B">
              <w:rPr>
                <w:noProof/>
                <w:webHidden/>
              </w:rPr>
              <w:fldChar w:fldCharType="begin"/>
            </w:r>
            <w:r w:rsidR="009A6D7B">
              <w:rPr>
                <w:noProof/>
                <w:webHidden/>
              </w:rPr>
              <w:instrText xml:space="preserve"> PAGEREF _Toc381608396 \h </w:instrText>
            </w:r>
            <w:r w:rsidR="009A6D7B">
              <w:rPr>
                <w:noProof/>
                <w:webHidden/>
              </w:rPr>
            </w:r>
            <w:r w:rsidR="009A6D7B">
              <w:rPr>
                <w:noProof/>
                <w:webHidden/>
              </w:rPr>
              <w:fldChar w:fldCharType="separate"/>
            </w:r>
            <w:r w:rsidR="009A6D7B">
              <w:rPr>
                <w:noProof/>
                <w:webHidden/>
              </w:rPr>
              <w:t>29</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7" w:history="1">
            <w:r w:rsidR="009A6D7B" w:rsidRPr="00E42A3F">
              <w:rPr>
                <w:rStyle w:val="Hyperlink"/>
                <w:noProof/>
              </w:rPr>
              <w:t>8.2.</w:t>
            </w:r>
            <w:r w:rsidR="009A6D7B">
              <w:rPr>
                <w:rFonts w:asciiTheme="minorHAnsi" w:eastAsiaTheme="minorEastAsia" w:hAnsiTheme="minorHAnsi" w:cstheme="minorBidi"/>
                <w:noProof/>
                <w:lang w:eastAsia="en-AU"/>
              </w:rPr>
              <w:tab/>
            </w:r>
            <w:r w:rsidR="009A6D7B" w:rsidRPr="00E42A3F">
              <w:rPr>
                <w:rStyle w:val="Hyperlink"/>
                <w:noProof/>
              </w:rPr>
              <w:t>First Round Assessment of Risks</w:t>
            </w:r>
            <w:r w:rsidR="009A6D7B">
              <w:rPr>
                <w:noProof/>
                <w:webHidden/>
              </w:rPr>
              <w:tab/>
            </w:r>
            <w:r w:rsidR="009A6D7B">
              <w:rPr>
                <w:noProof/>
                <w:webHidden/>
              </w:rPr>
              <w:fldChar w:fldCharType="begin"/>
            </w:r>
            <w:r w:rsidR="009A6D7B">
              <w:rPr>
                <w:noProof/>
                <w:webHidden/>
              </w:rPr>
              <w:instrText xml:space="preserve"> PAGEREF _Toc381608397 \h </w:instrText>
            </w:r>
            <w:r w:rsidR="009A6D7B">
              <w:rPr>
                <w:noProof/>
                <w:webHidden/>
              </w:rPr>
            </w:r>
            <w:r w:rsidR="009A6D7B">
              <w:rPr>
                <w:noProof/>
                <w:webHidden/>
              </w:rPr>
              <w:fldChar w:fldCharType="separate"/>
            </w:r>
            <w:r w:rsidR="009A6D7B">
              <w:rPr>
                <w:noProof/>
                <w:webHidden/>
              </w:rPr>
              <w:t>29</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398" w:history="1">
            <w:r w:rsidR="009A6D7B" w:rsidRPr="00E42A3F">
              <w:rPr>
                <w:rStyle w:val="Hyperlink"/>
                <w:noProof/>
              </w:rPr>
              <w:t>8.3.</w:t>
            </w:r>
            <w:r w:rsidR="009A6D7B">
              <w:rPr>
                <w:rFonts w:asciiTheme="minorHAnsi" w:eastAsiaTheme="minorEastAsia" w:hAnsiTheme="minorHAnsi" w:cstheme="minorBidi"/>
                <w:noProof/>
                <w:lang w:eastAsia="en-AU"/>
              </w:rPr>
              <w:tab/>
            </w:r>
            <w:r w:rsidR="009A6D7B" w:rsidRPr="00E42A3F">
              <w:rPr>
                <w:rStyle w:val="Hyperlink"/>
                <w:noProof/>
              </w:rPr>
              <w:t>First Round Assessment of Benefit-Risk Balance</w:t>
            </w:r>
            <w:r w:rsidR="009A6D7B">
              <w:rPr>
                <w:noProof/>
                <w:webHidden/>
              </w:rPr>
              <w:tab/>
            </w:r>
            <w:r w:rsidR="009A6D7B">
              <w:rPr>
                <w:noProof/>
                <w:webHidden/>
              </w:rPr>
              <w:fldChar w:fldCharType="begin"/>
            </w:r>
            <w:r w:rsidR="009A6D7B">
              <w:rPr>
                <w:noProof/>
                <w:webHidden/>
              </w:rPr>
              <w:instrText xml:space="preserve"> PAGEREF _Toc381608398 \h </w:instrText>
            </w:r>
            <w:r w:rsidR="009A6D7B">
              <w:rPr>
                <w:noProof/>
                <w:webHidden/>
              </w:rPr>
            </w:r>
            <w:r w:rsidR="009A6D7B">
              <w:rPr>
                <w:noProof/>
                <w:webHidden/>
              </w:rPr>
              <w:fldChar w:fldCharType="separate"/>
            </w:r>
            <w:r w:rsidR="009A6D7B">
              <w:rPr>
                <w:noProof/>
                <w:webHidden/>
              </w:rPr>
              <w:t>29</w:t>
            </w:r>
            <w:r w:rsidR="009A6D7B">
              <w:rPr>
                <w:noProof/>
                <w:webHidden/>
              </w:rPr>
              <w:fldChar w:fldCharType="end"/>
            </w:r>
          </w:hyperlink>
        </w:p>
        <w:p w:rsidR="009A6D7B" w:rsidRDefault="00F96166">
          <w:pPr>
            <w:pStyle w:val="TOC2"/>
            <w:tabs>
              <w:tab w:val="left" w:pos="1100"/>
            </w:tabs>
            <w:rPr>
              <w:rFonts w:asciiTheme="minorHAnsi" w:eastAsiaTheme="minorEastAsia" w:hAnsiTheme="minorHAnsi" w:cstheme="minorBidi"/>
              <w:b w:val="0"/>
              <w:noProof/>
              <w:sz w:val="22"/>
              <w:lang w:eastAsia="en-AU"/>
            </w:rPr>
          </w:pPr>
          <w:hyperlink w:anchor="_Toc381608399" w:history="1">
            <w:r w:rsidR="009A6D7B" w:rsidRPr="00E42A3F">
              <w:rPr>
                <w:rStyle w:val="Hyperlink"/>
                <w:noProof/>
              </w:rPr>
              <w:t>9.</w:t>
            </w:r>
            <w:r w:rsidR="009A6D7B">
              <w:rPr>
                <w:rFonts w:asciiTheme="minorHAnsi" w:eastAsiaTheme="minorEastAsia" w:hAnsiTheme="minorHAnsi" w:cstheme="minorBidi"/>
                <w:b w:val="0"/>
                <w:noProof/>
                <w:sz w:val="22"/>
                <w:lang w:eastAsia="en-AU"/>
              </w:rPr>
              <w:tab/>
            </w:r>
            <w:r w:rsidR="009A6D7B" w:rsidRPr="00E42A3F">
              <w:rPr>
                <w:rStyle w:val="Hyperlink"/>
                <w:noProof/>
              </w:rPr>
              <w:t>First round recommendation regarding authorisation</w:t>
            </w:r>
            <w:r w:rsidR="009A6D7B">
              <w:rPr>
                <w:noProof/>
                <w:webHidden/>
              </w:rPr>
              <w:tab/>
            </w:r>
            <w:r w:rsidR="009A6D7B">
              <w:rPr>
                <w:noProof/>
                <w:webHidden/>
              </w:rPr>
              <w:fldChar w:fldCharType="begin"/>
            </w:r>
            <w:r w:rsidR="009A6D7B">
              <w:rPr>
                <w:noProof/>
                <w:webHidden/>
              </w:rPr>
              <w:instrText xml:space="preserve"> PAGEREF _Toc381608399 \h </w:instrText>
            </w:r>
            <w:r w:rsidR="009A6D7B">
              <w:rPr>
                <w:noProof/>
                <w:webHidden/>
              </w:rPr>
            </w:r>
            <w:r w:rsidR="009A6D7B">
              <w:rPr>
                <w:noProof/>
                <w:webHidden/>
              </w:rPr>
              <w:fldChar w:fldCharType="separate"/>
            </w:r>
            <w:r w:rsidR="009A6D7B">
              <w:rPr>
                <w:noProof/>
                <w:webHidden/>
              </w:rPr>
              <w:t>29</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0" w:history="1">
            <w:r w:rsidR="009A6D7B" w:rsidRPr="00E42A3F">
              <w:rPr>
                <w:rStyle w:val="Hyperlink"/>
                <w:noProof/>
              </w:rPr>
              <w:t>10.</w:t>
            </w:r>
            <w:r w:rsidR="009A6D7B">
              <w:rPr>
                <w:rFonts w:asciiTheme="minorHAnsi" w:eastAsiaTheme="minorEastAsia" w:hAnsiTheme="minorHAnsi" w:cstheme="minorBidi"/>
                <w:b w:val="0"/>
                <w:noProof/>
                <w:sz w:val="22"/>
                <w:lang w:eastAsia="en-AU"/>
              </w:rPr>
              <w:tab/>
            </w:r>
            <w:r w:rsidR="009A6D7B" w:rsidRPr="00E42A3F">
              <w:rPr>
                <w:rStyle w:val="Hyperlink"/>
                <w:noProof/>
              </w:rPr>
              <w:t>Clinical questions</w:t>
            </w:r>
            <w:r w:rsidR="009A6D7B">
              <w:rPr>
                <w:noProof/>
                <w:webHidden/>
              </w:rPr>
              <w:tab/>
            </w:r>
            <w:r w:rsidR="009A6D7B">
              <w:rPr>
                <w:noProof/>
                <w:webHidden/>
              </w:rPr>
              <w:fldChar w:fldCharType="begin"/>
            </w:r>
            <w:r w:rsidR="009A6D7B">
              <w:rPr>
                <w:noProof/>
                <w:webHidden/>
              </w:rPr>
              <w:instrText xml:space="preserve"> PAGEREF _Toc381608400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401" w:history="1">
            <w:r w:rsidR="009A6D7B" w:rsidRPr="00E42A3F">
              <w:rPr>
                <w:rStyle w:val="Hyperlink"/>
                <w:noProof/>
              </w:rPr>
              <w:t>10.1.</w:t>
            </w:r>
            <w:r w:rsidR="009A6D7B">
              <w:rPr>
                <w:rFonts w:asciiTheme="minorHAnsi" w:eastAsiaTheme="minorEastAsia" w:hAnsiTheme="minorHAnsi" w:cstheme="minorBidi"/>
                <w:noProof/>
                <w:lang w:eastAsia="en-AU"/>
              </w:rPr>
              <w:tab/>
            </w:r>
            <w:r w:rsidR="009A6D7B" w:rsidRPr="00E42A3F">
              <w:rPr>
                <w:rStyle w:val="Hyperlink"/>
                <w:noProof/>
              </w:rPr>
              <w:t>Safety</w:t>
            </w:r>
            <w:r w:rsidR="009A6D7B">
              <w:rPr>
                <w:noProof/>
                <w:webHidden/>
              </w:rPr>
              <w:tab/>
            </w:r>
            <w:r w:rsidR="009A6D7B">
              <w:rPr>
                <w:noProof/>
                <w:webHidden/>
              </w:rPr>
              <w:fldChar w:fldCharType="begin"/>
            </w:r>
            <w:r w:rsidR="009A6D7B">
              <w:rPr>
                <w:noProof/>
                <w:webHidden/>
              </w:rPr>
              <w:instrText xml:space="preserve"> PAGEREF _Toc381608401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2" w:history="1">
            <w:r w:rsidR="009A6D7B" w:rsidRPr="00E42A3F">
              <w:rPr>
                <w:rStyle w:val="Hyperlink"/>
                <w:noProof/>
              </w:rPr>
              <w:t>11.</w:t>
            </w:r>
            <w:r w:rsidR="009A6D7B">
              <w:rPr>
                <w:rFonts w:asciiTheme="minorHAnsi" w:eastAsiaTheme="minorEastAsia" w:hAnsiTheme="minorHAnsi" w:cstheme="minorBidi"/>
                <w:b w:val="0"/>
                <w:noProof/>
                <w:sz w:val="22"/>
                <w:lang w:eastAsia="en-AU"/>
              </w:rPr>
              <w:tab/>
            </w:r>
            <w:r w:rsidR="009A6D7B" w:rsidRPr="00E42A3F">
              <w:rPr>
                <w:rStyle w:val="Hyperlink"/>
                <w:noProof/>
              </w:rPr>
              <w:t>Second round evaluation of clinical data submitted in response to questions</w:t>
            </w:r>
            <w:r w:rsidR="009A6D7B">
              <w:rPr>
                <w:noProof/>
                <w:webHidden/>
              </w:rPr>
              <w:tab/>
            </w:r>
            <w:r w:rsidR="009A6D7B">
              <w:rPr>
                <w:noProof/>
                <w:webHidden/>
              </w:rPr>
              <w:fldChar w:fldCharType="begin"/>
            </w:r>
            <w:r w:rsidR="009A6D7B">
              <w:rPr>
                <w:noProof/>
                <w:webHidden/>
              </w:rPr>
              <w:instrText xml:space="preserve"> PAGEREF _Toc381608402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3" w:history="1">
            <w:r w:rsidR="009A6D7B" w:rsidRPr="00E42A3F">
              <w:rPr>
                <w:rStyle w:val="Hyperlink"/>
                <w:noProof/>
              </w:rPr>
              <w:t>12.</w:t>
            </w:r>
            <w:r w:rsidR="009A6D7B">
              <w:rPr>
                <w:rFonts w:asciiTheme="minorHAnsi" w:eastAsiaTheme="minorEastAsia" w:hAnsiTheme="minorHAnsi" w:cstheme="minorBidi"/>
                <w:b w:val="0"/>
                <w:noProof/>
                <w:sz w:val="22"/>
                <w:lang w:eastAsia="en-AU"/>
              </w:rPr>
              <w:tab/>
            </w:r>
            <w:r w:rsidR="009A6D7B" w:rsidRPr="00E42A3F">
              <w:rPr>
                <w:rStyle w:val="Hyperlink"/>
                <w:noProof/>
              </w:rPr>
              <w:t>Second round benefit-risk assessment</w:t>
            </w:r>
            <w:r w:rsidR="009A6D7B">
              <w:rPr>
                <w:noProof/>
                <w:webHidden/>
              </w:rPr>
              <w:tab/>
            </w:r>
            <w:r w:rsidR="009A6D7B">
              <w:rPr>
                <w:noProof/>
                <w:webHidden/>
              </w:rPr>
              <w:fldChar w:fldCharType="begin"/>
            </w:r>
            <w:r w:rsidR="009A6D7B">
              <w:rPr>
                <w:noProof/>
                <w:webHidden/>
              </w:rPr>
              <w:instrText xml:space="preserve"> PAGEREF _Toc381608403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404" w:history="1">
            <w:r w:rsidR="009A6D7B" w:rsidRPr="00E42A3F">
              <w:rPr>
                <w:rStyle w:val="Hyperlink"/>
                <w:noProof/>
              </w:rPr>
              <w:t>12.1.</w:t>
            </w:r>
            <w:r w:rsidR="009A6D7B">
              <w:rPr>
                <w:rFonts w:asciiTheme="minorHAnsi" w:eastAsiaTheme="minorEastAsia" w:hAnsiTheme="minorHAnsi" w:cstheme="minorBidi"/>
                <w:noProof/>
                <w:lang w:eastAsia="en-AU"/>
              </w:rPr>
              <w:tab/>
            </w:r>
            <w:r w:rsidR="009A6D7B" w:rsidRPr="00E42A3F">
              <w:rPr>
                <w:rStyle w:val="Hyperlink"/>
                <w:noProof/>
              </w:rPr>
              <w:t>Second round assessment of benefits</w:t>
            </w:r>
            <w:r w:rsidR="009A6D7B">
              <w:rPr>
                <w:noProof/>
                <w:webHidden/>
              </w:rPr>
              <w:tab/>
            </w:r>
            <w:r w:rsidR="009A6D7B">
              <w:rPr>
                <w:noProof/>
                <w:webHidden/>
              </w:rPr>
              <w:fldChar w:fldCharType="begin"/>
            </w:r>
            <w:r w:rsidR="009A6D7B">
              <w:rPr>
                <w:noProof/>
                <w:webHidden/>
              </w:rPr>
              <w:instrText xml:space="preserve"> PAGEREF _Toc381608404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5" w:history="1">
            <w:r w:rsidR="009A6D7B" w:rsidRPr="00E42A3F">
              <w:rPr>
                <w:rStyle w:val="Hyperlink"/>
                <w:noProof/>
              </w:rPr>
              <w:t>13.</w:t>
            </w:r>
            <w:r w:rsidR="009A6D7B">
              <w:rPr>
                <w:rFonts w:asciiTheme="minorHAnsi" w:eastAsiaTheme="minorEastAsia" w:hAnsiTheme="minorHAnsi" w:cstheme="minorBidi"/>
                <w:b w:val="0"/>
                <w:noProof/>
                <w:sz w:val="22"/>
                <w:lang w:eastAsia="en-AU"/>
              </w:rPr>
              <w:tab/>
            </w:r>
            <w:r w:rsidR="009A6D7B" w:rsidRPr="00E42A3F">
              <w:rPr>
                <w:rStyle w:val="Hyperlink"/>
                <w:noProof/>
              </w:rPr>
              <w:t>Second round assessment of risks</w:t>
            </w:r>
            <w:r w:rsidR="009A6D7B">
              <w:rPr>
                <w:noProof/>
                <w:webHidden/>
              </w:rPr>
              <w:tab/>
            </w:r>
            <w:r w:rsidR="009A6D7B">
              <w:rPr>
                <w:noProof/>
                <w:webHidden/>
              </w:rPr>
              <w:fldChar w:fldCharType="begin"/>
            </w:r>
            <w:r w:rsidR="009A6D7B">
              <w:rPr>
                <w:noProof/>
                <w:webHidden/>
              </w:rPr>
              <w:instrText xml:space="preserve"> PAGEREF _Toc381608405 \h </w:instrText>
            </w:r>
            <w:r w:rsidR="009A6D7B">
              <w:rPr>
                <w:noProof/>
                <w:webHidden/>
              </w:rPr>
            </w:r>
            <w:r w:rsidR="009A6D7B">
              <w:rPr>
                <w:noProof/>
                <w:webHidden/>
              </w:rPr>
              <w:fldChar w:fldCharType="separate"/>
            </w:r>
            <w:r w:rsidR="009A6D7B">
              <w:rPr>
                <w:noProof/>
                <w:webHidden/>
              </w:rPr>
              <w:t>30</w:t>
            </w:r>
            <w:r w:rsidR="009A6D7B">
              <w:rPr>
                <w:noProof/>
                <w:webHidden/>
              </w:rPr>
              <w:fldChar w:fldCharType="end"/>
            </w:r>
          </w:hyperlink>
        </w:p>
        <w:p w:rsidR="009A6D7B" w:rsidRDefault="00F96166">
          <w:pPr>
            <w:pStyle w:val="TOC3"/>
            <w:tabs>
              <w:tab w:val="left" w:pos="1760"/>
            </w:tabs>
            <w:rPr>
              <w:rFonts w:asciiTheme="minorHAnsi" w:eastAsiaTheme="minorEastAsia" w:hAnsiTheme="minorHAnsi" w:cstheme="minorBidi"/>
              <w:noProof/>
              <w:lang w:eastAsia="en-AU"/>
            </w:rPr>
          </w:pPr>
          <w:hyperlink w:anchor="_Toc381608406" w:history="1">
            <w:r w:rsidR="009A6D7B" w:rsidRPr="00E42A3F">
              <w:rPr>
                <w:rStyle w:val="Hyperlink"/>
                <w:noProof/>
              </w:rPr>
              <w:t>13.1.</w:t>
            </w:r>
            <w:r w:rsidR="009A6D7B">
              <w:rPr>
                <w:rFonts w:asciiTheme="minorHAnsi" w:eastAsiaTheme="minorEastAsia" w:hAnsiTheme="minorHAnsi" w:cstheme="minorBidi"/>
                <w:noProof/>
                <w:lang w:eastAsia="en-AU"/>
              </w:rPr>
              <w:tab/>
            </w:r>
            <w:r w:rsidR="009A6D7B" w:rsidRPr="00E42A3F">
              <w:rPr>
                <w:rStyle w:val="Hyperlink"/>
                <w:noProof/>
              </w:rPr>
              <w:t>Second round assessment of benefit-risk balance</w:t>
            </w:r>
            <w:r w:rsidR="009A6D7B">
              <w:rPr>
                <w:noProof/>
                <w:webHidden/>
              </w:rPr>
              <w:tab/>
            </w:r>
            <w:r w:rsidR="009A6D7B">
              <w:rPr>
                <w:noProof/>
                <w:webHidden/>
              </w:rPr>
              <w:fldChar w:fldCharType="begin"/>
            </w:r>
            <w:r w:rsidR="009A6D7B">
              <w:rPr>
                <w:noProof/>
                <w:webHidden/>
              </w:rPr>
              <w:instrText xml:space="preserve"> PAGEREF _Toc381608406 \h </w:instrText>
            </w:r>
            <w:r w:rsidR="009A6D7B">
              <w:rPr>
                <w:noProof/>
                <w:webHidden/>
              </w:rPr>
            </w:r>
            <w:r w:rsidR="009A6D7B">
              <w:rPr>
                <w:noProof/>
                <w:webHidden/>
              </w:rPr>
              <w:fldChar w:fldCharType="separate"/>
            </w:r>
            <w:r w:rsidR="009A6D7B">
              <w:rPr>
                <w:noProof/>
                <w:webHidden/>
              </w:rPr>
              <w:t>31</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7" w:history="1">
            <w:r w:rsidR="009A6D7B" w:rsidRPr="00E42A3F">
              <w:rPr>
                <w:rStyle w:val="Hyperlink"/>
                <w:noProof/>
              </w:rPr>
              <w:t>14.</w:t>
            </w:r>
            <w:r w:rsidR="009A6D7B">
              <w:rPr>
                <w:rFonts w:asciiTheme="minorHAnsi" w:eastAsiaTheme="minorEastAsia" w:hAnsiTheme="minorHAnsi" w:cstheme="minorBidi"/>
                <w:b w:val="0"/>
                <w:noProof/>
                <w:sz w:val="22"/>
                <w:lang w:eastAsia="en-AU"/>
              </w:rPr>
              <w:tab/>
            </w:r>
            <w:r w:rsidR="009A6D7B" w:rsidRPr="00E42A3F">
              <w:rPr>
                <w:rStyle w:val="Hyperlink"/>
                <w:noProof/>
              </w:rPr>
              <w:t>Second round recommendation regarding authorisation</w:t>
            </w:r>
            <w:r w:rsidR="009A6D7B">
              <w:rPr>
                <w:noProof/>
                <w:webHidden/>
              </w:rPr>
              <w:tab/>
            </w:r>
            <w:r w:rsidR="009A6D7B">
              <w:rPr>
                <w:noProof/>
                <w:webHidden/>
              </w:rPr>
              <w:fldChar w:fldCharType="begin"/>
            </w:r>
            <w:r w:rsidR="009A6D7B">
              <w:rPr>
                <w:noProof/>
                <w:webHidden/>
              </w:rPr>
              <w:instrText xml:space="preserve"> PAGEREF _Toc381608407 \h </w:instrText>
            </w:r>
            <w:r w:rsidR="009A6D7B">
              <w:rPr>
                <w:noProof/>
                <w:webHidden/>
              </w:rPr>
            </w:r>
            <w:r w:rsidR="009A6D7B">
              <w:rPr>
                <w:noProof/>
                <w:webHidden/>
              </w:rPr>
              <w:fldChar w:fldCharType="separate"/>
            </w:r>
            <w:r w:rsidR="009A6D7B">
              <w:rPr>
                <w:noProof/>
                <w:webHidden/>
              </w:rPr>
              <w:t>31</w:t>
            </w:r>
            <w:r w:rsidR="009A6D7B">
              <w:rPr>
                <w:noProof/>
                <w:webHidden/>
              </w:rPr>
              <w:fldChar w:fldCharType="end"/>
            </w:r>
          </w:hyperlink>
        </w:p>
        <w:p w:rsidR="009A6D7B" w:rsidRDefault="00F96166">
          <w:pPr>
            <w:pStyle w:val="TOC2"/>
            <w:tabs>
              <w:tab w:val="left" w:pos="1320"/>
            </w:tabs>
            <w:rPr>
              <w:rFonts w:asciiTheme="minorHAnsi" w:eastAsiaTheme="minorEastAsia" w:hAnsiTheme="minorHAnsi" w:cstheme="minorBidi"/>
              <w:b w:val="0"/>
              <w:noProof/>
              <w:sz w:val="22"/>
              <w:lang w:eastAsia="en-AU"/>
            </w:rPr>
          </w:pPr>
          <w:hyperlink w:anchor="_Toc381608408" w:history="1">
            <w:r w:rsidR="009A6D7B" w:rsidRPr="00E42A3F">
              <w:rPr>
                <w:rStyle w:val="Hyperlink"/>
                <w:noProof/>
              </w:rPr>
              <w:t>15.</w:t>
            </w:r>
            <w:r w:rsidR="009A6D7B">
              <w:rPr>
                <w:rFonts w:asciiTheme="minorHAnsi" w:eastAsiaTheme="minorEastAsia" w:hAnsiTheme="minorHAnsi" w:cstheme="minorBidi"/>
                <w:b w:val="0"/>
                <w:noProof/>
                <w:sz w:val="22"/>
                <w:lang w:eastAsia="en-AU"/>
              </w:rPr>
              <w:tab/>
            </w:r>
            <w:r w:rsidR="009A6D7B" w:rsidRPr="00E42A3F">
              <w:rPr>
                <w:rStyle w:val="Hyperlink"/>
                <w:noProof/>
              </w:rPr>
              <w:t>References</w:t>
            </w:r>
            <w:r w:rsidR="009A6D7B">
              <w:rPr>
                <w:noProof/>
                <w:webHidden/>
              </w:rPr>
              <w:tab/>
            </w:r>
            <w:r w:rsidR="009A6D7B">
              <w:rPr>
                <w:noProof/>
                <w:webHidden/>
              </w:rPr>
              <w:fldChar w:fldCharType="begin"/>
            </w:r>
            <w:r w:rsidR="009A6D7B">
              <w:rPr>
                <w:noProof/>
                <w:webHidden/>
              </w:rPr>
              <w:instrText xml:space="preserve"> PAGEREF _Toc381608408 \h </w:instrText>
            </w:r>
            <w:r w:rsidR="009A6D7B">
              <w:rPr>
                <w:noProof/>
                <w:webHidden/>
              </w:rPr>
            </w:r>
            <w:r w:rsidR="009A6D7B">
              <w:rPr>
                <w:noProof/>
                <w:webHidden/>
              </w:rPr>
              <w:fldChar w:fldCharType="separate"/>
            </w:r>
            <w:r w:rsidR="009A6D7B">
              <w:rPr>
                <w:noProof/>
                <w:webHidden/>
              </w:rPr>
              <w:t>31</w:t>
            </w:r>
            <w:r w:rsidR="009A6D7B">
              <w:rPr>
                <w:noProof/>
                <w:webHidden/>
              </w:rPr>
              <w:fldChar w:fldCharType="end"/>
            </w:r>
          </w:hyperlink>
        </w:p>
        <w:p w:rsidR="003A7F6C" w:rsidRPr="00B811C6" w:rsidRDefault="005C504E"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81608380"/>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7703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D945EC" w:rsidRDefault="00586F98" w:rsidP="000A63AF">
            <w:pPr>
              <w:rPr>
                <w:sz w:val="20"/>
                <w:szCs w:val="20"/>
              </w:rPr>
            </w:pPr>
            <w:r w:rsidRPr="00D945EC">
              <w:rPr>
                <w:sz w:val="20"/>
                <w:szCs w:val="20"/>
              </w:rPr>
              <w:t>Abbreviation</w:t>
            </w:r>
          </w:p>
        </w:tc>
        <w:tc>
          <w:tcPr>
            <w:tcW w:w="6911" w:type="dxa"/>
          </w:tcPr>
          <w:p w:rsidR="00586F98" w:rsidRPr="00D945EC" w:rsidRDefault="00586F98" w:rsidP="000A63AF">
            <w:pPr>
              <w:cnfStyle w:val="100000000000" w:firstRow="1" w:lastRow="0" w:firstColumn="0" w:lastColumn="0" w:oddVBand="0" w:evenVBand="0" w:oddHBand="0" w:evenHBand="0" w:firstRowFirstColumn="0" w:firstRowLastColumn="0" w:lastRowFirstColumn="0" w:lastRowLastColumn="0"/>
              <w:rPr>
                <w:sz w:val="20"/>
                <w:szCs w:val="20"/>
              </w:rPr>
            </w:pPr>
            <w:r w:rsidRPr="00D945EC">
              <w:rPr>
                <w:sz w:val="20"/>
                <w:szCs w:val="20"/>
              </w:rPr>
              <w:t>Meaning</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AE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adverse event</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9A2AB0" w:rsidP="00770321">
            <w:pPr>
              <w:autoSpaceDE w:val="0"/>
              <w:autoSpaceDN w:val="0"/>
              <w:adjustRightInd w:val="0"/>
              <w:rPr>
                <w:sz w:val="20"/>
                <w:szCs w:val="20"/>
              </w:rPr>
            </w:pPr>
            <w:r w:rsidRPr="00D945EC">
              <w:rPr>
                <w:sz w:val="20"/>
                <w:szCs w:val="20"/>
              </w:rPr>
              <w:t>ALP</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alkaline phosphatase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ALAT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alanine aminotransferase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AMG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945EC">
              <w:rPr>
                <w:sz w:val="20"/>
                <w:szCs w:val="20"/>
              </w:rPr>
              <w:t>Arzneimittelgesetz</w:t>
            </w:r>
            <w:proofErr w:type="spellEnd"/>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ASAT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aspartate aminotransferase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aPTT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activated partial thromboplastin time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BBP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bevacizumab beyond first progression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9A2AB0" w:rsidP="00770321">
            <w:pPr>
              <w:autoSpaceDE w:val="0"/>
              <w:autoSpaceDN w:val="0"/>
              <w:adjustRightInd w:val="0"/>
              <w:rPr>
                <w:sz w:val="20"/>
                <w:szCs w:val="20"/>
              </w:rPr>
            </w:pPr>
            <w:r w:rsidRPr="00D945EC">
              <w:rPr>
                <w:sz w:val="20"/>
                <w:szCs w:val="20"/>
              </w:rPr>
              <w:t>BP</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blood pressure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proofErr w:type="spellStart"/>
            <w:r w:rsidRPr="00D945EC">
              <w:rPr>
                <w:sz w:val="20"/>
                <w:szCs w:val="20"/>
              </w:rPr>
              <w:t>BRiTE</w:t>
            </w:r>
            <w:proofErr w:type="spellEnd"/>
            <w:r w:rsidRPr="00D945EC">
              <w:rPr>
                <w:sz w:val="20"/>
                <w:szCs w:val="20"/>
              </w:rPr>
              <w:t xml:space="preserve">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945EC">
              <w:rPr>
                <w:sz w:val="20"/>
                <w:szCs w:val="20"/>
              </w:rPr>
              <w:t>Bevacizumab</w:t>
            </w:r>
            <w:proofErr w:type="spellEnd"/>
            <w:r w:rsidRPr="00D945EC">
              <w:rPr>
                <w:sz w:val="20"/>
                <w:szCs w:val="20"/>
              </w:rPr>
              <w:t xml:space="preserve"> </w:t>
            </w:r>
            <w:proofErr w:type="spellStart"/>
            <w:r w:rsidRPr="00D945EC">
              <w:rPr>
                <w:sz w:val="20"/>
                <w:szCs w:val="20"/>
              </w:rPr>
              <w:t>Reimens</w:t>
            </w:r>
            <w:proofErr w:type="spellEnd"/>
            <w:r w:rsidRPr="00D945EC">
              <w:rPr>
                <w:sz w:val="20"/>
                <w:szCs w:val="20"/>
              </w:rPr>
              <w:t>: Investigation of Treatment</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BUN</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blood urea nitrogen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Ca++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calcium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CHF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congestive heart failure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CI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confidence interval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Cl-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chloride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CNS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central nervous system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CR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complete response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CRC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colorectal cancer</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CRO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clinical research organization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CSO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Central Sample Office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CSR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clinical study report</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CT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computed tomography</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CTCAE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Common Terminology Criteria for Adverse Events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DPD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945EC">
              <w:rPr>
                <w:sz w:val="20"/>
                <w:szCs w:val="20"/>
              </w:rPr>
              <w:t>dihydropyrimidine</w:t>
            </w:r>
            <w:proofErr w:type="spellEnd"/>
            <w:r w:rsidRPr="00D945EC">
              <w:rPr>
                <w:sz w:val="20"/>
                <w:szCs w:val="20"/>
              </w:rPr>
              <w:t xml:space="preserve"> dehydrogenase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ECG</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electrocardiogram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ECHO</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echocardiogram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lastRenderedPageBreak/>
              <w:t>ECOG</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Eastern Cooperative Oncology Group</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EU-CTD</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European Union Clinical Trial Directive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5-FU</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5-fluorouracil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5-FU/LV</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5-fluorouracil with leucovorin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FDA</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Food and Drug Administration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FOLFOX4</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oxaliplatin, folinic acid, 5-FU</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GCP</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Good Clinical Practice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GGT</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γ-Glutamyltransferase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GI</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gastrointestinal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HR</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hazard ratio</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ICH</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International Conference on Harmonization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IFL</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w:t>
            </w:r>
            <w:proofErr w:type="spellStart"/>
            <w:r w:rsidRPr="00D945EC">
              <w:rPr>
                <w:sz w:val="20"/>
                <w:szCs w:val="20"/>
              </w:rPr>
              <w:t>irinotecan</w:t>
            </w:r>
            <w:proofErr w:type="spellEnd"/>
            <w:r w:rsidRPr="00D945EC">
              <w:rPr>
                <w:sz w:val="20"/>
                <w:szCs w:val="20"/>
              </w:rPr>
              <w:t xml:space="preserve">, 5-FU, </w:t>
            </w:r>
            <w:proofErr w:type="spellStart"/>
            <w:r w:rsidRPr="00D945EC">
              <w:rPr>
                <w:sz w:val="20"/>
                <w:szCs w:val="20"/>
              </w:rPr>
              <w:t>leucovorin</w:t>
            </w:r>
            <w:proofErr w:type="spellEnd"/>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ITT</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intent-to-treat</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IV</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intravenous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K+</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potassium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LDH</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lactate dehydrogenase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proofErr w:type="spellStart"/>
            <w:r w:rsidRPr="00D945EC">
              <w:rPr>
                <w:sz w:val="20"/>
                <w:szCs w:val="20"/>
              </w:rPr>
              <w:t>mCRC</w:t>
            </w:r>
            <w:proofErr w:type="spellEnd"/>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metastatic CRC</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MedDRA</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Medical Dictionary for Regulatory Activities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MI</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myocardial infarction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Na+</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sodium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NCI</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National Cancer Institute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NYHA</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New York Heart Association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ORR</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overall response rate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OS</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overall survival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PD</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progressive disease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PFS</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progression-free survival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lastRenderedPageBreak/>
              <w:t>PK</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pharmacokinetic</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PR</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partial response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PS</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performance status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PTT</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partial thromboplastin time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 xml:space="preserve">Q2W </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every 2 weeks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RBC</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red blood cell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RCR</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Roche Clinical Repository</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RECIST</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Response Evaluation Criteria in Solid Tumours</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SAE</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serious adverse event</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SAP</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statistical analysis plan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SAR</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serious adverse reaction</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SD</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stable disease</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ULN</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upper limit of normal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USP</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U.S. Pharmacopeia</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VEGF</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vascular endothelial growth factor</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VTE</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venous thromboembolism</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WBC</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white blood cell</w:t>
            </w:r>
          </w:p>
        </w:tc>
      </w:tr>
      <w:tr w:rsidR="00770321" w:rsidTr="00770321">
        <w:tc>
          <w:tcPr>
            <w:cnfStyle w:val="001000000000" w:firstRow="0" w:lastRow="0" w:firstColumn="1" w:lastColumn="0" w:oddVBand="0" w:evenVBand="0" w:oddHBand="0" w:evenHBand="0" w:firstRowFirstColumn="0" w:firstRowLastColumn="0" w:lastRowFirstColumn="0" w:lastRowLastColumn="0"/>
            <w:tcW w:w="1890" w:type="dxa"/>
          </w:tcPr>
          <w:p w:rsidR="00770321" w:rsidRPr="00D945EC" w:rsidRDefault="00770321" w:rsidP="00770321">
            <w:pPr>
              <w:autoSpaceDE w:val="0"/>
              <w:autoSpaceDN w:val="0"/>
              <w:adjustRightInd w:val="0"/>
              <w:rPr>
                <w:sz w:val="20"/>
                <w:szCs w:val="20"/>
              </w:rPr>
            </w:pPr>
            <w:r w:rsidRPr="00D945EC">
              <w:rPr>
                <w:sz w:val="20"/>
                <w:szCs w:val="20"/>
              </w:rPr>
              <w:t>WBRT</w:t>
            </w:r>
          </w:p>
        </w:tc>
        <w:tc>
          <w:tcPr>
            <w:tcW w:w="6911" w:type="dxa"/>
          </w:tcPr>
          <w:p w:rsidR="00770321" w:rsidRPr="00D945EC" w:rsidRDefault="00770321" w:rsidP="00770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945EC">
              <w:rPr>
                <w:sz w:val="20"/>
                <w:szCs w:val="20"/>
              </w:rPr>
              <w:t xml:space="preserve"> whole-brain radiotherapy</w:t>
            </w:r>
          </w:p>
        </w:tc>
      </w:tr>
    </w:tbl>
    <w:p w:rsidR="00586F98" w:rsidRDefault="00586F98" w:rsidP="0043797D">
      <w:pPr>
        <w:pStyle w:val="Heading2"/>
        <w:pageBreakBefore/>
        <w:rPr>
          <w:lang w:eastAsia="en-AU"/>
        </w:rPr>
      </w:pPr>
      <w:bookmarkStart w:id="7" w:name="_Toc381608381"/>
      <w:bookmarkStart w:id="8" w:name="_Toc351718900"/>
      <w:bookmarkStart w:id="9" w:name="_Toc355338635"/>
      <w:r>
        <w:rPr>
          <w:lang w:eastAsia="en-AU"/>
        </w:rPr>
        <w:lastRenderedPageBreak/>
        <w:t>Clinical rationale</w:t>
      </w:r>
      <w:bookmarkEnd w:id="7"/>
    </w:p>
    <w:p w:rsidR="009A2AB0" w:rsidRPr="00D67998" w:rsidRDefault="009A2AB0" w:rsidP="009A2AB0">
      <w:r w:rsidRPr="00D67998">
        <w:t>There was no</w:t>
      </w:r>
      <w:r>
        <w:t xml:space="preserve"> clinical evidence from randomis</w:t>
      </w:r>
      <w:r w:rsidRPr="00D67998">
        <w:t xml:space="preserve">ed clinical trials that bevacizumab containing regimens in the </w:t>
      </w:r>
      <w:r>
        <w:t>second</w:t>
      </w:r>
      <w:r w:rsidRPr="00D67998">
        <w:t xml:space="preserve"> line setting could improve patient outcomes after progression on a bevacizumab-containing regimen in the first-line setting. Clinical evidence providing insight into the effect of treatment with bevacizumab beyond first progression was from the </w:t>
      </w:r>
      <w:proofErr w:type="spellStart"/>
      <w:r w:rsidRPr="00D67998">
        <w:t>BRiTE</w:t>
      </w:r>
      <w:proofErr w:type="spellEnd"/>
      <w:r w:rsidRPr="00D67998">
        <w:t xml:space="preserve"> (Biomarkers for Rapid identification of Treatment Effectiveness) study, a lar</w:t>
      </w:r>
      <w:r>
        <w:t>ge community-based, non-randomis</w:t>
      </w:r>
      <w:r w:rsidRPr="00D67998">
        <w:t xml:space="preserve">ed, observational study, in which 1445 patients who were treated with bevacizumab as part of first line therapy, had bevacizumab as part of second-line therapy following disease progression. These patients were associated with improved survival beyond progression compared with patients who did not have bevacizumab. The findings of this study are supported by available data from another observational cohort study (ARIES – Avastin Registry: Investigation of Effectiveness and Safety). </w:t>
      </w:r>
    </w:p>
    <w:p w:rsidR="009A2AB0" w:rsidRDefault="009A2AB0" w:rsidP="009A2AB0">
      <w:r>
        <w:t xml:space="preserve">Study ML18147 was designed to examine the effect of adding bevacizumab to cross-over fluoropyrimidine-based chemotherapy in patients with metastatic </w:t>
      </w:r>
      <w:r w:rsidRPr="009A2AB0">
        <w:t xml:space="preserve">colorectal cancer </w:t>
      </w:r>
      <w:r>
        <w:t>(</w:t>
      </w:r>
      <w:proofErr w:type="spellStart"/>
      <w:r>
        <w:t>mCRC</w:t>
      </w:r>
      <w:proofErr w:type="spellEnd"/>
      <w:r>
        <w:t>) who experienced disease progression after first-line standard chemotherapy plus bevacizumab. Study ML 18147 was initiated as Study AIO KRK 0504 in 2006 as a non-</w:t>
      </w:r>
      <w:proofErr w:type="spellStart"/>
      <w:r>
        <w:t>registrational</w:t>
      </w:r>
      <w:proofErr w:type="spellEnd"/>
      <w:r>
        <w:t xml:space="preserve"> study by AIO in Germany and Austria. Sponsorship of the study was transferred to Roche in 2008. Several major amendments were made without knowledge of the aggregate results so as not to compromise the integrity of the study. The amendments included a change in the primary endpoint from </w:t>
      </w:r>
      <w:r w:rsidRPr="009A2AB0">
        <w:t xml:space="preserve">progression-free survival </w:t>
      </w:r>
      <w:r>
        <w:t xml:space="preserve">(PFS) to Overall Survival (OS). </w:t>
      </w:r>
    </w:p>
    <w:p w:rsidR="009A2AB0" w:rsidRDefault="009A2AB0" w:rsidP="009A2AB0">
      <w:r>
        <w:t xml:space="preserve">OS was deemed by the sponsor to be a better measure than PFS because it is easily measured, is unambiguous and objective, and is a variable that is not subject to the potential biases associated with endpoints requiring clinical judgement. The sample size of the study was increased to adequately power the study for OS as the primary endpoint. Details of any subsequent anti-cancer therapy were obtained during follow-up visits until the end of study so that potential confounding of OS by the use of effective subsequent lines of therapy could be prevented. </w:t>
      </w:r>
    </w:p>
    <w:p w:rsidR="00586F98" w:rsidRPr="00586F98" w:rsidRDefault="009A2AB0" w:rsidP="009A2AB0">
      <w:pPr>
        <w:rPr>
          <w:lang w:eastAsia="en-AU"/>
        </w:rPr>
      </w:pPr>
      <w:r>
        <w:t>FDA raised concerns about potential bias having been introduced as a result of the unplanned modifications to the protocol at the time of change in sponsorship. A number of recommendations were made including use of unstratified log rank test as primary analysis, and sensitivity analyses to address the sequential enrolment in the AIO KRK 0504 and ML18147 studies based on data cut-off points. The marketing authorisation holder (MAH) amended the analysis plan accordingly.</w:t>
      </w:r>
    </w:p>
    <w:p w:rsidR="00586F98" w:rsidRDefault="00586F98" w:rsidP="00586F98">
      <w:pPr>
        <w:pStyle w:val="Heading2"/>
        <w:rPr>
          <w:lang w:eastAsia="en-AU"/>
        </w:rPr>
      </w:pPr>
      <w:bookmarkStart w:id="10" w:name="_Toc381608382"/>
      <w:r>
        <w:rPr>
          <w:lang w:eastAsia="en-AU"/>
        </w:rPr>
        <w:t>Contents of the clinical dossier</w:t>
      </w:r>
      <w:bookmarkEnd w:id="8"/>
      <w:bookmarkEnd w:id="9"/>
      <w:bookmarkEnd w:id="10"/>
    </w:p>
    <w:p w:rsidR="00586F98" w:rsidRDefault="00586F98" w:rsidP="00586F98">
      <w:pPr>
        <w:pStyle w:val="Heading3"/>
      </w:pPr>
      <w:bookmarkStart w:id="11" w:name="_Toc381608383"/>
      <w:r>
        <w:t>Scope of the clinical dossier</w:t>
      </w:r>
      <w:bookmarkEnd w:id="11"/>
    </w:p>
    <w:p w:rsidR="009A2AB0" w:rsidRPr="009A2AB0" w:rsidRDefault="009A2AB0" w:rsidP="009A2AB0">
      <w:pPr>
        <w:rPr>
          <w:lang w:eastAsia="ja-JP"/>
        </w:rPr>
      </w:pPr>
      <w:r w:rsidRPr="009A2AB0">
        <w:rPr>
          <w:lang w:eastAsia="ja-JP"/>
        </w:rPr>
        <w:t xml:space="preserve">The submission contained </w:t>
      </w:r>
      <w:r>
        <w:rPr>
          <w:lang w:eastAsia="ja-JP"/>
        </w:rPr>
        <w:t xml:space="preserve">one study, </w:t>
      </w:r>
      <w:r w:rsidRPr="009A2AB0">
        <w:rPr>
          <w:lang w:eastAsia="ja-JP"/>
        </w:rPr>
        <w:t>Study ML 18147: pivotal efficacy/safety stud</w:t>
      </w:r>
      <w:r>
        <w:rPr>
          <w:lang w:eastAsia="ja-JP"/>
        </w:rPr>
        <w:t>y</w:t>
      </w:r>
      <w:r w:rsidRPr="009A2AB0">
        <w:rPr>
          <w:lang w:eastAsia="ja-JP"/>
        </w:rPr>
        <w:t>.</w:t>
      </w:r>
    </w:p>
    <w:p w:rsidR="00586F98" w:rsidRDefault="00586F98" w:rsidP="00586F98">
      <w:pPr>
        <w:pStyle w:val="Heading3"/>
      </w:pPr>
      <w:bookmarkStart w:id="12" w:name="_Toc381608384"/>
      <w:r>
        <w:t>Paediatric data</w:t>
      </w:r>
      <w:bookmarkEnd w:id="12"/>
    </w:p>
    <w:p w:rsidR="00586F98" w:rsidRDefault="009A2AB0" w:rsidP="00586F98">
      <w:pPr>
        <w:rPr>
          <w:lang w:eastAsia="ja-JP"/>
        </w:rPr>
      </w:pPr>
      <w:r>
        <w:rPr>
          <w:lang w:eastAsia="ja-JP"/>
        </w:rPr>
        <w:t>No new data.</w:t>
      </w:r>
    </w:p>
    <w:p w:rsidR="00586F98" w:rsidRDefault="00586F98" w:rsidP="00586F98">
      <w:pPr>
        <w:pStyle w:val="Heading3"/>
      </w:pPr>
      <w:bookmarkStart w:id="13" w:name="_Toc381608385"/>
      <w:r>
        <w:lastRenderedPageBreak/>
        <w:t>Good clinical practice</w:t>
      </w:r>
      <w:r w:rsidR="009F0541">
        <w:t xml:space="preserve"> (GCP)</w:t>
      </w:r>
      <w:bookmarkEnd w:id="13"/>
    </w:p>
    <w:p w:rsidR="00586F98" w:rsidRPr="00586F98" w:rsidRDefault="009A2AB0" w:rsidP="00586F98">
      <w:pPr>
        <w:rPr>
          <w:lang w:eastAsia="ja-JP"/>
        </w:rPr>
      </w:pPr>
      <w:r w:rsidRPr="009A2AB0">
        <w:rPr>
          <w:lang w:eastAsia="ja-JP"/>
        </w:rPr>
        <w:t>Study ML18147 was conducted in accordance with US Food and Drug Administration (FDA) regulations, the ICH E6 Guideline for GCP, the Declaration of Helsinki (October 1996), and applicable local, state, and federal laws, as well as other applicable country laws</w:t>
      </w:r>
      <w:r w:rsidR="0061365B">
        <w:rPr>
          <w:lang w:eastAsia="ja-JP"/>
        </w:rPr>
        <w:t>.</w:t>
      </w:r>
    </w:p>
    <w:p w:rsidR="00586F98" w:rsidRDefault="00586F98" w:rsidP="00586F98">
      <w:pPr>
        <w:pStyle w:val="Heading2"/>
      </w:pPr>
      <w:bookmarkStart w:id="14" w:name="_Toc355338639"/>
      <w:bookmarkStart w:id="15" w:name="_Toc381608386"/>
      <w:r>
        <w:t>Pharmacokinetics</w:t>
      </w:r>
      <w:bookmarkEnd w:id="14"/>
      <w:bookmarkEnd w:id="15"/>
      <w:r>
        <w:t xml:space="preserve"> </w:t>
      </w:r>
    </w:p>
    <w:p w:rsidR="00586F98" w:rsidRDefault="009A2AB0" w:rsidP="00586F98">
      <w:r w:rsidRPr="009A2AB0">
        <w:t>No new data</w:t>
      </w:r>
      <w:r>
        <w:t>.</w:t>
      </w:r>
    </w:p>
    <w:p w:rsidR="00586F98" w:rsidRDefault="00586F98" w:rsidP="00586F98">
      <w:pPr>
        <w:pStyle w:val="Heading2"/>
      </w:pPr>
      <w:bookmarkStart w:id="16" w:name="_Toc381608387"/>
      <w:r>
        <w:t>Pharmacodynamics</w:t>
      </w:r>
      <w:bookmarkEnd w:id="16"/>
    </w:p>
    <w:p w:rsidR="00C22678" w:rsidRPr="00586F98" w:rsidRDefault="009A2AB0" w:rsidP="00C22678">
      <w:pPr>
        <w:rPr>
          <w:lang w:eastAsia="ja-JP"/>
        </w:rPr>
      </w:pPr>
      <w:r w:rsidRPr="009A2AB0">
        <w:rPr>
          <w:lang w:eastAsia="ja-JP"/>
        </w:rPr>
        <w:t>No new data</w:t>
      </w:r>
      <w:r>
        <w:rPr>
          <w:lang w:eastAsia="ja-JP"/>
        </w:rPr>
        <w:t>.</w:t>
      </w:r>
    </w:p>
    <w:p w:rsidR="00586F98" w:rsidRDefault="00C22678" w:rsidP="00586F98">
      <w:pPr>
        <w:pStyle w:val="Heading2"/>
      </w:pPr>
      <w:bookmarkStart w:id="17" w:name="_Toc381608388"/>
      <w:r>
        <w:t>Dosage selection for the pivotal studies</w:t>
      </w:r>
      <w:bookmarkEnd w:id="17"/>
    </w:p>
    <w:p w:rsidR="00C22678" w:rsidRPr="00586F98" w:rsidRDefault="009F0541" w:rsidP="00C22678">
      <w:pPr>
        <w:rPr>
          <w:lang w:eastAsia="ja-JP"/>
        </w:rPr>
      </w:pPr>
      <w:r>
        <w:rPr>
          <w:lang w:eastAsia="ja-JP"/>
        </w:rPr>
        <w:t>No new data.</w:t>
      </w:r>
    </w:p>
    <w:p w:rsidR="00C22678" w:rsidRDefault="00C22678" w:rsidP="00C22678">
      <w:pPr>
        <w:pStyle w:val="Heading2"/>
      </w:pPr>
      <w:bookmarkStart w:id="18" w:name="_Toc381608389"/>
      <w:r>
        <w:t>Clinical efficacy</w:t>
      </w:r>
      <w:bookmarkEnd w:id="18"/>
    </w:p>
    <w:p w:rsidR="009A2AB0" w:rsidRPr="009A2AB0" w:rsidRDefault="009F0541" w:rsidP="009F0541">
      <w:pPr>
        <w:pStyle w:val="Heading3"/>
      </w:pPr>
      <w:bookmarkStart w:id="19" w:name="_Ref271037274"/>
      <w:bookmarkStart w:id="20" w:name="_Toc272414652"/>
      <w:bookmarkStart w:id="21" w:name="_Toc273018215"/>
      <w:bookmarkStart w:id="22" w:name="_Toc346186555"/>
      <w:bookmarkStart w:id="23" w:name="_Toc381608390"/>
      <w:r w:rsidRPr="009A2AB0">
        <w:t>Pivotal Efficacy Studies</w:t>
      </w:r>
      <w:bookmarkEnd w:id="19"/>
      <w:bookmarkEnd w:id="20"/>
      <w:bookmarkEnd w:id="21"/>
      <w:bookmarkEnd w:id="22"/>
      <w:bookmarkEnd w:id="23"/>
    </w:p>
    <w:p w:rsidR="009A2AB0" w:rsidRPr="009A2AB0" w:rsidRDefault="009F0541" w:rsidP="009F0541">
      <w:pPr>
        <w:pStyle w:val="Heading4"/>
      </w:pPr>
      <w:bookmarkStart w:id="24" w:name="_Ref243301615"/>
      <w:bookmarkStart w:id="25" w:name="_Ref271040927"/>
      <w:bookmarkStart w:id="26" w:name="_Ref271040932"/>
      <w:bookmarkStart w:id="27" w:name="_Toc272414653"/>
      <w:bookmarkStart w:id="28" w:name="_Toc273018216"/>
      <w:bookmarkStart w:id="29" w:name="_Toc346186556"/>
      <w:r w:rsidRPr="009A2AB0">
        <w:t xml:space="preserve">Study </w:t>
      </w:r>
      <w:bookmarkEnd w:id="24"/>
      <w:bookmarkEnd w:id="25"/>
      <w:bookmarkEnd w:id="26"/>
      <w:bookmarkEnd w:id="27"/>
      <w:bookmarkEnd w:id="28"/>
      <w:r w:rsidR="009A2AB0" w:rsidRPr="009A2AB0">
        <w:t>ML 18147</w:t>
      </w:r>
      <w:bookmarkEnd w:id="29"/>
    </w:p>
    <w:p w:rsidR="009A2AB0" w:rsidRPr="009A2AB0" w:rsidRDefault="009A2AB0" w:rsidP="009F0541">
      <w:pPr>
        <w:pStyle w:val="Heading5"/>
        <w:rPr>
          <w:lang w:eastAsia="ja-JP"/>
        </w:rPr>
      </w:pPr>
      <w:r w:rsidRPr="009A2AB0">
        <w:rPr>
          <w:lang w:eastAsia="ja-JP"/>
        </w:rPr>
        <w:t>Study design, objectives, locations and dates</w:t>
      </w:r>
    </w:p>
    <w:p w:rsidR="009A2AB0" w:rsidRPr="009A2AB0" w:rsidRDefault="009A2AB0" w:rsidP="009A2AB0">
      <w:pPr>
        <w:rPr>
          <w:lang w:eastAsia="ja-JP"/>
        </w:rPr>
      </w:pPr>
      <w:r w:rsidRPr="009A2AB0">
        <w:rPr>
          <w:lang w:eastAsia="ja-JP"/>
        </w:rPr>
        <w:t>This s</w:t>
      </w:r>
      <w:r w:rsidR="009F0541">
        <w:rPr>
          <w:lang w:eastAsia="ja-JP"/>
        </w:rPr>
        <w:t>tudy was a prospective, randomis</w:t>
      </w:r>
      <w:r w:rsidRPr="009A2AB0">
        <w:rPr>
          <w:lang w:eastAsia="ja-JP"/>
        </w:rPr>
        <w:t>ed, open-label, multinational, controlled, Phase III study to examine the effect of adding bevacizumab to fluoropyrimidine-based chemotherapy in patients with histology confirmed metastatic CRC and disease progression following treatment with a first-line bevacizumab containing regimen.</w:t>
      </w:r>
    </w:p>
    <w:p w:rsidR="009A2AB0" w:rsidRPr="009A2AB0" w:rsidRDefault="009A2AB0" w:rsidP="009A2AB0">
      <w:pPr>
        <w:rPr>
          <w:lang w:eastAsia="ja-JP"/>
        </w:rPr>
      </w:pPr>
      <w:r w:rsidRPr="009A2AB0">
        <w:rPr>
          <w:lang w:eastAsia="ja-JP"/>
        </w:rPr>
        <w:t xml:space="preserve">At the time the </w:t>
      </w:r>
      <w:r w:rsidR="009F0541">
        <w:rPr>
          <w:lang w:eastAsia="ja-JP"/>
        </w:rPr>
        <w:t>S</w:t>
      </w:r>
      <w:r w:rsidRPr="009A2AB0">
        <w:rPr>
          <w:lang w:eastAsia="ja-JP"/>
        </w:rPr>
        <w:t>tudy AIO KRK 0504 was transferred to Roche, the 261 pa</w:t>
      </w:r>
      <w:r w:rsidR="009F0541">
        <w:rPr>
          <w:lang w:eastAsia="ja-JP"/>
        </w:rPr>
        <w:t>tients had already been randomis</w:t>
      </w:r>
      <w:r w:rsidRPr="009A2AB0">
        <w:rPr>
          <w:lang w:eastAsia="ja-JP"/>
        </w:rPr>
        <w:t xml:space="preserve">ed under Protocol AIO KRK 0504. Stratification factors used for randomisation in </w:t>
      </w:r>
      <w:r w:rsidR="009F0541">
        <w:rPr>
          <w:lang w:eastAsia="ja-JP"/>
        </w:rPr>
        <w:t>S</w:t>
      </w:r>
      <w:r w:rsidRPr="009A2AB0">
        <w:rPr>
          <w:lang w:eastAsia="ja-JP"/>
        </w:rPr>
        <w:t>tudy ML 18147 were retrospectively collected for all these patients. They were not re-randomised, but continued with the treatment that they were assigned to at the time of enrolment</w:t>
      </w:r>
      <w:r w:rsidR="009F0541">
        <w:rPr>
          <w:lang w:eastAsia="ja-JP"/>
        </w:rPr>
        <w:t xml:space="preserve"> in S</w:t>
      </w:r>
      <w:r w:rsidRPr="009A2AB0">
        <w:rPr>
          <w:lang w:eastAsia="ja-JP"/>
        </w:rPr>
        <w:t>tudy AIO KRK 0504. A stratified and un-stratified analysis will be performed to compare the results and assess the difference.</w:t>
      </w:r>
    </w:p>
    <w:p w:rsidR="009A2AB0" w:rsidRPr="009A2AB0" w:rsidRDefault="009A2AB0" w:rsidP="009A2AB0">
      <w:pPr>
        <w:rPr>
          <w:lang w:eastAsia="ja-JP"/>
        </w:rPr>
      </w:pPr>
      <w:r w:rsidRPr="009A2AB0">
        <w:rPr>
          <w:lang w:eastAsia="ja-JP"/>
        </w:rPr>
        <w:t>Study treatment was continued until disease progression, unacceptable toxicity or patient withdrawal. Tumour assessments wer</w:t>
      </w:r>
      <w:r w:rsidR="009F0541">
        <w:rPr>
          <w:lang w:eastAsia="ja-JP"/>
        </w:rPr>
        <w:t xml:space="preserve">e made every 8 to </w:t>
      </w:r>
      <w:r w:rsidRPr="009A2AB0">
        <w:rPr>
          <w:lang w:eastAsia="ja-JP"/>
        </w:rPr>
        <w:t>9 weeks until disease progression. An end-of-treatment safety assessment was made 28 days following the last dose and the patients were followed three monthly for survival, tumour assessments, subsequent anti-cancer therapies and study drug related serious adverse events.</w:t>
      </w:r>
    </w:p>
    <w:p w:rsidR="009A2AB0" w:rsidRPr="009A2AB0" w:rsidRDefault="009F0541" w:rsidP="009F0541">
      <w:pPr>
        <w:pStyle w:val="Heading6"/>
        <w:rPr>
          <w:lang w:eastAsia="ja-JP"/>
        </w:rPr>
      </w:pPr>
      <w:r w:rsidRPr="009A2AB0">
        <w:rPr>
          <w:lang w:eastAsia="ja-JP"/>
        </w:rPr>
        <w:t>Primary Objective</w:t>
      </w:r>
    </w:p>
    <w:p w:rsidR="009A2AB0" w:rsidRPr="009A2AB0" w:rsidRDefault="009A2AB0" w:rsidP="009A2AB0">
      <w:pPr>
        <w:rPr>
          <w:lang w:eastAsia="ja-JP"/>
        </w:rPr>
      </w:pPr>
      <w:r w:rsidRPr="009A2AB0">
        <w:rPr>
          <w:lang w:eastAsia="ja-JP"/>
        </w:rPr>
        <w:t xml:space="preserve">To assess OS for patients treated with bevacizumab in combination with </w:t>
      </w:r>
      <w:proofErr w:type="spellStart"/>
      <w:r w:rsidRPr="009A2AB0">
        <w:rPr>
          <w:lang w:eastAsia="ja-JP"/>
        </w:rPr>
        <w:t>fluoropyrimid</w:t>
      </w:r>
      <w:r w:rsidR="005B69EC">
        <w:rPr>
          <w:lang w:eastAsia="ja-JP"/>
        </w:rPr>
        <w:t>ine</w:t>
      </w:r>
      <w:proofErr w:type="spellEnd"/>
      <w:r w:rsidR="005B69EC">
        <w:rPr>
          <w:lang w:eastAsia="ja-JP"/>
        </w:rPr>
        <w:t>/</w:t>
      </w:r>
      <w:proofErr w:type="spellStart"/>
      <w:r w:rsidR="005B69EC">
        <w:rPr>
          <w:lang w:eastAsia="ja-JP"/>
        </w:rPr>
        <w:t>irinotecan</w:t>
      </w:r>
      <w:proofErr w:type="spellEnd"/>
      <w:r w:rsidR="005B69EC">
        <w:rPr>
          <w:lang w:eastAsia="ja-JP"/>
        </w:rPr>
        <w:t xml:space="preserve"> </w:t>
      </w:r>
      <w:r w:rsidRPr="009A2AB0">
        <w:rPr>
          <w:lang w:eastAsia="ja-JP"/>
        </w:rPr>
        <w:t xml:space="preserve">or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 xml:space="preserve">-based chemotherapy regimens versus patients treated with </w:t>
      </w:r>
      <w:proofErr w:type="spellStart"/>
      <w:r w:rsidRPr="009A2AB0">
        <w:rPr>
          <w:lang w:eastAsia="ja-JP"/>
        </w:rPr>
        <w:t>fluoropyrimidine</w:t>
      </w:r>
      <w:proofErr w:type="spellEnd"/>
      <w:r w:rsidRPr="009A2AB0">
        <w:rPr>
          <w:lang w:eastAsia="ja-JP"/>
        </w:rPr>
        <w:t>/</w:t>
      </w:r>
      <w:proofErr w:type="spellStart"/>
      <w:r w:rsidRPr="009A2AB0">
        <w:rPr>
          <w:lang w:eastAsia="ja-JP"/>
        </w:rPr>
        <w:t>irinotecan</w:t>
      </w:r>
      <w:proofErr w:type="spellEnd"/>
      <w:r w:rsidRPr="009A2AB0">
        <w:rPr>
          <w:lang w:eastAsia="ja-JP"/>
        </w:rPr>
        <w:t xml:space="preserve">- or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-based</w:t>
      </w:r>
      <w:r w:rsidR="009F0541">
        <w:rPr>
          <w:lang w:eastAsia="ja-JP"/>
        </w:rPr>
        <w:t xml:space="preserve"> </w:t>
      </w:r>
      <w:r w:rsidRPr="009A2AB0">
        <w:rPr>
          <w:lang w:eastAsia="ja-JP"/>
        </w:rPr>
        <w:t>chemotherapy regimens alone, after progression under first-line treatment with bevacizumab in combination with standard chemotherapy.</w:t>
      </w:r>
    </w:p>
    <w:p w:rsidR="009A2AB0" w:rsidRPr="009A2AB0" w:rsidRDefault="009F0541" w:rsidP="009F0541">
      <w:pPr>
        <w:pStyle w:val="Heading6"/>
        <w:rPr>
          <w:lang w:eastAsia="ja-JP"/>
        </w:rPr>
      </w:pPr>
      <w:r w:rsidRPr="009A2AB0">
        <w:rPr>
          <w:lang w:eastAsia="ja-JP"/>
        </w:rPr>
        <w:t>Secondary Objectives</w:t>
      </w:r>
    </w:p>
    <w:p w:rsidR="009A2AB0" w:rsidRPr="009A2AB0" w:rsidRDefault="009A2AB0" w:rsidP="009A2AB0">
      <w:pPr>
        <w:rPr>
          <w:lang w:eastAsia="ja-JP"/>
        </w:rPr>
      </w:pPr>
      <w:r w:rsidRPr="009A2AB0">
        <w:rPr>
          <w:lang w:eastAsia="ja-JP"/>
        </w:rPr>
        <w:t>To compare PFS (after first progression) overall and on treatment</w:t>
      </w:r>
    </w:p>
    <w:p w:rsidR="009A2AB0" w:rsidRPr="009A2AB0" w:rsidRDefault="009A2AB0" w:rsidP="009A2AB0">
      <w:pPr>
        <w:rPr>
          <w:lang w:eastAsia="ja-JP"/>
        </w:rPr>
      </w:pPr>
      <w:r w:rsidRPr="009A2AB0">
        <w:rPr>
          <w:lang w:eastAsia="ja-JP"/>
        </w:rPr>
        <w:lastRenderedPageBreak/>
        <w:t>To evaluate overall response rate (ORR)</w:t>
      </w:r>
    </w:p>
    <w:p w:rsidR="009A2AB0" w:rsidRPr="009A2AB0" w:rsidRDefault="009A2AB0" w:rsidP="009A2AB0">
      <w:pPr>
        <w:rPr>
          <w:lang w:eastAsia="ja-JP"/>
        </w:rPr>
      </w:pPr>
      <w:r w:rsidRPr="009A2AB0">
        <w:rPr>
          <w:lang w:eastAsia="ja-JP"/>
        </w:rPr>
        <w:t>To evaluate OS from the time of starting first-line therapy between the two</w:t>
      </w:r>
      <w:r w:rsidR="009F0541">
        <w:rPr>
          <w:lang w:eastAsia="ja-JP"/>
        </w:rPr>
        <w:t xml:space="preserve"> </w:t>
      </w:r>
      <w:r w:rsidRPr="009A2AB0">
        <w:rPr>
          <w:lang w:eastAsia="ja-JP"/>
        </w:rPr>
        <w:t>treatment arms</w:t>
      </w:r>
    </w:p>
    <w:p w:rsidR="009A2AB0" w:rsidRPr="009A2AB0" w:rsidRDefault="009A2AB0" w:rsidP="009A2AB0">
      <w:pPr>
        <w:rPr>
          <w:lang w:eastAsia="ja-JP"/>
        </w:rPr>
      </w:pPr>
      <w:r w:rsidRPr="009A2AB0">
        <w:rPr>
          <w:lang w:eastAsia="ja-JP"/>
        </w:rPr>
        <w:t>To compare the safety profile in the two treatment arms</w:t>
      </w:r>
    </w:p>
    <w:p w:rsidR="009A2AB0" w:rsidRPr="009A2AB0" w:rsidRDefault="009A2AB0" w:rsidP="009F0541">
      <w:pPr>
        <w:pStyle w:val="Heading6"/>
        <w:rPr>
          <w:lang w:eastAsia="ja-JP"/>
        </w:rPr>
      </w:pPr>
      <w:r w:rsidRPr="009A2AB0">
        <w:rPr>
          <w:lang w:eastAsia="ja-JP"/>
        </w:rPr>
        <w:t>Inclusion and exclusion criteria</w:t>
      </w:r>
    </w:p>
    <w:p w:rsidR="009A2AB0" w:rsidRPr="009A2AB0" w:rsidRDefault="009A2AB0" w:rsidP="009A2AB0">
      <w:pPr>
        <w:rPr>
          <w:lang w:eastAsia="ja-JP"/>
        </w:rPr>
      </w:pPr>
      <w:r w:rsidRPr="009A2AB0">
        <w:rPr>
          <w:lang w:eastAsia="ja-JP"/>
        </w:rPr>
        <w:t xml:space="preserve">Patients with histological confirmation of unresectable, metastatic colon cancer who progressed within 3 months after discontinuation of first-line therapy with a fluoropyrimidine and bevacizumab containing chemotherapy regimen, were included in the study. Patients with disease progression that was &gt;3 months after the last dose of bevacizumab, patients with disease progression in the first 3 months in first-line treatment and patients who had participated in any other trial within 30 days prior to the start of study treatment in this trial were excluded. </w:t>
      </w:r>
    </w:p>
    <w:p w:rsidR="009A2AB0" w:rsidRPr="009A2AB0" w:rsidRDefault="009A2AB0" w:rsidP="009F0541">
      <w:pPr>
        <w:pStyle w:val="Heading6"/>
        <w:rPr>
          <w:lang w:eastAsia="ja-JP"/>
        </w:rPr>
      </w:pPr>
      <w:r w:rsidRPr="009A2AB0">
        <w:rPr>
          <w:lang w:eastAsia="ja-JP"/>
        </w:rPr>
        <w:t>Study treatments</w:t>
      </w:r>
    </w:p>
    <w:p w:rsidR="009A2AB0" w:rsidRPr="009A2AB0" w:rsidRDefault="009A2AB0" w:rsidP="009A2AB0">
      <w:pPr>
        <w:rPr>
          <w:lang w:eastAsia="ja-JP"/>
        </w:rPr>
      </w:pPr>
      <w:r w:rsidRPr="009A2AB0">
        <w:rPr>
          <w:lang w:eastAsia="ja-JP"/>
        </w:rPr>
        <w:t xml:space="preserve">Eligible patients, under Protocol ML 18147, were randomised 1:1 to receive </w:t>
      </w:r>
      <w:proofErr w:type="spellStart"/>
      <w:r w:rsidRPr="009A2AB0">
        <w:rPr>
          <w:lang w:eastAsia="ja-JP"/>
        </w:rPr>
        <w:t>fluoropyrimidine</w:t>
      </w:r>
      <w:proofErr w:type="spellEnd"/>
      <w:r w:rsidRPr="009A2AB0">
        <w:rPr>
          <w:lang w:eastAsia="ja-JP"/>
        </w:rPr>
        <w:t>/</w:t>
      </w:r>
      <w:proofErr w:type="spellStart"/>
      <w:r w:rsidRPr="009A2AB0">
        <w:rPr>
          <w:lang w:eastAsia="ja-JP"/>
        </w:rPr>
        <w:t>irinotecan</w:t>
      </w:r>
      <w:proofErr w:type="spellEnd"/>
      <w:r w:rsidRPr="009A2AB0">
        <w:rPr>
          <w:lang w:eastAsia="ja-JP"/>
        </w:rPr>
        <w:t xml:space="preserve">-based chemotherapy or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-based chemotherapy with or without bevacizumab until progressive disease, unacceptable toxicity or patient refusal.</w:t>
      </w:r>
      <w:r w:rsidRPr="009A2AB0">
        <w:rPr>
          <w:b/>
          <w:lang w:eastAsia="ja-JP"/>
        </w:rPr>
        <w:t xml:space="preserve"> </w:t>
      </w:r>
      <w:r w:rsidRPr="009A2AB0">
        <w:rPr>
          <w:lang w:eastAsia="ja-JP"/>
        </w:rPr>
        <w:t>The bevacizumab dose chosen was 2.5 mg/kg/week equivalent. This decision was based on the demonstrated efficacy in first-line studies, and the desire to demonstrate continued treatment benefit after progression by keeping the same dose in the second-line setting.</w:t>
      </w:r>
    </w:p>
    <w:p w:rsidR="009A2AB0" w:rsidRPr="009A2AB0" w:rsidRDefault="009A2AB0" w:rsidP="009F0541">
      <w:pPr>
        <w:rPr>
          <w:b/>
          <w:bCs/>
          <w:i/>
          <w:iCs/>
          <w:lang w:eastAsia="ja-JP"/>
        </w:rPr>
      </w:pPr>
      <w:r w:rsidRPr="009A2AB0">
        <w:rPr>
          <w:lang w:eastAsia="ja-JP"/>
        </w:rPr>
        <w:t xml:space="preserve">Those randomised to Arm </w:t>
      </w:r>
      <w:proofErr w:type="gramStart"/>
      <w:r w:rsidRPr="009A2AB0">
        <w:rPr>
          <w:lang w:eastAsia="ja-JP"/>
        </w:rPr>
        <w:t>A</w:t>
      </w:r>
      <w:proofErr w:type="gramEnd"/>
      <w:r w:rsidRPr="009A2AB0">
        <w:rPr>
          <w:lang w:eastAsia="ja-JP"/>
        </w:rPr>
        <w:t xml:space="preserve"> received only </w:t>
      </w:r>
      <w:proofErr w:type="spellStart"/>
      <w:r w:rsidRPr="009A2AB0">
        <w:rPr>
          <w:lang w:eastAsia="ja-JP"/>
        </w:rPr>
        <w:t>fluoropyrimidine</w:t>
      </w:r>
      <w:proofErr w:type="spellEnd"/>
      <w:r w:rsidRPr="009A2AB0">
        <w:rPr>
          <w:lang w:eastAsia="ja-JP"/>
        </w:rPr>
        <w:t>/</w:t>
      </w:r>
      <w:proofErr w:type="spellStart"/>
      <w:r w:rsidRPr="009A2AB0">
        <w:rPr>
          <w:lang w:eastAsia="ja-JP"/>
        </w:rPr>
        <w:t>irinotecan</w:t>
      </w:r>
      <w:proofErr w:type="spellEnd"/>
      <w:r w:rsidRPr="009A2AB0">
        <w:rPr>
          <w:lang w:eastAsia="ja-JP"/>
        </w:rPr>
        <w:t xml:space="preserve">-based chemotherapy or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 xml:space="preserve">-based chemotherapy. Those randomised to Arm B, also received bevacizumab therapy.  All established second-line </w:t>
      </w:r>
      <w:proofErr w:type="spellStart"/>
      <w:r w:rsidRPr="009A2AB0">
        <w:rPr>
          <w:lang w:eastAsia="ja-JP"/>
        </w:rPr>
        <w:t>fluoropyrimidine</w:t>
      </w:r>
      <w:proofErr w:type="spellEnd"/>
      <w:r w:rsidRPr="009A2AB0">
        <w:rPr>
          <w:lang w:eastAsia="ja-JP"/>
        </w:rPr>
        <w:t>/</w:t>
      </w:r>
      <w:proofErr w:type="spellStart"/>
      <w:r w:rsidRPr="009A2AB0">
        <w:rPr>
          <w:lang w:eastAsia="ja-JP"/>
        </w:rPr>
        <w:t>irinotecan</w:t>
      </w:r>
      <w:proofErr w:type="spellEnd"/>
      <w:r w:rsidRPr="009A2AB0">
        <w:rPr>
          <w:lang w:eastAsia="ja-JP"/>
        </w:rPr>
        <w:t xml:space="preserve"> and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 xml:space="preserve"> based regimens were permitted. </w:t>
      </w:r>
    </w:p>
    <w:p w:rsidR="009A2AB0" w:rsidRPr="009A2AB0" w:rsidRDefault="009A2AB0" w:rsidP="009F0541">
      <w:pPr>
        <w:pStyle w:val="Heading6"/>
        <w:rPr>
          <w:lang w:eastAsia="ja-JP"/>
        </w:rPr>
      </w:pPr>
      <w:r w:rsidRPr="009A2AB0">
        <w:rPr>
          <w:lang w:eastAsia="ja-JP"/>
        </w:rPr>
        <w:t>Efficacy variables and outcomes</w:t>
      </w:r>
    </w:p>
    <w:p w:rsidR="009A2AB0" w:rsidRPr="009A2AB0" w:rsidRDefault="009A2AB0" w:rsidP="009A2AB0">
      <w:pPr>
        <w:rPr>
          <w:lang w:eastAsia="ja-JP"/>
        </w:rPr>
      </w:pPr>
      <w:r w:rsidRPr="009A2AB0">
        <w:rPr>
          <w:lang w:eastAsia="ja-JP"/>
        </w:rPr>
        <w:t>The main efficacy variable was: Duration</w:t>
      </w:r>
      <w:r w:rsidR="009F0541">
        <w:rPr>
          <w:lang w:eastAsia="ja-JP"/>
        </w:rPr>
        <w:t xml:space="preserve"> of survival (time from randomis</w:t>
      </w:r>
      <w:r w:rsidRPr="009A2AB0">
        <w:rPr>
          <w:lang w:eastAsia="ja-JP"/>
        </w:rPr>
        <w:t>ation to death from any cause) in Arm A and Arm B.</w:t>
      </w:r>
    </w:p>
    <w:p w:rsidR="009A2AB0" w:rsidRPr="009A2AB0" w:rsidRDefault="009A2AB0" w:rsidP="009A2AB0">
      <w:pPr>
        <w:rPr>
          <w:lang w:eastAsia="ja-JP"/>
        </w:rPr>
      </w:pPr>
      <w:r w:rsidRPr="009A2AB0">
        <w:rPr>
          <w:lang w:eastAsia="ja-JP"/>
        </w:rPr>
        <w:t xml:space="preserve">The primary efficacy outcome was the demonstration of a statistically significant improvement in OS when bevacizumab is used in combination with fluoropyrimidine-based chemotherapy versus fluoropyrimidine-based chemotherapy alone. </w:t>
      </w:r>
    </w:p>
    <w:p w:rsidR="009A2AB0" w:rsidRPr="009A2AB0" w:rsidRDefault="009A2AB0" w:rsidP="009A2AB0">
      <w:pPr>
        <w:rPr>
          <w:lang w:eastAsia="ja-JP"/>
        </w:rPr>
      </w:pPr>
      <w:r w:rsidRPr="009A2AB0">
        <w:rPr>
          <w:lang w:eastAsia="ja-JP"/>
        </w:rPr>
        <w:t>Other efficacy outcomes included:</w:t>
      </w:r>
    </w:p>
    <w:p w:rsidR="009A2AB0" w:rsidRPr="009A2AB0" w:rsidRDefault="009A2AB0" w:rsidP="009F0541">
      <w:pPr>
        <w:pStyle w:val="ListBullet"/>
        <w:rPr>
          <w:lang w:eastAsia="ja-JP"/>
        </w:rPr>
      </w:pPr>
      <w:r w:rsidRPr="009A2AB0">
        <w:rPr>
          <w:lang w:eastAsia="ja-JP"/>
        </w:rPr>
        <w:t>PFS Gen</w:t>
      </w:r>
      <w:r w:rsidR="009F0541">
        <w:rPr>
          <w:lang w:eastAsia="ja-JP"/>
        </w:rPr>
        <w:t>eral: time from date of randomis</w:t>
      </w:r>
      <w:r w:rsidRPr="009A2AB0">
        <w:rPr>
          <w:lang w:eastAsia="ja-JP"/>
        </w:rPr>
        <w:t>ation to day of documented disease progression or death from any cause. The differences between the two arms were tested using an unstratified log-rank test.</w:t>
      </w:r>
    </w:p>
    <w:p w:rsidR="009A2AB0" w:rsidRPr="009A2AB0" w:rsidRDefault="009A2AB0" w:rsidP="009F0541">
      <w:pPr>
        <w:pStyle w:val="ListBullet"/>
        <w:rPr>
          <w:lang w:eastAsia="ja-JP"/>
        </w:rPr>
      </w:pPr>
      <w:r w:rsidRPr="009A2AB0">
        <w:rPr>
          <w:lang w:eastAsia="ja-JP"/>
        </w:rPr>
        <w:t xml:space="preserve">Overall Response: the best response recorded from the start of the treatment until disease progression or recurrence. Response rates (CR or PR) determined at two consecutive investigator assessments conducted </w:t>
      </w:r>
      <w:r w:rsidR="009F0541">
        <w:rPr>
          <w:lang w:eastAsia="ja-JP"/>
        </w:rPr>
        <w:t>≥</w:t>
      </w:r>
      <w:r w:rsidRPr="009A2AB0">
        <w:rPr>
          <w:lang w:eastAsia="ja-JP"/>
        </w:rPr>
        <w:t xml:space="preserve"> 4 weeks apart were compared using the chi squared test.</w:t>
      </w:r>
    </w:p>
    <w:p w:rsidR="009A2AB0" w:rsidRPr="009A2AB0" w:rsidRDefault="009A2AB0" w:rsidP="009F0541">
      <w:pPr>
        <w:pStyle w:val="ListBullet"/>
        <w:rPr>
          <w:lang w:eastAsia="ja-JP"/>
        </w:rPr>
      </w:pPr>
      <w:r w:rsidRPr="009A2AB0">
        <w:rPr>
          <w:lang w:eastAsia="ja-JP"/>
        </w:rPr>
        <w:t xml:space="preserve">PFS On treatment: </w:t>
      </w:r>
      <w:r w:rsidR="009F0541">
        <w:rPr>
          <w:lang w:eastAsia="ja-JP"/>
        </w:rPr>
        <w:t>time from date of randomis</w:t>
      </w:r>
      <w:r w:rsidRPr="009A2AB0">
        <w:rPr>
          <w:lang w:eastAsia="ja-JP"/>
        </w:rPr>
        <w:t>ation to day of documented disease progression or death from any cause, provided it occurred within 28 days of last confirmed study treatment. The differences between the two arms were tested using an unstratified log-rank test. Data from patients who neither progressed nor died in this interval and those lost to follow-up were censored at the date of last tumour assessment within this time window.</w:t>
      </w:r>
    </w:p>
    <w:p w:rsidR="009A2AB0" w:rsidRPr="009A2AB0" w:rsidRDefault="009A2AB0" w:rsidP="009F0541">
      <w:pPr>
        <w:pStyle w:val="ListBullet"/>
        <w:rPr>
          <w:lang w:eastAsia="ja-JP"/>
        </w:rPr>
      </w:pPr>
      <w:r w:rsidRPr="009A2AB0">
        <w:rPr>
          <w:lang w:eastAsia="ja-JP"/>
        </w:rPr>
        <w:t>Overall survival from time of starting first-line therapy: The time interval from the earliest recorded start date to the date of death from any cause. The difference in OS between the two treatment arms was tested using an unstratified log rank test.</w:t>
      </w:r>
    </w:p>
    <w:p w:rsidR="009A2AB0" w:rsidRPr="009A2AB0" w:rsidRDefault="009A2AB0" w:rsidP="009A2AB0">
      <w:pPr>
        <w:rPr>
          <w:lang w:eastAsia="ja-JP"/>
        </w:rPr>
      </w:pPr>
      <w:r w:rsidRPr="009A2AB0">
        <w:rPr>
          <w:lang w:eastAsia="ja-JP"/>
        </w:rPr>
        <w:lastRenderedPageBreak/>
        <w:t>Exploratory efficacy variables</w:t>
      </w:r>
    </w:p>
    <w:p w:rsidR="009A2AB0" w:rsidRPr="009A2AB0" w:rsidRDefault="009A2AB0" w:rsidP="009F0541">
      <w:pPr>
        <w:pStyle w:val="ListBullet"/>
        <w:rPr>
          <w:lang w:eastAsia="ja-JP"/>
        </w:rPr>
      </w:pPr>
      <w:r w:rsidRPr="009A2AB0">
        <w:rPr>
          <w:lang w:eastAsia="ja-JP"/>
        </w:rPr>
        <w:t xml:space="preserve">Time to </w:t>
      </w:r>
      <w:r w:rsidR="009F0541">
        <w:rPr>
          <w:lang w:eastAsia="ja-JP"/>
        </w:rPr>
        <w:t>response: Measured from randomis</w:t>
      </w:r>
      <w:r w:rsidRPr="009A2AB0">
        <w:rPr>
          <w:lang w:eastAsia="ja-JP"/>
        </w:rPr>
        <w:t xml:space="preserve">ation to day of documented </w:t>
      </w:r>
      <w:r w:rsidR="009F0541">
        <w:rPr>
          <w:lang w:eastAsia="ja-JP"/>
        </w:rPr>
        <w:t xml:space="preserve">complete </w:t>
      </w:r>
      <w:proofErr w:type="spellStart"/>
      <w:r w:rsidR="009F0541">
        <w:rPr>
          <w:lang w:eastAsia="ja-JP"/>
        </w:rPr>
        <w:t>reposene</w:t>
      </w:r>
      <w:proofErr w:type="spellEnd"/>
      <w:r w:rsidR="009F0541">
        <w:rPr>
          <w:lang w:eastAsia="ja-JP"/>
        </w:rPr>
        <w:t xml:space="preserve"> (</w:t>
      </w:r>
      <w:r w:rsidRPr="009A2AB0">
        <w:rPr>
          <w:lang w:eastAsia="ja-JP"/>
        </w:rPr>
        <w:t>CR</w:t>
      </w:r>
      <w:r w:rsidR="009F0541">
        <w:rPr>
          <w:lang w:eastAsia="ja-JP"/>
        </w:rPr>
        <w:t>)</w:t>
      </w:r>
      <w:r w:rsidRPr="009A2AB0">
        <w:rPr>
          <w:lang w:eastAsia="ja-JP"/>
        </w:rPr>
        <w:t xml:space="preserve"> or </w:t>
      </w:r>
      <w:r w:rsidR="009F0541">
        <w:rPr>
          <w:lang w:eastAsia="ja-JP"/>
        </w:rPr>
        <w:t>partial response (</w:t>
      </w:r>
      <w:r w:rsidRPr="009A2AB0">
        <w:rPr>
          <w:lang w:eastAsia="ja-JP"/>
        </w:rPr>
        <w:t>PR</w:t>
      </w:r>
      <w:r w:rsidR="009F0541">
        <w:rPr>
          <w:lang w:eastAsia="ja-JP"/>
        </w:rPr>
        <w:t>)</w:t>
      </w:r>
      <w:r w:rsidRPr="009A2AB0">
        <w:rPr>
          <w:lang w:eastAsia="ja-JP"/>
        </w:rPr>
        <w:t>.</w:t>
      </w:r>
    </w:p>
    <w:p w:rsidR="009A2AB0" w:rsidRPr="009A2AB0" w:rsidRDefault="009A2AB0" w:rsidP="009F0541">
      <w:pPr>
        <w:pStyle w:val="ListBullet"/>
        <w:rPr>
          <w:lang w:eastAsia="ja-JP"/>
        </w:rPr>
      </w:pPr>
      <w:r w:rsidRPr="009A2AB0">
        <w:rPr>
          <w:lang w:eastAsia="ja-JP"/>
        </w:rPr>
        <w:t>Duration of response: Measured from time that measurement criteria were met for CR/PR until disease progression or death.</w:t>
      </w:r>
    </w:p>
    <w:p w:rsidR="009A2AB0" w:rsidRPr="009A2AB0" w:rsidRDefault="009A2AB0" w:rsidP="009A2AB0">
      <w:pPr>
        <w:rPr>
          <w:lang w:eastAsia="ja-JP"/>
        </w:rPr>
      </w:pPr>
      <w:r w:rsidRPr="009A2AB0">
        <w:rPr>
          <w:lang w:eastAsia="ja-JP"/>
        </w:rPr>
        <w:t xml:space="preserve">Both univariate and multivariate Cox regression analyses were performed to estimate the effect of bevacizumab after adjusting for pre-specified prognostic factors for OS. The following baseline and demographic factors were used for subgroup analyses: </w:t>
      </w:r>
    </w:p>
    <w:p w:rsidR="009A2AB0" w:rsidRPr="009A2AB0" w:rsidRDefault="009A2AB0" w:rsidP="009F0541">
      <w:pPr>
        <w:pStyle w:val="ListBullet"/>
        <w:rPr>
          <w:lang w:eastAsia="ja-JP"/>
        </w:rPr>
      </w:pPr>
      <w:r w:rsidRPr="009A2AB0">
        <w:rPr>
          <w:lang w:eastAsia="ja-JP"/>
        </w:rPr>
        <w:t>Patient population (AIO KRK 0504 v</w:t>
      </w:r>
      <w:r w:rsidR="009F0541">
        <w:rPr>
          <w:lang w:eastAsia="ja-JP"/>
        </w:rPr>
        <w:t>ersu</w:t>
      </w:r>
      <w:r w:rsidRPr="009A2AB0">
        <w:rPr>
          <w:lang w:eastAsia="ja-JP"/>
        </w:rPr>
        <w:t>s ML18147)</w:t>
      </w:r>
    </w:p>
    <w:p w:rsidR="009A2AB0" w:rsidRPr="009A2AB0" w:rsidRDefault="009A2AB0" w:rsidP="009F0541">
      <w:pPr>
        <w:pStyle w:val="ListBullet"/>
        <w:rPr>
          <w:lang w:eastAsia="ja-JP"/>
        </w:rPr>
      </w:pPr>
      <w:r w:rsidRPr="009A2AB0">
        <w:rPr>
          <w:lang w:eastAsia="ja-JP"/>
        </w:rPr>
        <w:t xml:space="preserve">First-line PFS: </w:t>
      </w:r>
      <w:r w:rsidR="009F0541">
        <w:rPr>
          <w:lang w:eastAsia="ja-JP"/>
        </w:rPr>
        <w:t>≤</w:t>
      </w:r>
      <w:r w:rsidRPr="009A2AB0">
        <w:rPr>
          <w:lang w:eastAsia="ja-JP"/>
        </w:rPr>
        <w:t xml:space="preserve"> 9 months versus &gt; 9 months</w:t>
      </w:r>
    </w:p>
    <w:p w:rsidR="009A2AB0" w:rsidRPr="009A2AB0" w:rsidRDefault="009A2AB0" w:rsidP="009F0541">
      <w:pPr>
        <w:pStyle w:val="ListBullet"/>
        <w:rPr>
          <w:lang w:eastAsia="ja-JP"/>
        </w:rPr>
      </w:pPr>
      <w:r w:rsidRPr="009A2AB0">
        <w:rPr>
          <w:lang w:eastAsia="ja-JP"/>
        </w:rPr>
        <w:t xml:space="preserve">First-line </w:t>
      </w:r>
      <w:proofErr w:type="spellStart"/>
      <w:r w:rsidRPr="009A2AB0">
        <w:rPr>
          <w:lang w:eastAsia="ja-JP"/>
        </w:rPr>
        <w:t>irinotecan</w:t>
      </w:r>
      <w:proofErr w:type="spellEnd"/>
      <w:r w:rsidRPr="009A2AB0">
        <w:rPr>
          <w:lang w:eastAsia="ja-JP"/>
        </w:rPr>
        <w:t xml:space="preserve">-based therapy versus </w:t>
      </w:r>
      <w:proofErr w:type="spellStart"/>
      <w:r w:rsidRPr="009A2AB0">
        <w:rPr>
          <w:lang w:eastAsia="ja-JP"/>
        </w:rPr>
        <w:t>oxaliplatin</w:t>
      </w:r>
      <w:proofErr w:type="spellEnd"/>
      <w:r w:rsidRPr="009A2AB0">
        <w:rPr>
          <w:lang w:eastAsia="ja-JP"/>
        </w:rPr>
        <w:t>-based therapy</w:t>
      </w:r>
    </w:p>
    <w:p w:rsidR="009A2AB0" w:rsidRPr="009A2AB0" w:rsidRDefault="009A2AB0" w:rsidP="009F0541">
      <w:pPr>
        <w:pStyle w:val="ListBullet"/>
        <w:rPr>
          <w:lang w:eastAsia="ja-JP"/>
        </w:rPr>
      </w:pPr>
      <w:r w:rsidRPr="009A2AB0">
        <w:rPr>
          <w:lang w:eastAsia="ja-JP"/>
        </w:rPr>
        <w:t xml:space="preserve">Time from last dose of bevacizumab: </w:t>
      </w:r>
      <w:r w:rsidR="009F0541">
        <w:rPr>
          <w:lang w:eastAsia="ja-JP"/>
        </w:rPr>
        <w:t>≤</w:t>
      </w:r>
      <w:r w:rsidRPr="009A2AB0">
        <w:rPr>
          <w:lang w:eastAsia="ja-JP"/>
        </w:rPr>
        <w:t xml:space="preserve"> 42 days versus &gt; 42 days</w:t>
      </w:r>
    </w:p>
    <w:p w:rsidR="009A2AB0" w:rsidRPr="009A2AB0" w:rsidRDefault="009F0541" w:rsidP="003A3B4E">
      <w:pPr>
        <w:pStyle w:val="ListBullet"/>
        <w:rPr>
          <w:lang w:eastAsia="ja-JP"/>
        </w:rPr>
      </w:pPr>
      <w:r w:rsidRPr="009F0541">
        <w:rPr>
          <w:lang w:eastAsia="ja-JP"/>
        </w:rPr>
        <w:t xml:space="preserve">The Eastern </w:t>
      </w:r>
      <w:r w:rsidRPr="003A3B4E">
        <w:t>Cooperative</w:t>
      </w:r>
      <w:r w:rsidRPr="009F0541">
        <w:rPr>
          <w:lang w:eastAsia="ja-JP"/>
        </w:rPr>
        <w:t xml:space="preserve"> Oncology Group </w:t>
      </w:r>
      <w:r>
        <w:rPr>
          <w:lang w:eastAsia="ja-JP"/>
        </w:rPr>
        <w:t>(</w:t>
      </w:r>
      <w:r w:rsidR="009A2AB0" w:rsidRPr="009A2AB0">
        <w:rPr>
          <w:lang w:eastAsia="ja-JP"/>
        </w:rPr>
        <w:t>ECOG</w:t>
      </w:r>
      <w:r>
        <w:rPr>
          <w:lang w:eastAsia="ja-JP"/>
        </w:rPr>
        <w:t>) Performance Status</w:t>
      </w:r>
      <w:r w:rsidR="009A2AB0" w:rsidRPr="009A2AB0">
        <w:rPr>
          <w:lang w:eastAsia="ja-JP"/>
        </w:rPr>
        <w:t xml:space="preserve"> </w:t>
      </w:r>
      <w:r>
        <w:rPr>
          <w:lang w:eastAsia="ja-JP"/>
        </w:rPr>
        <w:t>(</w:t>
      </w:r>
      <w:r w:rsidR="009A2AB0" w:rsidRPr="009A2AB0">
        <w:rPr>
          <w:lang w:eastAsia="ja-JP"/>
        </w:rPr>
        <w:t>PS</w:t>
      </w:r>
      <w:r>
        <w:rPr>
          <w:lang w:eastAsia="ja-JP"/>
        </w:rPr>
        <w:t>)</w:t>
      </w:r>
      <w:r w:rsidR="009A2AB0" w:rsidRPr="009A2AB0">
        <w:rPr>
          <w:lang w:eastAsia="ja-JP"/>
        </w:rPr>
        <w:t xml:space="preserve"> 0/1 versus </w:t>
      </w:r>
      <w:r w:rsidR="005B69EC">
        <w:rPr>
          <w:lang w:eastAsia="ja-JP"/>
        </w:rPr>
        <w:t>≥ 1</w:t>
      </w:r>
    </w:p>
    <w:p w:rsidR="009A2AB0" w:rsidRPr="009A2AB0" w:rsidRDefault="009A2AB0" w:rsidP="009F0541">
      <w:pPr>
        <w:pStyle w:val="ListBullet"/>
        <w:rPr>
          <w:lang w:eastAsia="ja-JP"/>
        </w:rPr>
      </w:pPr>
      <w:r w:rsidRPr="009A2AB0">
        <w:rPr>
          <w:lang w:eastAsia="ja-JP"/>
        </w:rPr>
        <w:t>Race (White, Black, Other)</w:t>
      </w:r>
    </w:p>
    <w:p w:rsidR="009A2AB0" w:rsidRPr="009A2AB0" w:rsidRDefault="009A2AB0" w:rsidP="009F0541">
      <w:pPr>
        <w:pStyle w:val="ListBullet"/>
        <w:rPr>
          <w:lang w:eastAsia="ja-JP"/>
        </w:rPr>
      </w:pPr>
      <w:r w:rsidRPr="009A2AB0">
        <w:rPr>
          <w:lang w:eastAsia="ja-JP"/>
        </w:rPr>
        <w:t>Age (&lt;65 v</w:t>
      </w:r>
      <w:r w:rsidR="009F0541">
        <w:rPr>
          <w:lang w:eastAsia="ja-JP"/>
        </w:rPr>
        <w:t>ersu</w:t>
      </w:r>
      <w:r w:rsidRPr="009A2AB0">
        <w:rPr>
          <w:lang w:eastAsia="ja-JP"/>
        </w:rPr>
        <w:t xml:space="preserve">s </w:t>
      </w:r>
      <w:r w:rsidR="005B69EC">
        <w:rPr>
          <w:lang w:eastAsia="ja-JP"/>
        </w:rPr>
        <w:t xml:space="preserve">≥ </w:t>
      </w:r>
      <w:r w:rsidRPr="009A2AB0">
        <w:rPr>
          <w:lang w:eastAsia="ja-JP"/>
        </w:rPr>
        <w:t>65)</w:t>
      </w:r>
    </w:p>
    <w:p w:rsidR="009A2AB0" w:rsidRPr="009A2AB0" w:rsidRDefault="009A2AB0" w:rsidP="009F0541">
      <w:pPr>
        <w:pStyle w:val="ListBullet"/>
        <w:rPr>
          <w:lang w:eastAsia="ja-JP"/>
        </w:rPr>
      </w:pPr>
      <w:r w:rsidRPr="009A2AB0">
        <w:rPr>
          <w:lang w:eastAsia="ja-JP"/>
        </w:rPr>
        <w:t>Sex (male v</w:t>
      </w:r>
      <w:r w:rsidR="009F0541">
        <w:rPr>
          <w:lang w:eastAsia="ja-JP"/>
        </w:rPr>
        <w:t>ersu</w:t>
      </w:r>
      <w:r w:rsidRPr="009A2AB0">
        <w:rPr>
          <w:lang w:eastAsia="ja-JP"/>
        </w:rPr>
        <w:t>s female)</w:t>
      </w:r>
    </w:p>
    <w:p w:rsidR="009A2AB0" w:rsidRPr="009A2AB0" w:rsidRDefault="009A2AB0" w:rsidP="009F0541">
      <w:pPr>
        <w:pStyle w:val="ListBullet"/>
        <w:rPr>
          <w:lang w:eastAsia="ja-JP"/>
        </w:rPr>
      </w:pPr>
      <w:r w:rsidRPr="009A2AB0">
        <w:rPr>
          <w:lang w:eastAsia="ja-JP"/>
        </w:rPr>
        <w:t>Liver metastases (yes v</w:t>
      </w:r>
      <w:r w:rsidR="009F0541">
        <w:rPr>
          <w:lang w:eastAsia="ja-JP"/>
        </w:rPr>
        <w:t>ersu</w:t>
      </w:r>
      <w:r w:rsidRPr="009A2AB0">
        <w:rPr>
          <w:lang w:eastAsia="ja-JP"/>
        </w:rPr>
        <w:t>s no)</w:t>
      </w:r>
    </w:p>
    <w:p w:rsidR="009A2AB0" w:rsidRPr="009A2AB0" w:rsidRDefault="009A2AB0" w:rsidP="009F0541">
      <w:pPr>
        <w:pStyle w:val="ListBullet"/>
        <w:rPr>
          <w:lang w:eastAsia="ja-JP"/>
        </w:rPr>
      </w:pPr>
      <w:r w:rsidRPr="009A2AB0">
        <w:rPr>
          <w:lang w:eastAsia="ja-JP"/>
        </w:rPr>
        <w:t>Number of organs with metastases (</w:t>
      </w:r>
      <w:r w:rsidR="009F0541">
        <w:rPr>
          <w:lang w:eastAsia="ja-JP"/>
        </w:rPr>
        <w:t>≤</w:t>
      </w:r>
      <w:r w:rsidRPr="009A2AB0">
        <w:rPr>
          <w:lang w:eastAsia="ja-JP"/>
        </w:rPr>
        <w:t>1 v</w:t>
      </w:r>
      <w:r w:rsidR="009F0541">
        <w:rPr>
          <w:lang w:eastAsia="ja-JP"/>
        </w:rPr>
        <w:t>ersu</w:t>
      </w:r>
      <w:r w:rsidRPr="009A2AB0">
        <w:rPr>
          <w:lang w:eastAsia="ja-JP"/>
        </w:rPr>
        <w:t>s &gt;1)</w:t>
      </w:r>
    </w:p>
    <w:p w:rsidR="009A2AB0" w:rsidRPr="009A2AB0" w:rsidRDefault="009A2AB0" w:rsidP="009F0541">
      <w:pPr>
        <w:pStyle w:val="Heading6"/>
        <w:rPr>
          <w:lang w:eastAsia="ja-JP"/>
        </w:rPr>
      </w:pPr>
      <w:r w:rsidRPr="009A2AB0">
        <w:rPr>
          <w:lang w:eastAsia="ja-JP"/>
        </w:rPr>
        <w:t>Randomisation and blinding methods</w:t>
      </w:r>
    </w:p>
    <w:p w:rsidR="009A2AB0" w:rsidRPr="009A2AB0" w:rsidRDefault="009F0541" w:rsidP="009A2AB0">
      <w:pPr>
        <w:rPr>
          <w:lang w:eastAsia="ja-JP"/>
        </w:rPr>
      </w:pPr>
      <w:r>
        <w:rPr>
          <w:lang w:eastAsia="ja-JP"/>
        </w:rPr>
        <w:t>The second-order minimis</w:t>
      </w:r>
      <w:r w:rsidR="009A2AB0" w:rsidRPr="009A2AB0">
        <w:rPr>
          <w:lang w:eastAsia="ja-JP"/>
        </w:rPr>
        <w:t>ation algorithm was used to randomise the patients, to ensure an equal distribution of prognostic factors in the two arms of the study. The prognostic factors were:</w:t>
      </w:r>
    </w:p>
    <w:p w:rsidR="009A2AB0" w:rsidRPr="009A2AB0" w:rsidRDefault="009A2AB0" w:rsidP="009F0541">
      <w:pPr>
        <w:pStyle w:val="ListBullet"/>
        <w:rPr>
          <w:lang w:eastAsia="ja-JP"/>
        </w:rPr>
      </w:pPr>
      <w:r w:rsidRPr="009A2AB0">
        <w:rPr>
          <w:lang w:eastAsia="ja-JP"/>
        </w:rPr>
        <w:t xml:space="preserve">First-line PFS: </w:t>
      </w:r>
      <w:r w:rsidR="009F0541">
        <w:rPr>
          <w:lang w:eastAsia="ja-JP"/>
        </w:rPr>
        <w:t>≤</w:t>
      </w:r>
      <w:r w:rsidRPr="009A2AB0">
        <w:rPr>
          <w:lang w:eastAsia="ja-JP"/>
        </w:rPr>
        <w:t xml:space="preserve"> 9 months v</w:t>
      </w:r>
      <w:r w:rsidR="009F0541">
        <w:rPr>
          <w:lang w:eastAsia="ja-JP"/>
        </w:rPr>
        <w:t>ersu</w:t>
      </w:r>
      <w:r w:rsidRPr="009A2AB0">
        <w:rPr>
          <w:lang w:eastAsia="ja-JP"/>
        </w:rPr>
        <w:t xml:space="preserve">s </w:t>
      </w:r>
      <w:r w:rsidR="005B69EC">
        <w:rPr>
          <w:lang w:eastAsia="ja-JP"/>
        </w:rPr>
        <w:t>&gt;</w:t>
      </w:r>
      <w:r w:rsidRPr="009A2AB0">
        <w:rPr>
          <w:lang w:eastAsia="ja-JP"/>
        </w:rPr>
        <w:t xml:space="preserve"> 9 months</w:t>
      </w:r>
    </w:p>
    <w:p w:rsidR="009A2AB0" w:rsidRPr="009A2AB0" w:rsidRDefault="009A2AB0" w:rsidP="009F0541">
      <w:pPr>
        <w:pStyle w:val="ListBullet"/>
        <w:rPr>
          <w:lang w:eastAsia="ja-JP"/>
        </w:rPr>
      </w:pPr>
      <w:r w:rsidRPr="009A2AB0">
        <w:rPr>
          <w:lang w:eastAsia="ja-JP"/>
        </w:rPr>
        <w:t xml:space="preserve">First-line </w:t>
      </w:r>
      <w:proofErr w:type="spellStart"/>
      <w:r w:rsidRPr="009A2AB0">
        <w:rPr>
          <w:lang w:eastAsia="ja-JP"/>
        </w:rPr>
        <w:t>irinotecan</w:t>
      </w:r>
      <w:proofErr w:type="spellEnd"/>
      <w:r w:rsidRPr="009A2AB0">
        <w:rPr>
          <w:lang w:eastAsia="ja-JP"/>
        </w:rPr>
        <w:t>-based v</w:t>
      </w:r>
      <w:r w:rsidR="009F0541">
        <w:rPr>
          <w:lang w:eastAsia="ja-JP"/>
        </w:rPr>
        <w:t>ersu</w:t>
      </w:r>
      <w:r w:rsidRPr="009A2AB0">
        <w:rPr>
          <w:lang w:eastAsia="ja-JP"/>
        </w:rPr>
        <w:t xml:space="preserve">s </w:t>
      </w:r>
      <w:proofErr w:type="spellStart"/>
      <w:r w:rsidRPr="009A2AB0">
        <w:rPr>
          <w:lang w:eastAsia="ja-JP"/>
        </w:rPr>
        <w:t>oxaliplatin</w:t>
      </w:r>
      <w:proofErr w:type="spellEnd"/>
      <w:r w:rsidRPr="009A2AB0">
        <w:rPr>
          <w:lang w:eastAsia="ja-JP"/>
        </w:rPr>
        <w:t>-based therapy</w:t>
      </w:r>
    </w:p>
    <w:p w:rsidR="009A2AB0" w:rsidRPr="009A2AB0" w:rsidRDefault="009A2AB0" w:rsidP="009F0541">
      <w:pPr>
        <w:pStyle w:val="ListBullet"/>
        <w:rPr>
          <w:lang w:eastAsia="ja-JP"/>
        </w:rPr>
      </w:pPr>
      <w:r w:rsidRPr="009A2AB0">
        <w:rPr>
          <w:lang w:eastAsia="ja-JP"/>
        </w:rPr>
        <w:t xml:space="preserve">Time from last dose of bevacizumab: </w:t>
      </w:r>
      <w:r w:rsidR="009F0541">
        <w:rPr>
          <w:lang w:eastAsia="ja-JP"/>
        </w:rPr>
        <w:t>≤</w:t>
      </w:r>
      <w:r w:rsidRPr="009A2AB0">
        <w:rPr>
          <w:lang w:eastAsia="ja-JP"/>
        </w:rPr>
        <w:t xml:space="preserve"> 42 days v</w:t>
      </w:r>
      <w:r w:rsidR="009F0541">
        <w:rPr>
          <w:lang w:eastAsia="ja-JP"/>
        </w:rPr>
        <w:t>ersu</w:t>
      </w:r>
      <w:r w:rsidRPr="009A2AB0">
        <w:rPr>
          <w:lang w:eastAsia="ja-JP"/>
        </w:rPr>
        <w:t xml:space="preserve">s </w:t>
      </w:r>
      <w:r w:rsidR="005B69EC">
        <w:rPr>
          <w:lang w:eastAsia="ja-JP"/>
        </w:rPr>
        <w:t>&gt;</w:t>
      </w:r>
      <w:r w:rsidRPr="009A2AB0">
        <w:rPr>
          <w:lang w:eastAsia="ja-JP"/>
        </w:rPr>
        <w:t xml:space="preserve"> 42 days</w:t>
      </w:r>
    </w:p>
    <w:p w:rsidR="009A2AB0" w:rsidRPr="009A2AB0" w:rsidRDefault="009A2AB0" w:rsidP="009F0541">
      <w:pPr>
        <w:pStyle w:val="ListBullet"/>
        <w:rPr>
          <w:lang w:eastAsia="ja-JP"/>
        </w:rPr>
      </w:pPr>
      <w:r w:rsidRPr="009A2AB0">
        <w:rPr>
          <w:lang w:eastAsia="ja-JP"/>
        </w:rPr>
        <w:t>ECOG PS 0/1 v</w:t>
      </w:r>
      <w:r w:rsidR="009F0541">
        <w:rPr>
          <w:lang w:eastAsia="ja-JP"/>
        </w:rPr>
        <w:t>ersu</w:t>
      </w:r>
      <w:r w:rsidRPr="009A2AB0">
        <w:rPr>
          <w:lang w:eastAsia="ja-JP"/>
        </w:rPr>
        <w:t>s 2</w:t>
      </w:r>
    </w:p>
    <w:p w:rsidR="009A2AB0" w:rsidRPr="009A2AB0" w:rsidRDefault="00700EF6" w:rsidP="009A2AB0">
      <w:pPr>
        <w:rPr>
          <w:lang w:eastAsia="ja-JP"/>
        </w:rPr>
      </w:pPr>
      <w:r>
        <w:rPr>
          <w:lang w:eastAsia="ja-JP"/>
        </w:rPr>
        <w:t>Eligible patients were randomis</w:t>
      </w:r>
      <w:r w:rsidR="009A2AB0" w:rsidRPr="009A2AB0">
        <w:rPr>
          <w:lang w:eastAsia="ja-JP"/>
        </w:rPr>
        <w:t xml:space="preserve">ed 1:1 to Arm A or Arm B, as described above. </w:t>
      </w:r>
    </w:p>
    <w:p w:rsidR="009A2AB0" w:rsidRPr="009A2AB0" w:rsidRDefault="009A2AB0" w:rsidP="009A2AB0">
      <w:pPr>
        <w:rPr>
          <w:lang w:eastAsia="ja-JP"/>
        </w:rPr>
      </w:pPr>
      <w:r w:rsidRPr="009A2AB0">
        <w:rPr>
          <w:lang w:eastAsia="ja-JP"/>
        </w:rPr>
        <w:t>This was an open-label study.</w:t>
      </w:r>
    </w:p>
    <w:p w:rsidR="009A2AB0" w:rsidRPr="009A2AB0" w:rsidRDefault="009A2AB0" w:rsidP="00700EF6">
      <w:pPr>
        <w:pStyle w:val="Heading6"/>
        <w:rPr>
          <w:lang w:eastAsia="ja-JP"/>
        </w:rPr>
      </w:pPr>
      <w:r w:rsidRPr="009A2AB0">
        <w:rPr>
          <w:lang w:eastAsia="ja-JP"/>
        </w:rPr>
        <w:t>Statistical methods</w:t>
      </w:r>
    </w:p>
    <w:p w:rsidR="009A2AB0" w:rsidRPr="009A2AB0" w:rsidRDefault="009A2AB0" w:rsidP="009A2AB0">
      <w:pPr>
        <w:rPr>
          <w:lang w:eastAsia="ja-JP"/>
        </w:rPr>
      </w:pPr>
      <w:r w:rsidRPr="009A2AB0">
        <w:rPr>
          <w:lang w:eastAsia="ja-JP"/>
        </w:rPr>
        <w:t>The sample size was calculated to test for superiority in relation to OS. A total of 613 OS events were required based on:</w:t>
      </w:r>
    </w:p>
    <w:p w:rsidR="009A2AB0" w:rsidRPr="009A2AB0" w:rsidRDefault="009A2AB0" w:rsidP="00700EF6">
      <w:pPr>
        <w:pStyle w:val="ListBullet"/>
        <w:rPr>
          <w:lang w:eastAsia="ja-JP"/>
        </w:rPr>
      </w:pPr>
      <w:r w:rsidRPr="009A2AB0">
        <w:rPr>
          <w:lang w:eastAsia="ja-JP"/>
        </w:rPr>
        <w:t>Two-sided log rank test,</w:t>
      </w:r>
    </w:p>
    <w:p w:rsidR="009A2AB0" w:rsidRPr="009A2AB0" w:rsidRDefault="009A2AB0" w:rsidP="00700EF6">
      <w:pPr>
        <w:pStyle w:val="ListBullet"/>
        <w:rPr>
          <w:lang w:eastAsia="ja-JP"/>
        </w:rPr>
      </w:pPr>
      <w:r w:rsidRPr="009A2AB0">
        <w:rPr>
          <w:lang w:eastAsia="ja-JP"/>
        </w:rPr>
        <w:t xml:space="preserve">Overall 5% type 1 error and 90% power, </w:t>
      </w:r>
    </w:p>
    <w:p w:rsidR="009A2AB0" w:rsidRPr="009A2AB0" w:rsidRDefault="009A2AB0" w:rsidP="00700EF6">
      <w:pPr>
        <w:pStyle w:val="ListBullet"/>
        <w:rPr>
          <w:lang w:eastAsia="ja-JP"/>
        </w:rPr>
      </w:pPr>
      <w:r w:rsidRPr="009A2AB0">
        <w:rPr>
          <w:lang w:eastAsia="ja-JP"/>
        </w:rPr>
        <w:t xml:space="preserve">OS that is exponentially distributed, </w:t>
      </w:r>
    </w:p>
    <w:p w:rsidR="009A2AB0" w:rsidRPr="009A2AB0" w:rsidRDefault="009A2AB0" w:rsidP="00700EF6">
      <w:pPr>
        <w:pStyle w:val="ListBullet"/>
        <w:rPr>
          <w:lang w:eastAsia="ja-JP"/>
        </w:rPr>
      </w:pPr>
      <w:r w:rsidRPr="009A2AB0">
        <w:rPr>
          <w:lang w:eastAsia="ja-JP"/>
        </w:rPr>
        <w:t>Median OS of 10 months in Arm A and 13 months in Arm B</w:t>
      </w:r>
      <w:r w:rsidR="005B69EC">
        <w:rPr>
          <w:lang w:eastAsia="ja-JP"/>
        </w:rPr>
        <w:t xml:space="preserve"> (corresponding to Hazard Ratio 0.77, one interim analysis after 65% of the events had occurred (approximately 400 events)).</w:t>
      </w:r>
    </w:p>
    <w:p w:rsidR="009A2AB0" w:rsidRPr="009A2AB0" w:rsidRDefault="009A2AB0" w:rsidP="009A2AB0">
      <w:pPr>
        <w:rPr>
          <w:lang w:eastAsia="ja-JP"/>
        </w:rPr>
      </w:pPr>
      <w:r w:rsidRPr="009A2AB0">
        <w:rPr>
          <w:lang w:eastAsia="ja-JP"/>
        </w:rPr>
        <w:t>A total of 810 eligible patients will be enrolled until May 2010 to obtain the 613 OS events across both arms</w:t>
      </w:r>
    </w:p>
    <w:p w:rsidR="009A2AB0" w:rsidRPr="009A2AB0" w:rsidRDefault="009A2AB0" w:rsidP="009A2AB0">
      <w:pPr>
        <w:rPr>
          <w:b/>
          <w:lang w:eastAsia="ja-JP"/>
        </w:rPr>
      </w:pPr>
      <w:r w:rsidRPr="009A2AB0">
        <w:rPr>
          <w:lang w:eastAsia="ja-JP"/>
        </w:rPr>
        <w:lastRenderedPageBreak/>
        <w:t>The primary efficacy analysis population was the</w:t>
      </w:r>
      <w:r w:rsidR="00700EF6">
        <w:rPr>
          <w:lang w:eastAsia="ja-JP"/>
        </w:rPr>
        <w:t xml:space="preserve"> Intention-to-Treat (</w:t>
      </w:r>
      <w:r w:rsidRPr="009A2AB0">
        <w:rPr>
          <w:lang w:eastAsia="ja-JP"/>
        </w:rPr>
        <w:t>ITT</w:t>
      </w:r>
      <w:r w:rsidR="00700EF6">
        <w:rPr>
          <w:lang w:eastAsia="ja-JP"/>
        </w:rPr>
        <w:t>)</w:t>
      </w:r>
      <w:r w:rsidRPr="009A2AB0">
        <w:rPr>
          <w:lang w:eastAsia="ja-JP"/>
        </w:rPr>
        <w:t xml:space="preserve"> population (all randomi</w:t>
      </w:r>
      <w:r w:rsidR="00700EF6">
        <w:rPr>
          <w:lang w:eastAsia="ja-JP"/>
        </w:rPr>
        <w:t>s</w:t>
      </w:r>
      <w:r w:rsidRPr="009A2AB0">
        <w:rPr>
          <w:lang w:eastAsia="ja-JP"/>
        </w:rPr>
        <w:t xml:space="preserve">ed patients irrespective of whether study treatment was received). The safety </w:t>
      </w:r>
      <w:r w:rsidR="00700EF6">
        <w:rPr>
          <w:lang w:eastAsia="ja-JP"/>
        </w:rPr>
        <w:t>population included all randomis</w:t>
      </w:r>
      <w:r w:rsidRPr="009A2AB0">
        <w:rPr>
          <w:lang w:eastAsia="ja-JP"/>
        </w:rPr>
        <w:t xml:space="preserve">ed patients who received at least one dose of study treatment. The per-protocol population included all of the ITT population who did not have any major protocol violation. </w:t>
      </w:r>
    </w:p>
    <w:p w:rsidR="009A2AB0" w:rsidRPr="009A2AB0" w:rsidRDefault="009A2AB0" w:rsidP="00700EF6">
      <w:pPr>
        <w:pStyle w:val="Heading6"/>
        <w:rPr>
          <w:lang w:eastAsia="ja-JP"/>
        </w:rPr>
      </w:pPr>
      <w:r w:rsidRPr="009A2AB0">
        <w:rPr>
          <w:lang w:eastAsia="ja-JP"/>
        </w:rPr>
        <w:t>Participant flow</w:t>
      </w:r>
    </w:p>
    <w:p w:rsidR="009A2AB0" w:rsidRPr="009A2AB0" w:rsidRDefault="009A2AB0" w:rsidP="009A2AB0">
      <w:pPr>
        <w:rPr>
          <w:lang w:eastAsia="ja-JP"/>
        </w:rPr>
      </w:pPr>
      <w:r w:rsidRPr="009A2AB0">
        <w:rPr>
          <w:lang w:eastAsia="ja-JP"/>
        </w:rPr>
        <w:t xml:space="preserve">Study ML18147enrolled 820 patients in 220 sites located in 15 countries in Europe and Saudi Arabia. The first patient was enrolled in February 2006 (Protocol AIO KRK0504) and the last patient was enrolled in May 2010. Of the 820 patients, 261 were from Study AIO KRK0504 and 559 patients were subsequently enrolled in Study ML18147. </w:t>
      </w:r>
    </w:p>
    <w:p w:rsidR="00700EF6" w:rsidRDefault="009A2AB0" w:rsidP="009A2AB0">
      <w:pPr>
        <w:rPr>
          <w:lang w:eastAsia="ja-JP"/>
        </w:rPr>
      </w:pPr>
      <w:r w:rsidRPr="009A2AB0">
        <w:rPr>
          <w:lang w:eastAsia="ja-JP"/>
        </w:rPr>
        <w:t>Of the randomised patients, 411 were assigned to Arm A and 409 to Arm B. In all 10 patients (Arm A: 4 and Arm B: 6) did not receive any study treatment.</w:t>
      </w:r>
      <w:r w:rsidRPr="009A2AB0">
        <w:rPr>
          <w:b/>
          <w:lang w:eastAsia="ja-JP"/>
        </w:rPr>
        <w:t xml:space="preserve"> </w:t>
      </w:r>
      <w:r w:rsidRPr="009A2AB0">
        <w:rPr>
          <w:lang w:eastAsia="ja-JP"/>
        </w:rPr>
        <w:t xml:space="preserve">At data cut-off date for this analysis, 339 (82.5%) in Arm A and 317 (77.5%) in Arm B had died. Of the 164 patients who were alive at the cut-off date, 14 patients (Arm A: 6 patients, Arm B: 8 patients) remained on treatment, and 9 patients (Arm A: 2 patients, Arm B: 7 patients) were lost to follow-up. </w:t>
      </w:r>
    </w:p>
    <w:p w:rsidR="009A2AB0" w:rsidRPr="009A2AB0" w:rsidRDefault="009A2AB0" w:rsidP="009A2AB0">
      <w:pPr>
        <w:rPr>
          <w:lang w:eastAsia="ja-JP"/>
        </w:rPr>
      </w:pPr>
      <w:r w:rsidRPr="009A2AB0">
        <w:rPr>
          <w:lang w:eastAsia="ja-JP"/>
        </w:rPr>
        <w:t>The ITT population consisted of 819 patients (Arm A: 410, Arm B: 409). The per-protocol population consisted of 780 patients (Arm A: 397, Arm B: 383). The safety population consisted of 810 patients (Arm A: 407, Arm B: 403).</w:t>
      </w:r>
    </w:p>
    <w:p w:rsidR="009A2AB0" w:rsidRPr="00700EF6" w:rsidRDefault="009A2AB0" w:rsidP="00700EF6">
      <w:pPr>
        <w:pStyle w:val="Caption"/>
        <w:ind w:left="1134" w:hanging="1134"/>
        <w:rPr>
          <w:sz w:val="22"/>
          <w:szCs w:val="22"/>
          <w:lang w:eastAsia="ja-JP"/>
        </w:rPr>
      </w:pPr>
      <w:r w:rsidRPr="00700EF6">
        <w:rPr>
          <w:sz w:val="22"/>
          <w:szCs w:val="22"/>
          <w:lang w:eastAsia="ja-JP"/>
        </w:rPr>
        <w:t>Comment: The safety population was Arm A: 409, Arm B: 401. The sponsor is to clarify this discrepancy.</w:t>
      </w:r>
    </w:p>
    <w:p w:rsidR="009A2AB0" w:rsidRPr="009A2AB0" w:rsidRDefault="009A2AB0" w:rsidP="00700EF6">
      <w:pPr>
        <w:pStyle w:val="Heading6"/>
        <w:rPr>
          <w:lang w:eastAsia="ja-JP"/>
        </w:rPr>
      </w:pPr>
      <w:r w:rsidRPr="009A2AB0">
        <w:rPr>
          <w:lang w:eastAsia="ja-JP"/>
        </w:rPr>
        <w:t>Baseline data</w:t>
      </w:r>
    </w:p>
    <w:p w:rsidR="009A2AB0" w:rsidRPr="009A2AB0" w:rsidRDefault="009A2AB0" w:rsidP="009A2AB0">
      <w:pPr>
        <w:rPr>
          <w:lang w:eastAsia="ja-JP"/>
        </w:rPr>
      </w:pPr>
      <w:r w:rsidRPr="009A2AB0">
        <w:rPr>
          <w:lang w:eastAsia="ja-JP"/>
        </w:rPr>
        <w:t>The demographic data and baseline disease characteristics were well balanced between the treatment arms. The majority had received surgical treatment for their primary tumour (Arm A: 74.2%, Arm B: 75.1%). Pre- and postoperative radiotherapy had been administered to between 5 and 8% of patients in either treatment arm. The majority of patients had metastatic lesions affecting more than one organ. The incidences of previous and concomitant diseases were generally well balanced between the two arms. Deep vein thrombosis (DVT), peptic ulcer, pulmonary embolism, hypertension, diabetes, and depression were the commonest previous and concurrent diseases.</w:t>
      </w:r>
    </w:p>
    <w:p w:rsidR="009A2AB0" w:rsidRPr="009A2AB0" w:rsidRDefault="009A2AB0" w:rsidP="00700EF6">
      <w:pPr>
        <w:pStyle w:val="Heading5"/>
        <w:rPr>
          <w:lang w:eastAsia="ja-JP"/>
        </w:rPr>
      </w:pPr>
      <w:r w:rsidRPr="009A2AB0">
        <w:rPr>
          <w:lang w:eastAsia="ja-JP"/>
        </w:rPr>
        <w:t>Results for the primary efficacy outcome</w:t>
      </w:r>
    </w:p>
    <w:p w:rsidR="009A2AB0" w:rsidRDefault="009A2AB0" w:rsidP="009A2AB0">
      <w:pPr>
        <w:rPr>
          <w:lang w:eastAsia="ja-JP"/>
        </w:rPr>
      </w:pPr>
      <w:r w:rsidRPr="009A2AB0">
        <w:rPr>
          <w:lang w:eastAsia="ja-JP"/>
        </w:rPr>
        <w:t>The study met its endpoint of a significant increase in OS (HR=0.81; 95%CI: 0.69, 0.94). The relative risk of death was reduced by 19% in patients in Arm B (bevacizumab + chemotherapy) compared with those in Arm A (chemotherapy alone). The median survival in Arm B was 1.4 months longer than in Arm A (Arm A: 9.8 months; Arm B: 11.2 months). The Kaplan-Meier plot showed the benefit in favour of Arm B appearin</w:t>
      </w:r>
      <w:r w:rsidRPr="00B50676">
        <w:rPr>
          <w:lang w:eastAsia="ja-JP"/>
        </w:rPr>
        <w:t xml:space="preserve">g at approximately the </w:t>
      </w:r>
      <w:r w:rsidR="00700EF6" w:rsidRPr="00B50676">
        <w:rPr>
          <w:lang w:eastAsia="ja-JP"/>
        </w:rPr>
        <w:t>second</w:t>
      </w:r>
      <w:r w:rsidRPr="00B50676">
        <w:rPr>
          <w:lang w:eastAsia="ja-JP"/>
        </w:rPr>
        <w:t xml:space="preserve"> month of treatment and continuing until about the 38</w:t>
      </w:r>
      <w:r w:rsidRPr="00B50676">
        <w:rPr>
          <w:vertAlign w:val="superscript"/>
          <w:lang w:eastAsia="ja-JP"/>
        </w:rPr>
        <w:t>th</w:t>
      </w:r>
      <w:r w:rsidRPr="00B50676">
        <w:rPr>
          <w:lang w:eastAsia="ja-JP"/>
        </w:rPr>
        <w:t xml:space="preserve"> month. </w:t>
      </w:r>
      <w:proofErr w:type="gramStart"/>
      <w:r w:rsidRPr="00B50676">
        <w:rPr>
          <w:lang w:eastAsia="ja-JP"/>
        </w:rPr>
        <w:t xml:space="preserve">See Table </w:t>
      </w:r>
      <w:r w:rsidR="005F32C1" w:rsidRPr="00B50676">
        <w:rPr>
          <w:lang w:eastAsia="ja-JP"/>
        </w:rPr>
        <w:t xml:space="preserve">1 and </w:t>
      </w:r>
      <w:r w:rsidRPr="00B50676">
        <w:rPr>
          <w:lang w:eastAsia="ja-JP"/>
        </w:rPr>
        <w:t xml:space="preserve">Figure </w:t>
      </w:r>
      <w:r w:rsidR="005F32C1" w:rsidRPr="00B50676">
        <w:rPr>
          <w:lang w:eastAsia="ja-JP"/>
        </w:rPr>
        <w:t>1</w:t>
      </w:r>
      <w:r w:rsidR="00B50676" w:rsidRPr="00B50676">
        <w:rPr>
          <w:lang w:eastAsia="ja-JP"/>
        </w:rPr>
        <w:t xml:space="preserve"> below</w:t>
      </w:r>
      <w:r w:rsidRPr="00B50676">
        <w:rPr>
          <w:lang w:eastAsia="ja-JP"/>
        </w:rPr>
        <w:t>.</w:t>
      </w:r>
      <w:proofErr w:type="gramEnd"/>
      <w:r w:rsidRPr="00B50676">
        <w:rPr>
          <w:lang w:eastAsia="ja-JP"/>
        </w:rPr>
        <w:t xml:space="preserve"> OS analysis stratified by the prognostic factors described above was consistent with the unstratified analysis. See Table </w:t>
      </w:r>
      <w:r w:rsidR="00B50676" w:rsidRPr="00B50676">
        <w:rPr>
          <w:lang w:eastAsia="ja-JP"/>
        </w:rPr>
        <w:t>2</w:t>
      </w:r>
      <w:r w:rsidRPr="00B50676">
        <w:rPr>
          <w:lang w:eastAsia="ja-JP"/>
        </w:rPr>
        <w:t>.</w:t>
      </w:r>
      <w:r w:rsidRPr="009A2AB0">
        <w:rPr>
          <w:lang w:eastAsia="ja-JP"/>
        </w:rPr>
        <w:t xml:space="preserve"> </w:t>
      </w:r>
    </w:p>
    <w:p w:rsidR="005F32C1" w:rsidRPr="005F32C1" w:rsidRDefault="005F32C1" w:rsidP="005F32C1">
      <w:pPr>
        <w:pStyle w:val="TableTitle"/>
        <w:rPr>
          <w:lang w:eastAsia="ja-JP"/>
        </w:rPr>
      </w:pPr>
      <w:proofErr w:type="gramStart"/>
      <w:r w:rsidRPr="005F32C1">
        <w:rPr>
          <w:lang w:eastAsia="ja-JP"/>
        </w:rPr>
        <w:lastRenderedPageBreak/>
        <w:t xml:space="preserve">Table </w:t>
      </w:r>
      <w:r>
        <w:rPr>
          <w:lang w:eastAsia="ja-JP"/>
        </w:rPr>
        <w:t>1.</w:t>
      </w:r>
      <w:proofErr w:type="gramEnd"/>
      <w:r w:rsidRPr="005F32C1">
        <w:rPr>
          <w:lang w:eastAsia="ja-JP"/>
        </w:rPr>
        <w:t xml:space="preserve"> Summary o</w:t>
      </w:r>
      <w:r w:rsidR="00B50676">
        <w:rPr>
          <w:lang w:eastAsia="ja-JP"/>
        </w:rPr>
        <w:t>f Overall Survival from randomis</w:t>
      </w:r>
      <w:r w:rsidRPr="005F32C1">
        <w:rPr>
          <w:lang w:eastAsia="ja-JP"/>
        </w:rPr>
        <w:t>ation (ITT population)</w:t>
      </w:r>
    </w:p>
    <w:p w:rsidR="005F32C1" w:rsidRDefault="005F32C1" w:rsidP="005F32C1">
      <w:pPr>
        <w:keepNext/>
        <w:rPr>
          <w:lang w:eastAsia="ja-JP"/>
        </w:rPr>
      </w:pPr>
      <w:bookmarkStart w:id="30" w:name="_GoBack"/>
      <w:r w:rsidRPr="005F32C1">
        <w:rPr>
          <w:noProof/>
          <w:lang w:eastAsia="en-AU"/>
        </w:rPr>
        <w:drawing>
          <wp:inline distT="0" distB="0" distL="0" distR="0">
            <wp:extent cx="4343400" cy="2209800"/>
            <wp:effectExtent l="19050" t="0" r="0" b="0"/>
            <wp:docPr id="9" name="Picture 24" descr="Table 1. Summary of Overall Survival from randomiz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duotone>
                        <a:prstClr val="black"/>
                        <a:schemeClr val="bg1">
                          <a:tint val="45000"/>
                          <a:satMod val="400000"/>
                        </a:schemeClr>
                      </a:duotone>
                    </a:blip>
                    <a:srcRect l="1299"/>
                    <a:stretch>
                      <a:fillRect/>
                    </a:stretch>
                  </pic:blipFill>
                  <pic:spPr bwMode="auto">
                    <a:xfrm>
                      <a:off x="0" y="0"/>
                      <a:ext cx="4343400" cy="2209800"/>
                    </a:xfrm>
                    <a:prstGeom prst="rect">
                      <a:avLst/>
                    </a:prstGeom>
                    <a:noFill/>
                    <a:ln w="9525">
                      <a:noFill/>
                      <a:miter lim="800000"/>
                      <a:headEnd/>
                      <a:tailEnd/>
                    </a:ln>
                  </pic:spPr>
                </pic:pic>
              </a:graphicData>
            </a:graphic>
          </wp:inline>
        </w:drawing>
      </w:r>
      <w:bookmarkEnd w:id="30"/>
    </w:p>
    <w:p w:rsidR="005F32C1" w:rsidRPr="005F32C1" w:rsidRDefault="005F32C1" w:rsidP="005F32C1">
      <w:pPr>
        <w:pStyle w:val="FigureTitle"/>
        <w:rPr>
          <w:lang w:eastAsia="ja-JP"/>
        </w:rPr>
      </w:pPr>
      <w:proofErr w:type="gramStart"/>
      <w:r>
        <w:rPr>
          <w:lang w:eastAsia="ja-JP"/>
        </w:rPr>
        <w:t>Figure 1.</w:t>
      </w:r>
      <w:proofErr w:type="gramEnd"/>
      <w:r>
        <w:rPr>
          <w:lang w:eastAsia="ja-JP"/>
        </w:rPr>
        <w:t xml:space="preserve"> Kaplan-Meier Plots of Overall Survival from Randomisation (ITT Population)</w:t>
      </w:r>
    </w:p>
    <w:p w:rsidR="005F32C1" w:rsidRDefault="005F32C1" w:rsidP="009A2AB0">
      <w:pPr>
        <w:rPr>
          <w:lang w:eastAsia="ja-JP"/>
        </w:rPr>
      </w:pPr>
      <w:r w:rsidRPr="005F32C1">
        <w:rPr>
          <w:noProof/>
          <w:lang w:eastAsia="en-AU"/>
        </w:rPr>
        <w:drawing>
          <wp:inline distT="0" distB="0" distL="0" distR="0">
            <wp:extent cx="4514850" cy="3190875"/>
            <wp:effectExtent l="19050" t="0" r="0" b="0"/>
            <wp:docPr id="25" name="Picture 25" descr="Figure 1. Kaplan-Meier Plots of Overall Survival from Randomis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4317" t="21362" r="10432"/>
                    <a:stretch>
                      <a:fillRect/>
                    </a:stretch>
                  </pic:blipFill>
                  <pic:spPr bwMode="auto">
                    <a:xfrm>
                      <a:off x="0" y="0"/>
                      <a:ext cx="4514850" cy="3190875"/>
                    </a:xfrm>
                    <a:prstGeom prst="rect">
                      <a:avLst/>
                    </a:prstGeom>
                    <a:noFill/>
                    <a:ln w="9525">
                      <a:noFill/>
                      <a:miter lim="800000"/>
                      <a:headEnd/>
                      <a:tailEnd/>
                    </a:ln>
                  </pic:spPr>
                </pic:pic>
              </a:graphicData>
            </a:graphic>
          </wp:inline>
        </w:drawing>
      </w:r>
    </w:p>
    <w:p w:rsidR="005F32C1" w:rsidRPr="005F32C1" w:rsidRDefault="005F32C1" w:rsidP="005F32C1">
      <w:pPr>
        <w:pStyle w:val="TableTitle"/>
        <w:rPr>
          <w:lang w:eastAsia="ja-JP"/>
        </w:rPr>
      </w:pPr>
      <w:proofErr w:type="gramStart"/>
      <w:r w:rsidRPr="005F32C1">
        <w:rPr>
          <w:lang w:eastAsia="ja-JP"/>
        </w:rPr>
        <w:t xml:space="preserve">Table </w:t>
      </w:r>
      <w:r>
        <w:rPr>
          <w:lang w:eastAsia="ja-JP"/>
        </w:rPr>
        <w:t>2.</w:t>
      </w:r>
      <w:proofErr w:type="gramEnd"/>
      <w:r w:rsidRPr="005F32C1">
        <w:rPr>
          <w:lang w:eastAsia="ja-JP"/>
        </w:rPr>
        <w:t xml:space="preserve"> Summary of stratified versus no</w:t>
      </w:r>
      <w:r>
        <w:rPr>
          <w:lang w:eastAsia="ja-JP"/>
        </w:rPr>
        <w:t>n-stratified log-rank test and C</w:t>
      </w:r>
      <w:r w:rsidRPr="005F32C1">
        <w:rPr>
          <w:lang w:eastAsia="ja-JP"/>
        </w:rPr>
        <w:t>ox regression fo</w:t>
      </w:r>
      <w:r w:rsidR="00D945EC">
        <w:rPr>
          <w:lang w:eastAsia="ja-JP"/>
        </w:rPr>
        <w:t>r Overall Survival from randomis</w:t>
      </w:r>
      <w:r w:rsidRPr="005F32C1">
        <w:rPr>
          <w:lang w:eastAsia="ja-JP"/>
        </w:rPr>
        <w:t>ation (ITT population)</w:t>
      </w:r>
    </w:p>
    <w:p w:rsidR="005F32C1" w:rsidRPr="005F32C1" w:rsidRDefault="005F32C1" w:rsidP="005F32C1">
      <w:pPr>
        <w:rPr>
          <w:lang w:eastAsia="ja-JP"/>
        </w:rPr>
      </w:pPr>
      <w:r w:rsidRPr="005F32C1">
        <w:rPr>
          <w:noProof/>
          <w:lang w:eastAsia="en-AU"/>
        </w:rPr>
        <w:drawing>
          <wp:inline distT="0" distB="0" distL="0" distR="0">
            <wp:extent cx="4930140" cy="1478280"/>
            <wp:effectExtent l="19050" t="0" r="3810" b="0"/>
            <wp:docPr id="11" name="Picture 26" descr="Table 2. Summary of stratified versus non-stratified log-rank test and Cox regression for Overall Survival from randomiz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duotone>
                        <a:prstClr val="black"/>
                        <a:schemeClr val="bg1">
                          <a:tint val="45000"/>
                          <a:satMod val="400000"/>
                        </a:schemeClr>
                      </a:duotone>
                    </a:blip>
                    <a:srcRect/>
                    <a:stretch>
                      <a:fillRect/>
                    </a:stretch>
                  </pic:blipFill>
                  <pic:spPr bwMode="auto">
                    <a:xfrm>
                      <a:off x="0" y="0"/>
                      <a:ext cx="4930140" cy="1478280"/>
                    </a:xfrm>
                    <a:prstGeom prst="rect">
                      <a:avLst/>
                    </a:prstGeom>
                    <a:noFill/>
                    <a:ln w="9525">
                      <a:noFill/>
                      <a:miter lim="800000"/>
                      <a:headEnd/>
                      <a:tailEnd/>
                    </a:ln>
                  </pic:spPr>
                </pic:pic>
              </a:graphicData>
            </a:graphic>
          </wp:inline>
        </w:drawing>
      </w:r>
    </w:p>
    <w:p w:rsidR="009A2AB0" w:rsidRDefault="009A2AB0" w:rsidP="009A2AB0">
      <w:pPr>
        <w:rPr>
          <w:lang w:eastAsia="ja-JP"/>
        </w:rPr>
      </w:pPr>
      <w:r w:rsidRPr="009A2AB0">
        <w:rPr>
          <w:lang w:eastAsia="ja-JP"/>
        </w:rPr>
        <w:t>Subgroup analysis included patient</w:t>
      </w:r>
      <w:r w:rsidR="00700EF6">
        <w:rPr>
          <w:lang w:eastAsia="ja-JP"/>
        </w:rPr>
        <w:t xml:space="preserve"> population, sex, age and first </w:t>
      </w:r>
      <w:r w:rsidRPr="009A2AB0">
        <w:rPr>
          <w:lang w:eastAsia="ja-JP"/>
        </w:rPr>
        <w:t xml:space="preserve">line PFS. The analysis showed a trend in support of adding bevacizumab to the fluoropyrimidine-based chemotherapy regimen. </w:t>
      </w:r>
      <w:proofErr w:type="gramStart"/>
      <w:r w:rsidRPr="00B50676">
        <w:rPr>
          <w:lang w:eastAsia="ja-JP"/>
        </w:rPr>
        <w:t xml:space="preserve">See Figure </w:t>
      </w:r>
      <w:r w:rsidR="005F32C1" w:rsidRPr="00B50676">
        <w:rPr>
          <w:lang w:eastAsia="ja-JP"/>
        </w:rPr>
        <w:t xml:space="preserve">2 and </w:t>
      </w:r>
      <w:r w:rsidRPr="00B50676">
        <w:rPr>
          <w:lang w:eastAsia="ja-JP"/>
        </w:rPr>
        <w:t xml:space="preserve">Table </w:t>
      </w:r>
      <w:r w:rsidR="005F32C1" w:rsidRPr="00B50676">
        <w:rPr>
          <w:lang w:eastAsia="ja-JP"/>
        </w:rPr>
        <w:t>3</w:t>
      </w:r>
      <w:r w:rsidRPr="00B50676">
        <w:rPr>
          <w:lang w:eastAsia="ja-JP"/>
        </w:rPr>
        <w:t>.</w:t>
      </w:r>
      <w:proofErr w:type="gramEnd"/>
      <w:r w:rsidRPr="00B50676">
        <w:rPr>
          <w:lang w:eastAsia="ja-JP"/>
        </w:rPr>
        <w:t xml:space="preserve"> ‘Race’ was excluded from the analysis because most of the reporting of ‘Race’ was flawed.</w:t>
      </w:r>
    </w:p>
    <w:p w:rsidR="005F32C1" w:rsidRDefault="005F32C1" w:rsidP="005F32C1">
      <w:pPr>
        <w:pStyle w:val="FigureTitle"/>
        <w:rPr>
          <w:lang w:eastAsia="ja-JP"/>
        </w:rPr>
      </w:pPr>
      <w:proofErr w:type="gramStart"/>
      <w:r>
        <w:rPr>
          <w:lang w:eastAsia="ja-JP"/>
        </w:rPr>
        <w:lastRenderedPageBreak/>
        <w:t>Figure 2.</w:t>
      </w:r>
      <w:proofErr w:type="gramEnd"/>
      <w:r>
        <w:rPr>
          <w:lang w:eastAsia="ja-JP"/>
        </w:rPr>
        <w:t xml:space="preserve"> Forest Plot of Hazard Ratios for OS by Subgroup (ITT Population)</w:t>
      </w:r>
    </w:p>
    <w:p w:rsidR="005F32C1" w:rsidRDefault="005F32C1" w:rsidP="009A2AB0">
      <w:pPr>
        <w:rPr>
          <w:lang w:eastAsia="ja-JP"/>
        </w:rPr>
      </w:pPr>
      <w:r w:rsidRPr="005F32C1">
        <w:rPr>
          <w:noProof/>
          <w:lang w:eastAsia="en-AU"/>
        </w:rPr>
        <w:drawing>
          <wp:inline distT="0" distB="0" distL="0" distR="0">
            <wp:extent cx="5114925" cy="3575174"/>
            <wp:effectExtent l="19050" t="0" r="9525" b="0"/>
            <wp:docPr id="29" name="Picture 29" descr="Figure 2. Forest Plot of Hazard Ratios for OS by Sub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duotone>
                        <a:prstClr val="black"/>
                        <a:schemeClr val="bg1">
                          <a:tint val="45000"/>
                          <a:satMod val="400000"/>
                        </a:schemeClr>
                      </a:duotone>
                    </a:blip>
                    <a:srcRect l="5029" t="11778" r="1161" b="2282"/>
                    <a:stretch>
                      <a:fillRect/>
                    </a:stretch>
                  </pic:blipFill>
                  <pic:spPr bwMode="auto">
                    <a:xfrm>
                      <a:off x="0" y="0"/>
                      <a:ext cx="5114925" cy="3575174"/>
                    </a:xfrm>
                    <a:prstGeom prst="rect">
                      <a:avLst/>
                    </a:prstGeom>
                    <a:noFill/>
                    <a:ln w="9525">
                      <a:noFill/>
                      <a:miter lim="800000"/>
                      <a:headEnd/>
                      <a:tailEnd/>
                    </a:ln>
                  </pic:spPr>
                </pic:pic>
              </a:graphicData>
            </a:graphic>
          </wp:inline>
        </w:drawing>
      </w:r>
    </w:p>
    <w:p w:rsidR="005F32C1" w:rsidRPr="005F32C1" w:rsidRDefault="005F32C1" w:rsidP="005F32C1">
      <w:pPr>
        <w:pStyle w:val="TableTitle"/>
        <w:rPr>
          <w:lang w:eastAsia="ja-JP"/>
        </w:rPr>
      </w:pPr>
      <w:proofErr w:type="gramStart"/>
      <w:r>
        <w:rPr>
          <w:lang w:eastAsia="ja-JP"/>
        </w:rPr>
        <w:t>Table 3.</w:t>
      </w:r>
      <w:proofErr w:type="gramEnd"/>
      <w:r w:rsidRPr="005F32C1">
        <w:rPr>
          <w:lang w:eastAsia="ja-JP"/>
        </w:rPr>
        <w:t xml:space="preserve"> Summary of Univariate Cox Regression Analysis for Overall Survival (ITT population)</w:t>
      </w:r>
    </w:p>
    <w:p w:rsidR="005F32C1" w:rsidRPr="005F32C1" w:rsidRDefault="005F32C1" w:rsidP="005F32C1">
      <w:pPr>
        <w:rPr>
          <w:lang w:eastAsia="ja-JP"/>
        </w:rPr>
      </w:pPr>
      <w:r w:rsidRPr="005F32C1">
        <w:rPr>
          <w:noProof/>
          <w:lang w:eastAsia="en-AU"/>
        </w:rPr>
        <w:drawing>
          <wp:inline distT="0" distB="0" distL="0" distR="0">
            <wp:extent cx="5543550" cy="2122873"/>
            <wp:effectExtent l="19050" t="0" r="0" b="0"/>
            <wp:docPr id="12" name="Picture 31" descr="Table 3. Summary of Univariate Cox Regression Analysis for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duotone>
                        <a:prstClr val="black"/>
                        <a:schemeClr val="bg1">
                          <a:tint val="45000"/>
                          <a:satMod val="400000"/>
                        </a:schemeClr>
                      </a:duotone>
                    </a:blip>
                    <a:srcRect/>
                    <a:stretch>
                      <a:fillRect/>
                    </a:stretch>
                  </pic:blipFill>
                  <pic:spPr bwMode="auto">
                    <a:xfrm>
                      <a:off x="0" y="0"/>
                      <a:ext cx="5552709" cy="2126380"/>
                    </a:xfrm>
                    <a:prstGeom prst="rect">
                      <a:avLst/>
                    </a:prstGeom>
                    <a:noFill/>
                    <a:ln w="9525">
                      <a:noFill/>
                      <a:miter lim="800000"/>
                      <a:headEnd/>
                      <a:tailEnd/>
                    </a:ln>
                  </pic:spPr>
                </pic:pic>
              </a:graphicData>
            </a:graphic>
          </wp:inline>
        </w:drawing>
      </w:r>
    </w:p>
    <w:p w:rsidR="009A2AB0" w:rsidRPr="009A2AB0" w:rsidRDefault="009A2AB0" w:rsidP="00700EF6">
      <w:pPr>
        <w:pStyle w:val="Heading5"/>
        <w:rPr>
          <w:lang w:eastAsia="ja-JP"/>
        </w:rPr>
      </w:pPr>
      <w:r w:rsidRPr="009A2AB0">
        <w:rPr>
          <w:lang w:eastAsia="ja-JP"/>
        </w:rPr>
        <w:t>Results for other efficacy outcomes</w:t>
      </w:r>
    </w:p>
    <w:p w:rsidR="009A2AB0" w:rsidRDefault="009A2AB0" w:rsidP="009A2AB0">
      <w:pPr>
        <w:rPr>
          <w:lang w:eastAsia="ja-JP"/>
        </w:rPr>
      </w:pPr>
      <w:r w:rsidRPr="00700EF6">
        <w:rPr>
          <w:rStyle w:val="Heading6Char"/>
          <w:rFonts w:eastAsia="Cambria"/>
        </w:rPr>
        <w:t xml:space="preserve">Progression-Free Survival (PFS): </w:t>
      </w:r>
      <w:r w:rsidRPr="009A2AB0">
        <w:rPr>
          <w:lang w:eastAsia="ja-JP"/>
        </w:rPr>
        <w:t>There was a statistically significant reduction by 32% in the risk of disease progression or death of patients in Arm B compared with Arm A (HR = 0.68, 95% CI: 0.59, 0.78; unstratified log-rank p-value &lt; 0.0001) The median time to disease progression or death was longer in Arm B (5.7 months) than in Arm A (4.1 mo</w:t>
      </w:r>
      <w:r w:rsidRPr="00B50676">
        <w:rPr>
          <w:lang w:eastAsia="ja-JP"/>
        </w:rPr>
        <w:t xml:space="preserve">nths). </w:t>
      </w:r>
      <w:proofErr w:type="gramStart"/>
      <w:r w:rsidRPr="00B50676">
        <w:rPr>
          <w:lang w:eastAsia="ja-JP"/>
        </w:rPr>
        <w:t xml:space="preserve">See Table </w:t>
      </w:r>
      <w:r w:rsidR="005F32C1" w:rsidRPr="00B50676">
        <w:rPr>
          <w:lang w:eastAsia="ja-JP"/>
        </w:rPr>
        <w:t xml:space="preserve">4 and </w:t>
      </w:r>
      <w:r w:rsidRPr="00B50676">
        <w:rPr>
          <w:lang w:eastAsia="ja-JP"/>
        </w:rPr>
        <w:t xml:space="preserve">Figure </w:t>
      </w:r>
      <w:r w:rsidR="005F32C1" w:rsidRPr="00B50676">
        <w:rPr>
          <w:lang w:eastAsia="ja-JP"/>
        </w:rPr>
        <w:t>3</w:t>
      </w:r>
      <w:r w:rsidR="005B69EC">
        <w:rPr>
          <w:lang w:eastAsia="ja-JP"/>
        </w:rPr>
        <w:t xml:space="preserve"> below</w:t>
      </w:r>
      <w:r w:rsidRPr="00B50676">
        <w:rPr>
          <w:b/>
          <w:lang w:eastAsia="ja-JP"/>
        </w:rPr>
        <w:t>.</w:t>
      </w:r>
      <w:proofErr w:type="gramEnd"/>
      <w:r w:rsidRPr="00B50676">
        <w:rPr>
          <w:b/>
          <w:lang w:eastAsia="ja-JP"/>
        </w:rPr>
        <w:t xml:space="preserve"> </w:t>
      </w:r>
      <w:r w:rsidRPr="00B50676">
        <w:rPr>
          <w:lang w:eastAsia="ja-JP"/>
        </w:rPr>
        <w:t xml:space="preserve">The stratified PFS analysis was consistent with the un-stratified analysis. See Table </w:t>
      </w:r>
      <w:r w:rsidR="005F32C1" w:rsidRPr="00B50676">
        <w:rPr>
          <w:lang w:eastAsia="ja-JP"/>
        </w:rPr>
        <w:t>5</w:t>
      </w:r>
      <w:r w:rsidRPr="00B50676">
        <w:rPr>
          <w:lang w:eastAsia="ja-JP"/>
        </w:rPr>
        <w:t>.</w:t>
      </w:r>
    </w:p>
    <w:p w:rsidR="005F32C1" w:rsidRPr="005F32C1" w:rsidRDefault="005F32C1" w:rsidP="005F32C1">
      <w:pPr>
        <w:pStyle w:val="TableTitle"/>
        <w:rPr>
          <w:lang w:eastAsia="ja-JP"/>
        </w:rPr>
      </w:pPr>
      <w:proofErr w:type="gramStart"/>
      <w:r w:rsidRPr="005F32C1">
        <w:rPr>
          <w:lang w:eastAsia="ja-JP"/>
        </w:rPr>
        <w:lastRenderedPageBreak/>
        <w:t xml:space="preserve">Table </w:t>
      </w:r>
      <w:r>
        <w:rPr>
          <w:lang w:eastAsia="ja-JP"/>
        </w:rPr>
        <w:t>4.</w:t>
      </w:r>
      <w:proofErr w:type="gramEnd"/>
      <w:r w:rsidRPr="005F32C1">
        <w:rPr>
          <w:lang w:eastAsia="ja-JP"/>
        </w:rPr>
        <w:t xml:space="preserve"> Summary of PFS</w:t>
      </w:r>
    </w:p>
    <w:p w:rsidR="005F32C1" w:rsidRDefault="005F32C1" w:rsidP="005F32C1">
      <w:pPr>
        <w:rPr>
          <w:lang w:eastAsia="ja-JP"/>
        </w:rPr>
      </w:pPr>
      <w:r w:rsidRPr="005F32C1">
        <w:rPr>
          <w:noProof/>
          <w:lang w:eastAsia="en-AU"/>
        </w:rPr>
        <w:drawing>
          <wp:inline distT="0" distB="0" distL="0" distR="0">
            <wp:extent cx="4829175" cy="2534854"/>
            <wp:effectExtent l="19050" t="0" r="9525" b="0"/>
            <wp:docPr id="13" name="Picture 32" descr="Table 4. Summary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duotone>
                        <a:prstClr val="black"/>
                        <a:schemeClr val="bg1">
                          <a:tint val="45000"/>
                          <a:satMod val="400000"/>
                        </a:schemeClr>
                      </a:duotone>
                    </a:blip>
                    <a:srcRect/>
                    <a:stretch>
                      <a:fillRect/>
                    </a:stretch>
                  </pic:blipFill>
                  <pic:spPr bwMode="auto">
                    <a:xfrm>
                      <a:off x="0" y="0"/>
                      <a:ext cx="4828607" cy="2534556"/>
                    </a:xfrm>
                    <a:prstGeom prst="rect">
                      <a:avLst/>
                    </a:prstGeom>
                    <a:noFill/>
                    <a:ln w="9525">
                      <a:noFill/>
                      <a:miter lim="800000"/>
                      <a:headEnd/>
                      <a:tailEnd/>
                    </a:ln>
                  </pic:spPr>
                </pic:pic>
              </a:graphicData>
            </a:graphic>
          </wp:inline>
        </w:drawing>
      </w:r>
    </w:p>
    <w:p w:rsidR="005F32C1" w:rsidRPr="005F32C1" w:rsidRDefault="005F32C1" w:rsidP="005F32C1">
      <w:pPr>
        <w:pStyle w:val="FigureTitle"/>
        <w:rPr>
          <w:lang w:eastAsia="ja-JP"/>
        </w:rPr>
      </w:pPr>
      <w:proofErr w:type="gramStart"/>
      <w:r>
        <w:rPr>
          <w:lang w:eastAsia="ja-JP"/>
        </w:rPr>
        <w:t>Figure 3.</w:t>
      </w:r>
      <w:proofErr w:type="gramEnd"/>
      <w:r>
        <w:rPr>
          <w:lang w:eastAsia="ja-JP"/>
        </w:rPr>
        <w:t xml:space="preserve"> Kaplan-Meier Plot of Progression-Free Survival (General) (ITT Population)</w:t>
      </w:r>
    </w:p>
    <w:p w:rsidR="005F32C1" w:rsidRPr="005F32C1" w:rsidRDefault="005F32C1" w:rsidP="005F32C1">
      <w:pPr>
        <w:rPr>
          <w:lang w:eastAsia="ja-JP"/>
        </w:rPr>
      </w:pPr>
      <w:r w:rsidRPr="005F32C1">
        <w:rPr>
          <w:noProof/>
          <w:lang w:eastAsia="en-AU"/>
        </w:rPr>
        <w:drawing>
          <wp:inline distT="0" distB="0" distL="0" distR="0">
            <wp:extent cx="3819525" cy="2627004"/>
            <wp:effectExtent l="19050" t="0" r="9525" b="0"/>
            <wp:docPr id="14" name="Picture 33" descr="Figure 3. Kaplan-Meier Plot of Progression-Free Survival (Gener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l="13404" t="21851" r="8642"/>
                    <a:stretch>
                      <a:fillRect/>
                    </a:stretch>
                  </pic:blipFill>
                  <pic:spPr bwMode="auto">
                    <a:xfrm>
                      <a:off x="0" y="0"/>
                      <a:ext cx="3819525" cy="2627004"/>
                    </a:xfrm>
                    <a:prstGeom prst="rect">
                      <a:avLst/>
                    </a:prstGeom>
                    <a:noFill/>
                    <a:ln w="9525">
                      <a:noFill/>
                      <a:miter lim="800000"/>
                      <a:headEnd/>
                      <a:tailEnd/>
                    </a:ln>
                  </pic:spPr>
                </pic:pic>
              </a:graphicData>
            </a:graphic>
          </wp:inline>
        </w:drawing>
      </w:r>
    </w:p>
    <w:p w:rsidR="005F32C1" w:rsidRPr="005F32C1" w:rsidRDefault="005F32C1" w:rsidP="005F32C1">
      <w:pPr>
        <w:pStyle w:val="TableTitle"/>
        <w:rPr>
          <w:lang w:eastAsia="ja-JP"/>
        </w:rPr>
      </w:pPr>
      <w:proofErr w:type="gramStart"/>
      <w:r w:rsidRPr="005F32C1">
        <w:rPr>
          <w:lang w:eastAsia="ja-JP"/>
        </w:rPr>
        <w:t xml:space="preserve">Table </w:t>
      </w:r>
      <w:r>
        <w:rPr>
          <w:lang w:eastAsia="ja-JP"/>
        </w:rPr>
        <w:t>5.</w:t>
      </w:r>
      <w:proofErr w:type="gramEnd"/>
      <w:r w:rsidRPr="005F32C1">
        <w:rPr>
          <w:lang w:eastAsia="ja-JP"/>
        </w:rPr>
        <w:t xml:space="preserve">  Summary of Stratified versus non-stratified Log-Rank Test for PFS (ITT)</w:t>
      </w:r>
    </w:p>
    <w:p w:rsidR="005F32C1" w:rsidRPr="009A2AB0" w:rsidRDefault="005F32C1" w:rsidP="005F32C1">
      <w:pPr>
        <w:rPr>
          <w:lang w:eastAsia="ja-JP"/>
        </w:rPr>
      </w:pPr>
      <w:r w:rsidRPr="005F32C1">
        <w:rPr>
          <w:noProof/>
          <w:lang w:eastAsia="en-AU"/>
        </w:rPr>
        <w:drawing>
          <wp:inline distT="0" distB="0" distL="0" distR="0">
            <wp:extent cx="4930140" cy="1516380"/>
            <wp:effectExtent l="19050" t="0" r="3810" b="0"/>
            <wp:docPr id="17" name="Picture 2" descr="Table 5.  Summary of Stratified versus non-stratified Log-Rank Test for PF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prstClr val="black"/>
                        <a:schemeClr val="bg1">
                          <a:tint val="45000"/>
                          <a:satMod val="400000"/>
                        </a:schemeClr>
                      </a:duotone>
                    </a:blip>
                    <a:srcRect/>
                    <a:stretch>
                      <a:fillRect/>
                    </a:stretch>
                  </pic:blipFill>
                  <pic:spPr bwMode="auto">
                    <a:xfrm>
                      <a:off x="0" y="0"/>
                      <a:ext cx="4930140" cy="1516380"/>
                    </a:xfrm>
                    <a:prstGeom prst="rect">
                      <a:avLst/>
                    </a:prstGeom>
                    <a:noFill/>
                    <a:ln w="9525">
                      <a:noFill/>
                      <a:miter lim="800000"/>
                      <a:headEnd/>
                      <a:tailEnd/>
                    </a:ln>
                  </pic:spPr>
                </pic:pic>
              </a:graphicData>
            </a:graphic>
          </wp:inline>
        </w:drawing>
      </w:r>
    </w:p>
    <w:p w:rsidR="009A2AB0" w:rsidRPr="00B50676" w:rsidRDefault="009A2AB0" w:rsidP="009A2AB0">
      <w:pPr>
        <w:rPr>
          <w:lang w:eastAsia="ja-JP"/>
        </w:rPr>
      </w:pPr>
      <w:r w:rsidRPr="00700EF6">
        <w:rPr>
          <w:rStyle w:val="Heading6Char"/>
          <w:rFonts w:eastAsia="Cambria"/>
        </w:rPr>
        <w:t xml:space="preserve">Progression-Free Survival on Treatment: </w:t>
      </w:r>
      <w:r w:rsidRPr="009A2AB0">
        <w:rPr>
          <w:lang w:eastAsia="ja-JP"/>
        </w:rPr>
        <w:t>Results of PFS-On Treatment were consistent with the results obtained for PFS (HR=0.63; 95% CI: 0.53, 0.74)</w:t>
      </w:r>
      <w:r w:rsidRPr="00B50676">
        <w:rPr>
          <w:lang w:eastAsia="ja-JP"/>
        </w:rPr>
        <w:t xml:space="preserve">. See Figure </w:t>
      </w:r>
      <w:r w:rsidR="00B50676" w:rsidRPr="00B50676">
        <w:rPr>
          <w:lang w:eastAsia="ja-JP"/>
        </w:rPr>
        <w:t>4</w:t>
      </w:r>
      <w:r w:rsidRPr="00B50676">
        <w:rPr>
          <w:lang w:eastAsia="ja-JP"/>
        </w:rPr>
        <w:t>.</w:t>
      </w:r>
    </w:p>
    <w:p w:rsidR="009A2AB0" w:rsidRDefault="009A2AB0" w:rsidP="009A2AB0">
      <w:pPr>
        <w:rPr>
          <w:lang w:eastAsia="ja-JP"/>
        </w:rPr>
      </w:pPr>
      <w:r w:rsidRPr="00B50676">
        <w:rPr>
          <w:rStyle w:val="Heading6Char"/>
          <w:rFonts w:eastAsia="Cambria"/>
        </w:rPr>
        <w:t>Overall Response:</w:t>
      </w:r>
      <w:r w:rsidRPr="00B50676">
        <w:rPr>
          <w:b/>
          <w:lang w:eastAsia="ja-JP"/>
        </w:rPr>
        <w:t xml:space="preserve"> </w:t>
      </w:r>
      <w:r w:rsidRPr="00B50676">
        <w:rPr>
          <w:lang w:eastAsia="ja-JP"/>
        </w:rPr>
        <w:t xml:space="preserve">The response rate (confirmed CR or confirmed PR) was 5.4% in Arm B and 3.9% in Arm A. The difference between the two arms was not significant (p=0.3113). See Table </w:t>
      </w:r>
      <w:r w:rsidR="00B50676" w:rsidRPr="00B50676">
        <w:rPr>
          <w:lang w:eastAsia="ja-JP"/>
        </w:rPr>
        <w:t>6</w:t>
      </w:r>
      <w:r w:rsidRPr="00B50676">
        <w:rPr>
          <w:lang w:eastAsia="ja-JP"/>
        </w:rPr>
        <w:t>.</w:t>
      </w:r>
      <w:r w:rsidR="005F32C1">
        <w:rPr>
          <w:lang w:eastAsia="ja-JP"/>
        </w:rPr>
        <w:t xml:space="preserve"> </w:t>
      </w:r>
    </w:p>
    <w:p w:rsidR="005F32C1" w:rsidRPr="005F32C1" w:rsidRDefault="00B50676" w:rsidP="00D945EC">
      <w:pPr>
        <w:pStyle w:val="FigureTitle"/>
        <w:keepNext/>
        <w:rPr>
          <w:lang w:eastAsia="ja-JP"/>
        </w:rPr>
      </w:pPr>
      <w:proofErr w:type="gramStart"/>
      <w:r>
        <w:rPr>
          <w:lang w:eastAsia="ja-JP"/>
        </w:rPr>
        <w:lastRenderedPageBreak/>
        <w:t>Figure 4.</w:t>
      </w:r>
      <w:proofErr w:type="gramEnd"/>
      <w:r>
        <w:rPr>
          <w:lang w:eastAsia="ja-JP"/>
        </w:rPr>
        <w:t xml:space="preserve"> KM Plots of PFS (On treatment) (ITT Population)</w:t>
      </w:r>
    </w:p>
    <w:p w:rsidR="005F32C1" w:rsidRPr="005F32C1" w:rsidRDefault="005F32C1" w:rsidP="00D945EC">
      <w:pPr>
        <w:keepNext/>
        <w:rPr>
          <w:lang w:eastAsia="ja-JP"/>
        </w:rPr>
      </w:pPr>
      <w:r w:rsidRPr="005F32C1">
        <w:rPr>
          <w:noProof/>
          <w:lang w:eastAsia="en-AU"/>
        </w:rPr>
        <w:drawing>
          <wp:inline distT="0" distB="0" distL="0" distR="0">
            <wp:extent cx="4263741" cy="3019425"/>
            <wp:effectExtent l="19050" t="0" r="3459" b="0"/>
            <wp:docPr id="18" name="Picture 35" descr="Figure 4. KM Plots of PFS (On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l="10229" t="15159" r="3351"/>
                    <a:stretch>
                      <a:fillRect/>
                    </a:stretch>
                  </pic:blipFill>
                  <pic:spPr bwMode="auto">
                    <a:xfrm>
                      <a:off x="0" y="0"/>
                      <a:ext cx="4263741" cy="3019425"/>
                    </a:xfrm>
                    <a:prstGeom prst="rect">
                      <a:avLst/>
                    </a:prstGeom>
                    <a:noFill/>
                    <a:ln w="9525">
                      <a:noFill/>
                      <a:miter lim="800000"/>
                      <a:headEnd/>
                      <a:tailEnd/>
                    </a:ln>
                  </pic:spPr>
                </pic:pic>
              </a:graphicData>
            </a:graphic>
          </wp:inline>
        </w:drawing>
      </w:r>
    </w:p>
    <w:p w:rsidR="005F32C1" w:rsidRPr="005F32C1" w:rsidRDefault="005F32C1" w:rsidP="00B50676">
      <w:pPr>
        <w:pStyle w:val="TableTitle"/>
        <w:rPr>
          <w:lang w:eastAsia="ja-JP"/>
        </w:rPr>
      </w:pPr>
      <w:proofErr w:type="gramStart"/>
      <w:r w:rsidRPr="005F32C1">
        <w:rPr>
          <w:lang w:eastAsia="ja-JP"/>
        </w:rPr>
        <w:t xml:space="preserve">Table </w:t>
      </w:r>
      <w:r w:rsidR="00B50676">
        <w:rPr>
          <w:lang w:eastAsia="ja-JP"/>
        </w:rPr>
        <w:t>6.</w:t>
      </w:r>
      <w:proofErr w:type="gramEnd"/>
      <w:r w:rsidRPr="005F32C1">
        <w:rPr>
          <w:lang w:eastAsia="ja-JP"/>
        </w:rPr>
        <w:t xml:space="preserve">  Summary of best Overall Response</w:t>
      </w:r>
    </w:p>
    <w:p w:rsidR="005F32C1" w:rsidRPr="005F32C1" w:rsidRDefault="005F32C1" w:rsidP="005F32C1">
      <w:pPr>
        <w:rPr>
          <w:lang w:eastAsia="ja-JP"/>
        </w:rPr>
      </w:pPr>
      <w:r w:rsidRPr="005F32C1">
        <w:rPr>
          <w:noProof/>
          <w:lang w:eastAsia="en-AU"/>
        </w:rPr>
        <w:drawing>
          <wp:inline distT="0" distB="0" distL="0" distR="0">
            <wp:extent cx="5210175" cy="3961502"/>
            <wp:effectExtent l="19050" t="0" r="9525" b="0"/>
            <wp:docPr id="19" name="Picture 37" descr="Table 6.  Summary of best Overa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duotone>
                        <a:prstClr val="black"/>
                        <a:schemeClr val="bg1">
                          <a:tint val="45000"/>
                          <a:satMod val="400000"/>
                        </a:schemeClr>
                      </a:duotone>
                    </a:blip>
                    <a:srcRect/>
                    <a:stretch>
                      <a:fillRect/>
                    </a:stretch>
                  </pic:blipFill>
                  <pic:spPr bwMode="auto">
                    <a:xfrm>
                      <a:off x="0" y="0"/>
                      <a:ext cx="5210922" cy="3962070"/>
                    </a:xfrm>
                    <a:prstGeom prst="rect">
                      <a:avLst/>
                    </a:prstGeom>
                    <a:noFill/>
                    <a:ln w="9525">
                      <a:noFill/>
                      <a:miter lim="800000"/>
                      <a:headEnd/>
                      <a:tailEnd/>
                    </a:ln>
                  </pic:spPr>
                </pic:pic>
              </a:graphicData>
            </a:graphic>
          </wp:inline>
        </w:drawing>
      </w:r>
    </w:p>
    <w:p w:rsidR="009A2AB0" w:rsidRPr="009A2AB0" w:rsidRDefault="009A2AB0" w:rsidP="009A2AB0">
      <w:pPr>
        <w:rPr>
          <w:lang w:eastAsia="ja-JP"/>
        </w:rPr>
      </w:pPr>
      <w:r w:rsidRPr="00700EF6">
        <w:rPr>
          <w:rStyle w:val="Heading6Char"/>
          <w:rFonts w:eastAsia="Cambria"/>
        </w:rPr>
        <w:t>Other analyses:</w:t>
      </w:r>
      <w:r w:rsidRPr="009A2AB0">
        <w:rPr>
          <w:lang w:eastAsia="ja-JP"/>
        </w:rPr>
        <w:t xml:space="preserve"> The study was not planned for analyses such as the ‘Overall response from start of first-line therapy’. The results therefore cannot be considered. A valid estimation of ‘Time to response’ and ‘Duration of response’ was not possible because the number of patients with a response (CR or PR) was small.   </w:t>
      </w:r>
    </w:p>
    <w:p w:rsidR="009A2AB0" w:rsidRPr="009A2AB0" w:rsidRDefault="009A2AB0" w:rsidP="009A2AB0">
      <w:pPr>
        <w:rPr>
          <w:lang w:eastAsia="ja-JP"/>
        </w:rPr>
      </w:pPr>
      <w:r w:rsidRPr="00700EF6">
        <w:rPr>
          <w:rStyle w:val="Heading6Char"/>
          <w:rFonts w:eastAsia="Cambria"/>
        </w:rPr>
        <w:t>KRAS status:</w:t>
      </w:r>
      <w:r w:rsidRPr="009A2AB0">
        <w:rPr>
          <w:lang w:eastAsia="ja-JP"/>
        </w:rPr>
        <w:t xml:space="preserve"> Subgroup analysis by KRAS mutational status was an exploratory exercise that was not powered to detect a statistically significant difference between the two arms of treatment. </w:t>
      </w:r>
      <w:r w:rsidRPr="009A2AB0">
        <w:rPr>
          <w:lang w:eastAsia="ja-JP"/>
        </w:rPr>
        <w:lastRenderedPageBreak/>
        <w:t xml:space="preserve">Of the 616 patients who had conclusive KRAS genotype data, 300 (49%) demonstrated a mutation. Arm A had 45.2% and Arm B, 52.1% of the 300 patients with mutant KRAS. Patients with mutant KRAS had a poorer outcome. See Table 12, page 17, part B.  </w:t>
      </w:r>
    </w:p>
    <w:p w:rsidR="009A2AB0" w:rsidRPr="009A2AB0" w:rsidRDefault="00700EF6" w:rsidP="00700EF6">
      <w:pPr>
        <w:pStyle w:val="Heading3"/>
      </w:pPr>
      <w:bookmarkStart w:id="31" w:name="_Toc346186557"/>
      <w:bookmarkStart w:id="32" w:name="_Toc381608391"/>
      <w:bookmarkStart w:id="33" w:name="_Ref271126605"/>
      <w:bookmarkStart w:id="34" w:name="_Toc272414657"/>
      <w:bookmarkStart w:id="35" w:name="_Toc273018220"/>
      <w:r>
        <w:t>Evaluator’s Conclusions o</w:t>
      </w:r>
      <w:r w:rsidRPr="009A2AB0">
        <w:t>n Clinical Efficacy</w:t>
      </w:r>
      <w:bookmarkEnd w:id="31"/>
      <w:bookmarkEnd w:id="32"/>
      <w:r w:rsidR="009A2AB0" w:rsidRPr="009A2AB0">
        <w:t xml:space="preserve"> </w:t>
      </w:r>
      <w:bookmarkEnd w:id="33"/>
      <w:bookmarkEnd w:id="34"/>
      <w:bookmarkEnd w:id="35"/>
    </w:p>
    <w:p w:rsidR="009A2AB0" w:rsidRPr="009A2AB0" w:rsidRDefault="00700EF6" w:rsidP="009A2AB0">
      <w:pPr>
        <w:rPr>
          <w:lang w:eastAsia="ja-JP"/>
        </w:rPr>
      </w:pPr>
      <w:r>
        <w:rPr>
          <w:lang w:eastAsia="ja-JP"/>
        </w:rPr>
        <w:t>This was a prospective, randomis</w:t>
      </w:r>
      <w:r w:rsidR="009A2AB0" w:rsidRPr="009A2AB0">
        <w:rPr>
          <w:lang w:eastAsia="ja-JP"/>
        </w:rPr>
        <w:t>ed, open-label, multinational, controlled, Phase III study. Concerns were raised about potential bias possibly being introduced as a result of the unplanned modifications to the protocol when sponsorship was changed from AIO to Roche in 2008. The concerns were addressed and included the use of unstratified log rank test as the primary analysis. The impact of sequential enrolment in the AIO KRK 0504 and ML18147 studies was also addressed in the analysis plan. The sponsor used the second-order minimi</w:t>
      </w:r>
      <w:r>
        <w:rPr>
          <w:lang w:eastAsia="ja-JP"/>
        </w:rPr>
        <w:t>s</w:t>
      </w:r>
      <w:r w:rsidR="009A2AB0" w:rsidRPr="009A2AB0">
        <w:rPr>
          <w:lang w:eastAsia="ja-JP"/>
        </w:rPr>
        <w:t>ation algorithm to randomise the patients 1:1, to ensure an equal distribution of prognostic factors in the two arms of the study. Randomi</w:t>
      </w:r>
      <w:r>
        <w:rPr>
          <w:lang w:eastAsia="ja-JP"/>
        </w:rPr>
        <w:t>s</w:t>
      </w:r>
      <w:r w:rsidR="009A2AB0" w:rsidRPr="009A2AB0">
        <w:rPr>
          <w:lang w:eastAsia="ja-JP"/>
        </w:rPr>
        <w:t xml:space="preserve">ation was stratified by the four factors that were described. The majority of patients in the two arms were ECOG PS </w:t>
      </w:r>
      <w:r>
        <w:rPr>
          <w:lang w:eastAsia="ja-JP"/>
        </w:rPr>
        <w:t>≥</w:t>
      </w:r>
      <w:r w:rsidR="009A2AB0" w:rsidRPr="009A2AB0">
        <w:rPr>
          <w:lang w:eastAsia="ja-JP"/>
        </w:rPr>
        <w:t xml:space="preserve"> 1 at baseline, had received </w:t>
      </w:r>
      <w:proofErr w:type="spellStart"/>
      <w:r w:rsidR="009A2AB0" w:rsidRPr="009A2AB0">
        <w:rPr>
          <w:lang w:eastAsia="ja-JP"/>
        </w:rPr>
        <w:t>irinotecan</w:t>
      </w:r>
      <w:proofErr w:type="spellEnd"/>
      <w:r w:rsidR="009A2AB0" w:rsidRPr="009A2AB0">
        <w:rPr>
          <w:lang w:eastAsia="ja-JP"/>
        </w:rPr>
        <w:t>-based chemotherapy as first-line treatment, had progressed on first-line treatment within nine months and had received their last dose of bevacizumab as first-line treatment within 42 days of randomisation. The primary efficacy endpoint was changed from PFS to OS, which required larger patient populations. The sample size was accordingly increased to power this change. While the traditional endpoint for assessing efficacy in first-line chemotherapies for advanced cancer is OS, it is open to confounding by the effects of second-line therapies. The study protocol therefore required that monitoring was continued to check on subsequent anti-cancer therapy.</w:t>
      </w:r>
    </w:p>
    <w:p w:rsidR="009A2AB0" w:rsidRPr="009A2AB0" w:rsidRDefault="009A2AB0" w:rsidP="009A2AB0">
      <w:pPr>
        <w:rPr>
          <w:lang w:eastAsia="ja-JP"/>
        </w:rPr>
      </w:pPr>
      <w:r w:rsidRPr="009A2AB0">
        <w:rPr>
          <w:lang w:eastAsia="ja-JP"/>
        </w:rPr>
        <w:t>The study met its primary efficacy endpoint of a significant increase in OS in patients treated with bevacizumab in combination with chemotherapy (</w:t>
      </w:r>
      <w:proofErr w:type="spellStart"/>
      <w:r w:rsidRPr="009A2AB0">
        <w:rPr>
          <w:lang w:eastAsia="ja-JP"/>
        </w:rPr>
        <w:t>fluoropyrimidine</w:t>
      </w:r>
      <w:proofErr w:type="spellEnd"/>
      <w:r w:rsidRPr="009A2AB0">
        <w:rPr>
          <w:lang w:eastAsia="ja-JP"/>
        </w:rPr>
        <w:t>/</w:t>
      </w:r>
      <w:proofErr w:type="spellStart"/>
      <w:r w:rsidRPr="009A2AB0">
        <w:rPr>
          <w:lang w:eastAsia="ja-JP"/>
        </w:rPr>
        <w:t>irinotecan</w:t>
      </w:r>
      <w:proofErr w:type="spellEnd"/>
      <w:r w:rsidRPr="009A2AB0">
        <w:rPr>
          <w:lang w:eastAsia="ja-JP"/>
        </w:rPr>
        <w:t xml:space="preserve">- or </w:t>
      </w:r>
      <w:proofErr w:type="spellStart"/>
      <w:r w:rsidRPr="009A2AB0">
        <w:rPr>
          <w:lang w:eastAsia="ja-JP"/>
        </w:rPr>
        <w:t>fluoropyrimidine</w:t>
      </w:r>
      <w:proofErr w:type="spellEnd"/>
      <w:r w:rsidRPr="009A2AB0">
        <w:rPr>
          <w:lang w:eastAsia="ja-JP"/>
        </w:rPr>
        <w:t>/</w:t>
      </w:r>
      <w:proofErr w:type="spellStart"/>
      <w:r w:rsidRPr="009A2AB0">
        <w:rPr>
          <w:lang w:eastAsia="ja-JP"/>
        </w:rPr>
        <w:t>oxaliplatin</w:t>
      </w:r>
      <w:proofErr w:type="spellEnd"/>
      <w:r w:rsidRPr="009A2AB0">
        <w:rPr>
          <w:lang w:eastAsia="ja-JP"/>
        </w:rPr>
        <w:t>-based chemotherapy regimens) over patients treated with chemotherapy alone. The median duration of survival increase was 1.4 months. The results however were short of the expected 30% improvement in median time to death in the bevacizumab-containing arm.</w:t>
      </w:r>
      <w:r w:rsidRPr="009A2AB0">
        <w:rPr>
          <w:i/>
          <w:lang w:eastAsia="ja-JP"/>
        </w:rPr>
        <w:t xml:space="preserve"> </w:t>
      </w:r>
      <w:r w:rsidRPr="009A2AB0">
        <w:rPr>
          <w:lang w:eastAsia="ja-JP"/>
        </w:rPr>
        <w:t xml:space="preserve">OS analysis stratified by the prognostic factors was consistent with the unstratified analysis. The results were supported by the results of subgroup analyses. </w:t>
      </w:r>
    </w:p>
    <w:p w:rsidR="009A2AB0" w:rsidRPr="009A2AB0" w:rsidRDefault="009A2AB0" w:rsidP="009A2AB0">
      <w:pPr>
        <w:rPr>
          <w:lang w:eastAsia="ja-JP"/>
        </w:rPr>
      </w:pPr>
      <w:r w:rsidRPr="009A2AB0">
        <w:rPr>
          <w:lang w:eastAsia="ja-JP"/>
        </w:rPr>
        <w:t xml:space="preserve">The secondary end-point was met, by a statistically significant reduction in disease progression in the bevacizumab plus chemotherapy arm compared with the chemotherapy alone arm. The Objective Response Rate was higher in the bevacizumab plus chemotherapy arm but the small difference between the two arms was not statistically significant. </w:t>
      </w:r>
    </w:p>
    <w:p w:rsidR="009A2AB0" w:rsidRPr="009A2AB0" w:rsidRDefault="009A2AB0" w:rsidP="009A2AB0">
      <w:pPr>
        <w:rPr>
          <w:lang w:eastAsia="ja-JP"/>
        </w:rPr>
      </w:pPr>
      <w:r w:rsidRPr="009A2AB0">
        <w:rPr>
          <w:lang w:eastAsia="ja-JP"/>
        </w:rPr>
        <w:t xml:space="preserve">Subgroup analysis by KRAS mutational status did not provide evidence to suggest a valid treatment difference between patients with wild-type versus mutant KRAS </w:t>
      </w:r>
      <w:proofErr w:type="spellStart"/>
      <w:r w:rsidRPr="009A2AB0">
        <w:rPr>
          <w:lang w:eastAsia="ja-JP"/>
        </w:rPr>
        <w:t>mCRC</w:t>
      </w:r>
      <w:proofErr w:type="spellEnd"/>
      <w:r w:rsidRPr="009A2AB0">
        <w:rPr>
          <w:lang w:eastAsia="ja-JP"/>
        </w:rPr>
        <w:t xml:space="preserve"> tumours.</w:t>
      </w:r>
    </w:p>
    <w:p w:rsidR="00C22678" w:rsidRDefault="00C22678" w:rsidP="00C22678">
      <w:pPr>
        <w:pStyle w:val="Heading2"/>
      </w:pPr>
      <w:bookmarkStart w:id="36" w:name="_Toc381608392"/>
      <w:r>
        <w:t>Clinical safety</w:t>
      </w:r>
      <w:bookmarkEnd w:id="36"/>
    </w:p>
    <w:p w:rsidR="009A2AB0" w:rsidRDefault="00700EF6" w:rsidP="00700EF6">
      <w:pPr>
        <w:pStyle w:val="Heading3"/>
      </w:pPr>
      <w:bookmarkStart w:id="37" w:name="_Ref269204367"/>
      <w:bookmarkStart w:id="38" w:name="_Ref271195835"/>
      <w:bookmarkStart w:id="39" w:name="_Ref271195841"/>
      <w:bookmarkStart w:id="40" w:name="_Toc272414660"/>
      <w:bookmarkStart w:id="41" w:name="_Toc273018223"/>
      <w:bookmarkStart w:id="42" w:name="_Toc346186559"/>
      <w:bookmarkStart w:id="43" w:name="_Toc381608393"/>
      <w:r>
        <w:t xml:space="preserve">Pivotal Study </w:t>
      </w:r>
      <w:r w:rsidRPr="00027276">
        <w:t xml:space="preserve">That Assessed </w:t>
      </w:r>
      <w:r>
        <w:t>Safety as a Primary Outcome</w:t>
      </w:r>
      <w:bookmarkEnd w:id="37"/>
      <w:bookmarkEnd w:id="38"/>
      <w:bookmarkEnd w:id="39"/>
      <w:bookmarkEnd w:id="40"/>
      <w:bookmarkEnd w:id="41"/>
      <w:bookmarkEnd w:id="42"/>
      <w:bookmarkEnd w:id="43"/>
    </w:p>
    <w:p w:rsidR="009A2AB0" w:rsidRPr="00410A87" w:rsidRDefault="009A2AB0" w:rsidP="00700EF6">
      <w:pPr>
        <w:pStyle w:val="Heading4"/>
      </w:pPr>
      <w:bookmarkStart w:id="44" w:name="_Ref269201963"/>
      <w:bookmarkStart w:id="45" w:name="_Ref271131054"/>
      <w:bookmarkStart w:id="46" w:name="_Toc272414661"/>
      <w:bookmarkStart w:id="47" w:name="_Toc273018224"/>
      <w:bookmarkStart w:id="48" w:name="_Toc346186560"/>
      <w:r w:rsidRPr="00164DFB">
        <w:t xml:space="preserve">Study </w:t>
      </w:r>
      <w:bookmarkEnd w:id="44"/>
      <w:bookmarkEnd w:id="45"/>
      <w:bookmarkEnd w:id="46"/>
      <w:bookmarkEnd w:id="47"/>
      <w:r>
        <w:t>ML18147</w:t>
      </w:r>
      <w:bookmarkEnd w:id="48"/>
    </w:p>
    <w:p w:rsidR="009A2AB0" w:rsidRDefault="00700EF6" w:rsidP="00700EF6">
      <w:pPr>
        <w:pStyle w:val="Heading5"/>
      </w:pPr>
      <w:bookmarkStart w:id="49" w:name="_Toc241374318"/>
      <w:bookmarkStart w:id="50" w:name="_Ref271196630"/>
      <w:bookmarkStart w:id="51" w:name="_Toc272414662"/>
      <w:bookmarkStart w:id="52" w:name="_Toc273018225"/>
      <w:bookmarkStart w:id="53" w:name="_Toc346186561"/>
      <w:r>
        <w:t>Patient Exposure</w:t>
      </w:r>
      <w:bookmarkEnd w:id="49"/>
      <w:bookmarkEnd w:id="50"/>
      <w:bookmarkEnd w:id="51"/>
      <w:bookmarkEnd w:id="52"/>
      <w:bookmarkEnd w:id="53"/>
    </w:p>
    <w:p w:rsidR="009A2AB0" w:rsidRDefault="009A2AB0" w:rsidP="009A2AB0">
      <w:pPr>
        <w:autoSpaceDE w:val="0"/>
        <w:autoSpaceDN w:val="0"/>
        <w:adjustRightInd w:val="0"/>
      </w:pPr>
      <w:r>
        <w:t>The median duration of exposure in Arm B (</w:t>
      </w:r>
      <w:proofErr w:type="spellStart"/>
      <w:r>
        <w:t>bevacizumab+chemotherapy</w:t>
      </w:r>
      <w:proofErr w:type="spellEnd"/>
      <w:r>
        <w:t xml:space="preserve">) was longer by a month than in Arm </w:t>
      </w:r>
      <w:proofErr w:type="gramStart"/>
      <w:r>
        <w:t>A</w:t>
      </w:r>
      <w:proofErr w:type="gramEnd"/>
      <w:r>
        <w:t xml:space="preserve"> (chemotherapy alone). There were no significant differences in dose intensity between the two ar</w:t>
      </w:r>
      <w:r w:rsidRPr="00B50676">
        <w:t xml:space="preserve">ms. See Table </w:t>
      </w:r>
      <w:r w:rsidR="00B50676" w:rsidRPr="00B50676">
        <w:t>7 below</w:t>
      </w:r>
      <w:r w:rsidRPr="00B50676">
        <w:t>.</w:t>
      </w:r>
      <w:r>
        <w:t xml:space="preserve"> </w:t>
      </w:r>
    </w:p>
    <w:p w:rsidR="00181A86" w:rsidRPr="00181A86" w:rsidRDefault="00181A86" w:rsidP="00181A86">
      <w:pPr>
        <w:pStyle w:val="TableTitle"/>
      </w:pPr>
      <w:r w:rsidRPr="00181A86">
        <w:lastRenderedPageBreak/>
        <w:t xml:space="preserve">Table </w:t>
      </w:r>
      <w:r w:rsidR="00B50676">
        <w:t>7</w:t>
      </w:r>
      <w:r w:rsidRPr="00181A86">
        <w:t xml:space="preserve"> Extent of Exposure to Study Drug (Safety Population)</w:t>
      </w:r>
    </w:p>
    <w:p w:rsidR="00181A86" w:rsidRPr="00181A86" w:rsidRDefault="00181A86" w:rsidP="00181A86">
      <w:pPr>
        <w:autoSpaceDE w:val="0"/>
        <w:autoSpaceDN w:val="0"/>
        <w:adjustRightInd w:val="0"/>
      </w:pPr>
      <w:r w:rsidRPr="00181A86">
        <w:rPr>
          <w:noProof/>
          <w:lang w:eastAsia="en-AU"/>
        </w:rPr>
        <w:drawing>
          <wp:inline distT="0" distB="0" distL="0" distR="0">
            <wp:extent cx="5024593" cy="3067050"/>
            <wp:effectExtent l="19050" t="0" r="4607" b="0"/>
            <wp:docPr id="1" name="Picture 45" descr="Table 7.  Extent of Exposure to Study Drug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duotone>
                        <a:prstClr val="black"/>
                        <a:schemeClr val="bg1">
                          <a:tint val="45000"/>
                          <a:satMod val="400000"/>
                        </a:schemeClr>
                      </a:duotone>
                    </a:blip>
                    <a:srcRect/>
                    <a:stretch>
                      <a:fillRect/>
                    </a:stretch>
                  </pic:blipFill>
                  <pic:spPr bwMode="auto">
                    <a:xfrm>
                      <a:off x="0" y="0"/>
                      <a:ext cx="5027152" cy="3068612"/>
                    </a:xfrm>
                    <a:prstGeom prst="rect">
                      <a:avLst/>
                    </a:prstGeom>
                    <a:noFill/>
                    <a:ln w="9525">
                      <a:noFill/>
                      <a:miter lim="800000"/>
                      <a:headEnd/>
                      <a:tailEnd/>
                    </a:ln>
                  </pic:spPr>
                </pic:pic>
              </a:graphicData>
            </a:graphic>
          </wp:inline>
        </w:drawing>
      </w:r>
    </w:p>
    <w:p w:rsidR="009A2AB0" w:rsidRDefault="00700EF6" w:rsidP="00700EF6">
      <w:pPr>
        <w:pStyle w:val="Heading5"/>
      </w:pPr>
      <w:bookmarkStart w:id="54" w:name="_Toc241374319"/>
      <w:bookmarkStart w:id="55" w:name="_Ref271044764"/>
      <w:bookmarkStart w:id="56" w:name="_Toc272414663"/>
      <w:bookmarkStart w:id="57" w:name="_Toc273018226"/>
      <w:bookmarkStart w:id="58" w:name="_Toc346186562"/>
      <w:r>
        <w:t>Adverse Events</w:t>
      </w:r>
      <w:bookmarkEnd w:id="54"/>
      <w:bookmarkEnd w:id="55"/>
      <w:bookmarkEnd w:id="56"/>
      <w:bookmarkEnd w:id="57"/>
      <w:bookmarkEnd w:id="58"/>
      <w:r w:rsidR="00876763">
        <w:t xml:space="preserve"> (AEs)</w:t>
      </w:r>
    </w:p>
    <w:p w:rsidR="009A2AB0" w:rsidRDefault="009A2AB0" w:rsidP="00700EF6">
      <w:r w:rsidRPr="00B23750">
        <w:t>Almost all the patients in the two arms of the study equally experienced at least one adverse event of any grade. The majority of adverse events were Grade 1 or 2 (</w:t>
      </w:r>
      <w:r w:rsidR="00700EF6">
        <w:t>≥</w:t>
      </w:r>
      <w:r w:rsidRPr="00B23750">
        <w:t xml:space="preserve"> 83% of total adverse events), while the incidence of Grades 3-5 adverse events was higher in Arm B (57.5% in Arm A v</w:t>
      </w:r>
      <w:r w:rsidR="00700EF6">
        <w:t>ersu</w:t>
      </w:r>
      <w:r w:rsidRPr="00B23750">
        <w:t>s 63.6% in Arm B)</w:t>
      </w:r>
      <w:r w:rsidRPr="00B50676">
        <w:t xml:space="preserve">. See Table </w:t>
      </w:r>
      <w:r w:rsidR="00B50676" w:rsidRPr="00B50676">
        <w:t>8 below</w:t>
      </w:r>
      <w:r w:rsidRPr="00B50676">
        <w:t>.</w:t>
      </w:r>
      <w:r>
        <w:t xml:space="preserve"> </w:t>
      </w:r>
    </w:p>
    <w:p w:rsidR="00A14E68" w:rsidRDefault="00A14E68" w:rsidP="00A14E68">
      <w:r w:rsidRPr="00B23750">
        <w:t>The</w:t>
      </w:r>
      <w:r>
        <w:t xml:space="preserve"> most</w:t>
      </w:r>
      <w:r w:rsidRPr="00B23750">
        <w:t xml:space="preserve"> common adverse events</w:t>
      </w:r>
      <w:r>
        <w:t xml:space="preserve"> of any grade (incidence ≥ 20%) were d</w:t>
      </w:r>
      <w:r w:rsidRPr="00B50676">
        <w:t xml:space="preserve">iarrhoea, nausea, vomiting, asthenia, neutropaenia, fatigue, abdominal pain and constipation. See Table 9. Adverse events that were commoner (≥ 5%) in Arm B </w:t>
      </w:r>
      <w:proofErr w:type="gramStart"/>
      <w:r w:rsidRPr="00B50676">
        <w:t>were</w:t>
      </w:r>
      <w:proofErr w:type="gramEnd"/>
      <w:r w:rsidRPr="00B50676">
        <w:t xml:space="preserve"> neutropaenia, mucosal inflammation, pyrexia and hypertension. Diarrhoea and epistaxis were also commoner (incidence </w:t>
      </w:r>
      <w:r>
        <w:t>≥</w:t>
      </w:r>
      <w:r w:rsidRPr="00B50676">
        <w:t xml:space="preserve"> 10%) in Arm B See Table 10 below.</w:t>
      </w:r>
      <w:r w:rsidRPr="00C15D28">
        <w:t xml:space="preserve"> </w:t>
      </w:r>
    </w:p>
    <w:p w:rsidR="00567002" w:rsidRDefault="00B50676" w:rsidP="00C30983">
      <w:pPr>
        <w:pStyle w:val="TableTitle"/>
        <w:keepLines/>
        <w:spacing w:after="0"/>
        <w:rPr>
          <w:szCs w:val="20"/>
        </w:rPr>
      </w:pPr>
      <w:proofErr w:type="gramStart"/>
      <w:r>
        <w:lastRenderedPageBreak/>
        <w:t>Table 8.</w:t>
      </w:r>
      <w:proofErr w:type="gramEnd"/>
      <w:r w:rsidR="00181A86" w:rsidRPr="00181A86">
        <w:t xml:space="preserve">  Summary of Overall Safety (Safety Population)</w:t>
      </w:r>
      <w:r w:rsidR="00181A86" w:rsidRPr="00181A86">
        <w:rPr>
          <w:noProof/>
          <w:lang w:eastAsia="en-AU"/>
        </w:rPr>
        <w:drawing>
          <wp:inline distT="0" distB="0" distL="0" distR="0">
            <wp:extent cx="4331175" cy="3993662"/>
            <wp:effectExtent l="19050" t="0" r="0" b="0"/>
            <wp:docPr id="10" name="Picture 46" descr="Table 8.  Summary of Overall Safe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duotone>
                        <a:prstClr val="black"/>
                        <a:schemeClr val="bg1">
                          <a:tint val="45000"/>
                          <a:satMod val="400000"/>
                        </a:schemeClr>
                      </a:duotone>
                    </a:blip>
                    <a:srcRect l="1121" t="736" r="10392" b="28758"/>
                    <a:stretch>
                      <a:fillRect/>
                    </a:stretch>
                  </pic:blipFill>
                  <pic:spPr bwMode="auto">
                    <a:xfrm>
                      <a:off x="0" y="0"/>
                      <a:ext cx="4332288" cy="3994689"/>
                    </a:xfrm>
                    <a:prstGeom prst="rect">
                      <a:avLst/>
                    </a:prstGeom>
                    <a:noFill/>
                    <a:ln w="9525">
                      <a:noFill/>
                      <a:miter lim="800000"/>
                      <a:headEnd/>
                      <a:tailEnd/>
                    </a:ln>
                  </pic:spPr>
                </pic:pic>
              </a:graphicData>
            </a:graphic>
          </wp:inline>
        </w:drawing>
      </w:r>
    </w:p>
    <w:p w:rsidR="00912B11" w:rsidRPr="00567002" w:rsidRDefault="00912B11" w:rsidP="00C30983">
      <w:pPr>
        <w:keepNext/>
        <w:keepLines/>
        <w:spacing w:before="0"/>
        <w:rPr>
          <w:sz w:val="20"/>
          <w:szCs w:val="20"/>
        </w:rPr>
      </w:pPr>
      <w:r w:rsidRPr="00567002">
        <w:rPr>
          <w:sz w:val="20"/>
          <w:szCs w:val="20"/>
        </w:rPr>
        <w:t>AE=adverse event; AESI=adverse event of special interest; Bev=</w:t>
      </w:r>
      <w:proofErr w:type="spellStart"/>
      <w:r w:rsidRPr="00567002">
        <w:rPr>
          <w:sz w:val="20"/>
          <w:szCs w:val="20"/>
        </w:rPr>
        <w:t>bevacizumab</w:t>
      </w:r>
      <w:proofErr w:type="spellEnd"/>
      <w:r w:rsidRPr="00567002">
        <w:rPr>
          <w:sz w:val="20"/>
          <w:szCs w:val="20"/>
        </w:rPr>
        <w:t>; Chemo-</w:t>
      </w:r>
      <w:proofErr w:type="spellStart"/>
      <w:r w:rsidRPr="00567002">
        <w:rPr>
          <w:sz w:val="20"/>
          <w:szCs w:val="20"/>
        </w:rPr>
        <w:t>chemotherpy</w:t>
      </w:r>
      <w:proofErr w:type="spellEnd"/>
      <w:r w:rsidRPr="00567002">
        <w:rPr>
          <w:sz w:val="20"/>
          <w:szCs w:val="20"/>
        </w:rPr>
        <w:t xml:space="preserve">; GI=gastrointestinal; N/A=not applicable; </w:t>
      </w:r>
      <w:proofErr w:type="spellStart"/>
      <w:r w:rsidRPr="00567002">
        <w:rPr>
          <w:sz w:val="20"/>
          <w:szCs w:val="20"/>
        </w:rPr>
        <w:t>PRES+posterior</w:t>
      </w:r>
      <w:proofErr w:type="spellEnd"/>
      <w:r w:rsidRPr="00567002">
        <w:rPr>
          <w:sz w:val="20"/>
          <w:szCs w:val="20"/>
        </w:rPr>
        <w:t xml:space="preserve"> reversible encephalopathy syndrome.</w:t>
      </w:r>
      <w:r w:rsidR="00C30983">
        <w:rPr>
          <w:sz w:val="20"/>
          <w:szCs w:val="20"/>
        </w:rPr>
        <w:t xml:space="preserve"> </w:t>
      </w:r>
      <w:proofErr w:type="spellStart"/>
      <w:r w:rsidRPr="00567002">
        <w:rPr>
          <w:sz w:val="20"/>
          <w:szCs w:val="20"/>
          <w:vertAlign w:val="superscript"/>
        </w:rPr>
        <w:t>a</w:t>
      </w:r>
      <w:r w:rsidRPr="00567002">
        <w:rPr>
          <w:sz w:val="20"/>
          <w:szCs w:val="20"/>
        </w:rPr>
        <w:t>includes</w:t>
      </w:r>
      <w:proofErr w:type="spellEnd"/>
      <w:r w:rsidRPr="00567002">
        <w:rPr>
          <w:sz w:val="20"/>
          <w:szCs w:val="20"/>
        </w:rPr>
        <w:t xml:space="preserve"> 4 patients in the Chemo arm and 3 patients in the </w:t>
      </w:r>
      <w:proofErr w:type="spellStart"/>
      <w:r w:rsidRPr="00567002">
        <w:rPr>
          <w:sz w:val="20"/>
          <w:szCs w:val="20"/>
        </w:rPr>
        <w:t>Chemo+Bev</w:t>
      </w:r>
      <w:proofErr w:type="spellEnd"/>
      <w:r w:rsidRPr="00567002">
        <w:rPr>
          <w:sz w:val="20"/>
          <w:szCs w:val="20"/>
        </w:rPr>
        <w:t xml:space="preserve"> arm for whom PD leading to death was captured as a Grade 5 AE on eCRF</w:t>
      </w:r>
      <w:r w:rsidR="00567002" w:rsidRPr="00567002">
        <w:rPr>
          <w:sz w:val="20"/>
          <w:szCs w:val="20"/>
        </w:rPr>
        <w:t xml:space="preserve">; </w:t>
      </w:r>
      <w:r w:rsidRPr="00567002">
        <w:rPr>
          <w:sz w:val="20"/>
          <w:szCs w:val="20"/>
          <w:vertAlign w:val="superscript"/>
        </w:rPr>
        <w:t>b</w:t>
      </w:r>
      <w:r w:rsidRPr="00567002">
        <w:rPr>
          <w:sz w:val="20"/>
          <w:szCs w:val="20"/>
        </w:rPr>
        <w:t xml:space="preserve"> Refers to discontinuation of chemotherapy only (5 patients) or </w:t>
      </w:r>
      <w:proofErr w:type="spellStart"/>
      <w:r w:rsidRPr="00567002">
        <w:rPr>
          <w:sz w:val="20"/>
          <w:szCs w:val="20"/>
        </w:rPr>
        <w:t>Chemo+Bev</w:t>
      </w:r>
      <w:proofErr w:type="spellEnd"/>
      <w:r w:rsidRPr="00567002">
        <w:rPr>
          <w:sz w:val="20"/>
          <w:szCs w:val="20"/>
        </w:rPr>
        <w:t xml:space="preserve"> (48 patients); </w:t>
      </w:r>
      <w:proofErr w:type="spellStart"/>
      <w:r w:rsidRPr="00567002">
        <w:rPr>
          <w:sz w:val="20"/>
          <w:szCs w:val="20"/>
          <w:vertAlign w:val="superscript"/>
        </w:rPr>
        <w:t>c</w:t>
      </w:r>
      <w:r w:rsidRPr="00567002">
        <w:rPr>
          <w:sz w:val="20"/>
          <w:szCs w:val="20"/>
        </w:rPr>
        <w:t>refers</w:t>
      </w:r>
      <w:proofErr w:type="spellEnd"/>
      <w:r w:rsidRPr="00567002">
        <w:rPr>
          <w:sz w:val="20"/>
          <w:szCs w:val="20"/>
        </w:rPr>
        <w:t xml:space="preserve"> to discontinuation of Bev only (10 patients) or Bev</w:t>
      </w:r>
      <w:r w:rsidR="00567002" w:rsidRPr="00567002">
        <w:rPr>
          <w:sz w:val="20"/>
          <w:szCs w:val="20"/>
        </w:rPr>
        <w:t>+</w:t>
      </w:r>
      <w:r w:rsidRPr="00567002">
        <w:rPr>
          <w:sz w:val="20"/>
          <w:szCs w:val="20"/>
        </w:rPr>
        <w:t xml:space="preserve"> Chemo (48 patients); </w:t>
      </w:r>
      <w:r w:rsidRPr="00567002">
        <w:rPr>
          <w:sz w:val="20"/>
          <w:szCs w:val="20"/>
          <w:vertAlign w:val="superscript"/>
        </w:rPr>
        <w:t>d</w:t>
      </w:r>
      <w:r w:rsidR="00567002" w:rsidRPr="00567002">
        <w:rPr>
          <w:sz w:val="20"/>
          <w:szCs w:val="20"/>
          <w:vertAlign w:val="superscript"/>
        </w:rPr>
        <w:t xml:space="preserve"> </w:t>
      </w:r>
      <w:r w:rsidRPr="00567002">
        <w:rPr>
          <w:sz w:val="20"/>
          <w:szCs w:val="20"/>
        </w:rPr>
        <w:t xml:space="preserve">patients may report multiple adverse events of special interest; </w:t>
      </w:r>
      <w:proofErr w:type="spellStart"/>
      <w:r w:rsidRPr="00567002">
        <w:rPr>
          <w:sz w:val="20"/>
          <w:szCs w:val="20"/>
          <w:vertAlign w:val="superscript"/>
        </w:rPr>
        <w:t>e</w:t>
      </w:r>
      <w:r w:rsidRPr="00567002">
        <w:rPr>
          <w:sz w:val="20"/>
          <w:szCs w:val="20"/>
        </w:rPr>
        <w:t>includes</w:t>
      </w:r>
      <w:proofErr w:type="spellEnd"/>
      <w:r w:rsidRPr="00567002">
        <w:rPr>
          <w:sz w:val="20"/>
          <w:szCs w:val="20"/>
        </w:rPr>
        <w:t xml:space="preserve"> 4 patients where a single reported event was considered as two distinct AESI </w:t>
      </w:r>
    </w:p>
    <w:p w:rsidR="00181A86" w:rsidRPr="00181A86" w:rsidRDefault="00181A86" w:rsidP="00B50676">
      <w:pPr>
        <w:pStyle w:val="TableTitle"/>
      </w:pPr>
      <w:proofErr w:type="gramStart"/>
      <w:r w:rsidRPr="00181A86">
        <w:lastRenderedPageBreak/>
        <w:t xml:space="preserve">Table </w:t>
      </w:r>
      <w:r w:rsidR="00B50676">
        <w:t>9.</w:t>
      </w:r>
      <w:proofErr w:type="gramEnd"/>
      <w:r w:rsidRPr="00181A86">
        <w:t xml:space="preserve">  Summary of Adverse Events with an Incidence Rate of ≥ 5% (Safety Population)</w:t>
      </w:r>
      <w:r w:rsidRPr="00181A86">
        <w:rPr>
          <w:noProof/>
          <w:lang w:eastAsia="en-AU"/>
        </w:rPr>
        <w:drawing>
          <wp:inline distT="0" distB="0" distL="0" distR="0">
            <wp:extent cx="4961283" cy="4360985"/>
            <wp:effectExtent l="19050" t="0" r="0" b="0"/>
            <wp:docPr id="23" name="Picture 1" descr="Table 9.  Summary of Adverse Events with an Incidence Rate of ≥ 5%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duotone>
                        <a:prstClr val="black"/>
                        <a:schemeClr val="bg1">
                          <a:tint val="45000"/>
                          <a:satMod val="400000"/>
                        </a:schemeClr>
                      </a:duotone>
                    </a:blip>
                    <a:srcRect/>
                    <a:stretch>
                      <a:fillRect/>
                    </a:stretch>
                  </pic:blipFill>
                  <pic:spPr bwMode="auto">
                    <a:xfrm>
                      <a:off x="0" y="0"/>
                      <a:ext cx="4961859" cy="4361491"/>
                    </a:xfrm>
                    <a:prstGeom prst="rect">
                      <a:avLst/>
                    </a:prstGeom>
                    <a:noFill/>
                    <a:ln w="9525">
                      <a:noFill/>
                      <a:miter lim="800000"/>
                      <a:headEnd/>
                      <a:tailEnd/>
                    </a:ln>
                  </pic:spPr>
                </pic:pic>
              </a:graphicData>
            </a:graphic>
          </wp:inline>
        </w:drawing>
      </w:r>
    </w:p>
    <w:p w:rsidR="00181A86" w:rsidRPr="00181A86" w:rsidRDefault="00181A86" w:rsidP="00B50676">
      <w:pPr>
        <w:pStyle w:val="TableTitle"/>
      </w:pPr>
      <w:proofErr w:type="gramStart"/>
      <w:r w:rsidRPr="00181A86">
        <w:t>Table 1</w:t>
      </w:r>
      <w:r w:rsidR="00B50676">
        <w:t>0.</w:t>
      </w:r>
      <w:proofErr w:type="gramEnd"/>
      <w:r w:rsidRPr="00181A86">
        <w:t xml:space="preserve">  Summary of Adverse Events with Difference in Incidence ≥ 5% between Treatment Arms (Safety Population)</w:t>
      </w:r>
    </w:p>
    <w:p w:rsidR="00181A86" w:rsidRPr="00181A86" w:rsidRDefault="00181A86" w:rsidP="00181A86">
      <w:r w:rsidRPr="00181A86">
        <w:rPr>
          <w:noProof/>
          <w:lang w:eastAsia="en-AU"/>
        </w:rPr>
        <w:drawing>
          <wp:inline distT="0" distB="0" distL="0" distR="0">
            <wp:extent cx="5048250" cy="2581275"/>
            <wp:effectExtent l="19050" t="0" r="0" b="0"/>
            <wp:docPr id="36" name="Picture 47" descr="Table 10.  Summary of Adverse Events with Difference in Incidence ≥ 5% between Treatment Arm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duotone>
                        <a:prstClr val="black"/>
                        <a:schemeClr val="bg1">
                          <a:tint val="45000"/>
                          <a:satMod val="400000"/>
                        </a:schemeClr>
                      </a:duotone>
                    </a:blip>
                    <a:srcRect/>
                    <a:stretch>
                      <a:fillRect/>
                    </a:stretch>
                  </pic:blipFill>
                  <pic:spPr bwMode="auto">
                    <a:xfrm>
                      <a:off x="0" y="0"/>
                      <a:ext cx="5048250" cy="2581275"/>
                    </a:xfrm>
                    <a:prstGeom prst="rect">
                      <a:avLst/>
                    </a:prstGeom>
                    <a:noFill/>
                    <a:ln w="9525">
                      <a:noFill/>
                      <a:miter lim="800000"/>
                      <a:headEnd/>
                      <a:tailEnd/>
                    </a:ln>
                  </pic:spPr>
                </pic:pic>
              </a:graphicData>
            </a:graphic>
          </wp:inline>
        </w:drawing>
      </w:r>
    </w:p>
    <w:p w:rsidR="009A2AB0" w:rsidRDefault="009A2AB0" w:rsidP="009A2AB0">
      <w:pPr>
        <w:rPr>
          <w:b/>
        </w:rPr>
      </w:pPr>
      <w:r>
        <w:t>The most frequently reported Grade 3-5 adverse events were neutropaenia, diarrhoea, and asthenia. The Grade 3-5 adverse events that were commoner (</w:t>
      </w:r>
      <w:r w:rsidR="00700EF6">
        <w:t>≥</w:t>
      </w:r>
      <w:r>
        <w:t xml:space="preserve"> 2% higher) in Arm B than in Arm A included neutropaenia and mucosal inflammatio</w:t>
      </w:r>
      <w:r w:rsidRPr="00B50676">
        <w:t>n. See Table 1</w:t>
      </w:r>
      <w:r w:rsidR="00B50676" w:rsidRPr="00B50676">
        <w:t>1</w:t>
      </w:r>
      <w:r w:rsidRPr="00B50676">
        <w:t>.</w:t>
      </w:r>
      <w:r w:rsidRPr="00F83651">
        <w:rPr>
          <w:b/>
        </w:rPr>
        <w:t xml:space="preserve"> </w:t>
      </w:r>
    </w:p>
    <w:p w:rsidR="00181A86" w:rsidRPr="00181A86" w:rsidRDefault="00181A86" w:rsidP="00B50676">
      <w:pPr>
        <w:pStyle w:val="TableTitle"/>
      </w:pPr>
      <w:proofErr w:type="gramStart"/>
      <w:r w:rsidRPr="00181A86">
        <w:lastRenderedPageBreak/>
        <w:t>Table 1</w:t>
      </w:r>
      <w:r w:rsidR="00B50676">
        <w:t>1.</w:t>
      </w:r>
      <w:proofErr w:type="gramEnd"/>
      <w:r w:rsidRPr="00181A86">
        <w:t xml:space="preserve">  Summary of Most Frequent Grade 3-5 Adverse Events (Incidence ≥ 2%) (</w:t>
      </w:r>
      <w:proofErr w:type="gramStart"/>
      <w:r w:rsidRPr="00181A86">
        <w:t>safety</w:t>
      </w:r>
      <w:proofErr w:type="gramEnd"/>
      <w:r w:rsidRPr="00181A86">
        <w:t xml:space="preserve"> Population)</w:t>
      </w:r>
    </w:p>
    <w:p w:rsidR="00181A86" w:rsidRPr="00181A86" w:rsidRDefault="00181A86" w:rsidP="00181A86">
      <w:pPr>
        <w:rPr>
          <w:b/>
        </w:rPr>
      </w:pPr>
      <w:r w:rsidRPr="00181A86">
        <w:rPr>
          <w:b/>
          <w:noProof/>
          <w:lang w:eastAsia="en-AU"/>
        </w:rPr>
        <w:drawing>
          <wp:inline distT="0" distB="0" distL="0" distR="0">
            <wp:extent cx="5400675" cy="2657475"/>
            <wp:effectExtent l="19050" t="0" r="9525" b="0"/>
            <wp:docPr id="49" name="Picture 50" descr="Table 11.  Summary of Most Frequent Grade 3-5 Adverse Events (Incidence ≥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5400675" cy="2657475"/>
                    </a:xfrm>
                    <a:prstGeom prst="rect">
                      <a:avLst/>
                    </a:prstGeom>
                    <a:noFill/>
                    <a:ln w="9525">
                      <a:noFill/>
                      <a:miter lim="800000"/>
                      <a:headEnd/>
                      <a:tailEnd/>
                    </a:ln>
                  </pic:spPr>
                </pic:pic>
              </a:graphicData>
            </a:graphic>
          </wp:inline>
        </w:drawing>
      </w:r>
    </w:p>
    <w:p w:rsidR="009A2AB0" w:rsidRDefault="00700EF6" w:rsidP="00700EF6">
      <w:pPr>
        <w:pStyle w:val="Heading6"/>
      </w:pPr>
      <w:bookmarkStart w:id="59" w:name="_Toc346186563"/>
      <w:r>
        <w:t>Adverse Events of Special Interest</w:t>
      </w:r>
      <w:bookmarkEnd w:id="59"/>
      <w:r w:rsidR="00876763">
        <w:t xml:space="preserve"> (AESI)</w:t>
      </w:r>
    </w:p>
    <w:p w:rsidR="009A2AB0" w:rsidRPr="00407245" w:rsidRDefault="009A2AB0" w:rsidP="009A2AB0">
      <w:r>
        <w:t xml:space="preserve">Adverse events of special interest (AESI) were those associated with bevacizumab treatment. They were, as expected, more frequently reported in Arm B (40.6%) than in Arm </w:t>
      </w:r>
      <w:proofErr w:type="gramStart"/>
      <w:r>
        <w:t>A</w:t>
      </w:r>
      <w:proofErr w:type="gramEnd"/>
      <w:r>
        <w:t xml:space="preserve"> (20.8%). </w:t>
      </w:r>
      <w:r w:rsidRPr="001A22A9">
        <w:t xml:space="preserve">Hypertension, proteinuria, bleeding, abscesses and fistulae, </w:t>
      </w:r>
      <w:r w:rsidR="00876763">
        <w:t>gastrointestinal (</w:t>
      </w:r>
      <w:r w:rsidRPr="001A22A9">
        <w:t>GI</w:t>
      </w:r>
      <w:r w:rsidR="00876763">
        <w:t>)</w:t>
      </w:r>
      <w:r w:rsidRPr="001A22A9">
        <w:t xml:space="preserve"> perforation, congestive heart failure, thrombo-embolic events (venous </w:t>
      </w:r>
      <w:r w:rsidR="00876763">
        <w:t>and</w:t>
      </w:r>
      <w:r w:rsidRPr="001A22A9">
        <w:t xml:space="preserve"> arterial), and wound healing complications are known adverse events associated with bevacizumab therapy.</w:t>
      </w:r>
      <w:r>
        <w:t xml:space="preserve"> Most of these were Grades 1-2. There </w:t>
      </w:r>
      <w:proofErr w:type="gramStart"/>
      <w:r>
        <w:t>was</w:t>
      </w:r>
      <w:proofErr w:type="gramEnd"/>
      <w:r>
        <w:t xml:space="preserve"> a higher proportion of patients with Grade 3-5 AESIs in Arm B compared with Arm A. </w:t>
      </w:r>
      <w:r w:rsidRPr="00F42A63">
        <w:t>The difference</w:t>
      </w:r>
      <w:r>
        <w:t xml:space="preserve"> in incidence</w:t>
      </w:r>
      <w:r w:rsidRPr="00F42A63">
        <w:t xml:space="preserve"> between the arms </w:t>
      </w:r>
      <w:r>
        <w:t xml:space="preserve">for each individual AESI </w:t>
      </w:r>
      <w:r w:rsidRPr="00F42A63">
        <w:t>was &lt; 2</w:t>
      </w:r>
      <w:r w:rsidRPr="00B50676">
        <w:t xml:space="preserve">%. See Table </w:t>
      </w:r>
      <w:r w:rsidR="00B50676" w:rsidRPr="00B50676">
        <w:t>8</w:t>
      </w:r>
      <w:r w:rsidRPr="00B50676">
        <w:t>.</w:t>
      </w:r>
      <w:r w:rsidRPr="00407245">
        <w:t xml:space="preserve"> </w:t>
      </w:r>
    </w:p>
    <w:p w:rsidR="009A2AB0" w:rsidRPr="00DA1E63" w:rsidRDefault="009A2AB0" w:rsidP="00876763">
      <w:pPr>
        <w:pStyle w:val="Heading6"/>
      </w:pPr>
      <w:bookmarkStart w:id="60" w:name="_Toc346186564"/>
      <w:r w:rsidRPr="00DA1E63">
        <w:t>Hypertension</w:t>
      </w:r>
      <w:bookmarkEnd w:id="60"/>
      <w:r w:rsidRPr="00DA1E63">
        <w:t xml:space="preserve"> </w:t>
      </w:r>
    </w:p>
    <w:p w:rsidR="009A2AB0" w:rsidRDefault="009A2AB0" w:rsidP="00876763">
      <w:r w:rsidRPr="005E71BA">
        <w:t xml:space="preserve">The incidence of hypertension was higher in Arm B than in Arm </w:t>
      </w:r>
      <w:proofErr w:type="gramStart"/>
      <w:r w:rsidRPr="005E71BA">
        <w:t>A</w:t>
      </w:r>
      <w:proofErr w:type="gramEnd"/>
      <w:r w:rsidRPr="005E71BA">
        <w:t xml:space="preserve"> (11.5% v</w:t>
      </w:r>
      <w:r w:rsidR="00876763">
        <w:t>ersu</w:t>
      </w:r>
      <w:r w:rsidRPr="005E71BA">
        <w:t xml:space="preserve">s 6.6%). The majority of hypertension events were of Grades 1/2 severity. One patient in Arm A and 2 patients in Arm B had hypertension that was reported as a </w:t>
      </w:r>
      <w:r w:rsidR="00876763">
        <w:t>serious AE (</w:t>
      </w:r>
      <w:r w:rsidRPr="005E71BA">
        <w:t>SAE</w:t>
      </w:r>
      <w:r w:rsidR="00876763">
        <w:t>)</w:t>
      </w:r>
      <w:r w:rsidRPr="005E71BA">
        <w:t>. In all, hypertension of any grade led to discontinuation of bevacizumab in 2 patients and interruption of bevacizumab dosing in 5 patien</w:t>
      </w:r>
      <w:r w:rsidRPr="00B50676">
        <w:t>ts. See Table 1</w:t>
      </w:r>
      <w:r w:rsidR="00B50676" w:rsidRPr="00B50676">
        <w:t>2</w:t>
      </w:r>
      <w:r w:rsidRPr="00B50676">
        <w:t>.</w:t>
      </w:r>
      <w:r w:rsidRPr="005E71BA">
        <w:t xml:space="preserve"> </w:t>
      </w:r>
    </w:p>
    <w:p w:rsidR="00A14E68" w:rsidRDefault="00181A86" w:rsidP="00A14E68">
      <w:pPr>
        <w:pStyle w:val="TableTitle"/>
        <w:rPr>
          <w:szCs w:val="20"/>
          <w:vertAlign w:val="superscript"/>
        </w:rPr>
      </w:pPr>
      <w:proofErr w:type="gramStart"/>
      <w:r w:rsidRPr="00181A86">
        <w:t>Table 1</w:t>
      </w:r>
      <w:r w:rsidR="00B50676">
        <w:t>2.</w:t>
      </w:r>
      <w:proofErr w:type="gramEnd"/>
      <w:r w:rsidRPr="00181A86">
        <w:t xml:space="preserve">  Summary of Hypertension (Safety Population)</w:t>
      </w:r>
      <w:r w:rsidRPr="00181A86">
        <w:rPr>
          <w:noProof/>
          <w:lang w:eastAsia="en-AU"/>
        </w:rPr>
        <w:drawing>
          <wp:inline distT="0" distB="0" distL="0" distR="0">
            <wp:extent cx="4803042" cy="1797539"/>
            <wp:effectExtent l="19050" t="0" r="0" b="0"/>
            <wp:docPr id="62" name="Picture 51" descr="Table 12.  Summary of Hypertens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duotone>
                        <a:prstClr val="black"/>
                        <a:schemeClr val="bg1">
                          <a:tint val="45000"/>
                          <a:satMod val="400000"/>
                        </a:schemeClr>
                      </a:duotone>
                    </a:blip>
                    <a:srcRect l="1188" t="3140" r="2201" b="41304"/>
                    <a:stretch>
                      <a:fillRect/>
                    </a:stretch>
                  </pic:blipFill>
                  <pic:spPr bwMode="auto">
                    <a:xfrm>
                      <a:off x="0" y="0"/>
                      <a:ext cx="4803042" cy="1797539"/>
                    </a:xfrm>
                    <a:prstGeom prst="rect">
                      <a:avLst/>
                    </a:prstGeom>
                    <a:noFill/>
                    <a:ln w="9525">
                      <a:noFill/>
                      <a:miter lim="800000"/>
                      <a:headEnd/>
                      <a:tailEnd/>
                    </a:ln>
                  </pic:spPr>
                </pic:pic>
              </a:graphicData>
            </a:graphic>
          </wp:inline>
        </w:drawing>
      </w:r>
    </w:p>
    <w:p w:rsidR="00C30983" w:rsidRPr="00C30983" w:rsidRDefault="00A14E68" w:rsidP="00181A86">
      <w:pPr>
        <w:rPr>
          <w:sz w:val="20"/>
          <w:szCs w:val="20"/>
        </w:rPr>
      </w:pPr>
      <w:r>
        <w:rPr>
          <w:sz w:val="20"/>
          <w:szCs w:val="20"/>
          <w:vertAlign w:val="superscript"/>
        </w:rPr>
        <w:t>a</w:t>
      </w:r>
      <w:r>
        <w:rPr>
          <w:sz w:val="20"/>
          <w:szCs w:val="20"/>
        </w:rPr>
        <w:t xml:space="preserve"> Includes the preferred terms hypertension, hypertensive crisis and hypertensive emergency; </w:t>
      </w:r>
      <w:r w:rsidR="00C30983" w:rsidRPr="00C30983">
        <w:rPr>
          <w:sz w:val="20"/>
          <w:szCs w:val="20"/>
          <w:vertAlign w:val="superscript"/>
        </w:rPr>
        <w:t>b</w:t>
      </w:r>
      <w:r w:rsidR="00C30983" w:rsidRPr="00C30983">
        <w:rPr>
          <w:sz w:val="20"/>
          <w:szCs w:val="20"/>
        </w:rPr>
        <w:t xml:space="preserve"> One patient with Grade 2 hypertension and one patient with Grade 4 hypertensive emergency</w:t>
      </w:r>
      <w:r w:rsidR="00C30983">
        <w:rPr>
          <w:sz w:val="20"/>
          <w:szCs w:val="20"/>
        </w:rPr>
        <w:t xml:space="preserve">; </w:t>
      </w:r>
      <w:proofErr w:type="spellStart"/>
      <w:r w:rsidR="00C30983" w:rsidRPr="00C30983">
        <w:rPr>
          <w:sz w:val="20"/>
          <w:szCs w:val="20"/>
          <w:vertAlign w:val="superscript"/>
        </w:rPr>
        <w:t>c</w:t>
      </w:r>
      <w:r w:rsidR="00C30983" w:rsidRPr="00C30983">
        <w:rPr>
          <w:sz w:val="20"/>
          <w:szCs w:val="20"/>
        </w:rPr>
        <w:t>One</w:t>
      </w:r>
      <w:proofErr w:type="spellEnd"/>
      <w:r w:rsidR="00C30983" w:rsidRPr="00C30983">
        <w:rPr>
          <w:sz w:val="20"/>
          <w:szCs w:val="20"/>
        </w:rPr>
        <w:t xml:space="preserve"> patient with Grade 4 hypertensive emergency and one patient with Grade 3 hypertension</w:t>
      </w:r>
      <w:r w:rsidR="00C30983">
        <w:rPr>
          <w:sz w:val="20"/>
          <w:szCs w:val="20"/>
        </w:rPr>
        <w:t xml:space="preserve">; </w:t>
      </w:r>
      <w:r w:rsidR="00C30983" w:rsidRPr="00C30983">
        <w:rPr>
          <w:sz w:val="20"/>
          <w:szCs w:val="20"/>
          <w:vertAlign w:val="superscript"/>
        </w:rPr>
        <w:t>d</w:t>
      </w:r>
      <w:r w:rsidR="00C30983" w:rsidRPr="00C30983">
        <w:rPr>
          <w:sz w:val="20"/>
          <w:szCs w:val="20"/>
        </w:rPr>
        <w:t xml:space="preserve"> One patient Grade 3 and four patients with Grade 2.</w:t>
      </w:r>
      <w:r w:rsidR="00C30983">
        <w:rPr>
          <w:sz w:val="20"/>
          <w:szCs w:val="20"/>
        </w:rPr>
        <w:t xml:space="preserve">; </w:t>
      </w:r>
      <w:r w:rsidR="00C30983" w:rsidRPr="00C30983">
        <w:rPr>
          <w:sz w:val="20"/>
          <w:szCs w:val="20"/>
          <w:vertAlign w:val="superscript"/>
        </w:rPr>
        <w:t>e</w:t>
      </w:r>
      <w:r w:rsidR="00C30983" w:rsidRPr="00C30983">
        <w:rPr>
          <w:sz w:val="20"/>
          <w:szCs w:val="20"/>
        </w:rPr>
        <w:t xml:space="preserve"> One patient Grade 1 in the Chemo arm and one patient in the </w:t>
      </w:r>
      <w:proofErr w:type="spellStart"/>
      <w:r w:rsidR="00C30983" w:rsidRPr="00C30983">
        <w:rPr>
          <w:sz w:val="20"/>
          <w:szCs w:val="20"/>
        </w:rPr>
        <w:t>Chemo+Bev</w:t>
      </w:r>
      <w:proofErr w:type="spellEnd"/>
      <w:r w:rsidR="00C30983" w:rsidRPr="00C30983">
        <w:rPr>
          <w:sz w:val="20"/>
          <w:szCs w:val="20"/>
        </w:rPr>
        <w:t xml:space="preserve"> arm.</w:t>
      </w:r>
    </w:p>
    <w:p w:rsidR="009A2AB0" w:rsidRPr="0087613C" w:rsidRDefault="009A2AB0" w:rsidP="00876763">
      <w:pPr>
        <w:pStyle w:val="Heading6"/>
      </w:pPr>
      <w:bookmarkStart w:id="61" w:name="_Toc346186565"/>
      <w:r>
        <w:lastRenderedPageBreak/>
        <w:t>Proteinuria</w:t>
      </w:r>
      <w:bookmarkEnd w:id="61"/>
    </w:p>
    <w:p w:rsidR="009A2AB0" w:rsidRDefault="009A2AB0" w:rsidP="009A2AB0">
      <w:pPr>
        <w:autoSpaceDE w:val="0"/>
        <w:autoSpaceDN w:val="0"/>
        <w:adjustRightInd w:val="0"/>
      </w:pPr>
      <w:r>
        <w:t>Protei</w:t>
      </w:r>
      <w:r w:rsidR="00D945EC">
        <w:t>n</w:t>
      </w:r>
      <w:r>
        <w:t xml:space="preserve">uria was commoner in Arm B than in Arm </w:t>
      </w:r>
      <w:proofErr w:type="gramStart"/>
      <w:r>
        <w:t>A</w:t>
      </w:r>
      <w:proofErr w:type="gramEnd"/>
      <w:r>
        <w:t xml:space="preserve"> (5% v</w:t>
      </w:r>
      <w:r w:rsidR="00876763">
        <w:t>ersu</w:t>
      </w:r>
      <w:r>
        <w:t>s 1%). The majority of the proteinuria events were of Grades 1/2 severity. None of the events were re</w:t>
      </w:r>
      <w:r w:rsidRPr="00B50676">
        <w:t>ported as SAEs. See Table 1</w:t>
      </w:r>
      <w:r w:rsidR="00B50676" w:rsidRPr="00B50676">
        <w:t>3</w:t>
      </w:r>
      <w:r w:rsidRPr="00B50676">
        <w:t>.</w:t>
      </w:r>
    </w:p>
    <w:p w:rsidR="00181A86" w:rsidRPr="00181A86" w:rsidRDefault="00181A86" w:rsidP="00B50676">
      <w:pPr>
        <w:pStyle w:val="TableTitle"/>
      </w:pPr>
      <w:proofErr w:type="gramStart"/>
      <w:r w:rsidRPr="00181A86">
        <w:t>Table 1</w:t>
      </w:r>
      <w:r w:rsidR="00B50676">
        <w:t>3.</w:t>
      </w:r>
      <w:proofErr w:type="gramEnd"/>
      <w:r w:rsidRPr="00181A86">
        <w:t xml:space="preserve"> Summary of Proteinuria (Safety Population)</w:t>
      </w:r>
    </w:p>
    <w:p w:rsidR="00C30983" w:rsidRDefault="00181A86" w:rsidP="00181A86">
      <w:pPr>
        <w:autoSpaceDE w:val="0"/>
        <w:autoSpaceDN w:val="0"/>
        <w:adjustRightInd w:val="0"/>
        <w:rPr>
          <w:sz w:val="20"/>
          <w:szCs w:val="20"/>
          <w:vertAlign w:val="superscript"/>
        </w:rPr>
      </w:pPr>
      <w:r w:rsidRPr="00181A86">
        <w:rPr>
          <w:noProof/>
          <w:lang w:eastAsia="en-AU"/>
        </w:rPr>
        <w:drawing>
          <wp:inline distT="0" distB="0" distL="0" distR="0">
            <wp:extent cx="4889012" cy="1844431"/>
            <wp:effectExtent l="19050" t="0" r="6838" b="0"/>
            <wp:docPr id="75" name="Picture 52" descr="Table 13. Summary of Proteinuri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duotone>
                        <a:prstClr val="black"/>
                        <a:schemeClr val="bg1">
                          <a:tint val="45000"/>
                          <a:satMod val="400000"/>
                        </a:schemeClr>
                      </a:duotone>
                    </a:blip>
                    <a:srcRect l="1164" t="2597" r="2465" b="20779"/>
                    <a:stretch>
                      <a:fillRect/>
                    </a:stretch>
                  </pic:blipFill>
                  <pic:spPr bwMode="auto">
                    <a:xfrm>
                      <a:off x="0" y="0"/>
                      <a:ext cx="4889012" cy="1844431"/>
                    </a:xfrm>
                    <a:prstGeom prst="rect">
                      <a:avLst/>
                    </a:prstGeom>
                    <a:noFill/>
                    <a:ln w="9525">
                      <a:noFill/>
                      <a:miter lim="800000"/>
                      <a:headEnd/>
                      <a:tailEnd/>
                    </a:ln>
                  </pic:spPr>
                </pic:pic>
              </a:graphicData>
            </a:graphic>
          </wp:inline>
        </w:drawing>
      </w:r>
    </w:p>
    <w:p w:rsidR="00C30983" w:rsidRPr="00C30983" w:rsidRDefault="00C30983" w:rsidP="00181A86">
      <w:pPr>
        <w:autoSpaceDE w:val="0"/>
        <w:autoSpaceDN w:val="0"/>
        <w:adjustRightInd w:val="0"/>
        <w:rPr>
          <w:sz w:val="20"/>
          <w:szCs w:val="20"/>
        </w:rPr>
      </w:pPr>
      <w:proofErr w:type="gramStart"/>
      <w:r>
        <w:rPr>
          <w:sz w:val="20"/>
          <w:szCs w:val="20"/>
          <w:vertAlign w:val="superscript"/>
        </w:rPr>
        <w:t>a</w:t>
      </w:r>
      <w:proofErr w:type="gramEnd"/>
      <w:r>
        <w:rPr>
          <w:sz w:val="20"/>
          <w:szCs w:val="20"/>
          <w:vertAlign w:val="superscript"/>
        </w:rPr>
        <w:t xml:space="preserve"> </w:t>
      </w:r>
      <w:r w:rsidRPr="00C30983">
        <w:rPr>
          <w:sz w:val="20"/>
          <w:szCs w:val="20"/>
        </w:rPr>
        <w:t xml:space="preserve">includes the preferred terms </w:t>
      </w:r>
      <w:r>
        <w:rPr>
          <w:sz w:val="20"/>
          <w:szCs w:val="20"/>
        </w:rPr>
        <w:t>P</w:t>
      </w:r>
      <w:r w:rsidRPr="00C30983">
        <w:rPr>
          <w:sz w:val="20"/>
          <w:szCs w:val="20"/>
        </w:rPr>
        <w:t>rotei</w:t>
      </w:r>
      <w:r>
        <w:rPr>
          <w:sz w:val="20"/>
          <w:szCs w:val="20"/>
        </w:rPr>
        <w:t>nuria and P</w:t>
      </w:r>
      <w:r w:rsidRPr="00C30983">
        <w:rPr>
          <w:sz w:val="20"/>
          <w:szCs w:val="20"/>
        </w:rPr>
        <w:t>rotein urine present</w:t>
      </w:r>
      <w:r>
        <w:rPr>
          <w:sz w:val="20"/>
          <w:szCs w:val="20"/>
        </w:rPr>
        <w:t>;</w:t>
      </w:r>
      <w:r>
        <w:rPr>
          <w:sz w:val="20"/>
          <w:szCs w:val="20"/>
          <w:vertAlign w:val="superscript"/>
        </w:rPr>
        <w:t xml:space="preserve"> </w:t>
      </w:r>
      <w:proofErr w:type="spellStart"/>
      <w:r w:rsidRPr="00C30983">
        <w:rPr>
          <w:sz w:val="20"/>
          <w:szCs w:val="20"/>
          <w:vertAlign w:val="superscript"/>
        </w:rPr>
        <w:t>b</w:t>
      </w:r>
      <w:r w:rsidRPr="00C30983">
        <w:rPr>
          <w:sz w:val="20"/>
          <w:szCs w:val="20"/>
        </w:rPr>
        <w:t>Grade</w:t>
      </w:r>
      <w:proofErr w:type="spellEnd"/>
      <w:r w:rsidRPr="00C30983">
        <w:rPr>
          <w:sz w:val="20"/>
          <w:szCs w:val="20"/>
        </w:rPr>
        <w:t xml:space="preserve"> 3 Proteinuria in three patients</w:t>
      </w:r>
      <w:r>
        <w:rPr>
          <w:sz w:val="20"/>
          <w:szCs w:val="20"/>
        </w:rPr>
        <w:t xml:space="preserve">; </w:t>
      </w:r>
      <w:proofErr w:type="spellStart"/>
      <w:r w:rsidRPr="00C30983">
        <w:rPr>
          <w:sz w:val="20"/>
          <w:szCs w:val="20"/>
          <w:vertAlign w:val="superscript"/>
        </w:rPr>
        <w:t>c</w:t>
      </w:r>
      <w:r w:rsidRPr="00C30983">
        <w:rPr>
          <w:sz w:val="20"/>
          <w:szCs w:val="20"/>
        </w:rPr>
        <w:t>One</w:t>
      </w:r>
      <w:proofErr w:type="spellEnd"/>
      <w:r w:rsidRPr="00C30983">
        <w:rPr>
          <w:sz w:val="20"/>
          <w:szCs w:val="20"/>
        </w:rPr>
        <w:t xml:space="preserve"> patient</w:t>
      </w:r>
    </w:p>
    <w:p w:rsidR="009A2AB0" w:rsidRDefault="009A2AB0" w:rsidP="00876763">
      <w:pPr>
        <w:pStyle w:val="Heading6"/>
      </w:pPr>
      <w:bookmarkStart w:id="62" w:name="_Toc346186566"/>
      <w:r>
        <w:t xml:space="preserve">Arterial Thrombo-Embolic </w:t>
      </w:r>
      <w:r w:rsidR="00876763">
        <w:t xml:space="preserve">(ATE) </w:t>
      </w:r>
      <w:r>
        <w:t>Events</w:t>
      </w:r>
      <w:bookmarkEnd w:id="62"/>
      <w:r w:rsidR="00876763">
        <w:t xml:space="preserve"> </w:t>
      </w:r>
    </w:p>
    <w:p w:rsidR="009A2AB0" w:rsidRDefault="009A2AB0" w:rsidP="009A2AB0">
      <w:r>
        <w:t>ATE was reported in 4 patients in Arm A and in 3 patients in Arm B. All 4 ATE events in Arm A and 2 events in Arm B were reported as SAEs. The only case of ATE leading to death (cerebrovascular accident) was in Arm B. Bevacizumab was discontinued in a patient in Arm B who suffered Grade 3 myocardial infarction</w:t>
      </w:r>
      <w:r w:rsidRPr="00B50676">
        <w:t xml:space="preserve">.  See Table </w:t>
      </w:r>
      <w:r w:rsidR="00B50676" w:rsidRPr="00B50676">
        <w:t>14.</w:t>
      </w:r>
    </w:p>
    <w:p w:rsidR="00181A86" w:rsidRPr="00181A86" w:rsidRDefault="00181A86" w:rsidP="00B50676">
      <w:pPr>
        <w:pStyle w:val="TableTitle"/>
      </w:pPr>
      <w:proofErr w:type="gramStart"/>
      <w:r w:rsidRPr="00181A86">
        <w:t xml:space="preserve">Table </w:t>
      </w:r>
      <w:r w:rsidR="00B50676">
        <w:t>14.</w:t>
      </w:r>
      <w:proofErr w:type="gramEnd"/>
      <w:r w:rsidRPr="00181A86">
        <w:t xml:space="preserve"> Summary of Arterial Thromboembolic Events (Safety Population)</w:t>
      </w:r>
    </w:p>
    <w:p w:rsidR="00A14E68" w:rsidRDefault="00181A86" w:rsidP="00181A86">
      <w:pPr>
        <w:rPr>
          <w:sz w:val="20"/>
          <w:szCs w:val="20"/>
        </w:rPr>
      </w:pPr>
      <w:r w:rsidRPr="00181A86">
        <w:rPr>
          <w:b/>
          <w:noProof/>
          <w:lang w:eastAsia="en-AU"/>
        </w:rPr>
        <w:drawing>
          <wp:inline distT="0" distB="0" distL="0" distR="0">
            <wp:extent cx="4845246" cy="1852246"/>
            <wp:effectExtent l="19050" t="0" r="0" b="0"/>
            <wp:docPr id="88" name="Picture 53" descr="Table 14.  Summary of Arterial Thromboembolic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duotone>
                        <a:prstClr val="black"/>
                        <a:schemeClr val="bg1">
                          <a:tint val="45000"/>
                          <a:satMod val="400000"/>
                        </a:schemeClr>
                      </a:duotone>
                    </a:blip>
                    <a:srcRect l="1175" t="1637" r="2553" b="33692"/>
                    <a:stretch>
                      <a:fillRect/>
                    </a:stretch>
                  </pic:blipFill>
                  <pic:spPr bwMode="auto">
                    <a:xfrm>
                      <a:off x="0" y="0"/>
                      <a:ext cx="4845246" cy="1852246"/>
                    </a:xfrm>
                    <a:prstGeom prst="rect">
                      <a:avLst/>
                    </a:prstGeom>
                    <a:noFill/>
                    <a:ln w="9525">
                      <a:noFill/>
                      <a:miter lim="800000"/>
                      <a:headEnd/>
                      <a:tailEnd/>
                    </a:ln>
                  </pic:spPr>
                </pic:pic>
              </a:graphicData>
            </a:graphic>
          </wp:inline>
        </w:drawing>
      </w:r>
    </w:p>
    <w:p w:rsidR="00C30983" w:rsidRPr="00A14E68" w:rsidRDefault="00A14E68" w:rsidP="00181A86">
      <w:pPr>
        <w:rPr>
          <w:sz w:val="20"/>
          <w:szCs w:val="20"/>
        </w:rPr>
      </w:pPr>
      <w:r>
        <w:rPr>
          <w:sz w:val="20"/>
          <w:szCs w:val="20"/>
        </w:rPr>
        <w:t xml:space="preserve">ATE=arterial thromboembolic event; N/A=not applicable; </w:t>
      </w:r>
      <w:proofErr w:type="spellStart"/>
      <w:r w:rsidR="00C30983" w:rsidRPr="00A14E68">
        <w:rPr>
          <w:sz w:val="20"/>
          <w:szCs w:val="20"/>
          <w:vertAlign w:val="superscript"/>
        </w:rPr>
        <w:t>a</w:t>
      </w:r>
      <w:r w:rsidR="00C30983" w:rsidRPr="00A14E68">
        <w:rPr>
          <w:sz w:val="20"/>
          <w:szCs w:val="20"/>
        </w:rPr>
        <w:t>Grade</w:t>
      </w:r>
      <w:proofErr w:type="spellEnd"/>
      <w:r w:rsidR="00C30983" w:rsidRPr="00A14E68">
        <w:rPr>
          <w:sz w:val="20"/>
          <w:szCs w:val="20"/>
        </w:rPr>
        <w:t xml:space="preserve"> 5 cerebrovascular accident in one patie</w:t>
      </w:r>
      <w:r w:rsidRPr="00A14E68">
        <w:rPr>
          <w:sz w:val="20"/>
          <w:szCs w:val="20"/>
        </w:rPr>
        <w:t xml:space="preserve">nt; </w:t>
      </w:r>
      <w:r w:rsidRPr="00A14E68">
        <w:rPr>
          <w:sz w:val="20"/>
          <w:szCs w:val="20"/>
          <w:vertAlign w:val="superscript"/>
        </w:rPr>
        <w:t>b</w:t>
      </w:r>
      <w:r w:rsidRPr="00A14E68">
        <w:rPr>
          <w:sz w:val="20"/>
          <w:szCs w:val="20"/>
        </w:rPr>
        <w:t xml:space="preserve"> one patient discontinued</w:t>
      </w:r>
      <w:r w:rsidR="00C30983" w:rsidRPr="00A14E68">
        <w:rPr>
          <w:sz w:val="20"/>
          <w:szCs w:val="20"/>
        </w:rPr>
        <w:t xml:space="preserve"> </w:t>
      </w:r>
      <w:proofErr w:type="spellStart"/>
      <w:r w:rsidR="00C30983" w:rsidRPr="00A14E68">
        <w:rPr>
          <w:sz w:val="20"/>
          <w:szCs w:val="20"/>
        </w:rPr>
        <w:t>Chemo</w:t>
      </w:r>
      <w:r w:rsidRPr="00A14E68">
        <w:rPr>
          <w:sz w:val="20"/>
          <w:szCs w:val="20"/>
        </w:rPr>
        <w:t>+Bev</w:t>
      </w:r>
      <w:proofErr w:type="spellEnd"/>
      <w:r w:rsidR="00C30983" w:rsidRPr="00A14E68">
        <w:rPr>
          <w:sz w:val="20"/>
          <w:szCs w:val="20"/>
        </w:rPr>
        <w:t xml:space="preserve"> because of Grade 3 Myocardial Infarction; </w:t>
      </w:r>
      <w:r w:rsidR="00C30983" w:rsidRPr="00A14E68">
        <w:rPr>
          <w:sz w:val="20"/>
          <w:szCs w:val="20"/>
          <w:vertAlign w:val="superscript"/>
        </w:rPr>
        <w:t>c</w:t>
      </w:r>
      <w:r w:rsidR="00C30983" w:rsidRPr="00A14E68">
        <w:rPr>
          <w:sz w:val="20"/>
          <w:szCs w:val="20"/>
        </w:rPr>
        <w:t xml:space="preserve"> One patient had Grade 3 cerebrovascular accident with onset &gt; 28 days after last study treatment.</w:t>
      </w:r>
    </w:p>
    <w:p w:rsidR="009A2AB0" w:rsidRDefault="009A2AB0" w:rsidP="00876763">
      <w:pPr>
        <w:pStyle w:val="Heading6"/>
      </w:pPr>
      <w:bookmarkStart w:id="63" w:name="_Toc346186567"/>
      <w:r>
        <w:t xml:space="preserve">Venous Thrombo-Embolism </w:t>
      </w:r>
      <w:r w:rsidR="00876763">
        <w:t xml:space="preserve">(VTE) </w:t>
      </w:r>
      <w:r>
        <w:t>Events</w:t>
      </w:r>
      <w:bookmarkEnd w:id="63"/>
    </w:p>
    <w:p w:rsidR="009A2AB0" w:rsidRDefault="009A2AB0" w:rsidP="009A2AB0">
      <w:r>
        <w:t xml:space="preserve">The incidence of VTEs was greater in Arm B than in Arm </w:t>
      </w:r>
      <w:proofErr w:type="gramStart"/>
      <w:r>
        <w:t>A</w:t>
      </w:r>
      <w:proofErr w:type="gramEnd"/>
      <w:r>
        <w:t xml:space="preserve"> (5.7% v</w:t>
      </w:r>
      <w:r w:rsidR="00876763">
        <w:t>ersu</w:t>
      </w:r>
      <w:r>
        <w:t xml:space="preserve">s 3.9%). The majority were Grade </w:t>
      </w:r>
      <w:r w:rsidR="00876763">
        <w:t>≥</w:t>
      </w:r>
      <w:r>
        <w:t xml:space="preserve"> 3 VTEs, and were reported in 12 patients (2.9%) in Arm A and in 19 patients (4.7%) in Arm B. The VTEs included pulmonary embolism, deep vein thromboses, jugular vein thrombosis and venous thrombosis. The VTEs were reported as SAEs in 6 patients (1.5%) in Arm A and 10 patients (2.5%) in Arm </w:t>
      </w:r>
      <w:r w:rsidRPr="00B50676">
        <w:t xml:space="preserve">B. See Table </w:t>
      </w:r>
      <w:r w:rsidR="00B50676" w:rsidRPr="00B50676">
        <w:t>15</w:t>
      </w:r>
      <w:r w:rsidRPr="00B50676">
        <w:t>.</w:t>
      </w:r>
    </w:p>
    <w:p w:rsidR="00181A86" w:rsidRPr="00181A86" w:rsidRDefault="00181A86" w:rsidP="00B50676">
      <w:pPr>
        <w:pStyle w:val="TableTitle"/>
      </w:pPr>
      <w:proofErr w:type="gramStart"/>
      <w:r w:rsidRPr="00181A86">
        <w:lastRenderedPageBreak/>
        <w:t xml:space="preserve">Table </w:t>
      </w:r>
      <w:r w:rsidR="00B50676">
        <w:t>15.</w:t>
      </w:r>
      <w:proofErr w:type="gramEnd"/>
      <w:r w:rsidRPr="00181A86">
        <w:t xml:space="preserve"> Summary of Venous Thromboembolic Events (Safety Population)</w:t>
      </w:r>
    </w:p>
    <w:p w:rsidR="00181A86" w:rsidRDefault="00181A86" w:rsidP="00181A86">
      <w:pPr>
        <w:rPr>
          <w:b/>
        </w:rPr>
      </w:pPr>
      <w:r w:rsidRPr="00181A86">
        <w:rPr>
          <w:b/>
          <w:noProof/>
          <w:lang w:eastAsia="en-AU"/>
        </w:rPr>
        <w:drawing>
          <wp:inline distT="0" distB="0" distL="0" distR="0">
            <wp:extent cx="4779596" cy="1844430"/>
            <wp:effectExtent l="19050" t="0" r="1954" b="0"/>
            <wp:docPr id="101" name="Picture 54" descr="Table 15. Summary of Venous Thromboembolic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duotone>
                        <a:prstClr val="black"/>
                        <a:schemeClr val="bg1">
                          <a:tint val="45000"/>
                          <a:satMod val="400000"/>
                        </a:schemeClr>
                      </a:duotone>
                    </a:blip>
                    <a:srcRect l="1175" t="1849" r="3795" b="25421"/>
                    <a:stretch>
                      <a:fillRect/>
                    </a:stretch>
                  </pic:blipFill>
                  <pic:spPr bwMode="auto">
                    <a:xfrm>
                      <a:off x="0" y="0"/>
                      <a:ext cx="4779596" cy="1844430"/>
                    </a:xfrm>
                    <a:prstGeom prst="rect">
                      <a:avLst/>
                    </a:prstGeom>
                    <a:noFill/>
                    <a:ln w="9525">
                      <a:noFill/>
                      <a:miter lim="800000"/>
                      <a:headEnd/>
                      <a:tailEnd/>
                    </a:ln>
                  </pic:spPr>
                </pic:pic>
              </a:graphicData>
            </a:graphic>
          </wp:inline>
        </w:drawing>
      </w:r>
    </w:p>
    <w:p w:rsidR="00A14E68" w:rsidRPr="00A14E68" w:rsidRDefault="00A14E68" w:rsidP="00181A86">
      <w:pPr>
        <w:rPr>
          <w:sz w:val="20"/>
          <w:szCs w:val="20"/>
        </w:rPr>
      </w:pPr>
      <w:r w:rsidRPr="00A14E68">
        <w:rPr>
          <w:sz w:val="20"/>
          <w:szCs w:val="20"/>
        </w:rPr>
        <w:t>N/A=not applicable; VTE=venous thromboembolic event; a One patient had 2 VTEs of Grade 4 pulmonary embolism and Grade 3 venous thrombosis limb; b One patient Grade 3 venous thrombosis.</w:t>
      </w:r>
    </w:p>
    <w:p w:rsidR="009A2AB0" w:rsidRDefault="009A2AB0" w:rsidP="00876763">
      <w:pPr>
        <w:pStyle w:val="Heading6"/>
      </w:pPr>
      <w:bookmarkStart w:id="64" w:name="_Toc346186568"/>
      <w:r>
        <w:t>Bleeding/Haemorrhage</w:t>
      </w:r>
      <w:bookmarkEnd w:id="64"/>
    </w:p>
    <w:p w:rsidR="009A2AB0" w:rsidRDefault="009A2AB0" w:rsidP="009A2AB0">
      <w:r>
        <w:t xml:space="preserve">Bleeding events were commoner in Arm B (25.7% of patients) than in Arm </w:t>
      </w:r>
      <w:proofErr w:type="gramStart"/>
      <w:r>
        <w:t>A</w:t>
      </w:r>
      <w:proofErr w:type="gramEnd"/>
      <w:r>
        <w:t xml:space="preserve"> (8.6% of patients). The great disparity in the incidence of bleeding events was attributed to a high incidence of epistaxis in Arm B. The incidence of serious bleeding events was small (Arm A: 3 patients; Arm B: 8 patients). There were two deaths reported in Arm </w:t>
      </w:r>
      <w:r w:rsidRPr="00B50676">
        <w:t xml:space="preserve">B. See Table </w:t>
      </w:r>
      <w:r w:rsidR="00B50676" w:rsidRPr="00B50676">
        <w:t>16</w:t>
      </w:r>
      <w:r w:rsidRPr="00B50676">
        <w:t>.</w:t>
      </w:r>
    </w:p>
    <w:p w:rsidR="00181A86" w:rsidRPr="00181A86" w:rsidRDefault="00181A86" w:rsidP="00B50676">
      <w:pPr>
        <w:pStyle w:val="TableTitle"/>
      </w:pPr>
      <w:r w:rsidRPr="00181A86">
        <w:t xml:space="preserve">Table </w:t>
      </w:r>
      <w:r w:rsidR="00B50676">
        <w:t>16</w:t>
      </w:r>
      <w:r w:rsidRPr="00181A86">
        <w:t xml:space="preserve"> Summary of Bleeding/Haemorrhage Events (Safety Population)</w:t>
      </w:r>
    </w:p>
    <w:p w:rsidR="00181A86" w:rsidRDefault="00181A86" w:rsidP="00181A86">
      <w:pPr>
        <w:rPr>
          <w:b/>
        </w:rPr>
      </w:pPr>
      <w:r w:rsidRPr="00181A86">
        <w:rPr>
          <w:b/>
          <w:noProof/>
          <w:lang w:eastAsia="en-AU"/>
        </w:rPr>
        <w:drawing>
          <wp:inline distT="0" distB="0" distL="0" distR="0">
            <wp:extent cx="4842119" cy="2203938"/>
            <wp:effectExtent l="19050" t="0" r="0" b="0"/>
            <wp:docPr id="114" name="Picture 55" descr="Table 16 Summary of Bleeding/Haemorrhag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duotone>
                        <a:prstClr val="black"/>
                        <a:schemeClr val="bg1">
                          <a:tint val="45000"/>
                          <a:satMod val="400000"/>
                        </a:schemeClr>
                      </a:duotone>
                    </a:blip>
                    <a:srcRect l="1500" t="2461" r="1272" b="34452"/>
                    <a:stretch>
                      <a:fillRect/>
                    </a:stretch>
                  </pic:blipFill>
                  <pic:spPr bwMode="auto">
                    <a:xfrm>
                      <a:off x="0" y="0"/>
                      <a:ext cx="4842119" cy="2203938"/>
                    </a:xfrm>
                    <a:prstGeom prst="rect">
                      <a:avLst/>
                    </a:prstGeom>
                    <a:noFill/>
                    <a:ln w="9525">
                      <a:noFill/>
                      <a:miter lim="800000"/>
                      <a:headEnd/>
                      <a:tailEnd/>
                    </a:ln>
                  </pic:spPr>
                </pic:pic>
              </a:graphicData>
            </a:graphic>
          </wp:inline>
        </w:drawing>
      </w:r>
    </w:p>
    <w:p w:rsidR="00A14E68" w:rsidRPr="00A14E68" w:rsidRDefault="00A14E68" w:rsidP="00181A86">
      <w:pPr>
        <w:rPr>
          <w:sz w:val="20"/>
          <w:szCs w:val="20"/>
        </w:rPr>
      </w:pPr>
      <w:r>
        <w:rPr>
          <w:sz w:val="20"/>
          <w:szCs w:val="20"/>
        </w:rPr>
        <w:t xml:space="preserve">N/A=not applicable; </w:t>
      </w:r>
      <w:proofErr w:type="spellStart"/>
      <w:r w:rsidRPr="00A14E68">
        <w:rPr>
          <w:sz w:val="20"/>
          <w:szCs w:val="20"/>
          <w:vertAlign w:val="superscript"/>
        </w:rPr>
        <w:t>a</w:t>
      </w:r>
      <w:r w:rsidRPr="00A14E68">
        <w:rPr>
          <w:sz w:val="20"/>
          <w:szCs w:val="20"/>
        </w:rPr>
        <w:t>One</w:t>
      </w:r>
      <w:proofErr w:type="spellEnd"/>
      <w:r w:rsidRPr="00A14E68">
        <w:rPr>
          <w:sz w:val="20"/>
          <w:szCs w:val="20"/>
        </w:rPr>
        <w:t xml:space="preserve"> patient upper GI haemorrhage and one patient cerebrovascular accident; </w:t>
      </w:r>
      <w:r w:rsidRPr="00A14E68">
        <w:rPr>
          <w:sz w:val="20"/>
          <w:szCs w:val="20"/>
          <w:vertAlign w:val="superscript"/>
        </w:rPr>
        <w:t>b</w:t>
      </w:r>
      <w:r w:rsidRPr="00A14E68">
        <w:rPr>
          <w:sz w:val="20"/>
          <w:szCs w:val="20"/>
        </w:rPr>
        <w:t xml:space="preserve"> One patient Grade 3 GI haemorrhage </w:t>
      </w:r>
      <w:proofErr w:type="spellStart"/>
      <w:r w:rsidRPr="00A14E68">
        <w:rPr>
          <w:sz w:val="20"/>
          <w:szCs w:val="20"/>
        </w:rPr>
        <w:t>abd</w:t>
      </w:r>
      <w:proofErr w:type="spellEnd"/>
      <w:r w:rsidRPr="00A14E68">
        <w:rPr>
          <w:sz w:val="20"/>
          <w:szCs w:val="20"/>
        </w:rPr>
        <w:t xml:space="preserve"> one patient Grade 3 post procedural haemorrhage; </w:t>
      </w:r>
      <w:r w:rsidRPr="00A14E68">
        <w:rPr>
          <w:sz w:val="20"/>
          <w:szCs w:val="20"/>
          <w:vertAlign w:val="superscript"/>
        </w:rPr>
        <w:t>c</w:t>
      </w:r>
      <w:r w:rsidRPr="00A14E68">
        <w:rPr>
          <w:sz w:val="20"/>
          <w:szCs w:val="20"/>
        </w:rPr>
        <w:t xml:space="preserve"> Chemo arm: </w:t>
      </w:r>
      <w:r>
        <w:rPr>
          <w:sz w:val="20"/>
          <w:szCs w:val="20"/>
        </w:rPr>
        <w:t xml:space="preserve">One patient Grade 1 epistaxis </w:t>
      </w:r>
      <w:r w:rsidRPr="00A14E68">
        <w:rPr>
          <w:sz w:val="20"/>
          <w:szCs w:val="20"/>
        </w:rPr>
        <w:t xml:space="preserve"> and Chemo+ Bev arm: one patient Grade 1 epistaxis, one patient Grade 3 cerebrovascular accident and one patient Grade 2 metrorrhagia.</w:t>
      </w:r>
    </w:p>
    <w:p w:rsidR="009A2AB0" w:rsidRDefault="009A2AB0" w:rsidP="00876763">
      <w:pPr>
        <w:pStyle w:val="Heading6"/>
      </w:pPr>
      <w:bookmarkStart w:id="65" w:name="_Toc346186569"/>
      <w:r>
        <w:t>Gastrointestinal Perforation</w:t>
      </w:r>
      <w:bookmarkEnd w:id="65"/>
      <w:r w:rsidR="005B69EC">
        <w:t xml:space="preserve"> (including </w:t>
      </w:r>
      <w:proofErr w:type="spellStart"/>
      <w:r w:rsidR="005B69EC">
        <w:t>absesses</w:t>
      </w:r>
      <w:proofErr w:type="spellEnd"/>
      <w:r w:rsidR="005B69EC">
        <w:t xml:space="preserve"> and fistulae)</w:t>
      </w:r>
    </w:p>
    <w:p w:rsidR="009A2AB0" w:rsidRDefault="009A2AB0" w:rsidP="009A2AB0">
      <w:pPr>
        <w:rPr>
          <w:b/>
        </w:rPr>
      </w:pPr>
      <w:r>
        <w:t xml:space="preserve">Gastrointestinal perforations were reported in 3 patients (0.7%) in Arm A and in 11 patients (2.7%) in Arm B. All but one were Grade </w:t>
      </w:r>
      <w:r w:rsidR="00876763">
        <w:t>≥</w:t>
      </w:r>
      <w:r>
        <w:t>3 perforations (Arm A: 3; Arm B: 7). One intestinal perforation in each arm led to deat</w:t>
      </w:r>
      <w:r w:rsidRPr="00B50676">
        <w:t xml:space="preserve">h. See Table </w:t>
      </w:r>
      <w:r w:rsidR="00B50676" w:rsidRPr="00B50676">
        <w:t>17</w:t>
      </w:r>
      <w:r w:rsidRPr="00B50676">
        <w:t>.</w:t>
      </w:r>
      <w:r w:rsidRPr="00DC629F">
        <w:rPr>
          <w:b/>
        </w:rPr>
        <w:t xml:space="preserve"> </w:t>
      </w:r>
    </w:p>
    <w:p w:rsidR="00181A86" w:rsidRPr="00181A86" w:rsidRDefault="00181A86" w:rsidP="00B50676">
      <w:pPr>
        <w:pStyle w:val="TableTitle"/>
      </w:pPr>
      <w:r w:rsidRPr="00181A86">
        <w:lastRenderedPageBreak/>
        <w:t xml:space="preserve">Table </w:t>
      </w:r>
      <w:r w:rsidR="00B50676">
        <w:t>17</w:t>
      </w:r>
      <w:r w:rsidRPr="00181A86">
        <w:t xml:space="preserve"> Summary of Gastrointestinal Perforation - Including Abscess and Fistulae (Safety Population)</w:t>
      </w:r>
    </w:p>
    <w:p w:rsidR="00181A86" w:rsidRDefault="00181A86" w:rsidP="00181A86">
      <w:pPr>
        <w:rPr>
          <w:b/>
        </w:rPr>
      </w:pPr>
      <w:r w:rsidRPr="00181A86">
        <w:rPr>
          <w:b/>
          <w:noProof/>
          <w:lang w:eastAsia="en-AU"/>
        </w:rPr>
        <w:drawing>
          <wp:inline distT="0" distB="0" distL="0" distR="0">
            <wp:extent cx="4795227" cy="1789723"/>
            <wp:effectExtent l="19050" t="0" r="5373" b="0"/>
            <wp:docPr id="127" name="Picture 56" descr="Table 17 Summary of Gastrointestinal Perforation - Including Abscess and Fistula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duotone>
                        <a:prstClr val="black"/>
                        <a:schemeClr val="bg1">
                          <a:tint val="45000"/>
                          <a:satMod val="400000"/>
                        </a:schemeClr>
                      </a:duotone>
                    </a:blip>
                    <a:srcRect l="1196" t="2516" r="1740" b="25472"/>
                    <a:stretch>
                      <a:fillRect/>
                    </a:stretch>
                  </pic:blipFill>
                  <pic:spPr bwMode="auto">
                    <a:xfrm>
                      <a:off x="0" y="0"/>
                      <a:ext cx="4795227" cy="1789723"/>
                    </a:xfrm>
                    <a:prstGeom prst="rect">
                      <a:avLst/>
                    </a:prstGeom>
                    <a:noFill/>
                    <a:ln w="9525">
                      <a:noFill/>
                      <a:miter lim="800000"/>
                      <a:headEnd/>
                      <a:tailEnd/>
                    </a:ln>
                  </pic:spPr>
                </pic:pic>
              </a:graphicData>
            </a:graphic>
          </wp:inline>
        </w:drawing>
      </w:r>
    </w:p>
    <w:p w:rsidR="00A14E68" w:rsidRPr="00A14E68" w:rsidRDefault="00A14E68" w:rsidP="00181A86">
      <w:pPr>
        <w:rPr>
          <w:sz w:val="20"/>
          <w:szCs w:val="20"/>
        </w:rPr>
      </w:pPr>
      <w:r w:rsidRPr="00A14E68">
        <w:rPr>
          <w:sz w:val="20"/>
          <w:szCs w:val="20"/>
        </w:rPr>
        <w:t xml:space="preserve">N/A=not applicable; </w:t>
      </w:r>
      <w:r w:rsidRPr="00A14E68">
        <w:rPr>
          <w:sz w:val="20"/>
          <w:szCs w:val="20"/>
          <w:vertAlign w:val="superscript"/>
        </w:rPr>
        <w:t xml:space="preserve">a </w:t>
      </w:r>
      <w:r w:rsidRPr="00A14E68">
        <w:rPr>
          <w:sz w:val="20"/>
          <w:szCs w:val="20"/>
        </w:rPr>
        <w:t xml:space="preserve">One patient had intestinal perforation in the Chemo arm and one patient had intestinal perforation in the </w:t>
      </w:r>
      <w:proofErr w:type="spellStart"/>
      <w:r w:rsidRPr="00A14E68">
        <w:rPr>
          <w:sz w:val="20"/>
          <w:szCs w:val="20"/>
        </w:rPr>
        <w:t>Chemo+Bev</w:t>
      </w:r>
      <w:proofErr w:type="spellEnd"/>
      <w:r w:rsidRPr="00A14E68">
        <w:rPr>
          <w:sz w:val="20"/>
          <w:szCs w:val="20"/>
        </w:rPr>
        <w:t xml:space="preserve"> arm;</w:t>
      </w:r>
      <w:r w:rsidRPr="00A14E68">
        <w:rPr>
          <w:sz w:val="20"/>
          <w:szCs w:val="20"/>
          <w:vertAlign w:val="superscript"/>
        </w:rPr>
        <w:t xml:space="preserve"> b</w:t>
      </w:r>
      <w:r w:rsidRPr="00A14E68">
        <w:rPr>
          <w:sz w:val="20"/>
          <w:szCs w:val="20"/>
        </w:rPr>
        <w:t xml:space="preserve"> One patient had Grade 5 intestinal perforation.</w:t>
      </w:r>
    </w:p>
    <w:p w:rsidR="009A2AB0" w:rsidRDefault="009A2AB0" w:rsidP="00876763">
      <w:pPr>
        <w:pStyle w:val="Heading6"/>
      </w:pPr>
      <w:bookmarkStart w:id="66" w:name="_Toc346186570"/>
      <w:r>
        <w:t>Fistulae</w:t>
      </w:r>
      <w:bookmarkEnd w:id="66"/>
      <w:r w:rsidR="005B69EC">
        <w:t xml:space="preserve"> (non-gastrointestinal)</w:t>
      </w:r>
    </w:p>
    <w:p w:rsidR="009A2AB0" w:rsidRDefault="009A2AB0" w:rsidP="009A2AB0">
      <w:r>
        <w:t xml:space="preserve">Five fistulae (3 </w:t>
      </w:r>
      <w:proofErr w:type="spellStart"/>
      <w:r>
        <w:t>enterovesicular</w:t>
      </w:r>
      <w:proofErr w:type="spellEnd"/>
      <w:r>
        <w:t xml:space="preserve"> fistulae, 1biliary fistula, </w:t>
      </w:r>
      <w:proofErr w:type="gramStart"/>
      <w:r>
        <w:t>2</w:t>
      </w:r>
      <w:proofErr w:type="gramEnd"/>
      <w:r>
        <w:t xml:space="preserve"> urogenital fistulae) were reported in Arm B and none in Arm A. </w:t>
      </w:r>
      <w:proofErr w:type="spellStart"/>
      <w:r>
        <w:t>Bevcizumab</w:t>
      </w:r>
      <w:proofErr w:type="spellEnd"/>
      <w:r>
        <w:t xml:space="preserve"> was either discontinued or interrupted</w:t>
      </w:r>
      <w:r w:rsidRPr="00B50676">
        <w:t xml:space="preserve">. See Table </w:t>
      </w:r>
      <w:r w:rsidR="00B50676" w:rsidRPr="00B50676">
        <w:t>18</w:t>
      </w:r>
      <w:r w:rsidRPr="00B50676">
        <w:t>.</w:t>
      </w:r>
      <w:r w:rsidRPr="00407245">
        <w:t xml:space="preserve"> </w:t>
      </w:r>
    </w:p>
    <w:p w:rsidR="00181A86" w:rsidRPr="00181A86" w:rsidRDefault="00181A86" w:rsidP="00B50676">
      <w:pPr>
        <w:pStyle w:val="TableTitle"/>
      </w:pPr>
      <w:r w:rsidRPr="00181A86">
        <w:t xml:space="preserve">Table </w:t>
      </w:r>
      <w:r w:rsidR="00B50676">
        <w:t>18</w:t>
      </w:r>
      <w:r w:rsidRPr="00181A86">
        <w:t xml:space="preserve"> Summary of Abscesses and Fistulae (Safety Population)</w:t>
      </w:r>
    </w:p>
    <w:p w:rsidR="00181A86" w:rsidRPr="00181A86" w:rsidRDefault="00181A86" w:rsidP="00181A86">
      <w:r w:rsidRPr="00181A86">
        <w:rPr>
          <w:noProof/>
          <w:lang w:eastAsia="en-AU"/>
        </w:rPr>
        <w:drawing>
          <wp:inline distT="0" distB="0" distL="0" distR="0">
            <wp:extent cx="4838700" cy="2278541"/>
            <wp:effectExtent l="19050" t="0" r="0" b="0"/>
            <wp:docPr id="140" name="Picture 57" descr="Table 18 Summary of Abscesses and Fistula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duotone>
                        <a:prstClr val="black"/>
                        <a:schemeClr val="bg1">
                          <a:tint val="45000"/>
                          <a:satMod val="400000"/>
                        </a:schemeClr>
                      </a:duotone>
                    </a:blip>
                    <a:srcRect/>
                    <a:stretch>
                      <a:fillRect/>
                    </a:stretch>
                  </pic:blipFill>
                  <pic:spPr bwMode="auto">
                    <a:xfrm>
                      <a:off x="0" y="0"/>
                      <a:ext cx="4838700" cy="2278541"/>
                    </a:xfrm>
                    <a:prstGeom prst="rect">
                      <a:avLst/>
                    </a:prstGeom>
                    <a:noFill/>
                    <a:ln w="9525">
                      <a:noFill/>
                      <a:miter lim="800000"/>
                      <a:headEnd/>
                      <a:tailEnd/>
                    </a:ln>
                  </pic:spPr>
                </pic:pic>
              </a:graphicData>
            </a:graphic>
          </wp:inline>
        </w:drawing>
      </w:r>
    </w:p>
    <w:p w:rsidR="009A2AB0" w:rsidRPr="00DC629F" w:rsidRDefault="009A2AB0" w:rsidP="00876763">
      <w:pPr>
        <w:pStyle w:val="Heading6"/>
      </w:pPr>
      <w:bookmarkStart w:id="67" w:name="_Toc346186571"/>
      <w:r>
        <w:t>Wound healing complications</w:t>
      </w:r>
      <w:bookmarkEnd w:id="67"/>
    </w:p>
    <w:p w:rsidR="009A2AB0" w:rsidRDefault="009A2AB0" w:rsidP="009A2AB0">
      <w:r>
        <w:t>One patient in Arm A and 4 patients in Arm B reported wound healing complications. Chemotherapy and not bevacizumab was considered to be the cause of the problem in each case and was resolved by discontinuing chemotherap</w:t>
      </w:r>
      <w:r w:rsidRPr="00B50676">
        <w:t xml:space="preserve">y. See Table </w:t>
      </w:r>
      <w:r w:rsidR="00B50676" w:rsidRPr="00B50676">
        <w:t>19</w:t>
      </w:r>
      <w:r w:rsidRPr="00B50676">
        <w:t>.</w:t>
      </w:r>
    </w:p>
    <w:p w:rsidR="00181A86" w:rsidRPr="00181A86" w:rsidRDefault="00181A86" w:rsidP="00B50676">
      <w:pPr>
        <w:pStyle w:val="TableTitle"/>
      </w:pPr>
      <w:r w:rsidRPr="00181A86">
        <w:lastRenderedPageBreak/>
        <w:t xml:space="preserve">Table </w:t>
      </w:r>
      <w:r w:rsidR="00B50676">
        <w:t>19</w:t>
      </w:r>
      <w:r w:rsidRPr="00181A86">
        <w:t xml:space="preserve"> Summary of Wound Healing Complications (Safety Population)</w:t>
      </w:r>
    </w:p>
    <w:p w:rsidR="00181A86" w:rsidRPr="00181A86" w:rsidRDefault="00181A86" w:rsidP="00181A86">
      <w:pPr>
        <w:rPr>
          <w:b/>
        </w:rPr>
      </w:pPr>
      <w:r w:rsidRPr="00181A86">
        <w:rPr>
          <w:b/>
          <w:noProof/>
          <w:lang w:eastAsia="en-AU"/>
        </w:rPr>
        <w:drawing>
          <wp:inline distT="0" distB="0" distL="0" distR="0">
            <wp:extent cx="4943475" cy="2040164"/>
            <wp:effectExtent l="19050" t="0" r="9525" b="0"/>
            <wp:docPr id="153" name="Picture 58" descr="Table 19 Summary of Wound Healing Complication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duotone>
                        <a:prstClr val="black"/>
                        <a:schemeClr val="bg1">
                          <a:tint val="45000"/>
                          <a:satMod val="400000"/>
                        </a:schemeClr>
                      </a:duotone>
                    </a:blip>
                    <a:srcRect/>
                    <a:stretch>
                      <a:fillRect/>
                    </a:stretch>
                  </pic:blipFill>
                  <pic:spPr bwMode="auto">
                    <a:xfrm>
                      <a:off x="0" y="0"/>
                      <a:ext cx="4943475" cy="2040164"/>
                    </a:xfrm>
                    <a:prstGeom prst="rect">
                      <a:avLst/>
                    </a:prstGeom>
                    <a:noFill/>
                    <a:ln w="9525">
                      <a:noFill/>
                      <a:miter lim="800000"/>
                      <a:headEnd/>
                      <a:tailEnd/>
                    </a:ln>
                  </pic:spPr>
                </pic:pic>
              </a:graphicData>
            </a:graphic>
          </wp:inline>
        </w:drawing>
      </w:r>
    </w:p>
    <w:p w:rsidR="009A2AB0" w:rsidRPr="00B649DA" w:rsidRDefault="009A2AB0" w:rsidP="00876763">
      <w:pPr>
        <w:pStyle w:val="Heading6"/>
      </w:pPr>
      <w:bookmarkStart w:id="68" w:name="_Toc346186572"/>
      <w:r>
        <w:t>Congestive Cardiac Failure</w:t>
      </w:r>
      <w:bookmarkEnd w:id="68"/>
    </w:p>
    <w:p w:rsidR="009A2AB0" w:rsidRDefault="009A2AB0" w:rsidP="009A2AB0">
      <w:pPr>
        <w:autoSpaceDE w:val="0"/>
        <w:autoSpaceDN w:val="0"/>
        <w:adjustRightInd w:val="0"/>
      </w:pPr>
      <w:r>
        <w:t xml:space="preserve">Two patients in Arm A and 1 patient in Arm B developed CCF. There were no deaths due to CCF. </w:t>
      </w:r>
      <w:r w:rsidRPr="00B50676">
        <w:t>See Table 2</w:t>
      </w:r>
      <w:r w:rsidR="00B50676" w:rsidRPr="00B50676">
        <w:t>0</w:t>
      </w:r>
      <w:r w:rsidRPr="00B50676">
        <w:t>.</w:t>
      </w:r>
    </w:p>
    <w:p w:rsidR="00181A86" w:rsidRPr="00181A86" w:rsidRDefault="00181A86" w:rsidP="00B50676">
      <w:pPr>
        <w:pStyle w:val="TableTitle"/>
      </w:pPr>
      <w:r w:rsidRPr="00181A86">
        <w:t>Table 2</w:t>
      </w:r>
      <w:r w:rsidR="00B50676">
        <w:t>0</w:t>
      </w:r>
      <w:r w:rsidRPr="00181A86">
        <w:t xml:space="preserve"> Summary in Congestive Heart Failure (Safety Population)</w:t>
      </w:r>
    </w:p>
    <w:p w:rsidR="00181A86" w:rsidRPr="00181A86" w:rsidRDefault="00181A86" w:rsidP="00181A86">
      <w:pPr>
        <w:autoSpaceDE w:val="0"/>
        <w:autoSpaceDN w:val="0"/>
        <w:adjustRightInd w:val="0"/>
        <w:rPr>
          <w:b/>
        </w:rPr>
      </w:pPr>
      <w:r w:rsidRPr="00181A86">
        <w:rPr>
          <w:b/>
          <w:noProof/>
          <w:lang w:eastAsia="en-AU"/>
        </w:rPr>
        <w:drawing>
          <wp:inline distT="0" distB="0" distL="0" distR="0">
            <wp:extent cx="4664710" cy="1934698"/>
            <wp:effectExtent l="19050" t="0" r="2540" b="0"/>
            <wp:docPr id="3" name="Picture 59" descr="Table 20 Summary in Congestive Heart Fail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duotone>
                        <a:prstClr val="black"/>
                        <a:schemeClr val="bg1">
                          <a:tint val="45000"/>
                          <a:satMod val="400000"/>
                        </a:schemeClr>
                      </a:duotone>
                    </a:blip>
                    <a:srcRect/>
                    <a:stretch>
                      <a:fillRect/>
                    </a:stretch>
                  </pic:blipFill>
                  <pic:spPr bwMode="auto">
                    <a:xfrm>
                      <a:off x="0" y="0"/>
                      <a:ext cx="4667426" cy="1935824"/>
                    </a:xfrm>
                    <a:prstGeom prst="rect">
                      <a:avLst/>
                    </a:prstGeom>
                    <a:noFill/>
                    <a:ln w="9525">
                      <a:noFill/>
                      <a:miter lim="800000"/>
                      <a:headEnd/>
                      <a:tailEnd/>
                    </a:ln>
                  </pic:spPr>
                </pic:pic>
              </a:graphicData>
            </a:graphic>
          </wp:inline>
        </w:drawing>
      </w:r>
    </w:p>
    <w:p w:rsidR="009A2AB0" w:rsidRDefault="00876763" w:rsidP="00876763">
      <w:pPr>
        <w:pStyle w:val="Heading5"/>
      </w:pPr>
      <w:bookmarkStart w:id="69" w:name="_Toc346186573"/>
      <w:bookmarkStart w:id="70" w:name="_Toc241374320"/>
      <w:bookmarkStart w:id="71" w:name="_Ref272333507"/>
      <w:bookmarkStart w:id="72" w:name="_Toc272414666"/>
      <w:bookmarkStart w:id="73" w:name="_Toc273018229"/>
      <w:r>
        <w:t>Deaths</w:t>
      </w:r>
      <w:bookmarkEnd w:id="69"/>
      <w:r>
        <w:t xml:space="preserve"> </w:t>
      </w:r>
      <w:bookmarkEnd w:id="70"/>
      <w:bookmarkEnd w:id="71"/>
      <w:bookmarkEnd w:id="72"/>
      <w:bookmarkEnd w:id="73"/>
    </w:p>
    <w:p w:rsidR="009A2AB0" w:rsidRDefault="009A2AB0" w:rsidP="00876763">
      <w:r w:rsidRPr="008C0CC9">
        <w:t xml:space="preserve">At the time of data cut-off, 340 patients (83%) in Arm A and 310 patients (77%) in Arm B had died. </w:t>
      </w:r>
      <w:bookmarkStart w:id="74" w:name="_Toc241374325"/>
      <w:bookmarkStart w:id="75" w:name="_Ref272333477"/>
      <w:bookmarkStart w:id="76" w:name="_Toc272414667"/>
      <w:bookmarkStart w:id="77" w:name="_Toc273018230"/>
      <w:r w:rsidRPr="008C0CC9">
        <w:t>The major cause of death was disease progression. The proportion of patients who died from causes other than disease progression was comparable between the two arms of the study (Arm A: 5.4%; Arm B: 5.7%). The adverse events related to study treatment, leading to death included intestinal perforation, general physical health deterioration and acute pre-renal failure in Arm A, and upper GI haemorrhage,</w:t>
      </w:r>
      <w:r>
        <w:t xml:space="preserve"> sudden death,</w:t>
      </w:r>
      <w:r w:rsidRPr="008C0CC9">
        <w:t xml:space="preserve"> cerebrovascular accident and neutropaenia in Ar</w:t>
      </w:r>
      <w:r w:rsidRPr="00B50676">
        <w:t>m B. See Table 2</w:t>
      </w:r>
      <w:r w:rsidR="00B50676" w:rsidRPr="00B50676">
        <w:t>1</w:t>
      </w:r>
      <w:r w:rsidRPr="00B50676">
        <w:t>.</w:t>
      </w:r>
      <w:r w:rsidRPr="00407245">
        <w:t xml:space="preserve"> </w:t>
      </w:r>
    </w:p>
    <w:p w:rsidR="00A25D42" w:rsidRDefault="00A25D42">
      <w:pPr>
        <w:spacing w:before="0" w:after="200" w:line="0" w:lineRule="auto"/>
        <w:rPr>
          <w:b/>
          <w:sz w:val="20"/>
        </w:rPr>
      </w:pPr>
      <w:r>
        <w:br w:type="page"/>
      </w:r>
    </w:p>
    <w:p w:rsidR="00A25D42" w:rsidRDefault="00181A86" w:rsidP="00A25D42">
      <w:pPr>
        <w:pStyle w:val="TableTitle"/>
        <w:keepNext w:val="0"/>
      </w:pPr>
      <w:r w:rsidRPr="00181A86">
        <w:lastRenderedPageBreak/>
        <w:t>Table 2</w:t>
      </w:r>
      <w:r w:rsidR="00B50676">
        <w:t>1</w:t>
      </w:r>
      <w:r w:rsidRPr="00181A86">
        <w:t xml:space="preserve"> Summary of Adverse Events Leading to Death (Safety Population</w:t>
      </w:r>
      <w:r w:rsidR="00A25D42">
        <w:t>)</w:t>
      </w:r>
    </w:p>
    <w:p w:rsidR="00A21B14" w:rsidRDefault="00A21B14" w:rsidP="00A25D42">
      <w:pPr>
        <w:pStyle w:val="TableTitle"/>
        <w:keepNext w:val="0"/>
      </w:pPr>
    </w:p>
    <w:p w:rsidR="00A21B14" w:rsidRDefault="00A21B14" w:rsidP="00A25D42">
      <w:pPr>
        <w:pStyle w:val="TableTitle"/>
        <w:keepNext w:val="0"/>
        <w:sectPr w:rsidR="00A21B14" w:rsidSect="00A25D42">
          <w:headerReference w:type="even" r:id="rId40"/>
          <w:headerReference w:type="default" r:id="rId41"/>
          <w:footerReference w:type="default" r:id="rId42"/>
          <w:headerReference w:type="first" r:id="rId43"/>
          <w:footerReference w:type="first" r:id="rId44"/>
          <w:type w:val="continuous"/>
          <w:pgSz w:w="11906" w:h="16838" w:code="9"/>
          <w:pgMar w:top="1440" w:right="1440" w:bottom="1440" w:left="1440" w:header="907" w:footer="216" w:gutter="0"/>
          <w:cols w:space="708"/>
          <w:docGrid w:linePitch="360"/>
        </w:sectPr>
      </w:pPr>
    </w:p>
    <w:p w:rsidR="00A25D42" w:rsidRDefault="00181A86" w:rsidP="00A25D42">
      <w:pPr>
        <w:rPr>
          <w:sz w:val="16"/>
          <w:szCs w:val="16"/>
        </w:rPr>
      </w:pPr>
      <w:r w:rsidRPr="00181A86">
        <w:rPr>
          <w:noProof/>
          <w:lang w:eastAsia="en-AU"/>
        </w:rPr>
        <w:lastRenderedPageBreak/>
        <w:drawing>
          <wp:inline distT="0" distB="0" distL="0" distR="0">
            <wp:extent cx="1872273" cy="4454769"/>
            <wp:effectExtent l="19050" t="0" r="0" b="0"/>
            <wp:docPr id="166" name="Picture 60" descr="Table 21 Summary of Adverse Events Leading to Death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duotone>
                        <a:prstClr val="black"/>
                        <a:schemeClr val="bg1">
                          <a:tint val="45000"/>
                          <a:satMod val="400000"/>
                        </a:schemeClr>
                      </a:duotone>
                    </a:blip>
                    <a:srcRect l="1099" t="3025" r="58694" b="3361"/>
                    <a:stretch>
                      <a:fillRect/>
                    </a:stretch>
                  </pic:blipFill>
                  <pic:spPr bwMode="auto">
                    <a:xfrm>
                      <a:off x="0" y="0"/>
                      <a:ext cx="1872273" cy="4454769"/>
                    </a:xfrm>
                    <a:prstGeom prst="rect">
                      <a:avLst/>
                    </a:prstGeom>
                    <a:noFill/>
                    <a:ln w="9525">
                      <a:noFill/>
                      <a:miter lim="800000"/>
                      <a:headEnd/>
                      <a:tailEnd/>
                    </a:ln>
                  </pic:spPr>
                </pic:pic>
              </a:graphicData>
            </a:graphic>
          </wp:inline>
        </w:drawing>
      </w:r>
      <w:r w:rsidR="00A25D42">
        <w:rPr>
          <w:sz w:val="16"/>
          <w:szCs w:val="16"/>
        </w:rPr>
        <w:br w:type="column"/>
      </w:r>
      <w:r w:rsidR="00A14E68" w:rsidRPr="00A14E68">
        <w:rPr>
          <w:noProof/>
          <w:lang w:eastAsia="en-AU"/>
        </w:rPr>
        <w:lastRenderedPageBreak/>
        <w:drawing>
          <wp:inline distT="0" distB="0" distL="0" distR="0">
            <wp:extent cx="1973873" cy="4525108"/>
            <wp:effectExtent l="19050" t="0" r="7327" b="0"/>
            <wp:docPr id="2" name="Picture 60" descr="Table 21 Summary of Adverse Events Leading to Death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duotone>
                        <a:prstClr val="black"/>
                        <a:schemeClr val="bg1">
                          <a:tint val="45000"/>
                          <a:satMod val="400000"/>
                        </a:schemeClr>
                      </a:duotone>
                    </a:blip>
                    <a:srcRect l="56688" t="1177" r="1005" b="1469"/>
                    <a:stretch>
                      <a:fillRect/>
                    </a:stretch>
                  </pic:blipFill>
                  <pic:spPr bwMode="auto">
                    <a:xfrm>
                      <a:off x="0" y="0"/>
                      <a:ext cx="1974703" cy="4525108"/>
                    </a:xfrm>
                    <a:prstGeom prst="rect">
                      <a:avLst/>
                    </a:prstGeom>
                    <a:noFill/>
                    <a:ln w="9525">
                      <a:noFill/>
                      <a:miter lim="800000"/>
                      <a:headEnd/>
                      <a:tailEnd/>
                    </a:ln>
                  </pic:spPr>
                </pic:pic>
              </a:graphicData>
            </a:graphic>
          </wp:inline>
        </w:drawing>
      </w:r>
      <w:r w:rsidR="00A25D42" w:rsidRPr="00A25D42">
        <w:rPr>
          <w:sz w:val="16"/>
          <w:szCs w:val="16"/>
        </w:rPr>
        <w:t xml:space="preserve"> </w:t>
      </w:r>
    </w:p>
    <w:p w:rsidR="00A25D42" w:rsidRPr="00181A86" w:rsidRDefault="00A25D42" w:rsidP="00A25D42">
      <w:r w:rsidRPr="00A14E68">
        <w:rPr>
          <w:sz w:val="16"/>
          <w:szCs w:val="16"/>
        </w:rPr>
        <w:t>[</w:t>
      </w:r>
      <w:proofErr w:type="gramStart"/>
      <w:r w:rsidRPr="00A14E68">
        <w:rPr>
          <w:sz w:val="16"/>
          <w:szCs w:val="16"/>
        </w:rPr>
        <w:t>information</w:t>
      </w:r>
      <w:proofErr w:type="gramEnd"/>
      <w:r w:rsidRPr="00A14E68">
        <w:rPr>
          <w:sz w:val="16"/>
          <w:szCs w:val="16"/>
        </w:rPr>
        <w:t xml:space="preserve"> redacted]</w:t>
      </w:r>
    </w:p>
    <w:p w:rsidR="00A14E68" w:rsidRDefault="00A14E68" w:rsidP="00A25D42">
      <w:pPr>
        <w:pStyle w:val="Heading5"/>
        <w:sectPr w:rsidR="00A14E68" w:rsidSect="00A14E68">
          <w:type w:val="continuous"/>
          <w:pgSz w:w="11906" w:h="16838" w:code="9"/>
          <w:pgMar w:top="1440" w:right="1440" w:bottom="1440" w:left="1440" w:header="907" w:footer="216" w:gutter="0"/>
          <w:cols w:num="2" w:space="708"/>
          <w:docGrid w:linePitch="360"/>
        </w:sectPr>
      </w:pPr>
      <w:bookmarkStart w:id="78" w:name="_Toc346186574"/>
    </w:p>
    <w:p w:rsidR="009A2AB0" w:rsidRDefault="00876763" w:rsidP="00A25D42">
      <w:pPr>
        <w:pStyle w:val="Heading5"/>
        <w:keepNext w:val="0"/>
      </w:pPr>
      <w:r>
        <w:lastRenderedPageBreak/>
        <w:t>Serious Adverse Events</w:t>
      </w:r>
      <w:bookmarkEnd w:id="78"/>
    </w:p>
    <w:p w:rsidR="009A2AB0" w:rsidRDefault="009A2AB0" w:rsidP="009A2AB0">
      <w:r>
        <w:t xml:space="preserve">The incidences of serious adverse events were 33.5% in Arm A and 32.2% in Arm B. The commonly reported SAEs were diarrhoea, pyrexia, abdominal pain, neutropaenia, </w:t>
      </w:r>
      <w:proofErr w:type="gramStart"/>
      <w:r>
        <w:t>vomiting</w:t>
      </w:r>
      <w:proofErr w:type="gramEnd"/>
      <w:r>
        <w:t>, pulmonary embolism, sub-ileus and drug hypersensitivity. The distribution between the two arms was simila</w:t>
      </w:r>
      <w:r w:rsidRPr="00B50676">
        <w:t>r. See Table 2</w:t>
      </w:r>
      <w:r w:rsidR="00B50676" w:rsidRPr="00B50676">
        <w:t>2</w:t>
      </w:r>
      <w:r w:rsidRPr="00B50676">
        <w:t>.</w:t>
      </w:r>
    </w:p>
    <w:p w:rsidR="00181A86" w:rsidRPr="00181A86" w:rsidRDefault="00181A86" w:rsidP="00B50676">
      <w:pPr>
        <w:pStyle w:val="TableTitle"/>
      </w:pPr>
      <w:r w:rsidRPr="00181A86">
        <w:lastRenderedPageBreak/>
        <w:t>Table 2</w:t>
      </w:r>
      <w:r w:rsidR="00B50676">
        <w:t>2</w:t>
      </w:r>
      <w:r w:rsidRPr="00181A86">
        <w:t xml:space="preserve"> Summary of Serious Adverse Events Affecting ≥ two patients (&gt; 0.5%) in Either Treatment Arm (Safety Population)</w:t>
      </w:r>
    </w:p>
    <w:p w:rsidR="00181A86" w:rsidRPr="00181A86" w:rsidRDefault="00181A86" w:rsidP="00181A86">
      <w:r w:rsidRPr="00181A86">
        <w:rPr>
          <w:noProof/>
          <w:lang w:eastAsia="en-AU"/>
        </w:rPr>
        <w:drawing>
          <wp:inline distT="0" distB="0" distL="0" distR="0">
            <wp:extent cx="4928163" cy="5676900"/>
            <wp:effectExtent l="19050" t="0" r="5787" b="0"/>
            <wp:docPr id="4" name="Picture 61" descr="Table 22 Summary of Serious Adverse Events Affecting ≥ two patients (&gt; 0.5%) in Either Treatment A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duotone>
                        <a:prstClr val="black"/>
                        <a:schemeClr val="bg1">
                          <a:tint val="45000"/>
                          <a:satMod val="400000"/>
                        </a:schemeClr>
                      </a:duotone>
                    </a:blip>
                    <a:srcRect/>
                    <a:stretch>
                      <a:fillRect/>
                    </a:stretch>
                  </pic:blipFill>
                  <pic:spPr bwMode="auto">
                    <a:xfrm>
                      <a:off x="0" y="0"/>
                      <a:ext cx="4928673" cy="5677488"/>
                    </a:xfrm>
                    <a:prstGeom prst="rect">
                      <a:avLst/>
                    </a:prstGeom>
                    <a:noFill/>
                    <a:ln w="9525">
                      <a:noFill/>
                      <a:miter lim="800000"/>
                      <a:headEnd/>
                      <a:tailEnd/>
                    </a:ln>
                  </pic:spPr>
                </pic:pic>
              </a:graphicData>
            </a:graphic>
          </wp:inline>
        </w:drawing>
      </w:r>
    </w:p>
    <w:p w:rsidR="009A2AB0" w:rsidRPr="00C926EF" w:rsidRDefault="00876763" w:rsidP="00876763">
      <w:pPr>
        <w:pStyle w:val="Heading5"/>
      </w:pPr>
      <w:bookmarkStart w:id="79" w:name="_Toc346186575"/>
      <w:r w:rsidRPr="00C926EF">
        <w:t>Discontinuation Due To Adverse Events</w:t>
      </w:r>
      <w:bookmarkEnd w:id="74"/>
      <w:bookmarkEnd w:id="75"/>
      <w:bookmarkEnd w:id="76"/>
      <w:bookmarkEnd w:id="77"/>
      <w:bookmarkEnd w:id="79"/>
    </w:p>
    <w:p w:rsidR="009A2AB0" w:rsidRDefault="009A2AB0" w:rsidP="009A2AB0">
      <w:pPr>
        <w:autoSpaceDE w:val="0"/>
        <w:autoSpaceDN w:val="0"/>
        <w:adjustRightInd w:val="0"/>
      </w:pPr>
      <w:r>
        <w:t xml:space="preserve">A greater proportion of patients in Arm B discontinued any component of trial treatment (15.7%) than in Arm </w:t>
      </w:r>
      <w:proofErr w:type="gramStart"/>
      <w:r>
        <w:t>A</w:t>
      </w:r>
      <w:proofErr w:type="gramEnd"/>
      <w:r>
        <w:t xml:space="preserve"> (8.8%). In Arm B, 58 patients discontinued bevacizumab treatment. Of these, 10 continued with chemotherapy and the rest discontinued both bevacizumab and chemotherapy at the same ti</w:t>
      </w:r>
      <w:r w:rsidRPr="00B50676">
        <w:t xml:space="preserve">me. See Table </w:t>
      </w:r>
      <w:r w:rsidR="00B50676" w:rsidRPr="00B50676">
        <w:t>8</w:t>
      </w:r>
      <w:r w:rsidRPr="00B50676">
        <w:t>. The commonest reasons for discontinuing bevacizumab were thrombocytopaenia (5 patients), d</w:t>
      </w:r>
      <w:r>
        <w:t xml:space="preserve">iarrhoea (4 patients), intestinal perforation, sub-ileus, asthenia and pulmonary embolism (3 patients each), neutropaenia, deep vein thrombosis and dyspnoea (2 patients each). Hypertension was the cause of discontinuation of bevacizumab in one patient. </w:t>
      </w:r>
    </w:p>
    <w:p w:rsidR="009A2AB0" w:rsidRDefault="00876763" w:rsidP="00876763">
      <w:pPr>
        <w:pStyle w:val="Heading4"/>
      </w:pPr>
      <w:bookmarkStart w:id="80" w:name="_Toc241374321"/>
      <w:bookmarkStart w:id="81" w:name="_Ref271044780"/>
      <w:bookmarkStart w:id="82" w:name="_Ref271196640"/>
      <w:bookmarkStart w:id="83" w:name="_Ref272333085"/>
      <w:bookmarkStart w:id="84" w:name="_Toc272414668"/>
      <w:bookmarkStart w:id="85" w:name="_Toc273018231"/>
      <w:bookmarkStart w:id="86" w:name="_Toc346186576"/>
      <w:r>
        <w:t>Laboratory Tests</w:t>
      </w:r>
      <w:bookmarkEnd w:id="80"/>
      <w:bookmarkEnd w:id="81"/>
      <w:bookmarkEnd w:id="82"/>
      <w:bookmarkEnd w:id="83"/>
      <w:bookmarkEnd w:id="84"/>
      <w:bookmarkEnd w:id="85"/>
      <w:bookmarkEnd w:id="86"/>
    </w:p>
    <w:p w:rsidR="009A2AB0" w:rsidRDefault="009A2AB0" w:rsidP="009A2AB0">
      <w:r>
        <w:t>There were no significant differences between the treatment arms in shifts from a lower grade to a higher grade (Grades 3 or 4) in haematological or biochemical parameters during treatment. The commonest post</w:t>
      </w:r>
      <w:r w:rsidR="00181A86">
        <w:t xml:space="preserve"> </w:t>
      </w:r>
      <w:r>
        <w:t>baselin</w:t>
      </w:r>
      <w:r w:rsidRPr="00B50676">
        <w:t xml:space="preserve">e shifts were in relation to neutrophil count, alkaline </w:t>
      </w:r>
      <w:r w:rsidR="005B69EC">
        <w:lastRenderedPageBreak/>
        <w:t>phosphata</w:t>
      </w:r>
      <w:r w:rsidRPr="00B50676">
        <w:t xml:space="preserve">se, </w:t>
      </w:r>
      <w:r w:rsidR="00876763" w:rsidRPr="00B50676">
        <w:t>white blood cell counts (</w:t>
      </w:r>
      <w:r w:rsidRPr="00B50676">
        <w:t>WBC</w:t>
      </w:r>
      <w:r w:rsidR="00876763" w:rsidRPr="00B50676">
        <w:t>)</w:t>
      </w:r>
      <w:r w:rsidRPr="00B50676">
        <w:t xml:space="preserve">, bilirubin and </w:t>
      </w:r>
      <w:r w:rsidR="00876763" w:rsidRPr="00B50676">
        <w:t>lactose dehydrogenase (</w:t>
      </w:r>
      <w:r w:rsidRPr="00B50676">
        <w:t>LDH</w:t>
      </w:r>
      <w:r w:rsidR="00876763" w:rsidRPr="00B50676">
        <w:t>)</w:t>
      </w:r>
      <w:r w:rsidRPr="00B50676">
        <w:t>. See Tables 2</w:t>
      </w:r>
      <w:r w:rsidR="00B50676" w:rsidRPr="00B50676">
        <w:t>3</w:t>
      </w:r>
      <w:r w:rsidRPr="00B50676">
        <w:t xml:space="preserve"> and </w:t>
      </w:r>
      <w:r w:rsidR="00B50676" w:rsidRPr="00B50676">
        <w:t>24</w:t>
      </w:r>
      <w:r w:rsidRPr="00B50676">
        <w:t>.</w:t>
      </w:r>
    </w:p>
    <w:p w:rsidR="00181A86" w:rsidRPr="00181A86" w:rsidRDefault="00181A86" w:rsidP="00B50676">
      <w:pPr>
        <w:pStyle w:val="TableTitle"/>
      </w:pPr>
      <w:r w:rsidRPr="00181A86">
        <w:t>Table 2</w:t>
      </w:r>
      <w:r w:rsidR="00B50676">
        <w:t>3</w:t>
      </w:r>
      <w:r w:rsidRPr="00181A86">
        <w:t xml:space="preserve"> Summary of Treatment-Emergent Grade 3 or 4 Laboratory Haematology Test Values (Shift Table)</w:t>
      </w:r>
    </w:p>
    <w:p w:rsidR="00181A86" w:rsidRPr="00181A86" w:rsidRDefault="00181A86" w:rsidP="00181A86">
      <w:pPr>
        <w:rPr>
          <w:b/>
        </w:rPr>
      </w:pPr>
      <w:r w:rsidRPr="00181A86">
        <w:rPr>
          <w:b/>
          <w:noProof/>
          <w:lang w:eastAsia="en-AU"/>
        </w:rPr>
        <w:drawing>
          <wp:inline distT="0" distB="0" distL="0" distR="0">
            <wp:extent cx="5023688" cy="3324225"/>
            <wp:effectExtent l="19050" t="0" r="5512" b="0"/>
            <wp:docPr id="6" name="Picture 63" descr="Table 23 Summary of Treatment-Emergent Grade 3 or 4 Laboratory Haematology Test Values (Shif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duotone>
                        <a:prstClr val="black"/>
                        <a:schemeClr val="bg1">
                          <a:tint val="45000"/>
                          <a:satMod val="400000"/>
                        </a:schemeClr>
                      </a:duotone>
                    </a:blip>
                    <a:srcRect/>
                    <a:stretch>
                      <a:fillRect/>
                    </a:stretch>
                  </pic:blipFill>
                  <pic:spPr bwMode="auto">
                    <a:xfrm>
                      <a:off x="0" y="0"/>
                      <a:ext cx="5025637" cy="3325515"/>
                    </a:xfrm>
                    <a:prstGeom prst="rect">
                      <a:avLst/>
                    </a:prstGeom>
                    <a:noFill/>
                    <a:ln w="9525">
                      <a:noFill/>
                      <a:miter lim="800000"/>
                      <a:headEnd/>
                      <a:tailEnd/>
                    </a:ln>
                  </pic:spPr>
                </pic:pic>
              </a:graphicData>
            </a:graphic>
          </wp:inline>
        </w:drawing>
      </w:r>
    </w:p>
    <w:p w:rsidR="00181A86" w:rsidRPr="00181A86" w:rsidRDefault="00181A86" w:rsidP="00B50676">
      <w:pPr>
        <w:pStyle w:val="TableTitle"/>
      </w:pPr>
      <w:r w:rsidRPr="00181A86">
        <w:lastRenderedPageBreak/>
        <w:t xml:space="preserve">Table </w:t>
      </w:r>
      <w:r w:rsidR="00B50676">
        <w:t>24</w:t>
      </w:r>
      <w:r w:rsidRPr="00181A86">
        <w:t xml:space="preserve"> Summary of Treatment-Emergent Grade 3 or 4 Laboratory Biochemistry Test Values</w:t>
      </w:r>
    </w:p>
    <w:p w:rsidR="00181A86" w:rsidRPr="00181A86" w:rsidRDefault="00181A86" w:rsidP="00181A86">
      <w:pPr>
        <w:rPr>
          <w:b/>
        </w:rPr>
      </w:pPr>
      <w:r w:rsidRPr="00181A86">
        <w:rPr>
          <w:b/>
          <w:noProof/>
          <w:lang w:eastAsia="en-AU"/>
        </w:rPr>
        <w:drawing>
          <wp:inline distT="0" distB="0" distL="0" distR="0">
            <wp:extent cx="4827984" cy="5429250"/>
            <wp:effectExtent l="19050" t="0" r="0" b="0"/>
            <wp:docPr id="7" name="Picture 64" descr="Table 24 Summary of Treatment-Emergent Grade 3 or 4 Laboratory Biochemistry Tes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duotone>
                        <a:prstClr val="black"/>
                        <a:schemeClr val="bg1">
                          <a:tint val="45000"/>
                          <a:satMod val="400000"/>
                        </a:schemeClr>
                      </a:duotone>
                    </a:blip>
                    <a:srcRect/>
                    <a:stretch>
                      <a:fillRect/>
                    </a:stretch>
                  </pic:blipFill>
                  <pic:spPr bwMode="auto">
                    <a:xfrm>
                      <a:off x="0" y="0"/>
                      <a:ext cx="4827416" cy="5428612"/>
                    </a:xfrm>
                    <a:prstGeom prst="rect">
                      <a:avLst/>
                    </a:prstGeom>
                    <a:noFill/>
                    <a:ln w="9525">
                      <a:noFill/>
                      <a:miter lim="800000"/>
                      <a:headEnd/>
                      <a:tailEnd/>
                    </a:ln>
                  </pic:spPr>
                </pic:pic>
              </a:graphicData>
            </a:graphic>
          </wp:inline>
        </w:drawing>
      </w:r>
    </w:p>
    <w:p w:rsidR="009A2AB0" w:rsidRDefault="00876763" w:rsidP="00876763">
      <w:pPr>
        <w:pStyle w:val="Heading4"/>
      </w:pPr>
      <w:bookmarkStart w:id="87" w:name="_Toc272414676"/>
      <w:bookmarkStart w:id="88" w:name="_Toc273018239"/>
      <w:bookmarkStart w:id="89" w:name="_Toc346186577"/>
      <w:r>
        <w:t>V</w:t>
      </w:r>
      <w:bookmarkEnd w:id="87"/>
      <w:bookmarkEnd w:id="88"/>
      <w:r>
        <w:t>ital Signs</w:t>
      </w:r>
      <w:bookmarkEnd w:id="89"/>
    </w:p>
    <w:p w:rsidR="009A2AB0" w:rsidRPr="00407245" w:rsidRDefault="009A2AB0" w:rsidP="009A2AB0">
      <w:r>
        <w:t xml:space="preserve">There were no marked changes from baseline readings for mean diastolic and systolic </w:t>
      </w:r>
      <w:r w:rsidR="00876763">
        <w:t>blood pressure (</w:t>
      </w:r>
      <w:r>
        <w:t>BP</w:t>
      </w:r>
      <w:r w:rsidR="00876763">
        <w:t>)</w:t>
      </w:r>
      <w:r>
        <w:t>.</w:t>
      </w:r>
    </w:p>
    <w:p w:rsidR="009A2AB0" w:rsidRDefault="00876763" w:rsidP="00876763">
      <w:pPr>
        <w:pStyle w:val="Heading4"/>
      </w:pPr>
      <w:bookmarkStart w:id="90" w:name="_Toc346186578"/>
      <w:r>
        <w:t>ECOG Performance Status</w:t>
      </w:r>
      <w:bookmarkEnd w:id="90"/>
    </w:p>
    <w:p w:rsidR="009A2AB0" w:rsidRPr="00EA0131" w:rsidRDefault="009A2AB0" w:rsidP="00876763">
      <w:r w:rsidRPr="00EA0131">
        <w:t xml:space="preserve">The ECOG PS declined over the course of the study. </w:t>
      </w:r>
      <w:r>
        <w:t>The decline was equal in the two arms of the study.</w:t>
      </w:r>
    </w:p>
    <w:p w:rsidR="009A2AB0" w:rsidRDefault="00876763" w:rsidP="00876763">
      <w:pPr>
        <w:pStyle w:val="Heading3"/>
      </w:pPr>
      <w:bookmarkStart w:id="91" w:name="_Toc241374328"/>
      <w:bookmarkStart w:id="92" w:name="_Toc272414691"/>
      <w:bookmarkStart w:id="93" w:name="_Toc273018254"/>
      <w:bookmarkStart w:id="94" w:name="_Toc346186579"/>
      <w:bookmarkStart w:id="95" w:name="_Toc381608394"/>
      <w:r>
        <w:t>Evaluator’s Overall Conclusions on Clinical Safety</w:t>
      </w:r>
      <w:bookmarkEnd w:id="91"/>
      <w:bookmarkEnd w:id="92"/>
      <w:bookmarkEnd w:id="93"/>
      <w:bookmarkEnd w:id="94"/>
      <w:bookmarkEnd w:id="95"/>
    </w:p>
    <w:p w:rsidR="009A2AB0" w:rsidRPr="00394EA5" w:rsidRDefault="009A2AB0" w:rsidP="009A2AB0">
      <w:r>
        <w:t>All the safety evaluations were performed on the safety population. The duration of exposure was slightly longer in Arm B but the dose intensity of chemotherapy between the two arms was similar. The frequency of adverse events, of any severity, was similar in the two arms of the study. Many of the commonly reported adverse events (diarrhoea, vomiting, neutropaenia, fatigue, abdominal pain</w:t>
      </w:r>
      <w:r w:rsidR="00876763">
        <w:t xml:space="preserve"> and</w:t>
      </w:r>
      <w:r>
        <w:t xml:space="preserve"> constipation) were in keeping with the adverse event profiles of the chemotherapy agents. Adverse events associated with bevacizumab were examined under ‘</w:t>
      </w:r>
      <w:r w:rsidRPr="00876763">
        <w:rPr>
          <w:i/>
        </w:rPr>
        <w:t>Adverse events special interest</w:t>
      </w:r>
      <w:r>
        <w:t>’. As expected, they were reported more frequently in Arm B (40.6% v</w:t>
      </w:r>
      <w:r w:rsidR="00876763">
        <w:t>ersu</w:t>
      </w:r>
      <w:r>
        <w:t xml:space="preserve">s 20.8%). The large disparity was attributed to a higher incidence of Grade 1-2 </w:t>
      </w:r>
      <w:r>
        <w:lastRenderedPageBreak/>
        <w:t xml:space="preserve">bleeding/haemorrhage events (mainly epistaxis) in Arm B. The difference between Grade 3-5 ‘adverse events of special interest’ in the two arms was </w:t>
      </w:r>
      <w:r w:rsidR="00876763">
        <w:t>≤</w:t>
      </w:r>
      <w:r>
        <w:t xml:space="preserve"> 2%. </w:t>
      </w:r>
      <w:r w:rsidRPr="00394EA5">
        <w:t>The</w:t>
      </w:r>
      <w:r>
        <w:t xml:space="preserve"> sponsor states that the</w:t>
      </w:r>
      <w:r w:rsidRPr="00394EA5">
        <w:t xml:space="preserve"> low rate of difference compared to studies in previously bevacizumab naive patients, suggests that previous exposure to bevacizumab identified adverse events that have probably been managed appropriately. </w:t>
      </w:r>
      <w:r>
        <w:t>This seems a reasonable assumption.</w:t>
      </w:r>
      <w:r w:rsidRPr="00394EA5">
        <w:t xml:space="preserve"> </w:t>
      </w:r>
      <w:r>
        <w:t>A higher proportion of patients in Arm B discontinued treatment, with most discontinuing chemotherapy as well as bevacizumab. The incidence of deaths not due to progressive disease was similar in the two arms of the study.</w:t>
      </w:r>
    </w:p>
    <w:p w:rsidR="00C22678" w:rsidRDefault="00C22678" w:rsidP="00876763">
      <w:pPr>
        <w:pStyle w:val="Heading2"/>
      </w:pPr>
      <w:bookmarkStart w:id="96" w:name="_Toc381608395"/>
      <w:r>
        <w:t>First round benefit-risk assessment</w:t>
      </w:r>
      <w:bookmarkEnd w:id="96"/>
    </w:p>
    <w:p w:rsidR="009A2AB0" w:rsidRPr="009A2AB0" w:rsidRDefault="00876763" w:rsidP="00876763">
      <w:pPr>
        <w:pStyle w:val="Heading3"/>
      </w:pPr>
      <w:bookmarkStart w:id="97" w:name="_Toc381608396"/>
      <w:r>
        <w:t>Fi</w:t>
      </w:r>
      <w:r w:rsidRPr="009A2AB0">
        <w:t xml:space="preserve">rst Round Assessment </w:t>
      </w:r>
      <w:r>
        <w:t>o</w:t>
      </w:r>
      <w:r w:rsidRPr="009A2AB0">
        <w:t>f Benefits</w:t>
      </w:r>
      <w:bookmarkEnd w:id="97"/>
    </w:p>
    <w:p w:rsidR="009A2AB0" w:rsidRPr="009A2AB0" w:rsidRDefault="009A2AB0" w:rsidP="00876763">
      <w:pPr>
        <w:pStyle w:val="ListBullet"/>
        <w:rPr>
          <w:lang w:eastAsia="ja-JP"/>
        </w:rPr>
      </w:pPr>
      <w:r w:rsidRPr="009A2AB0">
        <w:rPr>
          <w:lang w:eastAsia="ja-JP"/>
        </w:rPr>
        <w:t>The primary efficacy endpoint of a significant increase in OS was met by a prolongation in median survival of 1.4 months.</w:t>
      </w:r>
    </w:p>
    <w:p w:rsidR="009A2AB0" w:rsidRPr="009A2AB0" w:rsidRDefault="009A2AB0" w:rsidP="00876763">
      <w:pPr>
        <w:pStyle w:val="ListBullet"/>
        <w:rPr>
          <w:lang w:eastAsia="ja-JP"/>
        </w:rPr>
      </w:pPr>
      <w:r w:rsidRPr="009A2AB0">
        <w:rPr>
          <w:lang w:eastAsia="ja-JP"/>
        </w:rPr>
        <w:t>The secondary endpoint of PFS was met by a statistically significant reduction in the bevacizumab-containing chemotherapy arm.</w:t>
      </w:r>
    </w:p>
    <w:p w:rsidR="009A2AB0" w:rsidRPr="009A2AB0" w:rsidRDefault="009A2AB0" w:rsidP="00876763">
      <w:pPr>
        <w:pStyle w:val="ListBullet"/>
        <w:rPr>
          <w:lang w:eastAsia="ja-JP"/>
        </w:rPr>
      </w:pPr>
      <w:r w:rsidRPr="009A2AB0">
        <w:rPr>
          <w:lang w:eastAsia="ja-JP"/>
        </w:rPr>
        <w:t>The secondary endpoint of Best Overall Response was not met because the results were not statistically significant. The difference in response rate between the two arms was small.</w:t>
      </w:r>
    </w:p>
    <w:p w:rsidR="009A2AB0" w:rsidRPr="009A2AB0" w:rsidRDefault="009A2AB0" w:rsidP="00876763">
      <w:pPr>
        <w:pStyle w:val="ListBullet"/>
        <w:rPr>
          <w:lang w:eastAsia="ja-JP"/>
        </w:rPr>
      </w:pPr>
      <w:r w:rsidRPr="009A2AB0">
        <w:rPr>
          <w:lang w:eastAsia="ja-JP"/>
        </w:rPr>
        <w:t>Subgroup analysis of the efficacy endpoints by patient KRAS mutational status did not provide any evidence to suggest a valid treatment difference attributable to the use of additional bevacizumab.</w:t>
      </w:r>
    </w:p>
    <w:p w:rsidR="009A2AB0" w:rsidRPr="009A2AB0" w:rsidRDefault="00876763" w:rsidP="00876763">
      <w:pPr>
        <w:pStyle w:val="Heading3"/>
      </w:pPr>
      <w:bookmarkStart w:id="98" w:name="_Toc272414710"/>
      <w:bookmarkStart w:id="99" w:name="_Toc273018275"/>
      <w:bookmarkStart w:id="100" w:name="_Toc346186582"/>
      <w:bookmarkStart w:id="101" w:name="_Toc381608397"/>
      <w:r w:rsidRPr="009A2AB0">
        <w:t xml:space="preserve">First Round Assessment </w:t>
      </w:r>
      <w:r>
        <w:t>o</w:t>
      </w:r>
      <w:r w:rsidRPr="009A2AB0">
        <w:t>f Risks</w:t>
      </w:r>
      <w:bookmarkEnd w:id="98"/>
      <w:bookmarkEnd w:id="99"/>
      <w:bookmarkEnd w:id="100"/>
      <w:bookmarkEnd w:id="101"/>
    </w:p>
    <w:p w:rsidR="009A2AB0" w:rsidRPr="009A2AB0" w:rsidRDefault="009A2AB0" w:rsidP="00876763">
      <w:pPr>
        <w:pStyle w:val="ListBullet"/>
        <w:rPr>
          <w:lang w:eastAsia="ja-JP"/>
        </w:rPr>
      </w:pPr>
      <w:r w:rsidRPr="009A2AB0">
        <w:rPr>
          <w:lang w:eastAsia="ja-JP"/>
        </w:rPr>
        <w:t>The frequencies of adverse event of any severity were similar in the two arms of the study.</w:t>
      </w:r>
    </w:p>
    <w:p w:rsidR="009A2AB0" w:rsidRPr="009A2AB0" w:rsidRDefault="009A2AB0" w:rsidP="00876763">
      <w:pPr>
        <w:pStyle w:val="ListBullet"/>
        <w:rPr>
          <w:lang w:eastAsia="ja-JP"/>
        </w:rPr>
      </w:pPr>
      <w:r w:rsidRPr="009A2AB0">
        <w:rPr>
          <w:lang w:eastAsia="ja-JP"/>
        </w:rPr>
        <w:t>The most frequently reported adverse events were in keeping with the known adverse event profiles of the chemotherapy agents.</w:t>
      </w:r>
    </w:p>
    <w:p w:rsidR="009A2AB0" w:rsidRPr="009A2AB0" w:rsidRDefault="009A2AB0" w:rsidP="00876763">
      <w:pPr>
        <w:pStyle w:val="ListBullet"/>
        <w:rPr>
          <w:lang w:eastAsia="ja-JP"/>
        </w:rPr>
      </w:pPr>
      <w:r w:rsidRPr="009A2AB0">
        <w:rPr>
          <w:lang w:eastAsia="ja-JP"/>
        </w:rPr>
        <w:t xml:space="preserve">The difference in frequencies of Grade 3-5 adverse events that were known to be associated with bevacizumab were </w:t>
      </w:r>
      <w:r w:rsidR="00181A86">
        <w:rPr>
          <w:lang w:eastAsia="ja-JP"/>
        </w:rPr>
        <w:t>≤</w:t>
      </w:r>
      <w:r w:rsidRPr="009A2AB0">
        <w:rPr>
          <w:lang w:eastAsia="ja-JP"/>
        </w:rPr>
        <w:t xml:space="preserve"> 2% between the bevacizumab</w:t>
      </w:r>
      <w:r w:rsidR="00181A86">
        <w:rPr>
          <w:lang w:eastAsia="ja-JP"/>
        </w:rPr>
        <w:t xml:space="preserve"> </w:t>
      </w:r>
      <w:r w:rsidRPr="009A2AB0">
        <w:rPr>
          <w:lang w:eastAsia="ja-JP"/>
        </w:rPr>
        <w:t xml:space="preserve">containing chemotherapy arm and the chemotherapy alone arm.  </w:t>
      </w:r>
    </w:p>
    <w:p w:rsidR="009A2AB0" w:rsidRPr="009A2AB0" w:rsidRDefault="009A2AB0" w:rsidP="00876763">
      <w:pPr>
        <w:pStyle w:val="ListBullet"/>
        <w:rPr>
          <w:lang w:eastAsia="ja-JP"/>
        </w:rPr>
      </w:pPr>
      <w:r w:rsidRPr="009A2AB0">
        <w:rPr>
          <w:lang w:eastAsia="ja-JP"/>
        </w:rPr>
        <w:t xml:space="preserve">The incidences of Serious Adverse Events and Deaths </w:t>
      </w:r>
      <w:r w:rsidR="005B69EC">
        <w:rPr>
          <w:lang w:eastAsia="ja-JP"/>
        </w:rPr>
        <w:t xml:space="preserve">not due to progressive disease </w:t>
      </w:r>
      <w:r w:rsidRPr="009A2AB0">
        <w:rPr>
          <w:lang w:eastAsia="ja-JP"/>
        </w:rPr>
        <w:t>were comparable between the two arms of the study.</w:t>
      </w:r>
    </w:p>
    <w:p w:rsidR="009A2AB0" w:rsidRPr="009A2AB0" w:rsidRDefault="009A2AB0" w:rsidP="00876763">
      <w:pPr>
        <w:pStyle w:val="ListBullet"/>
        <w:rPr>
          <w:lang w:eastAsia="ja-JP"/>
        </w:rPr>
      </w:pPr>
      <w:r w:rsidRPr="009A2AB0">
        <w:rPr>
          <w:lang w:eastAsia="ja-JP"/>
        </w:rPr>
        <w:t>A higher proportion of patients in the bevacizumab-containing arm discontinued treatment (15.7% v</w:t>
      </w:r>
      <w:r w:rsidR="00181A86">
        <w:rPr>
          <w:lang w:eastAsia="ja-JP"/>
        </w:rPr>
        <w:t>ersu</w:t>
      </w:r>
      <w:r w:rsidRPr="009A2AB0">
        <w:rPr>
          <w:lang w:eastAsia="ja-JP"/>
        </w:rPr>
        <w:t>s 8.8%). Most of the discontinuations in this arm were due to adverse effects associated with bevacizumab.</w:t>
      </w:r>
    </w:p>
    <w:p w:rsidR="009A2AB0" w:rsidRPr="009A2AB0" w:rsidRDefault="00181A86" w:rsidP="00181A86">
      <w:pPr>
        <w:pStyle w:val="Heading3"/>
      </w:pPr>
      <w:bookmarkStart w:id="102" w:name="_Toc272414711"/>
      <w:bookmarkStart w:id="103" w:name="_Toc273018276"/>
      <w:bookmarkStart w:id="104" w:name="_Toc346186583"/>
      <w:bookmarkStart w:id="105" w:name="_Toc381608398"/>
      <w:r w:rsidRPr="009A2AB0">
        <w:t xml:space="preserve">First Round Assessment </w:t>
      </w:r>
      <w:r>
        <w:t>o</w:t>
      </w:r>
      <w:r w:rsidRPr="009A2AB0">
        <w:t>f Benefit-Risk Balance</w:t>
      </w:r>
      <w:bookmarkEnd w:id="102"/>
      <w:bookmarkEnd w:id="103"/>
      <w:bookmarkEnd w:id="104"/>
      <w:bookmarkEnd w:id="105"/>
    </w:p>
    <w:p w:rsidR="00C22678" w:rsidRPr="00586F98" w:rsidRDefault="009A2AB0" w:rsidP="009A2AB0">
      <w:pPr>
        <w:rPr>
          <w:lang w:eastAsia="ja-JP"/>
        </w:rPr>
      </w:pPr>
      <w:r w:rsidRPr="009A2AB0">
        <w:rPr>
          <w:lang w:eastAsia="ja-JP"/>
        </w:rPr>
        <w:t xml:space="preserve">The benefit-risk balance of </w:t>
      </w:r>
      <w:proofErr w:type="spellStart"/>
      <w:r w:rsidRPr="009A2AB0">
        <w:rPr>
          <w:lang w:eastAsia="ja-JP"/>
        </w:rPr>
        <w:t>bevacizumb</w:t>
      </w:r>
      <w:proofErr w:type="spellEnd"/>
      <w:r w:rsidRPr="009A2AB0">
        <w:rPr>
          <w:lang w:eastAsia="ja-JP"/>
        </w:rPr>
        <w:t xml:space="preserve"> 5 mg/kg or 10 mg/kg of body weight given once every 2 weeks or 7.5 mg/kg or 15 mg/kg body weight given once every 3 weeks as the proposed usage in second-line treatment of metastatic colorectal cancer, is favourable.</w:t>
      </w:r>
    </w:p>
    <w:p w:rsidR="00C22678" w:rsidRDefault="00C22678" w:rsidP="00181A86">
      <w:pPr>
        <w:pStyle w:val="Heading2"/>
      </w:pPr>
      <w:bookmarkStart w:id="106" w:name="_Toc381608399"/>
      <w:r>
        <w:t>First round recommendation regarding authorisation</w:t>
      </w:r>
      <w:bookmarkEnd w:id="106"/>
    </w:p>
    <w:p w:rsidR="00C22678" w:rsidRPr="00586F98" w:rsidRDefault="009A2AB0" w:rsidP="00C22678">
      <w:pPr>
        <w:rPr>
          <w:lang w:eastAsia="ja-JP"/>
        </w:rPr>
      </w:pPr>
      <w:r w:rsidRPr="009A2AB0">
        <w:rPr>
          <w:lang w:eastAsia="ja-JP"/>
        </w:rPr>
        <w:t>The application to amend the Product Information document to include the above dosage regimen for the use of Avastin in second-line treatment of metastatic colorectal cancer is recommended for approval provided the Clinical Question is addressed.</w:t>
      </w:r>
    </w:p>
    <w:p w:rsidR="00C22678" w:rsidRDefault="00C22678" w:rsidP="00181A86">
      <w:pPr>
        <w:pStyle w:val="Heading2"/>
      </w:pPr>
      <w:bookmarkStart w:id="107" w:name="_Toc381608400"/>
      <w:r>
        <w:lastRenderedPageBreak/>
        <w:t>Clinical questions</w:t>
      </w:r>
      <w:bookmarkEnd w:id="107"/>
    </w:p>
    <w:p w:rsidR="009A2AB0" w:rsidRDefault="009A2AB0" w:rsidP="00181A86">
      <w:pPr>
        <w:pStyle w:val="Heading3"/>
      </w:pPr>
      <w:bookmarkStart w:id="108" w:name="_Toc381608401"/>
      <w:r>
        <w:t>Safety</w:t>
      </w:r>
      <w:bookmarkEnd w:id="108"/>
    </w:p>
    <w:p w:rsidR="009A2AB0" w:rsidRDefault="009A2AB0" w:rsidP="009A2AB0">
      <w:r>
        <w:t xml:space="preserve">The safety population as described </w:t>
      </w:r>
      <w:r w:rsidRPr="00B50676">
        <w:t xml:space="preserve">in Table </w:t>
      </w:r>
      <w:r w:rsidR="00B50676" w:rsidRPr="00B50676">
        <w:t>25</w:t>
      </w:r>
      <w:r w:rsidRPr="00B50676">
        <w:t>: ‘S</w:t>
      </w:r>
      <w:r w:rsidRPr="00B50676">
        <w:rPr>
          <w:i/>
        </w:rPr>
        <w:t>ummary of Analysis Population in Study ML 18147 (Randomized Patients)</w:t>
      </w:r>
      <w:r w:rsidRPr="00B50676">
        <w:t xml:space="preserve">’ was 407 patients in the Chemo arm and 403 patients in the Chemo + Bev </w:t>
      </w:r>
      <w:r w:rsidR="00181A86" w:rsidRPr="00B50676">
        <w:t>(</w:t>
      </w:r>
      <w:proofErr w:type="spellStart"/>
      <w:r w:rsidR="00181A86" w:rsidRPr="00B50676">
        <w:rPr>
          <w:lang w:eastAsia="ja-JP"/>
        </w:rPr>
        <w:t>bevacizumb</w:t>
      </w:r>
      <w:proofErr w:type="spellEnd"/>
      <w:r w:rsidR="00181A86" w:rsidRPr="00B50676">
        <w:t xml:space="preserve">) </w:t>
      </w:r>
      <w:r w:rsidRPr="00B50676">
        <w:t xml:space="preserve">arm. </w:t>
      </w:r>
      <w:proofErr w:type="gramStart"/>
      <w:r w:rsidRPr="00B50676">
        <w:t xml:space="preserve">However, the safety population described in Table </w:t>
      </w:r>
      <w:r w:rsidR="00B50676" w:rsidRPr="00B50676">
        <w:t>8</w:t>
      </w:r>
      <w:r w:rsidRPr="00B50676">
        <w:t>: ‘</w:t>
      </w:r>
      <w:r w:rsidRPr="00B50676">
        <w:rPr>
          <w:i/>
        </w:rPr>
        <w:t>Summary of Overall Safety (Safety Population)</w:t>
      </w:r>
      <w:r w:rsidRPr="00B50676">
        <w:t>’ was 409 patients in the Chemo arm and 401 pati</w:t>
      </w:r>
      <w:r>
        <w:t>ents in the Chemo + Bev arm.</w:t>
      </w:r>
      <w:proofErr w:type="gramEnd"/>
      <w:r>
        <w:t xml:space="preserve"> An explanation for the discrepancy in the two tables is sought.</w:t>
      </w:r>
    </w:p>
    <w:p w:rsidR="00181A86" w:rsidRPr="00181A86" w:rsidRDefault="00181A86" w:rsidP="00B50676">
      <w:pPr>
        <w:pStyle w:val="TableTitle"/>
      </w:pPr>
      <w:r w:rsidRPr="00181A86">
        <w:t xml:space="preserve">Table </w:t>
      </w:r>
      <w:r w:rsidR="00B50676">
        <w:t>25</w:t>
      </w:r>
      <w:r w:rsidRPr="00181A86">
        <w:t xml:space="preserve"> Summary of analysis population</w:t>
      </w:r>
    </w:p>
    <w:p w:rsidR="00181A86" w:rsidRPr="00181A86" w:rsidRDefault="00181A86" w:rsidP="00181A86">
      <w:r w:rsidRPr="00181A86">
        <w:rPr>
          <w:noProof/>
          <w:lang w:eastAsia="en-AU"/>
        </w:rPr>
        <w:drawing>
          <wp:inline distT="0" distB="0" distL="0" distR="0">
            <wp:extent cx="5649411" cy="3067050"/>
            <wp:effectExtent l="19050" t="0" r="8439" b="0"/>
            <wp:docPr id="8" name="Picture 20" descr="Table 25 Summary of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duotone>
                        <a:prstClr val="black"/>
                        <a:schemeClr val="bg1">
                          <a:tint val="45000"/>
                          <a:satMod val="400000"/>
                        </a:schemeClr>
                      </a:duotone>
                    </a:blip>
                    <a:srcRect/>
                    <a:stretch>
                      <a:fillRect/>
                    </a:stretch>
                  </pic:blipFill>
                  <pic:spPr bwMode="auto">
                    <a:xfrm>
                      <a:off x="0" y="0"/>
                      <a:ext cx="5648747" cy="3066689"/>
                    </a:xfrm>
                    <a:prstGeom prst="rect">
                      <a:avLst/>
                    </a:prstGeom>
                    <a:noFill/>
                    <a:ln w="9525">
                      <a:noFill/>
                      <a:miter lim="800000"/>
                      <a:headEnd/>
                      <a:tailEnd/>
                    </a:ln>
                  </pic:spPr>
                </pic:pic>
              </a:graphicData>
            </a:graphic>
          </wp:inline>
        </w:drawing>
      </w:r>
    </w:p>
    <w:p w:rsidR="00C618F7" w:rsidRPr="00B50676" w:rsidRDefault="00C618F7" w:rsidP="00C618F7">
      <w:pPr>
        <w:pStyle w:val="Heading2"/>
      </w:pPr>
      <w:bookmarkStart w:id="109" w:name="_Toc381608402"/>
      <w:r w:rsidRPr="00B50676">
        <w:t>Second round evaluation of clinical data submitted in response to questions</w:t>
      </w:r>
      <w:bookmarkEnd w:id="109"/>
    </w:p>
    <w:p w:rsidR="00C618F7" w:rsidRPr="00586F98" w:rsidRDefault="00B50676" w:rsidP="00C618F7">
      <w:pPr>
        <w:rPr>
          <w:lang w:eastAsia="ja-JP"/>
        </w:rPr>
      </w:pPr>
      <w:r w:rsidRPr="00B50676">
        <w:rPr>
          <w:lang w:eastAsia="ja-JP"/>
        </w:rPr>
        <w:t>Nil information</w:t>
      </w:r>
      <w:r>
        <w:rPr>
          <w:lang w:eastAsia="ja-JP"/>
        </w:rPr>
        <w:t xml:space="preserve"> provided</w:t>
      </w:r>
      <w:r w:rsidRPr="00B50676">
        <w:rPr>
          <w:lang w:eastAsia="ja-JP"/>
        </w:rPr>
        <w:t>.</w:t>
      </w:r>
    </w:p>
    <w:p w:rsidR="00C618F7" w:rsidRDefault="00C618F7" w:rsidP="00C618F7">
      <w:pPr>
        <w:pStyle w:val="Heading2"/>
      </w:pPr>
      <w:bookmarkStart w:id="110" w:name="_Toc381608403"/>
      <w:r>
        <w:t>Second round benefit-risk assessment</w:t>
      </w:r>
      <w:bookmarkEnd w:id="110"/>
    </w:p>
    <w:p w:rsidR="009A2AB0" w:rsidRDefault="009A2AB0" w:rsidP="00181A86">
      <w:pPr>
        <w:pStyle w:val="Heading3"/>
      </w:pPr>
      <w:bookmarkStart w:id="111" w:name="_Toc290846349"/>
      <w:bookmarkStart w:id="112" w:name="_Toc290888886"/>
      <w:bookmarkStart w:id="113" w:name="_Toc381608404"/>
      <w:r>
        <w:t>Second round assessment of benefits</w:t>
      </w:r>
      <w:bookmarkEnd w:id="111"/>
      <w:bookmarkEnd w:id="112"/>
      <w:bookmarkEnd w:id="113"/>
    </w:p>
    <w:p w:rsidR="009A2AB0" w:rsidRDefault="009A2AB0" w:rsidP="009A2AB0">
      <w:r>
        <w:t xml:space="preserve">After consideration of the responses to clinical questions, the benefits of Avastin in the proposed usage are unchanged from those identified </w:t>
      </w:r>
      <w:r w:rsidR="00181A86">
        <w:t>in the First Round Evaluation.</w:t>
      </w:r>
    </w:p>
    <w:p w:rsidR="009A2AB0" w:rsidRDefault="009A2AB0" w:rsidP="009A2AB0">
      <w:pPr>
        <w:pStyle w:val="Heading2"/>
        <w:tabs>
          <w:tab w:val="num" w:pos="851"/>
        </w:tabs>
        <w:ind w:left="851" w:hanging="851"/>
      </w:pPr>
      <w:bookmarkStart w:id="114" w:name="_Toc290846350"/>
      <w:bookmarkStart w:id="115" w:name="_Toc290888887"/>
      <w:bookmarkStart w:id="116" w:name="_Toc381608405"/>
      <w:r>
        <w:t>Second round assessment of risks</w:t>
      </w:r>
      <w:bookmarkEnd w:id="114"/>
      <w:bookmarkEnd w:id="115"/>
      <w:bookmarkEnd w:id="116"/>
    </w:p>
    <w:p w:rsidR="009A2AB0" w:rsidRDefault="009A2AB0" w:rsidP="009A2AB0">
      <w:pPr>
        <w:autoSpaceDE w:val="0"/>
        <w:autoSpaceDN w:val="0"/>
        <w:adjustRightInd w:val="0"/>
      </w:pPr>
      <w:r>
        <w:t xml:space="preserve">After consideration of the responses to clinical questions, the benefits of Avastin in the proposed usage are unchanged from those identified in </w:t>
      </w:r>
      <w:r w:rsidR="00181A86">
        <w:t>the First Round Evaluation</w:t>
      </w:r>
      <w:r>
        <w:t>.</w:t>
      </w:r>
    </w:p>
    <w:p w:rsidR="009A2AB0" w:rsidRDefault="009A2AB0" w:rsidP="00181A86">
      <w:pPr>
        <w:pStyle w:val="Heading3"/>
      </w:pPr>
      <w:bookmarkStart w:id="117" w:name="_Toc290846351"/>
      <w:bookmarkStart w:id="118" w:name="_Toc290888888"/>
      <w:bookmarkStart w:id="119" w:name="_Toc381608406"/>
      <w:r>
        <w:lastRenderedPageBreak/>
        <w:t>Second round assessment of benefit-risk balance</w:t>
      </w:r>
      <w:bookmarkEnd w:id="117"/>
      <w:bookmarkEnd w:id="118"/>
      <w:bookmarkEnd w:id="119"/>
    </w:p>
    <w:p w:rsidR="00C618F7" w:rsidRPr="00586F98" w:rsidRDefault="009A2AB0" w:rsidP="009A2AB0">
      <w:pPr>
        <w:rPr>
          <w:lang w:eastAsia="ja-JP"/>
        </w:rPr>
      </w:pPr>
      <w:r>
        <w:t>The benefit-risk balance of Avastin, given the proposed usage, is favourable.</w:t>
      </w:r>
    </w:p>
    <w:p w:rsidR="00C618F7" w:rsidRDefault="00C618F7" w:rsidP="00181A86">
      <w:pPr>
        <w:pStyle w:val="Heading2"/>
      </w:pPr>
      <w:bookmarkStart w:id="120" w:name="_Toc381608407"/>
      <w:r>
        <w:t>Second round recommendation regarding authorisation</w:t>
      </w:r>
      <w:bookmarkEnd w:id="120"/>
    </w:p>
    <w:p w:rsidR="00C618F7" w:rsidRPr="00586F98" w:rsidRDefault="009A2AB0" w:rsidP="00C618F7">
      <w:pPr>
        <w:rPr>
          <w:lang w:eastAsia="ja-JP"/>
        </w:rPr>
      </w:pPr>
      <w:r w:rsidRPr="009A2AB0">
        <w:rPr>
          <w:lang w:eastAsia="ja-JP"/>
        </w:rPr>
        <w:t>The application to amend the Product Information document to include the above dosage regimen for the use of Avastin in second-line treatment of metastatic colorectal cancer is recommended for approval.</w:t>
      </w:r>
    </w:p>
    <w:p w:rsidR="00C618F7" w:rsidRDefault="00C618F7" w:rsidP="00C618F7">
      <w:pPr>
        <w:pStyle w:val="Heading2"/>
      </w:pPr>
      <w:bookmarkStart w:id="121" w:name="_Toc381608408"/>
      <w:r>
        <w:t>References</w:t>
      </w:r>
      <w:bookmarkEnd w:id="121"/>
    </w:p>
    <w:p w:rsidR="00C618F7" w:rsidRPr="00586F98" w:rsidRDefault="00181A86" w:rsidP="00C618F7">
      <w:pPr>
        <w:rPr>
          <w:lang w:eastAsia="ja-JP"/>
        </w:rPr>
      </w:pPr>
      <w:proofErr w:type="gramStart"/>
      <w:r>
        <w:rPr>
          <w:lang w:eastAsia="ja-JP"/>
        </w:rPr>
        <w:t>Nil.</w:t>
      </w:r>
      <w:proofErr w:type="gramEnd"/>
    </w:p>
    <w:bookmarkEnd w:id="1"/>
    <w:bookmarkEnd w:id="0"/>
    <w:bookmarkEnd w:id="2"/>
    <w:p w:rsidR="003D1E62" w:rsidRPr="001D043B" w:rsidRDefault="008E7846" w:rsidP="002666AC">
      <w:pPr>
        <w:sectPr w:rsidR="003D1E62" w:rsidRPr="001D043B" w:rsidSect="00A14E68">
          <w:type w:val="continuous"/>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70321">
        <w:trPr>
          <w:trHeight w:hRule="exact" w:val="564"/>
        </w:trPr>
        <w:tc>
          <w:tcPr>
            <w:tcW w:w="9175" w:type="dxa"/>
          </w:tcPr>
          <w:p w:rsidR="00B3567E" w:rsidRPr="00487162" w:rsidRDefault="00B3567E" w:rsidP="00770321">
            <w:pPr>
              <w:pStyle w:val="TGASignoff"/>
            </w:pPr>
            <w:r w:rsidRPr="00487162">
              <w:lastRenderedPageBreak/>
              <w:t>Therapeutic Goods Administration</w:t>
            </w:r>
          </w:p>
        </w:tc>
      </w:tr>
      <w:tr w:rsidR="00B3567E" w:rsidRPr="00487162" w:rsidTr="00770321">
        <w:trPr>
          <w:trHeight w:val="1221"/>
        </w:trPr>
        <w:tc>
          <w:tcPr>
            <w:tcW w:w="9175" w:type="dxa"/>
            <w:tcMar>
              <w:top w:w="28" w:type="dxa"/>
            </w:tcMar>
          </w:tcPr>
          <w:p w:rsidR="00B3567E" w:rsidRPr="00487162" w:rsidRDefault="00B3567E" w:rsidP="00770321">
            <w:pPr>
              <w:pStyle w:val="Address"/>
            </w:pPr>
            <w:r w:rsidRPr="00487162">
              <w:t>PO Box 100 Woden ACT 2606 Australia</w:t>
            </w:r>
          </w:p>
          <w:p w:rsidR="00B3567E" w:rsidRPr="00487162" w:rsidRDefault="00B3567E" w:rsidP="00770321">
            <w:pPr>
              <w:pStyle w:val="Address"/>
            </w:pPr>
            <w:r w:rsidRPr="00487162">
              <w:t xml:space="preserve">Email: </w:t>
            </w:r>
            <w:hyperlink r:id="rId50" w:history="1">
              <w:r w:rsidRPr="008D770F">
                <w:rPr>
                  <w:rStyle w:val="Hyperlink"/>
                </w:rPr>
                <w:t>info@tga.gov.au</w:t>
              </w:r>
            </w:hyperlink>
            <w:r w:rsidRPr="00487162">
              <w:t xml:space="preserve">  Phone: 1800 020 653  Fax: 02 6232 8605</w:t>
            </w:r>
          </w:p>
          <w:p w:rsidR="00B3567E" w:rsidRPr="008D770F" w:rsidRDefault="00F96166" w:rsidP="00770321">
            <w:pPr>
              <w:pStyle w:val="Address"/>
              <w:spacing w:line="260" w:lineRule="atLeast"/>
              <w:rPr>
                <w:b/>
                <w:color w:val="0000FF"/>
                <w:u w:val="single"/>
              </w:rPr>
            </w:pPr>
            <w:hyperlink r:id="rId51"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2"/>
      <w:headerReference w:type="default" r:id="rId53"/>
      <w:footerReference w:type="default" r:id="rId54"/>
      <w:headerReference w:type="first" r:id="rId55"/>
      <w:footerReference w:type="first" r:id="rId5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166" w:rsidRDefault="00F96166" w:rsidP="00C40A36">
      <w:pPr>
        <w:spacing w:after="0"/>
      </w:pPr>
      <w:r>
        <w:separator/>
      </w:r>
    </w:p>
  </w:endnote>
  <w:endnote w:type="continuationSeparator" w:id="0">
    <w:p w:rsidR="00F96166" w:rsidRDefault="00F9616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25D42" w:rsidRPr="00487162" w:rsidTr="0053625B">
      <w:trPr>
        <w:trHeight w:val="269"/>
      </w:trPr>
      <w:tc>
        <w:tcPr>
          <w:tcW w:w="7938" w:type="dxa"/>
          <w:tcMar>
            <w:top w:w="142" w:type="dxa"/>
            <w:bottom w:w="0" w:type="dxa"/>
          </w:tcMar>
        </w:tcPr>
        <w:p w:rsidR="00A25D42" w:rsidRPr="00487162" w:rsidRDefault="00A25D42" w:rsidP="00D945EC">
          <w:pPr>
            <w:pStyle w:val="Footer"/>
          </w:pPr>
          <w:r>
            <w:t>Submission</w:t>
          </w:r>
          <w:r w:rsidRPr="00487162">
            <w:t xml:space="preserve"> PM-20</w:t>
          </w:r>
          <w:r>
            <w:t>12</w:t>
          </w:r>
          <w:r w:rsidRPr="00487162">
            <w:t>-</w:t>
          </w:r>
          <w:r>
            <w:t>02716-3-4 Extract from the Clinical Evaluation Report for Avastin</w:t>
          </w:r>
        </w:p>
      </w:tc>
      <w:tc>
        <w:tcPr>
          <w:tcW w:w="923" w:type="dxa"/>
          <w:tcMar>
            <w:top w:w="142" w:type="dxa"/>
            <w:bottom w:w="0" w:type="dxa"/>
          </w:tcMar>
        </w:tcPr>
        <w:p w:rsidR="00A25D42" w:rsidRPr="00487162" w:rsidRDefault="00A25D42" w:rsidP="00D855D4">
          <w:pPr>
            <w:pStyle w:val="Footer"/>
            <w:jc w:val="right"/>
          </w:pPr>
          <w:r w:rsidRPr="00487162">
            <w:t xml:space="preserve">Page </w:t>
          </w:r>
          <w:r>
            <w:t>2</w:t>
          </w:r>
          <w:r w:rsidRPr="00487162">
            <w:t xml:space="preserve"> of </w:t>
          </w:r>
          <w:r w:rsidR="00F96166">
            <w:fldChar w:fldCharType="begin"/>
          </w:r>
          <w:r w:rsidR="00F96166">
            <w:instrText xml:space="preserve"> NUMPAGES  \* Arabic </w:instrText>
          </w:r>
          <w:r w:rsidR="00F96166">
            <w:fldChar w:fldCharType="separate"/>
          </w:r>
          <w:r w:rsidR="003A3B4E">
            <w:rPr>
              <w:noProof/>
            </w:rPr>
            <w:t>32</w:t>
          </w:r>
          <w:r w:rsidR="00F96166">
            <w:rPr>
              <w:noProof/>
            </w:rPr>
            <w:fldChar w:fldCharType="end"/>
          </w:r>
        </w:p>
      </w:tc>
    </w:tr>
  </w:tbl>
  <w:p w:rsidR="00A25D42" w:rsidRDefault="00A25D4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A25D42" w:rsidRPr="00487162" w:rsidTr="00586F98">
      <w:trPr>
        <w:trHeight w:val="269"/>
      </w:trPr>
      <w:tc>
        <w:tcPr>
          <w:tcW w:w="7655" w:type="dxa"/>
          <w:tcMar>
            <w:top w:w="142" w:type="dxa"/>
            <w:bottom w:w="0" w:type="dxa"/>
          </w:tcMar>
        </w:tcPr>
        <w:p w:rsidR="00A25D42" w:rsidRPr="00487162" w:rsidRDefault="00A25D42" w:rsidP="00D945EC">
          <w:pPr>
            <w:pStyle w:val="Footer"/>
          </w:pPr>
          <w:r>
            <w:t>Submission</w:t>
          </w:r>
          <w:r w:rsidRPr="00487162">
            <w:t xml:space="preserve"> PM-20</w:t>
          </w:r>
          <w:r>
            <w:t>12</w:t>
          </w:r>
          <w:r w:rsidRPr="00487162">
            <w:t>-</w:t>
          </w:r>
          <w:r>
            <w:t>02716-3-4 Extract from the Clinical Evaluation Report for Avastin</w:t>
          </w:r>
        </w:p>
      </w:tc>
      <w:tc>
        <w:tcPr>
          <w:tcW w:w="1206" w:type="dxa"/>
          <w:tcMar>
            <w:top w:w="142" w:type="dxa"/>
            <w:bottom w:w="0" w:type="dxa"/>
          </w:tcMar>
        </w:tcPr>
        <w:p w:rsidR="00A25D42" w:rsidRPr="00487162" w:rsidRDefault="00A25D42" w:rsidP="00E45619">
          <w:pPr>
            <w:pStyle w:val="Footer"/>
            <w:jc w:val="right"/>
          </w:pPr>
          <w:r w:rsidRPr="00487162">
            <w:t xml:space="preserve">Page </w:t>
          </w:r>
          <w:r w:rsidR="009A6D7B">
            <w:fldChar w:fldCharType="begin"/>
          </w:r>
          <w:r w:rsidR="009A6D7B">
            <w:instrText>PAGE</w:instrText>
          </w:r>
          <w:r w:rsidR="009A6D7B">
            <w:fldChar w:fldCharType="separate"/>
          </w:r>
          <w:r w:rsidR="003A3B4E">
            <w:rPr>
              <w:noProof/>
            </w:rPr>
            <w:t>31</w:t>
          </w:r>
          <w:r w:rsidR="009A6D7B">
            <w:rPr>
              <w:noProof/>
            </w:rPr>
            <w:fldChar w:fldCharType="end"/>
          </w:r>
          <w:r w:rsidRPr="00487162">
            <w:t xml:space="preserve"> of </w:t>
          </w:r>
          <w:r w:rsidR="00F96166">
            <w:fldChar w:fldCharType="begin"/>
          </w:r>
          <w:r w:rsidR="00F96166">
            <w:instrText xml:space="preserve"> NUMPAGES  \* Arabic </w:instrText>
          </w:r>
          <w:r w:rsidR="00F96166">
            <w:fldChar w:fldCharType="separate"/>
          </w:r>
          <w:r w:rsidR="003A3B4E">
            <w:rPr>
              <w:noProof/>
            </w:rPr>
            <w:t>32</w:t>
          </w:r>
          <w:r w:rsidR="00F96166">
            <w:rPr>
              <w:noProof/>
            </w:rPr>
            <w:fldChar w:fldCharType="end"/>
          </w:r>
        </w:p>
      </w:tc>
    </w:tr>
  </w:tbl>
  <w:p w:rsidR="00A25D42" w:rsidRDefault="00A25D42"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25D42" w:rsidRPr="00487162" w:rsidTr="00E45619">
      <w:trPr>
        <w:trHeight w:val="269"/>
      </w:trPr>
      <w:tc>
        <w:tcPr>
          <w:tcW w:w="4519" w:type="dxa"/>
          <w:tcBorders>
            <w:top w:val="single" w:sz="4" w:space="0" w:color="auto"/>
          </w:tcBorders>
          <w:tcMar>
            <w:top w:w="142" w:type="dxa"/>
            <w:bottom w:w="0" w:type="dxa"/>
          </w:tcMar>
        </w:tcPr>
        <w:p w:rsidR="00A25D42" w:rsidRPr="00487162" w:rsidRDefault="00A25D42" w:rsidP="00FE1DEE">
          <w:pPr>
            <w:pStyle w:val="Footer"/>
          </w:pPr>
          <w:r w:rsidRPr="00487162">
            <w:t>Document title, Part #, Section # - Section title</w:t>
          </w:r>
        </w:p>
        <w:p w:rsidR="00A25D42" w:rsidRPr="00487162" w:rsidRDefault="00A25D42" w:rsidP="00FE1DEE">
          <w:pPr>
            <w:pStyle w:val="Footer"/>
          </w:pPr>
          <w:r w:rsidRPr="00487162">
            <w:t>V1.0 October 2010</w:t>
          </w:r>
        </w:p>
      </w:tc>
      <w:tc>
        <w:tcPr>
          <w:tcW w:w="4342" w:type="dxa"/>
          <w:tcBorders>
            <w:top w:val="single" w:sz="4" w:space="0" w:color="auto"/>
          </w:tcBorders>
          <w:tcMar>
            <w:top w:w="142" w:type="dxa"/>
            <w:bottom w:w="0" w:type="dxa"/>
          </w:tcMar>
        </w:tcPr>
        <w:p w:rsidR="00A25D42" w:rsidRPr="00487162" w:rsidRDefault="00A25D42" w:rsidP="00E45619">
          <w:pPr>
            <w:pStyle w:val="Footer"/>
            <w:jc w:val="right"/>
          </w:pPr>
          <w:r w:rsidRPr="00487162">
            <w:t xml:space="preserve">Page </w:t>
          </w:r>
          <w:r w:rsidR="009A6D7B">
            <w:fldChar w:fldCharType="begin"/>
          </w:r>
          <w:r w:rsidR="009A6D7B">
            <w:instrText xml:space="preserve"> PAGE   \* MERGEFORMAT </w:instrText>
          </w:r>
          <w:r w:rsidR="009A6D7B">
            <w:fldChar w:fldCharType="separate"/>
          </w:r>
          <w:r w:rsidRPr="00487162">
            <w:rPr>
              <w:noProof/>
            </w:rPr>
            <w:t>3</w:t>
          </w:r>
          <w:r w:rsidR="009A6D7B">
            <w:rPr>
              <w:noProof/>
            </w:rPr>
            <w:fldChar w:fldCharType="end"/>
          </w:r>
          <w:r w:rsidRPr="00487162">
            <w:t xml:space="preserve"> of </w:t>
          </w:r>
          <w:r w:rsidR="00F96166">
            <w:fldChar w:fldCharType="begin"/>
          </w:r>
          <w:r w:rsidR="00F96166">
            <w:instrText xml:space="preserve"> NUMPAGES  </w:instrText>
          </w:r>
          <w:r w:rsidR="00F96166">
            <w:fldChar w:fldCharType="separate"/>
          </w:r>
          <w:r w:rsidR="00A21B14">
            <w:rPr>
              <w:noProof/>
            </w:rPr>
            <w:t>32</w:t>
          </w:r>
          <w:r w:rsidR="00F96166">
            <w:rPr>
              <w:noProof/>
            </w:rPr>
            <w:fldChar w:fldCharType="end"/>
          </w:r>
        </w:p>
      </w:tc>
    </w:tr>
  </w:tbl>
  <w:p w:rsidR="00A25D42" w:rsidRDefault="00A25D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25D42" w:rsidTr="0010601F">
      <w:trPr>
        <w:trHeight w:val="108"/>
      </w:trPr>
      <w:tc>
        <w:tcPr>
          <w:tcW w:w="8875" w:type="dxa"/>
          <w:gridSpan w:val="2"/>
          <w:tcBorders>
            <w:bottom w:val="single" w:sz="4" w:space="0" w:color="auto"/>
          </w:tcBorders>
          <w:tcMar>
            <w:right w:w="284" w:type="dxa"/>
          </w:tcMar>
        </w:tcPr>
        <w:p w:rsidR="00A25D42" w:rsidRDefault="00A25D42" w:rsidP="006E08B3">
          <w:pPr>
            <w:pStyle w:val="Heading3"/>
          </w:pPr>
          <w:r>
            <w:t>Copyright</w:t>
          </w:r>
        </w:p>
        <w:p w:rsidR="00A25D42" w:rsidRDefault="00A25D42" w:rsidP="006E08B3">
          <w:r>
            <w:rPr>
              <w:rFonts w:cs="Arial"/>
            </w:rPr>
            <w:t>©</w:t>
          </w:r>
          <w:r>
            <w:t xml:space="preserve"> Commonwealth of Australia [add year]</w:t>
          </w:r>
        </w:p>
        <w:p w:rsidR="00A25D42" w:rsidRDefault="00A25D42" w:rsidP="006E08B3"/>
        <w:p w:rsidR="00A25D42" w:rsidRDefault="00A25D4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25D42" w:rsidRDefault="00A25D42" w:rsidP="006E08B3"/>
        <w:p w:rsidR="00A25D42" w:rsidRDefault="00A25D42" w:rsidP="006E08B3">
          <w:pPr>
            <w:pStyle w:val="Heading3"/>
          </w:pPr>
          <w:r>
            <w:t>Confidentiality</w:t>
          </w:r>
        </w:p>
        <w:p w:rsidR="00A25D42" w:rsidRDefault="00A25D4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25D42" w:rsidRDefault="00A25D42" w:rsidP="006E08B3"/>
        <w:p w:rsidR="00A25D42" w:rsidRDefault="00A25D42" w:rsidP="006E08B3">
          <w:r>
            <w:t>For submission made by individuals, all personal details, other than your name, will be removed from your submission before it is published on the TGA’s Internet site.</w:t>
          </w:r>
        </w:p>
        <w:p w:rsidR="00A25D42" w:rsidRDefault="00A25D42" w:rsidP="006E08B3"/>
        <w:p w:rsidR="00A25D42" w:rsidRDefault="00A25D42" w:rsidP="006E08B3">
          <w:r>
            <w:t>In addition, a list of parties making submissions will be published. If you do not wish to be identified with your submission you must specifically request this in the space provided ib the submission coversheet.</w:t>
          </w:r>
        </w:p>
      </w:tc>
    </w:tr>
    <w:tr w:rsidR="00A25D42" w:rsidTr="0010601F">
      <w:trPr>
        <w:trHeight w:val="417"/>
      </w:trPr>
      <w:tc>
        <w:tcPr>
          <w:tcW w:w="4519" w:type="dxa"/>
          <w:tcBorders>
            <w:top w:val="single" w:sz="4" w:space="0" w:color="auto"/>
          </w:tcBorders>
          <w:tcMar>
            <w:top w:w="142" w:type="dxa"/>
            <w:bottom w:w="0" w:type="dxa"/>
          </w:tcMar>
        </w:tcPr>
        <w:p w:rsidR="00A25D42" w:rsidRDefault="00A25D42" w:rsidP="006E08B3">
          <w:r>
            <w:t>Document title, Part #, Section # - Section title</w:t>
          </w:r>
        </w:p>
        <w:p w:rsidR="00A25D42" w:rsidRDefault="00A25D42" w:rsidP="006E08B3">
          <w:r>
            <w:t>V1.0 October 2010</w:t>
          </w:r>
        </w:p>
      </w:tc>
      <w:tc>
        <w:tcPr>
          <w:tcW w:w="4356" w:type="dxa"/>
          <w:tcBorders>
            <w:top w:val="single" w:sz="4" w:space="0" w:color="auto"/>
          </w:tcBorders>
          <w:tcMar>
            <w:top w:w="142" w:type="dxa"/>
            <w:bottom w:w="0" w:type="dxa"/>
          </w:tcMar>
        </w:tcPr>
        <w:p w:rsidR="00A25D42" w:rsidRDefault="00A25D42" w:rsidP="006E08B3">
          <w:pPr>
            <w:jc w:val="right"/>
          </w:pPr>
          <w:r>
            <w:t xml:space="preserve">Page </w:t>
          </w:r>
          <w:r w:rsidR="009A6D7B">
            <w:fldChar w:fldCharType="begin"/>
          </w:r>
          <w:r w:rsidR="009A6D7B">
            <w:instrText xml:space="preserve"> PAGE   \* MERGEFORMAT </w:instrText>
          </w:r>
          <w:r w:rsidR="009A6D7B">
            <w:fldChar w:fldCharType="separate"/>
          </w:r>
          <w:r>
            <w:rPr>
              <w:noProof/>
            </w:rPr>
            <w:t>1</w:t>
          </w:r>
          <w:r w:rsidR="009A6D7B">
            <w:rPr>
              <w:noProof/>
            </w:rPr>
            <w:fldChar w:fldCharType="end"/>
          </w:r>
          <w:r>
            <w:t xml:space="preserve"> of </w:t>
          </w:r>
          <w:r w:rsidR="00F96166">
            <w:fldChar w:fldCharType="begin"/>
          </w:r>
          <w:r w:rsidR="00F96166">
            <w:instrText xml:space="preserve"> NUMPAGES  \* Arabic </w:instrText>
          </w:r>
          <w:r w:rsidR="00F96166">
            <w:fldChar w:fldCharType="separate"/>
          </w:r>
          <w:r w:rsidR="00A21B14">
            <w:rPr>
              <w:noProof/>
            </w:rPr>
            <w:t>32</w:t>
          </w:r>
          <w:r w:rsidR="00F96166">
            <w:rPr>
              <w:noProof/>
            </w:rPr>
            <w:fldChar w:fldCharType="end"/>
          </w:r>
          <w:r>
            <w:t xml:space="preserve">  </w:t>
          </w:r>
        </w:p>
      </w:tc>
    </w:tr>
  </w:tbl>
  <w:p w:rsidR="00A25D42" w:rsidRDefault="00A25D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166" w:rsidRDefault="00F96166" w:rsidP="00C40A36">
      <w:pPr>
        <w:spacing w:after="0"/>
      </w:pPr>
      <w:r>
        <w:separator/>
      </w:r>
    </w:p>
  </w:footnote>
  <w:footnote w:type="continuationSeparator" w:id="0">
    <w:p w:rsidR="00F96166" w:rsidRDefault="00F9616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25D42" w:rsidRDefault="00335F3B"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42" w:rsidRDefault="00A25D42" w:rsidP="006E08B3">
    <w:r>
      <w:t>Therapeutic Goods Administration</w:t>
    </w:r>
  </w:p>
  <w:p w:rsidR="00A25D42" w:rsidRDefault="00A25D4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402414C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7D0E7E"/>
    <w:multiLevelType w:val="hybridMultilevel"/>
    <w:tmpl w:val="39920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012E2E"/>
    <w:multiLevelType w:val="hybridMultilevel"/>
    <w:tmpl w:val="F12CB0A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576B2D"/>
    <w:multiLevelType w:val="hybridMultilevel"/>
    <w:tmpl w:val="FB5A6CE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1F4004A8"/>
    <w:multiLevelType w:val="hybridMultilevel"/>
    <w:tmpl w:val="942C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482FFA"/>
    <w:multiLevelType w:val="hybridMultilevel"/>
    <w:tmpl w:val="8C087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4ECC1C50"/>
    <w:multiLevelType w:val="hybridMultilevel"/>
    <w:tmpl w:val="C7FE0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7563C2"/>
    <w:multiLevelType w:val="hybridMultilevel"/>
    <w:tmpl w:val="8A1A9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2"/>
  </w:num>
  <w:num w:numId="27">
    <w:abstractNumId w:val="15"/>
  </w:num>
  <w:num w:numId="28">
    <w:abstractNumId w:val="16"/>
  </w:num>
  <w:num w:numId="29">
    <w:abstractNumId w:val="17"/>
  </w:num>
  <w:num w:numId="30">
    <w:abstractNumId w:val="17"/>
  </w:num>
  <w:num w:numId="31">
    <w:abstractNumId w:val="17"/>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9"/>
  </w:num>
  <w:num w:numId="35">
    <w:abstractNumId w:val="13"/>
  </w:num>
  <w:num w:numId="36">
    <w:abstractNumId w:val="4"/>
  </w:num>
  <w:num w:numId="37">
    <w:abstractNumId w:val="5"/>
  </w:num>
  <w:num w:numId="38">
    <w:abstractNumId w:val="1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04E"/>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1A86"/>
    <w:rsid w:val="001843C6"/>
    <w:rsid w:val="001850E0"/>
    <w:rsid w:val="001A2158"/>
    <w:rsid w:val="001A4574"/>
    <w:rsid w:val="001A525F"/>
    <w:rsid w:val="001B09F9"/>
    <w:rsid w:val="001B5D98"/>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35F3B"/>
    <w:rsid w:val="003521E8"/>
    <w:rsid w:val="003728F3"/>
    <w:rsid w:val="0037496E"/>
    <w:rsid w:val="0037623D"/>
    <w:rsid w:val="00386150"/>
    <w:rsid w:val="003874CE"/>
    <w:rsid w:val="00390900"/>
    <w:rsid w:val="00396C92"/>
    <w:rsid w:val="003A3B4E"/>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760A2"/>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67002"/>
    <w:rsid w:val="00576378"/>
    <w:rsid w:val="00577945"/>
    <w:rsid w:val="00577E38"/>
    <w:rsid w:val="00585322"/>
    <w:rsid w:val="005857C6"/>
    <w:rsid w:val="00586F98"/>
    <w:rsid w:val="00592F6E"/>
    <w:rsid w:val="00593AD1"/>
    <w:rsid w:val="005A68B6"/>
    <w:rsid w:val="005B69EC"/>
    <w:rsid w:val="005C504E"/>
    <w:rsid w:val="005C5570"/>
    <w:rsid w:val="005C79A4"/>
    <w:rsid w:val="005D5442"/>
    <w:rsid w:val="005F32C1"/>
    <w:rsid w:val="00603F32"/>
    <w:rsid w:val="0061365B"/>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0EF6"/>
    <w:rsid w:val="007046D6"/>
    <w:rsid w:val="00705DB0"/>
    <w:rsid w:val="00722B57"/>
    <w:rsid w:val="0074253D"/>
    <w:rsid w:val="0074429B"/>
    <w:rsid w:val="007513B4"/>
    <w:rsid w:val="007615BC"/>
    <w:rsid w:val="00762F05"/>
    <w:rsid w:val="007652FF"/>
    <w:rsid w:val="00770321"/>
    <w:rsid w:val="00770EF1"/>
    <w:rsid w:val="00773EF7"/>
    <w:rsid w:val="00774E1D"/>
    <w:rsid w:val="0077675A"/>
    <w:rsid w:val="00780355"/>
    <w:rsid w:val="00785721"/>
    <w:rsid w:val="00793A59"/>
    <w:rsid w:val="007B6E9F"/>
    <w:rsid w:val="007C1216"/>
    <w:rsid w:val="007C1AF7"/>
    <w:rsid w:val="007E6E27"/>
    <w:rsid w:val="00805D27"/>
    <w:rsid w:val="00821776"/>
    <w:rsid w:val="008321F5"/>
    <w:rsid w:val="00832369"/>
    <w:rsid w:val="00834660"/>
    <w:rsid w:val="00836BC2"/>
    <w:rsid w:val="008414A0"/>
    <w:rsid w:val="0085641B"/>
    <w:rsid w:val="00857136"/>
    <w:rsid w:val="00876763"/>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12B11"/>
    <w:rsid w:val="00920330"/>
    <w:rsid w:val="009219D7"/>
    <w:rsid w:val="00922D53"/>
    <w:rsid w:val="00923B70"/>
    <w:rsid w:val="00924482"/>
    <w:rsid w:val="00930237"/>
    <w:rsid w:val="00946EA5"/>
    <w:rsid w:val="0095160F"/>
    <w:rsid w:val="00963C08"/>
    <w:rsid w:val="0098585A"/>
    <w:rsid w:val="0098669D"/>
    <w:rsid w:val="009A2AB0"/>
    <w:rsid w:val="009A4CED"/>
    <w:rsid w:val="009A690D"/>
    <w:rsid w:val="009A6D7B"/>
    <w:rsid w:val="009B1D12"/>
    <w:rsid w:val="009B416B"/>
    <w:rsid w:val="009C4BD5"/>
    <w:rsid w:val="009C7653"/>
    <w:rsid w:val="009D7B77"/>
    <w:rsid w:val="009E0BB0"/>
    <w:rsid w:val="009E3FBB"/>
    <w:rsid w:val="009F0541"/>
    <w:rsid w:val="00A102E4"/>
    <w:rsid w:val="00A12C42"/>
    <w:rsid w:val="00A14DF7"/>
    <w:rsid w:val="00A14E68"/>
    <w:rsid w:val="00A21B14"/>
    <w:rsid w:val="00A235D9"/>
    <w:rsid w:val="00A25D42"/>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D2BE5"/>
    <w:rsid w:val="00AE01C2"/>
    <w:rsid w:val="00AE65EB"/>
    <w:rsid w:val="00AE67A7"/>
    <w:rsid w:val="00AF1D94"/>
    <w:rsid w:val="00AF60C5"/>
    <w:rsid w:val="00B009C6"/>
    <w:rsid w:val="00B01548"/>
    <w:rsid w:val="00B02208"/>
    <w:rsid w:val="00B1425E"/>
    <w:rsid w:val="00B21D29"/>
    <w:rsid w:val="00B25034"/>
    <w:rsid w:val="00B31CF7"/>
    <w:rsid w:val="00B33588"/>
    <w:rsid w:val="00B33863"/>
    <w:rsid w:val="00B3567E"/>
    <w:rsid w:val="00B37D17"/>
    <w:rsid w:val="00B4175E"/>
    <w:rsid w:val="00B452CE"/>
    <w:rsid w:val="00B50676"/>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30983"/>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945EC"/>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96166"/>
    <w:rsid w:val="00FA5B82"/>
    <w:rsid w:val="00FA639E"/>
    <w:rsid w:val="00FC25E4"/>
    <w:rsid w:val="00FC4EF7"/>
    <w:rsid w:val="00FE1DEE"/>
    <w:rsid w:val="00FE7BC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rsid w:val="009A2A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4147">
      <w:bodyDiv w:val="1"/>
      <w:marLeft w:val="0"/>
      <w:marRight w:val="0"/>
      <w:marTop w:val="0"/>
      <w:marBottom w:val="0"/>
      <w:divBdr>
        <w:top w:val="none" w:sz="0" w:space="0" w:color="auto"/>
        <w:left w:val="none" w:sz="0" w:space="0" w:color="auto"/>
        <w:bottom w:val="none" w:sz="0" w:space="0" w:color="auto"/>
        <w:right w:val="none" w:sz="0" w:space="0" w:color="auto"/>
      </w:divBdr>
    </w:div>
    <w:div w:id="87427978">
      <w:bodyDiv w:val="1"/>
      <w:marLeft w:val="0"/>
      <w:marRight w:val="0"/>
      <w:marTop w:val="0"/>
      <w:marBottom w:val="0"/>
      <w:divBdr>
        <w:top w:val="none" w:sz="0" w:space="0" w:color="auto"/>
        <w:left w:val="none" w:sz="0" w:space="0" w:color="auto"/>
        <w:bottom w:val="none" w:sz="0" w:space="0" w:color="auto"/>
        <w:right w:val="none" w:sz="0" w:space="0" w:color="auto"/>
      </w:divBdr>
    </w:div>
    <w:div w:id="138807737">
      <w:bodyDiv w:val="1"/>
      <w:marLeft w:val="0"/>
      <w:marRight w:val="0"/>
      <w:marTop w:val="0"/>
      <w:marBottom w:val="0"/>
      <w:divBdr>
        <w:top w:val="none" w:sz="0" w:space="0" w:color="auto"/>
        <w:left w:val="none" w:sz="0" w:space="0" w:color="auto"/>
        <w:bottom w:val="none" w:sz="0" w:space="0" w:color="auto"/>
        <w:right w:val="none" w:sz="0" w:space="0" w:color="auto"/>
      </w:divBdr>
    </w:div>
    <w:div w:id="211384467">
      <w:bodyDiv w:val="1"/>
      <w:marLeft w:val="0"/>
      <w:marRight w:val="0"/>
      <w:marTop w:val="0"/>
      <w:marBottom w:val="0"/>
      <w:divBdr>
        <w:top w:val="none" w:sz="0" w:space="0" w:color="auto"/>
        <w:left w:val="none" w:sz="0" w:space="0" w:color="auto"/>
        <w:bottom w:val="none" w:sz="0" w:space="0" w:color="auto"/>
        <w:right w:val="none" w:sz="0" w:space="0" w:color="auto"/>
      </w:divBdr>
    </w:div>
    <w:div w:id="287054570">
      <w:bodyDiv w:val="1"/>
      <w:marLeft w:val="0"/>
      <w:marRight w:val="0"/>
      <w:marTop w:val="0"/>
      <w:marBottom w:val="0"/>
      <w:divBdr>
        <w:top w:val="none" w:sz="0" w:space="0" w:color="auto"/>
        <w:left w:val="none" w:sz="0" w:space="0" w:color="auto"/>
        <w:bottom w:val="none" w:sz="0" w:space="0" w:color="auto"/>
        <w:right w:val="none" w:sz="0" w:space="0" w:color="auto"/>
      </w:divBdr>
    </w:div>
    <w:div w:id="290281851">
      <w:bodyDiv w:val="1"/>
      <w:marLeft w:val="0"/>
      <w:marRight w:val="0"/>
      <w:marTop w:val="0"/>
      <w:marBottom w:val="0"/>
      <w:divBdr>
        <w:top w:val="none" w:sz="0" w:space="0" w:color="auto"/>
        <w:left w:val="none" w:sz="0" w:space="0" w:color="auto"/>
        <w:bottom w:val="none" w:sz="0" w:space="0" w:color="auto"/>
        <w:right w:val="none" w:sz="0" w:space="0" w:color="auto"/>
      </w:divBdr>
    </w:div>
    <w:div w:id="339544605">
      <w:bodyDiv w:val="1"/>
      <w:marLeft w:val="0"/>
      <w:marRight w:val="0"/>
      <w:marTop w:val="0"/>
      <w:marBottom w:val="0"/>
      <w:divBdr>
        <w:top w:val="none" w:sz="0" w:space="0" w:color="auto"/>
        <w:left w:val="none" w:sz="0" w:space="0" w:color="auto"/>
        <w:bottom w:val="none" w:sz="0" w:space="0" w:color="auto"/>
        <w:right w:val="none" w:sz="0" w:space="0" w:color="auto"/>
      </w:divBdr>
    </w:div>
    <w:div w:id="384379644">
      <w:bodyDiv w:val="1"/>
      <w:marLeft w:val="0"/>
      <w:marRight w:val="0"/>
      <w:marTop w:val="0"/>
      <w:marBottom w:val="0"/>
      <w:divBdr>
        <w:top w:val="none" w:sz="0" w:space="0" w:color="auto"/>
        <w:left w:val="none" w:sz="0" w:space="0" w:color="auto"/>
        <w:bottom w:val="none" w:sz="0" w:space="0" w:color="auto"/>
        <w:right w:val="none" w:sz="0" w:space="0" w:color="auto"/>
      </w:divBdr>
    </w:div>
    <w:div w:id="449401821">
      <w:bodyDiv w:val="1"/>
      <w:marLeft w:val="0"/>
      <w:marRight w:val="0"/>
      <w:marTop w:val="0"/>
      <w:marBottom w:val="0"/>
      <w:divBdr>
        <w:top w:val="none" w:sz="0" w:space="0" w:color="auto"/>
        <w:left w:val="none" w:sz="0" w:space="0" w:color="auto"/>
        <w:bottom w:val="none" w:sz="0" w:space="0" w:color="auto"/>
        <w:right w:val="none" w:sz="0" w:space="0" w:color="auto"/>
      </w:divBdr>
    </w:div>
    <w:div w:id="458764769">
      <w:bodyDiv w:val="1"/>
      <w:marLeft w:val="0"/>
      <w:marRight w:val="0"/>
      <w:marTop w:val="0"/>
      <w:marBottom w:val="0"/>
      <w:divBdr>
        <w:top w:val="none" w:sz="0" w:space="0" w:color="auto"/>
        <w:left w:val="none" w:sz="0" w:space="0" w:color="auto"/>
        <w:bottom w:val="none" w:sz="0" w:space="0" w:color="auto"/>
        <w:right w:val="none" w:sz="0" w:space="0" w:color="auto"/>
      </w:divBdr>
    </w:div>
    <w:div w:id="545415668">
      <w:bodyDiv w:val="1"/>
      <w:marLeft w:val="0"/>
      <w:marRight w:val="0"/>
      <w:marTop w:val="0"/>
      <w:marBottom w:val="0"/>
      <w:divBdr>
        <w:top w:val="none" w:sz="0" w:space="0" w:color="auto"/>
        <w:left w:val="none" w:sz="0" w:space="0" w:color="auto"/>
        <w:bottom w:val="none" w:sz="0" w:space="0" w:color="auto"/>
        <w:right w:val="none" w:sz="0" w:space="0" w:color="auto"/>
      </w:divBdr>
    </w:div>
    <w:div w:id="667682190">
      <w:bodyDiv w:val="1"/>
      <w:marLeft w:val="0"/>
      <w:marRight w:val="0"/>
      <w:marTop w:val="0"/>
      <w:marBottom w:val="0"/>
      <w:divBdr>
        <w:top w:val="none" w:sz="0" w:space="0" w:color="auto"/>
        <w:left w:val="none" w:sz="0" w:space="0" w:color="auto"/>
        <w:bottom w:val="none" w:sz="0" w:space="0" w:color="auto"/>
        <w:right w:val="none" w:sz="0" w:space="0" w:color="auto"/>
      </w:divBdr>
    </w:div>
    <w:div w:id="703409684">
      <w:bodyDiv w:val="1"/>
      <w:marLeft w:val="0"/>
      <w:marRight w:val="0"/>
      <w:marTop w:val="0"/>
      <w:marBottom w:val="0"/>
      <w:divBdr>
        <w:top w:val="none" w:sz="0" w:space="0" w:color="auto"/>
        <w:left w:val="none" w:sz="0" w:space="0" w:color="auto"/>
        <w:bottom w:val="none" w:sz="0" w:space="0" w:color="auto"/>
        <w:right w:val="none" w:sz="0" w:space="0" w:color="auto"/>
      </w:divBdr>
    </w:div>
    <w:div w:id="864100224">
      <w:bodyDiv w:val="1"/>
      <w:marLeft w:val="0"/>
      <w:marRight w:val="0"/>
      <w:marTop w:val="0"/>
      <w:marBottom w:val="0"/>
      <w:divBdr>
        <w:top w:val="none" w:sz="0" w:space="0" w:color="auto"/>
        <w:left w:val="none" w:sz="0" w:space="0" w:color="auto"/>
        <w:bottom w:val="none" w:sz="0" w:space="0" w:color="auto"/>
        <w:right w:val="none" w:sz="0" w:space="0" w:color="auto"/>
      </w:divBdr>
    </w:div>
    <w:div w:id="1003358298">
      <w:bodyDiv w:val="1"/>
      <w:marLeft w:val="0"/>
      <w:marRight w:val="0"/>
      <w:marTop w:val="0"/>
      <w:marBottom w:val="0"/>
      <w:divBdr>
        <w:top w:val="none" w:sz="0" w:space="0" w:color="auto"/>
        <w:left w:val="none" w:sz="0" w:space="0" w:color="auto"/>
        <w:bottom w:val="none" w:sz="0" w:space="0" w:color="auto"/>
        <w:right w:val="none" w:sz="0" w:space="0" w:color="auto"/>
      </w:divBdr>
    </w:div>
    <w:div w:id="1036200954">
      <w:bodyDiv w:val="1"/>
      <w:marLeft w:val="0"/>
      <w:marRight w:val="0"/>
      <w:marTop w:val="0"/>
      <w:marBottom w:val="0"/>
      <w:divBdr>
        <w:top w:val="none" w:sz="0" w:space="0" w:color="auto"/>
        <w:left w:val="none" w:sz="0" w:space="0" w:color="auto"/>
        <w:bottom w:val="none" w:sz="0" w:space="0" w:color="auto"/>
        <w:right w:val="none" w:sz="0" w:space="0" w:color="auto"/>
      </w:divBdr>
    </w:div>
    <w:div w:id="1118990109">
      <w:bodyDiv w:val="1"/>
      <w:marLeft w:val="0"/>
      <w:marRight w:val="0"/>
      <w:marTop w:val="0"/>
      <w:marBottom w:val="0"/>
      <w:divBdr>
        <w:top w:val="none" w:sz="0" w:space="0" w:color="auto"/>
        <w:left w:val="none" w:sz="0" w:space="0" w:color="auto"/>
        <w:bottom w:val="none" w:sz="0" w:space="0" w:color="auto"/>
        <w:right w:val="none" w:sz="0" w:space="0" w:color="auto"/>
      </w:divBdr>
    </w:div>
    <w:div w:id="1126050306">
      <w:bodyDiv w:val="1"/>
      <w:marLeft w:val="0"/>
      <w:marRight w:val="0"/>
      <w:marTop w:val="0"/>
      <w:marBottom w:val="0"/>
      <w:divBdr>
        <w:top w:val="none" w:sz="0" w:space="0" w:color="auto"/>
        <w:left w:val="none" w:sz="0" w:space="0" w:color="auto"/>
        <w:bottom w:val="none" w:sz="0" w:space="0" w:color="auto"/>
        <w:right w:val="none" w:sz="0" w:space="0" w:color="auto"/>
      </w:divBdr>
    </w:div>
    <w:div w:id="1179079527">
      <w:bodyDiv w:val="1"/>
      <w:marLeft w:val="0"/>
      <w:marRight w:val="0"/>
      <w:marTop w:val="0"/>
      <w:marBottom w:val="0"/>
      <w:divBdr>
        <w:top w:val="none" w:sz="0" w:space="0" w:color="auto"/>
        <w:left w:val="none" w:sz="0" w:space="0" w:color="auto"/>
        <w:bottom w:val="none" w:sz="0" w:space="0" w:color="auto"/>
        <w:right w:val="none" w:sz="0" w:space="0" w:color="auto"/>
      </w:divBdr>
    </w:div>
    <w:div w:id="1194877516">
      <w:bodyDiv w:val="1"/>
      <w:marLeft w:val="0"/>
      <w:marRight w:val="0"/>
      <w:marTop w:val="0"/>
      <w:marBottom w:val="0"/>
      <w:divBdr>
        <w:top w:val="none" w:sz="0" w:space="0" w:color="auto"/>
        <w:left w:val="none" w:sz="0" w:space="0" w:color="auto"/>
        <w:bottom w:val="none" w:sz="0" w:space="0" w:color="auto"/>
        <w:right w:val="none" w:sz="0" w:space="0" w:color="auto"/>
      </w:divBdr>
    </w:div>
    <w:div w:id="1268737530">
      <w:bodyDiv w:val="1"/>
      <w:marLeft w:val="0"/>
      <w:marRight w:val="0"/>
      <w:marTop w:val="0"/>
      <w:marBottom w:val="0"/>
      <w:divBdr>
        <w:top w:val="none" w:sz="0" w:space="0" w:color="auto"/>
        <w:left w:val="none" w:sz="0" w:space="0" w:color="auto"/>
        <w:bottom w:val="none" w:sz="0" w:space="0" w:color="auto"/>
        <w:right w:val="none" w:sz="0" w:space="0" w:color="auto"/>
      </w:divBdr>
    </w:div>
    <w:div w:id="1486312075">
      <w:bodyDiv w:val="1"/>
      <w:marLeft w:val="0"/>
      <w:marRight w:val="0"/>
      <w:marTop w:val="0"/>
      <w:marBottom w:val="0"/>
      <w:divBdr>
        <w:top w:val="none" w:sz="0" w:space="0" w:color="auto"/>
        <w:left w:val="none" w:sz="0" w:space="0" w:color="auto"/>
        <w:bottom w:val="none" w:sz="0" w:space="0" w:color="auto"/>
        <w:right w:val="none" w:sz="0" w:space="0" w:color="auto"/>
      </w:divBdr>
    </w:div>
    <w:div w:id="1733040077">
      <w:bodyDiv w:val="1"/>
      <w:marLeft w:val="0"/>
      <w:marRight w:val="0"/>
      <w:marTop w:val="0"/>
      <w:marBottom w:val="0"/>
      <w:divBdr>
        <w:top w:val="none" w:sz="0" w:space="0" w:color="auto"/>
        <w:left w:val="none" w:sz="0" w:space="0" w:color="auto"/>
        <w:bottom w:val="none" w:sz="0" w:space="0" w:color="auto"/>
        <w:right w:val="none" w:sz="0" w:space="0" w:color="auto"/>
      </w:divBdr>
    </w:div>
    <w:div w:id="1825078320">
      <w:bodyDiv w:val="1"/>
      <w:marLeft w:val="0"/>
      <w:marRight w:val="0"/>
      <w:marTop w:val="0"/>
      <w:marBottom w:val="0"/>
      <w:divBdr>
        <w:top w:val="none" w:sz="0" w:space="0" w:color="auto"/>
        <w:left w:val="none" w:sz="0" w:space="0" w:color="auto"/>
        <w:bottom w:val="none" w:sz="0" w:space="0" w:color="auto"/>
        <w:right w:val="none" w:sz="0" w:space="0" w:color="auto"/>
      </w:divBdr>
    </w:div>
    <w:div w:id="1837574458">
      <w:bodyDiv w:val="1"/>
      <w:marLeft w:val="0"/>
      <w:marRight w:val="0"/>
      <w:marTop w:val="0"/>
      <w:marBottom w:val="0"/>
      <w:divBdr>
        <w:top w:val="none" w:sz="0" w:space="0" w:color="auto"/>
        <w:left w:val="none" w:sz="0" w:space="0" w:color="auto"/>
        <w:bottom w:val="none" w:sz="0" w:space="0" w:color="auto"/>
        <w:right w:val="none" w:sz="0" w:space="0" w:color="auto"/>
      </w:divBdr>
    </w:div>
    <w:div w:id="2006319946">
      <w:bodyDiv w:val="1"/>
      <w:marLeft w:val="0"/>
      <w:marRight w:val="0"/>
      <w:marTop w:val="0"/>
      <w:marBottom w:val="0"/>
      <w:divBdr>
        <w:top w:val="none" w:sz="0" w:space="0" w:color="auto"/>
        <w:left w:val="none" w:sz="0" w:space="0" w:color="auto"/>
        <w:bottom w:val="none" w:sz="0" w:space="0" w:color="auto"/>
        <w:right w:val="none" w:sz="0" w:space="0" w:color="auto"/>
      </w:divBdr>
    </w:div>
    <w:div w:id="2025089037">
      <w:bodyDiv w:val="1"/>
      <w:marLeft w:val="0"/>
      <w:marRight w:val="0"/>
      <w:marTop w:val="0"/>
      <w:marBottom w:val="0"/>
      <w:divBdr>
        <w:top w:val="none" w:sz="0" w:space="0" w:color="auto"/>
        <w:left w:val="none" w:sz="0" w:space="0" w:color="auto"/>
        <w:bottom w:val="none" w:sz="0" w:space="0" w:color="auto"/>
        <w:right w:val="none" w:sz="0" w:space="0" w:color="auto"/>
      </w:divBdr>
    </w:div>
    <w:div w:id="213524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2.xml"/><Relationship Id="rId47" Type="http://schemas.openxmlformats.org/officeDocument/2006/relationships/image" Target="media/image29.emf"/><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yperlink" Target="mailto:tga.copyright@tga.gov.au"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eader" Target="header4.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ga.gov.au/hp/information-medicines-pi.htm"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eader" Target="header3.xml"/><Relationship Id="rId45" Type="http://schemas.openxmlformats.org/officeDocument/2006/relationships/image" Target="media/image27.emf"/><Relationship Id="rId53" Type="http://schemas.openxmlformats.org/officeDocument/2006/relationships/header" Target="header7.xm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hyperlink" Target="http://www.tga.gov.au"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3.xml"/><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5.xml"/><Relationship Id="rId48" Type="http://schemas.openxmlformats.org/officeDocument/2006/relationships/image" Target="media/image30.emf"/><Relationship Id="rId5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www.tga.gov.au"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AusPAR%20Anna\Avastin%202012-02716-3-4\Avastin%20Clinical%20Evaluation%20Report%20Extract%20draft%202.0.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CF15C-2191-4F21-97E8-5E34E3DE177E}">
  <ds:schemaRefs>
    <ds:schemaRef ds:uri="http://schemas.microsoft.com/office/2006/customDocumentInformationPanel"/>
  </ds:schemaRefs>
</ds:datastoreItem>
</file>

<file path=customXml/itemProps2.xml><?xml version="1.0" encoding="utf-8"?>
<ds:datastoreItem xmlns:ds="http://schemas.openxmlformats.org/officeDocument/2006/customXml" ds:itemID="{FB16FA20-D0B3-4869-B1E2-58F01541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Avastin Clinical Evaluation Report Extract draft 2.0.dotx</Template>
  <TotalTime>2</TotalTime>
  <Pages>32</Pages>
  <Words>6248</Words>
  <Characters>36306</Characters>
  <Application>Microsoft Office Word</Application>
  <DocSecurity>0</DocSecurity>
  <Lines>1008</Lines>
  <Paragraphs>625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41929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Bevacizumab</dc:title>
  <dc:subject>prescription medicine regulation</dc:subject>
  <dc:creator>Therapeutic Goods Administration</dc:creator>
  <cp:keywords>clinical, evaluation, report, medicine, assessment, regulation, australia, bevacizumab, avastin</cp:keywords>
  <cp:lastModifiedBy>Bird, Gail</cp:lastModifiedBy>
  <cp:revision>5</cp:revision>
  <cp:lastPrinted>2010-12-20T22:59:00Z</cp:lastPrinted>
  <dcterms:created xsi:type="dcterms:W3CDTF">2014-05-31T01:07:00Z</dcterms:created>
  <dcterms:modified xsi:type="dcterms:W3CDTF">2014-05-31T01:09:00Z</dcterms:modified>
</cp:coreProperties>
</file>