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F35404" w14:paraId="3D8D13B4" w14:textId="77777777" w:rsidTr="00BF1190">
        <w:trPr>
          <w:trHeight w:val="1863"/>
        </w:trPr>
        <w:tc>
          <w:tcPr>
            <w:tcW w:w="3652" w:type="dxa"/>
            <w:tcBorders>
              <w:top w:val="nil"/>
              <w:left w:val="nil"/>
              <w:bottom w:val="nil"/>
              <w:right w:val="nil"/>
            </w:tcBorders>
          </w:tcPr>
          <w:p w14:paraId="4023EECD" w14:textId="568DA49A" w:rsidR="008E7846" w:rsidRPr="00F35404" w:rsidRDefault="00333051" w:rsidP="00096AA7">
            <w:pPr>
              <w:rPr>
                <w:rFonts w:ascii="Arial" w:hAnsi="Arial" w:cs="Arial"/>
                <w:b/>
                <w:color w:val="002C47"/>
                <w:sz w:val="36"/>
                <w:szCs w:val="36"/>
              </w:rPr>
            </w:pPr>
            <w:r>
              <w:rPr>
                <w:rFonts w:ascii="Arial" w:hAnsi="Arial" w:cs="Arial"/>
                <w:b/>
                <w:color w:val="002C47"/>
                <w:sz w:val="36"/>
                <w:szCs w:val="36"/>
              </w:rPr>
              <w:t>January</w:t>
            </w:r>
            <w:r w:rsidRPr="00F35404">
              <w:rPr>
                <w:rFonts w:ascii="Arial" w:hAnsi="Arial" w:cs="Arial"/>
                <w:b/>
                <w:color w:val="002C47"/>
                <w:sz w:val="36"/>
                <w:szCs w:val="36"/>
              </w:rPr>
              <w:t xml:space="preserve"> </w:t>
            </w:r>
            <w:r w:rsidR="002F7761" w:rsidRPr="00F35404">
              <w:rPr>
                <w:rFonts w:ascii="Arial" w:hAnsi="Arial" w:cs="Arial"/>
                <w:b/>
                <w:color w:val="002C47"/>
                <w:sz w:val="36"/>
                <w:szCs w:val="36"/>
              </w:rPr>
              <w:t>202</w:t>
            </w:r>
            <w:r w:rsidR="00201CA0">
              <w:rPr>
                <w:rFonts w:ascii="Arial" w:hAnsi="Arial" w:cs="Arial"/>
                <w:b/>
                <w:color w:val="002C47"/>
                <w:sz w:val="36"/>
                <w:szCs w:val="36"/>
              </w:rPr>
              <w:t>2</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F35404" w14:paraId="06320312" w14:textId="77777777" w:rsidTr="0032583B">
        <w:trPr>
          <w:trHeight w:val="868"/>
        </w:trPr>
        <w:tc>
          <w:tcPr>
            <w:tcW w:w="9079" w:type="dxa"/>
          </w:tcPr>
          <w:p w14:paraId="6839A313" w14:textId="1FDE8DA2" w:rsidR="0032583B" w:rsidRPr="00F35404" w:rsidRDefault="0032583B" w:rsidP="00460036">
            <w:pPr>
              <w:pStyle w:val="Title"/>
              <w:rPr>
                <w:color w:val="FFFFFF" w:themeColor="background1"/>
              </w:rPr>
            </w:pPr>
            <w:r w:rsidRPr="00F35404">
              <w:rPr>
                <w:color w:val="FFFFFF" w:themeColor="background1"/>
              </w:rPr>
              <w:t xml:space="preserve">Australian Public Assessment Report for </w:t>
            </w:r>
            <w:r w:rsidR="002F7761" w:rsidRPr="00F35404">
              <w:rPr>
                <w:color w:val="FFFFFF" w:themeColor="background1"/>
              </w:rPr>
              <w:t>Bevacizumab</w:t>
            </w:r>
          </w:p>
        </w:tc>
      </w:tr>
      <w:tr w:rsidR="0032583B" w:rsidRPr="00F35404" w14:paraId="40502819" w14:textId="77777777" w:rsidTr="0032583B">
        <w:tc>
          <w:tcPr>
            <w:tcW w:w="9079" w:type="dxa"/>
          </w:tcPr>
          <w:p w14:paraId="47AC83FC" w14:textId="0E0078AF" w:rsidR="0032583B" w:rsidRPr="00F35404" w:rsidRDefault="0032583B" w:rsidP="00460036">
            <w:pPr>
              <w:pStyle w:val="Subtitle"/>
              <w:rPr>
                <w:color w:val="FFFFFF" w:themeColor="background1"/>
              </w:rPr>
            </w:pPr>
            <w:r w:rsidRPr="00F35404">
              <w:rPr>
                <w:color w:val="FFFFFF" w:themeColor="background1"/>
              </w:rPr>
              <w:t xml:space="preserve">Proprietary Product Name: </w:t>
            </w:r>
            <w:r w:rsidR="002F7761" w:rsidRPr="00F35404">
              <w:rPr>
                <w:color w:val="FFFFFF" w:themeColor="background1"/>
              </w:rPr>
              <w:t>Abevmy</w:t>
            </w:r>
          </w:p>
        </w:tc>
      </w:tr>
      <w:tr w:rsidR="0032583B" w:rsidRPr="00F35404" w14:paraId="6B3BEF89" w14:textId="77777777" w:rsidTr="0032583B">
        <w:trPr>
          <w:trHeight w:val="486"/>
        </w:trPr>
        <w:tc>
          <w:tcPr>
            <w:tcW w:w="9079" w:type="dxa"/>
          </w:tcPr>
          <w:p w14:paraId="5E1F20D8" w14:textId="520AA467" w:rsidR="0032583B" w:rsidRPr="00F35404" w:rsidRDefault="00460036" w:rsidP="0032583B">
            <w:pPr>
              <w:pStyle w:val="Subtitle"/>
              <w:rPr>
                <w:color w:val="FFFFFF" w:themeColor="background1"/>
              </w:rPr>
            </w:pPr>
            <w:r w:rsidRPr="00F35404">
              <w:rPr>
                <w:color w:val="FFFFFF" w:themeColor="background1"/>
              </w:rPr>
              <w:t xml:space="preserve">Sponsor: </w:t>
            </w:r>
            <w:proofErr w:type="spellStart"/>
            <w:r w:rsidR="002F7761" w:rsidRPr="00F35404">
              <w:rPr>
                <w:color w:val="FFFFFF" w:themeColor="background1"/>
              </w:rPr>
              <w:t>Alphapharm</w:t>
            </w:r>
            <w:proofErr w:type="spellEnd"/>
            <w:r w:rsidR="002F7761" w:rsidRPr="00F35404">
              <w:rPr>
                <w:color w:val="FFFFFF" w:themeColor="background1"/>
              </w:rPr>
              <w:t xml:space="preserve"> Pty Ltd</w:t>
            </w:r>
          </w:p>
        </w:tc>
      </w:tr>
    </w:tbl>
    <w:p w14:paraId="75613847" w14:textId="77777777" w:rsidR="008E7846" w:rsidRPr="00F35404" w:rsidRDefault="008E7846" w:rsidP="0085156D">
      <w:r w:rsidRPr="00F35404">
        <w:br w:type="page"/>
      </w:r>
    </w:p>
    <w:p w14:paraId="2DB8F002" w14:textId="77777777" w:rsidR="008E7846" w:rsidRPr="00F35404" w:rsidRDefault="008E7846" w:rsidP="008E7846">
      <w:pPr>
        <w:pStyle w:val="NonTOCHeading2"/>
      </w:pPr>
      <w:r w:rsidRPr="00F35404">
        <w:lastRenderedPageBreak/>
        <w:t>About the Therapeutic Goods Administration (TGA)</w:t>
      </w:r>
    </w:p>
    <w:p w14:paraId="2ADC4C14" w14:textId="77777777" w:rsidR="008E7846" w:rsidRPr="00F35404" w:rsidRDefault="008E7846" w:rsidP="008E7846">
      <w:pPr>
        <w:pStyle w:val="ListBullet"/>
        <w:numPr>
          <w:ilvl w:val="0"/>
          <w:numId w:val="3"/>
        </w:numPr>
        <w:ind w:left="357" w:hanging="357"/>
      </w:pPr>
      <w:r w:rsidRPr="00F35404">
        <w:t xml:space="preserve">The Therapeutic Goods Administration (TGA) is </w:t>
      </w:r>
      <w:r w:rsidR="00E624A5" w:rsidRPr="00F35404">
        <w:t xml:space="preserve">part </w:t>
      </w:r>
      <w:r w:rsidRPr="00F35404">
        <w:t>of the Australian Government Department of Health and is responsible for regulating medicines and medical devices.</w:t>
      </w:r>
    </w:p>
    <w:p w14:paraId="605F5C74" w14:textId="77777777" w:rsidR="008E7846" w:rsidRPr="00F35404" w:rsidRDefault="00C80137" w:rsidP="008E7846">
      <w:pPr>
        <w:pStyle w:val="ListBullet"/>
        <w:numPr>
          <w:ilvl w:val="0"/>
          <w:numId w:val="3"/>
        </w:numPr>
        <w:ind w:left="357" w:hanging="357"/>
      </w:pPr>
      <w:r w:rsidRPr="00F35404">
        <w:t xml:space="preserve">The </w:t>
      </w:r>
      <w:r w:rsidR="008E7846" w:rsidRPr="00F35404">
        <w:t xml:space="preserve">TGA administers the </w:t>
      </w:r>
      <w:r w:rsidR="008E7846" w:rsidRPr="00F35404">
        <w:rPr>
          <w:i/>
        </w:rPr>
        <w:t>Therapeutic Goods Act 1989</w:t>
      </w:r>
      <w:r w:rsidR="00785717" w:rsidRPr="00F35404">
        <w:rPr>
          <w:i/>
        </w:rPr>
        <w:t xml:space="preserve"> </w:t>
      </w:r>
      <w:r w:rsidR="00785717" w:rsidRPr="00F35404">
        <w:t>(the Act)</w:t>
      </w:r>
      <w:r w:rsidR="008E7846" w:rsidRPr="00F35404">
        <w:t xml:space="preserve">, applying a risk management approach designed to ensure therapeutic goods supplied in Australia meet acceptable standards of quality, </w:t>
      </w:r>
      <w:proofErr w:type="gramStart"/>
      <w:r w:rsidR="008E7846" w:rsidRPr="00F35404">
        <w:t>safety</w:t>
      </w:r>
      <w:proofErr w:type="gramEnd"/>
      <w:r w:rsidR="008E7846" w:rsidRPr="00F35404">
        <w:t xml:space="preserve"> and efficacy (performance) when necessary.</w:t>
      </w:r>
    </w:p>
    <w:p w14:paraId="456AA907" w14:textId="77777777" w:rsidR="008E7846" w:rsidRPr="00F35404" w:rsidRDefault="008E7846" w:rsidP="008E7846">
      <w:pPr>
        <w:pStyle w:val="ListBullet"/>
        <w:numPr>
          <w:ilvl w:val="0"/>
          <w:numId w:val="3"/>
        </w:numPr>
        <w:ind w:left="357" w:hanging="357"/>
      </w:pPr>
      <w:r w:rsidRPr="00F35404">
        <w:t>The work of the TGA is based on applying scientific and clinical expertise to decision-making, to ensure that the benefits to consumers outweigh any risks associated with the use of medicines and medical devices.</w:t>
      </w:r>
    </w:p>
    <w:p w14:paraId="27E3580C" w14:textId="77777777" w:rsidR="008E7846" w:rsidRPr="00F35404" w:rsidRDefault="008E7846" w:rsidP="008E7846">
      <w:pPr>
        <w:pStyle w:val="ListBullet"/>
        <w:numPr>
          <w:ilvl w:val="0"/>
          <w:numId w:val="3"/>
        </w:numPr>
        <w:ind w:left="357" w:hanging="357"/>
      </w:pPr>
      <w:r w:rsidRPr="00F35404">
        <w:t>The TGA relies on the public, healthcare professionals and industry to report problems with medicines or medical devices. TGA investigates reports received by it to determine any necessary regulatory action.</w:t>
      </w:r>
    </w:p>
    <w:p w14:paraId="57B58A6B" w14:textId="0C95B5E1" w:rsidR="00441C3F" w:rsidRPr="00F35404" w:rsidRDefault="008E7846" w:rsidP="00441C3F">
      <w:pPr>
        <w:pStyle w:val="ListBullet"/>
        <w:numPr>
          <w:ilvl w:val="0"/>
          <w:numId w:val="3"/>
        </w:numPr>
        <w:ind w:left="357" w:hanging="357"/>
      </w:pPr>
      <w:r w:rsidRPr="00F35404">
        <w:t xml:space="preserve">To report a problem with a medicine or medical device, please see the information on </w:t>
      </w:r>
      <w:r w:rsidR="00441C3F" w:rsidRPr="00F35404">
        <w:t>the TGA website &lt;</w:t>
      </w:r>
      <w:hyperlink r:id="rId8" w:history="1">
        <w:r w:rsidR="00441C3F" w:rsidRPr="00F35404">
          <w:rPr>
            <w:rStyle w:val="Hyperlink"/>
          </w:rPr>
          <w:t>https://www.tga.gov.au</w:t>
        </w:r>
      </w:hyperlink>
      <w:r w:rsidR="00441C3F" w:rsidRPr="00F35404">
        <w:t>&gt;.</w:t>
      </w:r>
    </w:p>
    <w:p w14:paraId="6A8BFE57" w14:textId="77777777" w:rsidR="008E7846" w:rsidRPr="00F35404" w:rsidRDefault="008E7846" w:rsidP="00875A6B">
      <w:pPr>
        <w:pStyle w:val="NonTOCHeading2"/>
      </w:pPr>
      <w:r w:rsidRPr="00F35404">
        <w:t xml:space="preserve">About </w:t>
      </w:r>
      <w:proofErr w:type="spellStart"/>
      <w:r w:rsidRPr="00F35404">
        <w:t>AusPARs</w:t>
      </w:r>
      <w:proofErr w:type="spellEnd"/>
    </w:p>
    <w:p w14:paraId="17A936C9" w14:textId="77777777" w:rsidR="008E7846" w:rsidRPr="00F35404" w:rsidRDefault="008E7846" w:rsidP="008E7846">
      <w:pPr>
        <w:pStyle w:val="ListBullet"/>
        <w:numPr>
          <w:ilvl w:val="0"/>
          <w:numId w:val="3"/>
        </w:numPr>
        <w:ind w:left="357" w:hanging="357"/>
      </w:pPr>
      <w:r w:rsidRPr="00F35404">
        <w:t>An Australian Public Assessment Re</w:t>
      </w:r>
      <w:r w:rsidR="00133A1B" w:rsidRPr="00F35404">
        <w:t>port</w:t>
      </w:r>
      <w:r w:rsidRPr="00F35404">
        <w:t xml:space="preserve"> (AusPAR) provides information about the evaluation of a prescription medicine and the considerations that led the TGA to approve or not approve a pr</w:t>
      </w:r>
      <w:r w:rsidR="00441C3F" w:rsidRPr="00F35404">
        <w:t>escription medicine submission.</w:t>
      </w:r>
    </w:p>
    <w:p w14:paraId="51A77511" w14:textId="77777777" w:rsidR="008E7846" w:rsidRPr="00F35404" w:rsidRDefault="008E7846" w:rsidP="008E7846">
      <w:pPr>
        <w:pStyle w:val="ListBullet"/>
        <w:numPr>
          <w:ilvl w:val="0"/>
          <w:numId w:val="3"/>
        </w:numPr>
        <w:ind w:left="357" w:hanging="357"/>
      </w:pPr>
      <w:proofErr w:type="spellStart"/>
      <w:r w:rsidRPr="00F35404">
        <w:t>AusPARs</w:t>
      </w:r>
      <w:proofErr w:type="spellEnd"/>
      <w:r w:rsidRPr="00F35404">
        <w:t xml:space="preserve"> are prepared and published by the TGA.</w:t>
      </w:r>
    </w:p>
    <w:p w14:paraId="2042E1EC" w14:textId="77777777" w:rsidR="008E7846" w:rsidRPr="00F35404" w:rsidRDefault="008E7846" w:rsidP="008E7846">
      <w:pPr>
        <w:pStyle w:val="ListBullet"/>
        <w:numPr>
          <w:ilvl w:val="0"/>
          <w:numId w:val="3"/>
        </w:numPr>
        <w:ind w:left="357" w:hanging="357"/>
      </w:pPr>
      <w:r w:rsidRPr="00F35404">
        <w:t xml:space="preserve">An AusPAR is prepared for submissions that relate to new chemical entities, generic medicines, major </w:t>
      </w:r>
      <w:proofErr w:type="gramStart"/>
      <w:r w:rsidRPr="00F35404">
        <w:t>variations</w:t>
      </w:r>
      <w:proofErr w:type="gramEnd"/>
      <w:r w:rsidRPr="00F35404">
        <w:t xml:space="preserve"> and extensions of indications.</w:t>
      </w:r>
    </w:p>
    <w:p w14:paraId="40E1DEEB" w14:textId="77777777" w:rsidR="008E7846" w:rsidRPr="00F35404" w:rsidRDefault="008E7846" w:rsidP="008E7846">
      <w:pPr>
        <w:pStyle w:val="ListBullet"/>
        <w:numPr>
          <w:ilvl w:val="0"/>
          <w:numId w:val="3"/>
        </w:numPr>
        <w:ind w:left="357" w:hanging="357"/>
      </w:pPr>
      <w:r w:rsidRPr="00F35404">
        <w:t>An AusPAR is a static document</w:t>
      </w:r>
      <w:r w:rsidR="00133A1B" w:rsidRPr="00F35404">
        <w:t>;</w:t>
      </w:r>
      <w:r w:rsidRPr="00F35404">
        <w:t xml:space="preserve"> it provide</w:t>
      </w:r>
      <w:r w:rsidR="00133A1B" w:rsidRPr="00F35404">
        <w:t>s</w:t>
      </w:r>
      <w:r w:rsidRPr="00F35404">
        <w:t xml:space="preserve"> information that relates to a submission at a particular point in time.</w:t>
      </w:r>
    </w:p>
    <w:p w14:paraId="3431C273" w14:textId="77777777" w:rsidR="00B452CE" w:rsidRPr="00F35404" w:rsidRDefault="008E7846" w:rsidP="00FF5755">
      <w:pPr>
        <w:pStyle w:val="ListBullet"/>
        <w:numPr>
          <w:ilvl w:val="0"/>
          <w:numId w:val="3"/>
        </w:numPr>
        <w:ind w:left="357" w:hanging="357"/>
      </w:pPr>
      <w:r w:rsidRPr="00F35404">
        <w:t>A new AusPAR will be developed to reflect changes to indications and/or major variations to a prescription medicine subject to evaluation by the TGA.</w:t>
      </w:r>
    </w:p>
    <w:p w14:paraId="73FD90E3" w14:textId="77777777" w:rsidR="00924482" w:rsidRPr="00F35404" w:rsidRDefault="00924482" w:rsidP="00F54B65">
      <w:pPr>
        <w:pStyle w:val="LegalSubheading"/>
        <w:spacing w:before="3120"/>
      </w:pPr>
      <w:r w:rsidRPr="00F35404">
        <w:t>Copyright</w:t>
      </w:r>
    </w:p>
    <w:p w14:paraId="61AC4FDF" w14:textId="666F3B59" w:rsidR="00924482" w:rsidRPr="00F35404" w:rsidRDefault="00924482" w:rsidP="00924482">
      <w:pPr>
        <w:pStyle w:val="LegalCopy"/>
      </w:pPr>
      <w:r w:rsidRPr="00F35404">
        <w:rPr>
          <w:rFonts w:cs="Arial"/>
          <w:lang w:val="en-GB"/>
        </w:rPr>
        <w:t>© Commonwealth of Australia 20</w:t>
      </w:r>
      <w:r w:rsidR="00460036" w:rsidRPr="00F35404">
        <w:rPr>
          <w:rFonts w:cs="Arial"/>
          <w:lang w:val="en-GB"/>
        </w:rPr>
        <w:t>2</w:t>
      </w:r>
      <w:r w:rsidR="00201CA0">
        <w:rPr>
          <w:rFonts w:cs="Arial"/>
          <w:lang w:val="en-GB"/>
        </w:rPr>
        <w:t>2</w:t>
      </w:r>
      <w:r w:rsidRPr="00F35404">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F35404">
        <w:rPr>
          <w:rFonts w:cs="Arial"/>
          <w:i/>
          <w:lang w:val="en-GB"/>
        </w:rPr>
        <w:t>Copyright Act 1968</w:t>
      </w:r>
      <w:r w:rsidRPr="00F35404">
        <w:rPr>
          <w:rFonts w:cs="Arial"/>
          <w:lang w:val="en-GB"/>
        </w:rPr>
        <w:t xml:space="preserve"> or allowed by this copyright notice, all other rights are </w:t>
      </w:r>
      <w:proofErr w:type="gramStart"/>
      <w:r w:rsidRPr="00F35404">
        <w:rPr>
          <w:rFonts w:cs="Arial"/>
          <w:lang w:val="en-GB"/>
        </w:rPr>
        <w:t>reserved</w:t>
      </w:r>
      <w:proofErr w:type="gramEnd"/>
      <w:r w:rsidRPr="00F35404">
        <w:rPr>
          <w:rFonts w:cs="Arial"/>
          <w:lang w:val="en-GB"/>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F35404">
        <w:rPr>
          <w:rFonts w:cs="Arial"/>
          <w:lang w:val="en-GB"/>
        </w:rPr>
        <w:t>Woden</w:t>
      </w:r>
      <w:proofErr w:type="spellEnd"/>
      <w:r w:rsidRPr="00F35404">
        <w:rPr>
          <w:rFonts w:cs="Arial"/>
          <w:lang w:val="en-GB"/>
        </w:rPr>
        <w:t xml:space="preserve"> ACT 2606 or emailed to &lt;</w:t>
      </w:r>
      <w:hyperlink r:id="rId9" w:history="1">
        <w:r w:rsidRPr="00F35404">
          <w:rPr>
            <w:rStyle w:val="Hyperlink"/>
            <w:rFonts w:cs="Arial"/>
            <w:lang w:val="en-GB"/>
          </w:rPr>
          <w:t>tga.copyright@tga.gov.au</w:t>
        </w:r>
      </w:hyperlink>
      <w:r w:rsidRPr="00F35404">
        <w:rPr>
          <w:rFonts w:cs="Arial"/>
        </w:rPr>
        <w:t>&gt;.</w:t>
      </w:r>
    </w:p>
    <w:p w14:paraId="2A80FE25" w14:textId="77777777" w:rsidR="00924482" w:rsidRPr="00F35404" w:rsidRDefault="00924482" w:rsidP="00924482">
      <w:pPr>
        <w:pStyle w:val="LegalCopy"/>
        <w:sectPr w:rsidR="00924482" w:rsidRPr="00F35404"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0" w:name="_Toc247691501" w:displacedByCustomXml="next"/>
    <w:bookmarkStart w:id="1"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31A2AD01" w14:textId="77777777" w:rsidR="0089635C" w:rsidRPr="00F35404" w:rsidRDefault="0089635C" w:rsidP="0010788A">
          <w:pPr>
            <w:pStyle w:val="Contents"/>
          </w:pPr>
          <w:r w:rsidRPr="00F35404">
            <w:t>Contents</w:t>
          </w:r>
        </w:p>
        <w:p w14:paraId="028E1C32" w14:textId="2E79FA78" w:rsidR="00D0686E" w:rsidRDefault="00C525A2">
          <w:pPr>
            <w:pStyle w:val="TOC1"/>
            <w:rPr>
              <w:rFonts w:asciiTheme="minorHAnsi" w:eastAsiaTheme="minorEastAsia" w:hAnsiTheme="minorHAnsi" w:cstheme="minorBidi"/>
              <w:b w:val="0"/>
              <w:noProof/>
              <w:sz w:val="22"/>
              <w:lang w:eastAsia="en-AU"/>
            </w:rPr>
          </w:pPr>
          <w:r w:rsidRPr="00F35404">
            <w:fldChar w:fldCharType="begin"/>
          </w:r>
          <w:r w:rsidRPr="00F35404">
            <w:instrText xml:space="preserve"> TOC \h \z \t "Heading 2,1,Heading 3,2" </w:instrText>
          </w:r>
          <w:r w:rsidRPr="00F35404">
            <w:fldChar w:fldCharType="separate"/>
          </w:r>
          <w:hyperlink w:anchor="_Toc94253938" w:history="1">
            <w:r w:rsidR="00D0686E" w:rsidRPr="00A76F97">
              <w:rPr>
                <w:rStyle w:val="Hyperlink"/>
                <w:noProof/>
              </w:rPr>
              <w:t>List of abbreviations</w:t>
            </w:r>
            <w:r w:rsidR="00D0686E">
              <w:rPr>
                <w:noProof/>
                <w:webHidden/>
              </w:rPr>
              <w:tab/>
            </w:r>
            <w:r w:rsidR="00D0686E">
              <w:rPr>
                <w:noProof/>
                <w:webHidden/>
              </w:rPr>
              <w:fldChar w:fldCharType="begin"/>
            </w:r>
            <w:r w:rsidR="00D0686E">
              <w:rPr>
                <w:noProof/>
                <w:webHidden/>
              </w:rPr>
              <w:instrText xml:space="preserve"> PAGEREF _Toc94253938 \h </w:instrText>
            </w:r>
            <w:r w:rsidR="00D0686E">
              <w:rPr>
                <w:noProof/>
                <w:webHidden/>
              </w:rPr>
            </w:r>
            <w:r w:rsidR="00D0686E">
              <w:rPr>
                <w:noProof/>
                <w:webHidden/>
              </w:rPr>
              <w:fldChar w:fldCharType="separate"/>
            </w:r>
            <w:r w:rsidR="00D0686E">
              <w:rPr>
                <w:noProof/>
                <w:webHidden/>
              </w:rPr>
              <w:t>4</w:t>
            </w:r>
            <w:r w:rsidR="00D0686E">
              <w:rPr>
                <w:noProof/>
                <w:webHidden/>
              </w:rPr>
              <w:fldChar w:fldCharType="end"/>
            </w:r>
          </w:hyperlink>
        </w:p>
        <w:p w14:paraId="20DC49B6" w14:textId="1D24E152" w:rsidR="00D0686E" w:rsidRDefault="00CB4893">
          <w:pPr>
            <w:pStyle w:val="TOC1"/>
            <w:rPr>
              <w:rFonts w:asciiTheme="minorHAnsi" w:eastAsiaTheme="minorEastAsia" w:hAnsiTheme="minorHAnsi" w:cstheme="minorBidi"/>
              <w:b w:val="0"/>
              <w:noProof/>
              <w:sz w:val="22"/>
              <w:lang w:eastAsia="en-AU"/>
            </w:rPr>
          </w:pPr>
          <w:hyperlink w:anchor="_Toc94253939" w:history="1">
            <w:r w:rsidR="00D0686E" w:rsidRPr="00A76F97">
              <w:rPr>
                <w:rStyle w:val="Hyperlink"/>
                <w:noProof/>
              </w:rPr>
              <w:t>I. Introduction to product submission</w:t>
            </w:r>
            <w:r w:rsidR="00D0686E">
              <w:rPr>
                <w:noProof/>
                <w:webHidden/>
              </w:rPr>
              <w:tab/>
            </w:r>
            <w:r w:rsidR="00D0686E">
              <w:rPr>
                <w:noProof/>
                <w:webHidden/>
              </w:rPr>
              <w:fldChar w:fldCharType="begin"/>
            </w:r>
            <w:r w:rsidR="00D0686E">
              <w:rPr>
                <w:noProof/>
                <w:webHidden/>
              </w:rPr>
              <w:instrText xml:space="preserve"> PAGEREF _Toc94253939 \h </w:instrText>
            </w:r>
            <w:r w:rsidR="00D0686E">
              <w:rPr>
                <w:noProof/>
                <w:webHidden/>
              </w:rPr>
            </w:r>
            <w:r w:rsidR="00D0686E">
              <w:rPr>
                <w:noProof/>
                <w:webHidden/>
              </w:rPr>
              <w:fldChar w:fldCharType="separate"/>
            </w:r>
            <w:r w:rsidR="00D0686E">
              <w:rPr>
                <w:noProof/>
                <w:webHidden/>
              </w:rPr>
              <w:t>6</w:t>
            </w:r>
            <w:r w:rsidR="00D0686E">
              <w:rPr>
                <w:noProof/>
                <w:webHidden/>
              </w:rPr>
              <w:fldChar w:fldCharType="end"/>
            </w:r>
          </w:hyperlink>
        </w:p>
        <w:p w14:paraId="3E0490A7" w14:textId="4E4BE499" w:rsidR="00D0686E" w:rsidRDefault="00CB4893">
          <w:pPr>
            <w:pStyle w:val="TOC2"/>
            <w:rPr>
              <w:rFonts w:asciiTheme="minorHAnsi" w:eastAsiaTheme="minorEastAsia" w:hAnsiTheme="minorHAnsi" w:cstheme="minorBidi"/>
              <w:b w:val="0"/>
              <w:noProof/>
              <w:sz w:val="22"/>
              <w:lang w:eastAsia="en-AU"/>
            </w:rPr>
          </w:pPr>
          <w:hyperlink w:anchor="_Toc94253940" w:history="1">
            <w:r w:rsidR="00D0686E" w:rsidRPr="00A76F97">
              <w:rPr>
                <w:rStyle w:val="Hyperlink"/>
                <w:noProof/>
                <w:lang w:eastAsia="en-AU"/>
              </w:rPr>
              <w:t>Submission details</w:t>
            </w:r>
            <w:r w:rsidR="00D0686E">
              <w:rPr>
                <w:noProof/>
                <w:webHidden/>
              </w:rPr>
              <w:tab/>
            </w:r>
            <w:r w:rsidR="00D0686E">
              <w:rPr>
                <w:noProof/>
                <w:webHidden/>
              </w:rPr>
              <w:fldChar w:fldCharType="begin"/>
            </w:r>
            <w:r w:rsidR="00D0686E">
              <w:rPr>
                <w:noProof/>
                <w:webHidden/>
              </w:rPr>
              <w:instrText xml:space="preserve"> PAGEREF _Toc94253940 \h </w:instrText>
            </w:r>
            <w:r w:rsidR="00D0686E">
              <w:rPr>
                <w:noProof/>
                <w:webHidden/>
              </w:rPr>
            </w:r>
            <w:r w:rsidR="00D0686E">
              <w:rPr>
                <w:noProof/>
                <w:webHidden/>
              </w:rPr>
              <w:fldChar w:fldCharType="separate"/>
            </w:r>
            <w:r w:rsidR="00D0686E">
              <w:rPr>
                <w:noProof/>
                <w:webHidden/>
              </w:rPr>
              <w:t>6</w:t>
            </w:r>
            <w:r w:rsidR="00D0686E">
              <w:rPr>
                <w:noProof/>
                <w:webHidden/>
              </w:rPr>
              <w:fldChar w:fldCharType="end"/>
            </w:r>
          </w:hyperlink>
        </w:p>
        <w:p w14:paraId="502E36BA" w14:textId="4F5E8974" w:rsidR="00D0686E" w:rsidRDefault="00CB4893">
          <w:pPr>
            <w:pStyle w:val="TOC2"/>
            <w:rPr>
              <w:rFonts w:asciiTheme="minorHAnsi" w:eastAsiaTheme="minorEastAsia" w:hAnsiTheme="minorHAnsi" w:cstheme="minorBidi"/>
              <w:b w:val="0"/>
              <w:noProof/>
              <w:sz w:val="22"/>
              <w:lang w:eastAsia="en-AU"/>
            </w:rPr>
          </w:pPr>
          <w:hyperlink w:anchor="_Toc94253941" w:history="1">
            <w:r w:rsidR="00D0686E" w:rsidRPr="00A76F97">
              <w:rPr>
                <w:rStyle w:val="Hyperlink"/>
                <w:noProof/>
              </w:rPr>
              <w:t>Product background</w:t>
            </w:r>
            <w:r w:rsidR="00D0686E">
              <w:rPr>
                <w:noProof/>
                <w:webHidden/>
              </w:rPr>
              <w:tab/>
            </w:r>
            <w:r w:rsidR="00D0686E">
              <w:rPr>
                <w:noProof/>
                <w:webHidden/>
              </w:rPr>
              <w:fldChar w:fldCharType="begin"/>
            </w:r>
            <w:r w:rsidR="00D0686E">
              <w:rPr>
                <w:noProof/>
                <w:webHidden/>
              </w:rPr>
              <w:instrText xml:space="preserve"> PAGEREF _Toc94253941 \h </w:instrText>
            </w:r>
            <w:r w:rsidR="00D0686E">
              <w:rPr>
                <w:noProof/>
                <w:webHidden/>
              </w:rPr>
            </w:r>
            <w:r w:rsidR="00D0686E">
              <w:rPr>
                <w:noProof/>
                <w:webHidden/>
              </w:rPr>
              <w:fldChar w:fldCharType="separate"/>
            </w:r>
            <w:r w:rsidR="00D0686E">
              <w:rPr>
                <w:noProof/>
                <w:webHidden/>
              </w:rPr>
              <w:t>8</w:t>
            </w:r>
            <w:r w:rsidR="00D0686E">
              <w:rPr>
                <w:noProof/>
                <w:webHidden/>
              </w:rPr>
              <w:fldChar w:fldCharType="end"/>
            </w:r>
          </w:hyperlink>
        </w:p>
        <w:p w14:paraId="17F6522B" w14:textId="5D31EFBD" w:rsidR="00D0686E" w:rsidRDefault="00CB4893">
          <w:pPr>
            <w:pStyle w:val="TOC2"/>
            <w:rPr>
              <w:rFonts w:asciiTheme="minorHAnsi" w:eastAsiaTheme="minorEastAsia" w:hAnsiTheme="minorHAnsi" w:cstheme="minorBidi"/>
              <w:b w:val="0"/>
              <w:noProof/>
              <w:sz w:val="22"/>
              <w:lang w:eastAsia="en-AU"/>
            </w:rPr>
          </w:pPr>
          <w:hyperlink w:anchor="_Toc94253942" w:history="1">
            <w:r w:rsidR="00D0686E" w:rsidRPr="00A76F97">
              <w:rPr>
                <w:rStyle w:val="Hyperlink"/>
                <w:noProof/>
              </w:rPr>
              <w:t>Regulatory status</w:t>
            </w:r>
            <w:r w:rsidR="00D0686E">
              <w:rPr>
                <w:noProof/>
                <w:webHidden/>
              </w:rPr>
              <w:tab/>
            </w:r>
            <w:r w:rsidR="00D0686E">
              <w:rPr>
                <w:noProof/>
                <w:webHidden/>
              </w:rPr>
              <w:fldChar w:fldCharType="begin"/>
            </w:r>
            <w:r w:rsidR="00D0686E">
              <w:rPr>
                <w:noProof/>
                <w:webHidden/>
              </w:rPr>
              <w:instrText xml:space="preserve"> PAGEREF _Toc94253942 \h </w:instrText>
            </w:r>
            <w:r w:rsidR="00D0686E">
              <w:rPr>
                <w:noProof/>
                <w:webHidden/>
              </w:rPr>
            </w:r>
            <w:r w:rsidR="00D0686E">
              <w:rPr>
                <w:noProof/>
                <w:webHidden/>
              </w:rPr>
              <w:fldChar w:fldCharType="separate"/>
            </w:r>
            <w:r w:rsidR="00D0686E">
              <w:rPr>
                <w:noProof/>
                <w:webHidden/>
              </w:rPr>
              <w:t>10</w:t>
            </w:r>
            <w:r w:rsidR="00D0686E">
              <w:rPr>
                <w:noProof/>
                <w:webHidden/>
              </w:rPr>
              <w:fldChar w:fldCharType="end"/>
            </w:r>
          </w:hyperlink>
        </w:p>
        <w:p w14:paraId="5FBAF1DE" w14:textId="45231180" w:rsidR="00D0686E" w:rsidRDefault="00CB4893">
          <w:pPr>
            <w:pStyle w:val="TOC2"/>
            <w:rPr>
              <w:rFonts w:asciiTheme="minorHAnsi" w:eastAsiaTheme="minorEastAsia" w:hAnsiTheme="minorHAnsi" w:cstheme="minorBidi"/>
              <w:b w:val="0"/>
              <w:noProof/>
              <w:sz w:val="22"/>
              <w:lang w:eastAsia="en-AU"/>
            </w:rPr>
          </w:pPr>
          <w:hyperlink w:anchor="_Toc94253943" w:history="1">
            <w:r w:rsidR="00D0686E" w:rsidRPr="00A76F97">
              <w:rPr>
                <w:rStyle w:val="Hyperlink"/>
                <w:noProof/>
              </w:rPr>
              <w:t>Product Information</w:t>
            </w:r>
            <w:r w:rsidR="00D0686E">
              <w:rPr>
                <w:noProof/>
                <w:webHidden/>
              </w:rPr>
              <w:tab/>
            </w:r>
            <w:r w:rsidR="00D0686E">
              <w:rPr>
                <w:noProof/>
                <w:webHidden/>
              </w:rPr>
              <w:fldChar w:fldCharType="begin"/>
            </w:r>
            <w:r w:rsidR="00D0686E">
              <w:rPr>
                <w:noProof/>
                <w:webHidden/>
              </w:rPr>
              <w:instrText xml:space="preserve"> PAGEREF _Toc94253943 \h </w:instrText>
            </w:r>
            <w:r w:rsidR="00D0686E">
              <w:rPr>
                <w:noProof/>
                <w:webHidden/>
              </w:rPr>
            </w:r>
            <w:r w:rsidR="00D0686E">
              <w:rPr>
                <w:noProof/>
                <w:webHidden/>
              </w:rPr>
              <w:fldChar w:fldCharType="separate"/>
            </w:r>
            <w:r w:rsidR="00D0686E">
              <w:rPr>
                <w:noProof/>
                <w:webHidden/>
              </w:rPr>
              <w:t>10</w:t>
            </w:r>
            <w:r w:rsidR="00D0686E">
              <w:rPr>
                <w:noProof/>
                <w:webHidden/>
              </w:rPr>
              <w:fldChar w:fldCharType="end"/>
            </w:r>
          </w:hyperlink>
        </w:p>
        <w:p w14:paraId="21DDBEF9" w14:textId="5308D3BF" w:rsidR="00D0686E" w:rsidRDefault="00CB4893">
          <w:pPr>
            <w:pStyle w:val="TOC1"/>
            <w:rPr>
              <w:rFonts w:asciiTheme="minorHAnsi" w:eastAsiaTheme="minorEastAsia" w:hAnsiTheme="minorHAnsi" w:cstheme="minorBidi"/>
              <w:b w:val="0"/>
              <w:noProof/>
              <w:sz w:val="22"/>
              <w:lang w:eastAsia="en-AU"/>
            </w:rPr>
          </w:pPr>
          <w:hyperlink w:anchor="_Toc94253944" w:history="1">
            <w:r w:rsidR="00D0686E" w:rsidRPr="00A76F97">
              <w:rPr>
                <w:rStyle w:val="Hyperlink"/>
                <w:noProof/>
              </w:rPr>
              <w:t>II. Registration timeline</w:t>
            </w:r>
            <w:r w:rsidR="00D0686E">
              <w:rPr>
                <w:noProof/>
                <w:webHidden/>
              </w:rPr>
              <w:tab/>
            </w:r>
            <w:r w:rsidR="00D0686E">
              <w:rPr>
                <w:noProof/>
                <w:webHidden/>
              </w:rPr>
              <w:fldChar w:fldCharType="begin"/>
            </w:r>
            <w:r w:rsidR="00D0686E">
              <w:rPr>
                <w:noProof/>
                <w:webHidden/>
              </w:rPr>
              <w:instrText xml:space="preserve"> PAGEREF _Toc94253944 \h </w:instrText>
            </w:r>
            <w:r w:rsidR="00D0686E">
              <w:rPr>
                <w:noProof/>
                <w:webHidden/>
              </w:rPr>
            </w:r>
            <w:r w:rsidR="00D0686E">
              <w:rPr>
                <w:noProof/>
                <w:webHidden/>
              </w:rPr>
              <w:fldChar w:fldCharType="separate"/>
            </w:r>
            <w:r w:rsidR="00D0686E">
              <w:rPr>
                <w:noProof/>
                <w:webHidden/>
              </w:rPr>
              <w:t>10</w:t>
            </w:r>
            <w:r w:rsidR="00D0686E">
              <w:rPr>
                <w:noProof/>
                <w:webHidden/>
              </w:rPr>
              <w:fldChar w:fldCharType="end"/>
            </w:r>
          </w:hyperlink>
        </w:p>
        <w:p w14:paraId="52F40A75" w14:textId="715C9078" w:rsidR="00D0686E" w:rsidRDefault="00CB4893">
          <w:pPr>
            <w:pStyle w:val="TOC1"/>
            <w:rPr>
              <w:rFonts w:asciiTheme="minorHAnsi" w:eastAsiaTheme="minorEastAsia" w:hAnsiTheme="minorHAnsi" w:cstheme="minorBidi"/>
              <w:b w:val="0"/>
              <w:noProof/>
              <w:sz w:val="22"/>
              <w:lang w:eastAsia="en-AU"/>
            </w:rPr>
          </w:pPr>
          <w:hyperlink w:anchor="_Toc94253945" w:history="1">
            <w:r w:rsidR="00D0686E" w:rsidRPr="00A76F97">
              <w:rPr>
                <w:rStyle w:val="Hyperlink"/>
                <w:noProof/>
              </w:rPr>
              <w:t>III. Submission overview and risk/benefit assessment</w:t>
            </w:r>
            <w:r w:rsidR="00D0686E">
              <w:rPr>
                <w:noProof/>
                <w:webHidden/>
              </w:rPr>
              <w:tab/>
            </w:r>
            <w:r w:rsidR="00D0686E">
              <w:rPr>
                <w:noProof/>
                <w:webHidden/>
              </w:rPr>
              <w:fldChar w:fldCharType="begin"/>
            </w:r>
            <w:r w:rsidR="00D0686E">
              <w:rPr>
                <w:noProof/>
                <w:webHidden/>
              </w:rPr>
              <w:instrText xml:space="preserve"> PAGEREF _Toc94253945 \h </w:instrText>
            </w:r>
            <w:r w:rsidR="00D0686E">
              <w:rPr>
                <w:noProof/>
                <w:webHidden/>
              </w:rPr>
            </w:r>
            <w:r w:rsidR="00D0686E">
              <w:rPr>
                <w:noProof/>
                <w:webHidden/>
              </w:rPr>
              <w:fldChar w:fldCharType="separate"/>
            </w:r>
            <w:r w:rsidR="00D0686E">
              <w:rPr>
                <w:noProof/>
                <w:webHidden/>
              </w:rPr>
              <w:t>11</w:t>
            </w:r>
            <w:r w:rsidR="00D0686E">
              <w:rPr>
                <w:noProof/>
                <w:webHidden/>
              </w:rPr>
              <w:fldChar w:fldCharType="end"/>
            </w:r>
          </w:hyperlink>
        </w:p>
        <w:p w14:paraId="77420696" w14:textId="74B328F5" w:rsidR="00D0686E" w:rsidRDefault="00CB4893">
          <w:pPr>
            <w:pStyle w:val="TOC2"/>
            <w:rPr>
              <w:rFonts w:asciiTheme="minorHAnsi" w:eastAsiaTheme="minorEastAsia" w:hAnsiTheme="minorHAnsi" w:cstheme="minorBidi"/>
              <w:b w:val="0"/>
              <w:noProof/>
              <w:sz w:val="22"/>
              <w:lang w:eastAsia="en-AU"/>
            </w:rPr>
          </w:pPr>
          <w:hyperlink w:anchor="_Toc94253946" w:history="1">
            <w:r w:rsidR="00D0686E" w:rsidRPr="00A76F97">
              <w:rPr>
                <w:rStyle w:val="Hyperlink"/>
                <w:noProof/>
              </w:rPr>
              <w:t>Quality</w:t>
            </w:r>
            <w:r w:rsidR="00D0686E">
              <w:rPr>
                <w:noProof/>
                <w:webHidden/>
              </w:rPr>
              <w:tab/>
            </w:r>
            <w:r w:rsidR="00D0686E">
              <w:rPr>
                <w:noProof/>
                <w:webHidden/>
              </w:rPr>
              <w:fldChar w:fldCharType="begin"/>
            </w:r>
            <w:r w:rsidR="00D0686E">
              <w:rPr>
                <w:noProof/>
                <w:webHidden/>
              </w:rPr>
              <w:instrText xml:space="preserve"> PAGEREF _Toc94253946 \h </w:instrText>
            </w:r>
            <w:r w:rsidR="00D0686E">
              <w:rPr>
                <w:noProof/>
                <w:webHidden/>
              </w:rPr>
            </w:r>
            <w:r w:rsidR="00D0686E">
              <w:rPr>
                <w:noProof/>
                <w:webHidden/>
              </w:rPr>
              <w:fldChar w:fldCharType="separate"/>
            </w:r>
            <w:r w:rsidR="00D0686E">
              <w:rPr>
                <w:noProof/>
                <w:webHidden/>
              </w:rPr>
              <w:t>12</w:t>
            </w:r>
            <w:r w:rsidR="00D0686E">
              <w:rPr>
                <w:noProof/>
                <w:webHidden/>
              </w:rPr>
              <w:fldChar w:fldCharType="end"/>
            </w:r>
          </w:hyperlink>
        </w:p>
        <w:p w14:paraId="3B03B1C3" w14:textId="600D396D" w:rsidR="00D0686E" w:rsidRDefault="00CB4893">
          <w:pPr>
            <w:pStyle w:val="TOC2"/>
            <w:rPr>
              <w:rFonts w:asciiTheme="minorHAnsi" w:eastAsiaTheme="minorEastAsia" w:hAnsiTheme="minorHAnsi" w:cstheme="minorBidi"/>
              <w:b w:val="0"/>
              <w:noProof/>
              <w:sz w:val="22"/>
              <w:lang w:eastAsia="en-AU"/>
            </w:rPr>
          </w:pPr>
          <w:hyperlink w:anchor="_Toc94253947" w:history="1">
            <w:r w:rsidR="00D0686E" w:rsidRPr="00A76F97">
              <w:rPr>
                <w:rStyle w:val="Hyperlink"/>
                <w:noProof/>
              </w:rPr>
              <w:t>Nonclinical</w:t>
            </w:r>
            <w:r w:rsidR="00D0686E">
              <w:rPr>
                <w:noProof/>
                <w:webHidden/>
              </w:rPr>
              <w:tab/>
            </w:r>
            <w:r w:rsidR="00D0686E">
              <w:rPr>
                <w:noProof/>
                <w:webHidden/>
              </w:rPr>
              <w:fldChar w:fldCharType="begin"/>
            </w:r>
            <w:r w:rsidR="00D0686E">
              <w:rPr>
                <w:noProof/>
                <w:webHidden/>
              </w:rPr>
              <w:instrText xml:space="preserve"> PAGEREF _Toc94253947 \h </w:instrText>
            </w:r>
            <w:r w:rsidR="00D0686E">
              <w:rPr>
                <w:noProof/>
                <w:webHidden/>
              </w:rPr>
            </w:r>
            <w:r w:rsidR="00D0686E">
              <w:rPr>
                <w:noProof/>
                <w:webHidden/>
              </w:rPr>
              <w:fldChar w:fldCharType="separate"/>
            </w:r>
            <w:r w:rsidR="00D0686E">
              <w:rPr>
                <w:noProof/>
                <w:webHidden/>
              </w:rPr>
              <w:t>12</w:t>
            </w:r>
            <w:r w:rsidR="00D0686E">
              <w:rPr>
                <w:noProof/>
                <w:webHidden/>
              </w:rPr>
              <w:fldChar w:fldCharType="end"/>
            </w:r>
          </w:hyperlink>
        </w:p>
        <w:p w14:paraId="17C756B1" w14:textId="04BC1BD9" w:rsidR="00D0686E" w:rsidRDefault="00CB4893">
          <w:pPr>
            <w:pStyle w:val="TOC2"/>
            <w:rPr>
              <w:rFonts w:asciiTheme="minorHAnsi" w:eastAsiaTheme="minorEastAsia" w:hAnsiTheme="minorHAnsi" w:cstheme="minorBidi"/>
              <w:b w:val="0"/>
              <w:noProof/>
              <w:sz w:val="22"/>
              <w:lang w:eastAsia="en-AU"/>
            </w:rPr>
          </w:pPr>
          <w:hyperlink w:anchor="_Toc94253948" w:history="1">
            <w:r w:rsidR="00D0686E" w:rsidRPr="00A76F97">
              <w:rPr>
                <w:rStyle w:val="Hyperlink"/>
                <w:noProof/>
              </w:rPr>
              <w:t>Clinical</w:t>
            </w:r>
            <w:r w:rsidR="00D0686E">
              <w:rPr>
                <w:noProof/>
                <w:webHidden/>
              </w:rPr>
              <w:tab/>
            </w:r>
            <w:r w:rsidR="00D0686E">
              <w:rPr>
                <w:noProof/>
                <w:webHidden/>
              </w:rPr>
              <w:fldChar w:fldCharType="begin"/>
            </w:r>
            <w:r w:rsidR="00D0686E">
              <w:rPr>
                <w:noProof/>
                <w:webHidden/>
              </w:rPr>
              <w:instrText xml:space="preserve"> PAGEREF _Toc94253948 \h </w:instrText>
            </w:r>
            <w:r w:rsidR="00D0686E">
              <w:rPr>
                <w:noProof/>
                <w:webHidden/>
              </w:rPr>
            </w:r>
            <w:r w:rsidR="00D0686E">
              <w:rPr>
                <w:noProof/>
                <w:webHidden/>
              </w:rPr>
              <w:fldChar w:fldCharType="separate"/>
            </w:r>
            <w:r w:rsidR="00D0686E">
              <w:rPr>
                <w:noProof/>
                <w:webHidden/>
              </w:rPr>
              <w:t>13</w:t>
            </w:r>
            <w:r w:rsidR="00D0686E">
              <w:rPr>
                <w:noProof/>
                <w:webHidden/>
              </w:rPr>
              <w:fldChar w:fldCharType="end"/>
            </w:r>
          </w:hyperlink>
        </w:p>
        <w:p w14:paraId="55557767" w14:textId="4EED0F78" w:rsidR="00D0686E" w:rsidRDefault="00CB4893">
          <w:pPr>
            <w:pStyle w:val="TOC2"/>
            <w:rPr>
              <w:rFonts w:asciiTheme="minorHAnsi" w:eastAsiaTheme="minorEastAsia" w:hAnsiTheme="minorHAnsi" w:cstheme="minorBidi"/>
              <w:b w:val="0"/>
              <w:noProof/>
              <w:sz w:val="22"/>
              <w:lang w:eastAsia="en-AU"/>
            </w:rPr>
          </w:pPr>
          <w:hyperlink w:anchor="_Toc94253949" w:history="1">
            <w:r w:rsidR="00D0686E" w:rsidRPr="00A76F97">
              <w:rPr>
                <w:rStyle w:val="Hyperlink"/>
                <w:noProof/>
                <w:lang w:eastAsia="en-AU"/>
              </w:rPr>
              <w:t>Risk management plan</w:t>
            </w:r>
            <w:r w:rsidR="00D0686E">
              <w:rPr>
                <w:noProof/>
                <w:webHidden/>
              </w:rPr>
              <w:tab/>
            </w:r>
            <w:r w:rsidR="00D0686E">
              <w:rPr>
                <w:noProof/>
                <w:webHidden/>
              </w:rPr>
              <w:fldChar w:fldCharType="begin"/>
            </w:r>
            <w:r w:rsidR="00D0686E">
              <w:rPr>
                <w:noProof/>
                <w:webHidden/>
              </w:rPr>
              <w:instrText xml:space="preserve"> PAGEREF _Toc94253949 \h </w:instrText>
            </w:r>
            <w:r w:rsidR="00D0686E">
              <w:rPr>
                <w:noProof/>
                <w:webHidden/>
              </w:rPr>
            </w:r>
            <w:r w:rsidR="00D0686E">
              <w:rPr>
                <w:noProof/>
                <w:webHidden/>
              </w:rPr>
              <w:fldChar w:fldCharType="separate"/>
            </w:r>
            <w:r w:rsidR="00D0686E">
              <w:rPr>
                <w:noProof/>
                <w:webHidden/>
              </w:rPr>
              <w:t>25</w:t>
            </w:r>
            <w:r w:rsidR="00D0686E">
              <w:rPr>
                <w:noProof/>
                <w:webHidden/>
              </w:rPr>
              <w:fldChar w:fldCharType="end"/>
            </w:r>
          </w:hyperlink>
        </w:p>
        <w:p w14:paraId="4AD27F9C" w14:textId="67D0CA0B" w:rsidR="00D0686E" w:rsidRDefault="00CB4893">
          <w:pPr>
            <w:pStyle w:val="TOC2"/>
            <w:rPr>
              <w:rFonts w:asciiTheme="minorHAnsi" w:eastAsiaTheme="minorEastAsia" w:hAnsiTheme="minorHAnsi" w:cstheme="minorBidi"/>
              <w:b w:val="0"/>
              <w:noProof/>
              <w:sz w:val="22"/>
              <w:lang w:eastAsia="en-AU"/>
            </w:rPr>
          </w:pPr>
          <w:hyperlink w:anchor="_Toc94253950" w:history="1">
            <w:r w:rsidR="00D0686E" w:rsidRPr="00A76F97">
              <w:rPr>
                <w:rStyle w:val="Hyperlink"/>
                <w:noProof/>
              </w:rPr>
              <w:t>Risk-benefit analysis</w:t>
            </w:r>
            <w:r w:rsidR="00D0686E">
              <w:rPr>
                <w:noProof/>
                <w:webHidden/>
              </w:rPr>
              <w:tab/>
            </w:r>
            <w:r w:rsidR="00D0686E">
              <w:rPr>
                <w:noProof/>
                <w:webHidden/>
              </w:rPr>
              <w:fldChar w:fldCharType="begin"/>
            </w:r>
            <w:r w:rsidR="00D0686E">
              <w:rPr>
                <w:noProof/>
                <w:webHidden/>
              </w:rPr>
              <w:instrText xml:space="preserve"> PAGEREF _Toc94253950 \h </w:instrText>
            </w:r>
            <w:r w:rsidR="00D0686E">
              <w:rPr>
                <w:noProof/>
                <w:webHidden/>
              </w:rPr>
            </w:r>
            <w:r w:rsidR="00D0686E">
              <w:rPr>
                <w:noProof/>
                <w:webHidden/>
              </w:rPr>
              <w:fldChar w:fldCharType="separate"/>
            </w:r>
            <w:r w:rsidR="00D0686E">
              <w:rPr>
                <w:noProof/>
                <w:webHidden/>
              </w:rPr>
              <w:t>25</w:t>
            </w:r>
            <w:r w:rsidR="00D0686E">
              <w:rPr>
                <w:noProof/>
                <w:webHidden/>
              </w:rPr>
              <w:fldChar w:fldCharType="end"/>
            </w:r>
          </w:hyperlink>
        </w:p>
        <w:p w14:paraId="087671AC" w14:textId="117E3B73" w:rsidR="00D0686E" w:rsidRDefault="00CB4893">
          <w:pPr>
            <w:pStyle w:val="TOC2"/>
            <w:rPr>
              <w:rFonts w:asciiTheme="minorHAnsi" w:eastAsiaTheme="minorEastAsia" w:hAnsiTheme="minorHAnsi" w:cstheme="minorBidi"/>
              <w:b w:val="0"/>
              <w:noProof/>
              <w:sz w:val="22"/>
              <w:lang w:eastAsia="en-AU"/>
            </w:rPr>
          </w:pPr>
          <w:hyperlink w:anchor="_Toc94253951" w:history="1">
            <w:r w:rsidR="00D0686E" w:rsidRPr="00A76F97">
              <w:rPr>
                <w:rStyle w:val="Hyperlink"/>
                <w:noProof/>
              </w:rPr>
              <w:t>Outcome</w:t>
            </w:r>
            <w:r w:rsidR="00D0686E">
              <w:rPr>
                <w:noProof/>
                <w:webHidden/>
              </w:rPr>
              <w:tab/>
            </w:r>
            <w:r w:rsidR="00D0686E">
              <w:rPr>
                <w:noProof/>
                <w:webHidden/>
              </w:rPr>
              <w:fldChar w:fldCharType="begin"/>
            </w:r>
            <w:r w:rsidR="00D0686E">
              <w:rPr>
                <w:noProof/>
                <w:webHidden/>
              </w:rPr>
              <w:instrText xml:space="preserve"> PAGEREF _Toc94253951 \h </w:instrText>
            </w:r>
            <w:r w:rsidR="00D0686E">
              <w:rPr>
                <w:noProof/>
                <w:webHidden/>
              </w:rPr>
            </w:r>
            <w:r w:rsidR="00D0686E">
              <w:rPr>
                <w:noProof/>
                <w:webHidden/>
              </w:rPr>
              <w:fldChar w:fldCharType="separate"/>
            </w:r>
            <w:r w:rsidR="00D0686E">
              <w:rPr>
                <w:noProof/>
                <w:webHidden/>
              </w:rPr>
              <w:t>26</w:t>
            </w:r>
            <w:r w:rsidR="00D0686E">
              <w:rPr>
                <w:noProof/>
                <w:webHidden/>
              </w:rPr>
              <w:fldChar w:fldCharType="end"/>
            </w:r>
          </w:hyperlink>
        </w:p>
        <w:p w14:paraId="42F37979" w14:textId="76932464" w:rsidR="00D0686E" w:rsidRDefault="00CB4893">
          <w:pPr>
            <w:pStyle w:val="TOC1"/>
            <w:rPr>
              <w:rFonts w:asciiTheme="minorHAnsi" w:eastAsiaTheme="minorEastAsia" w:hAnsiTheme="minorHAnsi" w:cstheme="minorBidi"/>
              <w:b w:val="0"/>
              <w:noProof/>
              <w:sz w:val="22"/>
              <w:lang w:eastAsia="en-AU"/>
            </w:rPr>
          </w:pPr>
          <w:hyperlink w:anchor="_Toc94253952" w:history="1">
            <w:r w:rsidR="00D0686E" w:rsidRPr="00A76F97">
              <w:rPr>
                <w:rStyle w:val="Hyperlink"/>
                <w:noProof/>
              </w:rPr>
              <w:t>Attachment 1. Product Information</w:t>
            </w:r>
            <w:r w:rsidR="00D0686E">
              <w:rPr>
                <w:noProof/>
                <w:webHidden/>
              </w:rPr>
              <w:tab/>
            </w:r>
            <w:r w:rsidR="00D0686E">
              <w:rPr>
                <w:noProof/>
                <w:webHidden/>
              </w:rPr>
              <w:fldChar w:fldCharType="begin"/>
            </w:r>
            <w:r w:rsidR="00D0686E">
              <w:rPr>
                <w:noProof/>
                <w:webHidden/>
              </w:rPr>
              <w:instrText xml:space="preserve"> PAGEREF _Toc94253952 \h </w:instrText>
            </w:r>
            <w:r w:rsidR="00D0686E">
              <w:rPr>
                <w:noProof/>
                <w:webHidden/>
              </w:rPr>
            </w:r>
            <w:r w:rsidR="00D0686E">
              <w:rPr>
                <w:noProof/>
                <w:webHidden/>
              </w:rPr>
              <w:fldChar w:fldCharType="separate"/>
            </w:r>
            <w:r w:rsidR="00D0686E">
              <w:rPr>
                <w:noProof/>
                <w:webHidden/>
              </w:rPr>
              <w:t>28</w:t>
            </w:r>
            <w:r w:rsidR="00D0686E">
              <w:rPr>
                <w:noProof/>
                <w:webHidden/>
              </w:rPr>
              <w:fldChar w:fldCharType="end"/>
            </w:r>
          </w:hyperlink>
        </w:p>
        <w:p w14:paraId="14F72720" w14:textId="1187F452" w:rsidR="003A7F6C" w:rsidRPr="00F35404" w:rsidRDefault="00C525A2" w:rsidP="00B811C6">
          <w:pPr>
            <w:pStyle w:val="TOC2"/>
          </w:pPr>
          <w:r w:rsidRPr="00F35404">
            <w:fldChar w:fldCharType="end"/>
          </w:r>
        </w:p>
      </w:sdtContent>
    </w:sdt>
    <w:bookmarkStart w:id="2" w:name="_Toc314842482" w:displacedByCustomXml="prev"/>
    <w:p w14:paraId="68A4A467" w14:textId="77777777" w:rsidR="00FD119B" w:rsidRPr="00F35404" w:rsidRDefault="00FD119B">
      <w:pPr>
        <w:spacing w:before="0" w:after="200" w:line="0" w:lineRule="auto"/>
      </w:pPr>
      <w:r w:rsidRPr="00F35404">
        <w:br w:type="page"/>
      </w:r>
    </w:p>
    <w:p w14:paraId="0F4402F3" w14:textId="77777777" w:rsidR="00FD119B" w:rsidRPr="00F35404" w:rsidRDefault="00324E45" w:rsidP="004F0C4A">
      <w:pPr>
        <w:pStyle w:val="Heading2"/>
      </w:pPr>
      <w:bookmarkStart w:id="3" w:name="_Toc351716269"/>
      <w:bookmarkStart w:id="4" w:name="_Toc351718881"/>
      <w:bookmarkStart w:id="5" w:name="_Toc355338616"/>
      <w:bookmarkStart w:id="6" w:name="_Toc356306144"/>
      <w:bookmarkStart w:id="7" w:name="_Toc94253938"/>
      <w:r w:rsidRPr="00F35404">
        <w:lastRenderedPageBreak/>
        <w:t>List of</w:t>
      </w:r>
      <w:r w:rsidR="00FD119B" w:rsidRPr="00F35404">
        <w:t xml:space="preserve"> abbreviations</w:t>
      </w:r>
      <w:bookmarkEnd w:id="3"/>
      <w:bookmarkEnd w:id="4"/>
      <w:bookmarkEnd w:id="5"/>
      <w:bookmarkEnd w:id="6"/>
      <w:bookmarkEnd w:id="7"/>
    </w:p>
    <w:tbl>
      <w:tblPr>
        <w:tblStyle w:val="TableTGAblue"/>
        <w:tblW w:w="0" w:type="auto"/>
        <w:tblLook w:val="04A0" w:firstRow="1" w:lastRow="0" w:firstColumn="1" w:lastColumn="0" w:noHBand="0" w:noVBand="1"/>
      </w:tblPr>
      <w:tblGrid>
        <w:gridCol w:w="1799"/>
        <w:gridCol w:w="6695"/>
      </w:tblGrid>
      <w:tr w:rsidR="00FD119B" w:rsidRPr="00F35404" w14:paraId="6408AA42" w14:textId="77777777" w:rsidTr="002F7761">
        <w:trPr>
          <w:cnfStyle w:val="100000000000" w:firstRow="1" w:lastRow="0" w:firstColumn="0" w:lastColumn="0" w:oddVBand="0" w:evenVBand="0" w:oddHBand="0" w:evenHBand="0" w:firstRowFirstColumn="0" w:firstRowLastColumn="0" w:lastRowFirstColumn="0" w:lastRowLastColumn="0"/>
        </w:trPr>
        <w:tc>
          <w:tcPr>
            <w:tcW w:w="1799" w:type="dxa"/>
            <w:tcBorders>
              <w:top w:val="single" w:sz="4" w:space="0" w:color="auto"/>
              <w:left w:val="single" w:sz="4" w:space="0" w:color="auto"/>
              <w:bottom w:val="single" w:sz="4" w:space="0" w:color="auto"/>
              <w:right w:val="single" w:sz="4" w:space="0" w:color="auto"/>
            </w:tcBorders>
          </w:tcPr>
          <w:p w14:paraId="770F0EB2" w14:textId="77777777" w:rsidR="00FD119B" w:rsidRPr="00F35404" w:rsidRDefault="00FD119B" w:rsidP="00737AC8">
            <w:pPr>
              <w:keepNext w:val="0"/>
              <w:ind w:left="144" w:right="0"/>
              <w:rPr>
                <w:szCs w:val="22"/>
                <w:lang w:eastAsia="en-US"/>
              </w:rPr>
            </w:pPr>
            <w:r w:rsidRPr="00F35404">
              <w:rPr>
                <w:szCs w:val="22"/>
                <w:lang w:eastAsia="en-US"/>
              </w:rPr>
              <w:t>Abbreviation</w:t>
            </w:r>
          </w:p>
        </w:tc>
        <w:tc>
          <w:tcPr>
            <w:tcW w:w="6695" w:type="dxa"/>
            <w:tcBorders>
              <w:top w:val="single" w:sz="4" w:space="0" w:color="auto"/>
              <w:left w:val="single" w:sz="4" w:space="0" w:color="auto"/>
              <w:bottom w:val="single" w:sz="4" w:space="0" w:color="auto"/>
              <w:right w:val="single" w:sz="4" w:space="0" w:color="auto"/>
            </w:tcBorders>
          </w:tcPr>
          <w:p w14:paraId="17B3B3E2" w14:textId="77777777" w:rsidR="00FD119B" w:rsidRPr="00F35404" w:rsidRDefault="00FD119B" w:rsidP="00737AC8">
            <w:pPr>
              <w:keepNext w:val="0"/>
              <w:ind w:left="144" w:right="0"/>
              <w:rPr>
                <w:szCs w:val="22"/>
                <w:lang w:eastAsia="en-US"/>
              </w:rPr>
            </w:pPr>
            <w:r w:rsidRPr="00F35404">
              <w:rPr>
                <w:szCs w:val="22"/>
                <w:lang w:eastAsia="en-US"/>
              </w:rPr>
              <w:t>Meaning</w:t>
            </w:r>
          </w:p>
        </w:tc>
      </w:tr>
      <w:tr w:rsidR="00460036" w:rsidRPr="00F35404" w14:paraId="3DE1C658" w14:textId="77777777" w:rsidTr="002F7761">
        <w:tc>
          <w:tcPr>
            <w:tcW w:w="1799" w:type="dxa"/>
            <w:tcBorders>
              <w:top w:val="single" w:sz="4" w:space="0" w:color="auto"/>
            </w:tcBorders>
          </w:tcPr>
          <w:p w14:paraId="3B7898EB" w14:textId="77777777" w:rsidR="00460036" w:rsidRPr="00F35404" w:rsidRDefault="00460036" w:rsidP="00737AC8">
            <w:pPr>
              <w:ind w:left="144" w:right="0"/>
            </w:pPr>
            <w:r w:rsidRPr="00F35404">
              <w:t>ACM</w:t>
            </w:r>
          </w:p>
        </w:tc>
        <w:tc>
          <w:tcPr>
            <w:tcW w:w="6695" w:type="dxa"/>
            <w:tcBorders>
              <w:top w:val="single" w:sz="4" w:space="0" w:color="auto"/>
            </w:tcBorders>
          </w:tcPr>
          <w:p w14:paraId="1C8F3B47" w14:textId="77777777" w:rsidR="00460036" w:rsidRPr="00F35404" w:rsidRDefault="00460036" w:rsidP="00737AC8">
            <w:pPr>
              <w:ind w:left="144" w:right="0"/>
            </w:pPr>
            <w:r w:rsidRPr="00F35404">
              <w:t>Advisory Committee on Medicines</w:t>
            </w:r>
          </w:p>
        </w:tc>
      </w:tr>
      <w:tr w:rsidR="002F7761" w:rsidRPr="00F35404" w14:paraId="20E53524" w14:textId="77777777" w:rsidTr="002F7761">
        <w:tc>
          <w:tcPr>
            <w:tcW w:w="1799" w:type="dxa"/>
          </w:tcPr>
          <w:p w14:paraId="662DC766" w14:textId="7D530E65" w:rsidR="002F7761" w:rsidRPr="00F35404" w:rsidRDefault="002F7761" w:rsidP="00737AC8">
            <w:pPr>
              <w:ind w:left="144" w:right="0"/>
              <w:rPr>
                <w:color w:val="auto"/>
                <w:szCs w:val="22"/>
                <w:lang w:eastAsia="en-US"/>
              </w:rPr>
            </w:pPr>
            <w:r w:rsidRPr="00F35404">
              <w:t>ADA</w:t>
            </w:r>
          </w:p>
        </w:tc>
        <w:tc>
          <w:tcPr>
            <w:tcW w:w="6695" w:type="dxa"/>
          </w:tcPr>
          <w:p w14:paraId="054771CB" w14:textId="17CC8147" w:rsidR="002F7761" w:rsidRPr="00F35404" w:rsidRDefault="002F7761" w:rsidP="00737AC8">
            <w:pPr>
              <w:ind w:left="144" w:right="0"/>
              <w:rPr>
                <w:color w:val="auto"/>
                <w:szCs w:val="22"/>
                <w:lang w:eastAsia="en-US"/>
              </w:rPr>
            </w:pPr>
            <w:r w:rsidRPr="00F35404">
              <w:t>Anti</w:t>
            </w:r>
            <w:r w:rsidR="00E26BE3" w:rsidRPr="00F35404">
              <w:t>-</w:t>
            </w:r>
            <w:r w:rsidRPr="00F35404">
              <w:t>drug antibody</w:t>
            </w:r>
          </w:p>
        </w:tc>
      </w:tr>
      <w:tr w:rsidR="002F7761" w:rsidRPr="00F35404" w14:paraId="2CA7E8D8" w14:textId="77777777" w:rsidTr="002F7761">
        <w:tc>
          <w:tcPr>
            <w:tcW w:w="1799" w:type="dxa"/>
          </w:tcPr>
          <w:p w14:paraId="143468FE" w14:textId="42E274D4" w:rsidR="002F7761" w:rsidRPr="00F35404" w:rsidRDefault="006A1AFA" w:rsidP="00737AC8">
            <w:pPr>
              <w:ind w:left="144" w:right="0"/>
              <w:rPr>
                <w:color w:val="auto"/>
                <w:szCs w:val="22"/>
                <w:lang w:eastAsia="en-US"/>
              </w:rPr>
            </w:pPr>
            <w:r w:rsidRPr="00F35404">
              <w:t>ARGPM</w:t>
            </w:r>
          </w:p>
        </w:tc>
        <w:tc>
          <w:tcPr>
            <w:tcW w:w="6695" w:type="dxa"/>
          </w:tcPr>
          <w:p w14:paraId="39AC939E" w14:textId="28D0A160" w:rsidR="002F7761" w:rsidRPr="00F35404" w:rsidRDefault="006A1AFA" w:rsidP="00737AC8">
            <w:pPr>
              <w:ind w:left="144" w:right="0"/>
              <w:rPr>
                <w:color w:val="auto"/>
                <w:szCs w:val="22"/>
                <w:lang w:eastAsia="en-US"/>
              </w:rPr>
            </w:pPr>
            <w:r w:rsidRPr="00F35404">
              <w:t>Australian Regulatory Guidelines for Prescription Medicines</w:t>
            </w:r>
          </w:p>
        </w:tc>
      </w:tr>
      <w:tr w:rsidR="002F7761" w:rsidRPr="00F35404" w14:paraId="1A10306F" w14:textId="77777777" w:rsidTr="002F7761">
        <w:tc>
          <w:tcPr>
            <w:tcW w:w="1799" w:type="dxa"/>
          </w:tcPr>
          <w:p w14:paraId="551AD98F" w14:textId="5313A65A" w:rsidR="002F7761" w:rsidRPr="00F35404" w:rsidRDefault="002F7761" w:rsidP="00737AC8">
            <w:pPr>
              <w:ind w:left="144"/>
            </w:pPr>
            <w:r w:rsidRPr="00F35404">
              <w:t>ARTG</w:t>
            </w:r>
          </w:p>
        </w:tc>
        <w:tc>
          <w:tcPr>
            <w:tcW w:w="6695" w:type="dxa"/>
          </w:tcPr>
          <w:p w14:paraId="02192795" w14:textId="33E1BB63" w:rsidR="002F7761" w:rsidRPr="00F35404" w:rsidRDefault="002F7761" w:rsidP="00737AC8">
            <w:pPr>
              <w:ind w:left="144"/>
            </w:pPr>
            <w:r w:rsidRPr="00F35404">
              <w:t>Australian Register of Therapeutic Goods</w:t>
            </w:r>
          </w:p>
        </w:tc>
      </w:tr>
      <w:tr w:rsidR="002F7761" w:rsidRPr="00F35404" w14:paraId="13539569" w14:textId="77777777" w:rsidTr="002F7761">
        <w:tc>
          <w:tcPr>
            <w:tcW w:w="1799" w:type="dxa"/>
          </w:tcPr>
          <w:p w14:paraId="5E87662A" w14:textId="0897AB60" w:rsidR="002F7761" w:rsidRPr="00F35404" w:rsidRDefault="002F7761" w:rsidP="00737AC8">
            <w:pPr>
              <w:ind w:left="144"/>
            </w:pPr>
            <w:bookmarkStart w:id="8" w:name="_Hlk90375661"/>
            <w:r w:rsidRPr="00F35404">
              <w:t>AUC</w:t>
            </w:r>
          </w:p>
        </w:tc>
        <w:tc>
          <w:tcPr>
            <w:tcW w:w="6695" w:type="dxa"/>
          </w:tcPr>
          <w:p w14:paraId="0B6741CA" w14:textId="15D45976" w:rsidR="002F7761" w:rsidRPr="00F35404" w:rsidRDefault="00D37D94" w:rsidP="00737AC8">
            <w:pPr>
              <w:ind w:left="144"/>
            </w:pPr>
            <w:r w:rsidRPr="00F35404">
              <w:t>Area under the plasma concentration time curve</w:t>
            </w:r>
          </w:p>
        </w:tc>
      </w:tr>
      <w:bookmarkEnd w:id="8"/>
      <w:tr w:rsidR="002F7761" w:rsidRPr="00F35404" w14:paraId="525480FE" w14:textId="77777777" w:rsidTr="002F7761">
        <w:tc>
          <w:tcPr>
            <w:tcW w:w="1799" w:type="dxa"/>
          </w:tcPr>
          <w:p w14:paraId="04CA3D56" w14:textId="0EE56FE3" w:rsidR="002F7761" w:rsidRPr="00F35404" w:rsidRDefault="002F7761" w:rsidP="005843A8">
            <w:pPr>
              <w:ind w:left="144"/>
            </w:pPr>
            <w:r w:rsidRPr="00F35404">
              <w:t>Bmab-100</w:t>
            </w:r>
          </w:p>
        </w:tc>
        <w:tc>
          <w:tcPr>
            <w:tcW w:w="6695" w:type="dxa"/>
          </w:tcPr>
          <w:p w14:paraId="5D9FB0F5" w14:textId="0C6A4DEE" w:rsidR="002F7761" w:rsidRPr="00F35404" w:rsidRDefault="000E77B0" w:rsidP="005843A8">
            <w:pPr>
              <w:ind w:left="144"/>
            </w:pPr>
            <w:r>
              <w:t>P</w:t>
            </w:r>
            <w:r w:rsidR="00ED6404" w:rsidRPr="00F35404">
              <w:t xml:space="preserve">roduct code </w:t>
            </w:r>
            <w:r>
              <w:t>for an</w:t>
            </w:r>
            <w:r w:rsidR="00ED6404" w:rsidRPr="00F35404">
              <w:t xml:space="preserve"> earlier</w:t>
            </w:r>
            <w:r>
              <w:t xml:space="preserve"> and alternative</w:t>
            </w:r>
            <w:r w:rsidR="00ED6404" w:rsidRPr="00F35404">
              <w:t xml:space="preserve"> formulation </w:t>
            </w:r>
            <w:r w:rsidR="002F7761" w:rsidRPr="00F35404">
              <w:t xml:space="preserve">of </w:t>
            </w:r>
            <w:r>
              <w:t xml:space="preserve">a related </w:t>
            </w:r>
            <w:r w:rsidR="002F7761" w:rsidRPr="00F35404">
              <w:t>bevacizumab</w:t>
            </w:r>
            <w:r>
              <w:t xml:space="preserve"> biosimilar</w:t>
            </w:r>
          </w:p>
        </w:tc>
      </w:tr>
      <w:tr w:rsidR="002F7761" w:rsidRPr="00F35404" w14:paraId="48C0C0F8" w14:textId="77777777" w:rsidTr="002F7761">
        <w:tc>
          <w:tcPr>
            <w:tcW w:w="1799" w:type="dxa"/>
          </w:tcPr>
          <w:p w14:paraId="1FD262CA" w14:textId="25B7D7DE" w:rsidR="002F7761" w:rsidRPr="00F35404" w:rsidRDefault="002F7761" w:rsidP="00737AC8">
            <w:pPr>
              <w:ind w:left="144"/>
            </w:pPr>
            <w:r w:rsidRPr="00F35404">
              <w:t>CI</w:t>
            </w:r>
          </w:p>
        </w:tc>
        <w:tc>
          <w:tcPr>
            <w:tcW w:w="6695" w:type="dxa"/>
          </w:tcPr>
          <w:p w14:paraId="65249DA5" w14:textId="18E11719" w:rsidR="002F7761" w:rsidRPr="00F35404" w:rsidRDefault="002F7761" w:rsidP="00737AC8">
            <w:pPr>
              <w:ind w:left="144"/>
            </w:pPr>
            <w:r w:rsidRPr="00F35404">
              <w:t>Confidence interval</w:t>
            </w:r>
          </w:p>
        </w:tc>
      </w:tr>
      <w:tr w:rsidR="002F7761" w:rsidRPr="00F35404" w14:paraId="4CB203AC" w14:textId="77777777" w:rsidTr="002F7761">
        <w:tc>
          <w:tcPr>
            <w:tcW w:w="1799" w:type="dxa"/>
          </w:tcPr>
          <w:p w14:paraId="1BB035F9" w14:textId="6443AE8E" w:rsidR="002F7761" w:rsidRPr="00F35404" w:rsidRDefault="002F7761" w:rsidP="00737AC8">
            <w:pPr>
              <w:ind w:left="144"/>
            </w:pPr>
            <w:proofErr w:type="spellStart"/>
            <w:r w:rsidRPr="00F35404">
              <w:t>C</w:t>
            </w:r>
            <w:r w:rsidRPr="00F35404">
              <w:rPr>
                <w:vertAlign w:val="subscript"/>
              </w:rPr>
              <w:t>max</w:t>
            </w:r>
            <w:proofErr w:type="spellEnd"/>
          </w:p>
        </w:tc>
        <w:tc>
          <w:tcPr>
            <w:tcW w:w="6695" w:type="dxa"/>
          </w:tcPr>
          <w:p w14:paraId="52136261" w14:textId="0423F8F4" w:rsidR="002F7761" w:rsidRPr="00F35404" w:rsidRDefault="00C94F88" w:rsidP="00737AC8">
            <w:pPr>
              <w:ind w:left="144"/>
            </w:pPr>
            <w:r w:rsidRPr="00F35404">
              <w:t>Maximum plasma concentration</w:t>
            </w:r>
          </w:p>
        </w:tc>
      </w:tr>
      <w:tr w:rsidR="00C94F88" w:rsidRPr="00F35404" w14:paraId="4A7C113C" w14:textId="77777777" w:rsidTr="002F7761">
        <w:tc>
          <w:tcPr>
            <w:tcW w:w="1799" w:type="dxa"/>
          </w:tcPr>
          <w:p w14:paraId="686DCABA" w14:textId="400D84AF" w:rsidR="00C94F88" w:rsidRPr="00F35404" w:rsidRDefault="00C94F88" w:rsidP="00737AC8">
            <w:pPr>
              <w:ind w:left="144"/>
            </w:pPr>
            <w:proofErr w:type="spellStart"/>
            <w:r w:rsidRPr="00F35404">
              <w:t>C</w:t>
            </w:r>
            <w:r w:rsidRPr="00F35404">
              <w:rPr>
                <w:vertAlign w:val="subscript"/>
              </w:rPr>
              <w:t>min</w:t>
            </w:r>
            <w:proofErr w:type="spellEnd"/>
          </w:p>
        </w:tc>
        <w:tc>
          <w:tcPr>
            <w:tcW w:w="6695" w:type="dxa"/>
          </w:tcPr>
          <w:p w14:paraId="570734A9" w14:textId="1D1FFE86" w:rsidR="00C94F88" w:rsidRPr="00F35404" w:rsidRDefault="00C94F88" w:rsidP="00737AC8">
            <w:pPr>
              <w:ind w:left="144"/>
            </w:pPr>
            <w:r w:rsidRPr="00F35404">
              <w:t>Minimum plasma concentration</w:t>
            </w:r>
          </w:p>
        </w:tc>
      </w:tr>
      <w:tr w:rsidR="006A1AFA" w:rsidRPr="00F35404" w14:paraId="60CE1CBE" w14:textId="77777777" w:rsidTr="002F7761">
        <w:tc>
          <w:tcPr>
            <w:tcW w:w="1799" w:type="dxa"/>
          </w:tcPr>
          <w:p w14:paraId="550393F4" w14:textId="72CE7381" w:rsidR="006A1AFA" w:rsidRPr="00F35404" w:rsidRDefault="006A1AFA" w:rsidP="00737AC8">
            <w:pPr>
              <w:ind w:left="144"/>
            </w:pPr>
            <w:r w:rsidRPr="00F35404">
              <w:t>CPD</w:t>
            </w:r>
          </w:p>
        </w:tc>
        <w:tc>
          <w:tcPr>
            <w:tcW w:w="6695" w:type="dxa"/>
          </w:tcPr>
          <w:p w14:paraId="054FC891" w14:textId="226159B2" w:rsidR="006A1AFA" w:rsidRPr="00F35404" w:rsidRDefault="006A1AFA" w:rsidP="00737AC8">
            <w:pPr>
              <w:ind w:left="144"/>
            </w:pPr>
            <w:r w:rsidRPr="00F35404">
              <w:t>Certified Product Details</w:t>
            </w:r>
          </w:p>
        </w:tc>
      </w:tr>
      <w:tr w:rsidR="002F7761" w:rsidRPr="00F35404" w14:paraId="1D068D48" w14:textId="77777777" w:rsidTr="002F7761">
        <w:tc>
          <w:tcPr>
            <w:tcW w:w="1799" w:type="dxa"/>
          </w:tcPr>
          <w:p w14:paraId="0EBCF04A" w14:textId="1F66CC37" w:rsidR="002F7761" w:rsidRPr="00F35404" w:rsidRDefault="002F7761" w:rsidP="00737AC8">
            <w:pPr>
              <w:ind w:left="144"/>
            </w:pPr>
            <w:r w:rsidRPr="00F35404">
              <w:t>DCR</w:t>
            </w:r>
          </w:p>
        </w:tc>
        <w:tc>
          <w:tcPr>
            <w:tcW w:w="6695" w:type="dxa"/>
          </w:tcPr>
          <w:p w14:paraId="015B0CCC" w14:textId="45B51CC7" w:rsidR="002F7761" w:rsidRPr="00F35404" w:rsidRDefault="002F7761" w:rsidP="00737AC8">
            <w:pPr>
              <w:ind w:left="144"/>
            </w:pPr>
            <w:bookmarkStart w:id="9" w:name="_Hlk90381205"/>
            <w:r w:rsidRPr="00F35404">
              <w:t>Disease control rate</w:t>
            </w:r>
            <w:bookmarkEnd w:id="9"/>
          </w:p>
        </w:tc>
      </w:tr>
      <w:tr w:rsidR="002F7761" w:rsidRPr="00F35404" w14:paraId="4DB7F0CA" w14:textId="77777777" w:rsidTr="002F7761">
        <w:tc>
          <w:tcPr>
            <w:tcW w:w="1799" w:type="dxa"/>
          </w:tcPr>
          <w:p w14:paraId="1B20684A" w14:textId="249D53F2" w:rsidR="002F7761" w:rsidRPr="00F35404" w:rsidRDefault="002F7761" w:rsidP="00737AC8">
            <w:pPr>
              <w:ind w:left="144"/>
            </w:pPr>
            <w:r w:rsidRPr="00F35404">
              <w:t>DOR</w:t>
            </w:r>
          </w:p>
        </w:tc>
        <w:tc>
          <w:tcPr>
            <w:tcW w:w="6695" w:type="dxa"/>
          </w:tcPr>
          <w:p w14:paraId="454D9E1F" w14:textId="42AA273B" w:rsidR="002F7761" w:rsidRPr="00F35404" w:rsidRDefault="002F7761" w:rsidP="00737AC8">
            <w:pPr>
              <w:ind w:left="144"/>
            </w:pPr>
            <w:r w:rsidRPr="00F35404">
              <w:t>Duration of response</w:t>
            </w:r>
          </w:p>
        </w:tc>
      </w:tr>
      <w:tr w:rsidR="00AD7568" w:rsidRPr="00F35404" w14:paraId="3C88B75A" w14:textId="77777777" w:rsidTr="002F7761">
        <w:tc>
          <w:tcPr>
            <w:tcW w:w="1799" w:type="dxa"/>
          </w:tcPr>
          <w:p w14:paraId="2A1826D0" w14:textId="48E63635" w:rsidR="00AD7568" w:rsidRPr="00F35404" w:rsidRDefault="00AD7568" w:rsidP="00737AC8">
            <w:pPr>
              <w:ind w:left="144"/>
            </w:pPr>
            <w:r w:rsidRPr="00F35404">
              <w:t>ECOG</w:t>
            </w:r>
          </w:p>
        </w:tc>
        <w:tc>
          <w:tcPr>
            <w:tcW w:w="6695" w:type="dxa"/>
          </w:tcPr>
          <w:p w14:paraId="7B95CA8F" w14:textId="5075612B" w:rsidR="00AD7568" w:rsidRPr="00F35404" w:rsidRDefault="00AD7568" w:rsidP="00737AC8">
            <w:pPr>
              <w:ind w:left="144"/>
            </w:pPr>
            <w:r w:rsidRPr="00F35404">
              <w:t>Eastern Cooperative Oncology Group</w:t>
            </w:r>
          </w:p>
        </w:tc>
      </w:tr>
      <w:tr w:rsidR="006A3D58" w:rsidRPr="00F35404" w14:paraId="4CD2E498" w14:textId="77777777" w:rsidTr="002F7761">
        <w:tc>
          <w:tcPr>
            <w:tcW w:w="1799" w:type="dxa"/>
          </w:tcPr>
          <w:p w14:paraId="7A521106" w14:textId="10C4B165" w:rsidR="006A3D58" w:rsidRPr="00F35404" w:rsidRDefault="006A3D58" w:rsidP="00737AC8">
            <w:pPr>
              <w:ind w:left="144"/>
            </w:pPr>
            <w:r w:rsidRPr="00F35404">
              <w:t>EGFR</w:t>
            </w:r>
          </w:p>
        </w:tc>
        <w:tc>
          <w:tcPr>
            <w:tcW w:w="6695" w:type="dxa"/>
          </w:tcPr>
          <w:p w14:paraId="396402F9" w14:textId="5CBC6019" w:rsidR="006A3D58" w:rsidRPr="00F35404" w:rsidRDefault="006A3D58" w:rsidP="00737AC8">
            <w:pPr>
              <w:ind w:left="144"/>
            </w:pPr>
            <w:r w:rsidRPr="00F35404">
              <w:t>Epidermal growth factor receptor</w:t>
            </w:r>
          </w:p>
        </w:tc>
      </w:tr>
      <w:tr w:rsidR="002F7761" w:rsidRPr="00F35404" w14:paraId="6E465E8A" w14:textId="77777777" w:rsidTr="002F7761">
        <w:tc>
          <w:tcPr>
            <w:tcW w:w="1799" w:type="dxa"/>
          </w:tcPr>
          <w:p w14:paraId="4CD6EB7B" w14:textId="1CA5D23D" w:rsidR="002F7761" w:rsidRPr="00F35404" w:rsidRDefault="002F7761" w:rsidP="00737AC8">
            <w:pPr>
              <w:ind w:left="144"/>
            </w:pPr>
            <w:r w:rsidRPr="00F35404">
              <w:t>EMA</w:t>
            </w:r>
          </w:p>
        </w:tc>
        <w:tc>
          <w:tcPr>
            <w:tcW w:w="6695" w:type="dxa"/>
          </w:tcPr>
          <w:p w14:paraId="6C149FE1" w14:textId="02995F98" w:rsidR="002F7761" w:rsidRPr="00F35404" w:rsidRDefault="007504A6" w:rsidP="00737AC8">
            <w:pPr>
              <w:ind w:left="144"/>
            </w:pPr>
            <w:r w:rsidRPr="00F35404">
              <w:t>European Medicines Agency (European Union)</w:t>
            </w:r>
          </w:p>
        </w:tc>
      </w:tr>
      <w:tr w:rsidR="002F7761" w:rsidRPr="00F35404" w14:paraId="00BAFB04" w14:textId="77777777" w:rsidTr="002F7761">
        <w:tc>
          <w:tcPr>
            <w:tcW w:w="1799" w:type="dxa"/>
          </w:tcPr>
          <w:p w14:paraId="27C6771C" w14:textId="203C88BE" w:rsidR="002F7761" w:rsidRPr="00F35404" w:rsidRDefault="002F7761" w:rsidP="00737AC8">
            <w:pPr>
              <w:ind w:left="144"/>
            </w:pPr>
            <w:r w:rsidRPr="00F35404">
              <w:t>EU</w:t>
            </w:r>
          </w:p>
        </w:tc>
        <w:tc>
          <w:tcPr>
            <w:tcW w:w="6695" w:type="dxa"/>
          </w:tcPr>
          <w:p w14:paraId="03D4407F" w14:textId="4D56B505" w:rsidR="002F7761" w:rsidRPr="00F35404" w:rsidRDefault="002F7761" w:rsidP="00737AC8">
            <w:pPr>
              <w:ind w:left="144"/>
            </w:pPr>
            <w:r w:rsidRPr="00F35404">
              <w:t>European Union</w:t>
            </w:r>
          </w:p>
        </w:tc>
      </w:tr>
      <w:tr w:rsidR="002F7761" w:rsidRPr="00F35404" w14:paraId="6FB9D7F0" w14:textId="77777777" w:rsidTr="002F7761">
        <w:tc>
          <w:tcPr>
            <w:tcW w:w="1799" w:type="dxa"/>
          </w:tcPr>
          <w:p w14:paraId="18F92863" w14:textId="479DFE3C" w:rsidR="002F7761" w:rsidRPr="00F35404" w:rsidRDefault="002F7761" w:rsidP="00737AC8">
            <w:pPr>
              <w:ind w:left="144"/>
            </w:pPr>
            <w:r w:rsidRPr="00F35404">
              <w:t>FDA</w:t>
            </w:r>
          </w:p>
        </w:tc>
        <w:tc>
          <w:tcPr>
            <w:tcW w:w="6695" w:type="dxa"/>
          </w:tcPr>
          <w:p w14:paraId="298F0B86" w14:textId="4282CF6A" w:rsidR="002F7761" w:rsidRPr="00F35404" w:rsidRDefault="00E26BE3" w:rsidP="00737AC8">
            <w:pPr>
              <w:ind w:left="144"/>
            </w:pPr>
            <w:r w:rsidRPr="00F35404">
              <w:t>Food and Drug Administration (United States of America)</w:t>
            </w:r>
          </w:p>
        </w:tc>
      </w:tr>
      <w:tr w:rsidR="00737AC8" w:rsidRPr="00F35404" w14:paraId="7DDB3362" w14:textId="77777777" w:rsidTr="002F7761">
        <w:tc>
          <w:tcPr>
            <w:tcW w:w="1799" w:type="dxa"/>
          </w:tcPr>
          <w:p w14:paraId="72739FA8" w14:textId="5D13CA6A" w:rsidR="00737AC8" w:rsidRPr="00F35404" w:rsidRDefault="00737AC8" w:rsidP="00737AC8">
            <w:pPr>
              <w:ind w:left="144"/>
            </w:pPr>
            <w:r w:rsidRPr="00737AC8">
              <w:t>IgG1</w:t>
            </w:r>
          </w:p>
        </w:tc>
        <w:tc>
          <w:tcPr>
            <w:tcW w:w="6695" w:type="dxa"/>
          </w:tcPr>
          <w:p w14:paraId="58C0F747" w14:textId="22851576" w:rsidR="00737AC8" w:rsidRPr="00F35404" w:rsidRDefault="00737AC8" w:rsidP="00737AC8">
            <w:pPr>
              <w:ind w:left="144"/>
            </w:pPr>
            <w:r>
              <w:t>I</w:t>
            </w:r>
            <w:r w:rsidRPr="00737AC8">
              <w:t>mmunoglobulin G1</w:t>
            </w:r>
          </w:p>
        </w:tc>
      </w:tr>
      <w:tr w:rsidR="00395E83" w:rsidRPr="00F35404" w14:paraId="533D71E6" w14:textId="77777777" w:rsidTr="002F7761">
        <w:tc>
          <w:tcPr>
            <w:tcW w:w="1799" w:type="dxa"/>
          </w:tcPr>
          <w:p w14:paraId="4E18D512" w14:textId="36434D84" w:rsidR="00395E83" w:rsidRPr="00F35404" w:rsidRDefault="00395E83" w:rsidP="00737AC8">
            <w:pPr>
              <w:ind w:left="144"/>
            </w:pPr>
            <w:r w:rsidRPr="00F35404">
              <w:t>MedDRA</w:t>
            </w:r>
          </w:p>
        </w:tc>
        <w:tc>
          <w:tcPr>
            <w:tcW w:w="6695" w:type="dxa"/>
          </w:tcPr>
          <w:p w14:paraId="29B30116" w14:textId="0E6A9405" w:rsidR="00395E83" w:rsidRPr="00F35404" w:rsidRDefault="00395E83" w:rsidP="00737AC8">
            <w:pPr>
              <w:ind w:left="144"/>
            </w:pPr>
            <w:r w:rsidRPr="00F35404">
              <w:t>Medical Dictionary for Regulatory Activities</w:t>
            </w:r>
          </w:p>
        </w:tc>
      </w:tr>
      <w:tr w:rsidR="002F7761" w:rsidRPr="00F35404" w14:paraId="259AC54B" w14:textId="77777777" w:rsidTr="002F7761">
        <w:tc>
          <w:tcPr>
            <w:tcW w:w="1799" w:type="dxa"/>
          </w:tcPr>
          <w:p w14:paraId="19D91495" w14:textId="3D8F8BC3" w:rsidR="002F7761" w:rsidRPr="00F35404" w:rsidRDefault="002F7761" w:rsidP="00B6743D">
            <w:pPr>
              <w:ind w:left="144"/>
            </w:pPr>
            <w:r w:rsidRPr="00F35404">
              <w:t>MYL-1402O</w:t>
            </w:r>
          </w:p>
        </w:tc>
        <w:tc>
          <w:tcPr>
            <w:tcW w:w="6695" w:type="dxa"/>
          </w:tcPr>
          <w:p w14:paraId="37F74EE7" w14:textId="27D8080F" w:rsidR="002F7761" w:rsidRPr="00F35404" w:rsidRDefault="000E77B0" w:rsidP="00B6743D">
            <w:pPr>
              <w:ind w:left="144"/>
            </w:pPr>
            <w:r>
              <w:t>P</w:t>
            </w:r>
            <w:r w:rsidR="005A0C7A" w:rsidRPr="00F35404">
              <w:t xml:space="preserve">roduct code for </w:t>
            </w:r>
            <w:r>
              <w:t xml:space="preserve">Abevmy </w:t>
            </w:r>
            <w:r w:rsidR="005A0C7A" w:rsidRPr="00F35404">
              <w:t>formulation intended for marketing in Australia</w:t>
            </w:r>
          </w:p>
        </w:tc>
      </w:tr>
      <w:tr w:rsidR="002F7761" w:rsidRPr="00F35404" w14:paraId="063977E2" w14:textId="77777777" w:rsidTr="002F7761">
        <w:tc>
          <w:tcPr>
            <w:tcW w:w="1799" w:type="dxa"/>
          </w:tcPr>
          <w:p w14:paraId="037F612F" w14:textId="6E1EF29E" w:rsidR="002F7761" w:rsidRPr="00F35404" w:rsidRDefault="002F7761" w:rsidP="00737AC8">
            <w:pPr>
              <w:ind w:left="144"/>
            </w:pPr>
            <w:r w:rsidRPr="00F35404">
              <w:t>N</w:t>
            </w:r>
            <w:r w:rsidR="002A760B" w:rsidRPr="00F35404">
              <w:t>a</w:t>
            </w:r>
            <w:r w:rsidRPr="00F35404">
              <w:t>b</w:t>
            </w:r>
          </w:p>
        </w:tc>
        <w:tc>
          <w:tcPr>
            <w:tcW w:w="6695" w:type="dxa"/>
          </w:tcPr>
          <w:p w14:paraId="48BFEED0" w14:textId="7EFD0AE1" w:rsidR="002F7761" w:rsidRPr="00F35404" w:rsidRDefault="002F7761" w:rsidP="00737AC8">
            <w:pPr>
              <w:ind w:left="144"/>
            </w:pPr>
            <w:r w:rsidRPr="00F35404">
              <w:t>Neutralising antibody</w:t>
            </w:r>
          </w:p>
        </w:tc>
      </w:tr>
      <w:tr w:rsidR="002F7761" w:rsidRPr="00F35404" w14:paraId="56DE630C" w14:textId="77777777" w:rsidTr="002F7761">
        <w:tc>
          <w:tcPr>
            <w:tcW w:w="1799" w:type="dxa"/>
          </w:tcPr>
          <w:p w14:paraId="1663EBAB" w14:textId="2C8A96C2" w:rsidR="002F7761" w:rsidRPr="00F35404" w:rsidRDefault="002F7761" w:rsidP="00737AC8">
            <w:pPr>
              <w:ind w:left="144"/>
            </w:pPr>
            <w:r w:rsidRPr="00F35404">
              <w:t>NSCLC</w:t>
            </w:r>
          </w:p>
        </w:tc>
        <w:tc>
          <w:tcPr>
            <w:tcW w:w="6695" w:type="dxa"/>
          </w:tcPr>
          <w:p w14:paraId="1254B632" w14:textId="5BC64A52" w:rsidR="002F7761" w:rsidRPr="00F35404" w:rsidRDefault="002F7761" w:rsidP="00737AC8">
            <w:pPr>
              <w:ind w:left="144"/>
            </w:pPr>
            <w:bookmarkStart w:id="10" w:name="_Hlk90375008"/>
            <w:r w:rsidRPr="00F35404">
              <w:t>Non-small cell lung cancer</w:t>
            </w:r>
            <w:bookmarkEnd w:id="10"/>
          </w:p>
        </w:tc>
      </w:tr>
      <w:tr w:rsidR="002F7761" w:rsidRPr="00F35404" w14:paraId="073A5F81" w14:textId="77777777" w:rsidTr="002F7761">
        <w:tc>
          <w:tcPr>
            <w:tcW w:w="1799" w:type="dxa"/>
          </w:tcPr>
          <w:p w14:paraId="7C62536F" w14:textId="656E7A54" w:rsidR="002F7761" w:rsidRPr="00F35404" w:rsidRDefault="002F7761" w:rsidP="00737AC8">
            <w:pPr>
              <w:ind w:left="144"/>
            </w:pPr>
            <w:r w:rsidRPr="00F35404">
              <w:t>ORR</w:t>
            </w:r>
          </w:p>
        </w:tc>
        <w:tc>
          <w:tcPr>
            <w:tcW w:w="6695" w:type="dxa"/>
          </w:tcPr>
          <w:p w14:paraId="6327C195" w14:textId="68DD351F" w:rsidR="002F7761" w:rsidRPr="00F35404" w:rsidRDefault="00B402E6" w:rsidP="00737AC8">
            <w:pPr>
              <w:ind w:left="144"/>
            </w:pPr>
            <w:r w:rsidRPr="00F35404">
              <w:t>Objective response rate</w:t>
            </w:r>
          </w:p>
        </w:tc>
      </w:tr>
      <w:tr w:rsidR="002F7761" w:rsidRPr="00F35404" w14:paraId="67E85A92" w14:textId="77777777" w:rsidTr="002F7761">
        <w:tc>
          <w:tcPr>
            <w:tcW w:w="1799" w:type="dxa"/>
          </w:tcPr>
          <w:p w14:paraId="4765190A" w14:textId="57E76F33" w:rsidR="002F7761" w:rsidRPr="00F35404" w:rsidRDefault="002F7761" w:rsidP="00737AC8">
            <w:pPr>
              <w:ind w:left="144"/>
            </w:pPr>
            <w:r w:rsidRPr="00F35404">
              <w:t>OS</w:t>
            </w:r>
          </w:p>
        </w:tc>
        <w:tc>
          <w:tcPr>
            <w:tcW w:w="6695" w:type="dxa"/>
          </w:tcPr>
          <w:p w14:paraId="0C7E64A9" w14:textId="64A1E166" w:rsidR="002F7761" w:rsidRPr="00F35404" w:rsidRDefault="002F7761" w:rsidP="00737AC8">
            <w:pPr>
              <w:ind w:left="144"/>
            </w:pPr>
            <w:r w:rsidRPr="00F35404">
              <w:t>Overall survival</w:t>
            </w:r>
          </w:p>
        </w:tc>
      </w:tr>
      <w:tr w:rsidR="002F7761" w:rsidRPr="00F35404" w14:paraId="0E4BBF16" w14:textId="77777777" w:rsidTr="002F7761">
        <w:tc>
          <w:tcPr>
            <w:tcW w:w="1799" w:type="dxa"/>
          </w:tcPr>
          <w:p w14:paraId="732CCDD3" w14:textId="0AEE5B5A" w:rsidR="002F7761" w:rsidRPr="00F35404" w:rsidRDefault="002F7761" w:rsidP="00737AC8">
            <w:pPr>
              <w:ind w:left="144"/>
            </w:pPr>
            <w:r w:rsidRPr="00F35404">
              <w:lastRenderedPageBreak/>
              <w:t>PFS</w:t>
            </w:r>
          </w:p>
        </w:tc>
        <w:tc>
          <w:tcPr>
            <w:tcW w:w="6695" w:type="dxa"/>
          </w:tcPr>
          <w:p w14:paraId="18E11768" w14:textId="7533538C" w:rsidR="002F7761" w:rsidRPr="00F35404" w:rsidRDefault="002F7761" w:rsidP="00737AC8">
            <w:pPr>
              <w:ind w:left="144"/>
            </w:pPr>
            <w:r w:rsidRPr="00F35404">
              <w:t>Progression free survival</w:t>
            </w:r>
          </w:p>
        </w:tc>
      </w:tr>
      <w:tr w:rsidR="003C6E65" w:rsidRPr="00F35404" w14:paraId="6E2E6723" w14:textId="77777777" w:rsidTr="002F7761">
        <w:tc>
          <w:tcPr>
            <w:tcW w:w="1799" w:type="dxa"/>
          </w:tcPr>
          <w:p w14:paraId="537A00F4" w14:textId="2E38A764" w:rsidR="003C6E65" w:rsidRPr="00F35404" w:rsidRDefault="003C6E65" w:rsidP="00737AC8">
            <w:pPr>
              <w:ind w:left="144"/>
            </w:pPr>
            <w:r w:rsidRPr="00F35404">
              <w:t>PI</w:t>
            </w:r>
          </w:p>
        </w:tc>
        <w:tc>
          <w:tcPr>
            <w:tcW w:w="6695" w:type="dxa"/>
          </w:tcPr>
          <w:p w14:paraId="0A8367B6" w14:textId="0AE6F6A4" w:rsidR="003C6E65" w:rsidRPr="00F35404" w:rsidRDefault="003C6E65" w:rsidP="00737AC8">
            <w:pPr>
              <w:ind w:left="144"/>
            </w:pPr>
            <w:r w:rsidRPr="00F35404">
              <w:t>Product Information</w:t>
            </w:r>
          </w:p>
        </w:tc>
      </w:tr>
      <w:tr w:rsidR="002F7761" w:rsidRPr="00F35404" w14:paraId="0F5977B3" w14:textId="77777777" w:rsidTr="002F7761">
        <w:tc>
          <w:tcPr>
            <w:tcW w:w="1799" w:type="dxa"/>
          </w:tcPr>
          <w:p w14:paraId="4BE6CE5A" w14:textId="7651CC4A" w:rsidR="002F7761" w:rsidRPr="00F35404" w:rsidRDefault="002F7761" w:rsidP="00737AC8">
            <w:pPr>
              <w:ind w:left="144"/>
            </w:pPr>
            <w:r w:rsidRPr="00F35404">
              <w:t>PK</w:t>
            </w:r>
          </w:p>
        </w:tc>
        <w:tc>
          <w:tcPr>
            <w:tcW w:w="6695" w:type="dxa"/>
          </w:tcPr>
          <w:p w14:paraId="70873DC4" w14:textId="31B37494" w:rsidR="002F7761" w:rsidRPr="00F35404" w:rsidRDefault="00AD7568" w:rsidP="00737AC8">
            <w:pPr>
              <w:ind w:left="144"/>
            </w:pPr>
            <w:r w:rsidRPr="00F35404">
              <w:t>P</w:t>
            </w:r>
            <w:r w:rsidR="002F7761" w:rsidRPr="00F35404">
              <w:t>harmacokinetic</w:t>
            </w:r>
            <w:r w:rsidRPr="00F35404">
              <w:t>(s)</w:t>
            </w:r>
          </w:p>
        </w:tc>
      </w:tr>
      <w:tr w:rsidR="002F7761" w:rsidRPr="00F35404" w14:paraId="43FA82D3" w14:textId="77777777" w:rsidTr="002F7761">
        <w:tc>
          <w:tcPr>
            <w:tcW w:w="1799" w:type="dxa"/>
          </w:tcPr>
          <w:p w14:paraId="3D9428EE" w14:textId="7C79A6CD" w:rsidR="002F7761" w:rsidRPr="00F35404" w:rsidRDefault="002F7761" w:rsidP="00737AC8">
            <w:pPr>
              <w:ind w:left="144"/>
            </w:pPr>
            <w:proofErr w:type="spellStart"/>
            <w:r w:rsidRPr="00F35404">
              <w:t>PopPK</w:t>
            </w:r>
            <w:proofErr w:type="spellEnd"/>
          </w:p>
        </w:tc>
        <w:tc>
          <w:tcPr>
            <w:tcW w:w="6695" w:type="dxa"/>
          </w:tcPr>
          <w:p w14:paraId="77F3185C" w14:textId="423CBB3D" w:rsidR="002F7761" w:rsidRPr="00F35404" w:rsidRDefault="002F7761" w:rsidP="00737AC8">
            <w:pPr>
              <w:ind w:left="144"/>
            </w:pPr>
            <w:r w:rsidRPr="00F35404">
              <w:t>Population pharmacokinetic</w:t>
            </w:r>
            <w:r w:rsidR="00C94F88" w:rsidRPr="00F35404">
              <w:t>(</w:t>
            </w:r>
            <w:r w:rsidRPr="00F35404">
              <w:t>s</w:t>
            </w:r>
            <w:r w:rsidR="00C94F88" w:rsidRPr="00F35404">
              <w:t>)</w:t>
            </w:r>
          </w:p>
        </w:tc>
      </w:tr>
      <w:tr w:rsidR="006A1AFA" w:rsidRPr="00F35404" w14:paraId="7636ABB1" w14:textId="77777777" w:rsidTr="002F7761">
        <w:tc>
          <w:tcPr>
            <w:tcW w:w="1799" w:type="dxa"/>
          </w:tcPr>
          <w:p w14:paraId="732CF456" w14:textId="7175EFEF" w:rsidR="006A1AFA" w:rsidRPr="00F35404" w:rsidRDefault="006A1AFA" w:rsidP="00737AC8">
            <w:pPr>
              <w:ind w:left="144"/>
            </w:pPr>
            <w:r w:rsidRPr="00F35404">
              <w:t>PSUR</w:t>
            </w:r>
          </w:p>
        </w:tc>
        <w:tc>
          <w:tcPr>
            <w:tcW w:w="6695" w:type="dxa"/>
          </w:tcPr>
          <w:p w14:paraId="1EA68B31" w14:textId="207EF7FB" w:rsidR="006A1AFA" w:rsidRPr="00F35404" w:rsidRDefault="006A1AFA" w:rsidP="00737AC8">
            <w:pPr>
              <w:ind w:left="144"/>
            </w:pPr>
            <w:r w:rsidRPr="00F35404">
              <w:t>Periodic safety update report</w:t>
            </w:r>
          </w:p>
        </w:tc>
      </w:tr>
      <w:tr w:rsidR="002F7761" w:rsidRPr="00F35404" w14:paraId="64CE6D31" w14:textId="77777777" w:rsidTr="002F7761">
        <w:tc>
          <w:tcPr>
            <w:tcW w:w="1799" w:type="dxa"/>
          </w:tcPr>
          <w:p w14:paraId="67C94FC8" w14:textId="5E3FD98D" w:rsidR="002F7761" w:rsidRPr="00F35404" w:rsidRDefault="002F7761" w:rsidP="00737AC8">
            <w:pPr>
              <w:ind w:left="144"/>
            </w:pPr>
            <w:r w:rsidRPr="00F35404">
              <w:t>SAE</w:t>
            </w:r>
          </w:p>
        </w:tc>
        <w:tc>
          <w:tcPr>
            <w:tcW w:w="6695" w:type="dxa"/>
          </w:tcPr>
          <w:p w14:paraId="310696A8" w14:textId="5289CD83" w:rsidR="002F7761" w:rsidRPr="00F35404" w:rsidRDefault="002F7761" w:rsidP="00737AC8">
            <w:pPr>
              <w:ind w:left="144"/>
            </w:pPr>
            <w:r w:rsidRPr="00F35404">
              <w:t>Serious adverse event</w:t>
            </w:r>
          </w:p>
        </w:tc>
      </w:tr>
      <w:tr w:rsidR="00395E83" w:rsidRPr="00F35404" w14:paraId="3AEC6603" w14:textId="77777777" w:rsidTr="002F7761">
        <w:tc>
          <w:tcPr>
            <w:tcW w:w="1799" w:type="dxa"/>
          </w:tcPr>
          <w:p w14:paraId="05230218" w14:textId="5385FDC1" w:rsidR="00395E83" w:rsidRPr="00F35404" w:rsidRDefault="00395E83" w:rsidP="00737AC8">
            <w:pPr>
              <w:ind w:left="144"/>
            </w:pPr>
            <w:r w:rsidRPr="00F35404">
              <w:t>SMQ</w:t>
            </w:r>
          </w:p>
        </w:tc>
        <w:tc>
          <w:tcPr>
            <w:tcW w:w="6695" w:type="dxa"/>
          </w:tcPr>
          <w:p w14:paraId="2B140ABB" w14:textId="4B45A385" w:rsidR="00395E83" w:rsidRPr="00F35404" w:rsidRDefault="00395E83" w:rsidP="00737AC8">
            <w:pPr>
              <w:ind w:left="144"/>
            </w:pPr>
            <w:r w:rsidRPr="00F35404">
              <w:t>Standardised Medical Dictionary for Regulatory Activities (MedDRA) Query (SMQ)</w:t>
            </w:r>
          </w:p>
        </w:tc>
      </w:tr>
      <w:tr w:rsidR="002F7761" w:rsidRPr="00F35404" w14:paraId="53732BEF" w14:textId="77777777" w:rsidTr="002F7761">
        <w:tc>
          <w:tcPr>
            <w:tcW w:w="1799" w:type="dxa"/>
          </w:tcPr>
          <w:p w14:paraId="48CAD655" w14:textId="0469532F" w:rsidR="002F7761" w:rsidRPr="00F35404" w:rsidRDefault="002F7761" w:rsidP="00737AC8">
            <w:pPr>
              <w:ind w:left="144"/>
            </w:pPr>
            <w:r w:rsidRPr="00F35404">
              <w:t>TEAE</w:t>
            </w:r>
          </w:p>
        </w:tc>
        <w:tc>
          <w:tcPr>
            <w:tcW w:w="6695" w:type="dxa"/>
          </w:tcPr>
          <w:p w14:paraId="288D6547" w14:textId="57A8E001" w:rsidR="002F7761" w:rsidRPr="00F35404" w:rsidRDefault="002F7761" w:rsidP="00737AC8">
            <w:pPr>
              <w:ind w:left="144"/>
            </w:pPr>
            <w:r w:rsidRPr="00F35404">
              <w:t>Treatment emergent adverse event</w:t>
            </w:r>
          </w:p>
        </w:tc>
      </w:tr>
      <w:tr w:rsidR="003C6E65" w:rsidRPr="00F35404" w14:paraId="23EA656C" w14:textId="77777777" w:rsidTr="002F7761">
        <w:tc>
          <w:tcPr>
            <w:tcW w:w="1799" w:type="dxa"/>
          </w:tcPr>
          <w:p w14:paraId="6F038AF7" w14:textId="5B9C10FD" w:rsidR="003C6E65" w:rsidRPr="00F35404" w:rsidRDefault="003C6E65" w:rsidP="00737AC8">
            <w:pPr>
              <w:ind w:left="144"/>
            </w:pPr>
            <w:r w:rsidRPr="00F35404">
              <w:t>TGA</w:t>
            </w:r>
          </w:p>
        </w:tc>
        <w:tc>
          <w:tcPr>
            <w:tcW w:w="6695" w:type="dxa"/>
          </w:tcPr>
          <w:p w14:paraId="75F71B97" w14:textId="763CB8F5" w:rsidR="003C6E65" w:rsidRPr="00F35404" w:rsidRDefault="003C6E65" w:rsidP="00737AC8">
            <w:pPr>
              <w:ind w:left="144"/>
            </w:pPr>
            <w:r w:rsidRPr="00F35404">
              <w:t>Therapeutic Goods Administration</w:t>
            </w:r>
          </w:p>
        </w:tc>
      </w:tr>
      <w:tr w:rsidR="002F7761" w:rsidRPr="00F35404" w14:paraId="72986D34" w14:textId="77777777" w:rsidTr="002F7761">
        <w:tc>
          <w:tcPr>
            <w:tcW w:w="1799" w:type="dxa"/>
          </w:tcPr>
          <w:p w14:paraId="5AF7B059" w14:textId="1444B10E" w:rsidR="002F7761" w:rsidRPr="00F35404" w:rsidRDefault="002F7761" w:rsidP="00737AC8">
            <w:pPr>
              <w:ind w:left="144"/>
            </w:pPr>
            <w:r w:rsidRPr="00F35404">
              <w:t>US</w:t>
            </w:r>
            <w:r w:rsidR="003C6E65" w:rsidRPr="00F35404">
              <w:t>(A)</w:t>
            </w:r>
          </w:p>
        </w:tc>
        <w:tc>
          <w:tcPr>
            <w:tcW w:w="6695" w:type="dxa"/>
          </w:tcPr>
          <w:p w14:paraId="6B3530A7" w14:textId="5937E8E2" w:rsidR="002F7761" w:rsidRPr="00F35404" w:rsidRDefault="002F7761" w:rsidP="00737AC8">
            <w:pPr>
              <w:ind w:left="144"/>
            </w:pPr>
            <w:r w:rsidRPr="00F35404">
              <w:t>United States (of America)</w:t>
            </w:r>
          </w:p>
        </w:tc>
      </w:tr>
      <w:tr w:rsidR="002F7761" w:rsidRPr="00F35404" w14:paraId="5F4A5EE8" w14:textId="77777777" w:rsidTr="002F7761">
        <w:tc>
          <w:tcPr>
            <w:tcW w:w="1799" w:type="dxa"/>
          </w:tcPr>
          <w:p w14:paraId="6B660D76" w14:textId="4327DC9F" w:rsidR="002F7761" w:rsidRPr="00F35404" w:rsidRDefault="002F7761" w:rsidP="00737AC8">
            <w:pPr>
              <w:ind w:left="144"/>
            </w:pPr>
            <w:r w:rsidRPr="00F35404">
              <w:t>VEGF</w:t>
            </w:r>
          </w:p>
        </w:tc>
        <w:tc>
          <w:tcPr>
            <w:tcW w:w="6695" w:type="dxa"/>
          </w:tcPr>
          <w:p w14:paraId="451F5D48" w14:textId="6B47A0A4" w:rsidR="002F7761" w:rsidRPr="00F35404" w:rsidRDefault="002F7761" w:rsidP="00737AC8">
            <w:pPr>
              <w:ind w:left="144"/>
            </w:pPr>
            <w:r w:rsidRPr="00F35404">
              <w:t>Vascular endothelial growth factor</w:t>
            </w:r>
          </w:p>
        </w:tc>
      </w:tr>
      <w:tr w:rsidR="002442C0" w:rsidRPr="00F35404" w14:paraId="33601626" w14:textId="77777777" w:rsidTr="002F7761">
        <w:tc>
          <w:tcPr>
            <w:tcW w:w="1799" w:type="dxa"/>
          </w:tcPr>
          <w:p w14:paraId="10C6CE0B" w14:textId="3BC91115" w:rsidR="002442C0" w:rsidRPr="00F35404" w:rsidRDefault="002442C0" w:rsidP="00737AC8">
            <w:pPr>
              <w:ind w:left="144"/>
            </w:pPr>
            <w:r w:rsidRPr="00F35404">
              <w:t>VEGFR</w:t>
            </w:r>
          </w:p>
        </w:tc>
        <w:tc>
          <w:tcPr>
            <w:tcW w:w="6695" w:type="dxa"/>
          </w:tcPr>
          <w:p w14:paraId="35DB267B" w14:textId="5DD59F67" w:rsidR="002442C0" w:rsidRPr="00F35404" w:rsidRDefault="002442C0" w:rsidP="00737AC8">
            <w:pPr>
              <w:ind w:left="144"/>
            </w:pPr>
            <w:r w:rsidRPr="00F35404">
              <w:t>Vascular endothelial growth factor receptor</w:t>
            </w:r>
          </w:p>
        </w:tc>
      </w:tr>
    </w:tbl>
    <w:p w14:paraId="4D46DBA4" w14:textId="77777777" w:rsidR="00FD119B" w:rsidRPr="00F35404" w:rsidRDefault="00FD119B" w:rsidP="00FD119B">
      <w:pPr>
        <w:spacing w:before="0" w:after="200" w:line="0" w:lineRule="auto"/>
        <w:rPr>
          <w:b/>
          <w:i/>
          <w:sz w:val="24"/>
          <w:szCs w:val="24"/>
        </w:rPr>
      </w:pPr>
      <w:r w:rsidRPr="00F35404">
        <w:rPr>
          <w:b/>
          <w:i/>
          <w:sz w:val="24"/>
          <w:szCs w:val="24"/>
        </w:rPr>
        <w:br w:type="page"/>
      </w:r>
    </w:p>
    <w:p w14:paraId="672BC6EE" w14:textId="77777777" w:rsidR="008E7846" w:rsidRPr="00F35404" w:rsidRDefault="00F53C07" w:rsidP="008E7846">
      <w:pPr>
        <w:pStyle w:val="Heading2"/>
      </w:pPr>
      <w:bookmarkStart w:id="11" w:name="_Toc94253939"/>
      <w:r w:rsidRPr="00F35404">
        <w:lastRenderedPageBreak/>
        <w:t>I.</w:t>
      </w:r>
      <w:r w:rsidR="008E7846" w:rsidRPr="00F35404">
        <w:t xml:space="preserve"> Introduction to product submission</w:t>
      </w:r>
      <w:bookmarkEnd w:id="11"/>
      <w:bookmarkEnd w:id="0"/>
      <w:bookmarkEnd w:id="2"/>
    </w:p>
    <w:p w14:paraId="157B7E37" w14:textId="77777777" w:rsidR="008E7846" w:rsidRPr="00F35404" w:rsidRDefault="008E7846" w:rsidP="008E7846">
      <w:pPr>
        <w:pStyle w:val="Heading3"/>
        <w:rPr>
          <w:lang w:eastAsia="en-AU"/>
        </w:rPr>
      </w:pPr>
      <w:bookmarkStart w:id="12" w:name="_Toc247691502"/>
      <w:bookmarkStart w:id="13" w:name="_Toc314842483"/>
      <w:bookmarkStart w:id="14" w:name="_Toc94253940"/>
      <w:r w:rsidRPr="00F35404">
        <w:rPr>
          <w:lang w:eastAsia="en-AU"/>
        </w:rPr>
        <w:t>Submission details</w:t>
      </w:r>
      <w:bookmarkEnd w:id="12"/>
      <w:bookmarkEnd w:id="13"/>
      <w:bookmarkEnd w:id="14"/>
    </w:p>
    <w:tbl>
      <w:tblPr>
        <w:tblW w:w="9214" w:type="dxa"/>
        <w:tblInd w:w="108" w:type="dxa"/>
        <w:tblLook w:val="01E0" w:firstRow="1" w:lastRow="1" w:firstColumn="1" w:lastColumn="1" w:noHBand="0" w:noVBand="0"/>
      </w:tblPr>
      <w:tblGrid>
        <w:gridCol w:w="2907"/>
        <w:gridCol w:w="6307"/>
      </w:tblGrid>
      <w:tr w:rsidR="008E7846" w:rsidRPr="00F35404" w14:paraId="10BF6F59" w14:textId="77777777" w:rsidTr="003735BC">
        <w:tc>
          <w:tcPr>
            <w:tcW w:w="2907" w:type="dxa"/>
          </w:tcPr>
          <w:p w14:paraId="3DA5D115" w14:textId="77777777" w:rsidR="008E7846" w:rsidRPr="00F35404" w:rsidRDefault="001B5C90" w:rsidP="001B5C90">
            <w:pPr>
              <w:rPr>
                <w:i/>
              </w:rPr>
            </w:pPr>
            <w:r w:rsidRPr="00F35404">
              <w:rPr>
                <w:i/>
              </w:rPr>
              <w:t>Type of s</w:t>
            </w:r>
            <w:r w:rsidR="008E7846" w:rsidRPr="00F35404">
              <w:rPr>
                <w:i/>
              </w:rPr>
              <w:t>ubmission</w:t>
            </w:r>
            <w:r w:rsidRPr="00F35404">
              <w:rPr>
                <w:i/>
              </w:rPr>
              <w:t>:</w:t>
            </w:r>
          </w:p>
        </w:tc>
        <w:tc>
          <w:tcPr>
            <w:tcW w:w="6307" w:type="dxa"/>
          </w:tcPr>
          <w:p w14:paraId="1D52E8F3" w14:textId="18F70846" w:rsidR="008E7846" w:rsidRPr="00F35404" w:rsidRDefault="002F7761" w:rsidP="001B5C90">
            <w:r w:rsidRPr="00F35404">
              <w:t>New biosimilar medicine</w:t>
            </w:r>
          </w:p>
        </w:tc>
      </w:tr>
      <w:tr w:rsidR="00460036" w:rsidRPr="00F35404" w14:paraId="41A41A53" w14:textId="77777777" w:rsidTr="003735BC">
        <w:tc>
          <w:tcPr>
            <w:tcW w:w="2907" w:type="dxa"/>
          </w:tcPr>
          <w:p w14:paraId="1B1F5E3C" w14:textId="7F1A4D1D" w:rsidR="00460036" w:rsidRPr="00F35404" w:rsidRDefault="00460036" w:rsidP="003D1E62">
            <w:pPr>
              <w:rPr>
                <w:i/>
              </w:rPr>
            </w:pPr>
            <w:r w:rsidRPr="00F35404">
              <w:rPr>
                <w:i/>
              </w:rPr>
              <w:t>Product names:</w:t>
            </w:r>
          </w:p>
        </w:tc>
        <w:tc>
          <w:tcPr>
            <w:tcW w:w="6307" w:type="dxa"/>
          </w:tcPr>
          <w:p w14:paraId="1D6EE06B" w14:textId="2FAA275E" w:rsidR="00460036" w:rsidRPr="00F35404" w:rsidRDefault="002F7761" w:rsidP="001B5C90">
            <w:proofErr w:type="spellStart"/>
            <w:r w:rsidRPr="00F35404">
              <w:t>Abevmy</w:t>
            </w:r>
            <w:proofErr w:type="spellEnd"/>
            <w:r w:rsidR="00667F81" w:rsidRPr="00F35404">
              <w:t>/Trucleva</w:t>
            </w:r>
            <w:r w:rsidR="00122203">
              <w:t>;</w:t>
            </w:r>
            <w:r w:rsidR="00122203" w:rsidRPr="00737AC8">
              <w:rPr>
                <w:vertAlign w:val="superscript"/>
              </w:rPr>
              <w:fldChar w:fldCharType="begin"/>
            </w:r>
            <w:r w:rsidR="00122203" w:rsidRPr="00737AC8">
              <w:rPr>
                <w:vertAlign w:val="superscript"/>
              </w:rPr>
              <w:instrText xml:space="preserve"> NOTEREF _Ref93571826 \h </w:instrText>
            </w:r>
            <w:r w:rsidR="00122203">
              <w:rPr>
                <w:vertAlign w:val="superscript"/>
              </w:rPr>
              <w:instrText xml:space="preserve"> \* MERGEFORMAT </w:instrText>
            </w:r>
            <w:r w:rsidR="00122203" w:rsidRPr="00737AC8">
              <w:rPr>
                <w:vertAlign w:val="superscript"/>
              </w:rPr>
            </w:r>
            <w:r w:rsidR="00122203" w:rsidRPr="00737AC8">
              <w:rPr>
                <w:vertAlign w:val="superscript"/>
              </w:rPr>
              <w:fldChar w:fldCharType="separate"/>
            </w:r>
            <w:r w:rsidR="00D0686E">
              <w:rPr>
                <w:vertAlign w:val="superscript"/>
              </w:rPr>
              <w:t>1</w:t>
            </w:r>
            <w:r w:rsidR="00122203" w:rsidRPr="00737AC8">
              <w:rPr>
                <w:vertAlign w:val="superscript"/>
              </w:rPr>
              <w:fldChar w:fldCharType="end"/>
            </w:r>
          </w:p>
        </w:tc>
      </w:tr>
      <w:tr w:rsidR="00460036" w:rsidRPr="00F35404" w14:paraId="04D5DBDE" w14:textId="77777777" w:rsidTr="003735BC">
        <w:tc>
          <w:tcPr>
            <w:tcW w:w="2907" w:type="dxa"/>
          </w:tcPr>
          <w:p w14:paraId="4F92B77F" w14:textId="61B1F6F9" w:rsidR="00460036" w:rsidRPr="00F35404" w:rsidRDefault="00460036" w:rsidP="003D1E62">
            <w:pPr>
              <w:rPr>
                <w:i/>
              </w:rPr>
            </w:pPr>
            <w:r w:rsidRPr="00F35404">
              <w:rPr>
                <w:i/>
              </w:rPr>
              <w:t>Active ingredient:</w:t>
            </w:r>
          </w:p>
        </w:tc>
        <w:tc>
          <w:tcPr>
            <w:tcW w:w="6307" w:type="dxa"/>
          </w:tcPr>
          <w:p w14:paraId="4A9658B4" w14:textId="2551C00B" w:rsidR="00460036" w:rsidRPr="00F35404" w:rsidRDefault="002F7761" w:rsidP="001B5C90">
            <w:r w:rsidRPr="00F35404">
              <w:t>Bevacizumab</w:t>
            </w:r>
          </w:p>
        </w:tc>
      </w:tr>
      <w:tr w:rsidR="008E7846" w:rsidRPr="00F35404" w14:paraId="16EED8C5" w14:textId="77777777" w:rsidTr="003735BC">
        <w:tc>
          <w:tcPr>
            <w:tcW w:w="2907" w:type="dxa"/>
          </w:tcPr>
          <w:p w14:paraId="1B608B66" w14:textId="77777777" w:rsidR="008E7846" w:rsidRPr="00F35404" w:rsidRDefault="008E7846" w:rsidP="003D1E62">
            <w:r w:rsidRPr="00F35404">
              <w:rPr>
                <w:i/>
              </w:rPr>
              <w:t>Decision</w:t>
            </w:r>
            <w:r w:rsidRPr="00F35404">
              <w:t>:</w:t>
            </w:r>
          </w:p>
        </w:tc>
        <w:tc>
          <w:tcPr>
            <w:tcW w:w="6307" w:type="dxa"/>
          </w:tcPr>
          <w:p w14:paraId="61D080EC" w14:textId="0FDC34C7" w:rsidR="008E7846" w:rsidRPr="00F35404" w:rsidRDefault="00460036" w:rsidP="001B5C90">
            <w:r w:rsidRPr="00F35404">
              <w:t>Approved</w:t>
            </w:r>
          </w:p>
        </w:tc>
      </w:tr>
      <w:tr w:rsidR="008E7846" w:rsidRPr="00F35404" w14:paraId="2F79734C" w14:textId="77777777" w:rsidTr="003735BC">
        <w:tc>
          <w:tcPr>
            <w:tcW w:w="2907" w:type="dxa"/>
          </w:tcPr>
          <w:p w14:paraId="63FEBAC8" w14:textId="77777777" w:rsidR="008E7846" w:rsidRPr="00F35404" w:rsidRDefault="008E7846" w:rsidP="001B5C90">
            <w:pPr>
              <w:rPr>
                <w:i/>
              </w:rPr>
            </w:pPr>
            <w:r w:rsidRPr="00F35404">
              <w:rPr>
                <w:i/>
              </w:rPr>
              <w:t xml:space="preserve">Date of </w:t>
            </w:r>
            <w:r w:rsidR="001B5C90" w:rsidRPr="00F35404">
              <w:rPr>
                <w:i/>
              </w:rPr>
              <w:t>d</w:t>
            </w:r>
            <w:r w:rsidRPr="00F35404">
              <w:rPr>
                <w:i/>
              </w:rPr>
              <w:t>ecision:</w:t>
            </w:r>
          </w:p>
        </w:tc>
        <w:tc>
          <w:tcPr>
            <w:tcW w:w="6307" w:type="dxa"/>
          </w:tcPr>
          <w:p w14:paraId="3E5073DB" w14:textId="4DC19749" w:rsidR="008E7846" w:rsidRPr="00F35404" w:rsidRDefault="002F7761" w:rsidP="001B5C90">
            <w:r w:rsidRPr="00F35404">
              <w:t>10 May 2021</w:t>
            </w:r>
          </w:p>
        </w:tc>
      </w:tr>
      <w:tr w:rsidR="00ED2922" w:rsidRPr="00F35404" w14:paraId="5E91EA06" w14:textId="77777777" w:rsidTr="003735BC">
        <w:tc>
          <w:tcPr>
            <w:tcW w:w="2907" w:type="dxa"/>
          </w:tcPr>
          <w:p w14:paraId="6149032C" w14:textId="77777777" w:rsidR="00ED2922" w:rsidRPr="00F35404" w:rsidRDefault="00ED2922" w:rsidP="001B5C90">
            <w:pPr>
              <w:rPr>
                <w:i/>
              </w:rPr>
            </w:pPr>
            <w:r w:rsidRPr="00F35404">
              <w:rPr>
                <w:i/>
              </w:rPr>
              <w:t>Date of entry onto ARTG</w:t>
            </w:r>
            <w:r w:rsidR="00500337" w:rsidRPr="00F35404">
              <w:rPr>
                <w:i/>
              </w:rPr>
              <w:t>:</w:t>
            </w:r>
          </w:p>
        </w:tc>
        <w:tc>
          <w:tcPr>
            <w:tcW w:w="6307" w:type="dxa"/>
          </w:tcPr>
          <w:p w14:paraId="490BA3A6" w14:textId="0F04A657" w:rsidR="00ED2922" w:rsidRPr="00F35404" w:rsidRDefault="002F7761" w:rsidP="00D153D8">
            <w:pPr>
              <w:rPr>
                <w:i/>
              </w:rPr>
            </w:pPr>
            <w:r w:rsidRPr="00F35404">
              <w:t>6 September 2021</w:t>
            </w:r>
          </w:p>
        </w:tc>
      </w:tr>
      <w:tr w:rsidR="00500337" w:rsidRPr="00F35404" w14:paraId="7799160F" w14:textId="77777777" w:rsidTr="003735BC">
        <w:tc>
          <w:tcPr>
            <w:tcW w:w="2907" w:type="dxa"/>
          </w:tcPr>
          <w:p w14:paraId="1ECBD667" w14:textId="128BFEC3" w:rsidR="00500337" w:rsidRPr="00F35404" w:rsidRDefault="00500337" w:rsidP="001B5C90">
            <w:pPr>
              <w:rPr>
                <w:i/>
              </w:rPr>
            </w:pPr>
            <w:r w:rsidRPr="00F35404">
              <w:rPr>
                <w:i/>
              </w:rPr>
              <w:t>ARTG numbers:</w:t>
            </w:r>
          </w:p>
        </w:tc>
        <w:tc>
          <w:tcPr>
            <w:tcW w:w="6307" w:type="dxa"/>
          </w:tcPr>
          <w:p w14:paraId="0CECE851" w14:textId="2DD1D3E7" w:rsidR="00500337" w:rsidRPr="00F35404" w:rsidRDefault="002F7761" w:rsidP="00EC463D">
            <w:r w:rsidRPr="00F35404">
              <w:t>334814</w:t>
            </w:r>
            <w:r w:rsidR="00667F81" w:rsidRPr="00F35404">
              <w:t xml:space="preserve"> and</w:t>
            </w:r>
            <w:r w:rsidRPr="00F35404">
              <w:t xml:space="preserve"> 334816</w:t>
            </w:r>
            <w:bookmarkStart w:id="15" w:name="_Ref93571826"/>
            <w:r w:rsidR="00122203">
              <w:t>;</w:t>
            </w:r>
            <w:r w:rsidR="00667F81" w:rsidRPr="00F35404">
              <w:rPr>
                <w:rStyle w:val="FootnoteReference"/>
              </w:rPr>
              <w:footnoteReference w:id="1"/>
            </w:r>
            <w:bookmarkEnd w:id="15"/>
          </w:p>
        </w:tc>
      </w:tr>
      <w:tr w:rsidR="003735BC" w:rsidRPr="00F35404" w14:paraId="29552A94" w14:textId="77777777" w:rsidTr="003735BC">
        <w:tc>
          <w:tcPr>
            <w:tcW w:w="2907" w:type="dxa"/>
          </w:tcPr>
          <w:p w14:paraId="46F024DA" w14:textId="77777777" w:rsidR="003735BC" w:rsidRPr="00F35404" w:rsidRDefault="00FA5069" w:rsidP="001B5C90">
            <w:pPr>
              <w:rPr>
                <w:i/>
              </w:rPr>
            </w:pPr>
            <w:r w:rsidRPr="00F35404">
              <w:rPr>
                <w:rFonts w:ascii="Wingdings 3" w:hAnsi="Wingdings 3"/>
                <w:sz w:val="34"/>
                <w:szCs w:val="34"/>
                <w:lang w:eastAsia="en-AU"/>
              </w:rPr>
              <w:t></w:t>
            </w:r>
            <w:r w:rsidR="003735BC" w:rsidRPr="00F35404">
              <w:rPr>
                <w:i/>
              </w:rPr>
              <w:t>Black Triangle Scheme</w:t>
            </w:r>
            <w:r w:rsidR="004C4FBE" w:rsidRPr="00F35404">
              <w:rPr>
                <w:i/>
              </w:rPr>
              <w:t>:</w:t>
            </w:r>
            <w:r w:rsidR="00460036" w:rsidRPr="00F35404">
              <w:rPr>
                <w:rStyle w:val="FootnoteReference"/>
                <w:i/>
              </w:rPr>
              <w:footnoteReference w:id="2"/>
            </w:r>
          </w:p>
        </w:tc>
        <w:tc>
          <w:tcPr>
            <w:tcW w:w="6307" w:type="dxa"/>
          </w:tcPr>
          <w:p w14:paraId="51AE5DE6" w14:textId="39B47FB9" w:rsidR="003735BC" w:rsidRPr="00F35404" w:rsidRDefault="003735BC" w:rsidP="003735BC">
            <w:r w:rsidRPr="00F35404">
              <w:t>No</w:t>
            </w:r>
          </w:p>
        </w:tc>
      </w:tr>
      <w:tr w:rsidR="008E7846" w:rsidRPr="00F35404" w14:paraId="2B4335DC" w14:textId="77777777" w:rsidTr="00BF1190">
        <w:tc>
          <w:tcPr>
            <w:tcW w:w="2907" w:type="dxa"/>
          </w:tcPr>
          <w:p w14:paraId="53E72F8F" w14:textId="77777777" w:rsidR="008E7846" w:rsidRPr="00F35404" w:rsidRDefault="008E7846" w:rsidP="001B5C90">
            <w:pPr>
              <w:rPr>
                <w:i/>
              </w:rPr>
            </w:pPr>
            <w:r w:rsidRPr="00F35404">
              <w:rPr>
                <w:i/>
              </w:rPr>
              <w:t xml:space="preserve">Sponsor’s </w:t>
            </w:r>
            <w:r w:rsidR="001B5C90" w:rsidRPr="00F35404">
              <w:rPr>
                <w:i/>
              </w:rPr>
              <w:t>n</w:t>
            </w:r>
            <w:r w:rsidRPr="00F35404">
              <w:rPr>
                <w:i/>
              </w:rPr>
              <w:t xml:space="preserve">ame and </w:t>
            </w:r>
            <w:r w:rsidR="001B5C90" w:rsidRPr="00F35404">
              <w:rPr>
                <w:i/>
              </w:rPr>
              <w:t>a</w:t>
            </w:r>
            <w:r w:rsidRPr="00F35404">
              <w:rPr>
                <w:i/>
              </w:rPr>
              <w:t>ddress:</w:t>
            </w:r>
          </w:p>
        </w:tc>
        <w:tc>
          <w:tcPr>
            <w:tcW w:w="6307" w:type="dxa"/>
          </w:tcPr>
          <w:p w14:paraId="495C51CD" w14:textId="77777777" w:rsidR="008E7846" w:rsidRPr="00F35404" w:rsidRDefault="002F7761" w:rsidP="00E45619">
            <w:proofErr w:type="spellStart"/>
            <w:r w:rsidRPr="00F35404">
              <w:t>Alphapharm</w:t>
            </w:r>
            <w:proofErr w:type="spellEnd"/>
            <w:r w:rsidRPr="00F35404">
              <w:t xml:space="preserve"> Pty Ltd</w:t>
            </w:r>
          </w:p>
          <w:p w14:paraId="75BB0022" w14:textId="5CD7290F" w:rsidR="002F7761" w:rsidRPr="00F35404" w:rsidRDefault="002F7761" w:rsidP="002F7761">
            <w:r w:rsidRPr="00F35404">
              <w:t xml:space="preserve">Level 1, 30 The Bond, 30 </w:t>
            </w:r>
            <w:r w:rsidR="00667F81" w:rsidRPr="00F35404">
              <w:t>-</w:t>
            </w:r>
            <w:r w:rsidRPr="00F35404">
              <w:t xml:space="preserve"> 34 Hickson Road</w:t>
            </w:r>
          </w:p>
          <w:p w14:paraId="6718535E" w14:textId="22011050" w:rsidR="002F7761" w:rsidRPr="00F35404" w:rsidRDefault="002F7761" w:rsidP="002F7761">
            <w:r w:rsidRPr="00F35404">
              <w:t>Millers Point NSW 2000</w:t>
            </w:r>
          </w:p>
        </w:tc>
      </w:tr>
      <w:tr w:rsidR="008E7846" w:rsidRPr="00F35404" w14:paraId="35CA6A15" w14:textId="77777777" w:rsidTr="00BF1190">
        <w:tc>
          <w:tcPr>
            <w:tcW w:w="2907" w:type="dxa"/>
          </w:tcPr>
          <w:p w14:paraId="4C76044D" w14:textId="581E1290" w:rsidR="008E7846" w:rsidRPr="00F35404" w:rsidRDefault="001B5C90" w:rsidP="00E45619">
            <w:pPr>
              <w:rPr>
                <w:i/>
              </w:rPr>
            </w:pPr>
            <w:r w:rsidRPr="00F35404">
              <w:rPr>
                <w:i/>
              </w:rPr>
              <w:t>Dose form:</w:t>
            </w:r>
          </w:p>
        </w:tc>
        <w:tc>
          <w:tcPr>
            <w:tcW w:w="6307" w:type="dxa"/>
          </w:tcPr>
          <w:p w14:paraId="668FCD78" w14:textId="422AA191" w:rsidR="008E7846" w:rsidRPr="00F35404" w:rsidRDefault="00A1065C" w:rsidP="00E45619">
            <w:r w:rsidRPr="00F35404">
              <w:t xml:space="preserve">Concentrate for solution for </w:t>
            </w:r>
            <w:r w:rsidR="00EA444A">
              <w:t>infusion</w:t>
            </w:r>
          </w:p>
        </w:tc>
      </w:tr>
      <w:tr w:rsidR="008E7846" w:rsidRPr="00F35404" w14:paraId="0AE41698" w14:textId="77777777" w:rsidTr="00BF1190">
        <w:tc>
          <w:tcPr>
            <w:tcW w:w="2907" w:type="dxa"/>
          </w:tcPr>
          <w:p w14:paraId="31547A47" w14:textId="2395BCA7" w:rsidR="008E7846" w:rsidRPr="00F35404" w:rsidRDefault="00324E45" w:rsidP="00E45619">
            <w:pPr>
              <w:rPr>
                <w:i/>
              </w:rPr>
            </w:pPr>
            <w:r w:rsidRPr="00F35404">
              <w:rPr>
                <w:i/>
              </w:rPr>
              <w:t>Strengths:</w:t>
            </w:r>
          </w:p>
        </w:tc>
        <w:tc>
          <w:tcPr>
            <w:tcW w:w="6307" w:type="dxa"/>
          </w:tcPr>
          <w:p w14:paraId="10E3B6AF" w14:textId="2B9E8D21" w:rsidR="008E7846" w:rsidRPr="00F35404" w:rsidRDefault="00612D16" w:rsidP="00E45619">
            <w:r w:rsidRPr="00F35404">
              <w:t>25 mg/mL (</w:t>
            </w:r>
            <w:r w:rsidR="002F7761" w:rsidRPr="00F35404">
              <w:t>100 mg/4 mL and 400 mg/16 mL</w:t>
            </w:r>
            <w:r w:rsidRPr="00F35404">
              <w:t>)</w:t>
            </w:r>
          </w:p>
        </w:tc>
      </w:tr>
      <w:tr w:rsidR="008E7846" w:rsidRPr="00F35404" w14:paraId="68E2DA27" w14:textId="77777777" w:rsidTr="00BF1190">
        <w:tc>
          <w:tcPr>
            <w:tcW w:w="2907" w:type="dxa"/>
          </w:tcPr>
          <w:p w14:paraId="6B436F7A" w14:textId="3A04758A" w:rsidR="008E7846" w:rsidRPr="00F35404" w:rsidRDefault="008E7846" w:rsidP="00E45619">
            <w:pPr>
              <w:rPr>
                <w:i/>
              </w:rPr>
            </w:pPr>
            <w:r w:rsidRPr="00F35404">
              <w:rPr>
                <w:i/>
              </w:rPr>
              <w:t>Container:</w:t>
            </w:r>
          </w:p>
        </w:tc>
        <w:tc>
          <w:tcPr>
            <w:tcW w:w="6307" w:type="dxa"/>
          </w:tcPr>
          <w:p w14:paraId="1518863F" w14:textId="1AAFF922" w:rsidR="008E7846" w:rsidRPr="00F35404" w:rsidRDefault="00A1065C" w:rsidP="00E45619">
            <w:r w:rsidRPr="00F35404">
              <w:t>Vial</w:t>
            </w:r>
          </w:p>
        </w:tc>
      </w:tr>
      <w:tr w:rsidR="008E7846" w:rsidRPr="00F35404" w14:paraId="2C9B9481" w14:textId="77777777" w:rsidTr="00BF1190">
        <w:tc>
          <w:tcPr>
            <w:tcW w:w="2907" w:type="dxa"/>
          </w:tcPr>
          <w:p w14:paraId="61D7FE01" w14:textId="3D290A6B" w:rsidR="008E7846" w:rsidRPr="00F35404" w:rsidRDefault="008E7846" w:rsidP="00E45619">
            <w:pPr>
              <w:rPr>
                <w:i/>
              </w:rPr>
            </w:pPr>
            <w:r w:rsidRPr="00F35404">
              <w:rPr>
                <w:i/>
              </w:rPr>
              <w:t>Pack size:</w:t>
            </w:r>
          </w:p>
        </w:tc>
        <w:tc>
          <w:tcPr>
            <w:tcW w:w="6307" w:type="dxa"/>
          </w:tcPr>
          <w:p w14:paraId="36386586" w14:textId="092305FE" w:rsidR="008E7846" w:rsidRPr="00F35404" w:rsidRDefault="002F7761" w:rsidP="00E45619">
            <w:r w:rsidRPr="00F35404">
              <w:t>One</w:t>
            </w:r>
          </w:p>
        </w:tc>
      </w:tr>
      <w:tr w:rsidR="008E7846" w:rsidRPr="00F35404" w14:paraId="1BA43365" w14:textId="77777777" w:rsidTr="00BF1190">
        <w:tc>
          <w:tcPr>
            <w:tcW w:w="2907" w:type="dxa"/>
          </w:tcPr>
          <w:p w14:paraId="679CF5FF" w14:textId="77777777" w:rsidR="008E7846" w:rsidRPr="00F35404" w:rsidRDefault="008E7846" w:rsidP="001B5C90">
            <w:pPr>
              <w:rPr>
                <w:i/>
              </w:rPr>
            </w:pPr>
            <w:r w:rsidRPr="00F35404">
              <w:rPr>
                <w:i/>
              </w:rPr>
              <w:t xml:space="preserve">Approved </w:t>
            </w:r>
            <w:r w:rsidR="001B5C90" w:rsidRPr="00F35404">
              <w:rPr>
                <w:i/>
              </w:rPr>
              <w:t>t</w:t>
            </w:r>
            <w:r w:rsidRPr="00F35404">
              <w:rPr>
                <w:i/>
              </w:rPr>
              <w:t>herapeutic use:</w:t>
            </w:r>
          </w:p>
        </w:tc>
        <w:tc>
          <w:tcPr>
            <w:tcW w:w="6307" w:type="dxa"/>
          </w:tcPr>
          <w:p w14:paraId="7010790C" w14:textId="77777777" w:rsidR="002F7761" w:rsidRPr="00F35404" w:rsidRDefault="002F7761" w:rsidP="002F7761">
            <w:pPr>
              <w:rPr>
                <w:b/>
                <w:i/>
              </w:rPr>
            </w:pPr>
            <w:r w:rsidRPr="00F35404">
              <w:rPr>
                <w:b/>
                <w:i/>
              </w:rPr>
              <w:t>Metastatic colorectal cancer</w:t>
            </w:r>
          </w:p>
          <w:p w14:paraId="4300C04A" w14:textId="77777777" w:rsidR="002F7761" w:rsidRPr="00F35404" w:rsidRDefault="002F7761" w:rsidP="002F7761">
            <w:pPr>
              <w:rPr>
                <w:i/>
              </w:rPr>
            </w:pPr>
            <w:r w:rsidRPr="00F35404">
              <w:rPr>
                <w:i/>
              </w:rPr>
              <w:t>Abevmy (bevacizumab) in combination with fluoropyrimidine-based chemotherapy is indicated for the treatment of patients with metastatic colorectal cancer.</w:t>
            </w:r>
          </w:p>
          <w:p w14:paraId="0EDDA556" w14:textId="77777777" w:rsidR="002F7761" w:rsidRPr="00F35404" w:rsidRDefault="002F7761" w:rsidP="002F7761">
            <w:pPr>
              <w:rPr>
                <w:b/>
                <w:i/>
              </w:rPr>
            </w:pPr>
            <w:r w:rsidRPr="00F35404">
              <w:rPr>
                <w:b/>
                <w:i/>
              </w:rPr>
              <w:t>Locally recurrent or metastatic breast cancer</w:t>
            </w:r>
          </w:p>
          <w:p w14:paraId="681C8E89" w14:textId="77777777" w:rsidR="002F7761" w:rsidRPr="00F35404" w:rsidRDefault="002F7761" w:rsidP="002F7761">
            <w:pPr>
              <w:rPr>
                <w:i/>
              </w:rPr>
            </w:pPr>
            <w:r w:rsidRPr="00F35404">
              <w:rPr>
                <w:i/>
              </w:rPr>
              <w:t>Abevmy (bevacizumab) in combination with paclitaxel is indicated for the first-line treatment of metastatic breast cancer in patients in whom an anthracycline-based therapy is contraindicated (see Section 5.1 Pharmacodynamic properties, clinical trials).</w:t>
            </w:r>
          </w:p>
          <w:p w14:paraId="2A9503C0" w14:textId="77777777" w:rsidR="002F7761" w:rsidRPr="00F35404" w:rsidRDefault="002F7761" w:rsidP="002F7761">
            <w:pPr>
              <w:rPr>
                <w:i/>
              </w:rPr>
            </w:pPr>
            <w:r w:rsidRPr="00F35404">
              <w:rPr>
                <w:b/>
                <w:i/>
              </w:rPr>
              <w:t xml:space="preserve">Advanced, </w:t>
            </w:r>
            <w:proofErr w:type="gramStart"/>
            <w:r w:rsidRPr="00F35404">
              <w:rPr>
                <w:b/>
                <w:i/>
              </w:rPr>
              <w:t>metastatic</w:t>
            </w:r>
            <w:proofErr w:type="gramEnd"/>
            <w:r w:rsidRPr="00F35404">
              <w:rPr>
                <w:b/>
                <w:i/>
              </w:rPr>
              <w:t xml:space="preserve"> or recurrent non-squamous non-small cell lung cancer (NSCLC</w:t>
            </w:r>
            <w:r w:rsidRPr="00F35404">
              <w:rPr>
                <w:i/>
              </w:rPr>
              <w:t>)</w:t>
            </w:r>
          </w:p>
          <w:p w14:paraId="31BD9865" w14:textId="77777777" w:rsidR="002F7761" w:rsidRPr="00F35404" w:rsidRDefault="002F7761" w:rsidP="002F7761">
            <w:pPr>
              <w:rPr>
                <w:i/>
              </w:rPr>
            </w:pPr>
            <w:r w:rsidRPr="00F35404">
              <w:rPr>
                <w:i/>
              </w:rPr>
              <w:lastRenderedPageBreak/>
              <w:t xml:space="preserve">Abevmy (bevacizumab), in combination with carboplatin and paclitaxel, is indicated for </w:t>
            </w:r>
            <w:proofErr w:type="spellStart"/>
            <w:r w:rsidRPr="00F35404">
              <w:rPr>
                <w:i/>
              </w:rPr>
              <w:t>firstline</w:t>
            </w:r>
            <w:proofErr w:type="spellEnd"/>
            <w:r w:rsidRPr="00F35404">
              <w:rPr>
                <w:i/>
              </w:rPr>
              <w:t xml:space="preserve"> treatment of patients with unresectable advanced, </w:t>
            </w:r>
            <w:proofErr w:type="gramStart"/>
            <w:r w:rsidRPr="00F35404">
              <w:rPr>
                <w:i/>
              </w:rPr>
              <w:t>metastatic</w:t>
            </w:r>
            <w:proofErr w:type="gramEnd"/>
            <w:r w:rsidRPr="00F35404">
              <w:rPr>
                <w:i/>
              </w:rPr>
              <w:t xml:space="preserve"> or recurrent, non-squamous, non- small cell lung cancer.</w:t>
            </w:r>
          </w:p>
          <w:p w14:paraId="518C24A5" w14:textId="77777777" w:rsidR="002F7761" w:rsidRPr="00F35404" w:rsidRDefault="002F7761" w:rsidP="002F7761">
            <w:pPr>
              <w:rPr>
                <w:b/>
                <w:i/>
              </w:rPr>
            </w:pPr>
            <w:r w:rsidRPr="00F35404">
              <w:rPr>
                <w:b/>
                <w:i/>
              </w:rPr>
              <w:t>Advanced and/or metastatic renal cell cancer</w:t>
            </w:r>
          </w:p>
          <w:p w14:paraId="0866B280" w14:textId="77777777" w:rsidR="002F7761" w:rsidRPr="00F35404" w:rsidRDefault="002F7761" w:rsidP="002F7761">
            <w:pPr>
              <w:rPr>
                <w:i/>
              </w:rPr>
            </w:pPr>
            <w:r w:rsidRPr="00F35404">
              <w:rPr>
                <w:i/>
              </w:rPr>
              <w:t>Abevmy (bevacizumab) in combination with interferon alfa-2a is indicated for treatment of patients with advanced and/or metastatic renal cell cancer.</w:t>
            </w:r>
          </w:p>
          <w:p w14:paraId="66DA82D5" w14:textId="77777777" w:rsidR="002F7761" w:rsidRPr="00F35404" w:rsidRDefault="002F7761" w:rsidP="002F7761">
            <w:pPr>
              <w:rPr>
                <w:b/>
                <w:i/>
              </w:rPr>
            </w:pPr>
            <w:r w:rsidRPr="00F35404">
              <w:rPr>
                <w:b/>
                <w:i/>
              </w:rPr>
              <w:t>Grade IV glioma</w:t>
            </w:r>
          </w:p>
          <w:p w14:paraId="67DA1745" w14:textId="77777777" w:rsidR="002F7761" w:rsidRPr="00F35404" w:rsidRDefault="002F7761" w:rsidP="002F7761">
            <w:pPr>
              <w:rPr>
                <w:i/>
              </w:rPr>
            </w:pPr>
            <w:r w:rsidRPr="00F35404">
              <w:rPr>
                <w:i/>
              </w:rPr>
              <w:t>Abevmy (bevacizumab) as a single agent, is indicated for the treatment of patients with Grade IV glioma after relapse or disease progression after standard therapy, including chemotherapy.</w:t>
            </w:r>
          </w:p>
          <w:p w14:paraId="34BB8F81" w14:textId="77777777" w:rsidR="002F7761" w:rsidRPr="00F35404" w:rsidRDefault="002F7761" w:rsidP="002F7761">
            <w:pPr>
              <w:rPr>
                <w:b/>
                <w:i/>
              </w:rPr>
            </w:pPr>
            <w:r w:rsidRPr="00F35404">
              <w:rPr>
                <w:b/>
                <w:i/>
              </w:rPr>
              <w:t>Epithelial ovarian, fallopian tube or primary peritoneal cancer</w:t>
            </w:r>
          </w:p>
          <w:p w14:paraId="1A7D0EC0" w14:textId="77777777" w:rsidR="002F7761" w:rsidRPr="00F35404" w:rsidRDefault="002F7761" w:rsidP="002F7761">
            <w:pPr>
              <w:rPr>
                <w:i/>
              </w:rPr>
            </w:pPr>
            <w:r w:rsidRPr="00F35404">
              <w:rPr>
                <w:i/>
              </w:rPr>
              <w:t xml:space="preserve">Abevmy (bevacizumab) in combination with carboplatin and paclitaxel, is indicated for </w:t>
            </w:r>
            <w:proofErr w:type="spellStart"/>
            <w:r w:rsidRPr="00F35404">
              <w:rPr>
                <w:i/>
              </w:rPr>
              <w:t>firstline</w:t>
            </w:r>
            <w:proofErr w:type="spellEnd"/>
            <w:r w:rsidRPr="00F35404">
              <w:rPr>
                <w:i/>
              </w:rPr>
              <w:t xml:space="preserve"> treatment of patients with advanced (FIGO stages IIIB, IIIC and IV) epithelial ovarian, fallopian tube, or primary peritoneal cancer.</w:t>
            </w:r>
          </w:p>
          <w:p w14:paraId="4AAB88C8" w14:textId="77777777" w:rsidR="002F7761" w:rsidRPr="00737AC8" w:rsidRDefault="002F7761" w:rsidP="002F7761">
            <w:pPr>
              <w:rPr>
                <w:b/>
                <w:bCs/>
                <w:i/>
              </w:rPr>
            </w:pPr>
            <w:r w:rsidRPr="00737AC8">
              <w:rPr>
                <w:b/>
                <w:bCs/>
                <w:i/>
              </w:rPr>
              <w:t>Recurrent epithelial ovarian, fallopian tube or primary peritoneal cancer</w:t>
            </w:r>
          </w:p>
          <w:p w14:paraId="31AB40DE" w14:textId="77777777" w:rsidR="002F7761" w:rsidRPr="00F35404" w:rsidRDefault="002F7761" w:rsidP="002F7761">
            <w:pPr>
              <w:rPr>
                <w:i/>
              </w:rPr>
            </w:pPr>
            <w:r w:rsidRPr="00F35404">
              <w:rPr>
                <w:i/>
              </w:rPr>
              <w:t>Abevmy (bevacizumab) in combination with carboplatin and paclitaxel or in combination with carboplatin and gemcitabine, is indicated for the treatment of patients with first recurrence of platinum-sensitive, epithelial ovarian, fallopian tube, or primary peritoneal cancer who have not received prior bevacizumab or other VEGF-targeted angiogenesis inhibitors.</w:t>
            </w:r>
          </w:p>
          <w:p w14:paraId="11E440D2" w14:textId="77777777" w:rsidR="002F7761" w:rsidRPr="00F35404" w:rsidRDefault="002F7761" w:rsidP="002F7761">
            <w:pPr>
              <w:rPr>
                <w:i/>
              </w:rPr>
            </w:pPr>
            <w:r w:rsidRPr="00F35404">
              <w:rPr>
                <w:i/>
              </w:rPr>
              <w:t xml:space="preserve">Abevmy (bevacizumab) in combination with paclitaxel, topotecan or pegylated liposomal doxorubicin is indicated for the treatment of patients with recurrent, platinum-resistant epithelial ovarian, fallopian tube, or primary peritoneal cancer who have received no more than two prior chemotherapy </w:t>
            </w:r>
            <w:proofErr w:type="gramStart"/>
            <w:r w:rsidRPr="00F35404">
              <w:rPr>
                <w:i/>
              </w:rPr>
              <w:t>regimens, and</w:t>
            </w:r>
            <w:proofErr w:type="gramEnd"/>
            <w:r w:rsidRPr="00F35404">
              <w:rPr>
                <w:i/>
              </w:rPr>
              <w:t xml:space="preserve"> have not received any prior anti-angiogenic therapy including bevacizumab.</w:t>
            </w:r>
          </w:p>
          <w:p w14:paraId="7C97664B" w14:textId="77777777" w:rsidR="002F7761" w:rsidRPr="00F35404" w:rsidRDefault="002F7761" w:rsidP="002F7761">
            <w:pPr>
              <w:rPr>
                <w:b/>
                <w:i/>
              </w:rPr>
            </w:pPr>
            <w:r w:rsidRPr="00F35404">
              <w:rPr>
                <w:b/>
                <w:i/>
              </w:rPr>
              <w:t>Cervical cancer</w:t>
            </w:r>
          </w:p>
          <w:p w14:paraId="0B962F60" w14:textId="093825AC" w:rsidR="008E7846" w:rsidRPr="00F35404" w:rsidRDefault="002F7761" w:rsidP="00E45619">
            <w:pPr>
              <w:rPr>
                <w:i/>
              </w:rPr>
            </w:pPr>
            <w:r w:rsidRPr="00F35404">
              <w:rPr>
                <w:i/>
              </w:rPr>
              <w:t xml:space="preserve">Abevmy (bevacizumab) in combination with paclitaxel and cisplatin is indicated for the treatment of persistent, </w:t>
            </w:r>
            <w:proofErr w:type="gramStart"/>
            <w:r w:rsidRPr="00F35404">
              <w:rPr>
                <w:i/>
              </w:rPr>
              <w:t>recurrent</w:t>
            </w:r>
            <w:proofErr w:type="gramEnd"/>
            <w:r w:rsidRPr="00F35404">
              <w:rPr>
                <w:i/>
              </w:rPr>
              <w:t xml:space="preserve"> or metastatic carcinoma of the cervix. Abevmy (bevacizumab) in combination with paclitaxel and topotecan is an acceptable alternative where cisplatin is not tolerated or not indicated.</w:t>
            </w:r>
          </w:p>
        </w:tc>
      </w:tr>
      <w:tr w:rsidR="008E7846" w:rsidRPr="00F35404" w14:paraId="27D05588" w14:textId="77777777" w:rsidTr="00BF1190">
        <w:tc>
          <w:tcPr>
            <w:tcW w:w="2907" w:type="dxa"/>
          </w:tcPr>
          <w:p w14:paraId="0554620B" w14:textId="4DC94C55" w:rsidR="008E7846" w:rsidRPr="00F35404" w:rsidRDefault="008E7846" w:rsidP="00E45619">
            <w:pPr>
              <w:rPr>
                <w:i/>
              </w:rPr>
            </w:pPr>
            <w:r w:rsidRPr="00F35404">
              <w:rPr>
                <w:i/>
              </w:rPr>
              <w:lastRenderedPageBreak/>
              <w:t>Route of administration:</w:t>
            </w:r>
          </w:p>
        </w:tc>
        <w:tc>
          <w:tcPr>
            <w:tcW w:w="6307" w:type="dxa"/>
          </w:tcPr>
          <w:p w14:paraId="1141E3E4" w14:textId="1E1CCCA9" w:rsidR="008E7846" w:rsidRPr="00F35404" w:rsidRDefault="002F7761" w:rsidP="00E45619">
            <w:r w:rsidRPr="00F35404">
              <w:t>Intravenous infusion</w:t>
            </w:r>
          </w:p>
        </w:tc>
      </w:tr>
      <w:tr w:rsidR="008E7846" w:rsidRPr="00F35404" w14:paraId="285EDB7C" w14:textId="77777777" w:rsidTr="00BF1190">
        <w:tc>
          <w:tcPr>
            <w:tcW w:w="2907" w:type="dxa"/>
          </w:tcPr>
          <w:p w14:paraId="7E6E029E" w14:textId="77777777" w:rsidR="008E7846" w:rsidRPr="00F35404" w:rsidRDefault="008E7846" w:rsidP="00E45619">
            <w:pPr>
              <w:rPr>
                <w:i/>
              </w:rPr>
            </w:pPr>
            <w:r w:rsidRPr="00F35404">
              <w:rPr>
                <w:i/>
              </w:rPr>
              <w:t>Dosage:</w:t>
            </w:r>
          </w:p>
        </w:tc>
        <w:tc>
          <w:tcPr>
            <w:tcW w:w="6307" w:type="dxa"/>
          </w:tcPr>
          <w:p w14:paraId="3FF9B1EC" w14:textId="77777777" w:rsidR="002F7761" w:rsidRPr="00F35404" w:rsidRDefault="002F7761" w:rsidP="002F7761">
            <w:r w:rsidRPr="00F35404">
              <w:t>Dosage of Abevmy is based on multiple factors, including the condition being treated, the body weight of the patient and whether the medicine is used as first or second line treatment.</w:t>
            </w:r>
          </w:p>
          <w:p w14:paraId="6112C6BB" w14:textId="77777777" w:rsidR="00460036" w:rsidRPr="00F35404" w:rsidRDefault="00460036" w:rsidP="00E45619">
            <w:r w:rsidRPr="00F35404">
              <w:t>For further information regarding dosage, refer to the Product Information.</w:t>
            </w:r>
          </w:p>
        </w:tc>
      </w:tr>
      <w:tr w:rsidR="00460036" w:rsidRPr="00F35404" w14:paraId="08F8995C" w14:textId="77777777" w:rsidTr="00BF1190">
        <w:tc>
          <w:tcPr>
            <w:tcW w:w="2907" w:type="dxa"/>
          </w:tcPr>
          <w:p w14:paraId="5A16FEEF" w14:textId="77777777" w:rsidR="00460036" w:rsidRPr="00F35404" w:rsidRDefault="00460036" w:rsidP="00E45619">
            <w:pPr>
              <w:rPr>
                <w:i/>
              </w:rPr>
            </w:pPr>
            <w:r w:rsidRPr="00F35404">
              <w:rPr>
                <w:i/>
              </w:rPr>
              <w:lastRenderedPageBreak/>
              <w:t>Pregnancy category:</w:t>
            </w:r>
          </w:p>
        </w:tc>
        <w:tc>
          <w:tcPr>
            <w:tcW w:w="6307" w:type="dxa"/>
          </w:tcPr>
          <w:p w14:paraId="3182CBA2" w14:textId="77777777" w:rsidR="002F7761" w:rsidRPr="00F35404" w:rsidRDefault="002F7761" w:rsidP="002F7761">
            <w:r w:rsidRPr="00F35404">
              <w:t>D</w:t>
            </w:r>
          </w:p>
          <w:p w14:paraId="01CAE28B" w14:textId="77777777" w:rsidR="002F7761" w:rsidRPr="00F35404" w:rsidRDefault="002F7761" w:rsidP="002F7761">
            <w:r w:rsidRPr="00F35404">
              <w:t>Drugs which have caused, are suspected to have caused or may be expected to cause, an increased incidence of human fetal malformations or irreversible damage. These drugs may also have adverse pharmacological effects. Accompanying texts should be consulted for further details.</w:t>
            </w:r>
          </w:p>
          <w:p w14:paraId="4FFF1C96" w14:textId="1CE79586" w:rsidR="00460036" w:rsidRPr="00F35404" w:rsidRDefault="00460036" w:rsidP="00460036">
            <w:r w:rsidRPr="00F35404">
              <w:t>The use of any medicine during pregnancy requires careful consideration of both risks and benefits by the treating health professional. This must not be used as the sole basis of decision making in the use of medicines during pregnancy. The TGA does not provide advice on the use of medicines in pregnancy for specific cases. More information is available from obstetric drug information services in your State or Territory.</w:t>
            </w:r>
          </w:p>
        </w:tc>
      </w:tr>
    </w:tbl>
    <w:p w14:paraId="4420235B" w14:textId="77777777" w:rsidR="008E7846" w:rsidRPr="00F35404" w:rsidRDefault="008E7846" w:rsidP="008E7846">
      <w:pPr>
        <w:pStyle w:val="Heading3"/>
      </w:pPr>
      <w:bookmarkStart w:id="16" w:name="_Toc247691503"/>
      <w:bookmarkStart w:id="17" w:name="_Toc314842484"/>
      <w:bookmarkStart w:id="18" w:name="_Toc94253941"/>
      <w:r w:rsidRPr="00F35404">
        <w:t>Product background</w:t>
      </w:r>
      <w:bookmarkEnd w:id="16"/>
      <w:bookmarkEnd w:id="17"/>
      <w:bookmarkEnd w:id="18"/>
    </w:p>
    <w:p w14:paraId="1FF93819" w14:textId="233D2F4B" w:rsidR="008E7846" w:rsidRPr="00F35404" w:rsidRDefault="00250271" w:rsidP="00940A89">
      <w:r w:rsidRPr="00F35404">
        <w:t xml:space="preserve">This AusPAR describes the application by </w:t>
      </w:r>
      <w:proofErr w:type="spellStart"/>
      <w:r w:rsidR="002F7761" w:rsidRPr="00F35404">
        <w:t>Alphapharm</w:t>
      </w:r>
      <w:proofErr w:type="spellEnd"/>
      <w:r w:rsidR="002F7761" w:rsidRPr="00F35404">
        <w:t xml:space="preserve"> Pty Ltd</w:t>
      </w:r>
      <w:r w:rsidRPr="00F35404">
        <w:t xml:space="preserve"> (the sponsor) to register </w:t>
      </w:r>
      <w:proofErr w:type="spellStart"/>
      <w:r w:rsidR="00667F81" w:rsidRPr="00F35404">
        <w:t>Abevmy</w:t>
      </w:r>
      <w:proofErr w:type="spellEnd"/>
      <w:r w:rsidR="00667F81" w:rsidRPr="00F35404">
        <w:t>/</w:t>
      </w:r>
      <w:proofErr w:type="spellStart"/>
      <w:r w:rsidR="00667F81" w:rsidRPr="00F35404">
        <w:t>Trucleva</w:t>
      </w:r>
      <w:proofErr w:type="spellEnd"/>
      <w:r w:rsidR="00667F81" w:rsidRPr="00F35404">
        <w:t xml:space="preserve"> </w:t>
      </w:r>
      <w:r w:rsidRPr="00F35404">
        <w:t>(</w:t>
      </w:r>
      <w:r w:rsidR="002F7761" w:rsidRPr="00F35404">
        <w:t>bevacizumab</w:t>
      </w:r>
      <w:r w:rsidRPr="00F35404">
        <w:t xml:space="preserve">) </w:t>
      </w:r>
      <w:r w:rsidR="00A1065C" w:rsidRPr="00F35404">
        <w:t>100 mg/4 mL and 400 mg/16 mL</w:t>
      </w:r>
      <w:r w:rsidRPr="00F35404">
        <w:t xml:space="preserve">, </w:t>
      </w:r>
      <w:r w:rsidR="00A1065C" w:rsidRPr="00F35404">
        <w:t xml:space="preserve">concentrate for solution for </w:t>
      </w:r>
      <w:r w:rsidR="00387381">
        <w:t>infusion</w:t>
      </w:r>
      <w:r w:rsidRPr="00F35404">
        <w:t xml:space="preserve"> for the following proposed indication</w:t>
      </w:r>
      <w:r w:rsidR="00201CA0">
        <w:t>s</w:t>
      </w:r>
      <w:r w:rsidR="00CF5DAD" w:rsidRPr="00F35404">
        <w:t>:</w:t>
      </w:r>
    </w:p>
    <w:p w14:paraId="0479526C" w14:textId="5990FDE1" w:rsidR="007F4E2A" w:rsidRPr="00F35404" w:rsidRDefault="007F4E2A" w:rsidP="007F4E2A">
      <w:pPr>
        <w:ind w:left="720"/>
        <w:rPr>
          <w:b/>
          <w:bCs/>
          <w:i/>
          <w:iCs/>
        </w:rPr>
      </w:pPr>
      <w:r w:rsidRPr="00F35404">
        <w:rPr>
          <w:b/>
          <w:bCs/>
          <w:i/>
          <w:iCs/>
        </w:rPr>
        <w:t xml:space="preserve">Metastatic </w:t>
      </w:r>
      <w:r w:rsidR="00A7169D" w:rsidRPr="00F35404">
        <w:rPr>
          <w:b/>
          <w:bCs/>
          <w:i/>
          <w:iCs/>
        </w:rPr>
        <w:t>colorectal cancer</w:t>
      </w:r>
    </w:p>
    <w:p w14:paraId="3D5BB241" w14:textId="24846725" w:rsidR="007F4E2A" w:rsidRPr="00F35404" w:rsidRDefault="00667F81" w:rsidP="007F4E2A">
      <w:pPr>
        <w:ind w:left="720"/>
        <w:rPr>
          <w:i/>
          <w:iCs/>
        </w:rPr>
      </w:pPr>
      <w:r w:rsidRPr="00F35404">
        <w:rPr>
          <w:i/>
          <w:iCs/>
        </w:rPr>
        <w:t xml:space="preserve">Abevmy </w:t>
      </w:r>
      <w:r w:rsidR="007F4E2A" w:rsidRPr="00F35404">
        <w:rPr>
          <w:i/>
          <w:iCs/>
        </w:rPr>
        <w:t>(bevacizumab) in combination with fluoropyrimidine-based chemotherapy is indicated for the treatment of patients with metastatic colorectal cancer.</w:t>
      </w:r>
    </w:p>
    <w:p w14:paraId="01D24A39" w14:textId="090A6536" w:rsidR="007F4E2A" w:rsidRPr="00F35404" w:rsidRDefault="007F4E2A" w:rsidP="007F4E2A">
      <w:pPr>
        <w:ind w:left="720"/>
        <w:rPr>
          <w:b/>
          <w:bCs/>
          <w:i/>
          <w:iCs/>
        </w:rPr>
      </w:pPr>
      <w:r w:rsidRPr="00F35404">
        <w:rPr>
          <w:b/>
          <w:bCs/>
          <w:i/>
          <w:iCs/>
        </w:rPr>
        <w:t xml:space="preserve">Locally recurrent or metastatic </w:t>
      </w:r>
      <w:r w:rsidR="00A7169D" w:rsidRPr="00F35404">
        <w:rPr>
          <w:b/>
          <w:bCs/>
          <w:i/>
          <w:iCs/>
        </w:rPr>
        <w:t>breast cancer</w:t>
      </w:r>
    </w:p>
    <w:p w14:paraId="7B7621AE" w14:textId="21220E3B" w:rsidR="007F4E2A" w:rsidRPr="00F35404" w:rsidRDefault="00667F81" w:rsidP="007F4E2A">
      <w:pPr>
        <w:ind w:left="720"/>
        <w:rPr>
          <w:i/>
          <w:iCs/>
        </w:rPr>
      </w:pPr>
      <w:r w:rsidRPr="00F35404">
        <w:rPr>
          <w:i/>
          <w:iCs/>
        </w:rPr>
        <w:t xml:space="preserve">Abevmy </w:t>
      </w:r>
      <w:r w:rsidR="007F4E2A" w:rsidRPr="00F35404">
        <w:rPr>
          <w:i/>
          <w:iCs/>
        </w:rPr>
        <w:t xml:space="preserve">(bevacizumab) in combination with paclitaxel is indicated for the first-line treatment of metastatic breast cancer in patients in whom an anthracycline-based therapy is contraindicated (see </w:t>
      </w:r>
      <w:r w:rsidR="006A1AFA" w:rsidRPr="00F35404">
        <w:rPr>
          <w:i/>
          <w:iCs/>
        </w:rPr>
        <w:t>S</w:t>
      </w:r>
      <w:r w:rsidR="007F4E2A" w:rsidRPr="00F35404">
        <w:rPr>
          <w:i/>
          <w:iCs/>
        </w:rPr>
        <w:t xml:space="preserve">ection 5.1 </w:t>
      </w:r>
      <w:r w:rsidR="006A1AFA" w:rsidRPr="00F35404">
        <w:rPr>
          <w:i/>
          <w:iCs/>
        </w:rPr>
        <w:t>Pharmacodynamic properties, clinical trials</w:t>
      </w:r>
      <w:r w:rsidR="007F4E2A" w:rsidRPr="00F35404">
        <w:rPr>
          <w:i/>
          <w:iCs/>
        </w:rPr>
        <w:t>).</w:t>
      </w:r>
    </w:p>
    <w:p w14:paraId="7DF6FA29" w14:textId="29EA65D7" w:rsidR="007F4E2A" w:rsidRPr="00F35404" w:rsidRDefault="007F4E2A" w:rsidP="007F4E2A">
      <w:pPr>
        <w:ind w:left="720"/>
        <w:rPr>
          <w:b/>
          <w:bCs/>
          <w:i/>
          <w:iCs/>
        </w:rPr>
      </w:pPr>
      <w:r w:rsidRPr="00F35404">
        <w:rPr>
          <w:b/>
          <w:bCs/>
          <w:i/>
          <w:iCs/>
        </w:rPr>
        <w:t xml:space="preserve">Advanced, </w:t>
      </w:r>
      <w:proofErr w:type="gramStart"/>
      <w:r w:rsidRPr="00F35404">
        <w:rPr>
          <w:b/>
          <w:bCs/>
          <w:i/>
          <w:iCs/>
        </w:rPr>
        <w:t>metastatic</w:t>
      </w:r>
      <w:proofErr w:type="gramEnd"/>
      <w:r w:rsidRPr="00F35404">
        <w:rPr>
          <w:b/>
          <w:bCs/>
          <w:i/>
          <w:iCs/>
        </w:rPr>
        <w:t xml:space="preserve"> or recurrent non-</w:t>
      </w:r>
      <w:r w:rsidR="00A7169D" w:rsidRPr="00F35404">
        <w:rPr>
          <w:b/>
          <w:bCs/>
          <w:i/>
          <w:iCs/>
        </w:rPr>
        <w:t xml:space="preserve">squamous non-small cell lung cancer </w:t>
      </w:r>
      <w:r w:rsidRPr="00F35404">
        <w:rPr>
          <w:b/>
          <w:bCs/>
          <w:i/>
          <w:iCs/>
        </w:rPr>
        <w:t>(NSCLC)</w:t>
      </w:r>
    </w:p>
    <w:p w14:paraId="06E7E1AC" w14:textId="32C57EFD" w:rsidR="007F4E2A" w:rsidRPr="00F35404" w:rsidRDefault="00667F81" w:rsidP="007F4E2A">
      <w:pPr>
        <w:ind w:left="720"/>
        <w:rPr>
          <w:i/>
          <w:iCs/>
        </w:rPr>
      </w:pPr>
      <w:r w:rsidRPr="00F35404">
        <w:rPr>
          <w:i/>
          <w:iCs/>
        </w:rPr>
        <w:t>Abevmy</w:t>
      </w:r>
      <w:r w:rsidR="007F4E2A" w:rsidRPr="00F35404">
        <w:rPr>
          <w:i/>
          <w:iCs/>
        </w:rPr>
        <w:t xml:space="preserve"> (bevacizumab), in combination with carboplatin and paclitaxel, is indicated for first- line treatment of patients with unresectable advanced, </w:t>
      </w:r>
      <w:proofErr w:type="gramStart"/>
      <w:r w:rsidR="007F4E2A" w:rsidRPr="00F35404">
        <w:rPr>
          <w:i/>
          <w:iCs/>
        </w:rPr>
        <w:t>metastatic</w:t>
      </w:r>
      <w:proofErr w:type="gramEnd"/>
      <w:r w:rsidR="007F4E2A" w:rsidRPr="00F35404">
        <w:rPr>
          <w:i/>
          <w:iCs/>
        </w:rPr>
        <w:t xml:space="preserve"> or recurrent, non-squamous, non- small cell lung cancer.</w:t>
      </w:r>
    </w:p>
    <w:p w14:paraId="08C930D2" w14:textId="775541C3" w:rsidR="007F4E2A" w:rsidRPr="00F35404" w:rsidRDefault="007F4E2A" w:rsidP="007F4E2A">
      <w:pPr>
        <w:ind w:left="720"/>
        <w:rPr>
          <w:b/>
          <w:bCs/>
          <w:i/>
          <w:iCs/>
        </w:rPr>
      </w:pPr>
      <w:r w:rsidRPr="00F35404">
        <w:rPr>
          <w:b/>
          <w:bCs/>
          <w:i/>
          <w:iCs/>
        </w:rPr>
        <w:t>Advanced and/or metasta</w:t>
      </w:r>
      <w:r w:rsidR="00A7169D" w:rsidRPr="00F35404">
        <w:rPr>
          <w:b/>
          <w:bCs/>
          <w:i/>
          <w:iCs/>
        </w:rPr>
        <w:t>tic renal cell cancer</w:t>
      </w:r>
    </w:p>
    <w:p w14:paraId="296297A5" w14:textId="30F8EF90" w:rsidR="007F4E2A" w:rsidRPr="00F35404" w:rsidRDefault="00667F81" w:rsidP="007F4E2A">
      <w:pPr>
        <w:ind w:left="720"/>
        <w:rPr>
          <w:i/>
          <w:iCs/>
        </w:rPr>
      </w:pPr>
      <w:r w:rsidRPr="00F35404">
        <w:rPr>
          <w:i/>
          <w:iCs/>
        </w:rPr>
        <w:t>Abevmy</w:t>
      </w:r>
      <w:r w:rsidR="007F4E2A" w:rsidRPr="00F35404">
        <w:rPr>
          <w:i/>
          <w:iCs/>
        </w:rPr>
        <w:t xml:space="preserve"> (bevacizumab) in combination with interferon alfa-2a is indicated for treatment of patients with advanced and/or metastatic renal cell cancer.</w:t>
      </w:r>
    </w:p>
    <w:p w14:paraId="466066FD" w14:textId="5DDF8BBA" w:rsidR="007F4E2A" w:rsidRPr="00F35404" w:rsidRDefault="007F4E2A" w:rsidP="007F4E2A">
      <w:pPr>
        <w:ind w:left="720"/>
        <w:rPr>
          <w:b/>
          <w:bCs/>
          <w:i/>
          <w:iCs/>
        </w:rPr>
      </w:pPr>
      <w:r w:rsidRPr="00F35404">
        <w:rPr>
          <w:b/>
          <w:bCs/>
          <w:i/>
          <w:iCs/>
        </w:rPr>
        <w:t xml:space="preserve">Grade IV </w:t>
      </w:r>
      <w:r w:rsidR="00A7169D" w:rsidRPr="00F35404">
        <w:rPr>
          <w:b/>
          <w:bCs/>
          <w:i/>
          <w:iCs/>
        </w:rPr>
        <w:t>glioma</w:t>
      </w:r>
    </w:p>
    <w:p w14:paraId="7B5BCDC6" w14:textId="1F288E58" w:rsidR="007F4E2A" w:rsidRPr="00F35404" w:rsidRDefault="00667F81" w:rsidP="007F4E2A">
      <w:pPr>
        <w:ind w:left="720"/>
        <w:rPr>
          <w:i/>
          <w:iCs/>
        </w:rPr>
      </w:pPr>
      <w:r w:rsidRPr="00F35404">
        <w:rPr>
          <w:i/>
          <w:iCs/>
        </w:rPr>
        <w:t>Abevmy</w:t>
      </w:r>
      <w:r w:rsidR="007F4E2A" w:rsidRPr="00F35404">
        <w:rPr>
          <w:i/>
          <w:iCs/>
        </w:rPr>
        <w:t xml:space="preserve"> (bevacizumab) as a single agent, is indicated for the treatment of patients with Grade IV glioma after relapse or disease progression after standard therapy, including chemotherapy.</w:t>
      </w:r>
    </w:p>
    <w:p w14:paraId="0BF22B48" w14:textId="782FE050" w:rsidR="007F4E2A" w:rsidRPr="00F35404" w:rsidRDefault="007F4E2A" w:rsidP="007F4E2A">
      <w:pPr>
        <w:ind w:left="720"/>
        <w:rPr>
          <w:b/>
          <w:bCs/>
          <w:i/>
          <w:iCs/>
        </w:rPr>
      </w:pPr>
      <w:r w:rsidRPr="00F35404">
        <w:rPr>
          <w:b/>
          <w:bCs/>
          <w:i/>
          <w:iCs/>
        </w:rPr>
        <w:t xml:space="preserve">Epithelial </w:t>
      </w:r>
      <w:r w:rsidR="00A7169D" w:rsidRPr="00F35404">
        <w:rPr>
          <w:b/>
          <w:bCs/>
          <w:i/>
          <w:iCs/>
        </w:rPr>
        <w:t>ovarian, fallopian tube or primary peritoneal cancer</w:t>
      </w:r>
    </w:p>
    <w:p w14:paraId="6473107E" w14:textId="2626CD9A" w:rsidR="007F4E2A" w:rsidRPr="00F35404" w:rsidRDefault="00667F81" w:rsidP="007F4E2A">
      <w:pPr>
        <w:ind w:left="720"/>
        <w:rPr>
          <w:i/>
          <w:iCs/>
        </w:rPr>
      </w:pPr>
      <w:r w:rsidRPr="00F35404">
        <w:rPr>
          <w:i/>
          <w:iCs/>
        </w:rPr>
        <w:t>Abevmy</w:t>
      </w:r>
      <w:r w:rsidR="007F4E2A" w:rsidRPr="00F35404">
        <w:rPr>
          <w:i/>
          <w:iCs/>
        </w:rPr>
        <w:t xml:space="preserve"> (bevacizumab) in combination with carboplatin and paclitaxel, is indicated for first- line treatment of patients with advanced (FIGO stages IIIB, IIIC and IV) epithelial ovarian, fallopian tube, or primary peritoneal cancer.</w:t>
      </w:r>
    </w:p>
    <w:p w14:paraId="2D4C997A" w14:textId="7EA72BC2" w:rsidR="007F4E2A" w:rsidRPr="00F35404" w:rsidRDefault="007F4E2A" w:rsidP="007F4E2A">
      <w:pPr>
        <w:ind w:left="720"/>
        <w:rPr>
          <w:b/>
          <w:bCs/>
          <w:i/>
          <w:iCs/>
        </w:rPr>
      </w:pPr>
      <w:r w:rsidRPr="00F35404">
        <w:rPr>
          <w:b/>
          <w:bCs/>
          <w:i/>
          <w:iCs/>
        </w:rPr>
        <w:t xml:space="preserve">Recurrent </w:t>
      </w:r>
      <w:r w:rsidR="00A7169D" w:rsidRPr="00F35404">
        <w:rPr>
          <w:b/>
          <w:bCs/>
          <w:i/>
          <w:iCs/>
        </w:rPr>
        <w:t>epithelial ovarian, fallopian tube or primary peritoneal cancer</w:t>
      </w:r>
    </w:p>
    <w:p w14:paraId="6EA89FC7" w14:textId="58FC8147" w:rsidR="007F4E2A" w:rsidRPr="00F35404" w:rsidRDefault="00667F81" w:rsidP="007F4E2A">
      <w:pPr>
        <w:ind w:left="720"/>
        <w:rPr>
          <w:i/>
          <w:iCs/>
        </w:rPr>
      </w:pPr>
      <w:r w:rsidRPr="00F35404">
        <w:rPr>
          <w:i/>
          <w:iCs/>
        </w:rPr>
        <w:lastRenderedPageBreak/>
        <w:t>Abevmy</w:t>
      </w:r>
      <w:r w:rsidR="007F4E2A" w:rsidRPr="00F35404">
        <w:rPr>
          <w:i/>
          <w:iCs/>
        </w:rPr>
        <w:t xml:space="preserve"> (bevacizumab) in combination with carboplatin and paclitaxel or in combination with carboplatin and gemcitabine, is indicated for the treatment of patients with first recurrence of platinum-sensitive, epithelial ovarian, fallopian tube, or primary peritoneal cancer who have not received prior bevacizumab or other VEGF-targeted angiogenesis inhibitors.</w:t>
      </w:r>
    </w:p>
    <w:p w14:paraId="560699EA" w14:textId="78830178" w:rsidR="007F4E2A" w:rsidRPr="00F35404" w:rsidRDefault="00667F81" w:rsidP="007F4E2A">
      <w:pPr>
        <w:ind w:left="720"/>
        <w:rPr>
          <w:i/>
          <w:iCs/>
        </w:rPr>
      </w:pPr>
      <w:r w:rsidRPr="00F35404">
        <w:rPr>
          <w:i/>
          <w:iCs/>
        </w:rPr>
        <w:t>Abevmy</w:t>
      </w:r>
      <w:r w:rsidR="007F4E2A" w:rsidRPr="00F35404">
        <w:rPr>
          <w:i/>
          <w:iCs/>
        </w:rPr>
        <w:t xml:space="preserve"> (bevacizumab) in combination with paclitaxel, topotecan or pegylated liposomal doxorubicin is indicated for the treatment of patients with recurrent, platinum-resistant epithelial ovarian, fallopian tube, or primary peritoneal cancer who have received no more than two prior chemotherapy </w:t>
      </w:r>
      <w:proofErr w:type="gramStart"/>
      <w:r w:rsidR="007F4E2A" w:rsidRPr="00F35404">
        <w:rPr>
          <w:i/>
          <w:iCs/>
        </w:rPr>
        <w:t>regimens, and</w:t>
      </w:r>
      <w:proofErr w:type="gramEnd"/>
      <w:r w:rsidR="007F4E2A" w:rsidRPr="00F35404">
        <w:rPr>
          <w:i/>
          <w:iCs/>
        </w:rPr>
        <w:t xml:space="preserve"> have not received any prior anti-angiogenic therapy including bevacizumab.</w:t>
      </w:r>
    </w:p>
    <w:p w14:paraId="564B9354" w14:textId="2AE43D79" w:rsidR="007F4E2A" w:rsidRPr="00F35404" w:rsidRDefault="007F4E2A" w:rsidP="007F4E2A">
      <w:pPr>
        <w:ind w:left="720"/>
        <w:rPr>
          <w:b/>
          <w:bCs/>
          <w:i/>
          <w:iCs/>
        </w:rPr>
      </w:pPr>
      <w:r w:rsidRPr="00F35404">
        <w:rPr>
          <w:b/>
          <w:bCs/>
          <w:i/>
          <w:iCs/>
        </w:rPr>
        <w:t xml:space="preserve">Cervical </w:t>
      </w:r>
      <w:r w:rsidR="00A7169D" w:rsidRPr="00F35404">
        <w:rPr>
          <w:b/>
          <w:bCs/>
          <w:i/>
          <w:iCs/>
        </w:rPr>
        <w:t>cancer</w:t>
      </w:r>
    </w:p>
    <w:p w14:paraId="0C666D00" w14:textId="512F8A52" w:rsidR="007F4E2A" w:rsidRPr="00F35404" w:rsidRDefault="00667F81" w:rsidP="007F4E2A">
      <w:pPr>
        <w:ind w:left="720"/>
        <w:rPr>
          <w:i/>
          <w:iCs/>
        </w:rPr>
      </w:pPr>
      <w:r w:rsidRPr="00F35404">
        <w:rPr>
          <w:i/>
          <w:iCs/>
        </w:rPr>
        <w:t>Abevmy</w:t>
      </w:r>
      <w:r w:rsidR="007F4E2A" w:rsidRPr="00F35404">
        <w:rPr>
          <w:i/>
          <w:iCs/>
        </w:rPr>
        <w:t xml:space="preserve"> (bevacizumab) in combination with paclitaxel and cisplatin is indicated for the treatment of persistent, </w:t>
      </w:r>
      <w:proofErr w:type="gramStart"/>
      <w:r w:rsidR="007F4E2A" w:rsidRPr="00F35404">
        <w:rPr>
          <w:i/>
          <w:iCs/>
        </w:rPr>
        <w:t>recurrent</w:t>
      </w:r>
      <w:proofErr w:type="gramEnd"/>
      <w:r w:rsidR="007F4E2A" w:rsidRPr="00F35404">
        <w:rPr>
          <w:i/>
          <w:iCs/>
        </w:rPr>
        <w:t xml:space="preserve"> or metastatic carcinoma of the cervix. </w:t>
      </w:r>
      <w:r w:rsidRPr="00F35404">
        <w:rPr>
          <w:i/>
          <w:iCs/>
        </w:rPr>
        <w:t>Abevmy</w:t>
      </w:r>
      <w:r w:rsidR="007F4E2A" w:rsidRPr="00F35404">
        <w:rPr>
          <w:i/>
          <w:iCs/>
        </w:rPr>
        <w:t xml:space="preserve"> (bevacizumab) in with paclitaxel and topotecan is an acceptable alternative where cisplatin is not tolerated or not indicated.</w:t>
      </w:r>
    </w:p>
    <w:p w14:paraId="026681DD" w14:textId="450FEA4F" w:rsidR="009F61CD" w:rsidRPr="00F35404" w:rsidRDefault="009F61CD" w:rsidP="009F61CD">
      <w:r w:rsidRPr="00F35404">
        <w:t>Colorectal cancer is the third most common cancer in men (663,000 cases, 10.0% of the total cancers) and the second in women (570,000 cases, 9.4% of the total cases) worldwide.</w:t>
      </w:r>
      <w:r w:rsidR="005A0C7A" w:rsidRPr="00F35404">
        <w:rPr>
          <w:rStyle w:val="FootnoteReference"/>
        </w:rPr>
        <w:footnoteReference w:id="3"/>
      </w:r>
      <w:r w:rsidR="005A0C7A" w:rsidRPr="00F35404">
        <w:t xml:space="preserve"> </w:t>
      </w:r>
      <w:r w:rsidRPr="00F35404">
        <w:t xml:space="preserve">Bevacizumab is part of the current standard of care first line treatment for patients with </w:t>
      </w:r>
      <w:r w:rsidR="009C14BA" w:rsidRPr="00F35404">
        <w:t>metastatic colorectal cancer</w:t>
      </w:r>
      <w:r w:rsidRPr="00F35404">
        <w:t xml:space="preserve">. Adding bevacizumab to chemotherapy prolongs survival in advanced colorectal cancer patients. </w:t>
      </w:r>
      <w:proofErr w:type="spellStart"/>
      <w:r w:rsidR="009C14BA" w:rsidRPr="00F35404">
        <w:t>Folfox</w:t>
      </w:r>
      <w:proofErr w:type="spellEnd"/>
      <w:r w:rsidR="009C14BA" w:rsidRPr="00F35404">
        <w:t xml:space="preserve"> </w:t>
      </w:r>
      <w:r w:rsidRPr="00F35404">
        <w:t xml:space="preserve">or </w:t>
      </w:r>
      <w:proofErr w:type="spellStart"/>
      <w:r w:rsidR="009C14BA" w:rsidRPr="00F35404">
        <w:t>Xelox</w:t>
      </w:r>
      <w:proofErr w:type="spellEnd"/>
      <w:r w:rsidR="009C14BA" w:rsidRPr="00F35404">
        <w:t xml:space="preserve"> </w:t>
      </w:r>
      <w:r w:rsidRPr="00F35404">
        <w:t>(capecitabine and oxaliplatin) is considered as a convenient first</w:t>
      </w:r>
      <w:r w:rsidR="009C14BA" w:rsidRPr="00F35404">
        <w:t xml:space="preserve"> </w:t>
      </w:r>
      <w:r w:rsidRPr="00F35404">
        <w:t>line treatment option for</w:t>
      </w:r>
      <w:r w:rsidR="007504A6" w:rsidRPr="00F35404">
        <w:t xml:space="preserve"> metastatic colorectal cancer</w:t>
      </w:r>
      <w:r w:rsidRPr="00F35404">
        <w:t xml:space="preserve"> patients.</w:t>
      </w:r>
      <w:r w:rsidR="005A0C7A" w:rsidRPr="00F35404">
        <w:t xml:space="preserve"> </w:t>
      </w:r>
      <w:r w:rsidRPr="00F35404">
        <w:t>Combining doublet chemotherapy regimens with bevacizumab has been shown to improve progression</w:t>
      </w:r>
      <w:r w:rsidR="009C14BA" w:rsidRPr="00F35404">
        <w:t xml:space="preserve"> </w:t>
      </w:r>
      <w:r w:rsidRPr="00F35404">
        <w:t xml:space="preserve">free survival (PFS) and overall survival (OS) in the treatment of patients with </w:t>
      </w:r>
      <w:r w:rsidR="007504A6" w:rsidRPr="00F35404">
        <w:t xml:space="preserve">metastatic colorectal cancer </w:t>
      </w:r>
      <w:r w:rsidRPr="00F35404">
        <w:t xml:space="preserve">in both the </w:t>
      </w:r>
      <w:proofErr w:type="gramStart"/>
      <w:r w:rsidRPr="00F35404">
        <w:t>first and second</w:t>
      </w:r>
      <w:r w:rsidR="009C14BA" w:rsidRPr="00F35404">
        <w:t xml:space="preserve"> </w:t>
      </w:r>
      <w:r w:rsidRPr="00F35404">
        <w:t>line</w:t>
      </w:r>
      <w:proofErr w:type="gramEnd"/>
      <w:r w:rsidRPr="00F35404">
        <w:t xml:space="preserve"> settings.</w:t>
      </w:r>
    </w:p>
    <w:p w14:paraId="17CC5229" w14:textId="4EDB1F6C" w:rsidR="009F61CD" w:rsidRPr="00F35404" w:rsidRDefault="009F61CD" w:rsidP="009F61CD">
      <w:r w:rsidRPr="00F35404">
        <w:t xml:space="preserve">Lung cancer is the most common cause of cancer mortality worldwide for both men and women. For patients with </w:t>
      </w:r>
      <w:r w:rsidR="009C14BA" w:rsidRPr="00F35404">
        <w:t>non-small cell lung cancer (NSCLC)</w:t>
      </w:r>
      <w:r w:rsidRPr="00F35404">
        <w:t xml:space="preserve">, initial management is largely determined by the stage of disease. For patients with </w:t>
      </w:r>
      <w:proofErr w:type="gramStart"/>
      <w:r w:rsidRPr="00F35404">
        <w:t>early stage</w:t>
      </w:r>
      <w:proofErr w:type="gramEnd"/>
      <w:r w:rsidRPr="00F35404">
        <w:t xml:space="preserve"> disease, surgical resection offers the best opportunity for cure, while concurrent chemoradiotherapy is preferred for those with more extensive intrathoracic disease. In contrast, patients with advanced disease are managed palliatively with systemic therapy and/or local palliative modalities</w:t>
      </w:r>
      <w:r w:rsidR="00263973" w:rsidRPr="00F35404">
        <w:t>.</w:t>
      </w:r>
      <w:r w:rsidRPr="00F35404">
        <w:rPr>
          <w:vertAlign w:val="superscript"/>
        </w:rPr>
        <w:footnoteReference w:id="4"/>
      </w:r>
    </w:p>
    <w:p w14:paraId="1994E901" w14:textId="3589D2FA" w:rsidR="009F61CD" w:rsidRPr="00F35404" w:rsidRDefault="009F61CD" w:rsidP="009F61CD">
      <w:r w:rsidRPr="00F35404">
        <w:t>In the treatment of cancers including colorectal cancer, the drug cost is growing faster than any other component of health care expenditure. There is an unmet need of similar biologic medicines and to improve affordable access to these medicines.</w:t>
      </w:r>
    </w:p>
    <w:p w14:paraId="3B212082" w14:textId="6B4B3D63" w:rsidR="00572A82" w:rsidRPr="00F35404" w:rsidRDefault="00572A82" w:rsidP="00572A82">
      <w:r w:rsidRPr="00F35404">
        <w:t xml:space="preserve">Bevacizumab is an immunoglobulin G1 humanised monoclonal antibody which selectively binds with high affinity to vascular endothelial growth factor (VEGF). Once it is bound to VEGF, it neutralises VEGF’s biologic activity by sterically hindering the binding of VEGF to its receptors (vascular endothelial growth factor receptor (VEGFR)-1 and VEGFR-2) on the surface of endothelial cells, thus inhibiting endothelial cell proliferation, angiogenesis, and VEGF induced vascular permeability. VEGF is an endogenously expressed protein that stimulates new blood vessel formation. Bevacizumab reduces solid tumour growth by neutralising the proangiogenic activity of VEGF, thereby reducing the amount of new blood vessel formation in the </w:t>
      </w:r>
      <w:proofErr w:type="gramStart"/>
      <w:r w:rsidR="00AE04AC" w:rsidRPr="00F35404">
        <w:t>tumour,</w:t>
      </w:r>
      <w:r w:rsidRPr="00F35404">
        <w:t xml:space="preserve"> and</w:t>
      </w:r>
      <w:proofErr w:type="gramEnd"/>
      <w:r w:rsidRPr="00F35404">
        <w:t xml:space="preserve"> facilitating the activity of concomitant chemotherapy.</w:t>
      </w:r>
    </w:p>
    <w:p w14:paraId="1F20149C" w14:textId="08ECD199" w:rsidR="00572A82" w:rsidRPr="00F35404" w:rsidRDefault="00572A82" w:rsidP="00572A82">
      <w:r w:rsidRPr="00F35404">
        <w:lastRenderedPageBreak/>
        <w:t>Abevmy has been developed as a biosimilar medicine to the biological medicine Avastin;</w:t>
      </w:r>
      <w:r w:rsidRPr="00F35404">
        <w:rPr>
          <w:rStyle w:val="FootnoteReference"/>
        </w:rPr>
        <w:footnoteReference w:id="5"/>
      </w:r>
      <w:r w:rsidRPr="00F35404">
        <w:t xml:space="preserve"> (bevacizumab). Avastin is approved in Australia for </w:t>
      </w:r>
      <w:proofErr w:type="gramStart"/>
      <w:r w:rsidRPr="00F35404">
        <w:t>a number of</w:t>
      </w:r>
      <w:proofErr w:type="gramEnd"/>
      <w:r w:rsidRPr="00F35404">
        <w:t xml:space="preserve"> indications. Dosage varies with the indication. The proposed dose regimens for Abevmy are the same as those approved for Avastin. Dosages vary from 5 mg/kg of body weight given once every 2 weeks to 15 mg/kg given every 3 weeks, until progression of disease. The exception to this duration is in the first line treatment of epithelial ovarian, fallopian tube or primary peritoneal cancer, where treatment is recommended to continue for a total of 15 months therapy or until disease progression, whichever occurs earlier.</w:t>
      </w:r>
    </w:p>
    <w:p w14:paraId="00BB87AF" w14:textId="5834C50A" w:rsidR="009F61CD" w:rsidRPr="00F35404" w:rsidRDefault="009F61CD" w:rsidP="009F61CD">
      <w:r w:rsidRPr="00F35404">
        <w:t>In the pivotal studies,</w:t>
      </w:r>
      <w:r w:rsidR="00232281" w:rsidRPr="00F35404">
        <w:t xml:space="preserve"> the sponsor </w:t>
      </w:r>
      <w:r w:rsidRPr="00F35404">
        <w:t>selected subject populations and clinical endpoints sensitive to detect any clinically meaningful differences between MYL-1402O</w:t>
      </w:r>
      <w:r w:rsidR="005A0C7A" w:rsidRPr="00F35404">
        <w:t xml:space="preserve"> (</w:t>
      </w:r>
      <w:r w:rsidR="00B6743D">
        <w:t>p</w:t>
      </w:r>
      <w:r w:rsidR="00B6743D" w:rsidRPr="00B6743D">
        <w:t>roduct code for Abevmy formulation intended for marketing in Australia</w:t>
      </w:r>
      <w:r w:rsidR="005A0C7A" w:rsidRPr="00F35404">
        <w:t xml:space="preserve">) </w:t>
      </w:r>
      <w:r w:rsidRPr="00F35404">
        <w:t>and Avastin, if such differences existed.</w:t>
      </w:r>
    </w:p>
    <w:p w14:paraId="766D7490" w14:textId="77777777" w:rsidR="008E7846" w:rsidRPr="00F35404" w:rsidRDefault="00386150" w:rsidP="008E7846">
      <w:pPr>
        <w:pStyle w:val="Heading3"/>
      </w:pPr>
      <w:bookmarkStart w:id="19" w:name="_Toc314842485"/>
      <w:bookmarkStart w:id="20" w:name="_Toc247691504"/>
      <w:bookmarkStart w:id="21" w:name="_Toc94253942"/>
      <w:r w:rsidRPr="00F35404">
        <w:t>Regulatory s</w:t>
      </w:r>
      <w:r w:rsidR="008E7846" w:rsidRPr="00F35404">
        <w:t>tatus</w:t>
      </w:r>
      <w:bookmarkEnd w:id="19"/>
      <w:bookmarkEnd w:id="20"/>
      <w:bookmarkEnd w:id="21"/>
    </w:p>
    <w:p w14:paraId="601DA6D5" w14:textId="7D4C0AE9" w:rsidR="00940A89" w:rsidRPr="00F35404" w:rsidRDefault="00655A3F" w:rsidP="00940A89">
      <w:bookmarkStart w:id="22" w:name="_Toc247691505"/>
      <w:bookmarkStart w:id="23" w:name="_Toc314842486"/>
      <w:r>
        <w:t xml:space="preserve">Abevmy (bevacizumab) </w:t>
      </w:r>
      <w:r w:rsidR="00006FAB" w:rsidRPr="00F35404">
        <w:t>is considered a new biosimilar medicine for Australian regulatory purposes.</w:t>
      </w:r>
      <w:r w:rsidR="00201CA0">
        <w:t xml:space="preserve"> Abevmy has been developed a</w:t>
      </w:r>
      <w:r>
        <w:t>s</w:t>
      </w:r>
      <w:r w:rsidR="00201CA0">
        <w:t xml:space="preserve"> biosimilar medicine to Avastin (bevacizumab)</w:t>
      </w:r>
      <w:r>
        <w:t xml:space="preserve"> that was first approved by the TGA and received registration on the Australian Register of </w:t>
      </w:r>
      <w:proofErr w:type="spellStart"/>
      <w:r>
        <w:t>Therapeautic</w:t>
      </w:r>
      <w:proofErr w:type="spellEnd"/>
      <w:r>
        <w:t xml:space="preserve"> Goods (ARTG) in February 2005.</w:t>
      </w:r>
    </w:p>
    <w:p w14:paraId="27609354" w14:textId="694B9576" w:rsidR="00006FAB" w:rsidRPr="00F35404" w:rsidRDefault="00006FAB" w:rsidP="00263973">
      <w:r w:rsidRPr="00F35404">
        <w:t>At the time the TGA considered this application, similar</w:t>
      </w:r>
      <w:r w:rsidR="00612D16" w:rsidRPr="00F35404">
        <w:t xml:space="preserve"> applications</w:t>
      </w:r>
      <w:r w:rsidRPr="00F35404">
        <w:t xml:space="preserve"> </w:t>
      </w:r>
      <w:r w:rsidR="00263973" w:rsidRPr="00F35404">
        <w:t>were</w:t>
      </w:r>
      <w:r w:rsidRPr="00F35404">
        <w:t xml:space="preserve"> under consideration in </w:t>
      </w:r>
      <w:r w:rsidR="00263973" w:rsidRPr="00F35404">
        <w:t>the European Union</w:t>
      </w:r>
      <w:r w:rsidR="003C6E65" w:rsidRPr="00F35404">
        <w:t xml:space="preserve"> (EU)</w:t>
      </w:r>
      <w:r w:rsidR="00263973" w:rsidRPr="00F35404">
        <w:t xml:space="preserve"> (submitted on 27 February 2020), </w:t>
      </w:r>
      <w:r w:rsidR="00201CA0">
        <w:t>t</w:t>
      </w:r>
      <w:r w:rsidR="00263973" w:rsidRPr="00F35404">
        <w:t>he United States of America</w:t>
      </w:r>
      <w:r w:rsidR="003C6E65" w:rsidRPr="00F35404">
        <w:t xml:space="preserve"> (USA)</w:t>
      </w:r>
      <w:r w:rsidR="00263973" w:rsidRPr="00F35404">
        <w:t xml:space="preserve"> (submitted on 27 December 2019), Canada (submitted on 5</w:t>
      </w:r>
      <w:r w:rsidR="00612D16" w:rsidRPr="00F35404">
        <w:t> </w:t>
      </w:r>
      <w:r w:rsidR="00263973" w:rsidRPr="00F35404">
        <w:t>June</w:t>
      </w:r>
      <w:r w:rsidR="00612D16" w:rsidRPr="00F35404">
        <w:t> </w:t>
      </w:r>
      <w:r w:rsidR="00263973" w:rsidRPr="00F35404">
        <w:t>2020), New Zealand (</w:t>
      </w:r>
      <w:r w:rsidR="003C6E65" w:rsidRPr="00F35404">
        <w:t>submitted</w:t>
      </w:r>
      <w:r w:rsidR="00263973" w:rsidRPr="00F35404">
        <w:t xml:space="preserve"> on 17 June 2020) and Switzerland (submitted on 4</w:t>
      </w:r>
      <w:r w:rsidR="00612D16" w:rsidRPr="00F35404">
        <w:t> </w:t>
      </w:r>
      <w:r w:rsidR="00263973" w:rsidRPr="00F35404">
        <w:t>December 2020).</w:t>
      </w:r>
    </w:p>
    <w:p w14:paraId="1368383A" w14:textId="77777777" w:rsidR="008E7846" w:rsidRPr="00F35404" w:rsidRDefault="008E7846" w:rsidP="00940A89">
      <w:pPr>
        <w:pStyle w:val="Heading3"/>
      </w:pPr>
      <w:bookmarkStart w:id="24" w:name="_Toc94253943"/>
      <w:r w:rsidRPr="00F35404">
        <w:t>Product Information</w:t>
      </w:r>
      <w:bookmarkEnd w:id="22"/>
      <w:bookmarkEnd w:id="23"/>
      <w:bookmarkEnd w:id="24"/>
    </w:p>
    <w:p w14:paraId="2041D559" w14:textId="2DB4FE24" w:rsidR="00940A89" w:rsidRPr="00F35404" w:rsidRDefault="006136D7" w:rsidP="00940A89">
      <w:bookmarkStart w:id="25" w:name="_Toc247691506"/>
      <w:bookmarkStart w:id="26" w:name="_Toc314842487"/>
      <w:r w:rsidRPr="00F35404">
        <w:t xml:space="preserve">The Product Information (PI) approved with the submission which is described in this AusPAR can be found as Attachment 1. For the most recent PI, please refer to the TGA website at </w:t>
      </w:r>
      <w:r w:rsidR="00441C3F" w:rsidRPr="00F35404">
        <w:t>&lt;</w:t>
      </w:r>
      <w:hyperlink r:id="rId13" w:history="1">
        <w:r w:rsidR="00441C3F" w:rsidRPr="00F35404">
          <w:rPr>
            <w:rStyle w:val="Hyperlink"/>
          </w:rPr>
          <w:t>https://www.tga.gov.au/product-information-pi</w:t>
        </w:r>
      </w:hyperlink>
      <w:r w:rsidR="00441C3F" w:rsidRPr="00F35404">
        <w:t>&gt;</w:t>
      </w:r>
      <w:r w:rsidR="00940A89" w:rsidRPr="00F35404">
        <w:t>.</w:t>
      </w:r>
    </w:p>
    <w:p w14:paraId="2F23DC9B" w14:textId="77777777" w:rsidR="00500337" w:rsidRPr="00F35404" w:rsidRDefault="00500337" w:rsidP="00500337">
      <w:pPr>
        <w:pStyle w:val="Heading2"/>
      </w:pPr>
      <w:bookmarkStart w:id="27" w:name="_Toc504480011"/>
      <w:bookmarkStart w:id="28" w:name="_Toc94253944"/>
      <w:r w:rsidRPr="00F35404">
        <w:t>II. Registration timeline</w:t>
      </w:r>
      <w:bookmarkEnd w:id="27"/>
      <w:bookmarkEnd w:id="28"/>
    </w:p>
    <w:p w14:paraId="0DD2FD74" w14:textId="77777777" w:rsidR="00500337" w:rsidRPr="00F35404" w:rsidRDefault="00500337" w:rsidP="00500337">
      <w:r w:rsidRPr="00F35404">
        <w:t xml:space="preserve">The following table captures the key steps and dates for this </w:t>
      </w:r>
      <w:proofErr w:type="gramStart"/>
      <w:r w:rsidRPr="00F35404">
        <w:t>application</w:t>
      </w:r>
      <w:proofErr w:type="gramEnd"/>
      <w:r w:rsidRPr="00F35404">
        <w:t xml:space="preserve"> and which are detailed and discussed in this AusPAR.</w:t>
      </w:r>
    </w:p>
    <w:p w14:paraId="60224311" w14:textId="6D473D2F" w:rsidR="00AB7EFA" w:rsidRDefault="00AB7EFA" w:rsidP="00737AC8">
      <w:pPr>
        <w:pStyle w:val="TableTitle"/>
      </w:pPr>
      <w:r>
        <w:t xml:space="preserve">Table </w:t>
      </w:r>
      <w:fldSimple w:instr=" SEQ Table \* ARABIC ">
        <w:r w:rsidR="00D0686E">
          <w:rPr>
            <w:noProof/>
          </w:rPr>
          <w:t>1</w:t>
        </w:r>
      </w:fldSimple>
      <w:r>
        <w:t>: Timeline for Submission PM-2020-01736-1-4</w:t>
      </w:r>
    </w:p>
    <w:tbl>
      <w:tblPr>
        <w:tblStyle w:val="TableTGAblue"/>
        <w:tblW w:w="0" w:type="auto"/>
        <w:tblLook w:val="04A0" w:firstRow="1" w:lastRow="0" w:firstColumn="1" w:lastColumn="0" w:noHBand="0" w:noVBand="1"/>
      </w:tblPr>
      <w:tblGrid>
        <w:gridCol w:w="4263"/>
        <w:gridCol w:w="4231"/>
      </w:tblGrid>
      <w:tr w:rsidR="00500337" w:rsidRPr="00F35404" w14:paraId="05AC369A" w14:textId="77777777" w:rsidTr="00A1065C">
        <w:trPr>
          <w:cnfStyle w:val="100000000000" w:firstRow="1" w:lastRow="0" w:firstColumn="0" w:lastColumn="0" w:oddVBand="0" w:evenVBand="0" w:oddHBand="0" w:evenHBand="0" w:firstRowFirstColumn="0" w:firstRowLastColumn="0" w:lastRowFirstColumn="0" w:lastRowLastColumn="0"/>
          <w:cantSplit/>
        </w:trPr>
        <w:tc>
          <w:tcPr>
            <w:tcW w:w="4263" w:type="dxa"/>
            <w:tcBorders>
              <w:top w:val="single" w:sz="4" w:space="0" w:color="auto"/>
              <w:left w:val="single" w:sz="4" w:space="0" w:color="auto"/>
              <w:bottom w:val="single" w:sz="4" w:space="0" w:color="auto"/>
              <w:right w:val="single" w:sz="4" w:space="0" w:color="auto"/>
            </w:tcBorders>
          </w:tcPr>
          <w:p w14:paraId="07CB4E50" w14:textId="77777777" w:rsidR="00500337" w:rsidRPr="00F35404" w:rsidRDefault="00500337" w:rsidP="00500337">
            <w:pPr>
              <w:ind w:left="0" w:right="0"/>
            </w:pPr>
            <w:r w:rsidRPr="00F35404">
              <w:t>Description</w:t>
            </w:r>
          </w:p>
        </w:tc>
        <w:tc>
          <w:tcPr>
            <w:tcW w:w="4231" w:type="dxa"/>
            <w:tcBorders>
              <w:top w:val="single" w:sz="4" w:space="0" w:color="auto"/>
              <w:left w:val="single" w:sz="4" w:space="0" w:color="auto"/>
              <w:bottom w:val="single" w:sz="4" w:space="0" w:color="auto"/>
              <w:right w:val="single" w:sz="4" w:space="0" w:color="auto"/>
            </w:tcBorders>
          </w:tcPr>
          <w:p w14:paraId="1D880172" w14:textId="77777777" w:rsidR="00500337" w:rsidRPr="00F35404" w:rsidRDefault="00500337" w:rsidP="00500337">
            <w:pPr>
              <w:ind w:left="0" w:right="0"/>
            </w:pPr>
            <w:r w:rsidRPr="00F35404">
              <w:t>Date</w:t>
            </w:r>
          </w:p>
        </w:tc>
      </w:tr>
      <w:tr w:rsidR="00A1065C" w:rsidRPr="00F35404" w14:paraId="3A89F645" w14:textId="77777777" w:rsidTr="00A1065C">
        <w:tc>
          <w:tcPr>
            <w:tcW w:w="4263" w:type="dxa"/>
            <w:tcBorders>
              <w:top w:val="single" w:sz="4" w:space="0" w:color="auto"/>
            </w:tcBorders>
          </w:tcPr>
          <w:p w14:paraId="3AB770A9" w14:textId="77777777" w:rsidR="00A1065C" w:rsidRPr="00F35404" w:rsidRDefault="00A1065C" w:rsidP="00A1065C">
            <w:pPr>
              <w:ind w:left="0" w:right="0"/>
            </w:pPr>
            <w:r w:rsidRPr="00F35404">
              <w:t>Submission dossier accepted and first round evaluation commenced</w:t>
            </w:r>
          </w:p>
        </w:tc>
        <w:tc>
          <w:tcPr>
            <w:tcW w:w="4231" w:type="dxa"/>
            <w:tcBorders>
              <w:top w:val="single" w:sz="4" w:space="0" w:color="auto"/>
            </w:tcBorders>
          </w:tcPr>
          <w:p w14:paraId="2A69DE82" w14:textId="390B5971" w:rsidR="00A1065C" w:rsidRPr="00F35404" w:rsidRDefault="00A1065C" w:rsidP="00A1065C">
            <w:pPr>
              <w:ind w:left="0" w:right="0"/>
            </w:pPr>
            <w:r w:rsidRPr="00F35404">
              <w:t>2 June 2020</w:t>
            </w:r>
          </w:p>
        </w:tc>
      </w:tr>
      <w:tr w:rsidR="00A1065C" w:rsidRPr="00F35404" w14:paraId="2EF35DF5" w14:textId="77777777" w:rsidTr="00A1065C">
        <w:tc>
          <w:tcPr>
            <w:tcW w:w="4263" w:type="dxa"/>
          </w:tcPr>
          <w:p w14:paraId="59B99520" w14:textId="77777777" w:rsidR="00A1065C" w:rsidRPr="00F35404" w:rsidRDefault="00A1065C" w:rsidP="00A1065C">
            <w:pPr>
              <w:ind w:left="0" w:right="0"/>
            </w:pPr>
            <w:r w:rsidRPr="00F35404">
              <w:t>First round evaluation completed</w:t>
            </w:r>
          </w:p>
        </w:tc>
        <w:tc>
          <w:tcPr>
            <w:tcW w:w="4231" w:type="dxa"/>
          </w:tcPr>
          <w:p w14:paraId="3F9AC138" w14:textId="037320BE" w:rsidR="00A1065C" w:rsidRPr="00F35404" w:rsidRDefault="00A1065C" w:rsidP="00A1065C">
            <w:pPr>
              <w:ind w:left="0" w:right="0"/>
            </w:pPr>
            <w:r w:rsidRPr="00F35404">
              <w:t>2 November 2020</w:t>
            </w:r>
          </w:p>
        </w:tc>
      </w:tr>
      <w:tr w:rsidR="00A1065C" w:rsidRPr="00F35404" w14:paraId="35EF5305" w14:textId="77777777" w:rsidTr="00A1065C">
        <w:tc>
          <w:tcPr>
            <w:tcW w:w="4263" w:type="dxa"/>
          </w:tcPr>
          <w:p w14:paraId="496846F6" w14:textId="77777777" w:rsidR="00A1065C" w:rsidRPr="00F35404" w:rsidRDefault="00A1065C" w:rsidP="00A1065C">
            <w:pPr>
              <w:ind w:left="0" w:right="0"/>
            </w:pPr>
            <w:r w:rsidRPr="00F35404">
              <w:t>Sponsor provides responses on questions raised in first round evaluation</w:t>
            </w:r>
          </w:p>
        </w:tc>
        <w:tc>
          <w:tcPr>
            <w:tcW w:w="4231" w:type="dxa"/>
          </w:tcPr>
          <w:p w14:paraId="407725BB" w14:textId="72BBC095" w:rsidR="00A1065C" w:rsidRPr="00F35404" w:rsidRDefault="00A1065C" w:rsidP="00A1065C">
            <w:pPr>
              <w:ind w:left="0" w:right="0"/>
            </w:pPr>
            <w:r w:rsidRPr="00F35404">
              <w:t>4 January 2021</w:t>
            </w:r>
          </w:p>
        </w:tc>
      </w:tr>
      <w:tr w:rsidR="00A1065C" w:rsidRPr="00F35404" w14:paraId="1917E58E" w14:textId="77777777" w:rsidTr="00A1065C">
        <w:tc>
          <w:tcPr>
            <w:tcW w:w="4263" w:type="dxa"/>
          </w:tcPr>
          <w:p w14:paraId="3950C9B9" w14:textId="77777777" w:rsidR="00A1065C" w:rsidRPr="00F35404" w:rsidRDefault="00A1065C" w:rsidP="00A1065C">
            <w:pPr>
              <w:ind w:left="0" w:right="0"/>
            </w:pPr>
            <w:r w:rsidRPr="00F35404">
              <w:t>Second round evaluation completed</w:t>
            </w:r>
          </w:p>
        </w:tc>
        <w:tc>
          <w:tcPr>
            <w:tcW w:w="4231" w:type="dxa"/>
          </w:tcPr>
          <w:p w14:paraId="6B578F0D" w14:textId="27D810BD" w:rsidR="00A1065C" w:rsidRPr="00F35404" w:rsidRDefault="00A1065C" w:rsidP="00A1065C">
            <w:pPr>
              <w:ind w:left="0" w:right="0"/>
            </w:pPr>
            <w:r w:rsidRPr="00F35404">
              <w:t>17 February 2021</w:t>
            </w:r>
          </w:p>
        </w:tc>
      </w:tr>
      <w:tr w:rsidR="00A1065C" w:rsidRPr="00F35404" w14:paraId="69AC23FF" w14:textId="77777777" w:rsidTr="00A1065C">
        <w:tc>
          <w:tcPr>
            <w:tcW w:w="4263" w:type="dxa"/>
          </w:tcPr>
          <w:p w14:paraId="44CE2791" w14:textId="6448DC82" w:rsidR="00A1065C" w:rsidRPr="00F35404" w:rsidRDefault="00A1065C" w:rsidP="00A1065C">
            <w:pPr>
              <w:ind w:left="0" w:right="0"/>
            </w:pPr>
            <w:r w:rsidRPr="00F35404">
              <w:lastRenderedPageBreak/>
              <w:t>Delegate’s Overall benefit-risk assessment</w:t>
            </w:r>
          </w:p>
        </w:tc>
        <w:tc>
          <w:tcPr>
            <w:tcW w:w="4231" w:type="dxa"/>
          </w:tcPr>
          <w:p w14:paraId="33D0BB3F" w14:textId="2706D8D6" w:rsidR="00A1065C" w:rsidRPr="00F35404" w:rsidRDefault="00A1065C" w:rsidP="00A1065C">
            <w:pPr>
              <w:ind w:left="0" w:right="0"/>
            </w:pPr>
            <w:r w:rsidRPr="00F35404">
              <w:t>4 May 2021</w:t>
            </w:r>
          </w:p>
        </w:tc>
      </w:tr>
      <w:tr w:rsidR="00A1065C" w:rsidRPr="00F35404" w14:paraId="037ED16F" w14:textId="77777777" w:rsidTr="00A1065C">
        <w:tc>
          <w:tcPr>
            <w:tcW w:w="4263" w:type="dxa"/>
          </w:tcPr>
          <w:p w14:paraId="0BEDCBC0" w14:textId="77777777" w:rsidR="00A1065C" w:rsidRPr="00F35404" w:rsidRDefault="00A1065C" w:rsidP="00A1065C">
            <w:pPr>
              <w:ind w:left="0" w:right="0"/>
            </w:pPr>
            <w:r w:rsidRPr="00F35404">
              <w:t>Sponsor’s pre-Advisory Committee response</w:t>
            </w:r>
          </w:p>
        </w:tc>
        <w:tc>
          <w:tcPr>
            <w:tcW w:w="4231" w:type="dxa"/>
          </w:tcPr>
          <w:p w14:paraId="3CAE3D9F" w14:textId="4CB949BB" w:rsidR="00A1065C" w:rsidRPr="00F35404" w:rsidRDefault="00A1065C" w:rsidP="00A1065C">
            <w:pPr>
              <w:ind w:left="0" w:right="0"/>
            </w:pPr>
            <w:r w:rsidRPr="00F35404">
              <w:t>Not applicable</w:t>
            </w:r>
          </w:p>
        </w:tc>
      </w:tr>
      <w:tr w:rsidR="00A1065C" w:rsidRPr="00F35404" w14:paraId="34AC1E9E" w14:textId="77777777" w:rsidTr="00A1065C">
        <w:tc>
          <w:tcPr>
            <w:tcW w:w="4263" w:type="dxa"/>
          </w:tcPr>
          <w:p w14:paraId="33354C8B" w14:textId="77777777" w:rsidR="00A1065C" w:rsidRPr="00F35404" w:rsidRDefault="00A1065C" w:rsidP="00A1065C">
            <w:pPr>
              <w:ind w:left="0" w:right="0"/>
            </w:pPr>
            <w:r w:rsidRPr="00F35404">
              <w:t>Advisory Committee meeting</w:t>
            </w:r>
          </w:p>
        </w:tc>
        <w:tc>
          <w:tcPr>
            <w:tcW w:w="4231" w:type="dxa"/>
          </w:tcPr>
          <w:p w14:paraId="1EC63356" w14:textId="7B4E696A" w:rsidR="00A1065C" w:rsidRPr="00F35404" w:rsidRDefault="00A1065C" w:rsidP="00A1065C">
            <w:pPr>
              <w:ind w:left="0" w:right="0"/>
            </w:pPr>
            <w:r w:rsidRPr="00F35404">
              <w:t>Not applicable</w:t>
            </w:r>
          </w:p>
        </w:tc>
      </w:tr>
      <w:tr w:rsidR="00A1065C" w:rsidRPr="00F35404" w14:paraId="1AFD52A1" w14:textId="77777777" w:rsidTr="00A1065C">
        <w:tc>
          <w:tcPr>
            <w:tcW w:w="4263" w:type="dxa"/>
          </w:tcPr>
          <w:p w14:paraId="4A1F6BF7" w14:textId="77777777" w:rsidR="00A1065C" w:rsidRPr="00F35404" w:rsidRDefault="00A1065C" w:rsidP="00A1065C">
            <w:pPr>
              <w:ind w:left="0" w:right="0"/>
            </w:pPr>
            <w:r w:rsidRPr="00F35404">
              <w:t>Registration decision (Outcome)</w:t>
            </w:r>
          </w:p>
        </w:tc>
        <w:tc>
          <w:tcPr>
            <w:tcW w:w="4231" w:type="dxa"/>
          </w:tcPr>
          <w:p w14:paraId="327DB108" w14:textId="0A2F0996" w:rsidR="00A1065C" w:rsidRPr="00F35404" w:rsidRDefault="00A1065C" w:rsidP="00A1065C">
            <w:pPr>
              <w:ind w:left="0" w:right="0"/>
            </w:pPr>
            <w:r w:rsidRPr="00F35404">
              <w:t>10 May 2021</w:t>
            </w:r>
          </w:p>
        </w:tc>
      </w:tr>
      <w:tr w:rsidR="00A1065C" w:rsidRPr="00F35404" w14:paraId="7E587110" w14:textId="77777777" w:rsidTr="00A1065C">
        <w:tc>
          <w:tcPr>
            <w:tcW w:w="4263" w:type="dxa"/>
          </w:tcPr>
          <w:p w14:paraId="0357B259" w14:textId="77777777" w:rsidR="00A1065C" w:rsidRPr="00F35404" w:rsidRDefault="00A1065C" w:rsidP="00A1065C">
            <w:pPr>
              <w:ind w:left="0" w:right="0"/>
            </w:pPr>
            <w:r w:rsidRPr="00F35404">
              <w:t>Completion of administrative activities and registration on the ARTG</w:t>
            </w:r>
          </w:p>
        </w:tc>
        <w:tc>
          <w:tcPr>
            <w:tcW w:w="4231" w:type="dxa"/>
          </w:tcPr>
          <w:p w14:paraId="5661BB3A" w14:textId="498F7F8E" w:rsidR="00A1065C" w:rsidRPr="00F35404" w:rsidRDefault="00A1065C" w:rsidP="00A1065C">
            <w:pPr>
              <w:ind w:left="0" w:right="0"/>
            </w:pPr>
            <w:r w:rsidRPr="00F35404">
              <w:t>6 September 2021</w:t>
            </w:r>
          </w:p>
        </w:tc>
      </w:tr>
      <w:tr w:rsidR="00A1065C" w:rsidRPr="00F35404" w14:paraId="4F03AD39" w14:textId="77777777" w:rsidTr="00A1065C">
        <w:tc>
          <w:tcPr>
            <w:tcW w:w="4263" w:type="dxa"/>
          </w:tcPr>
          <w:p w14:paraId="21F68094" w14:textId="77777777" w:rsidR="00A1065C" w:rsidRPr="00F35404" w:rsidRDefault="00A1065C" w:rsidP="00A1065C">
            <w:pPr>
              <w:ind w:left="0" w:right="0"/>
            </w:pPr>
            <w:r w:rsidRPr="00F35404">
              <w:t>Number of working days from submission dossier acceptance to registration decision*</w:t>
            </w:r>
          </w:p>
        </w:tc>
        <w:tc>
          <w:tcPr>
            <w:tcW w:w="4231" w:type="dxa"/>
          </w:tcPr>
          <w:p w14:paraId="08AF7AB8" w14:textId="211D500B" w:rsidR="00A1065C" w:rsidRPr="00F35404" w:rsidRDefault="00A1065C" w:rsidP="00A1065C">
            <w:pPr>
              <w:ind w:left="0" w:right="0"/>
            </w:pPr>
            <w:r w:rsidRPr="00F35404">
              <w:t>193</w:t>
            </w:r>
          </w:p>
        </w:tc>
      </w:tr>
    </w:tbl>
    <w:p w14:paraId="5B194F61" w14:textId="77777777" w:rsidR="00500337" w:rsidRPr="00F35404" w:rsidRDefault="00500337" w:rsidP="00500337">
      <w:pPr>
        <w:pStyle w:val="TableDescription"/>
      </w:pPr>
      <w:r w:rsidRPr="00F35404">
        <w:t>*</w:t>
      </w:r>
      <w:r w:rsidR="00BF3774" w:rsidRPr="00F35404">
        <w:t xml:space="preserve">Statutory </w:t>
      </w:r>
      <w:r w:rsidRPr="00F35404">
        <w:t>timeframe for standard applications is 2</w:t>
      </w:r>
      <w:r w:rsidR="00BF3774" w:rsidRPr="00F35404">
        <w:t>55</w:t>
      </w:r>
      <w:r w:rsidRPr="00F35404">
        <w:t xml:space="preserve"> working days</w:t>
      </w:r>
    </w:p>
    <w:p w14:paraId="5F408BA3" w14:textId="77777777" w:rsidR="008E7846" w:rsidRPr="00F35404" w:rsidRDefault="00456765" w:rsidP="008E7846">
      <w:pPr>
        <w:pStyle w:val="Heading2"/>
      </w:pPr>
      <w:bookmarkStart w:id="29" w:name="_Toc196046504"/>
      <w:bookmarkStart w:id="30" w:name="_Toc247691527"/>
      <w:bookmarkStart w:id="31" w:name="_Toc314842510"/>
      <w:bookmarkStart w:id="32" w:name="_Toc94253945"/>
      <w:bookmarkStart w:id="33" w:name="_Toc163441390"/>
      <w:bookmarkEnd w:id="25"/>
      <w:bookmarkEnd w:id="26"/>
      <w:bookmarkEnd w:id="1"/>
      <w:r w:rsidRPr="00F35404">
        <w:t>I</w:t>
      </w:r>
      <w:r w:rsidR="00DA64CB" w:rsidRPr="00F35404">
        <w:t>I</w:t>
      </w:r>
      <w:r w:rsidR="008E7846" w:rsidRPr="00F35404">
        <w:t xml:space="preserve">I. </w:t>
      </w:r>
      <w:r w:rsidR="00006FAB" w:rsidRPr="00F35404">
        <w:t xml:space="preserve">Submission overview </w:t>
      </w:r>
      <w:r w:rsidR="008E7846" w:rsidRPr="00F35404">
        <w:t>and risk/benefit assessment</w:t>
      </w:r>
      <w:bookmarkEnd w:id="29"/>
      <w:bookmarkEnd w:id="30"/>
      <w:bookmarkEnd w:id="31"/>
      <w:bookmarkEnd w:id="32"/>
    </w:p>
    <w:p w14:paraId="4A39D69D" w14:textId="62624362" w:rsidR="00006FAB" w:rsidRPr="00F35404" w:rsidRDefault="00006FAB" w:rsidP="00006FAB">
      <w:bookmarkStart w:id="34" w:name="_Toc247691528"/>
      <w:r w:rsidRPr="00F35404">
        <w:t>The submission was summarised in the following Delegate’s overview and recommendations.</w:t>
      </w:r>
    </w:p>
    <w:p w14:paraId="6EBFF68B" w14:textId="4CE9E664" w:rsidR="00EA1FFC" w:rsidRPr="00F35404" w:rsidRDefault="00EA1FFC" w:rsidP="00006FAB">
      <w:r w:rsidRPr="00F35404">
        <w:t>Relevant guidelines or guidance documents referred to by the Delegate are listed below:</w:t>
      </w:r>
    </w:p>
    <w:p w14:paraId="0E8A4694" w14:textId="759B3465" w:rsidR="003E2067" w:rsidRPr="00F35404" w:rsidRDefault="006434A0" w:rsidP="002138AB">
      <w:pPr>
        <w:pStyle w:val="ListBullet"/>
      </w:pPr>
      <w:r w:rsidRPr="00F35404">
        <w:t xml:space="preserve">European Medicines Evaluation Agency (EMEA), Committee </w:t>
      </w:r>
      <w:r w:rsidR="00224DB4" w:rsidRPr="00F35404">
        <w:t>f</w:t>
      </w:r>
      <w:r w:rsidRPr="00F35404">
        <w:t xml:space="preserve">or Medicinal Products </w:t>
      </w:r>
      <w:r w:rsidR="00224DB4" w:rsidRPr="00F35404">
        <w:t>f</w:t>
      </w:r>
      <w:r w:rsidRPr="00F35404">
        <w:t>or Human Use (CHMP), Guideline on Similar Biological Medicinal Products</w:t>
      </w:r>
      <w:r w:rsidR="003E2067" w:rsidRPr="00F35404">
        <w:t>, CHMP/437/04, 30 October 2005.</w:t>
      </w:r>
    </w:p>
    <w:p w14:paraId="335E4482" w14:textId="24997916" w:rsidR="003E2067" w:rsidRPr="00F35404" w:rsidRDefault="00224DB4" w:rsidP="002138AB">
      <w:pPr>
        <w:pStyle w:val="ListBullet"/>
      </w:pPr>
      <w:r w:rsidRPr="00F35404">
        <w:t>European Medicines Agency (</w:t>
      </w:r>
      <w:r w:rsidR="003E2067" w:rsidRPr="00F35404">
        <w:t>EMA</w:t>
      </w:r>
      <w:r w:rsidRPr="00F35404">
        <w:t>)</w:t>
      </w:r>
      <w:r w:rsidR="003E2067" w:rsidRPr="00F35404">
        <w:t xml:space="preserve">, Committee for Medicinal Products for Human Use (CHMP), Guideline on </w:t>
      </w:r>
      <w:r w:rsidRPr="00F35404">
        <w:t>Similar Biological Medicinal Products</w:t>
      </w:r>
      <w:r w:rsidR="003E2067" w:rsidRPr="00F35404">
        <w:t>, CHMP/437/04 Rev 1, 23 October 2014.</w:t>
      </w:r>
    </w:p>
    <w:p w14:paraId="31C3910F" w14:textId="35238A8E" w:rsidR="003E2067" w:rsidRPr="00F35404" w:rsidRDefault="00224DB4" w:rsidP="002138AB">
      <w:pPr>
        <w:pStyle w:val="ListBullet"/>
      </w:pPr>
      <w:r w:rsidRPr="00F35404">
        <w:t>European Medicines Evaluation Agency (EMEA)</w:t>
      </w:r>
      <w:r w:rsidR="003E2067" w:rsidRPr="00F35404">
        <w:t xml:space="preserve">, </w:t>
      </w:r>
      <w:r w:rsidRPr="00F35404">
        <w:t>Committee for Medicinal Products for Human Use (CHMP)</w:t>
      </w:r>
      <w:r w:rsidR="003E2067" w:rsidRPr="00F35404">
        <w:t xml:space="preserve">, </w:t>
      </w:r>
      <w:r w:rsidRPr="00F35404">
        <w:t>Guideline on Similar Biological Medicinal Products Containing Biotechnology-Derived Proteins as Active Substance: Quality Issues</w:t>
      </w:r>
      <w:r w:rsidR="003E2067" w:rsidRPr="00F35404">
        <w:t>, EMEA/CHMP/BWP/49348/2005, 22 February 2006.</w:t>
      </w:r>
    </w:p>
    <w:p w14:paraId="78D7C0F8" w14:textId="2CA89222" w:rsidR="003E2067" w:rsidRPr="00F35404" w:rsidRDefault="00224DB4" w:rsidP="002138AB">
      <w:pPr>
        <w:pStyle w:val="ListBullet"/>
      </w:pPr>
      <w:r w:rsidRPr="00F35404">
        <w:t>European Medicines Evaluation Agency (EMEA)</w:t>
      </w:r>
      <w:r w:rsidR="003E2067" w:rsidRPr="00F35404">
        <w:t xml:space="preserve">, </w:t>
      </w:r>
      <w:r w:rsidRPr="00F35404">
        <w:t>Committee for Medicinal Products for Human Use (CHMP)</w:t>
      </w:r>
      <w:r w:rsidR="003E2067" w:rsidRPr="00F35404">
        <w:t xml:space="preserve">, </w:t>
      </w:r>
      <w:r w:rsidRPr="00F35404">
        <w:t>Guideline on Similar Biological Medicinal Products Containing Biotechnology-Derived Proteins as Active Substance: Non-clinical and Clinical Issues</w:t>
      </w:r>
      <w:r w:rsidR="003E2067" w:rsidRPr="00F35404">
        <w:t>, EMEA/CHMP/BMWP/42832/2005, 22 February 2006.</w:t>
      </w:r>
    </w:p>
    <w:p w14:paraId="117133AE" w14:textId="36023F4D" w:rsidR="003E2067" w:rsidRPr="00F35404" w:rsidRDefault="00224DB4" w:rsidP="002138AB">
      <w:pPr>
        <w:pStyle w:val="ListBullet"/>
      </w:pPr>
      <w:r w:rsidRPr="00F35404">
        <w:t>European Medicines Agency (EMA)</w:t>
      </w:r>
      <w:r w:rsidR="003E2067" w:rsidRPr="00F35404">
        <w:t xml:space="preserve">, </w:t>
      </w:r>
      <w:r w:rsidRPr="00F35404">
        <w:t>Committee for Medicinal Products for Human Use (CHMP)</w:t>
      </w:r>
      <w:r w:rsidR="003E2067" w:rsidRPr="00F35404">
        <w:t xml:space="preserve">, Guideline </w:t>
      </w:r>
      <w:r w:rsidRPr="00F35404">
        <w:t>on Similar Biological Medicinal Products Containing Biotechnology-Derived Proteins as Active Substance: Non-clinical and Clinical Issues</w:t>
      </w:r>
      <w:r w:rsidR="003E2067" w:rsidRPr="00F35404">
        <w:t>, EMEA/CHMP/BMWP/42832/2005 Rev1, 18 December 2014.</w:t>
      </w:r>
    </w:p>
    <w:p w14:paraId="4EEFCCE4" w14:textId="757044E9" w:rsidR="003E2067" w:rsidRPr="00F35404" w:rsidRDefault="00224DB4" w:rsidP="002138AB">
      <w:pPr>
        <w:pStyle w:val="ListBullet"/>
      </w:pPr>
      <w:r w:rsidRPr="00F35404">
        <w:t>European Medicines Agency (EMA)</w:t>
      </w:r>
      <w:r w:rsidR="003E2067" w:rsidRPr="00F35404">
        <w:t xml:space="preserve">, </w:t>
      </w:r>
      <w:r w:rsidRPr="00F35404">
        <w:t>Committee for Medicinal Products for Human Use (CHMP)</w:t>
      </w:r>
      <w:r w:rsidR="003E2067" w:rsidRPr="00F35404">
        <w:t xml:space="preserve">, Guideline </w:t>
      </w:r>
      <w:r w:rsidRPr="00F35404">
        <w:t>on Similar Biological Medicinal Products Containing Monoclonal Antibodies - Non-clinical and Clinical Issues</w:t>
      </w:r>
      <w:r w:rsidR="003E2067" w:rsidRPr="00F35404">
        <w:t>, EMA/CHMP/BMWP/403543/2010, 30 May 2012.</w:t>
      </w:r>
    </w:p>
    <w:p w14:paraId="5F193CB4" w14:textId="29C03D36" w:rsidR="003E2067" w:rsidRPr="00F35404" w:rsidRDefault="00224DB4" w:rsidP="00CB4893">
      <w:pPr>
        <w:pStyle w:val="ListBullet"/>
      </w:pPr>
      <w:r w:rsidRPr="00F35404">
        <w:lastRenderedPageBreak/>
        <w:t>European Medicines Agency (EMA)</w:t>
      </w:r>
      <w:r w:rsidR="003E2067" w:rsidRPr="00F35404">
        <w:t xml:space="preserve">, Committee for Medicinal Products for Human Use (CHMP), </w:t>
      </w:r>
      <w:r w:rsidR="003E2067" w:rsidRPr="00CB4893">
        <w:t>Guideline</w:t>
      </w:r>
      <w:r w:rsidR="003E2067" w:rsidRPr="00F35404">
        <w:t xml:space="preserve"> on Immunogenicity </w:t>
      </w:r>
      <w:r w:rsidRPr="00F35404">
        <w:t>Assessment of Therapeutic Proteins</w:t>
      </w:r>
      <w:r w:rsidR="003E2067" w:rsidRPr="00F35404">
        <w:t>, EMEA/CHMP/BMWP/14327/2006 Rev 1, 18 May 2017.</w:t>
      </w:r>
    </w:p>
    <w:p w14:paraId="16CB33EB" w14:textId="63402705" w:rsidR="002C66E9" w:rsidRPr="00F35404" w:rsidRDefault="002C66E9" w:rsidP="002138AB">
      <w:pPr>
        <w:pStyle w:val="ListBullet"/>
      </w:pPr>
      <w:r w:rsidRPr="00F35404">
        <w:t>The FDA</w:t>
      </w:r>
      <w:r w:rsidR="002138AB" w:rsidRPr="00F35404">
        <w:t>’s</w:t>
      </w:r>
      <w:r w:rsidRPr="00F35404">
        <w:t xml:space="preserve"> biosimilars </w:t>
      </w:r>
      <w:r w:rsidR="002138AB" w:rsidRPr="00F35404">
        <w:t>guidance</w:t>
      </w:r>
      <w:r w:rsidRPr="00F35404">
        <w:t>, available at: https://www.fda.gov/vaccines-blood-biologics/general-biologics-guidances/biosimilars-guidances</w:t>
      </w:r>
    </w:p>
    <w:p w14:paraId="758DF4B6" w14:textId="27F3A848" w:rsidR="008E7846" w:rsidRPr="00F35404" w:rsidRDefault="008E7846" w:rsidP="008E7846">
      <w:pPr>
        <w:pStyle w:val="Heading3"/>
      </w:pPr>
      <w:bookmarkStart w:id="35" w:name="_Toc314842511"/>
      <w:bookmarkStart w:id="36" w:name="_Toc94253946"/>
      <w:r w:rsidRPr="00F35404">
        <w:t>Quality</w:t>
      </w:r>
      <w:bookmarkEnd w:id="34"/>
      <w:bookmarkEnd w:id="35"/>
      <w:bookmarkEnd w:id="36"/>
    </w:p>
    <w:p w14:paraId="58045742" w14:textId="672E6CEA" w:rsidR="000B368F" w:rsidRPr="00F35404" w:rsidRDefault="000B368F" w:rsidP="000B368F">
      <w:r w:rsidRPr="00F35404">
        <w:t xml:space="preserve">Bevacizumab is </w:t>
      </w:r>
      <w:r w:rsidR="00401753" w:rsidRPr="00F35404">
        <w:t xml:space="preserve">a recombinant humanised </w:t>
      </w:r>
      <w:r w:rsidR="00655A3F">
        <w:t>immunoglobulin G1 (</w:t>
      </w:r>
      <w:r w:rsidR="00401753" w:rsidRPr="00F35404">
        <w:t>IgG1</w:t>
      </w:r>
      <w:r w:rsidR="00655A3F">
        <w:t>)</w:t>
      </w:r>
      <w:r w:rsidR="002A560E" w:rsidRPr="00F35404">
        <w:t xml:space="preserve"> monoclonal antibody</w:t>
      </w:r>
      <w:r w:rsidR="00401753" w:rsidRPr="00F35404">
        <w:t xml:space="preserve"> </w:t>
      </w:r>
      <w:r w:rsidRPr="00F35404">
        <w:t>expressed in Chinese hamster ovary cell line</w:t>
      </w:r>
      <w:r w:rsidR="00401753" w:rsidRPr="00F35404">
        <w:t xml:space="preserve">. It </w:t>
      </w:r>
      <w:r w:rsidRPr="00F35404">
        <w:t>consists of 1334 amino acids</w:t>
      </w:r>
      <w:r w:rsidR="00401753" w:rsidRPr="00F35404">
        <w:t xml:space="preserve"> and </w:t>
      </w:r>
      <w:r w:rsidRPr="00F35404">
        <w:t>contains two identical heavy chains and two identical light chains.</w:t>
      </w:r>
    </w:p>
    <w:p w14:paraId="7B57B4AE" w14:textId="3C1C927F" w:rsidR="007F4E2A" w:rsidRPr="00F35404" w:rsidRDefault="007F4E2A" w:rsidP="00BC4649">
      <w:r w:rsidRPr="00F35404">
        <w:t xml:space="preserve">Bevacizumab as a drug substance has been assessed by the TGA </w:t>
      </w:r>
      <w:proofErr w:type="gramStart"/>
      <w:r w:rsidRPr="00F35404">
        <w:t>previously, and</w:t>
      </w:r>
      <w:proofErr w:type="gramEnd"/>
      <w:r w:rsidRPr="00F35404">
        <w:t xml:space="preserve"> is described in the approved Australian P</w:t>
      </w:r>
      <w:r w:rsidR="003C6E65" w:rsidRPr="00F35404">
        <w:t>I</w:t>
      </w:r>
      <w:r w:rsidRPr="00F35404">
        <w:t xml:space="preserve"> for </w:t>
      </w:r>
      <w:r w:rsidR="00667F81" w:rsidRPr="00F35404">
        <w:t>Avastin</w:t>
      </w:r>
      <w:r w:rsidR="00655A3F">
        <w:t xml:space="preserve">, the originator </w:t>
      </w:r>
      <w:r w:rsidR="00D62025">
        <w:t xml:space="preserve">(reference) </w:t>
      </w:r>
      <w:r w:rsidR="00655A3F">
        <w:t>drug product</w:t>
      </w:r>
      <w:r w:rsidRPr="00F35404">
        <w:t>.</w:t>
      </w:r>
      <w:bookmarkStart w:id="37" w:name="_Ref90392151"/>
      <w:r w:rsidRPr="00F35404">
        <w:rPr>
          <w:rStyle w:val="FootnoteReference"/>
        </w:rPr>
        <w:footnoteReference w:id="6"/>
      </w:r>
      <w:bookmarkEnd w:id="37"/>
      <w:r w:rsidR="000B368F" w:rsidRPr="00F35404">
        <w:t xml:space="preserve"> </w:t>
      </w:r>
      <w:r w:rsidRPr="00F35404">
        <w:t>Similarit</w:t>
      </w:r>
      <w:r w:rsidR="00655A3F">
        <w:t>ies</w:t>
      </w:r>
      <w:r w:rsidRPr="00F35404">
        <w:t xml:space="preserve"> between </w:t>
      </w:r>
      <w:bookmarkStart w:id="38" w:name="_Hlk90373430"/>
      <w:r w:rsidR="00667F81" w:rsidRPr="00F35404">
        <w:t xml:space="preserve">Abevmy </w:t>
      </w:r>
      <w:bookmarkEnd w:id="38"/>
      <w:r w:rsidRPr="00F35404">
        <w:t xml:space="preserve">and the reference product </w:t>
      </w:r>
      <w:r w:rsidR="00667F81" w:rsidRPr="00F35404">
        <w:t>Avastin</w:t>
      </w:r>
      <w:r w:rsidRPr="00F35404">
        <w:t xml:space="preserve"> were investigated in a comprehensive comparability testing program, which covered physicochemical and biological characterisation of the MYL-1402O </w:t>
      </w:r>
      <w:r w:rsidR="003C6E65" w:rsidRPr="00F35404">
        <w:t>(</w:t>
      </w:r>
      <w:r w:rsidRPr="00F35404">
        <w:t>bevacizumab</w:t>
      </w:r>
      <w:r w:rsidR="003C6E65" w:rsidRPr="00F35404">
        <w:t>)</w:t>
      </w:r>
      <w:r w:rsidRPr="00F35404">
        <w:t xml:space="preserve"> drug substance and the </w:t>
      </w:r>
      <w:r w:rsidR="00667F81" w:rsidRPr="00F35404">
        <w:t>Abevmy</w:t>
      </w:r>
      <w:r w:rsidRPr="00F35404">
        <w:t xml:space="preserve"> </w:t>
      </w:r>
      <w:r w:rsidR="003F65D2">
        <w:t xml:space="preserve">drug </w:t>
      </w:r>
      <w:r w:rsidRPr="00F35404">
        <w:t xml:space="preserve">product. The excipients in </w:t>
      </w:r>
      <w:r w:rsidR="007738A9">
        <w:t>Abevmy</w:t>
      </w:r>
      <w:r w:rsidRPr="00F35404">
        <w:t xml:space="preserve"> are:</w:t>
      </w:r>
    </w:p>
    <w:p w14:paraId="09C7DCF7" w14:textId="70CE7E5E" w:rsidR="003C6E65" w:rsidRPr="00F35404" w:rsidRDefault="007F4E2A" w:rsidP="00CB4893">
      <w:pPr>
        <w:pStyle w:val="ListBullet"/>
      </w:pPr>
      <w:proofErr w:type="gramStart"/>
      <w:r w:rsidRPr="00F35404">
        <w:t>α,α</w:t>
      </w:r>
      <w:proofErr w:type="gramEnd"/>
      <w:r w:rsidRPr="00F35404">
        <w:t>-trehalose dihydrate</w:t>
      </w:r>
    </w:p>
    <w:p w14:paraId="73E0599C" w14:textId="7FC6C12A" w:rsidR="003C6E65" w:rsidRPr="00F35404" w:rsidRDefault="007F4E2A" w:rsidP="00A64D01">
      <w:pPr>
        <w:pStyle w:val="ListBullet"/>
      </w:pPr>
      <w:r w:rsidRPr="00F35404">
        <w:t>monobasic sodium phosphate dihydrate</w:t>
      </w:r>
    </w:p>
    <w:p w14:paraId="6E5456D4" w14:textId="5B65F8DA" w:rsidR="003C6E65" w:rsidRPr="00F35404" w:rsidRDefault="007F4E2A" w:rsidP="00A64D01">
      <w:pPr>
        <w:pStyle w:val="ListBullet"/>
      </w:pPr>
      <w:r w:rsidRPr="00F35404">
        <w:t>dibasic sodium phosphate</w:t>
      </w:r>
    </w:p>
    <w:p w14:paraId="248A02AF" w14:textId="53F82057" w:rsidR="003C6E65" w:rsidRPr="00F35404" w:rsidRDefault="007F4E2A" w:rsidP="00A64D01">
      <w:pPr>
        <w:pStyle w:val="ListBullet"/>
      </w:pPr>
      <w:r w:rsidRPr="00F35404">
        <w:t>polysorbate 20</w:t>
      </w:r>
    </w:p>
    <w:p w14:paraId="6EBB7BD5" w14:textId="70FD8863" w:rsidR="007F4E2A" w:rsidRPr="00F35404" w:rsidRDefault="007F4E2A" w:rsidP="00A64D01">
      <w:pPr>
        <w:pStyle w:val="ListBullet"/>
      </w:pPr>
      <w:r w:rsidRPr="00F35404">
        <w:t>water for injections.</w:t>
      </w:r>
    </w:p>
    <w:p w14:paraId="0F619070" w14:textId="4A28B2D6" w:rsidR="00401753" w:rsidRPr="00F35404" w:rsidRDefault="00612D16" w:rsidP="007F4E2A">
      <w:r w:rsidRPr="00F35404">
        <w:t>Abevmy is a clear to slightly opalescent, colourless to pale brown</w:t>
      </w:r>
      <w:r w:rsidR="00A93AD4" w:rsidRPr="00F35404">
        <w:t>, sterile and preservative free</w:t>
      </w:r>
      <w:r w:rsidRPr="00F35404">
        <w:t xml:space="preserve"> solution.</w:t>
      </w:r>
      <w:r w:rsidR="00A93AD4" w:rsidRPr="00F35404">
        <w:t xml:space="preserve"> </w:t>
      </w:r>
      <w:r w:rsidR="00401753" w:rsidRPr="00F35404">
        <w:t xml:space="preserve">Both strengths (100 mg/4 mL and 400 mg/16 mL) of Abevmy </w:t>
      </w:r>
      <w:r w:rsidR="007738A9">
        <w:t xml:space="preserve">come presented </w:t>
      </w:r>
      <w:r w:rsidR="00401753" w:rsidRPr="00F35404">
        <w:t>in Type I clear glass vials</w:t>
      </w:r>
      <w:r w:rsidRPr="00F35404">
        <w:t xml:space="preserve"> and each pack contains one vial of either 100</w:t>
      </w:r>
      <w:r w:rsidR="007738A9">
        <w:t> </w:t>
      </w:r>
      <w:r w:rsidRPr="00F35404">
        <w:t>mg/4</w:t>
      </w:r>
      <w:r w:rsidR="007738A9">
        <w:t> </w:t>
      </w:r>
      <w:r w:rsidRPr="00F35404">
        <w:t>mL or 400 mg/16 mL bevacizumab</w:t>
      </w:r>
      <w:r w:rsidR="00401753" w:rsidRPr="00F35404">
        <w:t>.</w:t>
      </w:r>
    </w:p>
    <w:p w14:paraId="298A87B3" w14:textId="3B88A636" w:rsidR="007F4E2A" w:rsidRPr="00F35404" w:rsidRDefault="007F4E2A" w:rsidP="007F4E2A">
      <w:r w:rsidRPr="00F35404">
        <w:t xml:space="preserve">The TGA made a full evaluation of the chemical, pharmaceutical and biological aspects of the </w:t>
      </w:r>
      <w:r w:rsidR="00A93AD4" w:rsidRPr="00F35404">
        <w:t xml:space="preserve">sponsor submitted </w:t>
      </w:r>
      <w:r w:rsidRPr="00F35404">
        <w:t xml:space="preserve">dossier, including manufacturing and sterility considerations. After the </w:t>
      </w:r>
      <w:r w:rsidR="002F0941" w:rsidRPr="00F35404">
        <w:t>quality</w:t>
      </w:r>
      <w:r w:rsidRPr="00F35404">
        <w:t xml:space="preserve"> evaluation was completed, there were no outstanding concerns from a quality perspective regarding the registration of this product.</w:t>
      </w:r>
    </w:p>
    <w:p w14:paraId="4D4D69A7" w14:textId="77777777" w:rsidR="008E7846" w:rsidRPr="00F35404" w:rsidRDefault="008E7846" w:rsidP="008E7846">
      <w:pPr>
        <w:pStyle w:val="Heading3"/>
      </w:pPr>
      <w:bookmarkStart w:id="39" w:name="_Toc314842512"/>
      <w:bookmarkStart w:id="40" w:name="_Toc94253947"/>
      <w:r w:rsidRPr="00F35404">
        <w:t>Nonclinical</w:t>
      </w:r>
      <w:bookmarkEnd w:id="39"/>
      <w:bookmarkEnd w:id="40"/>
    </w:p>
    <w:p w14:paraId="725415DA" w14:textId="4F93D4C3" w:rsidR="007F4E2A" w:rsidRPr="00F35404" w:rsidRDefault="007F4E2A" w:rsidP="007F4E2A">
      <w:r w:rsidRPr="00F35404">
        <w:t>The key findings of the nonclinical evaluation included:</w:t>
      </w:r>
    </w:p>
    <w:p w14:paraId="1ED73E8A" w14:textId="09D7E211" w:rsidR="007F4E2A" w:rsidRPr="00F35404" w:rsidRDefault="007F4E2A" w:rsidP="00667F81">
      <w:pPr>
        <w:pStyle w:val="ListBullet"/>
      </w:pPr>
      <w:r w:rsidRPr="00F35404">
        <w:t xml:space="preserve">The </w:t>
      </w:r>
      <w:r w:rsidR="00A93AD4" w:rsidRPr="00F35404">
        <w:t xml:space="preserve">sponsor’s </w:t>
      </w:r>
      <w:r w:rsidRPr="00F35404">
        <w:t>proposed indications and dosing regimen/route</w:t>
      </w:r>
      <w:r w:rsidR="007738A9">
        <w:t xml:space="preserve"> for </w:t>
      </w:r>
      <w:r w:rsidR="00737AC8" w:rsidRPr="00737AC8">
        <w:t xml:space="preserve">Abevmy </w:t>
      </w:r>
      <w:r w:rsidRPr="00F35404">
        <w:t>match those of</w:t>
      </w:r>
      <w:r w:rsidR="00C91DE6">
        <w:t xml:space="preserve"> the originator product</w:t>
      </w:r>
      <w:r w:rsidRPr="00F35404">
        <w:t xml:space="preserve"> </w:t>
      </w:r>
      <w:r w:rsidR="00667F81" w:rsidRPr="00F35404">
        <w:t>Avastin</w:t>
      </w:r>
      <w:r w:rsidRPr="00F35404">
        <w:t>.</w:t>
      </w:r>
    </w:p>
    <w:p w14:paraId="4286EECD" w14:textId="4BC703AF" w:rsidR="007F4E2A" w:rsidRPr="00F35404" w:rsidRDefault="007F4E2A" w:rsidP="00667F81">
      <w:pPr>
        <w:pStyle w:val="ListBullet"/>
      </w:pPr>
      <w:r w:rsidRPr="00F35404">
        <w:t>The nonclinical dossier contained comparative studies on pharmacology, pharmacokinetics, single and repeat</w:t>
      </w:r>
      <w:r w:rsidR="00A93AD4" w:rsidRPr="00F35404">
        <w:t xml:space="preserve"> </w:t>
      </w:r>
      <w:r w:rsidRPr="00F35404">
        <w:t xml:space="preserve">dose toxicity. The scope of the nonclinical program is adequate. The studies were conducted using </w:t>
      </w:r>
      <w:r w:rsidR="00A93AD4" w:rsidRPr="00F35404">
        <w:t xml:space="preserve">the </w:t>
      </w:r>
      <w:r w:rsidRPr="00F35404">
        <w:t>US and/or EU</w:t>
      </w:r>
      <w:r w:rsidR="00A93AD4" w:rsidRPr="00F35404">
        <w:t xml:space="preserve"> </w:t>
      </w:r>
      <w:r w:rsidRPr="00F35404">
        <w:t xml:space="preserve">sourced </w:t>
      </w:r>
      <w:r w:rsidR="00667F81" w:rsidRPr="00F35404">
        <w:t>Avastin</w:t>
      </w:r>
      <w:r w:rsidRPr="00F35404">
        <w:t xml:space="preserve"> as the reference product. No data were provided in </w:t>
      </w:r>
      <w:r w:rsidR="002F0941" w:rsidRPr="00F35404">
        <w:t>nonclinical</w:t>
      </w:r>
      <w:r w:rsidRPr="00F35404">
        <w:t xml:space="preserve"> to verify the comparability of the US or EU</w:t>
      </w:r>
      <w:r w:rsidR="00A93AD4" w:rsidRPr="00F35404">
        <w:t xml:space="preserve"> </w:t>
      </w:r>
      <w:r w:rsidRPr="00F35404">
        <w:t>sourced and Australian</w:t>
      </w:r>
      <w:r w:rsidR="00A93AD4" w:rsidRPr="00F35404">
        <w:t xml:space="preserve"> </w:t>
      </w:r>
      <w:r w:rsidRPr="00F35404">
        <w:t xml:space="preserve">sourced </w:t>
      </w:r>
      <w:r w:rsidR="00667F81" w:rsidRPr="00F35404">
        <w:t>Avastin</w:t>
      </w:r>
      <w:r w:rsidRPr="00F35404">
        <w:t>.</w:t>
      </w:r>
    </w:p>
    <w:p w14:paraId="4D8410EE" w14:textId="0B8C2872" w:rsidR="007F4E2A" w:rsidRPr="00F35404" w:rsidRDefault="007F4E2A" w:rsidP="00667F81">
      <w:pPr>
        <w:pStyle w:val="ListBullet"/>
      </w:pPr>
      <w:r w:rsidRPr="00F35404">
        <w:t xml:space="preserve">No meaningful differences between </w:t>
      </w:r>
      <w:r w:rsidR="00667F81" w:rsidRPr="00F35404">
        <w:t>Abevmy</w:t>
      </w:r>
      <w:r w:rsidRPr="00F35404">
        <w:t xml:space="preserve"> and </w:t>
      </w:r>
      <w:r w:rsidR="00667F81" w:rsidRPr="00F35404">
        <w:t>Avastin</w:t>
      </w:r>
      <w:r w:rsidRPr="00F35404">
        <w:t xml:space="preserve"> were observed in the comparative pharmacology, pharmacokinetic and toxicity studies.</w:t>
      </w:r>
    </w:p>
    <w:p w14:paraId="59BAD1C7" w14:textId="5A2ADEAE" w:rsidR="007F4E2A" w:rsidRPr="00F35404" w:rsidRDefault="007F4E2A" w:rsidP="00667F81">
      <w:pPr>
        <w:pStyle w:val="ListBullet"/>
      </w:pPr>
      <w:r w:rsidRPr="00F35404">
        <w:lastRenderedPageBreak/>
        <w:t xml:space="preserve">The ability of the nonclinical studies to support comparability of </w:t>
      </w:r>
      <w:r w:rsidR="00667F81" w:rsidRPr="00F35404">
        <w:t>Abevmy</w:t>
      </w:r>
      <w:r w:rsidRPr="00F35404">
        <w:t xml:space="preserve"> to Australian </w:t>
      </w:r>
      <w:r w:rsidR="00C91DE6">
        <w:t xml:space="preserve">sourced </w:t>
      </w:r>
      <w:r w:rsidR="00667F81" w:rsidRPr="00F35404">
        <w:t>Avastin</w:t>
      </w:r>
      <w:r w:rsidRPr="00F35404">
        <w:t xml:space="preserve"> depends on the conclusion of the </w:t>
      </w:r>
      <w:r w:rsidR="002F0941" w:rsidRPr="00F35404">
        <w:t>quality</w:t>
      </w:r>
      <w:r w:rsidRPr="00F35404">
        <w:t xml:space="preserve"> </w:t>
      </w:r>
      <w:r w:rsidR="00A93AD4" w:rsidRPr="00F35404">
        <w:t xml:space="preserve">evaluator </w:t>
      </w:r>
      <w:r w:rsidRPr="00F35404">
        <w:t xml:space="preserve">regarding the identity and comparability of </w:t>
      </w:r>
      <w:r w:rsidR="00667F81" w:rsidRPr="00F35404">
        <w:t>Avastin</w:t>
      </w:r>
      <w:r w:rsidRPr="00F35404">
        <w:t xml:space="preserve"> products across jurisdictions. There are no nonclinical objections to the registration of </w:t>
      </w:r>
      <w:r w:rsidR="00667F81" w:rsidRPr="00F35404">
        <w:t>Abevmy</w:t>
      </w:r>
      <w:r w:rsidRPr="00F35404">
        <w:t xml:space="preserve">, provided that </w:t>
      </w:r>
      <w:r w:rsidR="00A93AD4" w:rsidRPr="00F35404">
        <w:t xml:space="preserve">the </w:t>
      </w:r>
      <w:r w:rsidRPr="00F35404">
        <w:t>US and EU</w:t>
      </w:r>
      <w:r w:rsidR="00A93AD4" w:rsidRPr="00F35404">
        <w:t xml:space="preserve"> </w:t>
      </w:r>
      <w:r w:rsidRPr="00F35404">
        <w:t xml:space="preserve">sourced </w:t>
      </w:r>
      <w:r w:rsidR="00667F81" w:rsidRPr="00F35404">
        <w:t>Avastin</w:t>
      </w:r>
      <w:r w:rsidRPr="00F35404">
        <w:t xml:space="preserve"> </w:t>
      </w:r>
      <w:proofErr w:type="gramStart"/>
      <w:r w:rsidRPr="00F35404">
        <w:t>is considered to be</w:t>
      </w:r>
      <w:proofErr w:type="gramEnd"/>
      <w:r w:rsidRPr="00F35404">
        <w:t xml:space="preserve"> identical or highly comparable to the Australian </w:t>
      </w:r>
      <w:r w:rsidR="00667F81" w:rsidRPr="00F35404">
        <w:t>Avastin</w:t>
      </w:r>
      <w:r w:rsidRPr="00F35404">
        <w:t>.</w:t>
      </w:r>
    </w:p>
    <w:p w14:paraId="43170382" w14:textId="77777777" w:rsidR="008E7846" w:rsidRPr="00F35404" w:rsidRDefault="008E7846" w:rsidP="008E7846">
      <w:pPr>
        <w:pStyle w:val="Heading3"/>
      </w:pPr>
      <w:bookmarkStart w:id="41" w:name="_Toc247691530"/>
      <w:bookmarkStart w:id="42" w:name="_Toc314842513"/>
      <w:bookmarkStart w:id="43" w:name="_Toc94253948"/>
      <w:r w:rsidRPr="00F35404">
        <w:t>Clinical</w:t>
      </w:r>
      <w:bookmarkEnd w:id="41"/>
      <w:bookmarkEnd w:id="42"/>
      <w:bookmarkEnd w:id="43"/>
    </w:p>
    <w:p w14:paraId="44780CC8" w14:textId="77777777" w:rsidR="003B68E0" w:rsidRPr="00F35404" w:rsidRDefault="003B68E0" w:rsidP="002F0941">
      <w:pPr>
        <w:pStyle w:val="Heading4"/>
      </w:pPr>
      <w:bookmarkStart w:id="44" w:name="_Toc314842514"/>
      <w:r w:rsidRPr="00F35404">
        <w:t>Study designs</w:t>
      </w:r>
    </w:p>
    <w:p w14:paraId="4C8F2CEC" w14:textId="09E51F86" w:rsidR="003B68E0" w:rsidRPr="00F35404" w:rsidRDefault="003B68E0" w:rsidP="00EA1FFC">
      <w:r w:rsidRPr="00F35404">
        <w:t xml:space="preserve">The clinical dossier submitted in support of </w:t>
      </w:r>
      <w:r w:rsidR="00667F81" w:rsidRPr="00F35404">
        <w:t>Abevmy</w:t>
      </w:r>
      <w:r w:rsidRPr="00F35404">
        <w:t xml:space="preserve"> included three clinical studies (</w:t>
      </w:r>
      <w:r w:rsidR="00ED6404" w:rsidRPr="00F35404">
        <w:t xml:space="preserve">listed in </w:t>
      </w:r>
      <w:r w:rsidRPr="00F35404">
        <w:fldChar w:fldCharType="begin"/>
      </w:r>
      <w:r w:rsidRPr="00F35404">
        <w:instrText xml:space="preserve"> REF _Ref69197539 \h  \* MERGEFORMAT </w:instrText>
      </w:r>
      <w:r w:rsidRPr="00F35404">
        <w:fldChar w:fldCharType="separate"/>
      </w:r>
      <w:r w:rsidR="00D0686E" w:rsidRPr="00F35404">
        <w:t xml:space="preserve">Table </w:t>
      </w:r>
      <w:r w:rsidR="00D0686E">
        <w:rPr>
          <w:noProof/>
        </w:rPr>
        <w:t>2</w:t>
      </w:r>
      <w:r w:rsidRPr="00F35404">
        <w:fldChar w:fldCharType="end"/>
      </w:r>
      <w:r w:rsidRPr="00F35404">
        <w:t>), all of which have now been completed.</w:t>
      </w:r>
    </w:p>
    <w:p w14:paraId="2BBB3287" w14:textId="2D905892" w:rsidR="003B68E0" w:rsidRPr="00F35404" w:rsidRDefault="003B68E0" w:rsidP="00EA1FFC">
      <w:r w:rsidRPr="00F35404">
        <w:t xml:space="preserve">Two main formulations </w:t>
      </w:r>
      <w:r w:rsidR="009F348C">
        <w:t xml:space="preserve">of bevacizumab </w:t>
      </w:r>
      <w:r w:rsidRPr="00F35404">
        <w:t>were studied</w:t>
      </w:r>
      <w:r w:rsidR="009F348C">
        <w:t xml:space="preserve"> across the three clinical studies</w:t>
      </w:r>
      <w:r w:rsidRPr="00F35404">
        <w:t>:</w:t>
      </w:r>
    </w:p>
    <w:p w14:paraId="32B6C7D3" w14:textId="19E3DF62" w:rsidR="003B68E0" w:rsidRPr="00F35404" w:rsidRDefault="009F348C" w:rsidP="000B368F">
      <w:pPr>
        <w:pStyle w:val="ListBullet"/>
      </w:pPr>
      <w:r>
        <w:t>Abevmy/</w:t>
      </w:r>
      <w:r w:rsidR="003B68E0" w:rsidRPr="00F35404">
        <w:t>MYL-1402O</w:t>
      </w:r>
      <w:r w:rsidR="002442C0" w:rsidRPr="00F35404">
        <w:t xml:space="preserve">: </w:t>
      </w:r>
      <w:r w:rsidR="00C91DE6">
        <w:t>t</w:t>
      </w:r>
      <w:r w:rsidR="003B68E0" w:rsidRPr="00F35404">
        <w:t>his formulation was used in the global development program (</w:t>
      </w:r>
      <w:r w:rsidR="00C91DE6">
        <w:t>the </w:t>
      </w:r>
      <w:r w:rsidR="00EA1FFC" w:rsidRPr="00F35404">
        <w:t>Phase</w:t>
      </w:r>
      <w:r w:rsidR="00C91DE6">
        <w:t> </w:t>
      </w:r>
      <w:r w:rsidR="00EA1FFC" w:rsidRPr="00F35404">
        <w:t>I</w:t>
      </w:r>
      <w:r w:rsidR="003B68E0" w:rsidRPr="00F35404">
        <w:t xml:space="preserve"> </w:t>
      </w:r>
      <w:r w:rsidR="00ED6404" w:rsidRPr="00F35404">
        <w:t>S</w:t>
      </w:r>
      <w:r w:rsidR="003B68E0" w:rsidRPr="00F35404">
        <w:t>tudy</w:t>
      </w:r>
      <w:r w:rsidR="00ED6404" w:rsidRPr="00F35404">
        <w:t> </w:t>
      </w:r>
      <w:r w:rsidR="003B68E0" w:rsidRPr="00F35404">
        <w:t>MYL-1402O-1002</w:t>
      </w:r>
      <w:r w:rsidR="00C91DE6">
        <w:t>,</w:t>
      </w:r>
      <w:r w:rsidR="003B68E0" w:rsidRPr="00F35404">
        <w:t xml:space="preserve"> and </w:t>
      </w:r>
      <w:r w:rsidR="00EA1FFC" w:rsidRPr="00F35404">
        <w:t>Phase III</w:t>
      </w:r>
      <w:r w:rsidR="003B68E0" w:rsidRPr="00F35404">
        <w:t xml:space="preserve"> </w:t>
      </w:r>
      <w:r w:rsidR="00ED6404" w:rsidRPr="00F35404">
        <w:t>S</w:t>
      </w:r>
      <w:r w:rsidR="003B68E0" w:rsidRPr="00F35404">
        <w:t>tudy</w:t>
      </w:r>
      <w:r w:rsidR="00ED6404" w:rsidRPr="00F35404">
        <w:t> </w:t>
      </w:r>
      <w:r w:rsidR="003B68E0" w:rsidRPr="00F35404">
        <w:t>MYL-1402O-3001)</w:t>
      </w:r>
      <w:r>
        <w:t xml:space="preserve"> and is the formulation to-be-marketed in Australia as Abevmy</w:t>
      </w:r>
      <w:r w:rsidR="003B68E0" w:rsidRPr="00F35404">
        <w:t>.</w:t>
      </w:r>
    </w:p>
    <w:p w14:paraId="4CFDC78B" w14:textId="0D725E0E" w:rsidR="003B68E0" w:rsidRPr="00F35404" w:rsidRDefault="003B68E0" w:rsidP="000B368F">
      <w:pPr>
        <w:pStyle w:val="ListBullet"/>
      </w:pPr>
      <w:r w:rsidRPr="00F35404">
        <w:t>Bmab-100</w:t>
      </w:r>
      <w:r w:rsidR="002442C0" w:rsidRPr="00F35404">
        <w:t>: t</w:t>
      </w:r>
      <w:r w:rsidRPr="00F35404">
        <w:t xml:space="preserve">his </w:t>
      </w:r>
      <w:r w:rsidR="00C91DE6">
        <w:t>earlier</w:t>
      </w:r>
      <w:r w:rsidR="003F65D2">
        <w:t xml:space="preserve"> and alternative</w:t>
      </w:r>
      <w:r w:rsidR="00C91DE6">
        <w:t xml:space="preserve"> </w:t>
      </w:r>
      <w:r w:rsidRPr="00F35404">
        <w:t>formulation was used in a randomised clinical study (</w:t>
      </w:r>
      <w:r w:rsidR="00ED6404" w:rsidRPr="00F35404">
        <w:t>Study </w:t>
      </w:r>
      <w:r w:rsidRPr="00F35404">
        <w:t>BM100-CC-03-1-01) conducted</w:t>
      </w:r>
      <w:r w:rsidR="009F348C">
        <w:t xml:space="preserve"> by a development partner of the study sponsor for the two studies listed for the formulation above) </w:t>
      </w:r>
      <w:r w:rsidRPr="00F35404">
        <w:t>to obtain marketing authorisation in the country of origin (India).</w:t>
      </w:r>
    </w:p>
    <w:p w14:paraId="3EDCFF68" w14:textId="4B3C0744" w:rsidR="003B68E0" w:rsidRPr="00F35404" w:rsidRDefault="003B68E0" w:rsidP="002F0941">
      <w:pPr>
        <w:pStyle w:val="TableTitle"/>
      </w:pPr>
      <w:bookmarkStart w:id="45" w:name="_Ref69197539"/>
      <w:bookmarkStart w:id="46" w:name="_Toc53568921"/>
      <w:bookmarkStart w:id="47" w:name="_Ref69724306"/>
      <w:r w:rsidRPr="00F35404">
        <w:t xml:space="preserve">Table </w:t>
      </w:r>
      <w:fldSimple w:instr=" SEQ Table \* ARABIC ">
        <w:r w:rsidR="00D0686E">
          <w:rPr>
            <w:noProof/>
          </w:rPr>
          <w:t>2</w:t>
        </w:r>
      </w:fldSimple>
      <w:bookmarkEnd w:id="45"/>
      <w:r w:rsidRPr="00F35404">
        <w:t>: Listing of clinical studies included in the submission</w:t>
      </w:r>
      <w:bookmarkEnd w:id="46"/>
      <w:bookmarkEnd w:id="47"/>
    </w:p>
    <w:tbl>
      <w:tblPr>
        <w:tblStyle w:val="TableTGAblue"/>
        <w:tblW w:w="8495" w:type="dxa"/>
        <w:tblLayout w:type="fixed"/>
        <w:tblLook w:val="04A0" w:firstRow="1" w:lastRow="0" w:firstColumn="1" w:lastColumn="0" w:noHBand="0" w:noVBand="1"/>
      </w:tblPr>
      <w:tblGrid>
        <w:gridCol w:w="983"/>
        <w:gridCol w:w="1701"/>
        <w:gridCol w:w="1417"/>
        <w:gridCol w:w="1418"/>
        <w:gridCol w:w="1701"/>
        <w:gridCol w:w="1275"/>
      </w:tblGrid>
      <w:tr w:rsidR="003B68E0" w:rsidRPr="00F35404" w14:paraId="6744326F" w14:textId="77777777" w:rsidTr="00ED6404">
        <w:trPr>
          <w:cnfStyle w:val="100000000000" w:firstRow="1" w:lastRow="0" w:firstColumn="0" w:lastColumn="0" w:oddVBand="0" w:evenVBand="0" w:oddHBand="0" w:evenHBand="0" w:firstRowFirstColumn="0" w:firstRowLastColumn="0" w:lastRowFirstColumn="0" w:lastRowLastColumn="0"/>
        </w:trPr>
        <w:tc>
          <w:tcPr>
            <w:tcW w:w="983" w:type="dxa"/>
          </w:tcPr>
          <w:p w14:paraId="3F3EFF70" w14:textId="77777777" w:rsidR="003B68E0" w:rsidRPr="00F35404" w:rsidRDefault="003B68E0" w:rsidP="00ED6404">
            <w:pPr>
              <w:pStyle w:val="Tabletext"/>
              <w:ind w:left="0" w:right="0"/>
            </w:pPr>
            <w:r w:rsidRPr="00F35404">
              <w:t>Study ID</w:t>
            </w:r>
          </w:p>
        </w:tc>
        <w:tc>
          <w:tcPr>
            <w:tcW w:w="1701" w:type="dxa"/>
          </w:tcPr>
          <w:p w14:paraId="6EDA508A" w14:textId="77777777" w:rsidR="003B68E0" w:rsidRPr="00F35404" w:rsidRDefault="003B68E0" w:rsidP="00ED6404">
            <w:pPr>
              <w:pStyle w:val="Tabletext"/>
              <w:ind w:left="0" w:right="0"/>
            </w:pPr>
            <w:r w:rsidRPr="00F35404">
              <w:t>Objectives</w:t>
            </w:r>
          </w:p>
        </w:tc>
        <w:tc>
          <w:tcPr>
            <w:tcW w:w="1417" w:type="dxa"/>
          </w:tcPr>
          <w:p w14:paraId="4850AAB4" w14:textId="77777777" w:rsidR="003B68E0" w:rsidRPr="00F35404" w:rsidRDefault="003B68E0" w:rsidP="00ED6404">
            <w:pPr>
              <w:pStyle w:val="Tabletext"/>
              <w:ind w:left="0" w:right="0"/>
            </w:pPr>
            <w:r w:rsidRPr="00F35404">
              <w:t>Design</w:t>
            </w:r>
          </w:p>
        </w:tc>
        <w:tc>
          <w:tcPr>
            <w:tcW w:w="1418" w:type="dxa"/>
          </w:tcPr>
          <w:p w14:paraId="59B19CDF" w14:textId="77777777" w:rsidR="003B68E0" w:rsidRPr="00F35404" w:rsidRDefault="003B68E0" w:rsidP="00ED6404">
            <w:pPr>
              <w:pStyle w:val="Tabletext"/>
              <w:ind w:left="0" w:right="0"/>
            </w:pPr>
            <w:r w:rsidRPr="00F35404">
              <w:t>Treatments</w:t>
            </w:r>
          </w:p>
        </w:tc>
        <w:tc>
          <w:tcPr>
            <w:tcW w:w="1701" w:type="dxa"/>
          </w:tcPr>
          <w:p w14:paraId="0DDBFCEB" w14:textId="77777777" w:rsidR="003B68E0" w:rsidRPr="00F35404" w:rsidRDefault="003B68E0" w:rsidP="00ED6404">
            <w:pPr>
              <w:pStyle w:val="Tabletext"/>
              <w:ind w:left="0" w:right="0"/>
            </w:pPr>
            <w:r w:rsidRPr="00F35404">
              <w:t>Population</w:t>
            </w:r>
          </w:p>
        </w:tc>
        <w:tc>
          <w:tcPr>
            <w:tcW w:w="1275" w:type="dxa"/>
          </w:tcPr>
          <w:p w14:paraId="4B82780C" w14:textId="77777777" w:rsidR="003B68E0" w:rsidRPr="00F35404" w:rsidRDefault="003B68E0" w:rsidP="00ED6404">
            <w:pPr>
              <w:pStyle w:val="Tabletext"/>
              <w:ind w:left="0" w:right="0"/>
            </w:pPr>
            <w:r w:rsidRPr="00F35404">
              <w:t>Duration of treatment</w:t>
            </w:r>
          </w:p>
        </w:tc>
      </w:tr>
      <w:tr w:rsidR="003B68E0" w:rsidRPr="00F35404" w14:paraId="6188797E" w14:textId="77777777" w:rsidTr="00ED6404">
        <w:tc>
          <w:tcPr>
            <w:tcW w:w="983" w:type="dxa"/>
          </w:tcPr>
          <w:p w14:paraId="3E4FB081" w14:textId="03B0BCF2" w:rsidR="003B68E0" w:rsidRPr="00F35404" w:rsidRDefault="00ED6404" w:rsidP="00ED6404">
            <w:pPr>
              <w:pStyle w:val="Tabletext"/>
              <w:ind w:left="0" w:right="0"/>
            </w:pPr>
            <w:r w:rsidRPr="00F35404">
              <w:t xml:space="preserve">Study </w:t>
            </w:r>
            <w:r w:rsidR="003B68E0" w:rsidRPr="00F35404">
              <w:t>MYL-1402O-1002</w:t>
            </w:r>
          </w:p>
        </w:tc>
        <w:tc>
          <w:tcPr>
            <w:tcW w:w="1701" w:type="dxa"/>
          </w:tcPr>
          <w:p w14:paraId="12331916" w14:textId="133D45EB" w:rsidR="003B68E0" w:rsidRPr="00F35404" w:rsidRDefault="003B68E0" w:rsidP="00ED6404">
            <w:pPr>
              <w:pStyle w:val="Tabletext"/>
              <w:ind w:left="0" w:right="0"/>
            </w:pPr>
            <w:r w:rsidRPr="00F35404">
              <w:t>Primary: compare PK of MYL-1402O, US-</w:t>
            </w:r>
            <w:r w:rsidR="00667F81" w:rsidRPr="00F35404">
              <w:t>Avastin</w:t>
            </w:r>
            <w:r w:rsidRPr="00F35404">
              <w:t xml:space="preserve"> and EU-</w:t>
            </w:r>
            <w:r w:rsidR="00667F81" w:rsidRPr="00F35404">
              <w:t>Avastin</w:t>
            </w:r>
          </w:p>
          <w:p w14:paraId="4D561AC3" w14:textId="77777777" w:rsidR="003B68E0" w:rsidRPr="00F35404" w:rsidRDefault="003B68E0" w:rsidP="00ED6404">
            <w:pPr>
              <w:pStyle w:val="Tabletext"/>
              <w:ind w:left="0" w:right="0"/>
            </w:pPr>
            <w:r w:rsidRPr="00F35404">
              <w:t>Secondary: safety, tolerability, immunogenicity</w:t>
            </w:r>
          </w:p>
        </w:tc>
        <w:tc>
          <w:tcPr>
            <w:tcW w:w="1417" w:type="dxa"/>
          </w:tcPr>
          <w:p w14:paraId="7B4D8666" w14:textId="676A1C39" w:rsidR="003B68E0" w:rsidRPr="00F35404" w:rsidRDefault="003B68E0" w:rsidP="00ED6404">
            <w:pPr>
              <w:pStyle w:val="Tabletext"/>
              <w:ind w:left="0" w:right="0"/>
            </w:pPr>
            <w:r w:rsidRPr="00F35404">
              <w:t>Single centre, randomised, double</w:t>
            </w:r>
            <w:r w:rsidR="00ED6404" w:rsidRPr="00F35404">
              <w:t xml:space="preserve"> </w:t>
            </w:r>
            <w:r w:rsidRPr="00F35404">
              <w:t xml:space="preserve">blind, 3 parallel arm </w:t>
            </w:r>
            <w:r w:rsidR="00EA1FFC" w:rsidRPr="00F35404">
              <w:t>Phase</w:t>
            </w:r>
            <w:r w:rsidRPr="00F35404">
              <w:t xml:space="preserve"> </w:t>
            </w:r>
            <w:r w:rsidR="00EA1FFC" w:rsidRPr="00F35404">
              <w:t>I</w:t>
            </w:r>
            <w:r w:rsidRPr="00F35404">
              <w:t xml:space="preserve"> study</w:t>
            </w:r>
          </w:p>
        </w:tc>
        <w:tc>
          <w:tcPr>
            <w:tcW w:w="1418" w:type="dxa"/>
          </w:tcPr>
          <w:p w14:paraId="6829F5E8" w14:textId="14DB0C14" w:rsidR="003B68E0" w:rsidRPr="00F35404" w:rsidRDefault="003B68E0" w:rsidP="00ED6404">
            <w:pPr>
              <w:pStyle w:val="Tabletext"/>
              <w:ind w:left="0" w:right="0"/>
            </w:pPr>
            <w:r w:rsidRPr="00F35404">
              <w:t>Single dose (1</w:t>
            </w:r>
            <w:r w:rsidR="00ED6404" w:rsidRPr="00F35404">
              <w:t> </w:t>
            </w:r>
            <w:r w:rsidRPr="00F35404">
              <w:t>mg/kg 90</w:t>
            </w:r>
            <w:r w:rsidR="00ED6404" w:rsidRPr="00F35404">
              <w:t> </w:t>
            </w:r>
            <w:r w:rsidRPr="00F35404">
              <w:t>min IV infusion) of MYL-1402O, EU-</w:t>
            </w:r>
            <w:r w:rsidR="00667F81" w:rsidRPr="00F35404">
              <w:t>Avastin</w:t>
            </w:r>
            <w:r w:rsidRPr="00F35404">
              <w:t xml:space="preserve"> or US-</w:t>
            </w:r>
            <w:r w:rsidR="00667F81" w:rsidRPr="00F35404">
              <w:t>Avastin</w:t>
            </w:r>
            <w:r w:rsidRPr="00F35404">
              <w:t xml:space="preserve">. </w:t>
            </w:r>
          </w:p>
        </w:tc>
        <w:tc>
          <w:tcPr>
            <w:tcW w:w="1701" w:type="dxa"/>
          </w:tcPr>
          <w:p w14:paraId="2CCBB30D" w14:textId="77777777" w:rsidR="003B68E0" w:rsidRPr="00F35404" w:rsidRDefault="003B68E0" w:rsidP="00ED6404">
            <w:pPr>
              <w:pStyle w:val="Tabletext"/>
              <w:ind w:left="0" w:right="0"/>
            </w:pPr>
            <w:r w:rsidRPr="00F35404">
              <w:t>Healthy male volunteers</w:t>
            </w:r>
          </w:p>
          <w:p w14:paraId="3E796621" w14:textId="77777777" w:rsidR="003B68E0" w:rsidRPr="00F35404" w:rsidRDefault="003B68E0" w:rsidP="00ED6404">
            <w:pPr>
              <w:pStyle w:val="Tabletext"/>
              <w:ind w:left="0" w:right="0"/>
            </w:pPr>
            <w:r w:rsidRPr="00F35404">
              <w:t>ITT=111</w:t>
            </w:r>
          </w:p>
          <w:p w14:paraId="524FE524" w14:textId="77777777" w:rsidR="003B68E0" w:rsidRPr="00F35404" w:rsidRDefault="003B68E0" w:rsidP="00ED6404">
            <w:pPr>
              <w:pStyle w:val="Tabletext"/>
              <w:ind w:left="0" w:right="0"/>
            </w:pPr>
            <w:r w:rsidRPr="00F35404">
              <w:t>MYL-1402O=37</w:t>
            </w:r>
          </w:p>
          <w:p w14:paraId="5E167828" w14:textId="73182EA2" w:rsidR="003B68E0" w:rsidRPr="00F35404" w:rsidRDefault="003B68E0" w:rsidP="00ED6404">
            <w:pPr>
              <w:pStyle w:val="Tabletext"/>
              <w:ind w:left="0" w:right="0"/>
            </w:pPr>
            <w:r w:rsidRPr="00F35404">
              <w:t>EU-</w:t>
            </w:r>
            <w:r w:rsidR="00667F81" w:rsidRPr="00F35404">
              <w:t>Avastin</w:t>
            </w:r>
            <w:r w:rsidRPr="00F35404">
              <w:t>=37</w:t>
            </w:r>
          </w:p>
          <w:p w14:paraId="1F0C8DD2" w14:textId="0877E676" w:rsidR="003B68E0" w:rsidRPr="00F35404" w:rsidRDefault="003B68E0" w:rsidP="00ED6404">
            <w:pPr>
              <w:pStyle w:val="Tabletext"/>
              <w:ind w:left="0" w:right="0"/>
            </w:pPr>
            <w:r w:rsidRPr="00F35404">
              <w:t>US-</w:t>
            </w:r>
            <w:r w:rsidR="00667F81" w:rsidRPr="00F35404">
              <w:t>Avastin</w:t>
            </w:r>
            <w:r w:rsidRPr="00F35404">
              <w:t>=37</w:t>
            </w:r>
          </w:p>
        </w:tc>
        <w:tc>
          <w:tcPr>
            <w:tcW w:w="1275" w:type="dxa"/>
          </w:tcPr>
          <w:p w14:paraId="3FA96B5C" w14:textId="77777777" w:rsidR="003B68E0" w:rsidRPr="00F35404" w:rsidRDefault="003B68E0" w:rsidP="00ED6404">
            <w:pPr>
              <w:pStyle w:val="Tabletext"/>
              <w:ind w:left="0" w:right="0"/>
            </w:pPr>
            <w:r w:rsidRPr="00F35404">
              <w:t>Single dose. 90 days follow up</w:t>
            </w:r>
          </w:p>
        </w:tc>
      </w:tr>
      <w:tr w:rsidR="003B68E0" w:rsidRPr="00F35404" w14:paraId="33039158" w14:textId="77777777" w:rsidTr="00ED6404">
        <w:tc>
          <w:tcPr>
            <w:tcW w:w="983" w:type="dxa"/>
          </w:tcPr>
          <w:p w14:paraId="4BA9C524" w14:textId="12E068F3" w:rsidR="003B68E0" w:rsidRPr="00F35404" w:rsidRDefault="00ED6404" w:rsidP="00ED6404">
            <w:pPr>
              <w:pStyle w:val="Tabletext"/>
              <w:ind w:left="0" w:right="0"/>
            </w:pPr>
            <w:r w:rsidRPr="00F35404">
              <w:t xml:space="preserve">Study </w:t>
            </w:r>
            <w:r w:rsidR="003B68E0" w:rsidRPr="00F35404">
              <w:t>MYL-1402O-3001</w:t>
            </w:r>
          </w:p>
        </w:tc>
        <w:tc>
          <w:tcPr>
            <w:tcW w:w="1701" w:type="dxa"/>
          </w:tcPr>
          <w:p w14:paraId="4AFCE545" w14:textId="30B00464" w:rsidR="003B68E0" w:rsidRPr="00F35404" w:rsidRDefault="003B68E0" w:rsidP="00ED6404">
            <w:pPr>
              <w:pStyle w:val="Tabletext"/>
              <w:ind w:left="0" w:right="0"/>
            </w:pPr>
            <w:r w:rsidRPr="00F35404">
              <w:t>Primary: ORR of MYL-1042O versus EU-</w:t>
            </w:r>
            <w:r w:rsidR="00667F81" w:rsidRPr="00F35404">
              <w:t>Avastin</w:t>
            </w:r>
            <w:r w:rsidRPr="00F35404">
              <w:t>, in combination with carboplatin-paclitaxel chemotherapy for 18 weeks then continued as monotherapy.</w:t>
            </w:r>
          </w:p>
          <w:p w14:paraId="62F4772F" w14:textId="77777777" w:rsidR="003B68E0" w:rsidRPr="00F35404" w:rsidRDefault="003B68E0" w:rsidP="00ED6404">
            <w:pPr>
              <w:pStyle w:val="Tabletext"/>
              <w:ind w:left="0" w:right="0"/>
            </w:pPr>
            <w:r w:rsidRPr="00F35404">
              <w:t>Secondary: safety, other efficacy endpoints, immunogenicity</w:t>
            </w:r>
          </w:p>
        </w:tc>
        <w:tc>
          <w:tcPr>
            <w:tcW w:w="1417" w:type="dxa"/>
          </w:tcPr>
          <w:p w14:paraId="578D2E39" w14:textId="0E19A13F" w:rsidR="003B68E0" w:rsidRPr="00F35404" w:rsidRDefault="003B68E0" w:rsidP="00ED6404">
            <w:pPr>
              <w:pStyle w:val="Tabletext"/>
              <w:ind w:left="0" w:right="0"/>
            </w:pPr>
            <w:r w:rsidRPr="00F35404">
              <w:t>Multicentre, double</w:t>
            </w:r>
            <w:r w:rsidR="00ED6404" w:rsidRPr="00F35404">
              <w:t xml:space="preserve"> </w:t>
            </w:r>
            <w:r w:rsidRPr="00F35404">
              <w:t>blind, randomised, parallel group</w:t>
            </w:r>
          </w:p>
        </w:tc>
        <w:tc>
          <w:tcPr>
            <w:tcW w:w="1418" w:type="dxa"/>
          </w:tcPr>
          <w:p w14:paraId="5E332CFA" w14:textId="7F1592CA" w:rsidR="003B68E0" w:rsidRPr="00F35404" w:rsidRDefault="003B68E0" w:rsidP="00ED6404">
            <w:pPr>
              <w:pStyle w:val="Tabletext"/>
              <w:ind w:left="0" w:right="0"/>
            </w:pPr>
            <w:r w:rsidRPr="00F35404">
              <w:t>15 mg/kg IV infusion every 21 days of MYL-1402O or EU-</w:t>
            </w:r>
            <w:r w:rsidR="00667F81" w:rsidRPr="00F35404">
              <w:t>Avastin</w:t>
            </w:r>
            <w:r w:rsidRPr="00F35404">
              <w:t>, given in combination with standard carboplatin-paclitaxel chemotherapy for the first 18 of 42 weeks</w:t>
            </w:r>
          </w:p>
        </w:tc>
        <w:tc>
          <w:tcPr>
            <w:tcW w:w="1701" w:type="dxa"/>
          </w:tcPr>
          <w:p w14:paraId="6C515EB7" w14:textId="29404DCE" w:rsidR="003B68E0" w:rsidRPr="00F35404" w:rsidRDefault="003B68E0" w:rsidP="00ED6404">
            <w:pPr>
              <w:pStyle w:val="Tabletext"/>
              <w:ind w:left="0" w:right="0"/>
            </w:pPr>
            <w:r w:rsidRPr="00F35404">
              <w:t>Patients with stage IV non</w:t>
            </w:r>
            <w:r w:rsidR="00737AC8">
              <w:noBreakHyphen/>
            </w:r>
            <w:r w:rsidRPr="00F35404">
              <w:t>squamous NSCLC (</w:t>
            </w:r>
            <w:proofErr w:type="spellStart"/>
            <w:r w:rsidRPr="00F35404">
              <w:t>nsNSCLC</w:t>
            </w:r>
            <w:proofErr w:type="spellEnd"/>
            <w:r w:rsidRPr="00F35404">
              <w:t>)</w:t>
            </w:r>
          </w:p>
          <w:p w14:paraId="36A3324A" w14:textId="77777777" w:rsidR="003B68E0" w:rsidRPr="00F35404" w:rsidRDefault="003B68E0" w:rsidP="00ED6404">
            <w:pPr>
              <w:pStyle w:val="Tabletext"/>
              <w:ind w:left="0" w:right="0"/>
            </w:pPr>
            <w:r w:rsidRPr="00F35404">
              <w:t>ITT=671</w:t>
            </w:r>
          </w:p>
          <w:p w14:paraId="2DCD23A4" w14:textId="77777777" w:rsidR="003B68E0" w:rsidRPr="00F35404" w:rsidRDefault="003B68E0" w:rsidP="00ED6404">
            <w:pPr>
              <w:pStyle w:val="Tabletext"/>
              <w:ind w:left="0" w:right="0"/>
            </w:pPr>
            <w:r w:rsidRPr="00F35404">
              <w:t>MYL-1402O=337</w:t>
            </w:r>
          </w:p>
          <w:p w14:paraId="31DD0D7E" w14:textId="0A9EEA8D" w:rsidR="003B68E0" w:rsidRPr="00F35404" w:rsidRDefault="003B68E0" w:rsidP="00ED6404">
            <w:pPr>
              <w:pStyle w:val="Tabletext"/>
              <w:ind w:left="0" w:right="0"/>
            </w:pPr>
            <w:r w:rsidRPr="00F35404">
              <w:t>EU-</w:t>
            </w:r>
            <w:r w:rsidR="00667F81" w:rsidRPr="00F35404">
              <w:t>Avastin</w:t>
            </w:r>
            <w:r w:rsidRPr="00F35404">
              <w:t>=334</w:t>
            </w:r>
          </w:p>
        </w:tc>
        <w:tc>
          <w:tcPr>
            <w:tcW w:w="1275" w:type="dxa"/>
          </w:tcPr>
          <w:p w14:paraId="085B561F" w14:textId="77777777" w:rsidR="003B68E0" w:rsidRPr="00F35404" w:rsidRDefault="003B68E0" w:rsidP="00ED6404">
            <w:pPr>
              <w:pStyle w:val="Tabletext"/>
              <w:ind w:left="0" w:right="0"/>
            </w:pPr>
            <w:r w:rsidRPr="00F35404">
              <w:t>42 weeks</w:t>
            </w:r>
          </w:p>
        </w:tc>
      </w:tr>
      <w:tr w:rsidR="003B68E0" w:rsidRPr="00F35404" w14:paraId="37A3891D" w14:textId="77777777" w:rsidTr="00737AC8">
        <w:trPr>
          <w:cantSplit/>
        </w:trPr>
        <w:tc>
          <w:tcPr>
            <w:tcW w:w="0" w:type="dxa"/>
          </w:tcPr>
          <w:p w14:paraId="2AEBABA5" w14:textId="6BA0B1CE" w:rsidR="003B68E0" w:rsidRPr="00F35404" w:rsidRDefault="00ED6404" w:rsidP="00ED6404">
            <w:pPr>
              <w:pStyle w:val="Tabletext"/>
              <w:ind w:left="0" w:right="0"/>
            </w:pPr>
            <w:r w:rsidRPr="00F35404">
              <w:lastRenderedPageBreak/>
              <w:t xml:space="preserve">Study </w:t>
            </w:r>
            <w:r w:rsidR="003B68E0" w:rsidRPr="00F35404">
              <w:t>BM100-CC-03-I-01</w:t>
            </w:r>
          </w:p>
        </w:tc>
        <w:tc>
          <w:tcPr>
            <w:tcW w:w="0" w:type="dxa"/>
          </w:tcPr>
          <w:p w14:paraId="2E24A824" w14:textId="77777777" w:rsidR="003B68E0" w:rsidRPr="00F35404" w:rsidRDefault="003B68E0" w:rsidP="00ED6404">
            <w:pPr>
              <w:pStyle w:val="Tabletext"/>
              <w:ind w:left="0" w:right="0"/>
            </w:pPr>
            <w:r w:rsidRPr="00F35404">
              <w:t>Part 1</w:t>
            </w:r>
          </w:p>
          <w:p w14:paraId="4F5346B1" w14:textId="77777777" w:rsidR="003B68E0" w:rsidRPr="00F35404" w:rsidRDefault="003B68E0" w:rsidP="00ED6404">
            <w:pPr>
              <w:pStyle w:val="Tabletext"/>
              <w:ind w:left="0" w:right="0"/>
            </w:pPr>
            <w:r w:rsidRPr="00F35404">
              <w:t>Safety of Bmab-100 in combination with capecitabine and oxaliplatin</w:t>
            </w:r>
          </w:p>
          <w:p w14:paraId="48CBD76E" w14:textId="77777777" w:rsidR="003B68E0" w:rsidRPr="00F35404" w:rsidRDefault="003B68E0" w:rsidP="00ED6404">
            <w:pPr>
              <w:pStyle w:val="Tabletext"/>
              <w:ind w:left="0" w:right="0"/>
            </w:pPr>
            <w:r w:rsidRPr="00F35404">
              <w:t>Part 2</w:t>
            </w:r>
          </w:p>
          <w:p w14:paraId="4F147CB7" w14:textId="3B5A63BC" w:rsidR="003B68E0" w:rsidRPr="00F35404" w:rsidRDefault="003B68E0" w:rsidP="00ED6404">
            <w:pPr>
              <w:pStyle w:val="Tabletext"/>
              <w:ind w:left="0" w:right="0"/>
            </w:pPr>
            <w:r w:rsidRPr="00F35404">
              <w:t>Primary: single dose PK bioequivalence of Bmab-100 and EU-</w:t>
            </w:r>
            <w:r w:rsidR="00667F81" w:rsidRPr="00F35404">
              <w:t>Avastin</w:t>
            </w:r>
            <w:r w:rsidRPr="00F35404">
              <w:t>.</w:t>
            </w:r>
          </w:p>
          <w:p w14:paraId="60014594" w14:textId="77777777" w:rsidR="003B68E0" w:rsidRPr="00F35404" w:rsidRDefault="003B68E0" w:rsidP="00ED6404">
            <w:pPr>
              <w:pStyle w:val="Tabletext"/>
              <w:ind w:left="0" w:right="0"/>
            </w:pPr>
            <w:r w:rsidRPr="00F35404">
              <w:t xml:space="preserve">Secondary: efficacy, multiple dose PK equivalence, </w:t>
            </w:r>
            <w:proofErr w:type="gramStart"/>
            <w:r w:rsidRPr="00F35404">
              <w:t>safety</w:t>
            </w:r>
            <w:proofErr w:type="gramEnd"/>
            <w:r w:rsidRPr="00F35404">
              <w:t xml:space="preserve"> and immunogenicity</w:t>
            </w:r>
          </w:p>
        </w:tc>
        <w:tc>
          <w:tcPr>
            <w:tcW w:w="0" w:type="dxa"/>
          </w:tcPr>
          <w:p w14:paraId="2BD73B73" w14:textId="77777777" w:rsidR="003B68E0" w:rsidRPr="00F35404" w:rsidRDefault="003B68E0" w:rsidP="00ED6404">
            <w:pPr>
              <w:pStyle w:val="Tabletext"/>
              <w:ind w:left="0" w:right="0"/>
            </w:pPr>
            <w:r w:rsidRPr="00F35404">
              <w:t>Multicentre, double-blind, randomised, parallel group</w:t>
            </w:r>
          </w:p>
        </w:tc>
        <w:tc>
          <w:tcPr>
            <w:tcW w:w="0" w:type="dxa"/>
          </w:tcPr>
          <w:p w14:paraId="7B1067D7" w14:textId="410BC379" w:rsidR="003B68E0" w:rsidRPr="00F35404" w:rsidRDefault="003B68E0" w:rsidP="00ED6404">
            <w:pPr>
              <w:pStyle w:val="Tabletext"/>
              <w:ind w:left="0" w:right="0"/>
            </w:pPr>
            <w:r w:rsidRPr="00F35404">
              <w:t>7.5 mg/kg IV infusion every 21 days of Bmab-100 or EU-</w:t>
            </w:r>
            <w:r w:rsidR="00667F81" w:rsidRPr="00F35404">
              <w:t>Avastin</w:t>
            </w:r>
            <w:r w:rsidRPr="00F35404">
              <w:t>, for up to six cycles, given in combination with capecitabine and oxaliplatin</w:t>
            </w:r>
          </w:p>
        </w:tc>
        <w:tc>
          <w:tcPr>
            <w:tcW w:w="0" w:type="dxa"/>
          </w:tcPr>
          <w:p w14:paraId="3F6CA4BB" w14:textId="1CD21E25" w:rsidR="003B68E0" w:rsidRPr="00F35404" w:rsidRDefault="003B68E0" w:rsidP="00ED6404">
            <w:pPr>
              <w:pStyle w:val="Tabletext"/>
              <w:ind w:left="0" w:right="0"/>
            </w:pPr>
            <w:r w:rsidRPr="00F35404">
              <w:t xml:space="preserve">Patients with metastatic </w:t>
            </w:r>
            <w:r w:rsidR="007504A6" w:rsidRPr="00F35404">
              <w:t>colorectal cancer</w:t>
            </w:r>
          </w:p>
          <w:p w14:paraId="68E2B490" w14:textId="77777777" w:rsidR="003B68E0" w:rsidRPr="00F35404" w:rsidRDefault="003B68E0" w:rsidP="00ED6404">
            <w:pPr>
              <w:pStyle w:val="Tabletext"/>
              <w:ind w:left="0" w:right="0"/>
            </w:pPr>
            <w:r w:rsidRPr="00F35404">
              <w:t>Part 1 ITT=10 (all Bmab-100)</w:t>
            </w:r>
          </w:p>
          <w:p w14:paraId="1BA3079D" w14:textId="77777777" w:rsidR="003B68E0" w:rsidRPr="00F35404" w:rsidRDefault="003B68E0" w:rsidP="00ED6404">
            <w:pPr>
              <w:pStyle w:val="Tabletext"/>
              <w:ind w:left="0" w:right="0"/>
            </w:pPr>
            <w:r w:rsidRPr="00F35404">
              <w:t>Part2 ITT=136</w:t>
            </w:r>
          </w:p>
          <w:p w14:paraId="5867CF1A" w14:textId="332BE666" w:rsidR="003B68E0" w:rsidRPr="00F35404" w:rsidRDefault="003B68E0" w:rsidP="00ED6404">
            <w:pPr>
              <w:pStyle w:val="Tabletext"/>
              <w:ind w:left="0" w:right="0"/>
            </w:pPr>
            <w:r w:rsidRPr="00F35404">
              <w:t>Bmab</w:t>
            </w:r>
            <w:r w:rsidR="007D138D" w:rsidRPr="00F35404">
              <w:t>-</w:t>
            </w:r>
            <w:r w:rsidRPr="00F35404">
              <w:t>100=68</w:t>
            </w:r>
          </w:p>
          <w:p w14:paraId="2180F3B6" w14:textId="4EFE1578" w:rsidR="003B68E0" w:rsidRPr="00F35404" w:rsidRDefault="003B68E0" w:rsidP="00ED6404">
            <w:pPr>
              <w:pStyle w:val="Tabletext"/>
              <w:ind w:left="0" w:right="0"/>
            </w:pPr>
            <w:r w:rsidRPr="00F35404">
              <w:t>EU-</w:t>
            </w:r>
            <w:r w:rsidR="00667F81" w:rsidRPr="00F35404">
              <w:t>Avastin</w:t>
            </w:r>
            <w:r w:rsidRPr="00F35404">
              <w:t>=68</w:t>
            </w:r>
          </w:p>
        </w:tc>
        <w:tc>
          <w:tcPr>
            <w:tcW w:w="0" w:type="dxa"/>
          </w:tcPr>
          <w:p w14:paraId="6B1249BB" w14:textId="77777777" w:rsidR="003B68E0" w:rsidRPr="00F35404" w:rsidRDefault="003B68E0" w:rsidP="00ED6404">
            <w:pPr>
              <w:pStyle w:val="Tabletext"/>
              <w:ind w:left="0" w:right="0"/>
            </w:pPr>
            <w:r w:rsidRPr="00F35404">
              <w:t>18 weeks</w:t>
            </w:r>
          </w:p>
        </w:tc>
      </w:tr>
    </w:tbl>
    <w:p w14:paraId="17CFF2E2" w14:textId="43F7A3C8" w:rsidR="003B68E0" w:rsidRPr="00F35404" w:rsidRDefault="00ED6404" w:rsidP="004857A7">
      <w:pPr>
        <w:pStyle w:val="TableDescription"/>
      </w:pPr>
      <w:r w:rsidRPr="00F35404">
        <w:t xml:space="preserve">Bmab-100 = </w:t>
      </w:r>
      <w:r w:rsidR="005843A8">
        <w:t>p</w:t>
      </w:r>
      <w:r w:rsidR="005843A8" w:rsidRPr="005843A8">
        <w:t>roduct code for an earlier and alternative formulation of a related bevacizumab biosimilar</w:t>
      </w:r>
      <w:r w:rsidRPr="00F35404">
        <w:t xml:space="preserve">; </w:t>
      </w:r>
      <w:r w:rsidR="003B68E0" w:rsidRPr="00F35404">
        <w:t>EU-</w:t>
      </w:r>
      <w:r w:rsidR="00667F81" w:rsidRPr="00F35404">
        <w:t>Avastin</w:t>
      </w:r>
      <w:r w:rsidR="003B68E0" w:rsidRPr="00F35404">
        <w:t xml:space="preserve"> = </w:t>
      </w:r>
      <w:r w:rsidR="00667F81" w:rsidRPr="00F35404">
        <w:t>Avastin</w:t>
      </w:r>
      <w:r w:rsidR="003B68E0" w:rsidRPr="00F35404">
        <w:t xml:space="preserve"> sourced from the European Union, </w:t>
      </w:r>
      <w:r w:rsidRPr="00F35404">
        <w:t>ITT = intention-to-treat;</w:t>
      </w:r>
      <w:bookmarkStart w:id="48" w:name="_Ref90386246"/>
      <w:r w:rsidR="006A3D58" w:rsidRPr="00F35404">
        <w:rPr>
          <w:rStyle w:val="FootnoteReference"/>
        </w:rPr>
        <w:footnoteReference w:id="7"/>
      </w:r>
      <w:bookmarkEnd w:id="48"/>
      <w:r w:rsidRPr="00F35404">
        <w:t xml:space="preserve"> IV = intravenous; MYL</w:t>
      </w:r>
      <w:r w:rsidRPr="00F35404">
        <w:noBreakHyphen/>
        <w:t xml:space="preserve">1402O = </w:t>
      </w:r>
      <w:r w:rsidR="00B6743D">
        <w:t>p</w:t>
      </w:r>
      <w:r w:rsidR="00B6743D" w:rsidRPr="00B6743D">
        <w:t>roduct code for Abevmy formulation intended for marketing in Australia</w:t>
      </w:r>
      <w:r w:rsidRPr="00F35404">
        <w:t xml:space="preserve">; NSCLC = non-small cell lung cancer, </w:t>
      </w:r>
      <w:proofErr w:type="spellStart"/>
      <w:r w:rsidRPr="00F35404">
        <w:t>nsNSCLC</w:t>
      </w:r>
      <w:proofErr w:type="spellEnd"/>
      <w:r w:rsidRPr="00F35404">
        <w:t xml:space="preserve"> = non-squamous non-small cell lung cancer; ORR = objective response rate; </w:t>
      </w:r>
      <w:r w:rsidR="003B68E0" w:rsidRPr="00F35404">
        <w:t>PK = pharmacokinetic(s), US</w:t>
      </w:r>
      <w:r w:rsidR="007D138D" w:rsidRPr="00F35404">
        <w:t>-</w:t>
      </w:r>
      <w:r w:rsidR="00667F81" w:rsidRPr="00F35404">
        <w:t>Avastin</w:t>
      </w:r>
      <w:r w:rsidR="003B68E0" w:rsidRPr="00F35404">
        <w:t xml:space="preserve"> = </w:t>
      </w:r>
      <w:r w:rsidR="00667F81" w:rsidRPr="00F35404">
        <w:t>Avastin</w:t>
      </w:r>
      <w:r w:rsidR="003B68E0" w:rsidRPr="00F35404">
        <w:t xml:space="preserve"> sourced from the United States of America</w:t>
      </w:r>
      <w:r w:rsidR="004857A7" w:rsidRPr="00F35404">
        <w:t>.</w:t>
      </w:r>
    </w:p>
    <w:p w14:paraId="1FA5774F" w14:textId="77777777" w:rsidR="003B68E0" w:rsidRPr="00F35404" w:rsidRDefault="003B68E0" w:rsidP="002F0941">
      <w:pPr>
        <w:pStyle w:val="Heading4"/>
      </w:pPr>
      <w:r w:rsidRPr="00F35404">
        <w:t>Population characteristics</w:t>
      </w:r>
    </w:p>
    <w:p w14:paraId="29DED5D0" w14:textId="1447A746" w:rsidR="003B68E0" w:rsidRPr="00F35404" w:rsidRDefault="00922C4A" w:rsidP="002F0941">
      <w:pPr>
        <w:pStyle w:val="Heading5"/>
      </w:pPr>
      <w:r>
        <w:t xml:space="preserve">Study </w:t>
      </w:r>
      <w:r w:rsidR="003B68E0" w:rsidRPr="00F35404">
        <w:t>MYL-1402O-1002 (healthy male volunteers)</w:t>
      </w:r>
    </w:p>
    <w:p w14:paraId="64BD444F" w14:textId="4CD4C107" w:rsidR="003B68E0" w:rsidRPr="00F35404" w:rsidRDefault="003B68E0" w:rsidP="002F0941">
      <w:r w:rsidRPr="00F35404">
        <w:t xml:space="preserve">The mean age of the subjects was 30, 33 and 31 years, and mean </w:t>
      </w:r>
      <w:r w:rsidR="004857A7" w:rsidRPr="00F35404">
        <w:t>body mass index</w:t>
      </w:r>
      <w:r w:rsidRPr="00F35404">
        <w:t xml:space="preserve"> was 24.0, 24.7 and 24.5 kg/m</w:t>
      </w:r>
      <w:r w:rsidRPr="00F35404">
        <w:rPr>
          <w:vertAlign w:val="superscript"/>
        </w:rPr>
        <w:t>2</w:t>
      </w:r>
      <w:r w:rsidRPr="00F35404">
        <w:t xml:space="preserve"> for the MYL-1402O</w:t>
      </w:r>
      <w:r w:rsidR="009F348C">
        <w:t xml:space="preserve"> (Abevmy)</w:t>
      </w:r>
      <w:r w:rsidRPr="00F35404">
        <w:t>, US-</w:t>
      </w:r>
      <w:r w:rsidR="00667F81" w:rsidRPr="00F35404">
        <w:t>Avastin</w:t>
      </w:r>
      <w:r w:rsidRPr="00F35404">
        <w:t xml:space="preserve"> and EU-</w:t>
      </w:r>
      <w:r w:rsidR="00667F81" w:rsidRPr="00F35404">
        <w:t>Avastin</w:t>
      </w:r>
      <w:r w:rsidRPr="00F35404">
        <w:t xml:space="preserve"> treatments, respectively. Most subjects (93%) were </w:t>
      </w:r>
      <w:r w:rsidR="004857A7" w:rsidRPr="00F35404">
        <w:t>W</w:t>
      </w:r>
      <w:r w:rsidRPr="00F35404">
        <w:t>hite.</w:t>
      </w:r>
    </w:p>
    <w:p w14:paraId="4BF269EF" w14:textId="1669C8F6" w:rsidR="003B68E0" w:rsidRPr="00F35404" w:rsidRDefault="00922C4A" w:rsidP="002F0941">
      <w:pPr>
        <w:pStyle w:val="Heading5"/>
      </w:pPr>
      <w:r>
        <w:t xml:space="preserve">Study </w:t>
      </w:r>
      <w:r w:rsidR="003B68E0" w:rsidRPr="00F35404">
        <w:t xml:space="preserve">MYL-1402O-3001 (patients with metastatic </w:t>
      </w:r>
      <w:r w:rsidR="004857A7" w:rsidRPr="00F35404">
        <w:t>non-squamous non-small cell lung cancer</w:t>
      </w:r>
      <w:r w:rsidR="003B68E0" w:rsidRPr="00F35404">
        <w:t>)</w:t>
      </w:r>
    </w:p>
    <w:p w14:paraId="2DD6CA7F" w14:textId="6E358ACD" w:rsidR="003B68E0" w:rsidRPr="00F35404" w:rsidRDefault="003B68E0" w:rsidP="002F0941">
      <w:r w:rsidRPr="00F35404">
        <w:t xml:space="preserve">The baseline demographics and disease characteristics of the enrolled population were reasonably balanced between arms, with both arms having a mean age of 59 years, 63% </w:t>
      </w:r>
      <w:r w:rsidR="009F348C">
        <w:t xml:space="preserve">were </w:t>
      </w:r>
      <w:r w:rsidRPr="00F35404">
        <w:t xml:space="preserve">male, around 70% </w:t>
      </w:r>
      <w:r w:rsidR="009F348C">
        <w:t xml:space="preserve">were </w:t>
      </w:r>
      <w:r w:rsidRPr="00F35404">
        <w:t xml:space="preserve">Caucasian and 30% </w:t>
      </w:r>
      <w:r w:rsidR="009F348C">
        <w:t xml:space="preserve">were </w:t>
      </w:r>
      <w:r w:rsidRPr="00F35404">
        <w:t xml:space="preserve">Asian race, </w:t>
      </w:r>
      <w:r w:rsidR="00922C4A">
        <w:t xml:space="preserve">and by </w:t>
      </w:r>
      <w:r w:rsidR="00AD7568" w:rsidRPr="00F35404">
        <w:t>Eastern Cooperative Oncology Group (</w:t>
      </w:r>
      <w:r w:rsidRPr="00F35404">
        <w:t>ECOG</w:t>
      </w:r>
      <w:r w:rsidR="00AD7568" w:rsidRPr="00F35404">
        <w:t>)</w:t>
      </w:r>
      <w:r w:rsidR="00922C4A">
        <w:t xml:space="preserve"> performance status, </w:t>
      </w:r>
      <w:r w:rsidR="00922C4A" w:rsidRPr="00F35404">
        <w:t xml:space="preserve">around a quarter </w:t>
      </w:r>
      <w:r w:rsidR="00922C4A">
        <w:t xml:space="preserve">had an ECOG performance status of </w:t>
      </w:r>
      <w:r w:rsidRPr="00F35404">
        <w:t>0</w:t>
      </w:r>
      <w:r w:rsidR="00AD7568" w:rsidRPr="00F35404">
        <w:t>;</w:t>
      </w:r>
      <w:r w:rsidR="00AD7568" w:rsidRPr="00F35404">
        <w:rPr>
          <w:rStyle w:val="FootnoteReference"/>
        </w:rPr>
        <w:footnoteReference w:id="8"/>
      </w:r>
      <w:r w:rsidRPr="00F35404">
        <w:t xml:space="preserve"> and the remainder</w:t>
      </w:r>
      <w:r w:rsidR="00922C4A">
        <w:t xml:space="preserve"> had</w:t>
      </w:r>
      <w:r w:rsidRPr="00F35404">
        <w:t xml:space="preserve"> ECOG</w:t>
      </w:r>
      <w:r w:rsidR="00922C4A">
        <w:t xml:space="preserve"> performance status of </w:t>
      </w:r>
      <w:r w:rsidRPr="00F35404">
        <w:t xml:space="preserve">1, and </w:t>
      </w:r>
      <w:r w:rsidRPr="00F35404">
        <w:lastRenderedPageBreak/>
        <w:t xml:space="preserve">around 50% </w:t>
      </w:r>
      <w:r w:rsidR="009F348C">
        <w:t xml:space="preserve">were </w:t>
      </w:r>
      <w:r w:rsidRPr="00F35404">
        <w:t>smokers. The majority had metastatic disease at diagnosis (</w:t>
      </w:r>
      <w:r w:rsidR="00AD7568" w:rsidRPr="00F35404">
        <w:t xml:space="preserve">approximate </w:t>
      </w:r>
      <w:r w:rsidRPr="00F35404">
        <w:t>90%) and had adenocarcinoma histology (</w:t>
      </w:r>
      <w:r w:rsidR="00AD7568" w:rsidRPr="00F35404">
        <w:t xml:space="preserve">approximate </w:t>
      </w:r>
      <w:r w:rsidRPr="00F35404">
        <w:t>95%) with multiple metastatic sites (</w:t>
      </w:r>
      <w:r w:rsidR="00AD7568" w:rsidRPr="00F35404">
        <w:t xml:space="preserve">approximate </w:t>
      </w:r>
      <w:r w:rsidRPr="00F35404">
        <w:t>60%).</w:t>
      </w:r>
    </w:p>
    <w:p w14:paraId="2423275B" w14:textId="45E32A3A" w:rsidR="003B68E0" w:rsidRPr="00F35404" w:rsidRDefault="00AD7568" w:rsidP="002F0941">
      <w:pPr>
        <w:pStyle w:val="Heading5"/>
      </w:pPr>
      <w:r w:rsidRPr="00F35404">
        <w:t xml:space="preserve">Study </w:t>
      </w:r>
      <w:r w:rsidR="003B68E0" w:rsidRPr="00F35404">
        <w:t xml:space="preserve">BM100-CC-03-1-01 (patients with metastatic </w:t>
      </w:r>
      <w:r w:rsidRPr="00F35404">
        <w:t>colorectal cancer</w:t>
      </w:r>
      <w:r w:rsidR="003B68E0" w:rsidRPr="00F35404">
        <w:t>)</w:t>
      </w:r>
    </w:p>
    <w:p w14:paraId="73A990E4" w14:textId="5368F689" w:rsidR="003B68E0" w:rsidRPr="00F35404" w:rsidRDefault="003B68E0" w:rsidP="002F0941">
      <w:r w:rsidRPr="00F35404">
        <w:t>The baseline demographics and disease characteristics of the enrolled population were reasonably balanced between arms. The mean age of patients in the Bmab-100 arm was 51 years</w:t>
      </w:r>
      <w:r w:rsidR="00AD7568" w:rsidRPr="00F35404">
        <w:t>,</w:t>
      </w:r>
      <w:r w:rsidRPr="00F35404">
        <w:t xml:space="preserve"> and in the EU-</w:t>
      </w:r>
      <w:r w:rsidR="00667F81" w:rsidRPr="00F35404">
        <w:t>Avastin</w:t>
      </w:r>
      <w:r w:rsidRPr="00F35404">
        <w:t xml:space="preserve"> arm was 52 years. All patients were of Asian race, around 30% </w:t>
      </w:r>
      <w:r w:rsidR="003F65D2">
        <w:t>had</w:t>
      </w:r>
      <w:r w:rsidR="00922C4A">
        <w:t xml:space="preserve"> an </w:t>
      </w:r>
      <w:r w:rsidRPr="00F35404">
        <w:t>ECO</w:t>
      </w:r>
      <w:r w:rsidR="003F65D2">
        <w:t>G</w:t>
      </w:r>
      <w:r w:rsidR="00922C4A">
        <w:t xml:space="preserve"> performance status of </w:t>
      </w:r>
      <w:r w:rsidRPr="00F35404">
        <w:t xml:space="preserve">0 and 70% </w:t>
      </w:r>
      <w:r w:rsidR="003F65D2">
        <w:t>had</w:t>
      </w:r>
      <w:r w:rsidR="00922C4A">
        <w:t xml:space="preserve"> an </w:t>
      </w:r>
      <w:r w:rsidRPr="00F35404">
        <w:t>ECOG</w:t>
      </w:r>
      <w:r w:rsidR="00922C4A">
        <w:t xml:space="preserve"> performance status of </w:t>
      </w:r>
      <w:r w:rsidRPr="00F35404">
        <w:t>1. The majority had metastatic disease at diagnosis (</w:t>
      </w:r>
      <w:r w:rsidR="00AD7568" w:rsidRPr="00F35404">
        <w:t xml:space="preserve">approximate </w:t>
      </w:r>
      <w:r w:rsidRPr="00F35404">
        <w:t>90%) and had adenocarcinoma histology (</w:t>
      </w:r>
      <w:r w:rsidR="00AD7568" w:rsidRPr="00F35404">
        <w:t xml:space="preserve">approximate </w:t>
      </w:r>
      <w:r w:rsidRPr="00F35404">
        <w:t>95%) with multiple metastatic sites (</w:t>
      </w:r>
      <w:r w:rsidR="00AD7568" w:rsidRPr="00F35404">
        <w:t xml:space="preserve">approximate </w:t>
      </w:r>
      <w:r w:rsidRPr="00F35404">
        <w:t>60%).</w:t>
      </w:r>
    </w:p>
    <w:p w14:paraId="4B287BEE" w14:textId="77777777" w:rsidR="003B68E0" w:rsidRPr="00F35404" w:rsidRDefault="003B68E0" w:rsidP="002F0941">
      <w:pPr>
        <w:pStyle w:val="Heading4"/>
      </w:pPr>
      <w:r w:rsidRPr="00F35404">
        <w:t>Results</w:t>
      </w:r>
    </w:p>
    <w:p w14:paraId="6B273219" w14:textId="1088570E" w:rsidR="003B68E0" w:rsidRPr="00F35404" w:rsidRDefault="003B68E0" w:rsidP="003B68E0">
      <w:pPr>
        <w:pStyle w:val="Heading5"/>
      </w:pPr>
      <w:r w:rsidRPr="00F35404">
        <w:t>Pharmacokinetics</w:t>
      </w:r>
    </w:p>
    <w:p w14:paraId="59B9E4B6" w14:textId="6F9A9660" w:rsidR="003B68E0" w:rsidRPr="00F35404" w:rsidRDefault="00AD7568" w:rsidP="003B68E0">
      <w:pPr>
        <w:pStyle w:val="Heading6"/>
      </w:pPr>
      <w:bookmarkStart w:id="49" w:name="_Ref69724148"/>
      <w:r w:rsidRPr="00F35404">
        <w:t xml:space="preserve">Study </w:t>
      </w:r>
      <w:r w:rsidR="003B68E0" w:rsidRPr="00F35404">
        <w:t>MYL-1402O-1002</w:t>
      </w:r>
      <w:bookmarkEnd w:id="49"/>
    </w:p>
    <w:p w14:paraId="4B880F3B" w14:textId="127E1130" w:rsidR="003B68E0" w:rsidRPr="00F35404" w:rsidRDefault="003B68E0" w:rsidP="002F0941">
      <w:r w:rsidRPr="00F35404">
        <w:t>At a single centre, healthy volunteer male subjects were randomised into three arms (n</w:t>
      </w:r>
      <w:r w:rsidR="00AD7568" w:rsidRPr="00F35404">
        <w:t> </w:t>
      </w:r>
      <w:r w:rsidRPr="00F35404">
        <w:t>=</w:t>
      </w:r>
      <w:r w:rsidR="00AD7568" w:rsidRPr="00F35404">
        <w:t> </w:t>
      </w:r>
      <w:r w:rsidRPr="00F35404">
        <w:t>37 each), and each received a single 1</w:t>
      </w:r>
      <w:r w:rsidR="00AD7568" w:rsidRPr="00F35404">
        <w:t> </w:t>
      </w:r>
      <w:r w:rsidRPr="00F35404">
        <w:t>mg/kg dose (intravenously over 90 minutes) of either MYL-1402O</w:t>
      </w:r>
      <w:r w:rsidR="009F348C">
        <w:t xml:space="preserve"> (Abevmy)</w:t>
      </w:r>
      <w:r w:rsidRPr="00F35404">
        <w:t>, US-</w:t>
      </w:r>
      <w:r w:rsidR="00667F81" w:rsidRPr="00F35404">
        <w:t>Avastin</w:t>
      </w:r>
      <w:r w:rsidRPr="00F35404">
        <w:t xml:space="preserve"> or EU-</w:t>
      </w:r>
      <w:r w:rsidR="00667F81" w:rsidRPr="00F35404">
        <w:t>Avastin</w:t>
      </w:r>
      <w:r w:rsidRPr="00F35404">
        <w:t xml:space="preserve">. Dense </w:t>
      </w:r>
      <w:r w:rsidR="00AD7568" w:rsidRPr="00F35404">
        <w:t>pharmacokinetics (</w:t>
      </w:r>
      <w:r w:rsidRPr="00F35404">
        <w:t>PK</w:t>
      </w:r>
      <w:r w:rsidR="00AD7568" w:rsidRPr="00F35404">
        <w:t>)</w:t>
      </w:r>
      <w:r w:rsidRPr="00F35404">
        <w:t xml:space="preserve"> sampling was undertaken from </w:t>
      </w:r>
      <w:r w:rsidR="00D37D94" w:rsidRPr="00F35404">
        <w:t>D</w:t>
      </w:r>
      <w:r w:rsidRPr="00F35404">
        <w:t>ay</w:t>
      </w:r>
      <w:r w:rsidR="00D37D94" w:rsidRPr="00F35404">
        <w:t> </w:t>
      </w:r>
      <w:r w:rsidRPr="00F35404">
        <w:t xml:space="preserve">1 through </w:t>
      </w:r>
      <w:proofErr w:type="spellStart"/>
      <w:r w:rsidR="00D37D94" w:rsidRPr="00F35404">
        <w:t>D</w:t>
      </w:r>
      <w:r w:rsidRPr="00F35404">
        <w:t>ay</w:t>
      </w:r>
      <w:proofErr w:type="spellEnd"/>
      <w:r w:rsidR="00D37D94" w:rsidRPr="00F35404">
        <w:t> </w:t>
      </w:r>
      <w:r w:rsidRPr="00F35404">
        <w:t>99 (28 samples per person). The lower limit of quantification of the analytical assay was 160</w:t>
      </w:r>
      <w:r w:rsidR="00D37D94" w:rsidRPr="00F35404">
        <w:t> </w:t>
      </w:r>
      <w:proofErr w:type="spellStart"/>
      <w:r w:rsidRPr="00F35404">
        <w:t>μg</w:t>
      </w:r>
      <w:proofErr w:type="spellEnd"/>
      <w:r w:rsidRPr="00F35404">
        <w:t>/</w:t>
      </w:r>
      <w:proofErr w:type="spellStart"/>
      <w:r w:rsidRPr="00F35404">
        <w:t>mL.</w:t>
      </w:r>
      <w:proofErr w:type="spellEnd"/>
    </w:p>
    <w:p w14:paraId="7F0D0BFC" w14:textId="6F8D8E17" w:rsidR="00355CDB" w:rsidRPr="00F35404" w:rsidRDefault="003B68E0" w:rsidP="00E26BE3">
      <w:r w:rsidRPr="00F35404">
        <w:t xml:space="preserve">The observed bevacizumab PK parameters are shown in </w:t>
      </w:r>
      <w:r w:rsidRPr="00F35404">
        <w:fldChar w:fldCharType="begin"/>
      </w:r>
      <w:r w:rsidRPr="00F35404">
        <w:instrText xml:space="preserve"> REF _Ref69198242 \h </w:instrText>
      </w:r>
      <w:r w:rsidR="002F0941" w:rsidRPr="00F35404">
        <w:instrText xml:space="preserve"> \* MERGEFORMAT </w:instrText>
      </w:r>
      <w:r w:rsidRPr="00F35404">
        <w:fldChar w:fldCharType="separate"/>
      </w:r>
      <w:r w:rsidR="00D0686E" w:rsidRPr="00F35404">
        <w:t xml:space="preserve">Table </w:t>
      </w:r>
      <w:r w:rsidR="00D0686E">
        <w:t>3</w:t>
      </w:r>
      <w:r w:rsidRPr="00F35404">
        <w:fldChar w:fldCharType="end"/>
      </w:r>
      <w:r w:rsidRPr="00F35404">
        <w:t xml:space="preserve"> and a comparison of the </w:t>
      </w:r>
      <w:r w:rsidR="00D37D94" w:rsidRPr="00F35404">
        <w:t xml:space="preserve">Least squares </w:t>
      </w:r>
      <w:r w:rsidRPr="00F35404">
        <w:t xml:space="preserve">mean ratios and 90% confidence intervals for </w:t>
      </w:r>
      <w:r w:rsidR="00D37D94" w:rsidRPr="00F35404">
        <w:t>area under the plasma concentration time curve (</w:t>
      </w:r>
      <w:r w:rsidRPr="00F35404">
        <w:t>AUC</w:t>
      </w:r>
      <w:r w:rsidR="00D37D94" w:rsidRPr="00F35404">
        <w:t>)</w:t>
      </w:r>
      <w:r w:rsidRPr="00F35404">
        <w:t xml:space="preserve"> and </w:t>
      </w:r>
      <w:proofErr w:type="spellStart"/>
      <w:r w:rsidRPr="00F35404">
        <w:t>C</w:t>
      </w:r>
      <w:r w:rsidRPr="00F35404">
        <w:rPr>
          <w:vertAlign w:val="subscript"/>
        </w:rPr>
        <w:t>max</w:t>
      </w:r>
      <w:proofErr w:type="spellEnd"/>
      <w:r w:rsidRPr="00F35404">
        <w:t xml:space="preserve"> between the groups is shown in </w:t>
      </w:r>
      <w:r w:rsidR="00355CDB" w:rsidRPr="00F35404">
        <w:fldChar w:fldCharType="begin"/>
      </w:r>
      <w:r w:rsidR="00355CDB" w:rsidRPr="00F35404">
        <w:instrText xml:space="preserve"> REF _Ref90469433 \h </w:instrText>
      </w:r>
      <w:r w:rsidR="00F35404">
        <w:instrText xml:space="preserve"> \* MERGEFORMAT </w:instrText>
      </w:r>
      <w:r w:rsidR="00355CDB" w:rsidRPr="00F35404">
        <w:fldChar w:fldCharType="separate"/>
      </w:r>
      <w:r w:rsidR="00D0686E" w:rsidRPr="00F35404">
        <w:t xml:space="preserve">Table </w:t>
      </w:r>
      <w:r w:rsidR="00D0686E">
        <w:rPr>
          <w:noProof/>
        </w:rPr>
        <w:t>4</w:t>
      </w:r>
      <w:r w:rsidR="00355CDB" w:rsidRPr="00F35404">
        <w:fldChar w:fldCharType="end"/>
      </w:r>
      <w:r w:rsidR="00355CDB" w:rsidRPr="00F35404">
        <w:t>.</w:t>
      </w:r>
    </w:p>
    <w:p w14:paraId="1B988971" w14:textId="738E9BD7" w:rsidR="003B68E0" w:rsidRPr="00F35404" w:rsidRDefault="003B68E0" w:rsidP="002F0941">
      <w:pPr>
        <w:pStyle w:val="TableTitle"/>
      </w:pPr>
      <w:bookmarkStart w:id="50" w:name="_Ref69198242"/>
      <w:bookmarkStart w:id="51" w:name="_Toc53568922"/>
      <w:r w:rsidRPr="00F35404">
        <w:t xml:space="preserve">Table </w:t>
      </w:r>
      <w:fldSimple w:instr=" SEQ Table \* ARABIC ">
        <w:r w:rsidR="00D0686E">
          <w:rPr>
            <w:noProof/>
          </w:rPr>
          <w:t>3</w:t>
        </w:r>
      </w:fldSimple>
      <w:bookmarkEnd w:id="50"/>
      <w:r w:rsidRPr="00F35404">
        <w:t xml:space="preserve">: </w:t>
      </w:r>
      <w:r w:rsidR="00D37D94" w:rsidRPr="00F35404">
        <w:t xml:space="preserve">Study MYL-1402O-1002 </w:t>
      </w:r>
      <w:r w:rsidRPr="00F35404">
        <w:t>Summary of bevacizumab pharmacokinetic parameters</w:t>
      </w:r>
      <w:bookmarkEnd w:id="51"/>
    </w:p>
    <w:tbl>
      <w:tblPr>
        <w:tblW w:w="7963" w:type="dxa"/>
        <w:tblLayout w:type="fixed"/>
        <w:tblCellMar>
          <w:left w:w="0" w:type="dxa"/>
          <w:right w:w="0" w:type="dxa"/>
        </w:tblCellMar>
        <w:tblLook w:val="04A0" w:firstRow="1" w:lastRow="0" w:firstColumn="1" w:lastColumn="0" w:noHBand="0" w:noVBand="1"/>
      </w:tblPr>
      <w:tblGrid>
        <w:gridCol w:w="2028"/>
        <w:gridCol w:w="1931"/>
        <w:gridCol w:w="1989"/>
        <w:gridCol w:w="2015"/>
      </w:tblGrid>
      <w:tr w:rsidR="003B68E0" w:rsidRPr="00F35404" w14:paraId="7CCD631F" w14:textId="77777777" w:rsidTr="007504A6">
        <w:trPr>
          <w:trHeight w:val="540"/>
        </w:trPr>
        <w:tc>
          <w:tcPr>
            <w:tcW w:w="2028" w:type="dxa"/>
            <w:tcBorders>
              <w:top w:val="single" w:sz="12" w:space="0" w:color="000000"/>
              <w:left w:val="nil"/>
              <w:bottom w:val="single" w:sz="6" w:space="0" w:color="000000"/>
              <w:right w:val="nil"/>
            </w:tcBorders>
          </w:tcPr>
          <w:p w14:paraId="5B4C4708" w14:textId="77777777" w:rsidR="003B68E0" w:rsidRPr="00F35404" w:rsidRDefault="003B68E0" w:rsidP="002F0941">
            <w:pPr>
              <w:pStyle w:val="Tabletext"/>
            </w:pPr>
          </w:p>
          <w:p w14:paraId="184DDCC5" w14:textId="77777777" w:rsidR="003B68E0" w:rsidRPr="00F35404" w:rsidRDefault="003B68E0" w:rsidP="002F0941">
            <w:pPr>
              <w:pStyle w:val="Tabletext"/>
              <w:rPr>
                <w:b/>
                <w:bCs/>
                <w:sz w:val="20"/>
                <w:szCs w:val="20"/>
              </w:rPr>
            </w:pPr>
            <w:r w:rsidRPr="00F35404">
              <w:rPr>
                <w:b/>
                <w:bCs/>
                <w:sz w:val="20"/>
                <w:szCs w:val="20"/>
              </w:rPr>
              <w:t>Parameter</w:t>
            </w:r>
          </w:p>
        </w:tc>
        <w:tc>
          <w:tcPr>
            <w:tcW w:w="1931" w:type="dxa"/>
            <w:tcBorders>
              <w:top w:val="single" w:sz="12" w:space="0" w:color="000000"/>
              <w:left w:val="nil"/>
              <w:bottom w:val="single" w:sz="6" w:space="0" w:color="000000"/>
              <w:right w:val="nil"/>
            </w:tcBorders>
            <w:hideMark/>
          </w:tcPr>
          <w:p w14:paraId="7E1B2364" w14:textId="77777777" w:rsidR="003B68E0" w:rsidRPr="00F35404" w:rsidRDefault="003B68E0" w:rsidP="002F0941">
            <w:pPr>
              <w:pStyle w:val="Tabletext"/>
              <w:rPr>
                <w:b/>
                <w:bCs/>
                <w:sz w:val="20"/>
                <w:szCs w:val="20"/>
              </w:rPr>
            </w:pPr>
            <w:r w:rsidRPr="00F35404">
              <w:rPr>
                <w:b/>
                <w:bCs/>
                <w:sz w:val="20"/>
                <w:szCs w:val="20"/>
              </w:rPr>
              <w:t>MYL-1402O</w:t>
            </w:r>
          </w:p>
          <w:p w14:paraId="7229AB83" w14:textId="77777777" w:rsidR="003B68E0" w:rsidRPr="00F35404" w:rsidRDefault="003B68E0" w:rsidP="002F0941">
            <w:pPr>
              <w:pStyle w:val="Tabletext"/>
              <w:rPr>
                <w:b/>
                <w:bCs/>
                <w:sz w:val="20"/>
                <w:szCs w:val="20"/>
              </w:rPr>
            </w:pPr>
            <w:r w:rsidRPr="00F35404">
              <w:rPr>
                <w:b/>
                <w:bCs/>
                <w:sz w:val="20"/>
                <w:szCs w:val="20"/>
              </w:rPr>
              <w:t>(n=37)</w:t>
            </w:r>
          </w:p>
        </w:tc>
        <w:tc>
          <w:tcPr>
            <w:tcW w:w="1989" w:type="dxa"/>
            <w:tcBorders>
              <w:top w:val="single" w:sz="12" w:space="0" w:color="000000"/>
              <w:left w:val="nil"/>
              <w:bottom w:val="single" w:sz="6" w:space="0" w:color="000000"/>
              <w:right w:val="nil"/>
            </w:tcBorders>
            <w:hideMark/>
          </w:tcPr>
          <w:p w14:paraId="43A5A7EB" w14:textId="707D1E24" w:rsidR="003B68E0" w:rsidRPr="00F35404" w:rsidRDefault="003B68E0" w:rsidP="002F0941">
            <w:pPr>
              <w:pStyle w:val="Tabletext"/>
              <w:rPr>
                <w:b/>
                <w:bCs/>
                <w:position w:val="7"/>
                <w:sz w:val="13"/>
                <w:szCs w:val="13"/>
              </w:rPr>
            </w:pPr>
            <w:r w:rsidRPr="00F35404">
              <w:rPr>
                <w:b/>
                <w:bCs/>
                <w:sz w:val="20"/>
                <w:szCs w:val="20"/>
              </w:rPr>
              <w:t>US-</w:t>
            </w:r>
            <w:r w:rsidR="00667F81" w:rsidRPr="00F35404">
              <w:rPr>
                <w:b/>
                <w:bCs/>
                <w:sz w:val="20"/>
                <w:szCs w:val="20"/>
              </w:rPr>
              <w:t>Avastin</w:t>
            </w:r>
          </w:p>
          <w:p w14:paraId="4527A86E" w14:textId="77777777" w:rsidR="003B68E0" w:rsidRPr="00F35404" w:rsidRDefault="003B68E0" w:rsidP="002F0941">
            <w:pPr>
              <w:pStyle w:val="Tabletext"/>
              <w:rPr>
                <w:b/>
                <w:bCs/>
                <w:sz w:val="20"/>
                <w:szCs w:val="20"/>
              </w:rPr>
            </w:pPr>
            <w:r w:rsidRPr="00F35404">
              <w:rPr>
                <w:b/>
                <w:bCs/>
                <w:sz w:val="20"/>
                <w:szCs w:val="20"/>
              </w:rPr>
              <w:t>(n=37)</w:t>
            </w:r>
          </w:p>
        </w:tc>
        <w:tc>
          <w:tcPr>
            <w:tcW w:w="2015" w:type="dxa"/>
            <w:tcBorders>
              <w:top w:val="single" w:sz="12" w:space="0" w:color="000000"/>
              <w:left w:val="nil"/>
              <w:bottom w:val="single" w:sz="6" w:space="0" w:color="000000"/>
              <w:right w:val="nil"/>
            </w:tcBorders>
            <w:hideMark/>
          </w:tcPr>
          <w:p w14:paraId="1D75576F" w14:textId="3BD9C0ED" w:rsidR="003B68E0" w:rsidRPr="00F35404" w:rsidRDefault="003B68E0" w:rsidP="002F0941">
            <w:pPr>
              <w:pStyle w:val="Tabletext"/>
              <w:rPr>
                <w:b/>
                <w:bCs/>
                <w:position w:val="7"/>
                <w:sz w:val="13"/>
                <w:szCs w:val="13"/>
              </w:rPr>
            </w:pPr>
            <w:r w:rsidRPr="00F35404">
              <w:rPr>
                <w:b/>
                <w:bCs/>
                <w:sz w:val="20"/>
                <w:szCs w:val="20"/>
              </w:rPr>
              <w:t>EU-</w:t>
            </w:r>
            <w:r w:rsidR="00667F81" w:rsidRPr="00F35404">
              <w:rPr>
                <w:b/>
                <w:bCs/>
                <w:sz w:val="20"/>
                <w:szCs w:val="20"/>
              </w:rPr>
              <w:t>Avastin</w:t>
            </w:r>
          </w:p>
          <w:p w14:paraId="39A7FE23" w14:textId="77777777" w:rsidR="003B68E0" w:rsidRPr="00F35404" w:rsidRDefault="003B68E0" w:rsidP="002F0941">
            <w:pPr>
              <w:pStyle w:val="Tabletext"/>
              <w:rPr>
                <w:b/>
                <w:bCs/>
                <w:sz w:val="20"/>
                <w:szCs w:val="20"/>
              </w:rPr>
            </w:pPr>
            <w:r w:rsidRPr="00F35404">
              <w:rPr>
                <w:b/>
                <w:bCs/>
                <w:sz w:val="20"/>
                <w:szCs w:val="20"/>
              </w:rPr>
              <w:t>(n=36)</w:t>
            </w:r>
          </w:p>
        </w:tc>
      </w:tr>
      <w:tr w:rsidR="003B68E0" w:rsidRPr="00F35404" w14:paraId="3D6171DA" w14:textId="77777777" w:rsidTr="007504A6">
        <w:trPr>
          <w:trHeight w:val="254"/>
        </w:trPr>
        <w:tc>
          <w:tcPr>
            <w:tcW w:w="2028" w:type="dxa"/>
            <w:tcBorders>
              <w:top w:val="single" w:sz="6" w:space="0" w:color="000000"/>
              <w:left w:val="nil"/>
              <w:bottom w:val="nil"/>
              <w:right w:val="nil"/>
            </w:tcBorders>
            <w:hideMark/>
          </w:tcPr>
          <w:p w14:paraId="6E60975E" w14:textId="34BD5DE8" w:rsidR="003B68E0" w:rsidRPr="00F35404" w:rsidRDefault="003B68E0" w:rsidP="002F0941">
            <w:pPr>
              <w:pStyle w:val="Tabletext"/>
              <w:rPr>
                <w:position w:val="2"/>
                <w:sz w:val="20"/>
                <w:szCs w:val="20"/>
              </w:rPr>
            </w:pPr>
            <w:r w:rsidRPr="00F35404">
              <w:rPr>
                <w:position w:val="2"/>
                <w:sz w:val="20"/>
                <w:szCs w:val="20"/>
              </w:rPr>
              <w:t>AUC</w:t>
            </w:r>
            <w:r w:rsidRPr="00F35404">
              <w:rPr>
                <w:sz w:val="13"/>
                <w:szCs w:val="13"/>
              </w:rPr>
              <w:t xml:space="preserve">0-inf </w:t>
            </w:r>
            <w:r w:rsidRPr="00F35404">
              <w:rPr>
                <w:position w:val="2"/>
                <w:sz w:val="20"/>
                <w:szCs w:val="20"/>
              </w:rPr>
              <w:t>(µg</w:t>
            </w:r>
            <w:r w:rsidR="007D138D" w:rsidRPr="00F35404">
              <w:rPr>
                <w:position w:val="2"/>
                <w:sz w:val="20"/>
                <w:szCs w:val="20"/>
              </w:rPr>
              <w:t>*</w:t>
            </w:r>
            <w:r w:rsidRPr="00F35404">
              <w:rPr>
                <w:position w:val="2"/>
                <w:sz w:val="20"/>
                <w:szCs w:val="20"/>
              </w:rPr>
              <w:t>hr/mL)</w:t>
            </w:r>
          </w:p>
        </w:tc>
        <w:tc>
          <w:tcPr>
            <w:tcW w:w="1931" w:type="dxa"/>
            <w:tcBorders>
              <w:top w:val="single" w:sz="6" w:space="0" w:color="000000"/>
              <w:left w:val="nil"/>
              <w:bottom w:val="nil"/>
              <w:right w:val="nil"/>
            </w:tcBorders>
            <w:hideMark/>
          </w:tcPr>
          <w:p w14:paraId="0A9BDBC6" w14:textId="77777777" w:rsidR="003B68E0" w:rsidRPr="00F35404" w:rsidRDefault="003B68E0" w:rsidP="002F0941">
            <w:pPr>
              <w:pStyle w:val="Tabletext"/>
              <w:rPr>
                <w:sz w:val="20"/>
                <w:szCs w:val="20"/>
              </w:rPr>
            </w:pPr>
            <w:r w:rsidRPr="00F35404">
              <w:rPr>
                <w:sz w:val="20"/>
                <w:szCs w:val="20"/>
              </w:rPr>
              <w:t>7663.6 (11.7%)</w:t>
            </w:r>
          </w:p>
        </w:tc>
        <w:tc>
          <w:tcPr>
            <w:tcW w:w="1989" w:type="dxa"/>
            <w:tcBorders>
              <w:top w:val="single" w:sz="6" w:space="0" w:color="000000"/>
              <w:left w:val="nil"/>
              <w:bottom w:val="nil"/>
              <w:right w:val="nil"/>
            </w:tcBorders>
            <w:hideMark/>
          </w:tcPr>
          <w:p w14:paraId="184B00B1" w14:textId="77777777" w:rsidR="003B68E0" w:rsidRPr="00F35404" w:rsidRDefault="003B68E0" w:rsidP="002F0941">
            <w:pPr>
              <w:pStyle w:val="Tabletext"/>
              <w:rPr>
                <w:sz w:val="20"/>
                <w:szCs w:val="20"/>
              </w:rPr>
            </w:pPr>
            <w:r w:rsidRPr="00F35404">
              <w:rPr>
                <w:sz w:val="20"/>
                <w:szCs w:val="20"/>
              </w:rPr>
              <w:t>7904.2 (13.7%)</w:t>
            </w:r>
          </w:p>
        </w:tc>
        <w:tc>
          <w:tcPr>
            <w:tcW w:w="2015" w:type="dxa"/>
            <w:tcBorders>
              <w:top w:val="single" w:sz="6" w:space="0" w:color="000000"/>
              <w:left w:val="nil"/>
              <w:bottom w:val="nil"/>
              <w:right w:val="nil"/>
            </w:tcBorders>
            <w:hideMark/>
          </w:tcPr>
          <w:p w14:paraId="10663DE7" w14:textId="77777777" w:rsidR="003B68E0" w:rsidRPr="00F35404" w:rsidRDefault="003B68E0" w:rsidP="002F0941">
            <w:pPr>
              <w:pStyle w:val="Tabletext"/>
              <w:rPr>
                <w:sz w:val="20"/>
                <w:szCs w:val="20"/>
              </w:rPr>
            </w:pPr>
            <w:r w:rsidRPr="00F35404">
              <w:rPr>
                <w:sz w:val="20"/>
                <w:szCs w:val="20"/>
              </w:rPr>
              <w:t>8186.4 (15.1%)</w:t>
            </w:r>
          </w:p>
        </w:tc>
      </w:tr>
      <w:tr w:rsidR="003B68E0" w:rsidRPr="00F35404" w14:paraId="5E98A52C" w14:textId="77777777" w:rsidTr="007504A6">
        <w:trPr>
          <w:trHeight w:val="274"/>
        </w:trPr>
        <w:tc>
          <w:tcPr>
            <w:tcW w:w="2028" w:type="dxa"/>
            <w:tcBorders>
              <w:top w:val="nil"/>
              <w:left w:val="nil"/>
              <w:bottom w:val="nil"/>
              <w:right w:val="nil"/>
            </w:tcBorders>
            <w:hideMark/>
          </w:tcPr>
          <w:p w14:paraId="5E59951B" w14:textId="77777777" w:rsidR="003B68E0" w:rsidRPr="00F35404" w:rsidRDefault="003B68E0" w:rsidP="002F0941">
            <w:pPr>
              <w:pStyle w:val="Tabletext"/>
              <w:rPr>
                <w:position w:val="2"/>
                <w:sz w:val="20"/>
                <w:szCs w:val="20"/>
              </w:rPr>
            </w:pPr>
            <w:r w:rsidRPr="00F35404">
              <w:rPr>
                <w:position w:val="2"/>
                <w:sz w:val="20"/>
                <w:szCs w:val="20"/>
              </w:rPr>
              <w:t>AUC</w:t>
            </w:r>
            <w:r w:rsidRPr="00F35404">
              <w:rPr>
                <w:sz w:val="13"/>
                <w:szCs w:val="13"/>
              </w:rPr>
              <w:t xml:space="preserve">0-t </w:t>
            </w:r>
            <w:r w:rsidRPr="00F35404">
              <w:rPr>
                <w:position w:val="2"/>
                <w:sz w:val="20"/>
                <w:szCs w:val="20"/>
              </w:rPr>
              <w:t>(µg*hr/mL)</w:t>
            </w:r>
          </w:p>
        </w:tc>
        <w:tc>
          <w:tcPr>
            <w:tcW w:w="1931" w:type="dxa"/>
            <w:tcBorders>
              <w:top w:val="nil"/>
              <w:left w:val="nil"/>
              <w:bottom w:val="nil"/>
              <w:right w:val="nil"/>
            </w:tcBorders>
            <w:hideMark/>
          </w:tcPr>
          <w:p w14:paraId="2DBA0FA4" w14:textId="77777777" w:rsidR="003B68E0" w:rsidRPr="00F35404" w:rsidRDefault="003B68E0" w:rsidP="002F0941">
            <w:pPr>
              <w:pStyle w:val="Tabletext"/>
              <w:rPr>
                <w:sz w:val="20"/>
                <w:szCs w:val="20"/>
              </w:rPr>
            </w:pPr>
            <w:r w:rsidRPr="00F35404">
              <w:rPr>
                <w:sz w:val="20"/>
                <w:szCs w:val="20"/>
              </w:rPr>
              <w:t>7526.5 (11.8%)</w:t>
            </w:r>
          </w:p>
        </w:tc>
        <w:tc>
          <w:tcPr>
            <w:tcW w:w="1989" w:type="dxa"/>
            <w:tcBorders>
              <w:top w:val="nil"/>
              <w:left w:val="nil"/>
              <w:bottom w:val="nil"/>
              <w:right w:val="nil"/>
            </w:tcBorders>
            <w:hideMark/>
          </w:tcPr>
          <w:p w14:paraId="55F6D075" w14:textId="77777777" w:rsidR="003B68E0" w:rsidRPr="00F35404" w:rsidRDefault="003B68E0" w:rsidP="002F0941">
            <w:pPr>
              <w:pStyle w:val="Tabletext"/>
              <w:rPr>
                <w:sz w:val="20"/>
                <w:szCs w:val="20"/>
              </w:rPr>
            </w:pPr>
            <w:r w:rsidRPr="00F35404">
              <w:rPr>
                <w:sz w:val="20"/>
                <w:szCs w:val="20"/>
              </w:rPr>
              <w:t>7764.8 (13.6%)</w:t>
            </w:r>
          </w:p>
        </w:tc>
        <w:tc>
          <w:tcPr>
            <w:tcW w:w="2015" w:type="dxa"/>
            <w:tcBorders>
              <w:top w:val="nil"/>
              <w:left w:val="nil"/>
              <w:bottom w:val="nil"/>
              <w:right w:val="nil"/>
            </w:tcBorders>
            <w:hideMark/>
          </w:tcPr>
          <w:p w14:paraId="78A7F616" w14:textId="77777777" w:rsidR="003B68E0" w:rsidRPr="00F35404" w:rsidRDefault="003B68E0" w:rsidP="002F0941">
            <w:pPr>
              <w:pStyle w:val="Tabletext"/>
              <w:rPr>
                <w:sz w:val="20"/>
                <w:szCs w:val="20"/>
              </w:rPr>
            </w:pPr>
            <w:r w:rsidRPr="00F35404">
              <w:rPr>
                <w:sz w:val="20"/>
                <w:szCs w:val="20"/>
              </w:rPr>
              <w:t>8031.3 (14.8%)</w:t>
            </w:r>
          </w:p>
        </w:tc>
      </w:tr>
      <w:tr w:rsidR="003B68E0" w:rsidRPr="00F35404" w14:paraId="7AE6BA8F" w14:textId="77777777" w:rsidTr="007504A6">
        <w:trPr>
          <w:trHeight w:val="270"/>
        </w:trPr>
        <w:tc>
          <w:tcPr>
            <w:tcW w:w="2028" w:type="dxa"/>
            <w:tcBorders>
              <w:top w:val="nil"/>
              <w:left w:val="nil"/>
              <w:bottom w:val="nil"/>
              <w:right w:val="nil"/>
            </w:tcBorders>
            <w:hideMark/>
          </w:tcPr>
          <w:p w14:paraId="21057A81" w14:textId="77777777" w:rsidR="003B68E0" w:rsidRPr="00F35404" w:rsidRDefault="003B68E0" w:rsidP="002F0941">
            <w:pPr>
              <w:pStyle w:val="Tabletext"/>
              <w:rPr>
                <w:position w:val="2"/>
                <w:sz w:val="20"/>
                <w:szCs w:val="20"/>
              </w:rPr>
            </w:pPr>
            <w:r w:rsidRPr="00F35404">
              <w:rPr>
                <w:position w:val="2"/>
                <w:sz w:val="20"/>
                <w:szCs w:val="20"/>
              </w:rPr>
              <w:t>C</w:t>
            </w:r>
            <w:r w:rsidRPr="00F35404">
              <w:rPr>
                <w:sz w:val="13"/>
                <w:szCs w:val="13"/>
              </w:rPr>
              <w:t xml:space="preserve">max </w:t>
            </w:r>
            <w:r w:rsidRPr="00F35404">
              <w:rPr>
                <w:position w:val="2"/>
                <w:sz w:val="20"/>
                <w:szCs w:val="20"/>
              </w:rPr>
              <w:t>(µg/mL)</w:t>
            </w:r>
          </w:p>
        </w:tc>
        <w:tc>
          <w:tcPr>
            <w:tcW w:w="1931" w:type="dxa"/>
            <w:tcBorders>
              <w:top w:val="nil"/>
              <w:left w:val="nil"/>
              <w:bottom w:val="nil"/>
              <w:right w:val="nil"/>
            </w:tcBorders>
            <w:hideMark/>
          </w:tcPr>
          <w:p w14:paraId="6A396174" w14:textId="77777777" w:rsidR="003B68E0" w:rsidRPr="00F35404" w:rsidRDefault="003B68E0" w:rsidP="002F0941">
            <w:pPr>
              <w:pStyle w:val="Tabletext"/>
              <w:rPr>
                <w:sz w:val="20"/>
                <w:szCs w:val="20"/>
              </w:rPr>
            </w:pPr>
            <w:r w:rsidRPr="00F35404">
              <w:rPr>
                <w:sz w:val="20"/>
                <w:szCs w:val="20"/>
              </w:rPr>
              <w:t>24.41 (11.5%)</w:t>
            </w:r>
          </w:p>
        </w:tc>
        <w:tc>
          <w:tcPr>
            <w:tcW w:w="1989" w:type="dxa"/>
            <w:tcBorders>
              <w:top w:val="nil"/>
              <w:left w:val="nil"/>
              <w:bottom w:val="nil"/>
              <w:right w:val="nil"/>
            </w:tcBorders>
            <w:hideMark/>
          </w:tcPr>
          <w:p w14:paraId="365CA0FE" w14:textId="77777777" w:rsidR="003B68E0" w:rsidRPr="00F35404" w:rsidRDefault="003B68E0" w:rsidP="002F0941">
            <w:pPr>
              <w:pStyle w:val="Tabletext"/>
              <w:rPr>
                <w:sz w:val="20"/>
                <w:szCs w:val="20"/>
              </w:rPr>
            </w:pPr>
            <w:r w:rsidRPr="00F35404">
              <w:rPr>
                <w:sz w:val="20"/>
                <w:szCs w:val="20"/>
              </w:rPr>
              <w:t>25.97 (13.0%)</w:t>
            </w:r>
          </w:p>
        </w:tc>
        <w:tc>
          <w:tcPr>
            <w:tcW w:w="2015" w:type="dxa"/>
            <w:tcBorders>
              <w:top w:val="nil"/>
              <w:left w:val="nil"/>
              <w:bottom w:val="nil"/>
              <w:right w:val="nil"/>
            </w:tcBorders>
            <w:hideMark/>
          </w:tcPr>
          <w:p w14:paraId="1A9901CC" w14:textId="77777777" w:rsidR="003B68E0" w:rsidRPr="00F35404" w:rsidRDefault="003B68E0" w:rsidP="002F0941">
            <w:pPr>
              <w:pStyle w:val="Tabletext"/>
              <w:rPr>
                <w:sz w:val="20"/>
                <w:szCs w:val="20"/>
              </w:rPr>
            </w:pPr>
            <w:r w:rsidRPr="00F35404">
              <w:rPr>
                <w:sz w:val="20"/>
                <w:szCs w:val="20"/>
              </w:rPr>
              <w:t>27.50 (18.7%)</w:t>
            </w:r>
          </w:p>
        </w:tc>
      </w:tr>
      <w:tr w:rsidR="003B68E0" w:rsidRPr="00F35404" w14:paraId="2460207D" w14:textId="77777777" w:rsidTr="007504A6">
        <w:trPr>
          <w:trHeight w:val="276"/>
        </w:trPr>
        <w:tc>
          <w:tcPr>
            <w:tcW w:w="2028" w:type="dxa"/>
            <w:tcBorders>
              <w:top w:val="nil"/>
              <w:left w:val="nil"/>
              <w:bottom w:val="nil"/>
              <w:right w:val="nil"/>
            </w:tcBorders>
            <w:hideMark/>
          </w:tcPr>
          <w:p w14:paraId="008FFCC9" w14:textId="77777777" w:rsidR="003B68E0" w:rsidRPr="00F35404" w:rsidRDefault="003B68E0" w:rsidP="002F0941">
            <w:pPr>
              <w:pStyle w:val="Tabletext"/>
              <w:rPr>
                <w:position w:val="2"/>
                <w:sz w:val="20"/>
                <w:szCs w:val="20"/>
              </w:rPr>
            </w:pPr>
            <w:r w:rsidRPr="00F35404">
              <w:rPr>
                <w:position w:val="2"/>
                <w:sz w:val="20"/>
                <w:szCs w:val="20"/>
              </w:rPr>
              <w:t>k</w:t>
            </w:r>
            <w:r w:rsidRPr="00F35404">
              <w:rPr>
                <w:sz w:val="13"/>
                <w:szCs w:val="13"/>
              </w:rPr>
              <w:t xml:space="preserve">el </w:t>
            </w:r>
            <w:r w:rsidRPr="00F35404">
              <w:rPr>
                <w:position w:val="2"/>
                <w:sz w:val="20"/>
                <w:szCs w:val="20"/>
              </w:rPr>
              <w:t>(</w:t>
            </w:r>
            <w:proofErr w:type="gramStart"/>
            <w:r w:rsidRPr="00F35404">
              <w:rPr>
                <w:position w:val="2"/>
                <w:sz w:val="20"/>
                <w:szCs w:val="20"/>
              </w:rPr>
              <w:t>hr</w:t>
            </w:r>
            <w:r w:rsidRPr="00F35404">
              <w:rPr>
                <w:position w:val="2"/>
                <w:sz w:val="20"/>
                <w:szCs w:val="20"/>
                <w:vertAlign w:val="superscript"/>
              </w:rPr>
              <w:t>-1</w:t>
            </w:r>
            <w:proofErr w:type="gramEnd"/>
            <w:r w:rsidRPr="00F35404">
              <w:rPr>
                <w:position w:val="2"/>
                <w:sz w:val="20"/>
                <w:szCs w:val="20"/>
              </w:rPr>
              <w:t>)</w:t>
            </w:r>
          </w:p>
        </w:tc>
        <w:tc>
          <w:tcPr>
            <w:tcW w:w="1931" w:type="dxa"/>
            <w:tcBorders>
              <w:top w:val="nil"/>
              <w:left w:val="nil"/>
              <w:bottom w:val="nil"/>
              <w:right w:val="nil"/>
            </w:tcBorders>
            <w:hideMark/>
          </w:tcPr>
          <w:p w14:paraId="2EE14FD0" w14:textId="77777777" w:rsidR="003B68E0" w:rsidRPr="00F35404" w:rsidRDefault="003B68E0" w:rsidP="002F0941">
            <w:pPr>
              <w:pStyle w:val="Tabletext"/>
              <w:rPr>
                <w:sz w:val="20"/>
                <w:szCs w:val="20"/>
              </w:rPr>
            </w:pPr>
            <w:r w:rsidRPr="00F35404">
              <w:rPr>
                <w:sz w:val="20"/>
                <w:szCs w:val="20"/>
              </w:rPr>
              <w:t>0.0019 (11.0%)</w:t>
            </w:r>
          </w:p>
        </w:tc>
        <w:tc>
          <w:tcPr>
            <w:tcW w:w="1989" w:type="dxa"/>
            <w:tcBorders>
              <w:top w:val="nil"/>
              <w:left w:val="nil"/>
              <w:bottom w:val="nil"/>
              <w:right w:val="nil"/>
            </w:tcBorders>
            <w:hideMark/>
          </w:tcPr>
          <w:p w14:paraId="14BF9929" w14:textId="77777777" w:rsidR="003B68E0" w:rsidRPr="00F35404" w:rsidRDefault="003B68E0" w:rsidP="002F0941">
            <w:pPr>
              <w:pStyle w:val="Tabletext"/>
              <w:rPr>
                <w:sz w:val="20"/>
                <w:szCs w:val="20"/>
              </w:rPr>
            </w:pPr>
            <w:r w:rsidRPr="00F35404">
              <w:rPr>
                <w:sz w:val="20"/>
                <w:szCs w:val="20"/>
              </w:rPr>
              <w:t>0.0020 (13.3%)</w:t>
            </w:r>
          </w:p>
        </w:tc>
        <w:tc>
          <w:tcPr>
            <w:tcW w:w="2015" w:type="dxa"/>
            <w:tcBorders>
              <w:top w:val="nil"/>
              <w:left w:val="nil"/>
              <w:bottom w:val="nil"/>
              <w:right w:val="nil"/>
            </w:tcBorders>
            <w:hideMark/>
          </w:tcPr>
          <w:p w14:paraId="15637A86" w14:textId="77777777" w:rsidR="003B68E0" w:rsidRPr="00F35404" w:rsidRDefault="003B68E0" w:rsidP="002F0941">
            <w:pPr>
              <w:pStyle w:val="Tabletext"/>
              <w:rPr>
                <w:sz w:val="20"/>
                <w:szCs w:val="20"/>
              </w:rPr>
            </w:pPr>
            <w:r w:rsidRPr="00F35404">
              <w:rPr>
                <w:sz w:val="20"/>
                <w:szCs w:val="20"/>
              </w:rPr>
              <w:t>0.0019 (15.2%)</w:t>
            </w:r>
          </w:p>
        </w:tc>
      </w:tr>
      <w:tr w:rsidR="003B68E0" w:rsidRPr="00F35404" w14:paraId="727AA197" w14:textId="77777777" w:rsidTr="007504A6">
        <w:trPr>
          <w:trHeight w:val="274"/>
        </w:trPr>
        <w:tc>
          <w:tcPr>
            <w:tcW w:w="2028" w:type="dxa"/>
            <w:tcBorders>
              <w:top w:val="nil"/>
              <w:left w:val="nil"/>
              <w:bottom w:val="nil"/>
              <w:right w:val="nil"/>
            </w:tcBorders>
            <w:hideMark/>
          </w:tcPr>
          <w:p w14:paraId="16CB2747" w14:textId="77777777" w:rsidR="003B68E0" w:rsidRPr="00F35404" w:rsidRDefault="003B68E0" w:rsidP="002F0941">
            <w:pPr>
              <w:pStyle w:val="Tabletext"/>
              <w:rPr>
                <w:position w:val="2"/>
                <w:sz w:val="20"/>
                <w:szCs w:val="20"/>
              </w:rPr>
            </w:pPr>
            <w:r w:rsidRPr="00F35404">
              <w:rPr>
                <w:position w:val="2"/>
                <w:sz w:val="20"/>
                <w:szCs w:val="20"/>
              </w:rPr>
              <w:t>t</w:t>
            </w:r>
            <w:r w:rsidRPr="00F35404">
              <w:rPr>
                <w:sz w:val="13"/>
                <w:szCs w:val="13"/>
              </w:rPr>
              <w:t xml:space="preserve">1/2 </w:t>
            </w:r>
            <w:r w:rsidRPr="00F35404">
              <w:rPr>
                <w:position w:val="2"/>
                <w:sz w:val="20"/>
                <w:szCs w:val="20"/>
              </w:rPr>
              <w:t>(hr)</w:t>
            </w:r>
          </w:p>
        </w:tc>
        <w:tc>
          <w:tcPr>
            <w:tcW w:w="1931" w:type="dxa"/>
            <w:tcBorders>
              <w:top w:val="nil"/>
              <w:left w:val="nil"/>
              <w:bottom w:val="nil"/>
              <w:right w:val="nil"/>
            </w:tcBorders>
            <w:hideMark/>
          </w:tcPr>
          <w:p w14:paraId="0AAE920B" w14:textId="77777777" w:rsidR="003B68E0" w:rsidRPr="00F35404" w:rsidRDefault="003B68E0" w:rsidP="002F0941">
            <w:pPr>
              <w:pStyle w:val="Tabletext"/>
              <w:rPr>
                <w:sz w:val="20"/>
                <w:szCs w:val="20"/>
              </w:rPr>
            </w:pPr>
            <w:r w:rsidRPr="00F35404">
              <w:rPr>
                <w:sz w:val="20"/>
                <w:szCs w:val="20"/>
              </w:rPr>
              <w:t>374.1 (11.3%)</w:t>
            </w:r>
          </w:p>
        </w:tc>
        <w:tc>
          <w:tcPr>
            <w:tcW w:w="1989" w:type="dxa"/>
            <w:tcBorders>
              <w:top w:val="nil"/>
              <w:left w:val="nil"/>
              <w:bottom w:val="nil"/>
              <w:right w:val="nil"/>
            </w:tcBorders>
            <w:hideMark/>
          </w:tcPr>
          <w:p w14:paraId="66257783" w14:textId="77777777" w:rsidR="003B68E0" w:rsidRPr="00F35404" w:rsidRDefault="003B68E0" w:rsidP="002F0941">
            <w:pPr>
              <w:pStyle w:val="Tabletext"/>
              <w:rPr>
                <w:sz w:val="20"/>
                <w:szCs w:val="20"/>
              </w:rPr>
            </w:pPr>
            <w:r w:rsidRPr="00F35404">
              <w:rPr>
                <w:sz w:val="20"/>
                <w:szCs w:val="20"/>
              </w:rPr>
              <w:t>356.2 (14.0%)</w:t>
            </w:r>
          </w:p>
        </w:tc>
        <w:tc>
          <w:tcPr>
            <w:tcW w:w="2015" w:type="dxa"/>
            <w:tcBorders>
              <w:top w:val="nil"/>
              <w:left w:val="nil"/>
              <w:bottom w:val="nil"/>
              <w:right w:val="nil"/>
            </w:tcBorders>
            <w:hideMark/>
          </w:tcPr>
          <w:p w14:paraId="4666D809" w14:textId="77777777" w:rsidR="003B68E0" w:rsidRPr="00F35404" w:rsidRDefault="003B68E0" w:rsidP="002F0941">
            <w:pPr>
              <w:pStyle w:val="Tabletext"/>
              <w:rPr>
                <w:sz w:val="20"/>
                <w:szCs w:val="20"/>
              </w:rPr>
            </w:pPr>
            <w:r w:rsidRPr="00F35404">
              <w:rPr>
                <w:sz w:val="20"/>
                <w:szCs w:val="20"/>
              </w:rPr>
              <w:t>369.1 (15.0%)</w:t>
            </w:r>
          </w:p>
        </w:tc>
      </w:tr>
      <w:tr w:rsidR="003B68E0" w:rsidRPr="00F35404" w14:paraId="702E0D02" w14:textId="77777777" w:rsidTr="007504A6">
        <w:trPr>
          <w:trHeight w:val="294"/>
        </w:trPr>
        <w:tc>
          <w:tcPr>
            <w:tcW w:w="2028" w:type="dxa"/>
            <w:tcBorders>
              <w:top w:val="nil"/>
              <w:left w:val="nil"/>
              <w:bottom w:val="single" w:sz="12" w:space="0" w:color="000000"/>
              <w:right w:val="nil"/>
            </w:tcBorders>
            <w:hideMark/>
          </w:tcPr>
          <w:p w14:paraId="65961344" w14:textId="77777777" w:rsidR="003B68E0" w:rsidRPr="00F35404" w:rsidRDefault="003B68E0" w:rsidP="002F0941">
            <w:pPr>
              <w:pStyle w:val="Tabletext"/>
              <w:rPr>
                <w:position w:val="2"/>
                <w:sz w:val="20"/>
                <w:szCs w:val="20"/>
              </w:rPr>
            </w:pPr>
            <w:r w:rsidRPr="00F35404">
              <w:rPr>
                <w:position w:val="2"/>
                <w:sz w:val="20"/>
                <w:szCs w:val="20"/>
              </w:rPr>
              <w:t>t</w:t>
            </w:r>
            <w:r w:rsidRPr="00F35404">
              <w:rPr>
                <w:sz w:val="13"/>
                <w:szCs w:val="13"/>
              </w:rPr>
              <w:t xml:space="preserve">max </w:t>
            </w:r>
            <w:r w:rsidRPr="00F35404">
              <w:rPr>
                <w:position w:val="2"/>
                <w:sz w:val="20"/>
                <w:szCs w:val="20"/>
              </w:rPr>
              <w:t>(hr)</w:t>
            </w:r>
          </w:p>
        </w:tc>
        <w:tc>
          <w:tcPr>
            <w:tcW w:w="1931" w:type="dxa"/>
            <w:tcBorders>
              <w:top w:val="nil"/>
              <w:left w:val="nil"/>
              <w:bottom w:val="single" w:sz="12" w:space="0" w:color="000000"/>
              <w:right w:val="nil"/>
            </w:tcBorders>
            <w:hideMark/>
          </w:tcPr>
          <w:p w14:paraId="496E09D2" w14:textId="77777777" w:rsidR="003B68E0" w:rsidRPr="00F35404" w:rsidRDefault="003B68E0" w:rsidP="002F0941">
            <w:pPr>
              <w:pStyle w:val="Tabletext"/>
              <w:rPr>
                <w:sz w:val="20"/>
                <w:szCs w:val="20"/>
              </w:rPr>
            </w:pPr>
            <w:r w:rsidRPr="00F35404">
              <w:rPr>
                <w:sz w:val="20"/>
                <w:szCs w:val="20"/>
              </w:rPr>
              <w:t>2.533 (31.1%)</w:t>
            </w:r>
          </w:p>
        </w:tc>
        <w:tc>
          <w:tcPr>
            <w:tcW w:w="1989" w:type="dxa"/>
            <w:tcBorders>
              <w:top w:val="nil"/>
              <w:left w:val="nil"/>
              <w:bottom w:val="single" w:sz="12" w:space="0" w:color="000000"/>
              <w:right w:val="nil"/>
            </w:tcBorders>
            <w:hideMark/>
          </w:tcPr>
          <w:p w14:paraId="1D7B8945" w14:textId="77777777" w:rsidR="003B68E0" w:rsidRPr="00F35404" w:rsidRDefault="003B68E0" w:rsidP="002F0941">
            <w:pPr>
              <w:pStyle w:val="Tabletext"/>
              <w:rPr>
                <w:sz w:val="20"/>
                <w:szCs w:val="20"/>
              </w:rPr>
            </w:pPr>
            <w:r w:rsidRPr="00F35404">
              <w:rPr>
                <w:sz w:val="20"/>
                <w:szCs w:val="20"/>
              </w:rPr>
              <w:t>2.798 (31.6%)</w:t>
            </w:r>
          </w:p>
        </w:tc>
        <w:tc>
          <w:tcPr>
            <w:tcW w:w="2015" w:type="dxa"/>
            <w:tcBorders>
              <w:top w:val="nil"/>
              <w:left w:val="nil"/>
              <w:bottom w:val="single" w:sz="12" w:space="0" w:color="000000"/>
              <w:right w:val="nil"/>
            </w:tcBorders>
            <w:hideMark/>
          </w:tcPr>
          <w:p w14:paraId="274DD696" w14:textId="77777777" w:rsidR="003B68E0" w:rsidRPr="00F35404" w:rsidRDefault="003B68E0" w:rsidP="002F0941">
            <w:pPr>
              <w:pStyle w:val="Tabletext"/>
              <w:rPr>
                <w:sz w:val="20"/>
                <w:szCs w:val="20"/>
              </w:rPr>
            </w:pPr>
            <w:r w:rsidRPr="00F35404">
              <w:rPr>
                <w:sz w:val="20"/>
                <w:szCs w:val="20"/>
              </w:rPr>
              <w:t>2.338 (26.9%)</w:t>
            </w:r>
          </w:p>
        </w:tc>
      </w:tr>
    </w:tbl>
    <w:p w14:paraId="3828D573" w14:textId="0E530FCB" w:rsidR="00D37D94" w:rsidRPr="00F35404" w:rsidRDefault="00D37D94" w:rsidP="00D37D94">
      <w:pPr>
        <w:pStyle w:val="TableDescription"/>
      </w:pPr>
      <w:bookmarkStart w:id="52" w:name="Table_4_Summary_of_Bevacizumab_Pharmacok"/>
      <w:bookmarkStart w:id="53" w:name="Table_5_Summary_of_LS_Means_Ratios_and_9"/>
      <w:bookmarkStart w:id="54" w:name="_bookmark0"/>
      <w:bookmarkStart w:id="55" w:name="_Ref69225809"/>
      <w:bookmarkStart w:id="56" w:name="_Toc53568923"/>
      <w:bookmarkEnd w:id="52"/>
      <w:bookmarkEnd w:id="53"/>
      <w:bookmarkEnd w:id="54"/>
      <w:r w:rsidRPr="00F35404">
        <w:t>AUC</w:t>
      </w:r>
      <w:r w:rsidRPr="00F35404">
        <w:rPr>
          <w:vertAlign w:val="subscript"/>
        </w:rPr>
        <w:t>0-inf</w:t>
      </w:r>
      <w:r w:rsidRPr="00F35404">
        <w:t xml:space="preserve"> = area under the plasma concentration time curve from time zero to infinity; AUC</w:t>
      </w:r>
      <w:r w:rsidRPr="00F35404">
        <w:rPr>
          <w:vertAlign w:val="subscript"/>
        </w:rPr>
        <w:t>0-t</w:t>
      </w:r>
      <w:r w:rsidRPr="00F35404">
        <w:t xml:space="preserve"> = area under concentration time curve from time zero to last measurable concentration; </w:t>
      </w:r>
      <w:proofErr w:type="spellStart"/>
      <w:r w:rsidRPr="00F35404">
        <w:t>C</w:t>
      </w:r>
      <w:r w:rsidRPr="00F35404">
        <w:rPr>
          <w:vertAlign w:val="subscript"/>
        </w:rPr>
        <w:t>max</w:t>
      </w:r>
      <w:proofErr w:type="spellEnd"/>
      <w:r w:rsidRPr="00F35404">
        <w:t xml:space="preserve"> = maximum plasma concentration; EU-Avastin = Avastin sourced from the European Union; </w:t>
      </w:r>
      <w:proofErr w:type="spellStart"/>
      <w:r w:rsidRPr="00F35404">
        <w:t>k</w:t>
      </w:r>
      <w:r w:rsidRPr="00F35404">
        <w:rPr>
          <w:vertAlign w:val="subscript"/>
        </w:rPr>
        <w:t>el</w:t>
      </w:r>
      <w:proofErr w:type="spellEnd"/>
      <w:r w:rsidRPr="00F35404">
        <w:t xml:space="preserve"> = elimination rate constant; </w:t>
      </w:r>
      <w:r w:rsidR="007D138D" w:rsidRPr="00F35404">
        <w:t>MYL</w:t>
      </w:r>
      <w:r w:rsidR="007D138D" w:rsidRPr="00F35404">
        <w:noBreakHyphen/>
        <w:t xml:space="preserve">1402O = </w:t>
      </w:r>
      <w:r w:rsidR="00B6743D">
        <w:t>p</w:t>
      </w:r>
      <w:r w:rsidR="00B6743D" w:rsidRPr="00B6743D">
        <w:t>roduct code for Abevmy formulation intended for marketing in Australia</w:t>
      </w:r>
      <w:r w:rsidR="007D138D" w:rsidRPr="00F35404">
        <w:t xml:space="preserve">; </w:t>
      </w:r>
      <w:r w:rsidRPr="00F35404">
        <w:t>n</w:t>
      </w:r>
      <w:r w:rsidR="007D138D" w:rsidRPr="00F35404">
        <w:t> </w:t>
      </w:r>
      <w:r w:rsidRPr="00F35404">
        <w:t>=</w:t>
      </w:r>
      <w:r w:rsidR="007D138D" w:rsidRPr="00F35404">
        <w:t> </w:t>
      </w:r>
      <w:r w:rsidRPr="00F35404">
        <w:t>sample size; t</w:t>
      </w:r>
      <w:r w:rsidRPr="00F35404">
        <w:rPr>
          <w:vertAlign w:val="subscript"/>
        </w:rPr>
        <w:t>1/2</w:t>
      </w:r>
      <w:r w:rsidRPr="00F35404">
        <w:t xml:space="preserve"> = </w:t>
      </w:r>
      <w:r w:rsidR="007D138D" w:rsidRPr="00F35404">
        <w:t>t</w:t>
      </w:r>
      <w:r w:rsidRPr="00F35404">
        <w:t xml:space="preserve">erminal drug </w:t>
      </w:r>
      <w:proofErr w:type="spellStart"/>
      <w:r w:rsidRPr="00F35404">
        <w:t>half life</w:t>
      </w:r>
      <w:proofErr w:type="spellEnd"/>
      <w:r w:rsidRPr="00F35404">
        <w:t xml:space="preserve">; </w:t>
      </w:r>
      <w:proofErr w:type="spellStart"/>
      <w:r w:rsidRPr="00F35404">
        <w:t>t</w:t>
      </w:r>
      <w:r w:rsidRPr="00F35404">
        <w:rPr>
          <w:vertAlign w:val="subscript"/>
        </w:rPr>
        <w:t>max</w:t>
      </w:r>
      <w:proofErr w:type="spellEnd"/>
      <w:r w:rsidRPr="00F35404">
        <w:t xml:space="preserve">= </w:t>
      </w:r>
      <w:r w:rsidR="007D138D" w:rsidRPr="00F35404">
        <w:t>t</w:t>
      </w:r>
      <w:r w:rsidRPr="00F35404">
        <w:t>he time after administration of a drug when the maximum plasma concentration is reached; US</w:t>
      </w:r>
      <w:r w:rsidR="007D138D" w:rsidRPr="00F35404">
        <w:t>-</w:t>
      </w:r>
      <w:r w:rsidRPr="00F35404">
        <w:t>Avastin = Avastin sourced from the United States of America.</w:t>
      </w:r>
    </w:p>
    <w:p w14:paraId="2E6D5474" w14:textId="5DFDB8D4" w:rsidR="003B68E0" w:rsidRPr="00F35404" w:rsidRDefault="003B68E0" w:rsidP="002F0941">
      <w:pPr>
        <w:pStyle w:val="TableTitle"/>
      </w:pPr>
      <w:bookmarkStart w:id="57" w:name="_Ref90469433"/>
      <w:r w:rsidRPr="00F35404">
        <w:lastRenderedPageBreak/>
        <w:t xml:space="preserve">Table </w:t>
      </w:r>
      <w:fldSimple w:instr=" SEQ Table \* ARABIC ">
        <w:r w:rsidR="00D0686E">
          <w:rPr>
            <w:noProof/>
          </w:rPr>
          <w:t>4</w:t>
        </w:r>
      </w:fldSimple>
      <w:bookmarkEnd w:id="55"/>
      <w:bookmarkEnd w:id="57"/>
      <w:r w:rsidRPr="00F35404">
        <w:t xml:space="preserve">: </w:t>
      </w:r>
      <w:r w:rsidR="007D138D" w:rsidRPr="00F35404">
        <w:t xml:space="preserve">Study MYL-1402O-1002 </w:t>
      </w:r>
      <w:r w:rsidR="00D37D94" w:rsidRPr="00F35404">
        <w:t xml:space="preserve">Least squares </w:t>
      </w:r>
      <w:r w:rsidRPr="00F35404">
        <w:t>mean ratios and 90% confidence intervals comparing the three arms</w:t>
      </w:r>
      <w:bookmarkEnd w:id="56"/>
    </w:p>
    <w:p w14:paraId="190DBBA6" w14:textId="391C1B19" w:rsidR="007C46C9" w:rsidRPr="00F35404" w:rsidRDefault="007C46C9" w:rsidP="002F0941">
      <w:pPr>
        <w:pStyle w:val="TableTitle"/>
      </w:pPr>
      <w:r w:rsidRPr="00F35404">
        <w:rPr>
          <w:noProof/>
          <w:lang w:val="en-GB" w:eastAsia="en-GB"/>
        </w:rPr>
        <w:drawing>
          <wp:inline distT="0" distB="0" distL="0" distR="0" wp14:anchorId="34A99803" wp14:editId="74D13F37">
            <wp:extent cx="5289550" cy="1576166"/>
            <wp:effectExtent l="0" t="0" r="6350" b="5080"/>
            <wp:docPr id="1" name="Picture 1" descr="Study MYL-1402O-1002 Least squares mean ratios and 90% confidence intervals comparing the three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udy MYL-1402O-1002 Least squares mean ratios and 90% confidence intervals comparing the three arms"/>
                    <pic:cNvPicPr/>
                  </pic:nvPicPr>
                  <pic:blipFill>
                    <a:blip r:embed="rId14"/>
                    <a:stretch>
                      <a:fillRect/>
                    </a:stretch>
                  </pic:blipFill>
                  <pic:spPr>
                    <a:xfrm>
                      <a:off x="0" y="0"/>
                      <a:ext cx="5294413" cy="1577615"/>
                    </a:xfrm>
                    <a:prstGeom prst="rect">
                      <a:avLst/>
                    </a:prstGeom>
                  </pic:spPr>
                </pic:pic>
              </a:graphicData>
            </a:graphic>
          </wp:inline>
        </w:drawing>
      </w:r>
    </w:p>
    <w:p w14:paraId="6F75D1D0" w14:textId="239193F2" w:rsidR="00B4631B" w:rsidRPr="00F35404" w:rsidRDefault="00B4631B" w:rsidP="00B4631B">
      <w:pPr>
        <w:pStyle w:val="TableDescription"/>
      </w:pPr>
      <w:r w:rsidRPr="00F35404">
        <w:t>EU-Avastin = Avastin sourced from the European Union; LNAUC</w:t>
      </w:r>
      <w:r w:rsidRPr="00F35404">
        <w:rPr>
          <w:vertAlign w:val="subscript"/>
        </w:rPr>
        <w:t>0-inf</w:t>
      </w:r>
      <w:r w:rsidRPr="00F35404">
        <w:t xml:space="preserve"> = </w:t>
      </w:r>
      <w:r w:rsidR="009B6728" w:rsidRPr="00F35404">
        <w:t xml:space="preserve">log transformed area under the plasma concentration time curve from time zero to infinity; </w:t>
      </w:r>
      <w:r w:rsidRPr="00F35404">
        <w:t>LNAUC</w:t>
      </w:r>
      <w:r w:rsidRPr="00F35404">
        <w:rPr>
          <w:vertAlign w:val="subscript"/>
        </w:rPr>
        <w:t>0-t</w:t>
      </w:r>
      <w:r w:rsidRPr="00F35404">
        <w:t xml:space="preserve"> = </w:t>
      </w:r>
      <w:r w:rsidR="009B6728" w:rsidRPr="00F35404">
        <w:t xml:space="preserve">log transformed area under concentration time curve from time zero to last measurable concentration; </w:t>
      </w:r>
      <w:proofErr w:type="spellStart"/>
      <w:r w:rsidRPr="00F35404">
        <w:t>LNC</w:t>
      </w:r>
      <w:r w:rsidRPr="00F35404">
        <w:rPr>
          <w:vertAlign w:val="subscript"/>
        </w:rPr>
        <w:t>max</w:t>
      </w:r>
      <w:proofErr w:type="spellEnd"/>
      <w:r w:rsidRPr="00F35404">
        <w:t xml:space="preserve"> =</w:t>
      </w:r>
      <w:r w:rsidR="009B6728" w:rsidRPr="00F35404">
        <w:t xml:space="preserve"> log transformed maximum plasma concentration; </w:t>
      </w:r>
      <w:r w:rsidRPr="00F35404">
        <w:t>MYL</w:t>
      </w:r>
      <w:r w:rsidRPr="00F35404">
        <w:noBreakHyphen/>
        <w:t xml:space="preserve">1402O = </w:t>
      </w:r>
      <w:r w:rsidR="00B6743D">
        <w:t>p</w:t>
      </w:r>
      <w:r w:rsidR="00B6743D" w:rsidRPr="00B6743D">
        <w:t>roduct code for Abevmy formulation intended for marketing in Australia</w:t>
      </w:r>
      <w:r w:rsidRPr="00F35404">
        <w:t>; US-Avastin = Avastin sourced from the United States of America.</w:t>
      </w:r>
    </w:p>
    <w:p w14:paraId="441C27C9" w14:textId="7EB779C1" w:rsidR="003B68E0" w:rsidRPr="00F35404" w:rsidRDefault="003B68E0" w:rsidP="002F0941">
      <w:r w:rsidRPr="00F35404">
        <w:t>This study showed bioequivalence of MYL-1402O</w:t>
      </w:r>
      <w:r w:rsidR="009F348C">
        <w:t xml:space="preserve"> (Abevmy)</w:t>
      </w:r>
      <w:r w:rsidRPr="00F35404">
        <w:t xml:space="preserve"> with both EU-</w:t>
      </w:r>
      <w:r w:rsidR="00667F81" w:rsidRPr="00F35404">
        <w:t>Avastin</w:t>
      </w:r>
      <w:r w:rsidRPr="00F35404">
        <w:t xml:space="preserve"> and US</w:t>
      </w:r>
      <w:r w:rsidR="009F348C">
        <w:noBreakHyphen/>
      </w:r>
      <w:r w:rsidR="00667F81" w:rsidRPr="00F35404">
        <w:t>Avastin</w:t>
      </w:r>
      <w:r w:rsidRPr="00F35404">
        <w:t>. The pharmacokinetics of bevacizumab are linear from doses of 1</w:t>
      </w:r>
      <w:r w:rsidR="00C94F88" w:rsidRPr="00F35404">
        <w:t> </w:t>
      </w:r>
      <w:r w:rsidRPr="00F35404">
        <w:t>mg/kg to 10</w:t>
      </w:r>
      <w:r w:rsidR="00C94F88" w:rsidRPr="00F35404">
        <w:t> </w:t>
      </w:r>
      <w:r w:rsidRPr="00F35404">
        <w:t>mg/kg (the approved dose regimen for bevacizumab includes doses up to 15</w:t>
      </w:r>
      <w:r w:rsidR="00C94F88" w:rsidRPr="00F35404">
        <w:t> </w:t>
      </w:r>
      <w:r w:rsidRPr="00F35404">
        <w:t>mg/kg).</w:t>
      </w:r>
    </w:p>
    <w:p w14:paraId="072F1B8C" w14:textId="6ADE7C42" w:rsidR="003B68E0" w:rsidRPr="00F35404" w:rsidRDefault="00C94F88" w:rsidP="003B68E0">
      <w:pPr>
        <w:pStyle w:val="Heading6"/>
        <w:rPr>
          <w:lang w:eastAsia="ja-JP"/>
        </w:rPr>
      </w:pPr>
      <w:r w:rsidRPr="00F35404">
        <w:rPr>
          <w:lang w:eastAsia="ja-JP"/>
        </w:rPr>
        <w:t xml:space="preserve">Study </w:t>
      </w:r>
      <w:r w:rsidR="003B68E0" w:rsidRPr="00F35404">
        <w:rPr>
          <w:lang w:eastAsia="ja-JP"/>
        </w:rPr>
        <w:t>MYL-1402O-3001</w:t>
      </w:r>
    </w:p>
    <w:p w14:paraId="35406EF3" w14:textId="1339D549" w:rsidR="003B68E0" w:rsidRPr="00F35404" w:rsidRDefault="003B68E0" w:rsidP="002F0941">
      <w:r w:rsidRPr="00F35404">
        <w:t xml:space="preserve">Each patient received a bevacizumab dose of 15 mg/kg </w:t>
      </w:r>
      <w:r w:rsidR="00C94F88" w:rsidRPr="00F35404">
        <w:t>intravenous</w:t>
      </w:r>
      <w:r w:rsidRPr="00F35404">
        <w:t xml:space="preserve"> over 90 minutes every 3 weeks, and PK sampling was undertaken at </w:t>
      </w:r>
      <w:r w:rsidR="00C94F88" w:rsidRPr="00F35404">
        <w:t>C</w:t>
      </w:r>
      <w:r w:rsidRPr="00F35404">
        <w:t>ycles 1, 2, 4 and 6, as well as some additional sparse sampling. The lower limit of quantification of the analytical assay was 320</w:t>
      </w:r>
      <w:r w:rsidR="00C94F88" w:rsidRPr="00F35404">
        <w:t> </w:t>
      </w:r>
      <w:proofErr w:type="spellStart"/>
      <w:r w:rsidRPr="00F35404">
        <w:t>μg</w:t>
      </w:r>
      <w:proofErr w:type="spellEnd"/>
      <w:r w:rsidRPr="00F35404">
        <w:t>/</w:t>
      </w:r>
      <w:proofErr w:type="spellStart"/>
      <w:r w:rsidRPr="00F35404">
        <w:t>mL.</w:t>
      </w:r>
      <w:proofErr w:type="spellEnd"/>
    </w:p>
    <w:p w14:paraId="03ED36C0" w14:textId="0F25A08F" w:rsidR="003B68E0" w:rsidRPr="00F35404" w:rsidRDefault="00C94F88" w:rsidP="002F0941">
      <w:r w:rsidRPr="00F35404">
        <w:t xml:space="preserve">Pharmacokinetic </w:t>
      </w:r>
      <w:r w:rsidR="003B68E0" w:rsidRPr="00F35404">
        <w:t>results from this study were incorporated with those of</w:t>
      </w:r>
      <w:r w:rsidRPr="00F35404">
        <w:t xml:space="preserve"> Study </w:t>
      </w:r>
      <w:r w:rsidR="003B68E0" w:rsidRPr="00F35404">
        <w:t>MYL</w:t>
      </w:r>
      <w:r w:rsidRPr="00F35404">
        <w:noBreakHyphen/>
      </w:r>
      <w:r w:rsidR="003B68E0" w:rsidRPr="00F35404">
        <w:t xml:space="preserve">1402O-1002 in the population </w:t>
      </w:r>
      <w:r w:rsidRPr="00F35404">
        <w:t>pharmacokinetic (</w:t>
      </w:r>
      <w:proofErr w:type="spellStart"/>
      <w:r w:rsidRPr="00F35404">
        <w:rPr>
          <w:lang w:eastAsia="ja-JP"/>
        </w:rPr>
        <w:t>popPK</w:t>
      </w:r>
      <w:proofErr w:type="spellEnd"/>
      <w:r w:rsidRPr="00F35404">
        <w:rPr>
          <w:lang w:eastAsia="ja-JP"/>
        </w:rPr>
        <w:t>)</w:t>
      </w:r>
      <w:r w:rsidR="003B68E0" w:rsidRPr="00F35404">
        <w:t xml:space="preserve"> analysis described below.</w:t>
      </w:r>
    </w:p>
    <w:p w14:paraId="3E5A0864" w14:textId="03DFE443" w:rsidR="003B68E0" w:rsidRPr="00F35404" w:rsidRDefault="00C94F88" w:rsidP="003B68E0">
      <w:pPr>
        <w:pStyle w:val="Heading6"/>
        <w:rPr>
          <w:lang w:eastAsia="ja-JP"/>
        </w:rPr>
      </w:pPr>
      <w:r w:rsidRPr="00F35404">
        <w:rPr>
          <w:lang w:eastAsia="ja-JP"/>
        </w:rPr>
        <w:t xml:space="preserve">Study </w:t>
      </w:r>
      <w:r w:rsidR="003B68E0" w:rsidRPr="00F35404">
        <w:rPr>
          <w:lang w:eastAsia="ja-JP"/>
        </w:rPr>
        <w:t>BM100-CC-03-1-01</w:t>
      </w:r>
    </w:p>
    <w:p w14:paraId="1F00B75A" w14:textId="5668E908" w:rsidR="003B68E0" w:rsidRPr="00F35404" w:rsidRDefault="003B68E0" w:rsidP="002F0941">
      <w:r w:rsidRPr="00F35404">
        <w:t xml:space="preserve">This study did not contribute significantly to the TGA assessment of </w:t>
      </w:r>
      <w:r w:rsidR="00667F81" w:rsidRPr="00F35404">
        <w:t>Abevmy</w:t>
      </w:r>
      <w:r w:rsidRPr="00F35404">
        <w:t xml:space="preserve"> PK as it used a different formulation </w:t>
      </w:r>
      <w:r w:rsidR="009F348C">
        <w:t>(Bmab-100</w:t>
      </w:r>
      <w:proofErr w:type="gramStart"/>
      <w:r w:rsidR="009F348C">
        <w:t>)</w:t>
      </w:r>
      <w:proofErr w:type="gramEnd"/>
      <w:r w:rsidR="009F348C">
        <w:t xml:space="preserve"> </w:t>
      </w:r>
      <w:r w:rsidRPr="00F35404">
        <w:t xml:space="preserve">and </w:t>
      </w:r>
      <w:r w:rsidR="009F348C">
        <w:t xml:space="preserve">the </w:t>
      </w:r>
      <w:r w:rsidRPr="00F35404">
        <w:t>PK was adequately characterised in the other two clinical studies.</w:t>
      </w:r>
    </w:p>
    <w:p w14:paraId="7986B50F" w14:textId="34345E48" w:rsidR="003B68E0" w:rsidRPr="00F35404" w:rsidRDefault="003B68E0" w:rsidP="003B68E0">
      <w:pPr>
        <w:pStyle w:val="Heading5"/>
        <w:rPr>
          <w:lang w:eastAsia="ja-JP"/>
        </w:rPr>
      </w:pPr>
      <w:r w:rsidRPr="00F35404">
        <w:rPr>
          <w:lang w:eastAsia="ja-JP"/>
        </w:rPr>
        <w:t xml:space="preserve">Population </w:t>
      </w:r>
      <w:r w:rsidR="00C94F88" w:rsidRPr="00F35404">
        <w:rPr>
          <w:lang w:eastAsia="ja-JP"/>
        </w:rPr>
        <w:t>pharmacokinetics</w:t>
      </w:r>
    </w:p>
    <w:p w14:paraId="3FDCF796" w14:textId="20B7AF4F" w:rsidR="003B68E0" w:rsidRPr="00F35404" w:rsidRDefault="003B68E0" w:rsidP="002F0941">
      <w:r w:rsidRPr="00F35404">
        <w:t xml:space="preserve">A </w:t>
      </w:r>
      <w:proofErr w:type="spellStart"/>
      <w:r w:rsidRPr="00F35404">
        <w:t>popPK</w:t>
      </w:r>
      <w:proofErr w:type="spellEnd"/>
      <w:r w:rsidRPr="00F35404">
        <w:t xml:space="preserve"> analysis was performed to assess the linearity of PK characteristics and potential significant covariates across dose levels from 1</w:t>
      </w:r>
      <w:r w:rsidR="00C94F88" w:rsidRPr="00F35404">
        <w:t> </w:t>
      </w:r>
      <w:r w:rsidRPr="00F35404">
        <w:t>mg/kg to 15</w:t>
      </w:r>
      <w:r w:rsidR="00C94F88" w:rsidRPr="00F35404">
        <w:t> </w:t>
      </w:r>
      <w:r w:rsidRPr="00F35404">
        <w:t xml:space="preserve">mg/kg, and the similarity of MYL-1402O </w:t>
      </w:r>
      <w:r w:rsidR="009F348C">
        <w:t xml:space="preserve">(Abevmy) </w:t>
      </w:r>
      <w:r w:rsidRPr="00F35404">
        <w:t xml:space="preserve">to </w:t>
      </w:r>
      <w:r w:rsidR="00667F81" w:rsidRPr="00F35404">
        <w:t>Avastin</w:t>
      </w:r>
      <w:r w:rsidRPr="00F35404">
        <w:t>. The analysis used pooled PK data from:</w:t>
      </w:r>
    </w:p>
    <w:p w14:paraId="1B130824" w14:textId="7EC4C320" w:rsidR="003B68E0" w:rsidRPr="00F35404" w:rsidRDefault="00C94F88" w:rsidP="00C94F88">
      <w:pPr>
        <w:pStyle w:val="ListBullet"/>
      </w:pPr>
      <w:r w:rsidRPr="00F35404">
        <w:t xml:space="preserve">Study </w:t>
      </w:r>
      <w:r w:rsidR="003B68E0" w:rsidRPr="00F35404">
        <w:t>MYL-1402O-1002</w:t>
      </w:r>
    </w:p>
    <w:p w14:paraId="442C0DF7" w14:textId="6378BA85" w:rsidR="003B68E0" w:rsidRPr="00F35404" w:rsidRDefault="00C94F88" w:rsidP="00C94F88">
      <w:pPr>
        <w:pStyle w:val="ListBullet"/>
      </w:pPr>
      <w:r w:rsidRPr="00F35404">
        <w:t xml:space="preserve">Study </w:t>
      </w:r>
      <w:r w:rsidR="003B68E0" w:rsidRPr="00F35404">
        <w:t>MYL-1402O-3001</w:t>
      </w:r>
    </w:p>
    <w:p w14:paraId="23F7DCCC" w14:textId="7ACCFFDB" w:rsidR="003B68E0" w:rsidRPr="00F35404" w:rsidRDefault="003B68E0" w:rsidP="002F0941">
      <w:r w:rsidRPr="00F35404">
        <w:t xml:space="preserve">The model describing the PK of MYL-1402O </w:t>
      </w:r>
      <w:r w:rsidR="009F348C">
        <w:t xml:space="preserve">(Abevmy) </w:t>
      </w:r>
      <w:r w:rsidRPr="00F35404">
        <w:t xml:space="preserve">versus </w:t>
      </w:r>
      <w:r w:rsidR="00667F81" w:rsidRPr="00F35404">
        <w:t>Avastin</w:t>
      </w:r>
      <w:r w:rsidRPr="00F35404">
        <w:t xml:space="preserve"> was considered robust. Exposure parameters (AUC, half-life, </w:t>
      </w:r>
      <w:r w:rsidR="00C94F88" w:rsidRPr="00F35404">
        <w:t>maximum plasma concentration (</w:t>
      </w:r>
      <w:proofErr w:type="spellStart"/>
      <w:r w:rsidRPr="00F35404">
        <w:t>C</w:t>
      </w:r>
      <w:r w:rsidRPr="00F35404">
        <w:rPr>
          <w:vertAlign w:val="subscript"/>
        </w:rPr>
        <w:t>max</w:t>
      </w:r>
      <w:proofErr w:type="spellEnd"/>
      <w:r w:rsidR="00C94F88" w:rsidRPr="00F35404">
        <w:t>)</w:t>
      </w:r>
      <w:r w:rsidRPr="00F35404">
        <w:t xml:space="preserve">, and </w:t>
      </w:r>
      <w:r w:rsidR="00C94F88" w:rsidRPr="00F35404">
        <w:t>maximum plasma concentration (</w:t>
      </w:r>
      <w:proofErr w:type="spellStart"/>
      <w:r w:rsidRPr="00F35404">
        <w:t>C</w:t>
      </w:r>
      <w:r w:rsidRPr="00F35404">
        <w:rPr>
          <w:vertAlign w:val="subscript"/>
        </w:rPr>
        <w:t>min</w:t>
      </w:r>
      <w:proofErr w:type="spellEnd"/>
      <w:r w:rsidR="00C94F88" w:rsidRPr="00F35404">
        <w:t>)</w:t>
      </w:r>
      <w:r w:rsidRPr="00F35404">
        <w:t>), predicted based on the final model for all Phase</w:t>
      </w:r>
      <w:r w:rsidR="00C94F88" w:rsidRPr="00F35404">
        <w:t> </w:t>
      </w:r>
      <w:r w:rsidR="00EA1FFC" w:rsidRPr="00F35404">
        <w:t>III</w:t>
      </w:r>
      <w:r w:rsidRPr="00F35404">
        <w:t xml:space="preserve"> patients in steady state, are summarised in </w:t>
      </w:r>
      <w:r w:rsidRPr="00F35404">
        <w:fldChar w:fldCharType="begin"/>
      </w:r>
      <w:r w:rsidRPr="00F35404">
        <w:instrText xml:space="preserve"> REF _Ref69311599 \h  \* MERGEFORMAT </w:instrText>
      </w:r>
      <w:r w:rsidRPr="00F35404">
        <w:fldChar w:fldCharType="separate"/>
      </w:r>
      <w:r w:rsidR="00D0686E" w:rsidRPr="00F35404">
        <w:t xml:space="preserve">Table </w:t>
      </w:r>
      <w:r w:rsidR="00D0686E">
        <w:t>5</w:t>
      </w:r>
      <w:r w:rsidRPr="00F35404">
        <w:fldChar w:fldCharType="end"/>
      </w:r>
      <w:r w:rsidRPr="00F35404">
        <w:t xml:space="preserve">. The </w:t>
      </w:r>
      <w:proofErr w:type="spellStart"/>
      <w:r w:rsidR="00C94F88" w:rsidRPr="00F35404">
        <w:rPr>
          <w:lang w:eastAsia="ja-JP"/>
        </w:rPr>
        <w:t>popPK</w:t>
      </w:r>
      <w:proofErr w:type="spellEnd"/>
      <w:r w:rsidR="00C94F88" w:rsidRPr="00F35404">
        <w:t xml:space="preserve"> </w:t>
      </w:r>
      <w:r w:rsidRPr="00F35404">
        <w:t xml:space="preserve">profile of MYL-1402O </w:t>
      </w:r>
      <w:r w:rsidR="009F348C">
        <w:t xml:space="preserve">(Abevmy) </w:t>
      </w:r>
      <w:r w:rsidRPr="00F35404">
        <w:t>was not different to that for EU-</w:t>
      </w:r>
      <w:r w:rsidR="00667F81" w:rsidRPr="00F35404">
        <w:t>Avastin</w:t>
      </w:r>
      <w:r w:rsidRPr="00F35404">
        <w:t xml:space="preserve"> in patients with </w:t>
      </w:r>
      <w:r w:rsidR="00C94F88" w:rsidRPr="00F35404">
        <w:t>non-squamous non-small cell lung cancer (</w:t>
      </w:r>
      <w:r w:rsidRPr="00F35404">
        <w:t>NSCLC</w:t>
      </w:r>
      <w:r w:rsidR="00C94F88" w:rsidRPr="00F35404">
        <w:t>)</w:t>
      </w:r>
      <w:r w:rsidRPr="00F35404">
        <w:t>. The final model supported linearity or approximate linearity of bevacizumab doses of 15</w:t>
      </w:r>
      <w:r w:rsidR="00E26BE3" w:rsidRPr="00F35404">
        <w:t> </w:t>
      </w:r>
      <w:r w:rsidRPr="00F35404">
        <w:t xml:space="preserve">mg/kg when given in </w:t>
      </w:r>
      <w:proofErr w:type="gramStart"/>
      <w:r w:rsidRPr="00F35404">
        <w:t>21</w:t>
      </w:r>
      <w:r w:rsidR="00E26BE3" w:rsidRPr="00F35404">
        <w:t xml:space="preserve"> </w:t>
      </w:r>
      <w:r w:rsidRPr="00F35404">
        <w:t>day</w:t>
      </w:r>
      <w:proofErr w:type="gramEnd"/>
      <w:r w:rsidRPr="00F35404">
        <w:t xml:space="preserve"> cycles. No clinically meaningful covariates were identified.</w:t>
      </w:r>
    </w:p>
    <w:p w14:paraId="76DE42AA" w14:textId="2A7F6E11" w:rsidR="003B68E0" w:rsidRPr="00F35404" w:rsidRDefault="003B68E0" w:rsidP="002F0941">
      <w:pPr>
        <w:pStyle w:val="TableTitle"/>
      </w:pPr>
      <w:bookmarkStart w:id="58" w:name="_Ref69311599"/>
      <w:r w:rsidRPr="00F35404">
        <w:lastRenderedPageBreak/>
        <w:t xml:space="preserve">Table </w:t>
      </w:r>
      <w:fldSimple w:instr=" SEQ Table \* ARABIC ">
        <w:r w:rsidR="00D0686E">
          <w:rPr>
            <w:noProof/>
          </w:rPr>
          <w:t>5</w:t>
        </w:r>
      </w:fldSimple>
      <w:bookmarkEnd w:id="58"/>
      <w:r w:rsidR="00E26BE3" w:rsidRPr="00F35404">
        <w:t>:</w:t>
      </w:r>
      <w:r w:rsidRPr="00F35404">
        <w:t xml:space="preserve"> </w:t>
      </w:r>
      <w:r w:rsidR="00E26BE3" w:rsidRPr="00F35404">
        <w:t xml:space="preserve">Study MYL-1402O-3001 </w:t>
      </w:r>
      <w:r w:rsidRPr="00F35404">
        <w:t xml:space="preserve">Bayesian </w:t>
      </w:r>
      <w:proofErr w:type="gramStart"/>
      <w:r w:rsidRPr="00F35404">
        <w:t>parameter</w:t>
      </w:r>
      <w:r w:rsidR="00E26BE3" w:rsidRPr="00F35404">
        <w:t xml:space="preserve"> </w:t>
      </w:r>
      <w:r w:rsidRPr="00F35404">
        <w:t>based</w:t>
      </w:r>
      <w:proofErr w:type="gramEnd"/>
      <w:r w:rsidRPr="00F35404">
        <w:t xml:space="preserve"> exposure estimates for patient at steady state (final model) stratified by treatment</w:t>
      </w:r>
    </w:p>
    <w:p w14:paraId="47B07BAD" w14:textId="605DECFE" w:rsidR="003B68E0" w:rsidRPr="00F35404" w:rsidRDefault="00B4631B" w:rsidP="00B4631B">
      <w:pPr>
        <w:pStyle w:val="TableTitle"/>
      </w:pPr>
      <w:r w:rsidRPr="00F35404">
        <w:rPr>
          <w:noProof/>
          <w:lang w:val="en-GB" w:eastAsia="en-GB"/>
        </w:rPr>
        <w:drawing>
          <wp:inline distT="0" distB="0" distL="0" distR="0" wp14:anchorId="13334EF2" wp14:editId="5AE20A17">
            <wp:extent cx="5400040" cy="3713480"/>
            <wp:effectExtent l="19050" t="19050" r="10160" b="20320"/>
            <wp:docPr id="4" name="Picture 4" descr="Study MYL-1402O-3001 Bayesian parameter based exposure estimates for patient at steady state (final model) stratified by treat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udy MYL-1402O-3001 Bayesian parameter based exposure estimates for patient at steady state (final model) stratified by treatment"/>
                    <pic:cNvPicPr/>
                  </pic:nvPicPr>
                  <pic:blipFill>
                    <a:blip r:embed="rId15"/>
                    <a:stretch>
                      <a:fillRect/>
                    </a:stretch>
                  </pic:blipFill>
                  <pic:spPr>
                    <a:xfrm>
                      <a:off x="0" y="0"/>
                      <a:ext cx="5400040" cy="3713480"/>
                    </a:xfrm>
                    <a:prstGeom prst="rect">
                      <a:avLst/>
                    </a:prstGeom>
                    <a:ln>
                      <a:solidFill>
                        <a:schemeClr val="tx1"/>
                      </a:solidFill>
                    </a:ln>
                  </pic:spPr>
                </pic:pic>
              </a:graphicData>
            </a:graphic>
          </wp:inline>
        </w:drawing>
      </w:r>
    </w:p>
    <w:p w14:paraId="14DCB98D" w14:textId="59EEF41D" w:rsidR="00B4631B" w:rsidRPr="00F35404" w:rsidRDefault="00B4631B" w:rsidP="00B4631B">
      <w:pPr>
        <w:pStyle w:val="TableDescription"/>
      </w:pPr>
      <w:r w:rsidRPr="00F35404">
        <w:t>AUC</w:t>
      </w:r>
      <w:r w:rsidRPr="00F35404">
        <w:rPr>
          <w:vertAlign w:val="subscript"/>
        </w:rPr>
        <w:t>0-21</w:t>
      </w:r>
      <w:r w:rsidRPr="00F35404">
        <w:t xml:space="preserve"> = area under the plasma concentration time curve from time zero to Day 21; EU-Avastin = Avastin sourced from the European Union; </w:t>
      </w:r>
      <w:proofErr w:type="spellStart"/>
      <w:r w:rsidR="00265E86" w:rsidRPr="00F35404">
        <w:t>C</w:t>
      </w:r>
      <w:r w:rsidR="00265E86" w:rsidRPr="00F35404">
        <w:rPr>
          <w:vertAlign w:val="subscript"/>
        </w:rPr>
        <w:t>max</w:t>
      </w:r>
      <w:proofErr w:type="spellEnd"/>
      <w:r w:rsidR="00265E86" w:rsidRPr="00F35404">
        <w:t xml:space="preserve"> = maximum plasma concentration; </w:t>
      </w:r>
      <w:proofErr w:type="spellStart"/>
      <w:r w:rsidR="00265E86" w:rsidRPr="00F35404">
        <w:t>C</w:t>
      </w:r>
      <w:r w:rsidR="00265E86" w:rsidRPr="00F35404">
        <w:rPr>
          <w:vertAlign w:val="subscript"/>
        </w:rPr>
        <w:t>min</w:t>
      </w:r>
      <w:proofErr w:type="spellEnd"/>
      <w:r w:rsidR="00265E86" w:rsidRPr="00F35404">
        <w:t xml:space="preserve"> = minimum plasma concentration;</w:t>
      </w:r>
      <w:r w:rsidR="00B6743D">
        <w:t xml:space="preserve"> </w:t>
      </w:r>
      <w:r w:rsidRPr="00F35404">
        <w:t>MYL</w:t>
      </w:r>
      <w:r w:rsidRPr="00F35404">
        <w:noBreakHyphen/>
        <w:t xml:space="preserve">1402O = </w:t>
      </w:r>
      <w:r w:rsidR="00B6743D">
        <w:t>p</w:t>
      </w:r>
      <w:r w:rsidR="00B6743D" w:rsidRPr="00B6743D">
        <w:t>roduct code for Abevmy formulation intended for marketing in Australia</w:t>
      </w:r>
      <w:r w:rsidRPr="00F35404">
        <w:t xml:space="preserve">; </w:t>
      </w:r>
      <w:proofErr w:type="spellStart"/>
      <w:r w:rsidR="00265E86" w:rsidRPr="00F35404">
        <w:t>StdDev</w:t>
      </w:r>
      <w:proofErr w:type="spellEnd"/>
      <w:r w:rsidR="00265E86" w:rsidRPr="00F35404">
        <w:t xml:space="preserve"> = standard deviation; </w:t>
      </w:r>
      <w:r w:rsidRPr="00F35404">
        <w:t>US-Avastin = Avastin sourced from the United States of America.</w:t>
      </w:r>
    </w:p>
    <w:p w14:paraId="15E09181" w14:textId="6951086C" w:rsidR="003B68E0" w:rsidRPr="00F35404" w:rsidRDefault="003B68E0" w:rsidP="003B68E0">
      <w:pPr>
        <w:pStyle w:val="Heading5"/>
        <w:rPr>
          <w:b w:val="0"/>
          <w:color w:val="0070B5" w:themeColor="accent1" w:themeTint="BF"/>
        </w:rPr>
      </w:pPr>
      <w:r w:rsidRPr="00F35404">
        <w:t>Pharmacodynamics</w:t>
      </w:r>
    </w:p>
    <w:p w14:paraId="633AC812" w14:textId="77777777" w:rsidR="003B68E0" w:rsidRPr="00F35404" w:rsidRDefault="003B68E0" w:rsidP="003B68E0">
      <w:pPr>
        <w:pStyle w:val="Heading6"/>
        <w:rPr>
          <w:lang w:eastAsia="ja-JP"/>
        </w:rPr>
      </w:pPr>
      <w:r w:rsidRPr="00F35404">
        <w:rPr>
          <w:lang w:eastAsia="ja-JP"/>
        </w:rPr>
        <w:t>Summary of immunogenicity</w:t>
      </w:r>
    </w:p>
    <w:p w14:paraId="611A3BF2" w14:textId="24C07998" w:rsidR="003B68E0" w:rsidRPr="00F35404" w:rsidRDefault="003B68E0" w:rsidP="002F0941">
      <w:r w:rsidRPr="00F35404">
        <w:t>Immunogenicity was assessed in all three submitted clinical studies.</w:t>
      </w:r>
    </w:p>
    <w:p w14:paraId="467A91D9" w14:textId="50C08A29" w:rsidR="003B68E0" w:rsidRPr="00F35404" w:rsidRDefault="003B68E0" w:rsidP="002F0941">
      <w:r w:rsidRPr="00F35404">
        <w:t>The immunogenicity assays used across studies included a homogeneous bridging electrochemiluminescence assay validated for testing of anti-MYL-1402O</w:t>
      </w:r>
      <w:r w:rsidR="009F348C">
        <w:t xml:space="preserve"> (Abevmy)</w:t>
      </w:r>
      <w:r w:rsidR="00737AC8">
        <w:t xml:space="preserve"> </w:t>
      </w:r>
      <w:r w:rsidRPr="00F35404">
        <w:t>/</w:t>
      </w:r>
      <w:r w:rsidR="009F348C">
        <w:t xml:space="preserve"> </w:t>
      </w:r>
      <w:r w:rsidRPr="00F35404">
        <w:t>anti</w:t>
      </w:r>
      <w:r w:rsidR="009F348C">
        <w:noBreakHyphen/>
      </w:r>
      <w:r w:rsidR="00667F81" w:rsidRPr="00F35404">
        <w:t>Avastin</w:t>
      </w:r>
      <w:r w:rsidRPr="00F35404">
        <w:t xml:space="preserve"> antibodies (anti-drug antibod</w:t>
      </w:r>
      <w:r w:rsidR="00E26BE3" w:rsidRPr="00F35404">
        <w:t>i</w:t>
      </w:r>
      <w:r w:rsidRPr="00F35404">
        <w:t>es</w:t>
      </w:r>
      <w:r w:rsidR="00E26BE3" w:rsidRPr="00F35404">
        <w:t xml:space="preserve"> (</w:t>
      </w:r>
      <w:r w:rsidRPr="00F35404">
        <w:t>ADA</w:t>
      </w:r>
      <w:r w:rsidR="00E26BE3" w:rsidRPr="00F35404">
        <w:t>s)</w:t>
      </w:r>
      <w:r w:rsidRPr="00F35404">
        <w:t>) in normal and disease</w:t>
      </w:r>
      <w:r w:rsidR="00E26BE3" w:rsidRPr="00F35404">
        <w:t xml:space="preserve"> </w:t>
      </w:r>
      <w:r w:rsidRPr="00F35404">
        <w:t>state serum, and a non</w:t>
      </w:r>
      <w:r w:rsidR="00E26BE3" w:rsidRPr="00F35404">
        <w:noBreakHyphen/>
      </w:r>
      <w:proofErr w:type="gramStart"/>
      <w:r w:rsidRPr="00F35404">
        <w:t>cell</w:t>
      </w:r>
      <w:r w:rsidR="00E26BE3" w:rsidRPr="00F35404">
        <w:t xml:space="preserve"> </w:t>
      </w:r>
      <w:r w:rsidRPr="00F35404">
        <w:t>based</w:t>
      </w:r>
      <w:proofErr w:type="gramEnd"/>
      <w:r w:rsidRPr="00F35404">
        <w:t xml:space="preserve"> assay to determine neutralising antibodies</w:t>
      </w:r>
      <w:r w:rsidR="00AD4F5E" w:rsidRPr="00F35404">
        <w:t xml:space="preserve"> (Nab)</w:t>
      </w:r>
      <w:r w:rsidRPr="00F35404">
        <w:t xml:space="preserve"> in NSCLC serum.</w:t>
      </w:r>
    </w:p>
    <w:p w14:paraId="705E51A0" w14:textId="0DCB277E" w:rsidR="00122203" w:rsidRPr="00F35404" w:rsidRDefault="00122203" w:rsidP="00122203">
      <w:r w:rsidRPr="00F35404">
        <w:t>Baseline ADA positivity in a small proportion of patients has been observed in other bevacizumab studies and may be due to cross reactivity with pre-existing antibodies.</w:t>
      </w:r>
      <w:r w:rsidRPr="00F35404">
        <w:rPr>
          <w:rStyle w:val="FootnoteReference"/>
        </w:rPr>
        <w:footnoteReference w:id="9"/>
      </w:r>
      <w:r w:rsidRPr="00F35404">
        <w:rPr>
          <w:vertAlign w:val="superscript"/>
        </w:rPr>
        <w:t>,</w:t>
      </w:r>
      <w:r w:rsidRPr="00F35404">
        <w:rPr>
          <w:rStyle w:val="FootnoteReference"/>
        </w:rPr>
        <w:footnoteReference w:id="10"/>
      </w:r>
      <w:r w:rsidRPr="00F35404">
        <w:rPr>
          <w:vertAlign w:val="superscript"/>
        </w:rPr>
        <w:t>,</w:t>
      </w:r>
      <w:r w:rsidRPr="00F35404">
        <w:rPr>
          <w:rStyle w:val="FootnoteReference"/>
        </w:rPr>
        <w:footnoteReference w:id="11"/>
      </w:r>
    </w:p>
    <w:p w14:paraId="39AAADFA" w14:textId="3CC8CEDA" w:rsidR="003B68E0" w:rsidRPr="00F35404" w:rsidRDefault="003B68E0" w:rsidP="002F0941">
      <w:r w:rsidRPr="00F35404">
        <w:t xml:space="preserve">The immunogenicity data summarised below from the three clinical trials indicates that there was no appreciable difference between immunogenicity of MYL-1402O </w:t>
      </w:r>
      <w:r w:rsidR="009F348C">
        <w:t xml:space="preserve">(c) </w:t>
      </w:r>
      <w:r w:rsidRPr="00F35404">
        <w:t xml:space="preserve">and </w:t>
      </w:r>
      <w:r w:rsidR="00667F81" w:rsidRPr="00F35404">
        <w:t>Avastin</w:t>
      </w:r>
      <w:r w:rsidRPr="00F35404">
        <w:t xml:space="preserve">. They also indicated no appreciable effect of ADAs on safety or efficacy. Maximum observed ADA titres were below the minimum sensitivity level (100 ng/mL) recommended by </w:t>
      </w:r>
      <w:r w:rsidR="00E26BE3" w:rsidRPr="00F35404">
        <w:t>the US Food and Drug Administration (</w:t>
      </w:r>
      <w:r w:rsidRPr="00F35404">
        <w:t>FDA</w:t>
      </w:r>
      <w:r w:rsidR="00E26BE3" w:rsidRPr="00F35404">
        <w:t>)</w:t>
      </w:r>
      <w:r w:rsidRPr="00F35404">
        <w:t xml:space="preserve"> for assays for </w:t>
      </w:r>
      <w:r w:rsidRPr="00F35404">
        <w:lastRenderedPageBreak/>
        <w:t>immunogenicity, at which level an association with clinical events has been previously described.</w:t>
      </w:r>
      <w:r w:rsidR="00E26BE3" w:rsidRPr="00F35404">
        <w:rPr>
          <w:rStyle w:val="FootnoteReference"/>
        </w:rPr>
        <w:footnoteReference w:id="12"/>
      </w:r>
    </w:p>
    <w:p w14:paraId="63E11128" w14:textId="5E5A6240" w:rsidR="003B68E0" w:rsidRPr="00F35404" w:rsidRDefault="003B68E0" w:rsidP="002F0941">
      <w:r w:rsidRPr="00F35404">
        <w:t xml:space="preserve">A high incidence of low titre ADA positivity was seen in </w:t>
      </w:r>
      <w:r w:rsidR="007504A6" w:rsidRPr="00F35404">
        <w:t xml:space="preserve">Study </w:t>
      </w:r>
      <w:r w:rsidRPr="00F35404">
        <w:t xml:space="preserve">MYL-1402O-1002 and </w:t>
      </w:r>
      <w:r w:rsidR="007504A6" w:rsidRPr="00F35404">
        <w:t>Study</w:t>
      </w:r>
      <w:r w:rsidR="009F348C">
        <w:t> </w:t>
      </w:r>
      <w:r w:rsidRPr="00F35404">
        <w:t>BM100-CC-03-1-01 (</w:t>
      </w:r>
      <w:r w:rsidR="007504A6" w:rsidRPr="00F35404">
        <w:t>colorectal cancer</w:t>
      </w:r>
      <w:r w:rsidRPr="00F35404">
        <w:t xml:space="preserve">), compared to the </w:t>
      </w:r>
      <w:r w:rsidR="00EA1FFC" w:rsidRPr="00F35404">
        <w:t>Phase</w:t>
      </w:r>
      <w:r w:rsidRPr="00F35404">
        <w:t xml:space="preserve"> </w:t>
      </w:r>
      <w:r w:rsidR="00EA1FFC" w:rsidRPr="00F35404">
        <w:t>III</w:t>
      </w:r>
      <w:r w:rsidRPr="00F35404">
        <w:t xml:space="preserve"> </w:t>
      </w:r>
      <w:r w:rsidR="007504A6" w:rsidRPr="00F35404">
        <w:t>Study</w:t>
      </w:r>
      <w:r w:rsidR="009F348C">
        <w:t> </w:t>
      </w:r>
      <w:r w:rsidRPr="00F35404">
        <w:t>MYL</w:t>
      </w:r>
      <w:r w:rsidR="009F348C">
        <w:noBreakHyphen/>
      </w:r>
      <w:r w:rsidRPr="00F35404">
        <w:t xml:space="preserve">1402O-3001 (NSCLC). This is not in keeping with the historically reported ADA positivity rate for </w:t>
      </w:r>
      <w:proofErr w:type="gramStart"/>
      <w:r w:rsidR="00667F81" w:rsidRPr="00F35404">
        <w:t>Avastin</w:t>
      </w:r>
      <w:r w:rsidRPr="00F35404">
        <w:t>, and</w:t>
      </w:r>
      <w:proofErr w:type="gramEnd"/>
      <w:r w:rsidRPr="00F35404">
        <w:t xml:space="preserve"> is considered likely to be false positivity due to assay sensitivity to endogenous VEGF. As explained by the </w:t>
      </w:r>
      <w:r w:rsidR="007504A6" w:rsidRPr="00F35404">
        <w:t>s</w:t>
      </w:r>
      <w:r w:rsidRPr="00F35404">
        <w:t xml:space="preserve">ponsor in their response to the </w:t>
      </w:r>
      <w:r w:rsidR="007504A6" w:rsidRPr="00F35404">
        <w:t>European Medicines Agency (</w:t>
      </w:r>
      <w:r w:rsidRPr="00F35404">
        <w:t>EMA</w:t>
      </w:r>
      <w:r w:rsidR="007504A6" w:rsidRPr="00F35404">
        <w:t>)</w:t>
      </w:r>
      <w:r w:rsidRPr="00F35404">
        <w:t xml:space="preserve">’s </w:t>
      </w:r>
      <w:r w:rsidR="007504A6" w:rsidRPr="00F35404">
        <w:t>D</w:t>
      </w:r>
      <w:r w:rsidRPr="00F35404">
        <w:t>ay 120 list of questions</w:t>
      </w:r>
      <w:r w:rsidR="007504A6" w:rsidRPr="00F35404">
        <w:t>.</w:t>
      </w:r>
      <w:r w:rsidR="007504A6" w:rsidRPr="00F35404">
        <w:rPr>
          <w:rStyle w:val="FootnoteReference"/>
        </w:rPr>
        <w:footnoteReference w:id="13"/>
      </w:r>
    </w:p>
    <w:p w14:paraId="77F4F73D" w14:textId="0113B083" w:rsidR="003B68E0" w:rsidRPr="00F35404" w:rsidRDefault="003B68E0" w:rsidP="002F0941">
      <w:r w:rsidRPr="00F35404">
        <w:t xml:space="preserve">Thus, the ADA assay methodology used in </w:t>
      </w:r>
      <w:r w:rsidR="00AD4F5E" w:rsidRPr="00F35404">
        <w:t xml:space="preserve">Study </w:t>
      </w:r>
      <w:r w:rsidRPr="00F35404">
        <w:t>MYL-1402O-3001 (NSCLC) had a higher VEGF tolerance target (2</w:t>
      </w:r>
      <w:r w:rsidR="00AD4F5E" w:rsidRPr="00F35404">
        <w:t> </w:t>
      </w:r>
      <w:r w:rsidRPr="00F35404">
        <w:t xml:space="preserve">µg/mL) than did the methodology used in </w:t>
      </w:r>
      <w:r w:rsidR="00AD4F5E" w:rsidRPr="00F35404">
        <w:t>Study</w:t>
      </w:r>
      <w:r w:rsidR="00AD4F5E" w:rsidRPr="00F35404">
        <w:noBreakHyphen/>
      </w:r>
      <w:r w:rsidRPr="00F35404">
        <w:t>BM100</w:t>
      </w:r>
      <w:r w:rsidR="00AD4F5E" w:rsidRPr="00F35404">
        <w:noBreakHyphen/>
      </w:r>
      <w:r w:rsidRPr="00F35404">
        <w:t>CC</w:t>
      </w:r>
      <w:r w:rsidR="00AD4F5E" w:rsidRPr="00F35404">
        <w:noBreakHyphen/>
      </w:r>
      <w:r w:rsidRPr="00F35404">
        <w:t>03</w:t>
      </w:r>
      <w:r w:rsidR="00AD4F5E" w:rsidRPr="00F35404">
        <w:noBreakHyphen/>
      </w:r>
      <w:r w:rsidRPr="00F35404">
        <w:t>1</w:t>
      </w:r>
      <w:r w:rsidR="00AD4F5E" w:rsidRPr="00F35404">
        <w:noBreakHyphen/>
      </w:r>
      <w:r w:rsidRPr="00F35404">
        <w:t>01 (</w:t>
      </w:r>
      <w:r w:rsidR="007504A6" w:rsidRPr="00F35404">
        <w:t>colorectal cancer</w:t>
      </w:r>
      <w:r w:rsidRPr="00F35404">
        <w:t xml:space="preserve">) </w:t>
      </w:r>
      <w:r w:rsidR="00AD4F5E" w:rsidRPr="00F35404">
        <w:t>(</w:t>
      </w:r>
      <w:r w:rsidRPr="00F35404">
        <w:t>15 ng/mL</w:t>
      </w:r>
      <w:r w:rsidR="00AD4F5E" w:rsidRPr="00F35404">
        <w:t>)</w:t>
      </w:r>
      <w:r w:rsidRPr="00F35404">
        <w:t xml:space="preserve"> or </w:t>
      </w:r>
      <w:r w:rsidR="00AD4F5E" w:rsidRPr="00F35404">
        <w:t xml:space="preserve">Study </w:t>
      </w:r>
      <w:r w:rsidRPr="00F35404">
        <w:t>MYL-1402O-1002 (400</w:t>
      </w:r>
      <w:r w:rsidR="00AD4F5E" w:rsidRPr="00F35404">
        <w:t> </w:t>
      </w:r>
      <w:proofErr w:type="spellStart"/>
      <w:r w:rsidRPr="00F35404">
        <w:t>pg</w:t>
      </w:r>
      <w:proofErr w:type="spellEnd"/>
      <w:r w:rsidRPr="00F35404">
        <w:t>/mL).</w:t>
      </w:r>
    </w:p>
    <w:p w14:paraId="0BBDDD91" w14:textId="05811BDE" w:rsidR="003B68E0" w:rsidRPr="00F35404" w:rsidRDefault="00AD4F5E" w:rsidP="003B68E0">
      <w:pPr>
        <w:pStyle w:val="Heading6"/>
        <w:rPr>
          <w:lang w:eastAsia="ja-JP"/>
        </w:rPr>
      </w:pPr>
      <w:r w:rsidRPr="00F35404">
        <w:rPr>
          <w:lang w:eastAsia="ja-JP"/>
        </w:rPr>
        <w:t xml:space="preserve">Study </w:t>
      </w:r>
      <w:r w:rsidR="003B68E0" w:rsidRPr="00F35404">
        <w:rPr>
          <w:lang w:eastAsia="ja-JP"/>
        </w:rPr>
        <w:t>MYL-1402O-1002</w:t>
      </w:r>
    </w:p>
    <w:p w14:paraId="0DE9C7A4" w14:textId="6825C307" w:rsidR="003B68E0" w:rsidRPr="00F35404" w:rsidRDefault="003B68E0" w:rsidP="002F0941">
      <w:r w:rsidRPr="00F35404">
        <w:t xml:space="preserve">In the PK </w:t>
      </w:r>
      <w:r w:rsidR="00AD4F5E" w:rsidRPr="00F35404">
        <w:t>Study </w:t>
      </w:r>
      <w:r w:rsidRPr="00F35404">
        <w:t xml:space="preserve">MYL-1402O-1002, blood samples were taken at </w:t>
      </w:r>
      <w:r w:rsidR="004857A7" w:rsidRPr="00F35404">
        <w:t>Baseline</w:t>
      </w:r>
      <w:r w:rsidRPr="00F35404">
        <w:t xml:space="preserve"> and at four visits post exposure for the presence of ADAs. The results of the ADA testing are summarised in </w:t>
      </w:r>
      <w:r w:rsidRPr="00F35404">
        <w:fldChar w:fldCharType="begin"/>
      </w:r>
      <w:r w:rsidRPr="00F35404">
        <w:instrText xml:space="preserve"> REF _Ref69290860 \h </w:instrText>
      </w:r>
      <w:r w:rsidR="002F0941" w:rsidRPr="00F35404">
        <w:instrText xml:space="preserve"> \* MERGEFORMAT </w:instrText>
      </w:r>
      <w:r w:rsidRPr="00F35404">
        <w:fldChar w:fldCharType="separate"/>
      </w:r>
      <w:r w:rsidR="00D0686E" w:rsidRPr="00F35404">
        <w:t xml:space="preserve">Table </w:t>
      </w:r>
      <w:r w:rsidR="00D0686E">
        <w:t>6</w:t>
      </w:r>
      <w:r w:rsidRPr="00F35404">
        <w:fldChar w:fldCharType="end"/>
      </w:r>
      <w:r w:rsidRPr="00F35404">
        <w:t>. Post dosing, none of the baseline positive subjects showed a significant increase in titre with time. The highest post</w:t>
      </w:r>
      <w:r w:rsidR="00AD4F5E" w:rsidRPr="00F35404">
        <w:t xml:space="preserve"> </w:t>
      </w:r>
      <w:r w:rsidRPr="00F35404">
        <w:t>dose ADA titres obtained were:</w:t>
      </w:r>
    </w:p>
    <w:p w14:paraId="5C9C8863" w14:textId="228E8338" w:rsidR="003B68E0" w:rsidRPr="00F35404" w:rsidRDefault="003B68E0" w:rsidP="002F0941">
      <w:pPr>
        <w:pStyle w:val="ListBullet"/>
      </w:pPr>
      <w:r w:rsidRPr="00F35404">
        <w:t xml:space="preserve">20.9 </w:t>
      </w:r>
      <w:r w:rsidR="006741A2" w:rsidRPr="00F35404">
        <w:t xml:space="preserve">ng/mL </w:t>
      </w:r>
      <w:r w:rsidRPr="00F35404">
        <w:t xml:space="preserve">in the MYL-1402O arm (on </w:t>
      </w:r>
      <w:r w:rsidR="00AD4F5E" w:rsidRPr="00F35404">
        <w:t xml:space="preserve">Day </w:t>
      </w:r>
      <w:r w:rsidRPr="00F35404">
        <w:t xml:space="preserve">99; no subsequent measurements taken, as </w:t>
      </w:r>
      <w:r w:rsidR="00AD4F5E" w:rsidRPr="00F35404">
        <w:t>D</w:t>
      </w:r>
      <w:r w:rsidRPr="00F35404">
        <w:t>ay</w:t>
      </w:r>
      <w:r w:rsidR="00AD4F5E" w:rsidRPr="00F35404">
        <w:t> </w:t>
      </w:r>
      <w:r w:rsidRPr="00F35404">
        <w:t>99 was the final study visit)</w:t>
      </w:r>
    </w:p>
    <w:p w14:paraId="7C292570" w14:textId="55C40A9F" w:rsidR="003B68E0" w:rsidRPr="00F35404" w:rsidRDefault="003B68E0" w:rsidP="002F0941">
      <w:pPr>
        <w:pStyle w:val="ListBullet"/>
      </w:pPr>
      <w:r w:rsidRPr="00F35404">
        <w:t xml:space="preserve">16.3 </w:t>
      </w:r>
      <w:r w:rsidR="006741A2" w:rsidRPr="00F35404">
        <w:t xml:space="preserve">ng/mL </w:t>
      </w:r>
      <w:r w:rsidRPr="00F35404">
        <w:t>(</w:t>
      </w:r>
      <w:r w:rsidR="00AD4F5E" w:rsidRPr="00F35404">
        <w:t>on D</w:t>
      </w:r>
      <w:r w:rsidRPr="00F35404">
        <w:t xml:space="preserve">ay 71; titre returned to 3.0 </w:t>
      </w:r>
      <w:r w:rsidR="006741A2" w:rsidRPr="00F35404">
        <w:t xml:space="preserve">ng/mL </w:t>
      </w:r>
      <w:r w:rsidRPr="00F35404">
        <w:t xml:space="preserve">by next test on </w:t>
      </w:r>
      <w:r w:rsidR="00AD4F5E" w:rsidRPr="00F35404">
        <w:t>D</w:t>
      </w:r>
      <w:r w:rsidRPr="00F35404">
        <w:t>ay 99)</w:t>
      </w:r>
    </w:p>
    <w:p w14:paraId="518E33F8" w14:textId="2E5F5415" w:rsidR="003B68E0" w:rsidRPr="00F35404" w:rsidRDefault="003B68E0" w:rsidP="002F0941">
      <w:pPr>
        <w:pStyle w:val="ListBullet"/>
      </w:pPr>
      <w:r w:rsidRPr="00F35404">
        <w:t xml:space="preserve">14.7 </w:t>
      </w:r>
      <w:r w:rsidR="006741A2" w:rsidRPr="00F35404">
        <w:t xml:space="preserve">ng/mL </w:t>
      </w:r>
      <w:r w:rsidRPr="00F35404">
        <w:t xml:space="preserve">(on </w:t>
      </w:r>
      <w:r w:rsidR="00AD4F5E" w:rsidRPr="00F35404">
        <w:t>D</w:t>
      </w:r>
      <w:r w:rsidRPr="00F35404">
        <w:t xml:space="preserve">ay 15; titre negative by next test on </w:t>
      </w:r>
      <w:r w:rsidR="00AD4F5E" w:rsidRPr="00F35404">
        <w:t>D</w:t>
      </w:r>
      <w:r w:rsidRPr="00F35404">
        <w:t>ay 43)</w:t>
      </w:r>
    </w:p>
    <w:p w14:paraId="576C9BB7" w14:textId="24374A05" w:rsidR="003B68E0" w:rsidRPr="00F35404" w:rsidRDefault="003B68E0" w:rsidP="002F0941">
      <w:r w:rsidRPr="00F35404">
        <w:t>The percentage of ADA positive subjects at each timepoint, though higher than expected (see explanation above) was comparable across treatments.</w:t>
      </w:r>
    </w:p>
    <w:p w14:paraId="7C9EA786" w14:textId="77777777" w:rsidR="003B68E0" w:rsidRPr="00F35404" w:rsidRDefault="003B68E0" w:rsidP="002F0941">
      <w:r w:rsidRPr="00F35404">
        <w:t>Neutralising activity was not assessed in this study.</w:t>
      </w:r>
    </w:p>
    <w:p w14:paraId="6D8DBD08" w14:textId="1AEC2346" w:rsidR="003B68E0" w:rsidRPr="00F35404" w:rsidRDefault="003B68E0" w:rsidP="002F0941">
      <w:pPr>
        <w:pStyle w:val="TableTitle"/>
      </w:pPr>
      <w:bookmarkStart w:id="59" w:name="_Ref69290860"/>
      <w:r w:rsidRPr="00F35404">
        <w:t xml:space="preserve">Table </w:t>
      </w:r>
      <w:fldSimple w:instr=" SEQ Table \* ARABIC ">
        <w:r w:rsidR="00D0686E">
          <w:rPr>
            <w:noProof/>
          </w:rPr>
          <w:t>6</w:t>
        </w:r>
      </w:fldSimple>
      <w:bookmarkEnd w:id="59"/>
      <w:r w:rsidR="00E26BE3" w:rsidRPr="00F35404">
        <w:t xml:space="preserve">: Study MYL-1402O-1002 </w:t>
      </w:r>
      <w:r w:rsidRPr="00F35404">
        <w:t xml:space="preserve">Incidence of </w:t>
      </w:r>
      <w:r w:rsidR="00E26BE3" w:rsidRPr="00F35404">
        <w:t xml:space="preserve">anti-drug antibodies </w:t>
      </w:r>
      <w:r w:rsidRPr="00F35404">
        <w:t>by visit and treatment</w:t>
      </w:r>
    </w:p>
    <w:tbl>
      <w:tblPr>
        <w:tblStyle w:val="TableGrid"/>
        <w:tblW w:w="0" w:type="auto"/>
        <w:tblLook w:val="04A0" w:firstRow="1" w:lastRow="0" w:firstColumn="1" w:lastColumn="0" w:noHBand="0" w:noVBand="1"/>
      </w:tblPr>
      <w:tblGrid>
        <w:gridCol w:w="1123"/>
        <w:gridCol w:w="1621"/>
        <w:gridCol w:w="920"/>
        <w:gridCol w:w="982"/>
        <w:gridCol w:w="920"/>
        <w:gridCol w:w="1026"/>
        <w:gridCol w:w="920"/>
        <w:gridCol w:w="982"/>
      </w:tblGrid>
      <w:tr w:rsidR="00AD4F5E" w:rsidRPr="00F35404" w14:paraId="7269B539" w14:textId="77777777" w:rsidTr="00AD4F5E">
        <w:tc>
          <w:tcPr>
            <w:tcW w:w="1123" w:type="dxa"/>
            <w:vAlign w:val="bottom"/>
          </w:tcPr>
          <w:p w14:paraId="7199D7C3" w14:textId="77777777" w:rsidR="00AD4F5E" w:rsidRPr="00F35404" w:rsidRDefault="00AD4F5E" w:rsidP="002F0941">
            <w:pPr>
              <w:pStyle w:val="Tabletext"/>
            </w:pPr>
            <w:r w:rsidRPr="00F35404">
              <w:t>Visit</w:t>
            </w:r>
          </w:p>
        </w:tc>
        <w:tc>
          <w:tcPr>
            <w:tcW w:w="1621" w:type="dxa"/>
          </w:tcPr>
          <w:p w14:paraId="3F4C777A" w14:textId="77777777" w:rsidR="00AD4F5E" w:rsidRPr="00F35404" w:rsidRDefault="00AD4F5E" w:rsidP="002F0941">
            <w:pPr>
              <w:pStyle w:val="Tabletext"/>
            </w:pPr>
          </w:p>
        </w:tc>
        <w:tc>
          <w:tcPr>
            <w:tcW w:w="1902" w:type="dxa"/>
            <w:gridSpan w:val="2"/>
          </w:tcPr>
          <w:p w14:paraId="35F7376C" w14:textId="3018B7B5" w:rsidR="00AD4F5E" w:rsidRPr="00F35404" w:rsidRDefault="00AD4F5E" w:rsidP="002F0941">
            <w:pPr>
              <w:pStyle w:val="Tabletext"/>
            </w:pPr>
            <w:r w:rsidRPr="00F35404">
              <w:t>MYL-1402O</w:t>
            </w:r>
          </w:p>
          <w:p w14:paraId="6815ED25" w14:textId="77777777" w:rsidR="00AD4F5E" w:rsidRPr="00F35404" w:rsidRDefault="00AD4F5E" w:rsidP="002F0941">
            <w:pPr>
              <w:pStyle w:val="Tabletext"/>
            </w:pPr>
            <w:r w:rsidRPr="00F35404">
              <w:t>(N=37)</w:t>
            </w:r>
          </w:p>
        </w:tc>
        <w:tc>
          <w:tcPr>
            <w:tcW w:w="1946" w:type="dxa"/>
            <w:gridSpan w:val="2"/>
          </w:tcPr>
          <w:p w14:paraId="2C378626" w14:textId="6978FD7B" w:rsidR="00AD4F5E" w:rsidRPr="00F35404" w:rsidRDefault="00AD4F5E" w:rsidP="002F0941">
            <w:pPr>
              <w:pStyle w:val="Tabletext"/>
            </w:pPr>
            <w:r w:rsidRPr="00F35404">
              <w:t>EU-Avastin</w:t>
            </w:r>
          </w:p>
          <w:p w14:paraId="6922343F" w14:textId="77777777" w:rsidR="00AD4F5E" w:rsidRPr="00F35404" w:rsidRDefault="00AD4F5E" w:rsidP="002F0941">
            <w:pPr>
              <w:pStyle w:val="Tabletext"/>
            </w:pPr>
            <w:r w:rsidRPr="00F35404">
              <w:t>(N=37)</w:t>
            </w:r>
          </w:p>
        </w:tc>
        <w:tc>
          <w:tcPr>
            <w:tcW w:w="1902" w:type="dxa"/>
            <w:gridSpan w:val="2"/>
          </w:tcPr>
          <w:p w14:paraId="603B49EC" w14:textId="61A1351E" w:rsidR="00AD4F5E" w:rsidRPr="00F35404" w:rsidRDefault="00AD4F5E" w:rsidP="002F0941">
            <w:pPr>
              <w:pStyle w:val="Tabletext"/>
            </w:pPr>
            <w:r w:rsidRPr="00F35404">
              <w:t>US-Avastin</w:t>
            </w:r>
          </w:p>
          <w:p w14:paraId="5D8FD84C" w14:textId="77777777" w:rsidR="00AD4F5E" w:rsidRPr="00F35404" w:rsidRDefault="00AD4F5E" w:rsidP="002F0941">
            <w:pPr>
              <w:pStyle w:val="Tabletext"/>
            </w:pPr>
            <w:r w:rsidRPr="00F35404">
              <w:t>(N=37)</w:t>
            </w:r>
          </w:p>
        </w:tc>
      </w:tr>
      <w:tr w:rsidR="00AD4F5E" w:rsidRPr="00F35404" w14:paraId="4797F882" w14:textId="77777777" w:rsidTr="00AD4F5E">
        <w:tc>
          <w:tcPr>
            <w:tcW w:w="1123" w:type="dxa"/>
          </w:tcPr>
          <w:p w14:paraId="5C5A2ED6" w14:textId="77777777" w:rsidR="00AD4F5E" w:rsidRPr="00F35404" w:rsidRDefault="00AD4F5E" w:rsidP="002F0941">
            <w:pPr>
              <w:pStyle w:val="Tabletext"/>
            </w:pPr>
          </w:p>
        </w:tc>
        <w:tc>
          <w:tcPr>
            <w:tcW w:w="1621" w:type="dxa"/>
          </w:tcPr>
          <w:p w14:paraId="05EF3D0D" w14:textId="77777777" w:rsidR="00AD4F5E" w:rsidRPr="00F35404" w:rsidRDefault="00AD4F5E" w:rsidP="002F0941">
            <w:pPr>
              <w:pStyle w:val="Tabletext"/>
            </w:pPr>
          </w:p>
        </w:tc>
        <w:tc>
          <w:tcPr>
            <w:tcW w:w="920" w:type="dxa"/>
          </w:tcPr>
          <w:p w14:paraId="0AC3AD93" w14:textId="739067E9" w:rsidR="00AD4F5E" w:rsidRPr="00F35404" w:rsidRDefault="00AD4F5E" w:rsidP="002F0941">
            <w:pPr>
              <w:pStyle w:val="Tabletext"/>
            </w:pPr>
            <w:r w:rsidRPr="00F35404">
              <w:t>n’</w:t>
            </w:r>
          </w:p>
        </w:tc>
        <w:tc>
          <w:tcPr>
            <w:tcW w:w="982" w:type="dxa"/>
          </w:tcPr>
          <w:p w14:paraId="0FE68E1D" w14:textId="77777777" w:rsidR="00AD4F5E" w:rsidRPr="00F35404" w:rsidRDefault="00AD4F5E" w:rsidP="002F0941">
            <w:pPr>
              <w:pStyle w:val="Tabletext"/>
            </w:pPr>
            <w:r w:rsidRPr="00F35404">
              <w:t>n (%)</w:t>
            </w:r>
          </w:p>
        </w:tc>
        <w:tc>
          <w:tcPr>
            <w:tcW w:w="920" w:type="dxa"/>
          </w:tcPr>
          <w:p w14:paraId="1AE69A5F" w14:textId="77777777" w:rsidR="00AD4F5E" w:rsidRPr="00F35404" w:rsidRDefault="00AD4F5E" w:rsidP="002F0941">
            <w:pPr>
              <w:pStyle w:val="Tabletext"/>
            </w:pPr>
            <w:r w:rsidRPr="00F35404">
              <w:t>n’</w:t>
            </w:r>
          </w:p>
        </w:tc>
        <w:tc>
          <w:tcPr>
            <w:tcW w:w="1026" w:type="dxa"/>
          </w:tcPr>
          <w:p w14:paraId="1BBCEBF5" w14:textId="77777777" w:rsidR="00AD4F5E" w:rsidRPr="00F35404" w:rsidRDefault="00AD4F5E" w:rsidP="002F0941">
            <w:pPr>
              <w:pStyle w:val="Tabletext"/>
            </w:pPr>
            <w:r w:rsidRPr="00F35404">
              <w:t>n (%)</w:t>
            </w:r>
          </w:p>
        </w:tc>
        <w:tc>
          <w:tcPr>
            <w:tcW w:w="920" w:type="dxa"/>
          </w:tcPr>
          <w:p w14:paraId="39B4C762" w14:textId="77777777" w:rsidR="00AD4F5E" w:rsidRPr="00F35404" w:rsidRDefault="00AD4F5E" w:rsidP="002F0941">
            <w:pPr>
              <w:pStyle w:val="Tabletext"/>
            </w:pPr>
            <w:r w:rsidRPr="00F35404">
              <w:t>n’</w:t>
            </w:r>
          </w:p>
        </w:tc>
        <w:tc>
          <w:tcPr>
            <w:tcW w:w="982" w:type="dxa"/>
          </w:tcPr>
          <w:p w14:paraId="6751C8F9" w14:textId="77777777" w:rsidR="00AD4F5E" w:rsidRPr="00F35404" w:rsidRDefault="00AD4F5E" w:rsidP="002F0941">
            <w:pPr>
              <w:pStyle w:val="Tabletext"/>
            </w:pPr>
            <w:r w:rsidRPr="00F35404">
              <w:t>n (%)</w:t>
            </w:r>
          </w:p>
        </w:tc>
      </w:tr>
      <w:tr w:rsidR="00AD4F5E" w:rsidRPr="00F35404" w14:paraId="6773F31D" w14:textId="77777777" w:rsidTr="00AD4F5E">
        <w:tc>
          <w:tcPr>
            <w:tcW w:w="1123" w:type="dxa"/>
          </w:tcPr>
          <w:p w14:paraId="2C257D54" w14:textId="77777777" w:rsidR="00AD4F5E" w:rsidRPr="00F35404" w:rsidRDefault="00AD4F5E" w:rsidP="002F0941">
            <w:pPr>
              <w:pStyle w:val="Tabletext"/>
            </w:pPr>
            <w:r w:rsidRPr="00F35404">
              <w:t>Baseline</w:t>
            </w:r>
          </w:p>
        </w:tc>
        <w:tc>
          <w:tcPr>
            <w:tcW w:w="1621" w:type="dxa"/>
          </w:tcPr>
          <w:p w14:paraId="65FC3F71" w14:textId="77777777" w:rsidR="00AD4F5E" w:rsidRPr="00F35404" w:rsidRDefault="00AD4F5E" w:rsidP="002F0941">
            <w:pPr>
              <w:pStyle w:val="Tabletext"/>
            </w:pPr>
          </w:p>
        </w:tc>
        <w:tc>
          <w:tcPr>
            <w:tcW w:w="920" w:type="dxa"/>
          </w:tcPr>
          <w:p w14:paraId="3545BAC9" w14:textId="4605C250" w:rsidR="00AD4F5E" w:rsidRPr="00F35404" w:rsidRDefault="00AD4F5E" w:rsidP="002F0941">
            <w:pPr>
              <w:pStyle w:val="Tabletext"/>
            </w:pPr>
            <w:r w:rsidRPr="00F35404">
              <w:t>37</w:t>
            </w:r>
          </w:p>
        </w:tc>
        <w:tc>
          <w:tcPr>
            <w:tcW w:w="982" w:type="dxa"/>
          </w:tcPr>
          <w:p w14:paraId="4F1B7E7F" w14:textId="77777777" w:rsidR="00AD4F5E" w:rsidRPr="00F35404" w:rsidRDefault="00AD4F5E" w:rsidP="002F0941">
            <w:pPr>
              <w:pStyle w:val="Tabletext"/>
            </w:pPr>
            <w:r w:rsidRPr="00F35404">
              <w:t>1 (3)</w:t>
            </w:r>
          </w:p>
        </w:tc>
        <w:tc>
          <w:tcPr>
            <w:tcW w:w="920" w:type="dxa"/>
          </w:tcPr>
          <w:p w14:paraId="6CD0A0EE" w14:textId="77777777" w:rsidR="00AD4F5E" w:rsidRPr="00F35404" w:rsidRDefault="00AD4F5E" w:rsidP="002F0941">
            <w:pPr>
              <w:pStyle w:val="Tabletext"/>
            </w:pPr>
            <w:r w:rsidRPr="00F35404">
              <w:t>37</w:t>
            </w:r>
          </w:p>
        </w:tc>
        <w:tc>
          <w:tcPr>
            <w:tcW w:w="1026" w:type="dxa"/>
          </w:tcPr>
          <w:p w14:paraId="1ABABFA7" w14:textId="77777777" w:rsidR="00AD4F5E" w:rsidRPr="00F35404" w:rsidRDefault="00AD4F5E" w:rsidP="002F0941">
            <w:pPr>
              <w:pStyle w:val="Tabletext"/>
            </w:pPr>
            <w:r w:rsidRPr="00F35404">
              <w:t>1 (3)</w:t>
            </w:r>
          </w:p>
        </w:tc>
        <w:tc>
          <w:tcPr>
            <w:tcW w:w="920" w:type="dxa"/>
          </w:tcPr>
          <w:p w14:paraId="09572072" w14:textId="77777777" w:rsidR="00AD4F5E" w:rsidRPr="00F35404" w:rsidRDefault="00AD4F5E" w:rsidP="002F0941">
            <w:pPr>
              <w:pStyle w:val="Tabletext"/>
            </w:pPr>
            <w:r w:rsidRPr="00F35404">
              <w:t>37</w:t>
            </w:r>
          </w:p>
        </w:tc>
        <w:tc>
          <w:tcPr>
            <w:tcW w:w="982" w:type="dxa"/>
          </w:tcPr>
          <w:p w14:paraId="6E84606C" w14:textId="77777777" w:rsidR="00AD4F5E" w:rsidRPr="00F35404" w:rsidRDefault="00AD4F5E" w:rsidP="002F0941">
            <w:pPr>
              <w:pStyle w:val="Tabletext"/>
            </w:pPr>
            <w:r w:rsidRPr="00F35404">
              <w:t>2 (5)</w:t>
            </w:r>
          </w:p>
        </w:tc>
      </w:tr>
      <w:tr w:rsidR="00AD4F5E" w:rsidRPr="00F35404" w14:paraId="2AE35735" w14:textId="77777777" w:rsidTr="00AD4F5E">
        <w:tc>
          <w:tcPr>
            <w:tcW w:w="1123" w:type="dxa"/>
          </w:tcPr>
          <w:p w14:paraId="66427E51" w14:textId="77777777" w:rsidR="00AD4F5E" w:rsidRPr="00F35404" w:rsidRDefault="00AD4F5E" w:rsidP="002F0941">
            <w:pPr>
              <w:pStyle w:val="Tabletext"/>
            </w:pPr>
            <w:r w:rsidRPr="00F35404">
              <w:t>Day 15</w:t>
            </w:r>
          </w:p>
        </w:tc>
        <w:tc>
          <w:tcPr>
            <w:tcW w:w="1621" w:type="dxa"/>
          </w:tcPr>
          <w:p w14:paraId="31ED3CB9" w14:textId="77777777" w:rsidR="00AD4F5E" w:rsidRPr="00F35404" w:rsidRDefault="00AD4F5E" w:rsidP="002F0941">
            <w:pPr>
              <w:pStyle w:val="Tabletext"/>
            </w:pPr>
          </w:p>
        </w:tc>
        <w:tc>
          <w:tcPr>
            <w:tcW w:w="920" w:type="dxa"/>
          </w:tcPr>
          <w:p w14:paraId="1FF4E103" w14:textId="191ABDBA" w:rsidR="00AD4F5E" w:rsidRPr="00F35404" w:rsidRDefault="00AD4F5E" w:rsidP="002F0941">
            <w:pPr>
              <w:pStyle w:val="Tabletext"/>
            </w:pPr>
            <w:r w:rsidRPr="00F35404">
              <w:t>37</w:t>
            </w:r>
          </w:p>
        </w:tc>
        <w:tc>
          <w:tcPr>
            <w:tcW w:w="982" w:type="dxa"/>
          </w:tcPr>
          <w:p w14:paraId="10690609" w14:textId="77777777" w:rsidR="00AD4F5E" w:rsidRPr="00F35404" w:rsidRDefault="00AD4F5E" w:rsidP="002F0941">
            <w:pPr>
              <w:pStyle w:val="Tabletext"/>
            </w:pPr>
            <w:r w:rsidRPr="00F35404">
              <w:t>35 (95)</w:t>
            </w:r>
          </w:p>
        </w:tc>
        <w:tc>
          <w:tcPr>
            <w:tcW w:w="920" w:type="dxa"/>
          </w:tcPr>
          <w:p w14:paraId="281947DC" w14:textId="77777777" w:rsidR="00AD4F5E" w:rsidRPr="00F35404" w:rsidRDefault="00AD4F5E" w:rsidP="002F0941">
            <w:pPr>
              <w:pStyle w:val="Tabletext"/>
            </w:pPr>
            <w:r w:rsidRPr="00F35404">
              <w:t>37</w:t>
            </w:r>
          </w:p>
        </w:tc>
        <w:tc>
          <w:tcPr>
            <w:tcW w:w="1026" w:type="dxa"/>
          </w:tcPr>
          <w:p w14:paraId="6CE68C6D" w14:textId="77777777" w:rsidR="00AD4F5E" w:rsidRPr="00F35404" w:rsidRDefault="00AD4F5E" w:rsidP="002F0941">
            <w:pPr>
              <w:pStyle w:val="Tabletext"/>
            </w:pPr>
            <w:r w:rsidRPr="00F35404">
              <w:t>37 (100)</w:t>
            </w:r>
          </w:p>
        </w:tc>
        <w:tc>
          <w:tcPr>
            <w:tcW w:w="920" w:type="dxa"/>
          </w:tcPr>
          <w:p w14:paraId="63A612B4" w14:textId="77777777" w:rsidR="00AD4F5E" w:rsidRPr="00F35404" w:rsidRDefault="00AD4F5E" w:rsidP="002F0941">
            <w:pPr>
              <w:pStyle w:val="Tabletext"/>
            </w:pPr>
            <w:r w:rsidRPr="00F35404">
              <w:t>37</w:t>
            </w:r>
          </w:p>
        </w:tc>
        <w:tc>
          <w:tcPr>
            <w:tcW w:w="982" w:type="dxa"/>
          </w:tcPr>
          <w:p w14:paraId="75286CD0" w14:textId="77777777" w:rsidR="00AD4F5E" w:rsidRPr="00F35404" w:rsidRDefault="00AD4F5E" w:rsidP="002F0941">
            <w:pPr>
              <w:pStyle w:val="Tabletext"/>
            </w:pPr>
            <w:r w:rsidRPr="00F35404">
              <w:t>33 (89)</w:t>
            </w:r>
          </w:p>
        </w:tc>
      </w:tr>
      <w:tr w:rsidR="00AD4F5E" w:rsidRPr="00F35404" w14:paraId="3B1ABC66" w14:textId="77777777" w:rsidTr="00AD4F5E">
        <w:tc>
          <w:tcPr>
            <w:tcW w:w="1123" w:type="dxa"/>
          </w:tcPr>
          <w:p w14:paraId="6E95589A" w14:textId="77777777" w:rsidR="00AD4F5E" w:rsidRPr="00F35404" w:rsidRDefault="00AD4F5E" w:rsidP="002F0941">
            <w:pPr>
              <w:pStyle w:val="Tabletext"/>
            </w:pPr>
            <w:r w:rsidRPr="00F35404">
              <w:t>Day 43</w:t>
            </w:r>
          </w:p>
        </w:tc>
        <w:tc>
          <w:tcPr>
            <w:tcW w:w="1621" w:type="dxa"/>
          </w:tcPr>
          <w:p w14:paraId="17DB4751" w14:textId="77777777" w:rsidR="00AD4F5E" w:rsidRPr="00F35404" w:rsidRDefault="00AD4F5E" w:rsidP="002F0941">
            <w:pPr>
              <w:pStyle w:val="Tabletext"/>
            </w:pPr>
          </w:p>
        </w:tc>
        <w:tc>
          <w:tcPr>
            <w:tcW w:w="920" w:type="dxa"/>
          </w:tcPr>
          <w:p w14:paraId="72750FAB" w14:textId="753F48DD" w:rsidR="00AD4F5E" w:rsidRPr="00F35404" w:rsidRDefault="00AD4F5E" w:rsidP="002F0941">
            <w:pPr>
              <w:pStyle w:val="Tabletext"/>
            </w:pPr>
            <w:r w:rsidRPr="00F35404">
              <w:t>37</w:t>
            </w:r>
          </w:p>
        </w:tc>
        <w:tc>
          <w:tcPr>
            <w:tcW w:w="982" w:type="dxa"/>
          </w:tcPr>
          <w:p w14:paraId="0FE6F98D" w14:textId="77777777" w:rsidR="00AD4F5E" w:rsidRPr="00F35404" w:rsidRDefault="00AD4F5E" w:rsidP="002F0941">
            <w:pPr>
              <w:pStyle w:val="Tabletext"/>
            </w:pPr>
            <w:r w:rsidRPr="00F35404">
              <w:t>28 (76)</w:t>
            </w:r>
          </w:p>
        </w:tc>
        <w:tc>
          <w:tcPr>
            <w:tcW w:w="920" w:type="dxa"/>
          </w:tcPr>
          <w:p w14:paraId="2B005564" w14:textId="77777777" w:rsidR="00AD4F5E" w:rsidRPr="00F35404" w:rsidRDefault="00AD4F5E" w:rsidP="002F0941">
            <w:pPr>
              <w:pStyle w:val="Tabletext"/>
            </w:pPr>
            <w:r w:rsidRPr="00F35404">
              <w:t>37</w:t>
            </w:r>
          </w:p>
        </w:tc>
        <w:tc>
          <w:tcPr>
            <w:tcW w:w="1026" w:type="dxa"/>
          </w:tcPr>
          <w:p w14:paraId="46D89586" w14:textId="77777777" w:rsidR="00AD4F5E" w:rsidRPr="00F35404" w:rsidRDefault="00AD4F5E" w:rsidP="002F0941">
            <w:pPr>
              <w:pStyle w:val="Tabletext"/>
            </w:pPr>
            <w:r w:rsidRPr="00F35404">
              <w:t>28 (76)</w:t>
            </w:r>
          </w:p>
        </w:tc>
        <w:tc>
          <w:tcPr>
            <w:tcW w:w="920" w:type="dxa"/>
          </w:tcPr>
          <w:p w14:paraId="7DED185B" w14:textId="77777777" w:rsidR="00AD4F5E" w:rsidRPr="00F35404" w:rsidRDefault="00AD4F5E" w:rsidP="002F0941">
            <w:pPr>
              <w:pStyle w:val="Tabletext"/>
            </w:pPr>
            <w:r w:rsidRPr="00F35404">
              <w:t>37</w:t>
            </w:r>
          </w:p>
        </w:tc>
        <w:tc>
          <w:tcPr>
            <w:tcW w:w="982" w:type="dxa"/>
          </w:tcPr>
          <w:p w14:paraId="0BCC63BB" w14:textId="77777777" w:rsidR="00AD4F5E" w:rsidRPr="00F35404" w:rsidRDefault="00AD4F5E" w:rsidP="002F0941">
            <w:pPr>
              <w:pStyle w:val="Tabletext"/>
            </w:pPr>
            <w:r w:rsidRPr="00F35404">
              <w:t>31 (84)</w:t>
            </w:r>
          </w:p>
        </w:tc>
      </w:tr>
      <w:tr w:rsidR="00AD4F5E" w:rsidRPr="00F35404" w14:paraId="643FCDFB" w14:textId="77777777" w:rsidTr="00AD4F5E">
        <w:tc>
          <w:tcPr>
            <w:tcW w:w="1123" w:type="dxa"/>
          </w:tcPr>
          <w:p w14:paraId="0BBA6921" w14:textId="77777777" w:rsidR="00AD4F5E" w:rsidRPr="00F35404" w:rsidRDefault="00AD4F5E" w:rsidP="002F0941">
            <w:pPr>
              <w:pStyle w:val="Tabletext"/>
            </w:pPr>
            <w:r w:rsidRPr="00F35404">
              <w:t>Day 71</w:t>
            </w:r>
          </w:p>
        </w:tc>
        <w:tc>
          <w:tcPr>
            <w:tcW w:w="1621" w:type="dxa"/>
          </w:tcPr>
          <w:p w14:paraId="39587A8F" w14:textId="77777777" w:rsidR="00AD4F5E" w:rsidRPr="00F35404" w:rsidRDefault="00AD4F5E" w:rsidP="002F0941">
            <w:pPr>
              <w:pStyle w:val="Tabletext"/>
            </w:pPr>
          </w:p>
        </w:tc>
        <w:tc>
          <w:tcPr>
            <w:tcW w:w="920" w:type="dxa"/>
          </w:tcPr>
          <w:p w14:paraId="095FC2D3" w14:textId="524B99CF" w:rsidR="00AD4F5E" w:rsidRPr="00F35404" w:rsidRDefault="00AD4F5E" w:rsidP="002F0941">
            <w:pPr>
              <w:pStyle w:val="Tabletext"/>
            </w:pPr>
            <w:r w:rsidRPr="00F35404">
              <w:t>37</w:t>
            </w:r>
          </w:p>
        </w:tc>
        <w:tc>
          <w:tcPr>
            <w:tcW w:w="982" w:type="dxa"/>
          </w:tcPr>
          <w:p w14:paraId="39C1D618" w14:textId="77777777" w:rsidR="00AD4F5E" w:rsidRPr="00F35404" w:rsidRDefault="00AD4F5E" w:rsidP="002F0941">
            <w:pPr>
              <w:pStyle w:val="Tabletext"/>
            </w:pPr>
            <w:r w:rsidRPr="00F35404">
              <w:t>8 (22)</w:t>
            </w:r>
          </w:p>
        </w:tc>
        <w:tc>
          <w:tcPr>
            <w:tcW w:w="920" w:type="dxa"/>
          </w:tcPr>
          <w:p w14:paraId="5C3F2E75" w14:textId="77777777" w:rsidR="00AD4F5E" w:rsidRPr="00F35404" w:rsidRDefault="00AD4F5E" w:rsidP="002F0941">
            <w:pPr>
              <w:pStyle w:val="Tabletext"/>
            </w:pPr>
            <w:r w:rsidRPr="00F35404">
              <w:t>36</w:t>
            </w:r>
          </w:p>
        </w:tc>
        <w:tc>
          <w:tcPr>
            <w:tcW w:w="1026" w:type="dxa"/>
          </w:tcPr>
          <w:p w14:paraId="7EE6333D" w14:textId="77777777" w:rsidR="00AD4F5E" w:rsidRPr="00F35404" w:rsidRDefault="00AD4F5E" w:rsidP="002F0941">
            <w:pPr>
              <w:pStyle w:val="Tabletext"/>
            </w:pPr>
            <w:r w:rsidRPr="00F35404">
              <w:t>12 (33)</w:t>
            </w:r>
          </w:p>
        </w:tc>
        <w:tc>
          <w:tcPr>
            <w:tcW w:w="920" w:type="dxa"/>
          </w:tcPr>
          <w:p w14:paraId="6048AB36" w14:textId="77777777" w:rsidR="00AD4F5E" w:rsidRPr="00F35404" w:rsidRDefault="00AD4F5E" w:rsidP="002F0941">
            <w:pPr>
              <w:pStyle w:val="Tabletext"/>
            </w:pPr>
            <w:r w:rsidRPr="00F35404">
              <w:t>37</w:t>
            </w:r>
          </w:p>
        </w:tc>
        <w:tc>
          <w:tcPr>
            <w:tcW w:w="982" w:type="dxa"/>
          </w:tcPr>
          <w:p w14:paraId="5EDD20CA" w14:textId="77777777" w:rsidR="00AD4F5E" w:rsidRPr="00F35404" w:rsidRDefault="00AD4F5E" w:rsidP="002F0941">
            <w:pPr>
              <w:pStyle w:val="Tabletext"/>
            </w:pPr>
            <w:r w:rsidRPr="00F35404">
              <w:t>12 (32)</w:t>
            </w:r>
          </w:p>
        </w:tc>
      </w:tr>
      <w:tr w:rsidR="00AD4F5E" w:rsidRPr="00F35404" w14:paraId="75949242" w14:textId="77777777" w:rsidTr="00AD4F5E">
        <w:tc>
          <w:tcPr>
            <w:tcW w:w="1123" w:type="dxa"/>
          </w:tcPr>
          <w:p w14:paraId="7ECE05E6" w14:textId="77777777" w:rsidR="00AD4F5E" w:rsidRPr="00F35404" w:rsidRDefault="00AD4F5E" w:rsidP="002F0941">
            <w:pPr>
              <w:pStyle w:val="Tabletext"/>
            </w:pPr>
            <w:r w:rsidRPr="00F35404">
              <w:t>Day 99</w:t>
            </w:r>
          </w:p>
        </w:tc>
        <w:tc>
          <w:tcPr>
            <w:tcW w:w="1621" w:type="dxa"/>
          </w:tcPr>
          <w:p w14:paraId="69570736" w14:textId="77777777" w:rsidR="00AD4F5E" w:rsidRPr="00F35404" w:rsidRDefault="00AD4F5E" w:rsidP="002F0941">
            <w:pPr>
              <w:pStyle w:val="Tabletext"/>
            </w:pPr>
          </w:p>
        </w:tc>
        <w:tc>
          <w:tcPr>
            <w:tcW w:w="920" w:type="dxa"/>
          </w:tcPr>
          <w:p w14:paraId="40C54217" w14:textId="12628A0E" w:rsidR="00AD4F5E" w:rsidRPr="00F35404" w:rsidRDefault="00AD4F5E" w:rsidP="002F0941">
            <w:pPr>
              <w:pStyle w:val="Tabletext"/>
            </w:pPr>
            <w:r w:rsidRPr="00F35404">
              <w:t>37</w:t>
            </w:r>
          </w:p>
        </w:tc>
        <w:tc>
          <w:tcPr>
            <w:tcW w:w="982" w:type="dxa"/>
          </w:tcPr>
          <w:p w14:paraId="6A8537CE" w14:textId="77777777" w:rsidR="00AD4F5E" w:rsidRPr="00F35404" w:rsidRDefault="00AD4F5E" w:rsidP="002F0941">
            <w:pPr>
              <w:pStyle w:val="Tabletext"/>
            </w:pPr>
            <w:r w:rsidRPr="00F35404">
              <w:t>2 (5)</w:t>
            </w:r>
          </w:p>
        </w:tc>
        <w:tc>
          <w:tcPr>
            <w:tcW w:w="920" w:type="dxa"/>
          </w:tcPr>
          <w:p w14:paraId="13BAD6AB" w14:textId="77777777" w:rsidR="00AD4F5E" w:rsidRPr="00F35404" w:rsidRDefault="00AD4F5E" w:rsidP="002F0941">
            <w:pPr>
              <w:pStyle w:val="Tabletext"/>
            </w:pPr>
            <w:r w:rsidRPr="00F35404">
              <w:t>37</w:t>
            </w:r>
          </w:p>
        </w:tc>
        <w:tc>
          <w:tcPr>
            <w:tcW w:w="1026" w:type="dxa"/>
          </w:tcPr>
          <w:p w14:paraId="01CA2921" w14:textId="77777777" w:rsidR="00AD4F5E" w:rsidRPr="00F35404" w:rsidRDefault="00AD4F5E" w:rsidP="002F0941">
            <w:pPr>
              <w:pStyle w:val="Tabletext"/>
            </w:pPr>
            <w:r w:rsidRPr="00F35404">
              <w:t>6 (16)</w:t>
            </w:r>
          </w:p>
        </w:tc>
        <w:tc>
          <w:tcPr>
            <w:tcW w:w="920" w:type="dxa"/>
          </w:tcPr>
          <w:p w14:paraId="439883A5" w14:textId="77777777" w:rsidR="00AD4F5E" w:rsidRPr="00F35404" w:rsidRDefault="00AD4F5E" w:rsidP="002F0941">
            <w:pPr>
              <w:pStyle w:val="Tabletext"/>
            </w:pPr>
            <w:r w:rsidRPr="00F35404">
              <w:t>37</w:t>
            </w:r>
          </w:p>
        </w:tc>
        <w:tc>
          <w:tcPr>
            <w:tcW w:w="982" w:type="dxa"/>
          </w:tcPr>
          <w:p w14:paraId="4CFF34AC" w14:textId="77777777" w:rsidR="00AD4F5E" w:rsidRPr="00F35404" w:rsidRDefault="00AD4F5E" w:rsidP="002F0941">
            <w:pPr>
              <w:pStyle w:val="Tabletext"/>
            </w:pPr>
            <w:r w:rsidRPr="00F35404">
              <w:t>4 (11)</w:t>
            </w:r>
          </w:p>
        </w:tc>
      </w:tr>
    </w:tbl>
    <w:p w14:paraId="29D3EEE2" w14:textId="1014F7B9" w:rsidR="00AD4F5E" w:rsidRPr="00F35404" w:rsidRDefault="00AD4F5E" w:rsidP="002F0941">
      <w:pPr>
        <w:pStyle w:val="TableDescription"/>
      </w:pPr>
      <w:r w:rsidRPr="00F35404">
        <w:t>EU-Avastin = Avastin sourced from the European Union; MYL</w:t>
      </w:r>
      <w:r w:rsidRPr="00F35404">
        <w:noBreakHyphen/>
        <w:t xml:space="preserve">1402O = </w:t>
      </w:r>
      <w:r w:rsidR="00B6743D">
        <w:t>p</w:t>
      </w:r>
      <w:r w:rsidR="00B6743D" w:rsidRPr="00B6743D">
        <w:t>roduct code for Abevmy formulation intended for marketing in Australia</w:t>
      </w:r>
      <w:r w:rsidRPr="00F35404">
        <w:t xml:space="preserve">; N = number of subjects exposed to treatment; n = </w:t>
      </w:r>
      <w:r w:rsidRPr="00F35404">
        <w:lastRenderedPageBreak/>
        <w:t xml:space="preserve">number of subjects with positive anti-drug antibody results; </w:t>
      </w:r>
      <w:r w:rsidR="003B68E0" w:rsidRPr="00F35404">
        <w:t xml:space="preserve">n’ = number of subjects with available </w:t>
      </w:r>
      <w:r w:rsidRPr="00F35404">
        <w:t xml:space="preserve">anti-drug antibody </w:t>
      </w:r>
      <w:r w:rsidR="003B68E0" w:rsidRPr="00F35404">
        <w:t>results;</w:t>
      </w:r>
      <w:r w:rsidRPr="00F35404">
        <w:t xml:space="preserve"> US-Avastin = Avastin sourced from the United States of America.</w:t>
      </w:r>
    </w:p>
    <w:p w14:paraId="4537A8B5" w14:textId="15C52998" w:rsidR="003B68E0" w:rsidRPr="00F35404" w:rsidRDefault="00AD4F5E" w:rsidP="003B68E0">
      <w:pPr>
        <w:pStyle w:val="Heading6"/>
        <w:rPr>
          <w:lang w:eastAsia="ja-JP"/>
        </w:rPr>
      </w:pPr>
      <w:r w:rsidRPr="00F35404">
        <w:rPr>
          <w:lang w:eastAsia="ja-JP"/>
        </w:rPr>
        <w:t xml:space="preserve">Study </w:t>
      </w:r>
      <w:r w:rsidR="003B68E0" w:rsidRPr="00F35404">
        <w:rPr>
          <w:lang w:eastAsia="ja-JP"/>
        </w:rPr>
        <w:t>MYL-1402O-3001</w:t>
      </w:r>
    </w:p>
    <w:p w14:paraId="034FEEF1" w14:textId="6AC4A7D7" w:rsidR="003B68E0" w:rsidRPr="00F35404" w:rsidRDefault="003B68E0" w:rsidP="002F0941">
      <w:r w:rsidRPr="00F35404">
        <w:t xml:space="preserve">Results of ADA testing in </w:t>
      </w:r>
      <w:r w:rsidR="00EA1FFC" w:rsidRPr="00F35404">
        <w:t>Phase</w:t>
      </w:r>
      <w:r w:rsidRPr="00F35404">
        <w:t xml:space="preserve"> </w:t>
      </w:r>
      <w:r w:rsidR="00EA1FFC" w:rsidRPr="00F35404">
        <w:t>III</w:t>
      </w:r>
      <w:r w:rsidRPr="00F35404">
        <w:t xml:space="preserve"> Study MYL-1402O-3001 are summarised in </w:t>
      </w:r>
      <w:r w:rsidRPr="00F35404">
        <w:fldChar w:fldCharType="begin"/>
      </w:r>
      <w:r w:rsidRPr="00F35404">
        <w:instrText xml:space="preserve"> REF _Ref69291111 \h </w:instrText>
      </w:r>
      <w:r w:rsidR="002F0941" w:rsidRPr="00F35404">
        <w:instrText xml:space="preserve"> \* MERGEFORMAT </w:instrText>
      </w:r>
      <w:r w:rsidRPr="00F35404">
        <w:fldChar w:fldCharType="separate"/>
      </w:r>
      <w:r w:rsidR="00D0686E" w:rsidRPr="00F35404">
        <w:t xml:space="preserve">Table </w:t>
      </w:r>
      <w:r w:rsidR="00D0686E">
        <w:t>7</w:t>
      </w:r>
      <w:r w:rsidRPr="00F35404">
        <w:fldChar w:fldCharType="end"/>
      </w:r>
      <w:r w:rsidRPr="00F35404">
        <w:t xml:space="preserve"> and </w:t>
      </w:r>
      <w:r w:rsidRPr="00F35404">
        <w:fldChar w:fldCharType="begin"/>
      </w:r>
      <w:r w:rsidRPr="00F35404">
        <w:instrText xml:space="preserve"> REF _Ref69295613 \h </w:instrText>
      </w:r>
      <w:r w:rsidR="002F0941" w:rsidRPr="00F35404">
        <w:instrText xml:space="preserve"> \* MERGEFORMAT </w:instrText>
      </w:r>
      <w:r w:rsidRPr="00F35404">
        <w:fldChar w:fldCharType="separate"/>
      </w:r>
      <w:r w:rsidR="00D0686E" w:rsidRPr="00F35404">
        <w:t xml:space="preserve">Table </w:t>
      </w:r>
      <w:r w:rsidR="00D0686E">
        <w:t>8</w:t>
      </w:r>
      <w:r w:rsidRPr="00F35404">
        <w:fldChar w:fldCharType="end"/>
      </w:r>
      <w:r w:rsidRPr="00F35404">
        <w:t>. Post-</w:t>
      </w:r>
      <w:r w:rsidR="004857A7" w:rsidRPr="00F35404">
        <w:t>Baseline</w:t>
      </w:r>
      <w:r w:rsidRPr="00F35404">
        <w:t xml:space="preserve">, ADA and </w:t>
      </w:r>
      <w:proofErr w:type="spellStart"/>
      <w:r w:rsidRPr="00F35404">
        <w:t>NAb</w:t>
      </w:r>
      <w:proofErr w:type="spellEnd"/>
      <w:r w:rsidRPr="00F35404">
        <w:t xml:space="preserve"> were infrequent, declined over time and were comparable between both treatment arms.</w:t>
      </w:r>
    </w:p>
    <w:p w14:paraId="2C8E3618" w14:textId="27FC0054" w:rsidR="003B68E0" w:rsidRPr="00F35404" w:rsidRDefault="003B68E0" w:rsidP="002F0941">
      <w:r w:rsidRPr="00F35404">
        <w:t xml:space="preserve">Most ADA were transient, occurring at one or two timepoints. One patient in the </w:t>
      </w:r>
      <w:r w:rsidR="00667F81" w:rsidRPr="00F35404">
        <w:t>Avastin</w:t>
      </w:r>
      <w:r w:rsidRPr="00F35404">
        <w:t xml:space="preserve"> arm had treatment</w:t>
      </w:r>
      <w:r w:rsidR="00AD4F5E" w:rsidRPr="00F35404">
        <w:t xml:space="preserve"> </w:t>
      </w:r>
      <w:r w:rsidRPr="00F35404">
        <w:t>boosted ADA at 3 timepoints.</w:t>
      </w:r>
    </w:p>
    <w:p w14:paraId="66BE0671" w14:textId="0F14FA7B" w:rsidR="003B68E0" w:rsidRPr="00F35404" w:rsidRDefault="003B68E0" w:rsidP="002F0941">
      <w:pPr>
        <w:pStyle w:val="TableTitle"/>
      </w:pPr>
      <w:bookmarkStart w:id="60" w:name="_Ref69291111"/>
      <w:r w:rsidRPr="00F35404">
        <w:t xml:space="preserve">Table </w:t>
      </w:r>
      <w:fldSimple w:instr=" SEQ Table \* ARABIC ">
        <w:r w:rsidR="00D0686E">
          <w:rPr>
            <w:noProof/>
          </w:rPr>
          <w:t>7</w:t>
        </w:r>
      </w:fldSimple>
      <w:bookmarkEnd w:id="60"/>
      <w:r w:rsidR="00E26BE3" w:rsidRPr="00F35404">
        <w:rPr>
          <w:noProof/>
        </w:rPr>
        <w:t>:</w:t>
      </w:r>
      <w:r w:rsidRPr="00F35404">
        <w:t xml:space="preserve"> </w:t>
      </w:r>
      <w:r w:rsidR="00E26BE3" w:rsidRPr="00F35404">
        <w:t xml:space="preserve">Study MYL-1402O-3001 </w:t>
      </w:r>
      <w:r w:rsidRPr="00F35404">
        <w:t xml:space="preserve">Incidence of </w:t>
      </w:r>
      <w:r w:rsidR="00E26BE3" w:rsidRPr="00F35404">
        <w:t xml:space="preserve">anti-drug antibodies </w:t>
      </w:r>
      <w:r w:rsidRPr="00F35404">
        <w:t>by visit and treatment (safety set)</w:t>
      </w:r>
    </w:p>
    <w:tbl>
      <w:tblPr>
        <w:tblStyle w:val="TableGrid"/>
        <w:tblW w:w="0" w:type="auto"/>
        <w:tblLook w:val="04A0" w:firstRow="1" w:lastRow="0" w:firstColumn="1" w:lastColumn="0" w:noHBand="0" w:noVBand="1"/>
      </w:tblPr>
      <w:tblGrid>
        <w:gridCol w:w="1030"/>
        <w:gridCol w:w="1688"/>
        <w:gridCol w:w="1436"/>
        <w:gridCol w:w="1452"/>
        <w:gridCol w:w="1436"/>
        <w:gridCol w:w="1452"/>
      </w:tblGrid>
      <w:tr w:rsidR="003B68E0" w:rsidRPr="00F35404" w14:paraId="79A51240" w14:textId="77777777" w:rsidTr="00AD4F5E">
        <w:tc>
          <w:tcPr>
            <w:tcW w:w="1020" w:type="dxa"/>
          </w:tcPr>
          <w:p w14:paraId="230A1816" w14:textId="77777777" w:rsidR="003B68E0" w:rsidRPr="00F35404" w:rsidRDefault="003B68E0" w:rsidP="002F0941">
            <w:pPr>
              <w:pStyle w:val="Tabletext"/>
            </w:pPr>
            <w:r w:rsidRPr="00F35404">
              <w:t>Visit</w:t>
            </w:r>
          </w:p>
        </w:tc>
        <w:tc>
          <w:tcPr>
            <w:tcW w:w="1690" w:type="dxa"/>
          </w:tcPr>
          <w:p w14:paraId="554AC135" w14:textId="77777777" w:rsidR="003B68E0" w:rsidRPr="00F35404" w:rsidRDefault="003B68E0" w:rsidP="002F0941">
            <w:pPr>
              <w:pStyle w:val="Tabletext"/>
            </w:pPr>
            <w:r w:rsidRPr="00F35404">
              <w:t>Results</w:t>
            </w:r>
          </w:p>
        </w:tc>
        <w:tc>
          <w:tcPr>
            <w:tcW w:w="2892" w:type="dxa"/>
            <w:gridSpan w:val="2"/>
          </w:tcPr>
          <w:p w14:paraId="2FE2F774" w14:textId="3D2237D6" w:rsidR="003B68E0" w:rsidRPr="00F35404" w:rsidRDefault="003B68E0" w:rsidP="002F0941">
            <w:pPr>
              <w:pStyle w:val="Tabletext"/>
            </w:pPr>
            <w:r w:rsidRPr="00F35404">
              <w:t>MYL-1402O</w:t>
            </w:r>
          </w:p>
          <w:p w14:paraId="313BF7E1" w14:textId="63ED8DC8" w:rsidR="003B68E0" w:rsidRPr="00F35404" w:rsidRDefault="003B68E0" w:rsidP="002F0941">
            <w:pPr>
              <w:pStyle w:val="Tabletext"/>
            </w:pPr>
            <w:r w:rsidRPr="00F35404">
              <w:t>(N=335)</w:t>
            </w:r>
          </w:p>
          <w:p w14:paraId="64A14B4D" w14:textId="77777777" w:rsidR="003B68E0" w:rsidRPr="00F35404" w:rsidRDefault="003B68E0" w:rsidP="002F0941">
            <w:pPr>
              <w:pStyle w:val="Tabletext"/>
            </w:pPr>
            <w:r w:rsidRPr="00F35404">
              <w:t>n (%)</w:t>
            </w:r>
          </w:p>
        </w:tc>
        <w:tc>
          <w:tcPr>
            <w:tcW w:w="2892" w:type="dxa"/>
            <w:gridSpan w:val="2"/>
          </w:tcPr>
          <w:p w14:paraId="1AD2BDA3" w14:textId="64C4ECF3" w:rsidR="003B68E0" w:rsidRPr="00F35404" w:rsidRDefault="00667F81" w:rsidP="002F0941">
            <w:pPr>
              <w:pStyle w:val="Tabletext"/>
            </w:pPr>
            <w:r w:rsidRPr="00F35404">
              <w:t>Avastin</w:t>
            </w:r>
          </w:p>
          <w:p w14:paraId="21C1E8F0" w14:textId="71C31445" w:rsidR="003B68E0" w:rsidRPr="00F35404" w:rsidRDefault="003B68E0" w:rsidP="002F0941">
            <w:pPr>
              <w:pStyle w:val="Tabletext"/>
            </w:pPr>
            <w:r w:rsidRPr="00F35404">
              <w:t>(N=329)</w:t>
            </w:r>
          </w:p>
          <w:p w14:paraId="2712070C" w14:textId="77777777" w:rsidR="003B68E0" w:rsidRPr="00F35404" w:rsidRDefault="003B68E0" w:rsidP="002F0941">
            <w:pPr>
              <w:pStyle w:val="Tabletext"/>
            </w:pPr>
            <w:r w:rsidRPr="00F35404">
              <w:t>n (%)</w:t>
            </w:r>
          </w:p>
        </w:tc>
      </w:tr>
      <w:tr w:rsidR="003B68E0" w:rsidRPr="00F35404" w14:paraId="43483D41" w14:textId="77777777" w:rsidTr="00AD4F5E">
        <w:tc>
          <w:tcPr>
            <w:tcW w:w="1020" w:type="dxa"/>
          </w:tcPr>
          <w:p w14:paraId="4CBA189C" w14:textId="77777777" w:rsidR="003B68E0" w:rsidRPr="00F35404" w:rsidRDefault="003B68E0" w:rsidP="002F0941">
            <w:pPr>
              <w:pStyle w:val="Tabletext"/>
            </w:pPr>
          </w:p>
        </w:tc>
        <w:tc>
          <w:tcPr>
            <w:tcW w:w="1690" w:type="dxa"/>
          </w:tcPr>
          <w:p w14:paraId="1A4F0027" w14:textId="77777777" w:rsidR="003B68E0" w:rsidRPr="00F35404" w:rsidRDefault="003B68E0" w:rsidP="002F0941">
            <w:pPr>
              <w:pStyle w:val="Tabletext"/>
            </w:pPr>
          </w:p>
        </w:tc>
        <w:tc>
          <w:tcPr>
            <w:tcW w:w="1438" w:type="dxa"/>
          </w:tcPr>
          <w:p w14:paraId="63C585B9" w14:textId="77777777" w:rsidR="003B68E0" w:rsidRPr="00F35404" w:rsidRDefault="003B68E0" w:rsidP="002F0941">
            <w:pPr>
              <w:pStyle w:val="Tabletext"/>
            </w:pPr>
            <w:r w:rsidRPr="00F35404">
              <w:t>ADA</w:t>
            </w:r>
          </w:p>
        </w:tc>
        <w:tc>
          <w:tcPr>
            <w:tcW w:w="1454" w:type="dxa"/>
          </w:tcPr>
          <w:p w14:paraId="2BA7F4D5" w14:textId="77777777" w:rsidR="003B68E0" w:rsidRPr="00F35404" w:rsidRDefault="003B68E0" w:rsidP="002F0941">
            <w:pPr>
              <w:pStyle w:val="Tabletext"/>
            </w:pPr>
            <w:proofErr w:type="spellStart"/>
            <w:r w:rsidRPr="00F35404">
              <w:t>NAb</w:t>
            </w:r>
            <w:proofErr w:type="spellEnd"/>
          </w:p>
        </w:tc>
        <w:tc>
          <w:tcPr>
            <w:tcW w:w="1438" w:type="dxa"/>
          </w:tcPr>
          <w:p w14:paraId="6568550F" w14:textId="77777777" w:rsidR="003B68E0" w:rsidRPr="00F35404" w:rsidRDefault="003B68E0" w:rsidP="002F0941">
            <w:pPr>
              <w:pStyle w:val="Tabletext"/>
            </w:pPr>
            <w:r w:rsidRPr="00F35404">
              <w:t>ADA</w:t>
            </w:r>
          </w:p>
        </w:tc>
        <w:tc>
          <w:tcPr>
            <w:tcW w:w="1454" w:type="dxa"/>
          </w:tcPr>
          <w:p w14:paraId="6E941DCD" w14:textId="77777777" w:rsidR="003B68E0" w:rsidRPr="00F35404" w:rsidRDefault="003B68E0" w:rsidP="002F0941">
            <w:pPr>
              <w:pStyle w:val="Tabletext"/>
            </w:pPr>
            <w:proofErr w:type="spellStart"/>
            <w:r w:rsidRPr="00F35404">
              <w:t>NAb</w:t>
            </w:r>
            <w:proofErr w:type="spellEnd"/>
          </w:p>
        </w:tc>
      </w:tr>
      <w:tr w:rsidR="003B68E0" w:rsidRPr="00F35404" w14:paraId="3E7181D4" w14:textId="77777777" w:rsidTr="00AD4F5E">
        <w:tc>
          <w:tcPr>
            <w:tcW w:w="1020" w:type="dxa"/>
          </w:tcPr>
          <w:p w14:paraId="4562C326" w14:textId="77777777" w:rsidR="003B68E0" w:rsidRPr="00F35404" w:rsidRDefault="003B68E0" w:rsidP="002F0941">
            <w:pPr>
              <w:pStyle w:val="Tabletext"/>
            </w:pPr>
            <w:r w:rsidRPr="00F35404">
              <w:t>Baseline</w:t>
            </w:r>
          </w:p>
        </w:tc>
        <w:tc>
          <w:tcPr>
            <w:tcW w:w="1690" w:type="dxa"/>
          </w:tcPr>
          <w:p w14:paraId="78E56F27" w14:textId="77777777" w:rsidR="003B68E0" w:rsidRPr="00F35404" w:rsidRDefault="003B68E0" w:rsidP="002F0941">
            <w:pPr>
              <w:pStyle w:val="Tabletext"/>
            </w:pPr>
            <w:r w:rsidRPr="00F35404">
              <w:t>Positive</w:t>
            </w:r>
          </w:p>
          <w:p w14:paraId="14E63005" w14:textId="77777777" w:rsidR="003B68E0" w:rsidRPr="00F35404" w:rsidRDefault="003B68E0" w:rsidP="002F0941">
            <w:pPr>
              <w:pStyle w:val="Tabletext"/>
            </w:pPr>
            <w:r w:rsidRPr="00F35404">
              <w:t>Negative</w:t>
            </w:r>
          </w:p>
          <w:p w14:paraId="5DCCE53D" w14:textId="77777777" w:rsidR="003B68E0" w:rsidRPr="00F35404" w:rsidRDefault="003B68E0" w:rsidP="002F0941">
            <w:pPr>
              <w:pStyle w:val="Tabletext"/>
            </w:pPr>
            <w:r w:rsidRPr="00F35404">
              <w:t>Missing</w:t>
            </w:r>
          </w:p>
        </w:tc>
        <w:tc>
          <w:tcPr>
            <w:tcW w:w="1438" w:type="dxa"/>
          </w:tcPr>
          <w:p w14:paraId="1883428F" w14:textId="77777777" w:rsidR="003B68E0" w:rsidRPr="00F35404" w:rsidRDefault="003B68E0" w:rsidP="002F0941">
            <w:pPr>
              <w:pStyle w:val="Tabletext"/>
            </w:pPr>
            <w:r w:rsidRPr="00F35404">
              <w:t>12 (4)</w:t>
            </w:r>
          </w:p>
          <w:p w14:paraId="7E9D22EA" w14:textId="77777777" w:rsidR="003B68E0" w:rsidRPr="00F35404" w:rsidRDefault="003B68E0" w:rsidP="002F0941">
            <w:pPr>
              <w:pStyle w:val="Tabletext"/>
            </w:pPr>
            <w:r w:rsidRPr="00F35404">
              <w:t>318 (96)</w:t>
            </w:r>
          </w:p>
          <w:p w14:paraId="6D516956" w14:textId="77777777" w:rsidR="003B68E0" w:rsidRPr="00F35404" w:rsidRDefault="003B68E0" w:rsidP="002F0941">
            <w:pPr>
              <w:pStyle w:val="Tabletext"/>
            </w:pPr>
            <w:r w:rsidRPr="00F35404">
              <w:t>1</w:t>
            </w:r>
          </w:p>
        </w:tc>
        <w:tc>
          <w:tcPr>
            <w:tcW w:w="1454" w:type="dxa"/>
          </w:tcPr>
          <w:p w14:paraId="6742EBAC" w14:textId="77777777" w:rsidR="003B68E0" w:rsidRPr="00F35404" w:rsidRDefault="003B68E0" w:rsidP="002F0941">
            <w:pPr>
              <w:pStyle w:val="Tabletext"/>
            </w:pPr>
            <w:r w:rsidRPr="00F35404">
              <w:t>2 (0.6)</w:t>
            </w:r>
          </w:p>
          <w:p w14:paraId="0D5800D3" w14:textId="77777777" w:rsidR="003B68E0" w:rsidRPr="00F35404" w:rsidRDefault="003B68E0" w:rsidP="002F0941">
            <w:pPr>
              <w:pStyle w:val="Tabletext"/>
            </w:pPr>
            <w:r w:rsidRPr="00F35404">
              <w:t>328 (99.4)</w:t>
            </w:r>
          </w:p>
          <w:p w14:paraId="0424623E" w14:textId="77777777" w:rsidR="003B68E0" w:rsidRPr="00F35404" w:rsidRDefault="003B68E0" w:rsidP="002F0941">
            <w:pPr>
              <w:pStyle w:val="Tabletext"/>
            </w:pPr>
            <w:r w:rsidRPr="00F35404">
              <w:t>1</w:t>
            </w:r>
          </w:p>
        </w:tc>
        <w:tc>
          <w:tcPr>
            <w:tcW w:w="1438" w:type="dxa"/>
          </w:tcPr>
          <w:p w14:paraId="02D991DC" w14:textId="77777777" w:rsidR="003B68E0" w:rsidRPr="00F35404" w:rsidRDefault="003B68E0" w:rsidP="002F0941">
            <w:pPr>
              <w:pStyle w:val="Tabletext"/>
            </w:pPr>
            <w:r w:rsidRPr="00F35404">
              <w:t>16 (5)</w:t>
            </w:r>
          </w:p>
          <w:p w14:paraId="6FBD5446" w14:textId="77777777" w:rsidR="003B68E0" w:rsidRPr="00F35404" w:rsidRDefault="003B68E0" w:rsidP="002F0941">
            <w:pPr>
              <w:pStyle w:val="Tabletext"/>
            </w:pPr>
            <w:r w:rsidRPr="00F35404">
              <w:t>307 (95)</w:t>
            </w:r>
          </w:p>
          <w:p w14:paraId="4D56F9D7" w14:textId="77777777" w:rsidR="003B68E0" w:rsidRPr="00F35404" w:rsidRDefault="003B68E0" w:rsidP="002F0941">
            <w:pPr>
              <w:pStyle w:val="Tabletext"/>
            </w:pPr>
            <w:r w:rsidRPr="00F35404">
              <w:t>0</w:t>
            </w:r>
          </w:p>
        </w:tc>
        <w:tc>
          <w:tcPr>
            <w:tcW w:w="1454" w:type="dxa"/>
          </w:tcPr>
          <w:p w14:paraId="1CBB99FB" w14:textId="77777777" w:rsidR="003B68E0" w:rsidRPr="00F35404" w:rsidRDefault="003B68E0" w:rsidP="002F0941">
            <w:pPr>
              <w:pStyle w:val="Tabletext"/>
            </w:pPr>
            <w:r w:rsidRPr="00F35404">
              <w:t>4 (1.2)</w:t>
            </w:r>
          </w:p>
          <w:p w14:paraId="640EE2BC" w14:textId="77777777" w:rsidR="003B68E0" w:rsidRPr="00F35404" w:rsidRDefault="003B68E0" w:rsidP="002F0941">
            <w:pPr>
              <w:pStyle w:val="Tabletext"/>
            </w:pPr>
            <w:r w:rsidRPr="00F35404">
              <w:t>319 (98.8)</w:t>
            </w:r>
          </w:p>
          <w:p w14:paraId="2A1D3B1D" w14:textId="77777777" w:rsidR="003B68E0" w:rsidRPr="00F35404" w:rsidRDefault="003B68E0" w:rsidP="002F0941">
            <w:pPr>
              <w:pStyle w:val="Tabletext"/>
            </w:pPr>
            <w:r w:rsidRPr="00F35404">
              <w:t>0</w:t>
            </w:r>
          </w:p>
        </w:tc>
      </w:tr>
      <w:tr w:rsidR="003B68E0" w:rsidRPr="00F35404" w14:paraId="4BD19090" w14:textId="77777777" w:rsidTr="00AD4F5E">
        <w:tc>
          <w:tcPr>
            <w:tcW w:w="1020" w:type="dxa"/>
          </w:tcPr>
          <w:p w14:paraId="759757DC" w14:textId="77777777" w:rsidR="00AD4F5E" w:rsidRPr="00F35404" w:rsidRDefault="003B68E0" w:rsidP="002F0941">
            <w:pPr>
              <w:pStyle w:val="Tabletext"/>
            </w:pPr>
            <w:r w:rsidRPr="00F35404">
              <w:t>Period</w:t>
            </w:r>
            <w:r w:rsidR="00AD4F5E" w:rsidRPr="00F35404">
              <w:t> </w:t>
            </w:r>
            <w:r w:rsidRPr="00F35404">
              <w:t>1/</w:t>
            </w:r>
          </w:p>
          <w:p w14:paraId="238E87FF" w14:textId="3DDD807F" w:rsidR="003B68E0" w:rsidRPr="00F35404" w:rsidRDefault="003B68E0" w:rsidP="002F0941">
            <w:pPr>
              <w:pStyle w:val="Tabletext"/>
            </w:pPr>
            <w:r w:rsidRPr="00F35404">
              <w:t>Week 4</w:t>
            </w:r>
          </w:p>
        </w:tc>
        <w:tc>
          <w:tcPr>
            <w:tcW w:w="1690" w:type="dxa"/>
          </w:tcPr>
          <w:p w14:paraId="2E03FD48" w14:textId="77777777" w:rsidR="003B68E0" w:rsidRPr="00F35404" w:rsidRDefault="003B68E0" w:rsidP="002F0941">
            <w:pPr>
              <w:pStyle w:val="Tabletext"/>
            </w:pPr>
            <w:r w:rsidRPr="00F35404">
              <w:t>Positive</w:t>
            </w:r>
          </w:p>
          <w:p w14:paraId="6A187D1C" w14:textId="77777777" w:rsidR="003B68E0" w:rsidRPr="00F35404" w:rsidRDefault="003B68E0" w:rsidP="002F0941">
            <w:pPr>
              <w:pStyle w:val="Tabletext"/>
            </w:pPr>
            <w:r w:rsidRPr="00F35404">
              <w:t>Negative</w:t>
            </w:r>
          </w:p>
          <w:p w14:paraId="48847FBA" w14:textId="77777777" w:rsidR="003B68E0" w:rsidRPr="00F35404" w:rsidRDefault="003B68E0" w:rsidP="002F0941">
            <w:pPr>
              <w:pStyle w:val="Tabletext"/>
            </w:pPr>
            <w:r w:rsidRPr="00F35404">
              <w:t>Missing</w:t>
            </w:r>
          </w:p>
        </w:tc>
        <w:tc>
          <w:tcPr>
            <w:tcW w:w="1438" w:type="dxa"/>
          </w:tcPr>
          <w:p w14:paraId="1E24D345" w14:textId="77777777" w:rsidR="003B68E0" w:rsidRPr="00F35404" w:rsidRDefault="003B68E0" w:rsidP="002F0941">
            <w:pPr>
              <w:pStyle w:val="Tabletext"/>
            </w:pPr>
            <w:r w:rsidRPr="00F35404">
              <w:t>12 (4)</w:t>
            </w:r>
          </w:p>
          <w:p w14:paraId="05C9C999" w14:textId="77777777" w:rsidR="003B68E0" w:rsidRPr="00F35404" w:rsidRDefault="003B68E0" w:rsidP="002F0941">
            <w:pPr>
              <w:pStyle w:val="Tabletext"/>
            </w:pPr>
            <w:r w:rsidRPr="00F35404">
              <w:t>291 (96)</w:t>
            </w:r>
          </w:p>
          <w:p w14:paraId="2947A9A8" w14:textId="77777777" w:rsidR="003B68E0" w:rsidRPr="00F35404" w:rsidRDefault="003B68E0" w:rsidP="002F0941">
            <w:pPr>
              <w:pStyle w:val="Tabletext"/>
            </w:pPr>
            <w:r w:rsidRPr="00F35404">
              <w:t>1</w:t>
            </w:r>
          </w:p>
        </w:tc>
        <w:tc>
          <w:tcPr>
            <w:tcW w:w="1454" w:type="dxa"/>
          </w:tcPr>
          <w:p w14:paraId="3D4458EA" w14:textId="77777777" w:rsidR="003B68E0" w:rsidRPr="00F35404" w:rsidRDefault="003B68E0" w:rsidP="002F0941">
            <w:pPr>
              <w:pStyle w:val="Tabletext"/>
            </w:pPr>
            <w:r w:rsidRPr="00F35404">
              <w:t>1 (0.3)</w:t>
            </w:r>
          </w:p>
          <w:p w14:paraId="0213DC68" w14:textId="77777777" w:rsidR="003B68E0" w:rsidRPr="00F35404" w:rsidRDefault="003B68E0" w:rsidP="002F0941">
            <w:pPr>
              <w:pStyle w:val="Tabletext"/>
            </w:pPr>
            <w:r w:rsidRPr="00F35404">
              <w:t>302 (99.7)</w:t>
            </w:r>
          </w:p>
          <w:p w14:paraId="4EFB3BA0" w14:textId="77777777" w:rsidR="003B68E0" w:rsidRPr="00F35404" w:rsidRDefault="003B68E0" w:rsidP="002F0941">
            <w:pPr>
              <w:pStyle w:val="Tabletext"/>
            </w:pPr>
            <w:r w:rsidRPr="00F35404">
              <w:t>1</w:t>
            </w:r>
          </w:p>
        </w:tc>
        <w:tc>
          <w:tcPr>
            <w:tcW w:w="1438" w:type="dxa"/>
          </w:tcPr>
          <w:p w14:paraId="172B4BA9" w14:textId="77777777" w:rsidR="003B68E0" w:rsidRPr="00F35404" w:rsidRDefault="003B68E0" w:rsidP="002F0941">
            <w:pPr>
              <w:pStyle w:val="Tabletext"/>
            </w:pPr>
            <w:r w:rsidRPr="00F35404">
              <w:t>11 (4)</w:t>
            </w:r>
          </w:p>
          <w:p w14:paraId="73025767" w14:textId="77777777" w:rsidR="003B68E0" w:rsidRPr="00F35404" w:rsidRDefault="003B68E0" w:rsidP="002F0941">
            <w:pPr>
              <w:pStyle w:val="Tabletext"/>
            </w:pPr>
            <w:r w:rsidRPr="00F35404">
              <w:t>300 (96)</w:t>
            </w:r>
          </w:p>
          <w:p w14:paraId="3BDFEF6C" w14:textId="77777777" w:rsidR="003B68E0" w:rsidRPr="00F35404" w:rsidRDefault="003B68E0" w:rsidP="002F0941">
            <w:pPr>
              <w:pStyle w:val="Tabletext"/>
            </w:pPr>
            <w:r w:rsidRPr="00F35404">
              <w:t>0</w:t>
            </w:r>
          </w:p>
        </w:tc>
        <w:tc>
          <w:tcPr>
            <w:tcW w:w="1454" w:type="dxa"/>
          </w:tcPr>
          <w:p w14:paraId="18F0D662" w14:textId="77777777" w:rsidR="003B68E0" w:rsidRPr="00F35404" w:rsidRDefault="003B68E0" w:rsidP="002F0941">
            <w:pPr>
              <w:pStyle w:val="Tabletext"/>
            </w:pPr>
            <w:r w:rsidRPr="00F35404">
              <w:t>2 (0.6)</w:t>
            </w:r>
          </w:p>
          <w:p w14:paraId="6A5D2067" w14:textId="77777777" w:rsidR="003B68E0" w:rsidRPr="00F35404" w:rsidRDefault="003B68E0" w:rsidP="002F0941">
            <w:pPr>
              <w:pStyle w:val="Tabletext"/>
            </w:pPr>
            <w:r w:rsidRPr="00F35404">
              <w:t>309 (99.4)</w:t>
            </w:r>
          </w:p>
          <w:p w14:paraId="11B0EF1B" w14:textId="77777777" w:rsidR="003B68E0" w:rsidRPr="00F35404" w:rsidRDefault="003B68E0" w:rsidP="002F0941">
            <w:pPr>
              <w:pStyle w:val="Tabletext"/>
            </w:pPr>
            <w:r w:rsidRPr="00F35404">
              <w:t>0</w:t>
            </w:r>
          </w:p>
        </w:tc>
      </w:tr>
      <w:tr w:rsidR="003B68E0" w:rsidRPr="00F35404" w14:paraId="471AD58A" w14:textId="77777777" w:rsidTr="00AD4F5E">
        <w:tc>
          <w:tcPr>
            <w:tcW w:w="1020" w:type="dxa"/>
          </w:tcPr>
          <w:p w14:paraId="416A3500" w14:textId="77777777" w:rsidR="00AD4F5E" w:rsidRPr="00F35404" w:rsidRDefault="003B68E0" w:rsidP="002F0941">
            <w:pPr>
              <w:pStyle w:val="Tabletext"/>
            </w:pPr>
            <w:r w:rsidRPr="00F35404">
              <w:t>Period 1/</w:t>
            </w:r>
          </w:p>
          <w:p w14:paraId="41A3AF2B" w14:textId="4A1276F3" w:rsidR="003B68E0" w:rsidRPr="00F35404" w:rsidRDefault="003B68E0" w:rsidP="002F0941">
            <w:pPr>
              <w:pStyle w:val="Tabletext"/>
            </w:pPr>
            <w:r w:rsidRPr="00F35404">
              <w:t>Week 10</w:t>
            </w:r>
          </w:p>
        </w:tc>
        <w:tc>
          <w:tcPr>
            <w:tcW w:w="1690" w:type="dxa"/>
          </w:tcPr>
          <w:p w14:paraId="3F83C9B5" w14:textId="77777777" w:rsidR="003B68E0" w:rsidRPr="00F35404" w:rsidRDefault="003B68E0" w:rsidP="002F0941">
            <w:pPr>
              <w:pStyle w:val="Tabletext"/>
            </w:pPr>
            <w:r w:rsidRPr="00F35404">
              <w:t>Positive</w:t>
            </w:r>
          </w:p>
          <w:p w14:paraId="3DDDEA5D" w14:textId="77777777" w:rsidR="003B68E0" w:rsidRPr="00F35404" w:rsidRDefault="003B68E0" w:rsidP="002F0941">
            <w:pPr>
              <w:pStyle w:val="Tabletext"/>
            </w:pPr>
            <w:r w:rsidRPr="00F35404">
              <w:t>Negative</w:t>
            </w:r>
          </w:p>
          <w:p w14:paraId="0574C1D0" w14:textId="77777777" w:rsidR="003B68E0" w:rsidRPr="00F35404" w:rsidRDefault="003B68E0" w:rsidP="002F0941">
            <w:pPr>
              <w:pStyle w:val="Tabletext"/>
            </w:pPr>
            <w:r w:rsidRPr="00F35404">
              <w:t>Missing</w:t>
            </w:r>
          </w:p>
        </w:tc>
        <w:tc>
          <w:tcPr>
            <w:tcW w:w="1438" w:type="dxa"/>
          </w:tcPr>
          <w:p w14:paraId="6B3BFBBC" w14:textId="77777777" w:rsidR="003B68E0" w:rsidRPr="00F35404" w:rsidRDefault="003B68E0" w:rsidP="002F0941">
            <w:pPr>
              <w:pStyle w:val="Tabletext"/>
            </w:pPr>
            <w:r w:rsidRPr="00F35404">
              <w:t>10 (4)</w:t>
            </w:r>
          </w:p>
          <w:p w14:paraId="77355DD2" w14:textId="77777777" w:rsidR="003B68E0" w:rsidRPr="00F35404" w:rsidRDefault="003B68E0" w:rsidP="002F0941">
            <w:pPr>
              <w:pStyle w:val="Tabletext"/>
            </w:pPr>
            <w:r w:rsidRPr="00F35404">
              <w:t>243 (96)</w:t>
            </w:r>
          </w:p>
          <w:p w14:paraId="555D2B50" w14:textId="77777777" w:rsidR="003B68E0" w:rsidRPr="00F35404" w:rsidRDefault="003B68E0" w:rsidP="002F0941">
            <w:pPr>
              <w:pStyle w:val="Tabletext"/>
            </w:pPr>
            <w:r w:rsidRPr="00F35404">
              <w:t>0</w:t>
            </w:r>
          </w:p>
        </w:tc>
        <w:tc>
          <w:tcPr>
            <w:tcW w:w="1454" w:type="dxa"/>
          </w:tcPr>
          <w:p w14:paraId="725376CC" w14:textId="77777777" w:rsidR="003B68E0" w:rsidRPr="00F35404" w:rsidRDefault="003B68E0" w:rsidP="002F0941">
            <w:pPr>
              <w:pStyle w:val="Tabletext"/>
            </w:pPr>
            <w:r w:rsidRPr="00F35404">
              <w:t>0</w:t>
            </w:r>
          </w:p>
          <w:p w14:paraId="07016F0B" w14:textId="77777777" w:rsidR="003B68E0" w:rsidRPr="00F35404" w:rsidRDefault="003B68E0" w:rsidP="002F0941">
            <w:pPr>
              <w:pStyle w:val="Tabletext"/>
            </w:pPr>
            <w:r w:rsidRPr="00F35404">
              <w:t>253 (100)</w:t>
            </w:r>
          </w:p>
          <w:p w14:paraId="5D0DA115" w14:textId="77777777" w:rsidR="003B68E0" w:rsidRPr="00F35404" w:rsidRDefault="003B68E0" w:rsidP="002F0941">
            <w:pPr>
              <w:pStyle w:val="Tabletext"/>
            </w:pPr>
            <w:r w:rsidRPr="00F35404">
              <w:t>0</w:t>
            </w:r>
          </w:p>
        </w:tc>
        <w:tc>
          <w:tcPr>
            <w:tcW w:w="1438" w:type="dxa"/>
          </w:tcPr>
          <w:p w14:paraId="6EE98349" w14:textId="77777777" w:rsidR="003B68E0" w:rsidRPr="00F35404" w:rsidRDefault="003B68E0" w:rsidP="002F0941">
            <w:pPr>
              <w:pStyle w:val="Tabletext"/>
            </w:pPr>
            <w:r w:rsidRPr="00F35404">
              <w:t>10 (4)</w:t>
            </w:r>
          </w:p>
          <w:p w14:paraId="0F5E6D80" w14:textId="77777777" w:rsidR="003B68E0" w:rsidRPr="00F35404" w:rsidRDefault="003B68E0" w:rsidP="002F0941">
            <w:pPr>
              <w:pStyle w:val="Tabletext"/>
            </w:pPr>
            <w:r w:rsidRPr="00F35404">
              <w:t>246 (96)</w:t>
            </w:r>
          </w:p>
          <w:p w14:paraId="349B8338" w14:textId="77777777" w:rsidR="003B68E0" w:rsidRPr="00F35404" w:rsidRDefault="003B68E0" w:rsidP="002F0941">
            <w:pPr>
              <w:pStyle w:val="Tabletext"/>
            </w:pPr>
            <w:r w:rsidRPr="00F35404">
              <w:t>1</w:t>
            </w:r>
          </w:p>
        </w:tc>
        <w:tc>
          <w:tcPr>
            <w:tcW w:w="1454" w:type="dxa"/>
          </w:tcPr>
          <w:p w14:paraId="4D05CC44" w14:textId="77777777" w:rsidR="003B68E0" w:rsidRPr="00F35404" w:rsidRDefault="003B68E0" w:rsidP="002F0941">
            <w:pPr>
              <w:pStyle w:val="Tabletext"/>
            </w:pPr>
            <w:r w:rsidRPr="00F35404">
              <w:t>2 (0.8)</w:t>
            </w:r>
          </w:p>
          <w:p w14:paraId="727A2D22" w14:textId="77777777" w:rsidR="003B68E0" w:rsidRPr="00F35404" w:rsidRDefault="003B68E0" w:rsidP="002F0941">
            <w:pPr>
              <w:pStyle w:val="Tabletext"/>
            </w:pPr>
            <w:r w:rsidRPr="00F35404">
              <w:t>254 (99.2)</w:t>
            </w:r>
          </w:p>
          <w:p w14:paraId="542268C9" w14:textId="77777777" w:rsidR="003B68E0" w:rsidRPr="00F35404" w:rsidRDefault="003B68E0" w:rsidP="002F0941">
            <w:pPr>
              <w:pStyle w:val="Tabletext"/>
            </w:pPr>
            <w:r w:rsidRPr="00F35404">
              <w:t>1</w:t>
            </w:r>
          </w:p>
        </w:tc>
      </w:tr>
      <w:tr w:rsidR="003B68E0" w:rsidRPr="00F35404" w14:paraId="3AC6F3FD" w14:textId="77777777" w:rsidTr="00AD4F5E">
        <w:tc>
          <w:tcPr>
            <w:tcW w:w="1020" w:type="dxa"/>
          </w:tcPr>
          <w:p w14:paraId="250BB8E1" w14:textId="77777777" w:rsidR="00AD4F5E" w:rsidRPr="00F35404" w:rsidRDefault="003B68E0" w:rsidP="002F0941">
            <w:pPr>
              <w:pStyle w:val="Tabletext"/>
            </w:pPr>
            <w:r w:rsidRPr="00F35404">
              <w:t>Period 1/</w:t>
            </w:r>
          </w:p>
          <w:p w14:paraId="6B7EE5E6" w14:textId="228009FB" w:rsidR="003B68E0" w:rsidRPr="00F35404" w:rsidRDefault="003B68E0" w:rsidP="002F0941">
            <w:pPr>
              <w:pStyle w:val="Tabletext"/>
            </w:pPr>
            <w:r w:rsidRPr="00F35404">
              <w:t>Week 16</w:t>
            </w:r>
          </w:p>
        </w:tc>
        <w:tc>
          <w:tcPr>
            <w:tcW w:w="1690" w:type="dxa"/>
          </w:tcPr>
          <w:p w14:paraId="7E468F6E" w14:textId="77777777" w:rsidR="003B68E0" w:rsidRPr="00F35404" w:rsidRDefault="003B68E0" w:rsidP="002F0941">
            <w:pPr>
              <w:pStyle w:val="Tabletext"/>
            </w:pPr>
            <w:r w:rsidRPr="00F35404">
              <w:t>Positive</w:t>
            </w:r>
          </w:p>
          <w:p w14:paraId="73F957EF" w14:textId="77777777" w:rsidR="003B68E0" w:rsidRPr="00F35404" w:rsidRDefault="003B68E0" w:rsidP="002F0941">
            <w:pPr>
              <w:pStyle w:val="Tabletext"/>
            </w:pPr>
            <w:r w:rsidRPr="00F35404">
              <w:t>Negative</w:t>
            </w:r>
          </w:p>
          <w:p w14:paraId="3FAF5819" w14:textId="77777777" w:rsidR="003B68E0" w:rsidRPr="00F35404" w:rsidRDefault="003B68E0" w:rsidP="002F0941">
            <w:pPr>
              <w:pStyle w:val="Tabletext"/>
            </w:pPr>
            <w:r w:rsidRPr="00F35404">
              <w:t>Missing</w:t>
            </w:r>
          </w:p>
        </w:tc>
        <w:tc>
          <w:tcPr>
            <w:tcW w:w="1438" w:type="dxa"/>
          </w:tcPr>
          <w:p w14:paraId="44D37CB1" w14:textId="77777777" w:rsidR="003B68E0" w:rsidRPr="00F35404" w:rsidRDefault="003B68E0" w:rsidP="002F0941">
            <w:pPr>
              <w:pStyle w:val="Tabletext"/>
            </w:pPr>
            <w:r w:rsidRPr="00F35404">
              <w:t>3 (1)</w:t>
            </w:r>
          </w:p>
          <w:p w14:paraId="00636254" w14:textId="77777777" w:rsidR="003B68E0" w:rsidRPr="00F35404" w:rsidRDefault="003B68E0" w:rsidP="002F0941">
            <w:pPr>
              <w:pStyle w:val="Tabletext"/>
            </w:pPr>
            <w:r w:rsidRPr="00F35404">
              <w:t>219 (99)</w:t>
            </w:r>
          </w:p>
          <w:p w14:paraId="7FBFE3B0" w14:textId="77777777" w:rsidR="003B68E0" w:rsidRPr="00F35404" w:rsidRDefault="003B68E0" w:rsidP="002F0941">
            <w:pPr>
              <w:pStyle w:val="Tabletext"/>
            </w:pPr>
            <w:r w:rsidRPr="00F35404">
              <w:t>0</w:t>
            </w:r>
          </w:p>
        </w:tc>
        <w:tc>
          <w:tcPr>
            <w:tcW w:w="1454" w:type="dxa"/>
          </w:tcPr>
          <w:p w14:paraId="7F8ED976" w14:textId="77777777" w:rsidR="003B68E0" w:rsidRPr="00F35404" w:rsidRDefault="003B68E0" w:rsidP="002F0941">
            <w:pPr>
              <w:pStyle w:val="Tabletext"/>
            </w:pPr>
            <w:r w:rsidRPr="00F35404">
              <w:t>0</w:t>
            </w:r>
          </w:p>
          <w:p w14:paraId="26397C21" w14:textId="77777777" w:rsidR="003B68E0" w:rsidRPr="00F35404" w:rsidRDefault="003B68E0" w:rsidP="002F0941">
            <w:pPr>
              <w:pStyle w:val="Tabletext"/>
            </w:pPr>
            <w:r w:rsidRPr="00F35404">
              <w:t>222 (100)</w:t>
            </w:r>
          </w:p>
          <w:p w14:paraId="065BC600" w14:textId="77777777" w:rsidR="003B68E0" w:rsidRPr="00F35404" w:rsidRDefault="003B68E0" w:rsidP="002F0941">
            <w:pPr>
              <w:pStyle w:val="Tabletext"/>
            </w:pPr>
            <w:r w:rsidRPr="00F35404">
              <w:t>0</w:t>
            </w:r>
          </w:p>
        </w:tc>
        <w:tc>
          <w:tcPr>
            <w:tcW w:w="1438" w:type="dxa"/>
          </w:tcPr>
          <w:p w14:paraId="09C79078" w14:textId="77777777" w:rsidR="003B68E0" w:rsidRPr="00F35404" w:rsidRDefault="003B68E0" w:rsidP="002F0941">
            <w:pPr>
              <w:pStyle w:val="Tabletext"/>
            </w:pPr>
            <w:r w:rsidRPr="00F35404">
              <w:t>8 (4)</w:t>
            </w:r>
          </w:p>
          <w:p w14:paraId="47FE1459" w14:textId="77777777" w:rsidR="003B68E0" w:rsidRPr="00F35404" w:rsidRDefault="003B68E0" w:rsidP="002F0941">
            <w:pPr>
              <w:pStyle w:val="Tabletext"/>
            </w:pPr>
            <w:r w:rsidRPr="00F35404">
              <w:t>207 (96)</w:t>
            </w:r>
          </w:p>
          <w:p w14:paraId="795F827B" w14:textId="77777777" w:rsidR="003B68E0" w:rsidRPr="00F35404" w:rsidRDefault="003B68E0" w:rsidP="002F0941">
            <w:pPr>
              <w:pStyle w:val="Tabletext"/>
            </w:pPr>
            <w:r w:rsidRPr="00F35404">
              <w:t>0</w:t>
            </w:r>
          </w:p>
        </w:tc>
        <w:tc>
          <w:tcPr>
            <w:tcW w:w="1454" w:type="dxa"/>
          </w:tcPr>
          <w:p w14:paraId="601D94F4" w14:textId="77777777" w:rsidR="003B68E0" w:rsidRPr="00F35404" w:rsidRDefault="003B68E0" w:rsidP="002F0941">
            <w:pPr>
              <w:pStyle w:val="Tabletext"/>
            </w:pPr>
            <w:r w:rsidRPr="00F35404">
              <w:t>4 (1.4)</w:t>
            </w:r>
          </w:p>
          <w:p w14:paraId="69E8409C" w14:textId="77777777" w:rsidR="003B68E0" w:rsidRPr="00F35404" w:rsidRDefault="003B68E0" w:rsidP="002F0941">
            <w:pPr>
              <w:pStyle w:val="Tabletext"/>
            </w:pPr>
            <w:r w:rsidRPr="00F35404">
              <w:t>212 (98.6)</w:t>
            </w:r>
          </w:p>
          <w:p w14:paraId="0E039710" w14:textId="77777777" w:rsidR="003B68E0" w:rsidRPr="00F35404" w:rsidRDefault="003B68E0" w:rsidP="002F0941">
            <w:pPr>
              <w:pStyle w:val="Tabletext"/>
            </w:pPr>
            <w:r w:rsidRPr="00F35404">
              <w:t>0</w:t>
            </w:r>
          </w:p>
        </w:tc>
      </w:tr>
      <w:tr w:rsidR="003B68E0" w:rsidRPr="00F35404" w14:paraId="1074EEEF" w14:textId="77777777" w:rsidTr="00AD4F5E">
        <w:tc>
          <w:tcPr>
            <w:tcW w:w="1020" w:type="dxa"/>
          </w:tcPr>
          <w:p w14:paraId="7D8B0D12" w14:textId="77777777" w:rsidR="003B68E0" w:rsidRPr="00F35404" w:rsidRDefault="003B68E0" w:rsidP="002F0941">
            <w:pPr>
              <w:pStyle w:val="Tabletext"/>
            </w:pPr>
            <w:r w:rsidRPr="00F35404">
              <w:t>End of treatment</w:t>
            </w:r>
          </w:p>
        </w:tc>
        <w:tc>
          <w:tcPr>
            <w:tcW w:w="1690" w:type="dxa"/>
          </w:tcPr>
          <w:p w14:paraId="5A815569" w14:textId="77777777" w:rsidR="003B68E0" w:rsidRPr="00F35404" w:rsidRDefault="003B68E0" w:rsidP="002F0941">
            <w:pPr>
              <w:pStyle w:val="Tabletext"/>
            </w:pPr>
            <w:r w:rsidRPr="00F35404">
              <w:t>Positive</w:t>
            </w:r>
          </w:p>
          <w:p w14:paraId="2EB69050" w14:textId="77777777" w:rsidR="003B68E0" w:rsidRPr="00F35404" w:rsidRDefault="003B68E0" w:rsidP="002F0941">
            <w:pPr>
              <w:pStyle w:val="Tabletext"/>
            </w:pPr>
            <w:r w:rsidRPr="00F35404">
              <w:t>Negative</w:t>
            </w:r>
          </w:p>
          <w:p w14:paraId="2CCB0782" w14:textId="77777777" w:rsidR="003B68E0" w:rsidRPr="00F35404" w:rsidRDefault="003B68E0" w:rsidP="002F0941">
            <w:pPr>
              <w:pStyle w:val="Tabletext"/>
            </w:pPr>
            <w:r w:rsidRPr="00F35404">
              <w:t>Missing</w:t>
            </w:r>
          </w:p>
        </w:tc>
        <w:tc>
          <w:tcPr>
            <w:tcW w:w="1438" w:type="dxa"/>
          </w:tcPr>
          <w:p w14:paraId="03EBD3C8" w14:textId="77777777" w:rsidR="003B68E0" w:rsidRPr="00F35404" w:rsidRDefault="003B68E0" w:rsidP="002F0941">
            <w:pPr>
              <w:pStyle w:val="Tabletext"/>
            </w:pPr>
            <w:r w:rsidRPr="00F35404">
              <w:t>1 (2)</w:t>
            </w:r>
          </w:p>
          <w:p w14:paraId="09285310" w14:textId="77777777" w:rsidR="003B68E0" w:rsidRPr="00F35404" w:rsidRDefault="003B68E0" w:rsidP="002F0941">
            <w:pPr>
              <w:pStyle w:val="Tabletext"/>
            </w:pPr>
            <w:r w:rsidRPr="00F35404">
              <w:t>43 (98)</w:t>
            </w:r>
          </w:p>
          <w:p w14:paraId="6B073127" w14:textId="77777777" w:rsidR="003B68E0" w:rsidRPr="00F35404" w:rsidRDefault="003B68E0" w:rsidP="002F0941">
            <w:pPr>
              <w:pStyle w:val="Tabletext"/>
            </w:pPr>
            <w:r w:rsidRPr="00F35404">
              <w:t>0</w:t>
            </w:r>
          </w:p>
        </w:tc>
        <w:tc>
          <w:tcPr>
            <w:tcW w:w="1454" w:type="dxa"/>
          </w:tcPr>
          <w:p w14:paraId="0DF582AF" w14:textId="77777777" w:rsidR="003B68E0" w:rsidRPr="00F35404" w:rsidRDefault="003B68E0" w:rsidP="002F0941">
            <w:pPr>
              <w:pStyle w:val="Tabletext"/>
            </w:pPr>
            <w:r w:rsidRPr="00F35404">
              <w:t>0</w:t>
            </w:r>
          </w:p>
          <w:p w14:paraId="1EA31B10" w14:textId="77777777" w:rsidR="003B68E0" w:rsidRPr="00F35404" w:rsidRDefault="003B68E0" w:rsidP="002F0941">
            <w:pPr>
              <w:pStyle w:val="Tabletext"/>
            </w:pPr>
            <w:r w:rsidRPr="00F35404">
              <w:t>44 (100)</w:t>
            </w:r>
          </w:p>
          <w:p w14:paraId="72520415" w14:textId="77777777" w:rsidR="003B68E0" w:rsidRPr="00F35404" w:rsidRDefault="003B68E0" w:rsidP="002F0941">
            <w:pPr>
              <w:pStyle w:val="Tabletext"/>
            </w:pPr>
            <w:r w:rsidRPr="00F35404">
              <w:t>0</w:t>
            </w:r>
          </w:p>
        </w:tc>
        <w:tc>
          <w:tcPr>
            <w:tcW w:w="1438" w:type="dxa"/>
          </w:tcPr>
          <w:p w14:paraId="4F73A093" w14:textId="77777777" w:rsidR="003B68E0" w:rsidRPr="00F35404" w:rsidRDefault="003B68E0" w:rsidP="002F0941">
            <w:pPr>
              <w:pStyle w:val="Tabletext"/>
            </w:pPr>
            <w:r w:rsidRPr="00F35404">
              <w:t>1 (2)</w:t>
            </w:r>
          </w:p>
          <w:p w14:paraId="21E4067D" w14:textId="77777777" w:rsidR="003B68E0" w:rsidRPr="00F35404" w:rsidRDefault="003B68E0" w:rsidP="002F0941">
            <w:pPr>
              <w:pStyle w:val="Tabletext"/>
            </w:pPr>
            <w:r w:rsidRPr="00F35404">
              <w:t>46 (98)</w:t>
            </w:r>
          </w:p>
          <w:p w14:paraId="43D9B024" w14:textId="77777777" w:rsidR="003B68E0" w:rsidRPr="00F35404" w:rsidRDefault="003B68E0" w:rsidP="002F0941">
            <w:pPr>
              <w:pStyle w:val="Tabletext"/>
            </w:pPr>
            <w:r w:rsidRPr="00F35404">
              <w:t>0</w:t>
            </w:r>
          </w:p>
        </w:tc>
        <w:tc>
          <w:tcPr>
            <w:tcW w:w="1454" w:type="dxa"/>
          </w:tcPr>
          <w:p w14:paraId="114740E7" w14:textId="77777777" w:rsidR="003B68E0" w:rsidRPr="00F35404" w:rsidRDefault="003B68E0" w:rsidP="002F0941">
            <w:pPr>
              <w:pStyle w:val="Tabletext"/>
            </w:pPr>
            <w:r w:rsidRPr="00F35404">
              <w:t>1 (2.1)</w:t>
            </w:r>
          </w:p>
          <w:p w14:paraId="7591A000" w14:textId="77777777" w:rsidR="003B68E0" w:rsidRPr="00F35404" w:rsidRDefault="003B68E0" w:rsidP="002F0941">
            <w:pPr>
              <w:pStyle w:val="Tabletext"/>
            </w:pPr>
            <w:r w:rsidRPr="00F35404">
              <w:t>46 (97.9)</w:t>
            </w:r>
          </w:p>
          <w:p w14:paraId="6EB42824" w14:textId="77777777" w:rsidR="003B68E0" w:rsidRPr="00F35404" w:rsidRDefault="003B68E0" w:rsidP="002F0941">
            <w:pPr>
              <w:pStyle w:val="Tabletext"/>
            </w:pPr>
            <w:r w:rsidRPr="00F35404">
              <w:t>0</w:t>
            </w:r>
          </w:p>
        </w:tc>
      </w:tr>
      <w:tr w:rsidR="003B68E0" w:rsidRPr="00F35404" w14:paraId="3E2085F3" w14:textId="77777777" w:rsidTr="00AD4F5E">
        <w:tc>
          <w:tcPr>
            <w:tcW w:w="1020" w:type="dxa"/>
          </w:tcPr>
          <w:p w14:paraId="70FEF20E" w14:textId="77777777" w:rsidR="003B68E0" w:rsidRPr="00F35404" w:rsidRDefault="003B68E0" w:rsidP="002F0941">
            <w:pPr>
              <w:pStyle w:val="Tabletext"/>
            </w:pPr>
            <w:r w:rsidRPr="00F35404">
              <w:t>Safety follow-up</w:t>
            </w:r>
          </w:p>
        </w:tc>
        <w:tc>
          <w:tcPr>
            <w:tcW w:w="1690" w:type="dxa"/>
          </w:tcPr>
          <w:p w14:paraId="7F98FBDE" w14:textId="77777777" w:rsidR="003B68E0" w:rsidRPr="00F35404" w:rsidRDefault="003B68E0" w:rsidP="002F0941">
            <w:pPr>
              <w:pStyle w:val="Tabletext"/>
            </w:pPr>
            <w:r w:rsidRPr="00F35404">
              <w:t>Positive</w:t>
            </w:r>
          </w:p>
          <w:p w14:paraId="2B036C5C" w14:textId="77777777" w:rsidR="003B68E0" w:rsidRPr="00F35404" w:rsidRDefault="003B68E0" w:rsidP="002F0941">
            <w:pPr>
              <w:pStyle w:val="Tabletext"/>
            </w:pPr>
            <w:r w:rsidRPr="00F35404">
              <w:t>Negative</w:t>
            </w:r>
          </w:p>
          <w:p w14:paraId="3D60D0E0" w14:textId="77777777" w:rsidR="003B68E0" w:rsidRPr="00F35404" w:rsidRDefault="003B68E0" w:rsidP="002F0941">
            <w:pPr>
              <w:pStyle w:val="Tabletext"/>
            </w:pPr>
            <w:r w:rsidRPr="00F35404">
              <w:t>Missing</w:t>
            </w:r>
          </w:p>
        </w:tc>
        <w:tc>
          <w:tcPr>
            <w:tcW w:w="1438" w:type="dxa"/>
          </w:tcPr>
          <w:p w14:paraId="4639F7D8" w14:textId="77777777" w:rsidR="003B68E0" w:rsidRPr="00F35404" w:rsidRDefault="003B68E0" w:rsidP="002F0941">
            <w:pPr>
              <w:pStyle w:val="Tabletext"/>
            </w:pPr>
            <w:r w:rsidRPr="00F35404">
              <w:t>1 (3)</w:t>
            </w:r>
          </w:p>
          <w:p w14:paraId="38E5E479" w14:textId="77777777" w:rsidR="003B68E0" w:rsidRPr="00F35404" w:rsidRDefault="003B68E0" w:rsidP="002F0941">
            <w:pPr>
              <w:pStyle w:val="Tabletext"/>
            </w:pPr>
            <w:r w:rsidRPr="00F35404">
              <w:t>36 (97)</w:t>
            </w:r>
          </w:p>
          <w:p w14:paraId="667AC8FA" w14:textId="77777777" w:rsidR="003B68E0" w:rsidRPr="00F35404" w:rsidRDefault="003B68E0" w:rsidP="002F0941">
            <w:pPr>
              <w:pStyle w:val="Tabletext"/>
            </w:pPr>
            <w:r w:rsidRPr="00F35404">
              <w:t>0</w:t>
            </w:r>
          </w:p>
        </w:tc>
        <w:tc>
          <w:tcPr>
            <w:tcW w:w="1454" w:type="dxa"/>
          </w:tcPr>
          <w:p w14:paraId="0F7D028E" w14:textId="77777777" w:rsidR="003B68E0" w:rsidRPr="00F35404" w:rsidRDefault="003B68E0" w:rsidP="002F0941">
            <w:pPr>
              <w:pStyle w:val="Tabletext"/>
            </w:pPr>
            <w:r w:rsidRPr="00F35404">
              <w:t>0</w:t>
            </w:r>
          </w:p>
          <w:p w14:paraId="49D7ABFF" w14:textId="77777777" w:rsidR="003B68E0" w:rsidRPr="00F35404" w:rsidRDefault="003B68E0" w:rsidP="002F0941">
            <w:pPr>
              <w:pStyle w:val="Tabletext"/>
            </w:pPr>
            <w:r w:rsidRPr="00F35404">
              <w:t>37 (100)</w:t>
            </w:r>
          </w:p>
          <w:p w14:paraId="71EE2821" w14:textId="77777777" w:rsidR="003B68E0" w:rsidRPr="00F35404" w:rsidRDefault="003B68E0" w:rsidP="002F0941">
            <w:pPr>
              <w:pStyle w:val="Tabletext"/>
            </w:pPr>
            <w:r w:rsidRPr="00F35404">
              <w:t>0</w:t>
            </w:r>
          </w:p>
        </w:tc>
        <w:tc>
          <w:tcPr>
            <w:tcW w:w="1438" w:type="dxa"/>
          </w:tcPr>
          <w:p w14:paraId="588679AA" w14:textId="77777777" w:rsidR="003B68E0" w:rsidRPr="00F35404" w:rsidRDefault="003B68E0" w:rsidP="002F0941">
            <w:pPr>
              <w:pStyle w:val="Tabletext"/>
            </w:pPr>
            <w:r w:rsidRPr="00F35404">
              <w:t>2 (4)</w:t>
            </w:r>
          </w:p>
          <w:p w14:paraId="39F65C61" w14:textId="77777777" w:rsidR="003B68E0" w:rsidRPr="00F35404" w:rsidRDefault="003B68E0" w:rsidP="002F0941">
            <w:pPr>
              <w:pStyle w:val="Tabletext"/>
            </w:pPr>
            <w:r w:rsidRPr="00F35404">
              <w:t>43 (96)</w:t>
            </w:r>
          </w:p>
          <w:p w14:paraId="3B42C51D" w14:textId="77777777" w:rsidR="003B68E0" w:rsidRPr="00F35404" w:rsidRDefault="003B68E0" w:rsidP="002F0941">
            <w:pPr>
              <w:pStyle w:val="Tabletext"/>
            </w:pPr>
            <w:r w:rsidRPr="00F35404">
              <w:t>0</w:t>
            </w:r>
          </w:p>
        </w:tc>
        <w:tc>
          <w:tcPr>
            <w:tcW w:w="1454" w:type="dxa"/>
          </w:tcPr>
          <w:p w14:paraId="0B90B524" w14:textId="77777777" w:rsidR="003B68E0" w:rsidRPr="00F35404" w:rsidRDefault="003B68E0" w:rsidP="002F0941">
            <w:pPr>
              <w:pStyle w:val="Tabletext"/>
            </w:pPr>
            <w:r w:rsidRPr="00F35404">
              <w:t>0</w:t>
            </w:r>
          </w:p>
          <w:p w14:paraId="4981E41E" w14:textId="77777777" w:rsidR="003B68E0" w:rsidRPr="00F35404" w:rsidRDefault="003B68E0" w:rsidP="002F0941">
            <w:pPr>
              <w:pStyle w:val="Tabletext"/>
            </w:pPr>
            <w:r w:rsidRPr="00F35404">
              <w:t>45 (100)</w:t>
            </w:r>
          </w:p>
          <w:p w14:paraId="17193C07" w14:textId="77777777" w:rsidR="003B68E0" w:rsidRPr="00F35404" w:rsidRDefault="003B68E0" w:rsidP="002F0941">
            <w:pPr>
              <w:pStyle w:val="Tabletext"/>
            </w:pPr>
            <w:r w:rsidRPr="00F35404">
              <w:t>0</w:t>
            </w:r>
          </w:p>
        </w:tc>
      </w:tr>
    </w:tbl>
    <w:p w14:paraId="61A8B9C1" w14:textId="0F7032A0" w:rsidR="002F0941" w:rsidRPr="00F35404" w:rsidRDefault="003B68E0" w:rsidP="002F0941">
      <w:pPr>
        <w:pStyle w:val="TableDescription"/>
      </w:pPr>
      <w:r w:rsidRPr="00F35404">
        <w:t>ADA = anti-drug antibodies</w:t>
      </w:r>
      <w:r w:rsidR="00167F94" w:rsidRPr="00F35404">
        <w:t>; MYL</w:t>
      </w:r>
      <w:r w:rsidR="00167F94" w:rsidRPr="00F35404">
        <w:noBreakHyphen/>
        <w:t xml:space="preserve">1402O = </w:t>
      </w:r>
      <w:r w:rsidR="00B6743D">
        <w:t>p</w:t>
      </w:r>
      <w:r w:rsidR="00B6743D" w:rsidRPr="00B6743D">
        <w:t>roduct code for Abevmy formulation intended for marketing in Australia</w:t>
      </w:r>
      <w:r w:rsidR="00167F94" w:rsidRPr="00F35404">
        <w:t xml:space="preserve">; </w:t>
      </w:r>
      <w:r w:rsidRPr="00F35404">
        <w:t>N=number of patients exposed</w:t>
      </w:r>
      <w:r w:rsidR="00167F94" w:rsidRPr="00F35404">
        <w:t>;</w:t>
      </w:r>
      <w:r w:rsidRPr="00F35404">
        <w:t xml:space="preserve"> Nab = neutralising antibodies; Missing = attended the visit but no ADA sample collected.</w:t>
      </w:r>
    </w:p>
    <w:p w14:paraId="2EF225B9" w14:textId="77777777" w:rsidR="002F0941" w:rsidRPr="00F35404" w:rsidRDefault="003B68E0" w:rsidP="002F0941">
      <w:pPr>
        <w:pStyle w:val="TableDescription"/>
      </w:pPr>
      <w:r w:rsidRPr="00F35404">
        <w:t>Percentages are based on number of patients in safety set at corresponding visit.</w:t>
      </w:r>
    </w:p>
    <w:p w14:paraId="132D7F47" w14:textId="7DB9D072" w:rsidR="003B68E0" w:rsidRPr="00F35404" w:rsidRDefault="003B68E0" w:rsidP="002F0941">
      <w:pPr>
        <w:pStyle w:val="TableTitle"/>
      </w:pPr>
      <w:bookmarkStart w:id="61" w:name="_Ref69295613"/>
      <w:r w:rsidRPr="00F35404">
        <w:lastRenderedPageBreak/>
        <w:t xml:space="preserve">Table </w:t>
      </w:r>
      <w:fldSimple w:instr=" SEQ Table \* ARABIC ">
        <w:r w:rsidR="00D0686E">
          <w:rPr>
            <w:noProof/>
          </w:rPr>
          <w:t>8</w:t>
        </w:r>
      </w:fldSimple>
      <w:bookmarkEnd w:id="61"/>
      <w:r w:rsidR="00E26BE3" w:rsidRPr="00F35404">
        <w:t xml:space="preserve">: Study MYL-1402O-3001 </w:t>
      </w:r>
      <w:r w:rsidRPr="00F35404">
        <w:t xml:space="preserve">Overall rates of </w:t>
      </w:r>
      <w:r w:rsidR="00E26BE3" w:rsidRPr="00F35404">
        <w:t xml:space="preserve">anti-drug antibodies </w:t>
      </w:r>
      <w:r w:rsidRPr="00F35404">
        <w:t>(safety set)</w:t>
      </w:r>
    </w:p>
    <w:tbl>
      <w:tblPr>
        <w:tblStyle w:val="TableGrid"/>
        <w:tblW w:w="7650" w:type="dxa"/>
        <w:tblCellMar>
          <w:left w:w="57" w:type="dxa"/>
          <w:right w:w="57" w:type="dxa"/>
        </w:tblCellMar>
        <w:tblLook w:val="04A0" w:firstRow="1" w:lastRow="0" w:firstColumn="1" w:lastColumn="0" w:noHBand="0" w:noVBand="1"/>
      </w:tblPr>
      <w:tblGrid>
        <w:gridCol w:w="2830"/>
        <w:gridCol w:w="851"/>
        <w:gridCol w:w="850"/>
        <w:gridCol w:w="851"/>
        <w:gridCol w:w="709"/>
        <w:gridCol w:w="708"/>
        <w:gridCol w:w="851"/>
      </w:tblGrid>
      <w:tr w:rsidR="003B68E0" w:rsidRPr="00F35404" w14:paraId="68AEF54B" w14:textId="77777777" w:rsidTr="00EC5242">
        <w:tc>
          <w:tcPr>
            <w:tcW w:w="2830" w:type="dxa"/>
          </w:tcPr>
          <w:p w14:paraId="5378885B" w14:textId="77777777" w:rsidR="003B68E0" w:rsidRPr="00F35404" w:rsidRDefault="003B68E0" w:rsidP="002F0941">
            <w:pPr>
              <w:pStyle w:val="Tabletext"/>
            </w:pPr>
            <w:r w:rsidRPr="00F35404">
              <w:t>Visit</w:t>
            </w:r>
          </w:p>
        </w:tc>
        <w:tc>
          <w:tcPr>
            <w:tcW w:w="2552" w:type="dxa"/>
            <w:gridSpan w:val="3"/>
          </w:tcPr>
          <w:p w14:paraId="5213E26D" w14:textId="2B650F18" w:rsidR="003B68E0" w:rsidRPr="00F35404" w:rsidRDefault="003B68E0" w:rsidP="002F0941">
            <w:pPr>
              <w:pStyle w:val="Tabletext"/>
            </w:pPr>
            <w:r w:rsidRPr="00F35404">
              <w:t>MYL-1402O</w:t>
            </w:r>
          </w:p>
          <w:p w14:paraId="5FE2417E" w14:textId="2C1DB6D1" w:rsidR="003B68E0" w:rsidRPr="00F35404" w:rsidRDefault="003B68E0" w:rsidP="002F0941">
            <w:pPr>
              <w:pStyle w:val="Tabletext"/>
            </w:pPr>
            <w:r w:rsidRPr="00F35404">
              <w:t>(N=335)</w:t>
            </w:r>
          </w:p>
        </w:tc>
        <w:tc>
          <w:tcPr>
            <w:tcW w:w="2268" w:type="dxa"/>
            <w:gridSpan w:val="3"/>
          </w:tcPr>
          <w:p w14:paraId="05F76D12" w14:textId="5F00D299" w:rsidR="003B68E0" w:rsidRPr="00F35404" w:rsidRDefault="00667F81" w:rsidP="002F0941">
            <w:pPr>
              <w:pStyle w:val="Tabletext"/>
            </w:pPr>
            <w:r w:rsidRPr="00F35404">
              <w:t>Avastin</w:t>
            </w:r>
          </w:p>
          <w:p w14:paraId="00200D68" w14:textId="3D9C3157" w:rsidR="003B68E0" w:rsidRPr="00F35404" w:rsidRDefault="003B68E0" w:rsidP="002F0941">
            <w:pPr>
              <w:pStyle w:val="Tabletext"/>
            </w:pPr>
            <w:r w:rsidRPr="00F35404">
              <w:t>(N=329)</w:t>
            </w:r>
          </w:p>
        </w:tc>
      </w:tr>
      <w:tr w:rsidR="003B68E0" w:rsidRPr="00F35404" w14:paraId="0DBDB291" w14:textId="77777777" w:rsidTr="00EC5242">
        <w:tc>
          <w:tcPr>
            <w:tcW w:w="2830" w:type="dxa"/>
          </w:tcPr>
          <w:p w14:paraId="1B052607" w14:textId="77777777" w:rsidR="003B68E0" w:rsidRPr="00F35404" w:rsidRDefault="003B68E0" w:rsidP="002F0941">
            <w:pPr>
              <w:pStyle w:val="Tabletext"/>
            </w:pPr>
          </w:p>
        </w:tc>
        <w:tc>
          <w:tcPr>
            <w:tcW w:w="851" w:type="dxa"/>
          </w:tcPr>
          <w:p w14:paraId="2F908BFF" w14:textId="77777777" w:rsidR="003B68E0" w:rsidRPr="00F35404" w:rsidRDefault="003B68E0" w:rsidP="002F0941">
            <w:pPr>
              <w:pStyle w:val="Tabletext"/>
            </w:pPr>
            <w:r w:rsidRPr="00F35404">
              <w:t>n</w:t>
            </w:r>
          </w:p>
        </w:tc>
        <w:tc>
          <w:tcPr>
            <w:tcW w:w="850" w:type="dxa"/>
          </w:tcPr>
          <w:p w14:paraId="57578AFB" w14:textId="6D511CDA" w:rsidR="003B68E0" w:rsidRPr="00F35404" w:rsidRDefault="002A760B" w:rsidP="002F0941">
            <w:pPr>
              <w:pStyle w:val="Tabletext"/>
            </w:pPr>
            <w:r w:rsidRPr="00F35404">
              <w:t>M</w:t>
            </w:r>
          </w:p>
        </w:tc>
        <w:tc>
          <w:tcPr>
            <w:tcW w:w="851" w:type="dxa"/>
          </w:tcPr>
          <w:p w14:paraId="547B94C0" w14:textId="77777777" w:rsidR="003B68E0" w:rsidRPr="00F35404" w:rsidRDefault="003B68E0" w:rsidP="002F0941">
            <w:pPr>
              <w:pStyle w:val="Tabletext"/>
            </w:pPr>
            <w:r w:rsidRPr="00F35404">
              <w:t>n/m, %</w:t>
            </w:r>
          </w:p>
        </w:tc>
        <w:tc>
          <w:tcPr>
            <w:tcW w:w="709" w:type="dxa"/>
          </w:tcPr>
          <w:p w14:paraId="2406743A" w14:textId="77777777" w:rsidR="003B68E0" w:rsidRPr="00F35404" w:rsidRDefault="003B68E0" w:rsidP="002F0941">
            <w:pPr>
              <w:pStyle w:val="Tabletext"/>
            </w:pPr>
            <w:r w:rsidRPr="00F35404">
              <w:t>n</w:t>
            </w:r>
          </w:p>
        </w:tc>
        <w:tc>
          <w:tcPr>
            <w:tcW w:w="708" w:type="dxa"/>
          </w:tcPr>
          <w:p w14:paraId="26A58CD2" w14:textId="77777777" w:rsidR="003B68E0" w:rsidRPr="00F35404" w:rsidRDefault="003B68E0" w:rsidP="002F0941">
            <w:pPr>
              <w:pStyle w:val="Tabletext"/>
            </w:pPr>
            <w:r w:rsidRPr="00F35404">
              <w:t>m</w:t>
            </w:r>
          </w:p>
        </w:tc>
        <w:tc>
          <w:tcPr>
            <w:tcW w:w="851" w:type="dxa"/>
          </w:tcPr>
          <w:p w14:paraId="38180D29" w14:textId="77777777" w:rsidR="003B68E0" w:rsidRPr="00F35404" w:rsidRDefault="003B68E0" w:rsidP="002F0941">
            <w:pPr>
              <w:pStyle w:val="Tabletext"/>
            </w:pPr>
            <w:r w:rsidRPr="00F35404">
              <w:t>n/m, %</w:t>
            </w:r>
          </w:p>
        </w:tc>
      </w:tr>
      <w:tr w:rsidR="003B68E0" w:rsidRPr="00F35404" w14:paraId="65121AE3" w14:textId="77777777" w:rsidTr="00EC5242">
        <w:tc>
          <w:tcPr>
            <w:tcW w:w="2830" w:type="dxa"/>
          </w:tcPr>
          <w:p w14:paraId="417821E4" w14:textId="19C1F29A" w:rsidR="003B68E0" w:rsidRPr="00F35404" w:rsidRDefault="003B68E0" w:rsidP="002F0941">
            <w:pPr>
              <w:pStyle w:val="Tabletext"/>
            </w:pPr>
            <w:r w:rsidRPr="00F35404">
              <w:t>Any post-</w:t>
            </w:r>
            <w:r w:rsidR="004857A7" w:rsidRPr="00F35404">
              <w:t>Baseline</w:t>
            </w:r>
            <w:r w:rsidRPr="00F35404">
              <w:t xml:space="preserve"> positive ADA result</w:t>
            </w:r>
          </w:p>
          <w:p w14:paraId="38B91107" w14:textId="77777777" w:rsidR="003B68E0" w:rsidRPr="00F35404" w:rsidRDefault="003B68E0" w:rsidP="002F0941">
            <w:pPr>
              <w:pStyle w:val="Tabletext"/>
            </w:pPr>
            <w:r w:rsidRPr="00F35404">
              <w:t>Binding ADA</w:t>
            </w:r>
          </w:p>
          <w:p w14:paraId="2ECF1448" w14:textId="77777777" w:rsidR="003B68E0" w:rsidRPr="00F35404" w:rsidRDefault="003B68E0" w:rsidP="002F0941">
            <w:pPr>
              <w:pStyle w:val="Tabletext"/>
            </w:pPr>
            <w:r w:rsidRPr="00F35404">
              <w:t>Neutralising ADA</w:t>
            </w:r>
          </w:p>
        </w:tc>
        <w:tc>
          <w:tcPr>
            <w:tcW w:w="851" w:type="dxa"/>
          </w:tcPr>
          <w:p w14:paraId="5949E6B8" w14:textId="77777777" w:rsidR="003B68E0" w:rsidRPr="00F35404" w:rsidRDefault="003B68E0" w:rsidP="002F0941">
            <w:pPr>
              <w:pStyle w:val="Tabletext"/>
            </w:pPr>
          </w:p>
          <w:p w14:paraId="03251583" w14:textId="77777777" w:rsidR="003B68E0" w:rsidRPr="00F35404" w:rsidRDefault="003B68E0" w:rsidP="002F0941">
            <w:pPr>
              <w:pStyle w:val="Tabletext"/>
            </w:pPr>
            <w:r w:rsidRPr="00F35404">
              <w:t>22</w:t>
            </w:r>
          </w:p>
          <w:p w14:paraId="40B6EEF3" w14:textId="77777777" w:rsidR="003B68E0" w:rsidRPr="00F35404" w:rsidRDefault="003B68E0" w:rsidP="002F0941">
            <w:pPr>
              <w:pStyle w:val="Tabletext"/>
            </w:pPr>
            <w:r w:rsidRPr="00F35404">
              <w:t>1</w:t>
            </w:r>
          </w:p>
        </w:tc>
        <w:tc>
          <w:tcPr>
            <w:tcW w:w="850" w:type="dxa"/>
          </w:tcPr>
          <w:p w14:paraId="44F9A823" w14:textId="77777777" w:rsidR="003B68E0" w:rsidRPr="00F35404" w:rsidRDefault="003B68E0" w:rsidP="002F0941">
            <w:pPr>
              <w:pStyle w:val="Tabletext"/>
            </w:pPr>
          </w:p>
          <w:p w14:paraId="38B4189D" w14:textId="77777777" w:rsidR="003B68E0" w:rsidRPr="00F35404" w:rsidRDefault="003B68E0" w:rsidP="002F0941">
            <w:pPr>
              <w:pStyle w:val="Tabletext"/>
            </w:pPr>
            <w:r w:rsidRPr="00F35404">
              <w:t>310</w:t>
            </w:r>
          </w:p>
          <w:p w14:paraId="702106F7" w14:textId="77777777" w:rsidR="003B68E0" w:rsidRPr="00F35404" w:rsidRDefault="003B68E0" w:rsidP="002F0941">
            <w:pPr>
              <w:pStyle w:val="Tabletext"/>
            </w:pPr>
            <w:r w:rsidRPr="00F35404">
              <w:t>310</w:t>
            </w:r>
          </w:p>
        </w:tc>
        <w:tc>
          <w:tcPr>
            <w:tcW w:w="851" w:type="dxa"/>
          </w:tcPr>
          <w:p w14:paraId="3E1519F5" w14:textId="77777777" w:rsidR="003B68E0" w:rsidRPr="00F35404" w:rsidRDefault="003B68E0" w:rsidP="002F0941">
            <w:pPr>
              <w:pStyle w:val="Tabletext"/>
            </w:pPr>
          </w:p>
          <w:p w14:paraId="4A9198F4" w14:textId="77777777" w:rsidR="003B68E0" w:rsidRPr="00F35404" w:rsidRDefault="003B68E0" w:rsidP="002F0941">
            <w:pPr>
              <w:pStyle w:val="Tabletext"/>
            </w:pPr>
            <w:r w:rsidRPr="00F35404">
              <w:t>7.1</w:t>
            </w:r>
          </w:p>
          <w:p w14:paraId="4EA5B762" w14:textId="77777777" w:rsidR="003B68E0" w:rsidRPr="00F35404" w:rsidRDefault="003B68E0" w:rsidP="002F0941">
            <w:pPr>
              <w:pStyle w:val="Tabletext"/>
            </w:pPr>
            <w:r w:rsidRPr="00F35404">
              <w:t>0.3</w:t>
            </w:r>
          </w:p>
        </w:tc>
        <w:tc>
          <w:tcPr>
            <w:tcW w:w="709" w:type="dxa"/>
          </w:tcPr>
          <w:p w14:paraId="46791646" w14:textId="77777777" w:rsidR="003B68E0" w:rsidRPr="00F35404" w:rsidRDefault="003B68E0" w:rsidP="002F0941">
            <w:pPr>
              <w:pStyle w:val="Tabletext"/>
            </w:pPr>
          </w:p>
          <w:p w14:paraId="2E5855F2" w14:textId="77777777" w:rsidR="003B68E0" w:rsidRPr="00F35404" w:rsidRDefault="003B68E0" w:rsidP="002F0941">
            <w:pPr>
              <w:pStyle w:val="Tabletext"/>
            </w:pPr>
            <w:r w:rsidRPr="00F35404">
              <w:t>21</w:t>
            </w:r>
          </w:p>
          <w:p w14:paraId="0DE5E894" w14:textId="77777777" w:rsidR="003B68E0" w:rsidRPr="00F35404" w:rsidRDefault="003B68E0" w:rsidP="002F0941">
            <w:pPr>
              <w:pStyle w:val="Tabletext"/>
            </w:pPr>
            <w:r w:rsidRPr="00F35404">
              <w:t>8</w:t>
            </w:r>
          </w:p>
        </w:tc>
        <w:tc>
          <w:tcPr>
            <w:tcW w:w="708" w:type="dxa"/>
          </w:tcPr>
          <w:p w14:paraId="48182A11" w14:textId="77777777" w:rsidR="003B68E0" w:rsidRPr="00F35404" w:rsidRDefault="003B68E0" w:rsidP="002F0941">
            <w:pPr>
              <w:pStyle w:val="Tabletext"/>
            </w:pPr>
          </w:p>
          <w:p w14:paraId="62129FC5" w14:textId="77777777" w:rsidR="003B68E0" w:rsidRPr="00F35404" w:rsidRDefault="003B68E0" w:rsidP="002F0941">
            <w:pPr>
              <w:pStyle w:val="Tabletext"/>
            </w:pPr>
            <w:r w:rsidRPr="00F35404">
              <w:t>316</w:t>
            </w:r>
          </w:p>
          <w:p w14:paraId="7F884159" w14:textId="77777777" w:rsidR="003B68E0" w:rsidRPr="00F35404" w:rsidRDefault="003B68E0" w:rsidP="002F0941">
            <w:pPr>
              <w:pStyle w:val="Tabletext"/>
            </w:pPr>
            <w:r w:rsidRPr="00F35404">
              <w:t>316</w:t>
            </w:r>
          </w:p>
        </w:tc>
        <w:tc>
          <w:tcPr>
            <w:tcW w:w="851" w:type="dxa"/>
          </w:tcPr>
          <w:p w14:paraId="293FEC0B" w14:textId="77777777" w:rsidR="003B68E0" w:rsidRPr="00F35404" w:rsidRDefault="003B68E0" w:rsidP="002F0941">
            <w:pPr>
              <w:pStyle w:val="Tabletext"/>
            </w:pPr>
          </w:p>
          <w:p w14:paraId="144F2D74" w14:textId="77777777" w:rsidR="003B68E0" w:rsidRPr="00F35404" w:rsidRDefault="003B68E0" w:rsidP="002F0941">
            <w:pPr>
              <w:pStyle w:val="Tabletext"/>
            </w:pPr>
            <w:r w:rsidRPr="00F35404">
              <w:t>6.6</w:t>
            </w:r>
          </w:p>
          <w:p w14:paraId="3C8F6B3F" w14:textId="77777777" w:rsidR="003B68E0" w:rsidRPr="00F35404" w:rsidRDefault="003B68E0" w:rsidP="002F0941">
            <w:pPr>
              <w:pStyle w:val="Tabletext"/>
            </w:pPr>
            <w:r w:rsidRPr="00F35404">
              <w:t>2.5</w:t>
            </w:r>
          </w:p>
        </w:tc>
      </w:tr>
      <w:tr w:rsidR="003B68E0" w:rsidRPr="00F35404" w14:paraId="745E7CB6" w14:textId="77777777" w:rsidTr="00EC5242">
        <w:tc>
          <w:tcPr>
            <w:tcW w:w="2830" w:type="dxa"/>
          </w:tcPr>
          <w:p w14:paraId="029E6FDA" w14:textId="77777777" w:rsidR="003B68E0" w:rsidRPr="00F35404" w:rsidRDefault="003B68E0" w:rsidP="002F0941">
            <w:pPr>
              <w:pStyle w:val="Tabletext"/>
            </w:pPr>
            <w:r w:rsidRPr="00F35404">
              <w:t>Treatment-induced ADAs</w:t>
            </w:r>
          </w:p>
        </w:tc>
        <w:tc>
          <w:tcPr>
            <w:tcW w:w="851" w:type="dxa"/>
          </w:tcPr>
          <w:p w14:paraId="1335BB91" w14:textId="77777777" w:rsidR="003B68E0" w:rsidRPr="00F35404" w:rsidRDefault="003B68E0" w:rsidP="002F0941">
            <w:pPr>
              <w:pStyle w:val="Tabletext"/>
            </w:pPr>
            <w:r w:rsidRPr="00F35404">
              <w:t>18</w:t>
            </w:r>
          </w:p>
        </w:tc>
        <w:tc>
          <w:tcPr>
            <w:tcW w:w="850" w:type="dxa"/>
          </w:tcPr>
          <w:p w14:paraId="0F695417" w14:textId="77777777" w:rsidR="003B68E0" w:rsidRPr="00F35404" w:rsidRDefault="003B68E0" w:rsidP="002F0941">
            <w:pPr>
              <w:pStyle w:val="Tabletext"/>
            </w:pPr>
            <w:r w:rsidRPr="00F35404">
              <w:t>306</w:t>
            </w:r>
          </w:p>
        </w:tc>
        <w:tc>
          <w:tcPr>
            <w:tcW w:w="851" w:type="dxa"/>
          </w:tcPr>
          <w:p w14:paraId="56CBB97D" w14:textId="77777777" w:rsidR="003B68E0" w:rsidRPr="00F35404" w:rsidRDefault="003B68E0" w:rsidP="002F0941">
            <w:pPr>
              <w:pStyle w:val="Tabletext"/>
            </w:pPr>
            <w:r w:rsidRPr="00F35404">
              <w:t>5.9</w:t>
            </w:r>
          </w:p>
        </w:tc>
        <w:tc>
          <w:tcPr>
            <w:tcW w:w="709" w:type="dxa"/>
          </w:tcPr>
          <w:p w14:paraId="6097E705" w14:textId="77777777" w:rsidR="003B68E0" w:rsidRPr="00F35404" w:rsidRDefault="003B68E0" w:rsidP="002F0941">
            <w:pPr>
              <w:pStyle w:val="Tabletext"/>
            </w:pPr>
            <w:r w:rsidRPr="00F35404">
              <w:t>11</w:t>
            </w:r>
          </w:p>
        </w:tc>
        <w:tc>
          <w:tcPr>
            <w:tcW w:w="708" w:type="dxa"/>
          </w:tcPr>
          <w:p w14:paraId="3E869943" w14:textId="77777777" w:rsidR="003B68E0" w:rsidRPr="00F35404" w:rsidRDefault="003B68E0" w:rsidP="002F0941">
            <w:pPr>
              <w:pStyle w:val="Tabletext"/>
            </w:pPr>
            <w:r w:rsidRPr="00F35404">
              <w:t>309</w:t>
            </w:r>
          </w:p>
        </w:tc>
        <w:tc>
          <w:tcPr>
            <w:tcW w:w="851" w:type="dxa"/>
          </w:tcPr>
          <w:p w14:paraId="4CB26F23" w14:textId="77777777" w:rsidR="003B68E0" w:rsidRPr="00F35404" w:rsidRDefault="003B68E0" w:rsidP="002F0941">
            <w:pPr>
              <w:pStyle w:val="Tabletext"/>
            </w:pPr>
            <w:r w:rsidRPr="00F35404">
              <w:t>3.6</w:t>
            </w:r>
          </w:p>
        </w:tc>
      </w:tr>
      <w:tr w:rsidR="003B68E0" w:rsidRPr="00F35404" w14:paraId="24B88897" w14:textId="77777777" w:rsidTr="00EC5242">
        <w:tc>
          <w:tcPr>
            <w:tcW w:w="2830" w:type="dxa"/>
          </w:tcPr>
          <w:p w14:paraId="67E33AA4" w14:textId="77777777" w:rsidR="003B68E0" w:rsidRPr="00F35404" w:rsidRDefault="003B68E0" w:rsidP="002F0941">
            <w:pPr>
              <w:pStyle w:val="Tabletext"/>
            </w:pPr>
            <w:r w:rsidRPr="00F35404">
              <w:t>Treatment-boosted ADAs</w:t>
            </w:r>
          </w:p>
        </w:tc>
        <w:tc>
          <w:tcPr>
            <w:tcW w:w="851" w:type="dxa"/>
          </w:tcPr>
          <w:p w14:paraId="134D8E68" w14:textId="77777777" w:rsidR="003B68E0" w:rsidRPr="00F35404" w:rsidRDefault="003B68E0" w:rsidP="002F0941">
            <w:pPr>
              <w:pStyle w:val="Tabletext"/>
            </w:pPr>
            <w:r w:rsidRPr="00F35404">
              <w:t>0</w:t>
            </w:r>
          </w:p>
        </w:tc>
        <w:tc>
          <w:tcPr>
            <w:tcW w:w="850" w:type="dxa"/>
          </w:tcPr>
          <w:p w14:paraId="215CE3AE" w14:textId="77777777" w:rsidR="003B68E0" w:rsidRPr="00F35404" w:rsidRDefault="003B68E0" w:rsidP="002F0941">
            <w:pPr>
              <w:pStyle w:val="Tabletext"/>
            </w:pPr>
            <w:r w:rsidRPr="00F35404">
              <w:t>306</w:t>
            </w:r>
          </w:p>
        </w:tc>
        <w:tc>
          <w:tcPr>
            <w:tcW w:w="851" w:type="dxa"/>
          </w:tcPr>
          <w:p w14:paraId="03975106" w14:textId="77777777" w:rsidR="003B68E0" w:rsidRPr="00F35404" w:rsidRDefault="003B68E0" w:rsidP="002F0941">
            <w:pPr>
              <w:pStyle w:val="Tabletext"/>
            </w:pPr>
            <w:r w:rsidRPr="00F35404">
              <w:t>0</w:t>
            </w:r>
          </w:p>
        </w:tc>
        <w:tc>
          <w:tcPr>
            <w:tcW w:w="709" w:type="dxa"/>
          </w:tcPr>
          <w:p w14:paraId="5F0BF93E" w14:textId="77777777" w:rsidR="003B68E0" w:rsidRPr="00F35404" w:rsidRDefault="003B68E0" w:rsidP="002F0941">
            <w:pPr>
              <w:pStyle w:val="Tabletext"/>
            </w:pPr>
            <w:r w:rsidRPr="00F35404">
              <w:t>2</w:t>
            </w:r>
          </w:p>
        </w:tc>
        <w:tc>
          <w:tcPr>
            <w:tcW w:w="708" w:type="dxa"/>
          </w:tcPr>
          <w:p w14:paraId="6965A3DA" w14:textId="77777777" w:rsidR="003B68E0" w:rsidRPr="00F35404" w:rsidRDefault="003B68E0" w:rsidP="002F0941">
            <w:pPr>
              <w:pStyle w:val="Tabletext"/>
            </w:pPr>
            <w:r w:rsidRPr="00F35404">
              <w:t>309</w:t>
            </w:r>
          </w:p>
        </w:tc>
        <w:tc>
          <w:tcPr>
            <w:tcW w:w="851" w:type="dxa"/>
          </w:tcPr>
          <w:p w14:paraId="7B4BC459" w14:textId="77777777" w:rsidR="003B68E0" w:rsidRPr="00F35404" w:rsidRDefault="003B68E0" w:rsidP="002F0941">
            <w:pPr>
              <w:pStyle w:val="Tabletext"/>
            </w:pPr>
            <w:r w:rsidRPr="00F35404">
              <w:t>0.6</w:t>
            </w:r>
          </w:p>
        </w:tc>
      </w:tr>
      <w:tr w:rsidR="003B68E0" w:rsidRPr="00F35404" w14:paraId="53D7818E" w14:textId="77777777" w:rsidTr="00EC5242">
        <w:tc>
          <w:tcPr>
            <w:tcW w:w="2830" w:type="dxa"/>
          </w:tcPr>
          <w:p w14:paraId="565CBEE1" w14:textId="77777777" w:rsidR="003B68E0" w:rsidRPr="00F35404" w:rsidRDefault="003B68E0" w:rsidP="002F0941">
            <w:pPr>
              <w:pStyle w:val="Tabletext"/>
            </w:pPr>
            <w:r w:rsidRPr="00F35404">
              <w:t>Overall incidence (induced plus boosted)</w:t>
            </w:r>
          </w:p>
        </w:tc>
        <w:tc>
          <w:tcPr>
            <w:tcW w:w="851" w:type="dxa"/>
          </w:tcPr>
          <w:p w14:paraId="3F139627" w14:textId="77777777" w:rsidR="003B68E0" w:rsidRPr="00F35404" w:rsidRDefault="003B68E0" w:rsidP="002F0941">
            <w:pPr>
              <w:pStyle w:val="Tabletext"/>
            </w:pPr>
            <w:r w:rsidRPr="00F35404">
              <w:t>18</w:t>
            </w:r>
          </w:p>
        </w:tc>
        <w:tc>
          <w:tcPr>
            <w:tcW w:w="850" w:type="dxa"/>
          </w:tcPr>
          <w:p w14:paraId="6D743CE4" w14:textId="77777777" w:rsidR="003B68E0" w:rsidRPr="00F35404" w:rsidRDefault="003B68E0" w:rsidP="002F0941">
            <w:pPr>
              <w:pStyle w:val="Tabletext"/>
            </w:pPr>
            <w:r w:rsidRPr="00F35404">
              <w:t>306</w:t>
            </w:r>
          </w:p>
        </w:tc>
        <w:tc>
          <w:tcPr>
            <w:tcW w:w="851" w:type="dxa"/>
          </w:tcPr>
          <w:p w14:paraId="1F50F828" w14:textId="77777777" w:rsidR="003B68E0" w:rsidRPr="00F35404" w:rsidRDefault="003B68E0" w:rsidP="002F0941">
            <w:pPr>
              <w:pStyle w:val="Tabletext"/>
            </w:pPr>
            <w:r w:rsidRPr="00F35404">
              <w:t>5.9</w:t>
            </w:r>
          </w:p>
        </w:tc>
        <w:tc>
          <w:tcPr>
            <w:tcW w:w="709" w:type="dxa"/>
          </w:tcPr>
          <w:p w14:paraId="004CDDCB" w14:textId="77777777" w:rsidR="003B68E0" w:rsidRPr="00F35404" w:rsidRDefault="003B68E0" w:rsidP="002F0941">
            <w:pPr>
              <w:pStyle w:val="Tabletext"/>
            </w:pPr>
            <w:r w:rsidRPr="00F35404">
              <w:t>13</w:t>
            </w:r>
          </w:p>
        </w:tc>
        <w:tc>
          <w:tcPr>
            <w:tcW w:w="708" w:type="dxa"/>
          </w:tcPr>
          <w:p w14:paraId="1FE55E42" w14:textId="77777777" w:rsidR="003B68E0" w:rsidRPr="00F35404" w:rsidRDefault="003B68E0" w:rsidP="002F0941">
            <w:pPr>
              <w:pStyle w:val="Tabletext"/>
            </w:pPr>
            <w:r w:rsidRPr="00F35404">
              <w:t>309</w:t>
            </w:r>
          </w:p>
        </w:tc>
        <w:tc>
          <w:tcPr>
            <w:tcW w:w="851" w:type="dxa"/>
          </w:tcPr>
          <w:p w14:paraId="3D5DD595" w14:textId="77777777" w:rsidR="003B68E0" w:rsidRPr="00F35404" w:rsidRDefault="003B68E0" w:rsidP="002F0941">
            <w:pPr>
              <w:pStyle w:val="Tabletext"/>
            </w:pPr>
            <w:r w:rsidRPr="00F35404">
              <w:t>4.2</w:t>
            </w:r>
          </w:p>
        </w:tc>
      </w:tr>
    </w:tbl>
    <w:p w14:paraId="5C0ECA55" w14:textId="2CE94C51" w:rsidR="002F0941" w:rsidRPr="00F35404" w:rsidRDefault="003B68E0" w:rsidP="002F0941">
      <w:pPr>
        <w:pStyle w:val="TableDescription"/>
      </w:pPr>
      <w:r w:rsidRPr="00F35404">
        <w:t>m=number of patients with evaluable ADA results (</w:t>
      </w:r>
      <w:r w:rsidR="004857A7" w:rsidRPr="00F35404">
        <w:t>Baseline</w:t>
      </w:r>
      <w:r w:rsidRPr="00F35404">
        <w:t xml:space="preserve"> and at least one post-</w:t>
      </w:r>
      <w:r w:rsidR="004857A7" w:rsidRPr="00F35404">
        <w:t>Baseline</w:t>
      </w:r>
      <w:r w:rsidRPr="00F35404">
        <w:t>)</w:t>
      </w:r>
      <w:r w:rsidR="00167F94" w:rsidRPr="00F35404">
        <w:t>; MYL</w:t>
      </w:r>
      <w:r w:rsidR="00167F94" w:rsidRPr="00F35404">
        <w:noBreakHyphen/>
        <w:t xml:space="preserve">1402O = </w:t>
      </w:r>
      <w:r w:rsidR="00B6743D">
        <w:t>p</w:t>
      </w:r>
      <w:r w:rsidR="00B6743D" w:rsidRPr="00B6743D">
        <w:t>roduct code for Abevmy formulation intended for marketing in Australia</w:t>
      </w:r>
      <w:r w:rsidR="00167F94" w:rsidRPr="00F35404">
        <w:t>;</w:t>
      </w:r>
      <w:r w:rsidRPr="00F35404">
        <w:t xml:space="preserve"> N=number of patients exposed</w:t>
      </w:r>
      <w:r w:rsidR="00167F94" w:rsidRPr="00F35404">
        <w:t>;</w:t>
      </w:r>
      <w:r w:rsidRPr="00F35404">
        <w:t xml:space="preserve"> n=number of patients with positive ADA results</w:t>
      </w:r>
      <w:r w:rsidR="00167F94" w:rsidRPr="00F35404">
        <w:t>;</w:t>
      </w:r>
      <w:r w:rsidRPr="00F35404">
        <w:t xml:space="preserve"> treatment-induced = no </w:t>
      </w:r>
      <w:r w:rsidR="004857A7" w:rsidRPr="00F35404">
        <w:t>Baseline</w:t>
      </w:r>
      <w:r w:rsidRPr="00F35404">
        <w:t xml:space="preserve"> and any post-</w:t>
      </w:r>
      <w:r w:rsidR="004857A7" w:rsidRPr="00F35404">
        <w:t>Baseline</w:t>
      </w:r>
      <w:r w:rsidR="00167F94" w:rsidRPr="00F35404">
        <w:t>;</w:t>
      </w:r>
      <w:r w:rsidRPr="00F35404">
        <w:t xml:space="preserve"> treatment-boosted = baseline positive and post-</w:t>
      </w:r>
      <w:r w:rsidR="004857A7" w:rsidRPr="00F35404">
        <w:t>Baseline</w:t>
      </w:r>
      <w:r w:rsidRPr="00F35404">
        <w:t xml:space="preserve"> 4-fold higher at any timepoint.</w:t>
      </w:r>
    </w:p>
    <w:p w14:paraId="366CDB2A" w14:textId="316F30A4" w:rsidR="003B68E0" w:rsidRPr="00F35404" w:rsidRDefault="00167F94" w:rsidP="003B68E0">
      <w:pPr>
        <w:pStyle w:val="Heading6"/>
        <w:rPr>
          <w:lang w:eastAsia="ja-JP"/>
        </w:rPr>
      </w:pPr>
      <w:r w:rsidRPr="00F35404">
        <w:rPr>
          <w:lang w:eastAsia="ja-JP"/>
        </w:rPr>
        <w:t>Study</w:t>
      </w:r>
      <w:r w:rsidR="003B68E0" w:rsidRPr="00F35404">
        <w:rPr>
          <w:lang w:eastAsia="ja-JP"/>
        </w:rPr>
        <w:t xml:space="preserve"> BM100-CC-03-1-01</w:t>
      </w:r>
    </w:p>
    <w:p w14:paraId="0920B227" w14:textId="09DB800A" w:rsidR="003B68E0" w:rsidRPr="00F35404" w:rsidRDefault="003B68E0" w:rsidP="002F0941">
      <w:r w:rsidRPr="00F35404">
        <w:t xml:space="preserve">Results of ADA testing in </w:t>
      </w:r>
      <w:r w:rsidR="00167F94" w:rsidRPr="00F35404">
        <w:t xml:space="preserve">Study </w:t>
      </w:r>
      <w:r w:rsidRPr="00F35404">
        <w:t xml:space="preserve">BM100-CC-03-1-01 are summarised in </w:t>
      </w:r>
      <w:r w:rsidRPr="00F35404">
        <w:fldChar w:fldCharType="begin"/>
      </w:r>
      <w:r w:rsidRPr="00F35404">
        <w:instrText xml:space="preserve"> REF _Ref69306700 \h </w:instrText>
      </w:r>
      <w:r w:rsidR="002F0941" w:rsidRPr="00F35404">
        <w:instrText xml:space="preserve"> \* MERGEFORMAT </w:instrText>
      </w:r>
      <w:r w:rsidRPr="00F35404">
        <w:fldChar w:fldCharType="separate"/>
      </w:r>
      <w:r w:rsidR="00D0686E" w:rsidRPr="00F35404">
        <w:t xml:space="preserve">Table </w:t>
      </w:r>
      <w:r w:rsidR="00D0686E">
        <w:t>9</w:t>
      </w:r>
      <w:r w:rsidRPr="00F35404">
        <w:fldChar w:fldCharType="end"/>
      </w:r>
      <w:r w:rsidRPr="00F35404">
        <w:t xml:space="preserve">, below. The incidences of ADA positivity at each timepoint and ADA titres were comparable across treatments. The highest individual post-dose ADA </w:t>
      </w:r>
      <w:r w:rsidR="00167F94" w:rsidRPr="00F35404">
        <w:t>titres</w:t>
      </w:r>
      <w:r w:rsidRPr="00F35404">
        <w:t xml:space="preserve"> obtained in the Bmab-100 and EU</w:t>
      </w:r>
      <w:r w:rsidR="00167F94" w:rsidRPr="00F35404">
        <w:noBreakHyphen/>
      </w:r>
      <w:r w:rsidR="00667F81" w:rsidRPr="00F35404">
        <w:t>Avastin</w:t>
      </w:r>
      <w:r w:rsidRPr="00F35404">
        <w:t xml:space="preserve"> arms were 9.0 </w:t>
      </w:r>
      <w:r w:rsidR="006741A2" w:rsidRPr="00F35404">
        <w:t xml:space="preserve">ng/mL </w:t>
      </w:r>
      <w:r w:rsidRPr="00F35404">
        <w:t xml:space="preserve">and 7.0 </w:t>
      </w:r>
      <w:r w:rsidR="006741A2" w:rsidRPr="00F35404">
        <w:t xml:space="preserve">ng/mL </w:t>
      </w:r>
      <w:r w:rsidRPr="00F35404">
        <w:t>respectively.</w:t>
      </w:r>
    </w:p>
    <w:p w14:paraId="465F381E" w14:textId="380B6CCD" w:rsidR="003B68E0" w:rsidRPr="00F35404" w:rsidRDefault="003B68E0" w:rsidP="002F0941">
      <w:proofErr w:type="gramStart"/>
      <w:r w:rsidRPr="00F35404">
        <w:t>Similarly</w:t>
      </w:r>
      <w:proofErr w:type="gramEnd"/>
      <w:r w:rsidRPr="00F35404">
        <w:t xml:space="preserve"> to </w:t>
      </w:r>
      <w:r w:rsidR="006A3D58" w:rsidRPr="00F35404">
        <w:t xml:space="preserve">Study </w:t>
      </w:r>
      <w:r w:rsidRPr="00F35404">
        <w:t xml:space="preserve">MYL-1402O-1002, the high incidence of ADA positivity in this study is attributed to confounding by endogenous </w:t>
      </w:r>
      <w:r w:rsidR="006A3D58" w:rsidRPr="00F35404">
        <w:t>epidermal growth factor receptor (</w:t>
      </w:r>
      <w:r w:rsidRPr="00F35404">
        <w:t>EGFR</w:t>
      </w:r>
      <w:r w:rsidR="006A3D58" w:rsidRPr="00F35404">
        <w:t>)</w:t>
      </w:r>
      <w:r w:rsidRPr="00F35404">
        <w:t>.</w:t>
      </w:r>
    </w:p>
    <w:p w14:paraId="4DF8A858" w14:textId="77777777" w:rsidR="003B68E0" w:rsidRPr="00F35404" w:rsidRDefault="003B68E0" w:rsidP="002F0941">
      <w:r w:rsidRPr="00F35404">
        <w:t>Neutralising activity was not assessed in this study.</w:t>
      </w:r>
    </w:p>
    <w:p w14:paraId="575F22D1" w14:textId="33D0088D" w:rsidR="003B68E0" w:rsidRPr="00F35404" w:rsidRDefault="003B68E0" w:rsidP="002F0941">
      <w:pPr>
        <w:pStyle w:val="TableTitle"/>
      </w:pPr>
      <w:bookmarkStart w:id="62" w:name="_Ref69306700"/>
      <w:r w:rsidRPr="00F35404">
        <w:t xml:space="preserve">Table </w:t>
      </w:r>
      <w:fldSimple w:instr=" SEQ Table \* ARABIC ">
        <w:r w:rsidR="00D0686E">
          <w:rPr>
            <w:noProof/>
          </w:rPr>
          <w:t>9</w:t>
        </w:r>
      </w:fldSimple>
      <w:bookmarkEnd w:id="62"/>
      <w:r w:rsidR="00E26BE3" w:rsidRPr="00F35404">
        <w:rPr>
          <w:noProof/>
        </w:rPr>
        <w:t xml:space="preserve">: </w:t>
      </w:r>
      <w:r w:rsidR="00E26BE3" w:rsidRPr="00F35404">
        <w:t>Study BM100-CC-03-1-01</w:t>
      </w:r>
      <w:r w:rsidRPr="00F35404">
        <w:t xml:space="preserve"> Overall rates of </w:t>
      </w:r>
      <w:r w:rsidR="00E26BE3" w:rsidRPr="00F35404">
        <w:t xml:space="preserve">anti-drug antibodies </w:t>
      </w:r>
      <w:r w:rsidRPr="00F35404">
        <w:t>(safety set)</w:t>
      </w:r>
    </w:p>
    <w:tbl>
      <w:tblPr>
        <w:tblStyle w:val="TableGrid"/>
        <w:tblW w:w="6799" w:type="dxa"/>
        <w:tblCellMar>
          <w:left w:w="57" w:type="dxa"/>
          <w:right w:w="57" w:type="dxa"/>
        </w:tblCellMar>
        <w:tblLook w:val="04A0" w:firstRow="1" w:lastRow="0" w:firstColumn="1" w:lastColumn="0" w:noHBand="0" w:noVBand="1"/>
      </w:tblPr>
      <w:tblGrid>
        <w:gridCol w:w="1555"/>
        <w:gridCol w:w="850"/>
        <w:gridCol w:w="851"/>
        <w:gridCol w:w="850"/>
        <w:gridCol w:w="851"/>
        <w:gridCol w:w="850"/>
        <w:gridCol w:w="992"/>
      </w:tblGrid>
      <w:tr w:rsidR="003B68E0" w:rsidRPr="00F35404" w14:paraId="4A855886" w14:textId="77777777" w:rsidTr="00EC5242">
        <w:tc>
          <w:tcPr>
            <w:tcW w:w="1555" w:type="dxa"/>
          </w:tcPr>
          <w:p w14:paraId="77C78683" w14:textId="77777777" w:rsidR="003B68E0" w:rsidRPr="00F35404" w:rsidRDefault="003B68E0" w:rsidP="002F0941">
            <w:pPr>
              <w:pStyle w:val="Tabletext"/>
            </w:pPr>
            <w:r w:rsidRPr="00F35404">
              <w:t>Visit</w:t>
            </w:r>
          </w:p>
        </w:tc>
        <w:tc>
          <w:tcPr>
            <w:tcW w:w="2551" w:type="dxa"/>
            <w:gridSpan w:val="3"/>
          </w:tcPr>
          <w:p w14:paraId="3C804095" w14:textId="77777777" w:rsidR="003B68E0" w:rsidRPr="00F35404" w:rsidRDefault="003B68E0" w:rsidP="002F0941">
            <w:pPr>
              <w:pStyle w:val="Tabletext"/>
            </w:pPr>
            <w:r w:rsidRPr="00F35404">
              <w:t>Bmab-100</w:t>
            </w:r>
          </w:p>
          <w:p w14:paraId="1F3A6AAC" w14:textId="42E75F10" w:rsidR="003B68E0" w:rsidRPr="00F35404" w:rsidRDefault="003B68E0" w:rsidP="002F0941">
            <w:pPr>
              <w:pStyle w:val="Tabletext"/>
            </w:pPr>
            <w:r w:rsidRPr="00F35404">
              <w:t>(N=68)</w:t>
            </w:r>
          </w:p>
        </w:tc>
        <w:tc>
          <w:tcPr>
            <w:tcW w:w="2693" w:type="dxa"/>
            <w:gridSpan w:val="3"/>
          </w:tcPr>
          <w:p w14:paraId="1F1B1A75" w14:textId="60D76916" w:rsidR="003B68E0" w:rsidRPr="00F35404" w:rsidRDefault="003B68E0" w:rsidP="002F0941">
            <w:pPr>
              <w:pStyle w:val="Tabletext"/>
            </w:pPr>
            <w:r w:rsidRPr="00F35404">
              <w:t>EU-</w:t>
            </w:r>
            <w:r w:rsidR="00667F81" w:rsidRPr="00F35404">
              <w:t>Avastin</w:t>
            </w:r>
          </w:p>
          <w:p w14:paraId="6DD2C967" w14:textId="4136BC22" w:rsidR="003B68E0" w:rsidRPr="00F35404" w:rsidRDefault="003B68E0" w:rsidP="002F0941">
            <w:pPr>
              <w:pStyle w:val="Tabletext"/>
            </w:pPr>
            <w:r w:rsidRPr="00F35404">
              <w:t>(N=67)</w:t>
            </w:r>
          </w:p>
        </w:tc>
      </w:tr>
      <w:tr w:rsidR="003B68E0" w:rsidRPr="00F35404" w14:paraId="19FF036B" w14:textId="77777777" w:rsidTr="00EC5242">
        <w:tc>
          <w:tcPr>
            <w:tcW w:w="1555" w:type="dxa"/>
          </w:tcPr>
          <w:p w14:paraId="78A1D9ED" w14:textId="77777777" w:rsidR="003B68E0" w:rsidRPr="00F35404" w:rsidRDefault="003B68E0" w:rsidP="002F0941">
            <w:pPr>
              <w:pStyle w:val="Tabletext"/>
            </w:pPr>
          </w:p>
        </w:tc>
        <w:tc>
          <w:tcPr>
            <w:tcW w:w="850" w:type="dxa"/>
          </w:tcPr>
          <w:p w14:paraId="743263B6" w14:textId="77777777" w:rsidR="003B68E0" w:rsidRPr="00F35404" w:rsidRDefault="003B68E0" w:rsidP="002F0941">
            <w:pPr>
              <w:pStyle w:val="Tabletext"/>
            </w:pPr>
            <w:r w:rsidRPr="00F35404">
              <w:t>n</w:t>
            </w:r>
          </w:p>
        </w:tc>
        <w:tc>
          <w:tcPr>
            <w:tcW w:w="851" w:type="dxa"/>
          </w:tcPr>
          <w:p w14:paraId="4C283ED1" w14:textId="77777777" w:rsidR="003B68E0" w:rsidRPr="00F35404" w:rsidRDefault="003B68E0" w:rsidP="002F0941">
            <w:pPr>
              <w:pStyle w:val="Tabletext"/>
            </w:pPr>
            <w:r w:rsidRPr="00F35404">
              <w:t>m</w:t>
            </w:r>
          </w:p>
        </w:tc>
        <w:tc>
          <w:tcPr>
            <w:tcW w:w="850" w:type="dxa"/>
          </w:tcPr>
          <w:p w14:paraId="3EFEC1F3" w14:textId="77777777" w:rsidR="003B68E0" w:rsidRPr="00F35404" w:rsidRDefault="003B68E0" w:rsidP="002F0941">
            <w:pPr>
              <w:pStyle w:val="Tabletext"/>
            </w:pPr>
            <w:r w:rsidRPr="00F35404">
              <w:t>n/m, %</w:t>
            </w:r>
          </w:p>
        </w:tc>
        <w:tc>
          <w:tcPr>
            <w:tcW w:w="851" w:type="dxa"/>
          </w:tcPr>
          <w:p w14:paraId="4E6361F1" w14:textId="5BDD9C52" w:rsidR="003B68E0" w:rsidRPr="00F35404" w:rsidRDefault="002A760B" w:rsidP="002F0941">
            <w:pPr>
              <w:pStyle w:val="Tabletext"/>
            </w:pPr>
            <w:r w:rsidRPr="00F35404">
              <w:t>N</w:t>
            </w:r>
          </w:p>
        </w:tc>
        <w:tc>
          <w:tcPr>
            <w:tcW w:w="850" w:type="dxa"/>
          </w:tcPr>
          <w:p w14:paraId="55B12C26" w14:textId="77777777" w:rsidR="003B68E0" w:rsidRPr="00F35404" w:rsidRDefault="003B68E0" w:rsidP="002F0941">
            <w:pPr>
              <w:pStyle w:val="Tabletext"/>
            </w:pPr>
            <w:r w:rsidRPr="00F35404">
              <w:t>m</w:t>
            </w:r>
          </w:p>
        </w:tc>
        <w:tc>
          <w:tcPr>
            <w:tcW w:w="992" w:type="dxa"/>
          </w:tcPr>
          <w:p w14:paraId="08F7803B" w14:textId="77777777" w:rsidR="003B68E0" w:rsidRPr="00F35404" w:rsidRDefault="003B68E0" w:rsidP="002F0941">
            <w:pPr>
              <w:pStyle w:val="Tabletext"/>
            </w:pPr>
            <w:r w:rsidRPr="00F35404">
              <w:t>n/m, %</w:t>
            </w:r>
          </w:p>
        </w:tc>
      </w:tr>
      <w:tr w:rsidR="003B68E0" w:rsidRPr="00F35404" w14:paraId="765C752C" w14:textId="77777777" w:rsidTr="00EC5242">
        <w:tc>
          <w:tcPr>
            <w:tcW w:w="1555" w:type="dxa"/>
          </w:tcPr>
          <w:p w14:paraId="6732EB3F" w14:textId="77777777" w:rsidR="003B68E0" w:rsidRPr="00F35404" w:rsidRDefault="003B68E0" w:rsidP="002F0941">
            <w:pPr>
              <w:pStyle w:val="Tabletext"/>
            </w:pPr>
            <w:r w:rsidRPr="00F35404">
              <w:t>Baseline</w:t>
            </w:r>
          </w:p>
        </w:tc>
        <w:tc>
          <w:tcPr>
            <w:tcW w:w="850" w:type="dxa"/>
          </w:tcPr>
          <w:p w14:paraId="2777C5C0" w14:textId="77777777" w:rsidR="003B68E0" w:rsidRPr="00F35404" w:rsidRDefault="003B68E0" w:rsidP="002F0941">
            <w:pPr>
              <w:pStyle w:val="Tabletext"/>
            </w:pPr>
            <w:r w:rsidRPr="00F35404">
              <w:t>68</w:t>
            </w:r>
          </w:p>
        </w:tc>
        <w:tc>
          <w:tcPr>
            <w:tcW w:w="851" w:type="dxa"/>
          </w:tcPr>
          <w:p w14:paraId="38EA25E0" w14:textId="77777777" w:rsidR="003B68E0" w:rsidRPr="00F35404" w:rsidRDefault="003B68E0" w:rsidP="002F0941">
            <w:pPr>
              <w:pStyle w:val="Tabletext"/>
            </w:pPr>
            <w:r w:rsidRPr="00F35404">
              <w:t>5</w:t>
            </w:r>
          </w:p>
        </w:tc>
        <w:tc>
          <w:tcPr>
            <w:tcW w:w="850" w:type="dxa"/>
          </w:tcPr>
          <w:p w14:paraId="09BBD506" w14:textId="77777777" w:rsidR="003B68E0" w:rsidRPr="00F35404" w:rsidRDefault="003B68E0" w:rsidP="002F0941">
            <w:pPr>
              <w:pStyle w:val="Tabletext"/>
            </w:pPr>
            <w:r w:rsidRPr="00F35404">
              <w:t>7</w:t>
            </w:r>
          </w:p>
        </w:tc>
        <w:tc>
          <w:tcPr>
            <w:tcW w:w="851" w:type="dxa"/>
          </w:tcPr>
          <w:p w14:paraId="05E80812" w14:textId="77777777" w:rsidR="003B68E0" w:rsidRPr="00F35404" w:rsidRDefault="003B68E0" w:rsidP="002F0941">
            <w:pPr>
              <w:pStyle w:val="Tabletext"/>
            </w:pPr>
            <w:r w:rsidRPr="00F35404">
              <w:t>67</w:t>
            </w:r>
          </w:p>
        </w:tc>
        <w:tc>
          <w:tcPr>
            <w:tcW w:w="850" w:type="dxa"/>
          </w:tcPr>
          <w:p w14:paraId="318A598E" w14:textId="77777777" w:rsidR="003B68E0" w:rsidRPr="00F35404" w:rsidRDefault="003B68E0" w:rsidP="002F0941">
            <w:pPr>
              <w:pStyle w:val="Tabletext"/>
            </w:pPr>
            <w:r w:rsidRPr="00F35404">
              <w:t>2</w:t>
            </w:r>
          </w:p>
        </w:tc>
        <w:tc>
          <w:tcPr>
            <w:tcW w:w="992" w:type="dxa"/>
          </w:tcPr>
          <w:p w14:paraId="239A6D36" w14:textId="77777777" w:rsidR="003B68E0" w:rsidRPr="00F35404" w:rsidRDefault="003B68E0" w:rsidP="002F0941">
            <w:pPr>
              <w:pStyle w:val="Tabletext"/>
            </w:pPr>
            <w:r w:rsidRPr="00F35404">
              <w:t>3</w:t>
            </w:r>
          </w:p>
        </w:tc>
      </w:tr>
      <w:tr w:rsidR="003B68E0" w:rsidRPr="00F35404" w14:paraId="3195ADB0" w14:textId="77777777" w:rsidTr="00EC5242">
        <w:tc>
          <w:tcPr>
            <w:tcW w:w="1555" w:type="dxa"/>
          </w:tcPr>
          <w:p w14:paraId="540820E7" w14:textId="77777777" w:rsidR="003B68E0" w:rsidRPr="00F35404" w:rsidRDefault="003B68E0" w:rsidP="002F0941">
            <w:pPr>
              <w:pStyle w:val="Tabletext"/>
            </w:pPr>
            <w:r w:rsidRPr="00F35404">
              <w:t>Visit 4</w:t>
            </w:r>
          </w:p>
        </w:tc>
        <w:tc>
          <w:tcPr>
            <w:tcW w:w="850" w:type="dxa"/>
          </w:tcPr>
          <w:p w14:paraId="56E32AF0" w14:textId="77777777" w:rsidR="003B68E0" w:rsidRPr="00F35404" w:rsidRDefault="003B68E0" w:rsidP="002F0941">
            <w:pPr>
              <w:pStyle w:val="Tabletext"/>
            </w:pPr>
            <w:r w:rsidRPr="00F35404">
              <w:t>52</w:t>
            </w:r>
          </w:p>
        </w:tc>
        <w:tc>
          <w:tcPr>
            <w:tcW w:w="851" w:type="dxa"/>
          </w:tcPr>
          <w:p w14:paraId="63F31E0A" w14:textId="77777777" w:rsidR="003B68E0" w:rsidRPr="00F35404" w:rsidRDefault="003B68E0" w:rsidP="002F0941">
            <w:pPr>
              <w:pStyle w:val="Tabletext"/>
            </w:pPr>
            <w:r w:rsidRPr="00F35404">
              <w:t>45</w:t>
            </w:r>
          </w:p>
        </w:tc>
        <w:tc>
          <w:tcPr>
            <w:tcW w:w="850" w:type="dxa"/>
          </w:tcPr>
          <w:p w14:paraId="00D45235" w14:textId="77777777" w:rsidR="003B68E0" w:rsidRPr="00F35404" w:rsidRDefault="003B68E0" w:rsidP="002F0941">
            <w:pPr>
              <w:pStyle w:val="Tabletext"/>
            </w:pPr>
            <w:r w:rsidRPr="00F35404">
              <w:t>87</w:t>
            </w:r>
          </w:p>
        </w:tc>
        <w:tc>
          <w:tcPr>
            <w:tcW w:w="851" w:type="dxa"/>
          </w:tcPr>
          <w:p w14:paraId="6C62764C" w14:textId="77777777" w:rsidR="003B68E0" w:rsidRPr="00F35404" w:rsidRDefault="003B68E0" w:rsidP="002F0941">
            <w:pPr>
              <w:pStyle w:val="Tabletext"/>
            </w:pPr>
            <w:r w:rsidRPr="00F35404">
              <w:t>55</w:t>
            </w:r>
          </w:p>
        </w:tc>
        <w:tc>
          <w:tcPr>
            <w:tcW w:w="850" w:type="dxa"/>
          </w:tcPr>
          <w:p w14:paraId="1861208C" w14:textId="77777777" w:rsidR="003B68E0" w:rsidRPr="00F35404" w:rsidRDefault="003B68E0" w:rsidP="002F0941">
            <w:pPr>
              <w:pStyle w:val="Tabletext"/>
            </w:pPr>
            <w:r w:rsidRPr="00F35404">
              <w:t>48</w:t>
            </w:r>
          </w:p>
        </w:tc>
        <w:tc>
          <w:tcPr>
            <w:tcW w:w="992" w:type="dxa"/>
          </w:tcPr>
          <w:p w14:paraId="612A5F44" w14:textId="77777777" w:rsidR="003B68E0" w:rsidRPr="00F35404" w:rsidRDefault="003B68E0" w:rsidP="002F0941">
            <w:pPr>
              <w:pStyle w:val="Tabletext"/>
            </w:pPr>
            <w:r w:rsidRPr="00F35404">
              <w:t>87</w:t>
            </w:r>
          </w:p>
        </w:tc>
      </w:tr>
      <w:tr w:rsidR="003B68E0" w:rsidRPr="00F35404" w14:paraId="2A8BE7DB" w14:textId="77777777" w:rsidTr="00EC5242">
        <w:tc>
          <w:tcPr>
            <w:tcW w:w="1555" w:type="dxa"/>
          </w:tcPr>
          <w:p w14:paraId="563507B0" w14:textId="77777777" w:rsidR="003B68E0" w:rsidRPr="00F35404" w:rsidRDefault="003B68E0" w:rsidP="002F0941">
            <w:pPr>
              <w:pStyle w:val="Tabletext"/>
            </w:pPr>
            <w:r w:rsidRPr="00F35404">
              <w:t>End of study</w:t>
            </w:r>
          </w:p>
        </w:tc>
        <w:tc>
          <w:tcPr>
            <w:tcW w:w="850" w:type="dxa"/>
          </w:tcPr>
          <w:p w14:paraId="4B74C11B" w14:textId="77777777" w:rsidR="003B68E0" w:rsidRPr="00F35404" w:rsidRDefault="003B68E0" w:rsidP="002F0941">
            <w:pPr>
              <w:pStyle w:val="Tabletext"/>
            </w:pPr>
            <w:r w:rsidRPr="00F35404">
              <w:t>51</w:t>
            </w:r>
          </w:p>
        </w:tc>
        <w:tc>
          <w:tcPr>
            <w:tcW w:w="851" w:type="dxa"/>
          </w:tcPr>
          <w:p w14:paraId="5920FE4D" w14:textId="77777777" w:rsidR="003B68E0" w:rsidRPr="00F35404" w:rsidRDefault="003B68E0" w:rsidP="002F0941">
            <w:pPr>
              <w:pStyle w:val="Tabletext"/>
            </w:pPr>
            <w:r w:rsidRPr="00F35404">
              <w:t>46</w:t>
            </w:r>
          </w:p>
        </w:tc>
        <w:tc>
          <w:tcPr>
            <w:tcW w:w="850" w:type="dxa"/>
          </w:tcPr>
          <w:p w14:paraId="61C8B37A" w14:textId="77777777" w:rsidR="003B68E0" w:rsidRPr="00F35404" w:rsidRDefault="003B68E0" w:rsidP="002F0941">
            <w:pPr>
              <w:pStyle w:val="Tabletext"/>
            </w:pPr>
            <w:r w:rsidRPr="00F35404">
              <w:t>90</w:t>
            </w:r>
          </w:p>
        </w:tc>
        <w:tc>
          <w:tcPr>
            <w:tcW w:w="851" w:type="dxa"/>
          </w:tcPr>
          <w:p w14:paraId="6B9A318D" w14:textId="77777777" w:rsidR="003B68E0" w:rsidRPr="00F35404" w:rsidRDefault="003B68E0" w:rsidP="002F0941">
            <w:pPr>
              <w:pStyle w:val="Tabletext"/>
            </w:pPr>
            <w:r w:rsidRPr="00F35404">
              <w:t>52</w:t>
            </w:r>
          </w:p>
        </w:tc>
        <w:tc>
          <w:tcPr>
            <w:tcW w:w="850" w:type="dxa"/>
          </w:tcPr>
          <w:p w14:paraId="156BCD16" w14:textId="77777777" w:rsidR="003B68E0" w:rsidRPr="00F35404" w:rsidRDefault="003B68E0" w:rsidP="002F0941">
            <w:pPr>
              <w:pStyle w:val="Tabletext"/>
            </w:pPr>
            <w:r w:rsidRPr="00F35404">
              <w:t>47</w:t>
            </w:r>
          </w:p>
        </w:tc>
        <w:tc>
          <w:tcPr>
            <w:tcW w:w="992" w:type="dxa"/>
          </w:tcPr>
          <w:p w14:paraId="63A776F8" w14:textId="77777777" w:rsidR="003B68E0" w:rsidRPr="00F35404" w:rsidRDefault="003B68E0" w:rsidP="002F0941">
            <w:pPr>
              <w:pStyle w:val="Tabletext"/>
            </w:pPr>
            <w:r w:rsidRPr="00F35404">
              <w:t>90</w:t>
            </w:r>
          </w:p>
        </w:tc>
      </w:tr>
    </w:tbl>
    <w:p w14:paraId="16B00647" w14:textId="49788170" w:rsidR="002F0941" w:rsidRPr="00F35404" w:rsidRDefault="00167F94" w:rsidP="002F0941">
      <w:pPr>
        <w:pStyle w:val="TableDescription"/>
      </w:pPr>
      <w:r w:rsidRPr="00F35404">
        <w:t xml:space="preserve">Bmab-100 = </w:t>
      </w:r>
      <w:r w:rsidR="005843A8">
        <w:t>p</w:t>
      </w:r>
      <w:r w:rsidR="005843A8" w:rsidRPr="005843A8">
        <w:t>roduct code for an earlier and alternative formulation of a related bevacizumab biosimilar</w:t>
      </w:r>
      <w:r w:rsidRPr="00F35404">
        <w:t xml:space="preserve">; EU-Avastin = Avastin sourced from the European Union; </w:t>
      </w:r>
      <w:r w:rsidR="00B402E6" w:rsidRPr="00F35404">
        <w:t>m</w:t>
      </w:r>
      <w:r w:rsidRPr="00F35404">
        <w:t xml:space="preserve">=number of patients with positive </w:t>
      </w:r>
      <w:r w:rsidR="00B402E6" w:rsidRPr="00F35404">
        <w:t xml:space="preserve">anti-drug antibody </w:t>
      </w:r>
      <w:r w:rsidRPr="00F35404">
        <w:t xml:space="preserve">results; </w:t>
      </w:r>
      <w:r w:rsidR="00B402E6" w:rsidRPr="00F35404">
        <w:t xml:space="preserve">N=number of patients exposed; </w:t>
      </w:r>
      <w:r w:rsidR="003B68E0" w:rsidRPr="00F35404">
        <w:t xml:space="preserve">n=number of patients with evaluable </w:t>
      </w:r>
      <w:r w:rsidR="00B402E6" w:rsidRPr="00F35404">
        <w:t xml:space="preserve">anti-drug antibody </w:t>
      </w:r>
      <w:r w:rsidR="003B68E0" w:rsidRPr="00F35404">
        <w:t>results (</w:t>
      </w:r>
      <w:r w:rsidR="004857A7" w:rsidRPr="00F35404">
        <w:t>Baseline</w:t>
      </w:r>
      <w:r w:rsidR="003B68E0" w:rsidRPr="00F35404">
        <w:t xml:space="preserve"> and at least one post-</w:t>
      </w:r>
      <w:r w:rsidR="004857A7" w:rsidRPr="00F35404">
        <w:t>Baseline</w:t>
      </w:r>
      <w:r w:rsidR="003B68E0" w:rsidRPr="00F35404">
        <w:t>).</w:t>
      </w:r>
    </w:p>
    <w:p w14:paraId="478211E3" w14:textId="77777777" w:rsidR="003B68E0" w:rsidRPr="00F35404" w:rsidRDefault="003B68E0" w:rsidP="003B68E0">
      <w:pPr>
        <w:pStyle w:val="Heading5"/>
      </w:pPr>
      <w:r w:rsidRPr="00F35404">
        <w:lastRenderedPageBreak/>
        <w:t>Efficacy</w:t>
      </w:r>
    </w:p>
    <w:p w14:paraId="63F51D49" w14:textId="3BEB0BB1" w:rsidR="003B68E0" w:rsidRPr="00F35404" w:rsidRDefault="00B402E6" w:rsidP="003B68E0">
      <w:pPr>
        <w:pStyle w:val="Heading6"/>
        <w:rPr>
          <w:lang w:eastAsia="ja-JP"/>
        </w:rPr>
      </w:pPr>
      <w:bookmarkStart w:id="63" w:name="_Ref69482620"/>
      <w:r w:rsidRPr="00F35404">
        <w:rPr>
          <w:lang w:eastAsia="ja-JP"/>
        </w:rPr>
        <w:t xml:space="preserve">Study </w:t>
      </w:r>
      <w:r w:rsidR="003B68E0" w:rsidRPr="00F35404">
        <w:rPr>
          <w:lang w:eastAsia="ja-JP"/>
        </w:rPr>
        <w:t>MYL-1402O-3001</w:t>
      </w:r>
      <w:bookmarkEnd w:id="63"/>
    </w:p>
    <w:p w14:paraId="4D7161F8" w14:textId="4EC80DF5" w:rsidR="003B68E0" w:rsidRPr="00F35404" w:rsidRDefault="003B68E0" w:rsidP="002F0941">
      <w:r w:rsidRPr="00F35404">
        <w:t xml:space="preserve">The primary endpoint in </w:t>
      </w:r>
      <w:r w:rsidR="00B402E6" w:rsidRPr="00F35404">
        <w:t xml:space="preserve">Study </w:t>
      </w:r>
      <w:r w:rsidRPr="00F35404">
        <w:t xml:space="preserve">MYL-1402O-3001 was the objective response rate (ORR) of MYL-1402O </w:t>
      </w:r>
      <w:r w:rsidR="000E77B0">
        <w:t>(</w:t>
      </w:r>
      <w:r w:rsidR="000E77B0" w:rsidRPr="00F35404">
        <w:t>Abevmy</w:t>
      </w:r>
      <w:r w:rsidR="000E77B0">
        <w:t xml:space="preserve">) </w:t>
      </w:r>
      <w:r w:rsidRPr="00F35404">
        <w:t>compared to EU-</w:t>
      </w:r>
      <w:r w:rsidR="00667F81" w:rsidRPr="00F35404">
        <w:t>Avastin</w:t>
      </w:r>
      <w:r w:rsidRPr="00F35404">
        <w:t xml:space="preserve"> in the first line treatment of </w:t>
      </w:r>
      <w:r w:rsidR="000E77B0">
        <w:t>non</w:t>
      </w:r>
      <w:r w:rsidR="000E77B0">
        <w:noBreakHyphen/>
        <w:t xml:space="preserve">squamous </w:t>
      </w:r>
      <w:r w:rsidRPr="00F35404">
        <w:t>NSCLC during the first 18 weeks of treatment, in combination with carboplatin and paclitaxel. After the first 18</w:t>
      </w:r>
      <w:r w:rsidR="00B402E6" w:rsidRPr="00F35404">
        <w:t> </w:t>
      </w:r>
      <w:r w:rsidRPr="00F35404">
        <w:t>weeks, bevacizumab was continued as monotherapy (in patients without disease progression) for a total of 42 weeks.</w:t>
      </w:r>
    </w:p>
    <w:p w14:paraId="11C848E1" w14:textId="3016137D" w:rsidR="003B68E0" w:rsidRPr="00F35404" w:rsidRDefault="003B68E0" w:rsidP="002F0941">
      <w:r w:rsidRPr="00F35404">
        <w:t>Secondary efficacy endpoints were not formally tested or alpha controlled, and included disease control rate (DCR), duration of response (DOR), PFS, and OS.</w:t>
      </w:r>
    </w:p>
    <w:p w14:paraId="4BA094CA" w14:textId="77777777" w:rsidR="003B68E0" w:rsidRPr="00F35404" w:rsidRDefault="003B68E0" w:rsidP="00CB4893">
      <w:r w:rsidRPr="00F35404">
        <w:t>The sample size was calculated based on an assumed ORR of 41.6% in both arms, with a pre-specified equivalence margin of +/- 15% based on a fixed effect meta-analysis of five published studies. The primary endpoint was tested using two different statistical approaches (due to differences in the EMA and FDA requirements for equivalence testing).</w:t>
      </w:r>
    </w:p>
    <w:p w14:paraId="6A78D3EF" w14:textId="168CA066" w:rsidR="003B68E0" w:rsidRPr="00F35404" w:rsidRDefault="003B68E0" w:rsidP="002F0941">
      <w:pPr>
        <w:rPr>
          <w:lang w:eastAsia="ja-JP"/>
        </w:rPr>
      </w:pPr>
      <w:r w:rsidRPr="00F35404">
        <w:t xml:space="preserve">The main results of </w:t>
      </w:r>
      <w:r w:rsidR="00B402E6" w:rsidRPr="00F35404">
        <w:t xml:space="preserve">Study </w:t>
      </w:r>
      <w:r w:rsidRPr="00F35404">
        <w:t xml:space="preserve">MYL-1402O-3001 are summarised in </w:t>
      </w:r>
      <w:r w:rsidRPr="00F35404">
        <w:fldChar w:fldCharType="begin"/>
      </w:r>
      <w:r w:rsidRPr="00F35404">
        <w:instrText xml:space="preserve"> REF _Ref69483188 \h </w:instrText>
      </w:r>
      <w:r w:rsidR="002F0941" w:rsidRPr="00F35404">
        <w:instrText xml:space="preserve"> \* MERGEFORMAT </w:instrText>
      </w:r>
      <w:r w:rsidRPr="00F35404">
        <w:fldChar w:fldCharType="separate"/>
      </w:r>
      <w:r w:rsidR="00D0686E" w:rsidRPr="00F35404">
        <w:t xml:space="preserve">Table </w:t>
      </w:r>
      <w:r w:rsidR="00D0686E">
        <w:t>10</w:t>
      </w:r>
      <w:r w:rsidRPr="00F35404">
        <w:fldChar w:fldCharType="end"/>
      </w:r>
      <w:r w:rsidRPr="00F35404">
        <w:rPr>
          <w:lang w:eastAsia="ja-JP"/>
        </w:rPr>
        <w:t>.</w:t>
      </w:r>
    </w:p>
    <w:p w14:paraId="38676DC3" w14:textId="064550A7" w:rsidR="003B68E0" w:rsidRPr="00F35404" w:rsidRDefault="003B68E0" w:rsidP="002F0941">
      <w:pPr>
        <w:pStyle w:val="TableTitle"/>
      </w:pPr>
      <w:bookmarkStart w:id="64" w:name="_Ref69483188"/>
      <w:r w:rsidRPr="00F35404">
        <w:t xml:space="preserve">Table </w:t>
      </w:r>
      <w:fldSimple w:instr=" SEQ Table \* ARABIC ">
        <w:r w:rsidR="00D0686E">
          <w:rPr>
            <w:noProof/>
          </w:rPr>
          <w:t>10</w:t>
        </w:r>
      </w:fldSimple>
      <w:bookmarkEnd w:id="64"/>
      <w:r w:rsidR="00E26BE3" w:rsidRPr="00F35404">
        <w:t>: S</w:t>
      </w:r>
      <w:r w:rsidR="00E26BE3" w:rsidRPr="00F35404">
        <w:rPr>
          <w:lang w:eastAsia="ja-JP"/>
        </w:rPr>
        <w:t xml:space="preserve">tudy MYL-1402O-3001 </w:t>
      </w:r>
      <w:r w:rsidRPr="00F35404">
        <w:t xml:space="preserve">Results </w:t>
      </w:r>
      <w:r w:rsidRPr="00F35404">
        <w:rPr>
          <w:lang w:eastAsia="ja-JP"/>
        </w:rPr>
        <w:t xml:space="preserve">for Week 18 </w:t>
      </w:r>
      <w:r w:rsidR="00B402E6" w:rsidRPr="00F35404">
        <w:rPr>
          <w:lang w:eastAsia="ja-JP"/>
        </w:rPr>
        <w:t>objective response rate</w:t>
      </w:r>
      <w:r w:rsidRPr="00F35404">
        <w:rPr>
          <w:lang w:eastAsia="ja-JP"/>
        </w:rPr>
        <w:t xml:space="preserve"> (</w:t>
      </w:r>
      <w:r w:rsidR="00B402E6" w:rsidRPr="00F35404">
        <w:rPr>
          <w:lang w:eastAsia="ja-JP"/>
        </w:rPr>
        <w:t xml:space="preserve">intent-to-treat </w:t>
      </w:r>
      <w:r w:rsidRPr="00F35404">
        <w:rPr>
          <w:lang w:eastAsia="ja-JP"/>
        </w:rPr>
        <w:t>set)</w:t>
      </w:r>
      <w:r w:rsidR="006A3D58" w:rsidRPr="00F35404">
        <w:rPr>
          <w:vertAlign w:val="superscript"/>
          <w:lang w:eastAsia="ja-JP"/>
        </w:rPr>
        <w:fldChar w:fldCharType="begin"/>
      </w:r>
      <w:r w:rsidR="006A3D58" w:rsidRPr="00F35404">
        <w:rPr>
          <w:vertAlign w:val="superscript"/>
          <w:lang w:eastAsia="ja-JP"/>
        </w:rPr>
        <w:instrText xml:space="preserve"> NOTEREF _Ref90386246 \h  \* MERGEFORMAT </w:instrText>
      </w:r>
      <w:r w:rsidR="006A3D58" w:rsidRPr="00F35404">
        <w:rPr>
          <w:vertAlign w:val="superscript"/>
          <w:lang w:eastAsia="ja-JP"/>
        </w:rPr>
      </w:r>
      <w:r w:rsidR="006A3D58" w:rsidRPr="00F35404">
        <w:rPr>
          <w:vertAlign w:val="superscript"/>
          <w:lang w:eastAsia="ja-JP"/>
        </w:rPr>
        <w:fldChar w:fldCharType="separate"/>
      </w:r>
      <w:r w:rsidR="00D0686E">
        <w:rPr>
          <w:vertAlign w:val="superscript"/>
          <w:lang w:eastAsia="ja-JP"/>
        </w:rPr>
        <w:t>7</w:t>
      </w:r>
      <w:r w:rsidR="006A3D58" w:rsidRPr="00F35404">
        <w:rPr>
          <w:vertAlign w:val="superscript"/>
          <w:lang w:eastAsia="ja-JP"/>
        </w:rPr>
        <w:fldChar w:fldCharType="end"/>
      </w:r>
    </w:p>
    <w:tbl>
      <w:tblPr>
        <w:tblStyle w:val="TableGrid"/>
        <w:tblW w:w="7366" w:type="dxa"/>
        <w:tblCellMar>
          <w:left w:w="57" w:type="dxa"/>
          <w:right w:w="57" w:type="dxa"/>
        </w:tblCellMar>
        <w:tblLook w:val="04A0" w:firstRow="1" w:lastRow="0" w:firstColumn="1" w:lastColumn="0" w:noHBand="0" w:noVBand="1"/>
      </w:tblPr>
      <w:tblGrid>
        <w:gridCol w:w="2830"/>
        <w:gridCol w:w="1985"/>
        <w:gridCol w:w="2551"/>
      </w:tblGrid>
      <w:tr w:rsidR="003B68E0" w:rsidRPr="00F35404" w14:paraId="50FB9BD8" w14:textId="77777777" w:rsidTr="00EC5242">
        <w:trPr>
          <w:trHeight w:val="227"/>
        </w:trPr>
        <w:tc>
          <w:tcPr>
            <w:tcW w:w="2830" w:type="dxa"/>
          </w:tcPr>
          <w:p w14:paraId="72EAA7EE" w14:textId="77777777" w:rsidR="003B68E0" w:rsidRPr="00F35404" w:rsidRDefault="003B68E0" w:rsidP="002F0941">
            <w:pPr>
              <w:pStyle w:val="Tabletext"/>
            </w:pPr>
          </w:p>
        </w:tc>
        <w:tc>
          <w:tcPr>
            <w:tcW w:w="1985" w:type="dxa"/>
          </w:tcPr>
          <w:p w14:paraId="2F394A5A" w14:textId="77777777" w:rsidR="003B68E0" w:rsidRPr="00F35404" w:rsidRDefault="003B68E0" w:rsidP="002F0941">
            <w:pPr>
              <w:pStyle w:val="Tabletext"/>
            </w:pPr>
            <w:r w:rsidRPr="00F35404">
              <w:t>MYL-1402O</w:t>
            </w:r>
          </w:p>
          <w:p w14:paraId="43E61FF5" w14:textId="09073F60" w:rsidR="003B68E0" w:rsidRPr="00F35404" w:rsidRDefault="003B68E0" w:rsidP="002F0941">
            <w:pPr>
              <w:pStyle w:val="Tabletext"/>
            </w:pPr>
            <w:r w:rsidRPr="00F35404">
              <w:t>(N=337)</w:t>
            </w:r>
          </w:p>
        </w:tc>
        <w:tc>
          <w:tcPr>
            <w:tcW w:w="2551" w:type="dxa"/>
          </w:tcPr>
          <w:p w14:paraId="6E64DBDC" w14:textId="7B33B081" w:rsidR="003B68E0" w:rsidRPr="00F35404" w:rsidRDefault="003B68E0" w:rsidP="002F0941">
            <w:pPr>
              <w:pStyle w:val="Tabletext"/>
            </w:pPr>
            <w:r w:rsidRPr="00F35404">
              <w:t>EU-</w:t>
            </w:r>
            <w:r w:rsidR="00667F81" w:rsidRPr="00F35404">
              <w:t>Avastin</w:t>
            </w:r>
          </w:p>
          <w:p w14:paraId="2E53694E" w14:textId="77777777" w:rsidR="003B68E0" w:rsidRPr="00F35404" w:rsidRDefault="003B68E0" w:rsidP="002F0941">
            <w:pPr>
              <w:pStyle w:val="Tabletext"/>
            </w:pPr>
            <w:r w:rsidRPr="00F35404">
              <w:t>(N=334)</w:t>
            </w:r>
          </w:p>
        </w:tc>
      </w:tr>
      <w:tr w:rsidR="003B68E0" w:rsidRPr="00F35404" w14:paraId="66330BCA" w14:textId="77777777" w:rsidTr="00EC5242">
        <w:trPr>
          <w:trHeight w:val="227"/>
        </w:trPr>
        <w:tc>
          <w:tcPr>
            <w:tcW w:w="7366" w:type="dxa"/>
            <w:gridSpan w:val="3"/>
          </w:tcPr>
          <w:p w14:paraId="3188BFCE" w14:textId="77777777" w:rsidR="003B68E0" w:rsidRPr="00F35404" w:rsidRDefault="003B68E0" w:rsidP="002F0941">
            <w:pPr>
              <w:pStyle w:val="Tabletext"/>
            </w:pPr>
            <w:r w:rsidRPr="00F35404">
              <w:rPr>
                <w:rFonts w:ascii="Times New Roman" w:eastAsiaTheme="minorHAnsi" w:hAnsi="Times New Roman"/>
                <w:sz w:val="20"/>
                <w:szCs w:val="20"/>
              </w:rPr>
              <w:t>Best overall response,</w:t>
            </w:r>
            <w:r w:rsidRPr="00F35404">
              <w:rPr>
                <w:rFonts w:ascii="Times New Roman" w:eastAsiaTheme="minorHAnsi" w:hAnsi="Times New Roman"/>
                <w:sz w:val="20"/>
                <w:szCs w:val="20"/>
                <w:vertAlign w:val="superscript"/>
              </w:rPr>
              <w:t>1</w:t>
            </w:r>
            <w:r w:rsidRPr="00F35404">
              <w:rPr>
                <w:rFonts w:ascii="Times New Roman" w:eastAsiaTheme="minorHAnsi" w:hAnsi="Times New Roman"/>
                <w:sz w:val="20"/>
                <w:szCs w:val="20"/>
              </w:rPr>
              <w:t xml:space="preserve"> n (%)</w:t>
            </w:r>
          </w:p>
        </w:tc>
      </w:tr>
      <w:tr w:rsidR="003B68E0" w:rsidRPr="00F35404" w14:paraId="271E27B6" w14:textId="77777777" w:rsidTr="00EC5242">
        <w:trPr>
          <w:trHeight w:val="227"/>
        </w:trPr>
        <w:tc>
          <w:tcPr>
            <w:tcW w:w="2830" w:type="dxa"/>
          </w:tcPr>
          <w:p w14:paraId="4F5828F0" w14:textId="77777777" w:rsidR="003B68E0" w:rsidRPr="00F35404" w:rsidRDefault="003B68E0" w:rsidP="002F0941">
            <w:pPr>
              <w:pStyle w:val="Tabletext"/>
            </w:pPr>
            <w:r w:rsidRPr="00F35404">
              <w:rPr>
                <w:rFonts w:ascii="Times New Roman" w:eastAsiaTheme="minorHAnsi" w:hAnsi="Times New Roman"/>
                <w:sz w:val="20"/>
                <w:szCs w:val="20"/>
              </w:rPr>
              <w:t>Complete response (CR)</w:t>
            </w:r>
          </w:p>
        </w:tc>
        <w:tc>
          <w:tcPr>
            <w:tcW w:w="1985" w:type="dxa"/>
          </w:tcPr>
          <w:p w14:paraId="04274FE4" w14:textId="77777777" w:rsidR="003B68E0" w:rsidRPr="00F35404" w:rsidRDefault="003B68E0" w:rsidP="002F0941">
            <w:pPr>
              <w:pStyle w:val="Tabletext"/>
            </w:pPr>
            <w:r w:rsidRPr="00F35404">
              <w:rPr>
                <w:rFonts w:ascii="Times New Roman" w:eastAsiaTheme="minorHAnsi" w:hAnsi="Times New Roman"/>
                <w:sz w:val="20"/>
                <w:szCs w:val="20"/>
              </w:rPr>
              <w:t>2 (0.6)</w:t>
            </w:r>
          </w:p>
        </w:tc>
        <w:tc>
          <w:tcPr>
            <w:tcW w:w="2551" w:type="dxa"/>
          </w:tcPr>
          <w:p w14:paraId="733082FD" w14:textId="77777777" w:rsidR="003B68E0" w:rsidRPr="00F35404" w:rsidRDefault="003B68E0" w:rsidP="002F0941">
            <w:pPr>
              <w:pStyle w:val="Tabletext"/>
            </w:pPr>
            <w:r w:rsidRPr="00F35404">
              <w:rPr>
                <w:rFonts w:ascii="Times New Roman" w:eastAsiaTheme="minorHAnsi" w:hAnsi="Times New Roman"/>
                <w:sz w:val="20"/>
                <w:szCs w:val="20"/>
              </w:rPr>
              <w:t>3 (0.9)</w:t>
            </w:r>
          </w:p>
        </w:tc>
      </w:tr>
      <w:tr w:rsidR="003B68E0" w:rsidRPr="00F35404" w14:paraId="3C0C275D" w14:textId="77777777" w:rsidTr="00EC5242">
        <w:trPr>
          <w:trHeight w:val="227"/>
        </w:trPr>
        <w:tc>
          <w:tcPr>
            <w:tcW w:w="2830" w:type="dxa"/>
          </w:tcPr>
          <w:p w14:paraId="4AE63813" w14:textId="77777777" w:rsidR="003B68E0" w:rsidRPr="00F35404" w:rsidRDefault="003B68E0" w:rsidP="002F0941">
            <w:pPr>
              <w:pStyle w:val="Tabletext"/>
            </w:pPr>
            <w:r w:rsidRPr="00F35404">
              <w:rPr>
                <w:rFonts w:ascii="Times New Roman" w:eastAsiaTheme="minorHAnsi" w:hAnsi="Times New Roman"/>
                <w:sz w:val="20"/>
                <w:szCs w:val="20"/>
              </w:rPr>
              <w:t>Partial response (PR)</w:t>
            </w:r>
          </w:p>
        </w:tc>
        <w:tc>
          <w:tcPr>
            <w:tcW w:w="1985" w:type="dxa"/>
          </w:tcPr>
          <w:p w14:paraId="7D020B43" w14:textId="77777777" w:rsidR="003B68E0" w:rsidRPr="00F35404" w:rsidRDefault="003B68E0" w:rsidP="002F0941">
            <w:pPr>
              <w:pStyle w:val="Tabletext"/>
            </w:pPr>
            <w:r w:rsidRPr="00F35404">
              <w:rPr>
                <w:rFonts w:ascii="Times New Roman" w:eastAsiaTheme="minorHAnsi" w:hAnsi="Times New Roman"/>
                <w:sz w:val="20"/>
                <w:szCs w:val="20"/>
              </w:rPr>
              <w:t>138 (40.9)</w:t>
            </w:r>
          </w:p>
        </w:tc>
        <w:tc>
          <w:tcPr>
            <w:tcW w:w="2551" w:type="dxa"/>
          </w:tcPr>
          <w:p w14:paraId="52770BCA" w14:textId="77777777" w:rsidR="003B68E0" w:rsidRPr="00F35404" w:rsidRDefault="003B68E0" w:rsidP="002F0941">
            <w:pPr>
              <w:pStyle w:val="Tabletext"/>
            </w:pPr>
            <w:r w:rsidRPr="00F35404">
              <w:rPr>
                <w:rFonts w:ascii="Times New Roman" w:eastAsiaTheme="minorHAnsi" w:hAnsi="Times New Roman"/>
                <w:sz w:val="20"/>
                <w:szCs w:val="20"/>
              </w:rPr>
              <w:t>141 (42.2)</w:t>
            </w:r>
          </w:p>
        </w:tc>
      </w:tr>
      <w:tr w:rsidR="003B68E0" w:rsidRPr="00F35404" w14:paraId="6AA88D40" w14:textId="77777777" w:rsidTr="00EC5242">
        <w:trPr>
          <w:trHeight w:val="227"/>
        </w:trPr>
        <w:tc>
          <w:tcPr>
            <w:tcW w:w="2830" w:type="dxa"/>
          </w:tcPr>
          <w:p w14:paraId="394EF29A"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Stable disease (SD)</w:t>
            </w:r>
          </w:p>
        </w:tc>
        <w:tc>
          <w:tcPr>
            <w:tcW w:w="1985" w:type="dxa"/>
          </w:tcPr>
          <w:p w14:paraId="24BDD34A"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134 (39.8)</w:t>
            </w:r>
          </w:p>
        </w:tc>
        <w:tc>
          <w:tcPr>
            <w:tcW w:w="2551" w:type="dxa"/>
          </w:tcPr>
          <w:p w14:paraId="215F9374"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144 (43.1)</w:t>
            </w:r>
          </w:p>
        </w:tc>
      </w:tr>
      <w:tr w:rsidR="003B68E0" w:rsidRPr="00F35404" w14:paraId="7040619B" w14:textId="77777777" w:rsidTr="00EC5242">
        <w:trPr>
          <w:trHeight w:val="227"/>
        </w:trPr>
        <w:tc>
          <w:tcPr>
            <w:tcW w:w="2830" w:type="dxa"/>
          </w:tcPr>
          <w:p w14:paraId="5F3FAE5C"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Non-CR/Non-PD</w:t>
            </w:r>
          </w:p>
        </w:tc>
        <w:tc>
          <w:tcPr>
            <w:tcW w:w="1985" w:type="dxa"/>
          </w:tcPr>
          <w:p w14:paraId="2910DEA8"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2 (0.6)</w:t>
            </w:r>
          </w:p>
        </w:tc>
        <w:tc>
          <w:tcPr>
            <w:tcW w:w="2551" w:type="dxa"/>
          </w:tcPr>
          <w:p w14:paraId="073AA7B4"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1 (0.3)</w:t>
            </w:r>
          </w:p>
        </w:tc>
      </w:tr>
      <w:tr w:rsidR="003B68E0" w:rsidRPr="00F35404" w14:paraId="40A69AC8" w14:textId="77777777" w:rsidTr="00EC5242">
        <w:trPr>
          <w:trHeight w:val="227"/>
        </w:trPr>
        <w:tc>
          <w:tcPr>
            <w:tcW w:w="2830" w:type="dxa"/>
          </w:tcPr>
          <w:p w14:paraId="70ED6081"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Progressive disease (PD)</w:t>
            </w:r>
          </w:p>
        </w:tc>
        <w:tc>
          <w:tcPr>
            <w:tcW w:w="1985" w:type="dxa"/>
          </w:tcPr>
          <w:p w14:paraId="5D9C35F7"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22 (6.5)</w:t>
            </w:r>
          </w:p>
        </w:tc>
        <w:tc>
          <w:tcPr>
            <w:tcW w:w="2551" w:type="dxa"/>
          </w:tcPr>
          <w:p w14:paraId="4CCF1D5F"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14 (4.2)</w:t>
            </w:r>
          </w:p>
        </w:tc>
      </w:tr>
      <w:tr w:rsidR="003B68E0" w:rsidRPr="00F35404" w14:paraId="66664BBD" w14:textId="77777777" w:rsidTr="00EC5242">
        <w:trPr>
          <w:trHeight w:val="227"/>
        </w:trPr>
        <w:tc>
          <w:tcPr>
            <w:tcW w:w="2830" w:type="dxa"/>
          </w:tcPr>
          <w:p w14:paraId="528CB941"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Not evaluable (NE)</w:t>
            </w:r>
          </w:p>
        </w:tc>
        <w:tc>
          <w:tcPr>
            <w:tcW w:w="1985" w:type="dxa"/>
          </w:tcPr>
          <w:p w14:paraId="7BABE134"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0</w:t>
            </w:r>
          </w:p>
        </w:tc>
        <w:tc>
          <w:tcPr>
            <w:tcW w:w="2551" w:type="dxa"/>
          </w:tcPr>
          <w:p w14:paraId="0BEB8BFE"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0</w:t>
            </w:r>
          </w:p>
        </w:tc>
      </w:tr>
      <w:tr w:rsidR="003B68E0" w:rsidRPr="00F35404" w14:paraId="3213E1AD" w14:textId="77777777" w:rsidTr="00EC5242">
        <w:trPr>
          <w:trHeight w:val="227"/>
        </w:trPr>
        <w:tc>
          <w:tcPr>
            <w:tcW w:w="2830" w:type="dxa"/>
          </w:tcPr>
          <w:p w14:paraId="7D7481E6"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Not done (ND)</w:t>
            </w:r>
          </w:p>
        </w:tc>
        <w:tc>
          <w:tcPr>
            <w:tcW w:w="1985" w:type="dxa"/>
          </w:tcPr>
          <w:p w14:paraId="79A85880"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39 (11.6)</w:t>
            </w:r>
          </w:p>
        </w:tc>
        <w:tc>
          <w:tcPr>
            <w:tcW w:w="2551" w:type="dxa"/>
          </w:tcPr>
          <w:p w14:paraId="4A5821C2"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31 (9.3)</w:t>
            </w:r>
          </w:p>
        </w:tc>
      </w:tr>
      <w:tr w:rsidR="003B68E0" w:rsidRPr="00F35404" w14:paraId="131859A0" w14:textId="77777777" w:rsidTr="00EC5242">
        <w:tblPrEx>
          <w:tblCellMar>
            <w:left w:w="108" w:type="dxa"/>
            <w:right w:w="108" w:type="dxa"/>
          </w:tblCellMar>
        </w:tblPrEx>
        <w:trPr>
          <w:trHeight w:val="227"/>
        </w:trPr>
        <w:tc>
          <w:tcPr>
            <w:tcW w:w="7366" w:type="dxa"/>
            <w:gridSpan w:val="3"/>
          </w:tcPr>
          <w:p w14:paraId="3FC5674A" w14:textId="77777777" w:rsidR="003B68E0" w:rsidRPr="00F35404" w:rsidRDefault="003B68E0" w:rsidP="002F0941">
            <w:pPr>
              <w:pStyle w:val="Tabletext"/>
              <w:rPr>
                <w:rFonts w:ascii="Times New Roman" w:eastAsiaTheme="minorHAnsi" w:hAnsi="Times New Roman"/>
                <w:bCs/>
                <w:sz w:val="20"/>
                <w:szCs w:val="20"/>
              </w:rPr>
            </w:pPr>
            <w:r w:rsidRPr="00F35404">
              <w:rPr>
                <w:rFonts w:ascii="Times New Roman" w:eastAsiaTheme="minorHAnsi" w:hAnsi="Times New Roman"/>
                <w:sz w:val="20"/>
                <w:szCs w:val="20"/>
              </w:rPr>
              <w:t>Objective response rate (ORR)</w:t>
            </w:r>
          </w:p>
        </w:tc>
      </w:tr>
      <w:tr w:rsidR="003B68E0" w:rsidRPr="00F35404" w14:paraId="76271166" w14:textId="77777777" w:rsidTr="00EC5242">
        <w:tblPrEx>
          <w:tblCellMar>
            <w:left w:w="108" w:type="dxa"/>
            <w:right w:w="108" w:type="dxa"/>
          </w:tblCellMar>
        </w:tblPrEx>
        <w:trPr>
          <w:trHeight w:val="227"/>
        </w:trPr>
        <w:tc>
          <w:tcPr>
            <w:tcW w:w="2830" w:type="dxa"/>
          </w:tcPr>
          <w:p w14:paraId="28331D80"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Responders, n (%)</w:t>
            </w:r>
          </w:p>
        </w:tc>
        <w:tc>
          <w:tcPr>
            <w:tcW w:w="1985" w:type="dxa"/>
          </w:tcPr>
          <w:p w14:paraId="4BFF9130"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140 (41.5)</w:t>
            </w:r>
          </w:p>
        </w:tc>
        <w:tc>
          <w:tcPr>
            <w:tcW w:w="2551" w:type="dxa"/>
          </w:tcPr>
          <w:p w14:paraId="2671C88A"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144 (43.1)</w:t>
            </w:r>
          </w:p>
        </w:tc>
      </w:tr>
      <w:tr w:rsidR="003B68E0" w:rsidRPr="00F35404" w14:paraId="7A753D5C" w14:textId="77777777" w:rsidTr="00EC5242">
        <w:tblPrEx>
          <w:tblCellMar>
            <w:left w:w="108" w:type="dxa"/>
            <w:right w:w="108" w:type="dxa"/>
          </w:tblCellMar>
        </w:tblPrEx>
        <w:trPr>
          <w:trHeight w:val="227"/>
        </w:trPr>
        <w:tc>
          <w:tcPr>
            <w:tcW w:w="2830" w:type="dxa"/>
          </w:tcPr>
          <w:p w14:paraId="53D369E5"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95% CI for ORR (%)</w:t>
            </w:r>
          </w:p>
        </w:tc>
        <w:tc>
          <w:tcPr>
            <w:tcW w:w="1985" w:type="dxa"/>
          </w:tcPr>
          <w:p w14:paraId="70924922"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(36.3, 46.8)</w:t>
            </w:r>
          </w:p>
        </w:tc>
        <w:tc>
          <w:tcPr>
            <w:tcW w:w="2551" w:type="dxa"/>
          </w:tcPr>
          <w:p w14:paraId="370CA07A"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(37.8, 48.4)</w:t>
            </w:r>
          </w:p>
        </w:tc>
      </w:tr>
      <w:tr w:rsidR="003B68E0" w:rsidRPr="00F35404" w14:paraId="76E4413D" w14:textId="77777777" w:rsidTr="00EC5242">
        <w:tblPrEx>
          <w:tblCellMar>
            <w:left w:w="108" w:type="dxa"/>
            <w:right w:w="108" w:type="dxa"/>
          </w:tblCellMar>
        </w:tblPrEx>
        <w:trPr>
          <w:trHeight w:val="227"/>
        </w:trPr>
        <w:tc>
          <w:tcPr>
            <w:tcW w:w="2830" w:type="dxa"/>
          </w:tcPr>
          <w:p w14:paraId="7EBFF8D7"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DIFF in ORR and 95% CI (%)</w:t>
            </w:r>
            <w:r w:rsidRPr="00F35404">
              <w:rPr>
                <w:rFonts w:ascii="Times New Roman" w:eastAsiaTheme="minorHAnsi" w:hAnsi="Times New Roman"/>
                <w:sz w:val="20"/>
                <w:szCs w:val="20"/>
                <w:vertAlign w:val="superscript"/>
              </w:rPr>
              <w:t>2</w:t>
            </w:r>
          </w:p>
        </w:tc>
        <w:tc>
          <w:tcPr>
            <w:tcW w:w="4536" w:type="dxa"/>
            <w:gridSpan w:val="2"/>
          </w:tcPr>
          <w:p w14:paraId="25BA4B37"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-1.6 (-9.0, 5.9)</w:t>
            </w:r>
          </w:p>
        </w:tc>
      </w:tr>
      <w:tr w:rsidR="003B68E0" w:rsidRPr="00F35404" w14:paraId="3DB8830C" w14:textId="77777777" w:rsidTr="00EC5242">
        <w:tblPrEx>
          <w:tblCellMar>
            <w:left w:w="108" w:type="dxa"/>
            <w:right w:w="108" w:type="dxa"/>
          </w:tblCellMar>
        </w:tblPrEx>
        <w:trPr>
          <w:trHeight w:val="227"/>
        </w:trPr>
        <w:tc>
          <w:tcPr>
            <w:tcW w:w="2830" w:type="dxa"/>
          </w:tcPr>
          <w:p w14:paraId="2DA7AD35"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Ratio of ORR and 90% CI</w:t>
            </w:r>
            <w:r w:rsidRPr="00F35404">
              <w:rPr>
                <w:rFonts w:ascii="Times New Roman" w:eastAsiaTheme="minorHAnsi" w:hAnsi="Times New Roman"/>
                <w:sz w:val="20"/>
                <w:szCs w:val="20"/>
                <w:vertAlign w:val="superscript"/>
              </w:rPr>
              <w:t>3</w:t>
            </w:r>
          </w:p>
        </w:tc>
        <w:tc>
          <w:tcPr>
            <w:tcW w:w="4536" w:type="dxa"/>
            <w:gridSpan w:val="2"/>
          </w:tcPr>
          <w:p w14:paraId="14ACA166" w14:textId="77777777" w:rsidR="003B68E0" w:rsidRPr="00F35404" w:rsidRDefault="003B68E0" w:rsidP="002F0941">
            <w:pPr>
              <w:pStyle w:val="Tabletext"/>
              <w:rPr>
                <w:rFonts w:ascii="Times New Roman" w:eastAsiaTheme="minorHAnsi" w:hAnsi="Times New Roman"/>
                <w:sz w:val="20"/>
                <w:szCs w:val="20"/>
              </w:rPr>
            </w:pPr>
            <w:r w:rsidRPr="00F35404">
              <w:rPr>
                <w:rFonts w:ascii="Times New Roman" w:eastAsiaTheme="minorHAnsi" w:hAnsi="Times New Roman"/>
                <w:sz w:val="20"/>
                <w:szCs w:val="20"/>
              </w:rPr>
              <w:t>0.96 (0.83, 1.12)</w:t>
            </w:r>
          </w:p>
        </w:tc>
      </w:tr>
    </w:tbl>
    <w:p w14:paraId="3B0E4B9D" w14:textId="57F6F171" w:rsidR="00B402E6" w:rsidRPr="00F35404" w:rsidRDefault="003B68E0" w:rsidP="00B402E6">
      <w:pPr>
        <w:pStyle w:val="TableDescription"/>
      </w:pPr>
      <w:r w:rsidRPr="00F35404">
        <w:t>CI = confidence interval</w:t>
      </w:r>
      <w:r w:rsidR="00B402E6" w:rsidRPr="00F35404">
        <w:t>; CR = complete response; EU-Avastin = Avastin sourced from the European Union; MYL</w:t>
      </w:r>
      <w:r w:rsidR="00B6743D">
        <w:t>-</w:t>
      </w:r>
      <w:r w:rsidR="00B402E6" w:rsidRPr="00F35404">
        <w:t xml:space="preserve">1402O = </w:t>
      </w:r>
      <w:r w:rsidR="00B6743D">
        <w:t>p</w:t>
      </w:r>
      <w:r w:rsidR="00B6743D" w:rsidRPr="00B6743D">
        <w:t>roduct code for Abevmy formulation intended for marketing in Australia</w:t>
      </w:r>
      <w:r w:rsidR="00B402E6" w:rsidRPr="00F35404">
        <w:t xml:space="preserve">; </w:t>
      </w:r>
      <w:r w:rsidR="00773BC7" w:rsidRPr="00F35404">
        <w:t xml:space="preserve">N = population size; </w:t>
      </w:r>
      <w:r w:rsidRPr="00F35404">
        <w:t>ND = no post-</w:t>
      </w:r>
      <w:r w:rsidR="004857A7" w:rsidRPr="00F35404">
        <w:t>Baseline</w:t>
      </w:r>
      <w:r w:rsidRPr="00F35404">
        <w:t xml:space="preserve"> lesion assessment</w:t>
      </w:r>
      <w:r w:rsidR="00B402E6" w:rsidRPr="00F35404">
        <w:t>; NE = not evaluable; ORR = objective response rate; PD = progressive disease; PR = partial response; SD = stable disease.</w:t>
      </w:r>
    </w:p>
    <w:p w14:paraId="702D8EB3" w14:textId="5E5CB3A4" w:rsidR="002F0941" w:rsidRPr="00F35404" w:rsidRDefault="003B68E0" w:rsidP="002F0941">
      <w:pPr>
        <w:pStyle w:val="TableDescription"/>
      </w:pPr>
      <w:r w:rsidRPr="00F35404">
        <w:lastRenderedPageBreak/>
        <w:t xml:space="preserve">1 Responses assessed by blinded independent review using </w:t>
      </w:r>
      <w:r w:rsidR="00B402E6" w:rsidRPr="00F35404">
        <w:t xml:space="preserve">the Response Evaluation Criteria </w:t>
      </w:r>
      <w:r w:rsidR="006741A2" w:rsidRPr="00F35404">
        <w:t>i</w:t>
      </w:r>
      <w:r w:rsidR="00B402E6" w:rsidRPr="00F35404">
        <w:t>n Solid Tumours (</w:t>
      </w:r>
      <w:r w:rsidRPr="00F35404">
        <w:t>RECIST</w:t>
      </w:r>
      <w:r w:rsidR="00B402E6" w:rsidRPr="00F35404">
        <w:t>);</w:t>
      </w:r>
      <w:r w:rsidR="00B402E6" w:rsidRPr="00F35404">
        <w:rPr>
          <w:rStyle w:val="FootnoteReference"/>
        </w:rPr>
        <w:footnoteReference w:id="14"/>
      </w:r>
      <w:r w:rsidRPr="00F35404">
        <w:t xml:space="preserve"> v1.1</w:t>
      </w:r>
    </w:p>
    <w:p w14:paraId="2B62F83F" w14:textId="513E4F7E" w:rsidR="002F0941" w:rsidRPr="00F35404" w:rsidRDefault="003B68E0" w:rsidP="002F0941">
      <w:pPr>
        <w:pStyle w:val="TableDescription"/>
      </w:pPr>
      <w:r w:rsidRPr="00F35404">
        <w:t xml:space="preserve">2 As required by </w:t>
      </w:r>
      <w:r w:rsidR="00B402E6" w:rsidRPr="00F35404">
        <w:t>the European Medicines Agency</w:t>
      </w:r>
      <w:r w:rsidRPr="00F35404">
        <w:t>: DIFF = ORR</w:t>
      </w:r>
      <w:r w:rsidRPr="00F35404">
        <w:rPr>
          <w:vertAlign w:val="subscript"/>
        </w:rPr>
        <w:t>MYL-1402O</w:t>
      </w:r>
      <w:r w:rsidRPr="00F35404">
        <w:t xml:space="preserve"> minus </w:t>
      </w:r>
      <w:proofErr w:type="spellStart"/>
      <w:r w:rsidRPr="00F35404">
        <w:t>ORR</w:t>
      </w:r>
      <w:r w:rsidR="00667F81" w:rsidRPr="00F35404">
        <w:rPr>
          <w:vertAlign w:val="subscript"/>
        </w:rPr>
        <w:t>Avastin</w:t>
      </w:r>
      <w:proofErr w:type="spellEnd"/>
      <w:r w:rsidRPr="00F35404">
        <w:t>; asymptotic 2</w:t>
      </w:r>
      <w:r w:rsidR="00EB7065" w:rsidRPr="00F35404">
        <w:noBreakHyphen/>
      </w:r>
      <w:r w:rsidRPr="00F35404">
        <w:t>sided 95% CI per Wald; equivalence region (-12.5%, 12.5%).</w:t>
      </w:r>
    </w:p>
    <w:p w14:paraId="6A16AFCD" w14:textId="03BEB88E" w:rsidR="002F0941" w:rsidRPr="00F35404" w:rsidRDefault="003B68E0" w:rsidP="002F0941">
      <w:pPr>
        <w:pStyle w:val="TableDescription"/>
      </w:pPr>
      <w:r w:rsidRPr="00F35404">
        <w:t xml:space="preserve">3 As required by </w:t>
      </w:r>
      <w:r w:rsidR="00EB7065" w:rsidRPr="00F35404">
        <w:t>Food and Drug Administration (United States of America)</w:t>
      </w:r>
      <w:r w:rsidRPr="00F35404">
        <w:t xml:space="preserve">: </w:t>
      </w:r>
      <w:r w:rsidR="00EB7065" w:rsidRPr="00F35404">
        <w:t>r</w:t>
      </w:r>
      <w:r w:rsidRPr="00F35404">
        <w:t>atio = ORR</w:t>
      </w:r>
      <w:r w:rsidRPr="00F35404">
        <w:rPr>
          <w:vertAlign w:val="subscript"/>
        </w:rPr>
        <w:t>MYL</w:t>
      </w:r>
      <w:r w:rsidR="00EB7065" w:rsidRPr="00F35404">
        <w:rPr>
          <w:vertAlign w:val="subscript"/>
        </w:rPr>
        <w:noBreakHyphen/>
      </w:r>
      <w:r w:rsidRPr="00F35404">
        <w:rPr>
          <w:vertAlign w:val="subscript"/>
        </w:rPr>
        <w:t>1402O</w:t>
      </w:r>
      <w:r w:rsidRPr="00F35404">
        <w:t>/</w:t>
      </w:r>
      <w:proofErr w:type="spellStart"/>
      <w:r w:rsidRPr="00F35404">
        <w:t>ORR</w:t>
      </w:r>
      <w:r w:rsidR="00667F81" w:rsidRPr="00F35404">
        <w:rPr>
          <w:vertAlign w:val="subscript"/>
        </w:rPr>
        <w:t>Avastin</w:t>
      </w:r>
      <w:proofErr w:type="spellEnd"/>
      <w:r w:rsidRPr="00F35404">
        <w:t>; 2-sided 90% CI per logarithmic transformation; equivalence region (0.73, 1.36).</w:t>
      </w:r>
    </w:p>
    <w:p w14:paraId="3BA01698" w14:textId="1ADF71CD" w:rsidR="003B68E0" w:rsidRPr="00F35404" w:rsidRDefault="00EB7065" w:rsidP="002F0941">
      <w:r w:rsidRPr="00F35404">
        <w:t>Disease control rate (</w:t>
      </w:r>
      <w:r w:rsidR="003B68E0" w:rsidRPr="00F35404">
        <w:t>DCR</w:t>
      </w:r>
      <w:r w:rsidRPr="00F35404">
        <w:t>)</w:t>
      </w:r>
      <w:r w:rsidR="003B68E0" w:rsidRPr="00F35404">
        <w:t xml:space="preserve"> at Week 18 was 81.3% in the MYL-1402O arm and 86.2% in the Avastin arm. The ratio of DCR was 0.94 (90% </w:t>
      </w:r>
      <w:r w:rsidRPr="00F35404">
        <w:t>confidence interval (</w:t>
      </w:r>
      <w:r w:rsidR="003B68E0" w:rsidRPr="00F35404">
        <w:t>CI</w:t>
      </w:r>
      <w:r w:rsidRPr="00F35404">
        <w:t>)</w:t>
      </w:r>
      <w:r w:rsidR="003B68E0" w:rsidRPr="00F35404">
        <w:t>: 0.89, 1.00) and the difference in DCR was -4.9 (95% CI: -10.5, 0.6).</w:t>
      </w:r>
    </w:p>
    <w:p w14:paraId="078F8908" w14:textId="17D7CE08" w:rsidR="003B68E0" w:rsidRPr="00F35404" w:rsidRDefault="00EB7065" w:rsidP="003B68E0">
      <w:pPr>
        <w:pStyle w:val="Heading6"/>
      </w:pPr>
      <w:bookmarkStart w:id="65" w:name="_Ref69723568"/>
      <w:r w:rsidRPr="00F35404">
        <w:rPr>
          <w:lang w:eastAsia="ja-JP"/>
        </w:rPr>
        <w:t xml:space="preserve">Study </w:t>
      </w:r>
      <w:r w:rsidR="003B68E0" w:rsidRPr="00F35404">
        <w:rPr>
          <w:lang w:eastAsia="ja-JP"/>
        </w:rPr>
        <w:t>BM100-CC-03-I-01</w:t>
      </w:r>
      <w:bookmarkEnd w:id="65"/>
    </w:p>
    <w:p w14:paraId="2888BA25" w14:textId="65644AF2" w:rsidR="003B68E0" w:rsidRPr="00F35404" w:rsidRDefault="003B68E0" w:rsidP="002F0941">
      <w:r w:rsidRPr="00F35404">
        <w:t xml:space="preserve">The efficacy results of </w:t>
      </w:r>
      <w:r w:rsidR="00EB7065" w:rsidRPr="00F35404">
        <w:t xml:space="preserve">Study </w:t>
      </w:r>
      <w:r w:rsidRPr="00F35404">
        <w:t>BM100-CC-03-I-01 have limited relevance because the study was not designed to demonstrate equivalent efficacy for Bmab-100 and EU-</w:t>
      </w:r>
      <w:r w:rsidR="00667F81" w:rsidRPr="00F35404">
        <w:t>Avastin</w:t>
      </w:r>
      <w:r w:rsidRPr="00F35404">
        <w:t>, and the formulation studied (Bmab-100) is not the formulation proposed for registration (MYL-1402O</w:t>
      </w:r>
      <w:r w:rsidR="000E77B0">
        <w:t>/Abevmy</w:t>
      </w:r>
      <w:r w:rsidRPr="00F35404">
        <w:t>).</w:t>
      </w:r>
    </w:p>
    <w:p w14:paraId="2059E6CC" w14:textId="4E46DF26" w:rsidR="003B68E0" w:rsidRPr="00F35404" w:rsidRDefault="003B68E0" w:rsidP="002F0941">
      <w:r w:rsidRPr="00F35404">
        <w:t>The primary objectives of this study were infusion-related toxicities (Part 1, n</w:t>
      </w:r>
      <w:r w:rsidR="00EB7065" w:rsidRPr="00F35404">
        <w:t xml:space="preserve"> </w:t>
      </w:r>
      <w:r w:rsidRPr="00F35404">
        <w:t>=</w:t>
      </w:r>
      <w:r w:rsidR="00EB7065" w:rsidRPr="00F35404">
        <w:t xml:space="preserve"> </w:t>
      </w:r>
      <w:r w:rsidRPr="00F35404">
        <w:t>10, single arm) and PK bioequivalence between Bmab-100 and EU-</w:t>
      </w:r>
      <w:r w:rsidR="00667F81" w:rsidRPr="00F35404">
        <w:t>Avastin</w:t>
      </w:r>
      <w:r w:rsidRPr="00F35404">
        <w:t xml:space="preserve"> (Part 2, n</w:t>
      </w:r>
      <w:r w:rsidR="00EB7065" w:rsidRPr="00F35404">
        <w:t xml:space="preserve"> </w:t>
      </w:r>
      <w:r w:rsidRPr="00F35404">
        <w:t>=</w:t>
      </w:r>
      <w:r w:rsidR="00EB7065" w:rsidRPr="00F35404">
        <w:t xml:space="preserve"> </w:t>
      </w:r>
      <w:r w:rsidRPr="00F35404">
        <w:t>136, randomised 1:1).</w:t>
      </w:r>
    </w:p>
    <w:p w14:paraId="33F7F348" w14:textId="20335CB0" w:rsidR="003B68E0" w:rsidRPr="00F35404" w:rsidRDefault="003B68E0" w:rsidP="002F0941">
      <w:r w:rsidRPr="00F35404">
        <w:t>Efficacy endpoints were included amongst the secondary objectives of Part 2, with results for Bmab-100 versus EU-</w:t>
      </w:r>
      <w:r w:rsidR="00667F81" w:rsidRPr="00F35404">
        <w:t>Avastin</w:t>
      </w:r>
      <w:r w:rsidRPr="00F35404">
        <w:t xml:space="preserve"> as follows:</w:t>
      </w:r>
    </w:p>
    <w:p w14:paraId="4A3CDC75" w14:textId="262E101C" w:rsidR="003B68E0" w:rsidRPr="00F35404" w:rsidRDefault="00EB7065" w:rsidP="002F0941">
      <w:pPr>
        <w:pStyle w:val="ListBullet"/>
      </w:pPr>
      <w:r w:rsidRPr="00F35404">
        <w:t>objective response rate (</w:t>
      </w:r>
      <w:r w:rsidR="003B68E0" w:rsidRPr="00F35404">
        <w:t>ORR</w:t>
      </w:r>
      <w:r w:rsidRPr="00F35404">
        <w:t>)</w:t>
      </w:r>
      <w:r w:rsidR="003B68E0" w:rsidRPr="00F35404">
        <w:t>: 91% (n</w:t>
      </w:r>
      <w:r w:rsidRPr="00F35404">
        <w:t xml:space="preserve"> </w:t>
      </w:r>
      <w:r w:rsidR="003B68E0" w:rsidRPr="00F35404">
        <w:t>=</w:t>
      </w:r>
      <w:r w:rsidRPr="00F35404">
        <w:t xml:space="preserve"> </w:t>
      </w:r>
      <w:r w:rsidR="003B68E0" w:rsidRPr="00F35404">
        <w:t xml:space="preserve">62) </w:t>
      </w:r>
      <w:r w:rsidRPr="00F35404">
        <w:t>versus</w:t>
      </w:r>
      <w:r w:rsidR="003B68E0" w:rsidRPr="00F35404">
        <w:t xml:space="preserve"> 88% (n</w:t>
      </w:r>
      <w:r w:rsidRPr="00F35404">
        <w:t xml:space="preserve"> </w:t>
      </w:r>
      <w:r w:rsidR="003B68E0" w:rsidRPr="00F35404">
        <w:t>=</w:t>
      </w:r>
      <w:r w:rsidRPr="00F35404">
        <w:t xml:space="preserve"> </w:t>
      </w:r>
      <w:r w:rsidR="003B68E0" w:rsidRPr="00F35404">
        <w:t>60)</w:t>
      </w:r>
    </w:p>
    <w:p w14:paraId="1BE26366" w14:textId="127BC277" w:rsidR="003B68E0" w:rsidRPr="00F35404" w:rsidRDefault="00EB7065" w:rsidP="002F0941">
      <w:pPr>
        <w:pStyle w:val="ListBullet"/>
      </w:pPr>
      <w:r w:rsidRPr="00F35404">
        <w:t>progression free survival (</w:t>
      </w:r>
      <w:r w:rsidR="003B68E0" w:rsidRPr="00F35404">
        <w:t>PFS</w:t>
      </w:r>
      <w:r w:rsidRPr="00F35404">
        <w:t>)</w:t>
      </w:r>
      <w:r w:rsidR="003B68E0" w:rsidRPr="00F35404">
        <w:t xml:space="preserve"> rate at 18 weeks: 62% v</w:t>
      </w:r>
      <w:r w:rsidRPr="00F35404">
        <w:t>ersu</w:t>
      </w:r>
      <w:r w:rsidR="003B68E0" w:rsidRPr="00F35404">
        <w:t>s 60%</w:t>
      </w:r>
    </w:p>
    <w:p w14:paraId="570C134D" w14:textId="0931E1BB" w:rsidR="003B68E0" w:rsidRPr="00F35404" w:rsidRDefault="00EB7065" w:rsidP="002F0941">
      <w:pPr>
        <w:pStyle w:val="ListBullet"/>
      </w:pPr>
      <w:r w:rsidRPr="00F35404">
        <w:t>disease control rate (</w:t>
      </w:r>
      <w:r w:rsidR="003B68E0" w:rsidRPr="00F35404">
        <w:t>DCR</w:t>
      </w:r>
      <w:r w:rsidRPr="00F35404">
        <w:t>)</w:t>
      </w:r>
      <w:r w:rsidR="003B68E0" w:rsidRPr="00F35404">
        <w:t xml:space="preserve"> at 18 weeks: 91% v</w:t>
      </w:r>
      <w:r w:rsidRPr="00F35404">
        <w:t>ersu</w:t>
      </w:r>
      <w:r w:rsidR="003B68E0" w:rsidRPr="00F35404">
        <w:t>s 88%</w:t>
      </w:r>
    </w:p>
    <w:p w14:paraId="054D433F" w14:textId="7551E22A" w:rsidR="003B68E0" w:rsidRPr="00F35404" w:rsidRDefault="003B68E0" w:rsidP="002F0941">
      <w:r w:rsidRPr="00F35404">
        <w:t>The results are not incompatible with similar efficacy for Bmab-100 and EU-</w:t>
      </w:r>
      <w:r w:rsidR="00667F81" w:rsidRPr="00F35404">
        <w:t>Avastin</w:t>
      </w:r>
      <w:r w:rsidRPr="00F35404">
        <w:t>.</w:t>
      </w:r>
    </w:p>
    <w:p w14:paraId="00198C4D" w14:textId="77777777" w:rsidR="003B68E0" w:rsidRPr="00F35404" w:rsidRDefault="003B68E0" w:rsidP="003B68E0">
      <w:pPr>
        <w:pStyle w:val="Heading4"/>
      </w:pPr>
      <w:r w:rsidRPr="00F35404">
        <w:t>Safety</w:t>
      </w:r>
    </w:p>
    <w:p w14:paraId="6F28133A" w14:textId="3D4B87D8" w:rsidR="003B68E0" w:rsidRPr="00F35404" w:rsidRDefault="00EB7065" w:rsidP="00737AC8">
      <w:pPr>
        <w:pStyle w:val="Heading5"/>
        <w:rPr>
          <w:lang w:eastAsia="ja-JP"/>
        </w:rPr>
      </w:pPr>
      <w:r w:rsidRPr="00F35404">
        <w:rPr>
          <w:lang w:eastAsia="ja-JP"/>
        </w:rPr>
        <w:t xml:space="preserve">Study </w:t>
      </w:r>
      <w:r w:rsidR="003B68E0" w:rsidRPr="00F35404">
        <w:rPr>
          <w:lang w:eastAsia="ja-JP"/>
        </w:rPr>
        <w:t>MYL-1402O-1002</w:t>
      </w:r>
    </w:p>
    <w:p w14:paraId="6F768D2F" w14:textId="35E9344C" w:rsidR="003B68E0" w:rsidRPr="00F35404" w:rsidRDefault="003B68E0" w:rsidP="002F0941">
      <w:r w:rsidRPr="00F35404">
        <w:t xml:space="preserve">Interpretation of the safety data from </w:t>
      </w:r>
      <w:r w:rsidR="00EB7065" w:rsidRPr="00F35404">
        <w:t xml:space="preserve">Study </w:t>
      </w:r>
      <w:r w:rsidRPr="00F35404">
        <w:t>MYL-1402O-1002 is limited due to the nature and design of the study (early phase; single</w:t>
      </w:r>
      <w:r w:rsidR="00EB7065" w:rsidRPr="00F35404">
        <w:t xml:space="preserve"> </w:t>
      </w:r>
      <w:r w:rsidRPr="00F35404">
        <w:t>dose; healthy volunteer population; small size).</w:t>
      </w:r>
    </w:p>
    <w:p w14:paraId="23F09A6D" w14:textId="33B460A8" w:rsidR="003B68E0" w:rsidRPr="00F35404" w:rsidRDefault="003B68E0" w:rsidP="002F0941">
      <w:r w:rsidRPr="00F35404">
        <w:t xml:space="preserve">The most frequently reported </w:t>
      </w:r>
      <w:r w:rsidR="00EB7065" w:rsidRPr="00F35404">
        <w:t>treatment emergent adverse events (</w:t>
      </w:r>
      <w:r w:rsidRPr="00F35404">
        <w:t>TEAEs</w:t>
      </w:r>
      <w:r w:rsidR="00EB7065" w:rsidRPr="00F35404">
        <w:t>)</w:t>
      </w:r>
      <w:r w:rsidRPr="00F35404">
        <w:t xml:space="preserve"> across the three treatment groups were headache (20%), nasopharyngitis (12%), diarrhoea (8%) and back pain (8%). No serious </w:t>
      </w:r>
      <w:r w:rsidR="00EB7065" w:rsidRPr="00F35404">
        <w:t xml:space="preserve">adverse events </w:t>
      </w:r>
      <w:r w:rsidRPr="00F35404">
        <w:t xml:space="preserve">(SAEs), TEAEs of </w:t>
      </w:r>
      <w:r w:rsidR="00EB7065" w:rsidRPr="00F35404">
        <w:t>G</w:t>
      </w:r>
      <w:r w:rsidRPr="00F35404">
        <w:t>rade 3 or higher, or unexpected TEAEs were reported.</w:t>
      </w:r>
    </w:p>
    <w:p w14:paraId="606118D1" w14:textId="15A72F3B" w:rsidR="003B68E0" w:rsidRPr="00F35404" w:rsidRDefault="00EB7065" w:rsidP="00737AC8">
      <w:pPr>
        <w:pStyle w:val="Heading5"/>
        <w:rPr>
          <w:lang w:eastAsia="ja-JP"/>
        </w:rPr>
      </w:pPr>
      <w:r w:rsidRPr="00F35404">
        <w:rPr>
          <w:lang w:eastAsia="ja-JP"/>
        </w:rPr>
        <w:t xml:space="preserve">Study </w:t>
      </w:r>
      <w:r w:rsidR="003B68E0" w:rsidRPr="00F35404">
        <w:rPr>
          <w:lang w:eastAsia="ja-JP"/>
        </w:rPr>
        <w:t>MYL-1402O-3001</w:t>
      </w:r>
    </w:p>
    <w:p w14:paraId="0802063C" w14:textId="27A71052" w:rsidR="003B68E0" w:rsidRPr="00F35404" w:rsidRDefault="003B68E0" w:rsidP="002F0941">
      <w:r w:rsidRPr="00F35404">
        <w:t>Exposure to carboplatin, paclitaxel and bevacizumab was similar between the MYL-1402O</w:t>
      </w:r>
      <w:r w:rsidR="000E77B0">
        <w:t xml:space="preserve"> (</w:t>
      </w:r>
      <w:r w:rsidR="000E77B0" w:rsidRPr="00F35404">
        <w:t>Abevmy</w:t>
      </w:r>
      <w:r w:rsidR="000E77B0">
        <w:t>)</w:t>
      </w:r>
      <w:r w:rsidRPr="00F35404">
        <w:t xml:space="preserve"> arm and the EU-</w:t>
      </w:r>
      <w:r w:rsidR="00667F81" w:rsidRPr="00F35404">
        <w:t>Avastin</w:t>
      </w:r>
      <w:r w:rsidRPr="00F35404">
        <w:t xml:space="preserve"> arm.</w:t>
      </w:r>
    </w:p>
    <w:p w14:paraId="50B5EC62" w14:textId="2BEC52C8" w:rsidR="003B68E0" w:rsidRPr="00F35404" w:rsidRDefault="003B68E0" w:rsidP="002F0941">
      <w:r w:rsidRPr="00F35404">
        <w:t xml:space="preserve">In general, the incidence of TEAEs was comparable between the two treatment arms. The most common TEAEs in both arms were alopecia, </w:t>
      </w:r>
      <w:proofErr w:type="gramStart"/>
      <w:r w:rsidRPr="00F35404">
        <w:t>anaemia</w:t>
      </w:r>
      <w:proofErr w:type="gramEnd"/>
      <w:r w:rsidRPr="00F35404">
        <w:t xml:space="preserve"> and thrombocytopenia. </w:t>
      </w:r>
      <w:r w:rsidRPr="00F35404">
        <w:lastRenderedPageBreak/>
        <w:t>Differences of &gt;</w:t>
      </w:r>
      <w:r w:rsidR="00EB7065" w:rsidRPr="00F35404">
        <w:t> </w:t>
      </w:r>
      <w:r w:rsidRPr="00F35404">
        <w:t>5% between the two treatment arms were observed in the following TEAEs, but are not considered likely to be significant:</w:t>
      </w:r>
    </w:p>
    <w:p w14:paraId="6E3A5B78" w14:textId="72FCE58E" w:rsidR="003B68E0" w:rsidRPr="00F35404" w:rsidRDefault="003B68E0" w:rsidP="002F0941">
      <w:pPr>
        <w:pStyle w:val="ListBullet"/>
      </w:pPr>
      <w:r w:rsidRPr="00F35404">
        <w:t xml:space="preserve">Alopecia (MYL-1402O, 148 </w:t>
      </w:r>
      <w:r w:rsidR="00EB7065" w:rsidRPr="00F35404">
        <w:t>(</w:t>
      </w:r>
      <w:r w:rsidRPr="00F35404">
        <w:t>44%</w:t>
      </w:r>
      <w:r w:rsidR="00EB7065" w:rsidRPr="00F35404">
        <w:t>)</w:t>
      </w:r>
      <w:r w:rsidRPr="00F35404">
        <w:t xml:space="preserve"> v</w:t>
      </w:r>
      <w:r w:rsidR="00EB7065" w:rsidRPr="00F35404">
        <w:t>ersu</w:t>
      </w:r>
      <w:r w:rsidRPr="00F35404">
        <w:t>s EU-</w:t>
      </w:r>
      <w:r w:rsidR="00667F81" w:rsidRPr="00F35404">
        <w:t>Avastin</w:t>
      </w:r>
      <w:r w:rsidRPr="00F35404">
        <w:t xml:space="preserve">, 168 </w:t>
      </w:r>
      <w:r w:rsidR="00EB7065" w:rsidRPr="00F35404">
        <w:t>(</w:t>
      </w:r>
      <w:r w:rsidRPr="00F35404">
        <w:t>51%</w:t>
      </w:r>
      <w:r w:rsidR="00EB7065" w:rsidRPr="00F35404">
        <w:t>)</w:t>
      </w:r>
      <w:r w:rsidRPr="00F35404">
        <w:t>)</w:t>
      </w:r>
    </w:p>
    <w:p w14:paraId="4FD3EBB3" w14:textId="466669BE" w:rsidR="003B68E0" w:rsidRPr="00F35404" w:rsidRDefault="003B68E0" w:rsidP="002F0941">
      <w:pPr>
        <w:pStyle w:val="ListBullet"/>
      </w:pPr>
      <w:r w:rsidRPr="00F35404">
        <w:t xml:space="preserve">Thrombocytopenia (MYL-1402O, 108 </w:t>
      </w:r>
      <w:r w:rsidR="00EB7065" w:rsidRPr="00F35404">
        <w:t>(</w:t>
      </w:r>
      <w:r w:rsidRPr="00F35404">
        <w:t>32%</w:t>
      </w:r>
      <w:r w:rsidR="00EB7065" w:rsidRPr="00F35404">
        <w:t>)</w:t>
      </w:r>
      <w:r w:rsidRPr="00F35404">
        <w:t xml:space="preserve"> v</w:t>
      </w:r>
      <w:r w:rsidR="00EB7065" w:rsidRPr="00F35404">
        <w:t>ersu</w:t>
      </w:r>
      <w:r w:rsidRPr="00F35404">
        <w:t>s EU-</w:t>
      </w:r>
      <w:r w:rsidR="00667F81" w:rsidRPr="00F35404">
        <w:t>Avastin</w:t>
      </w:r>
      <w:r w:rsidRPr="00F35404">
        <w:t xml:space="preserve">, 86 </w:t>
      </w:r>
      <w:r w:rsidR="00EB7065" w:rsidRPr="00F35404">
        <w:t>(</w:t>
      </w:r>
      <w:r w:rsidRPr="00F35404">
        <w:t>26%</w:t>
      </w:r>
      <w:r w:rsidR="00EB7065" w:rsidRPr="00F35404">
        <w:t>)</w:t>
      </w:r>
      <w:r w:rsidRPr="00F35404">
        <w:t>)</w:t>
      </w:r>
    </w:p>
    <w:p w14:paraId="10061B74" w14:textId="1A395B4A" w:rsidR="003B68E0" w:rsidRPr="00F35404" w:rsidRDefault="003B68E0" w:rsidP="002F0941">
      <w:pPr>
        <w:pStyle w:val="ListBullet"/>
      </w:pPr>
      <w:r w:rsidRPr="00F35404">
        <w:t xml:space="preserve">Asthenia (MYL-1402O, 53 </w:t>
      </w:r>
      <w:r w:rsidR="00EB7065" w:rsidRPr="00F35404">
        <w:t>(</w:t>
      </w:r>
      <w:r w:rsidRPr="00F35404">
        <w:t>16%</w:t>
      </w:r>
      <w:r w:rsidR="00EB7065" w:rsidRPr="00F35404">
        <w:t>)</w:t>
      </w:r>
      <w:r w:rsidRPr="00F35404">
        <w:t xml:space="preserve"> v</w:t>
      </w:r>
      <w:r w:rsidR="00EB7065" w:rsidRPr="00F35404">
        <w:t>ersu</w:t>
      </w:r>
      <w:r w:rsidRPr="00F35404">
        <w:t>s EU-</w:t>
      </w:r>
      <w:r w:rsidR="00667F81" w:rsidRPr="00F35404">
        <w:t>Avastin</w:t>
      </w:r>
      <w:r w:rsidRPr="00F35404">
        <w:t xml:space="preserve">, 33 </w:t>
      </w:r>
      <w:r w:rsidR="00EB7065" w:rsidRPr="00F35404">
        <w:t>(</w:t>
      </w:r>
      <w:r w:rsidRPr="00F35404">
        <w:t>10%</w:t>
      </w:r>
      <w:r w:rsidR="00EB7065" w:rsidRPr="00F35404">
        <w:t>)</w:t>
      </w:r>
      <w:r w:rsidRPr="00F35404">
        <w:t>)</w:t>
      </w:r>
    </w:p>
    <w:p w14:paraId="5557FA6B" w14:textId="1AD8D589" w:rsidR="003B68E0" w:rsidRPr="00F35404" w:rsidRDefault="003B68E0" w:rsidP="002F0941">
      <w:pPr>
        <w:pStyle w:val="ListBullet"/>
      </w:pPr>
      <w:r w:rsidRPr="00F35404">
        <w:t xml:space="preserve">Vomiting (MYL-1402O, 56 </w:t>
      </w:r>
      <w:r w:rsidR="00EB7065" w:rsidRPr="00F35404">
        <w:t>(</w:t>
      </w:r>
      <w:r w:rsidRPr="00F35404">
        <w:t>16.7%</w:t>
      </w:r>
      <w:r w:rsidR="00EB7065" w:rsidRPr="00F35404">
        <w:t>)</w:t>
      </w:r>
      <w:r w:rsidRPr="00F35404">
        <w:t xml:space="preserve"> v</w:t>
      </w:r>
      <w:r w:rsidR="00EB7065" w:rsidRPr="00F35404">
        <w:t>ersu</w:t>
      </w:r>
      <w:r w:rsidRPr="00F35404">
        <w:t>s EU-</w:t>
      </w:r>
      <w:r w:rsidR="00667F81" w:rsidRPr="00F35404">
        <w:t>Avastin</w:t>
      </w:r>
      <w:r w:rsidRPr="00F35404">
        <w:t xml:space="preserve">, 38 </w:t>
      </w:r>
      <w:r w:rsidR="00EB7065" w:rsidRPr="00F35404">
        <w:t>(</w:t>
      </w:r>
      <w:r w:rsidRPr="00F35404">
        <w:t>11.6%</w:t>
      </w:r>
      <w:r w:rsidR="00EB7065" w:rsidRPr="00F35404">
        <w:t>)</w:t>
      </w:r>
      <w:r w:rsidRPr="00F35404">
        <w:t>)</w:t>
      </w:r>
    </w:p>
    <w:p w14:paraId="2B2ECD70" w14:textId="01141554" w:rsidR="003B68E0" w:rsidRPr="00F35404" w:rsidRDefault="00EB7065" w:rsidP="002F0941">
      <w:r w:rsidRPr="00F35404">
        <w:t>Treatment emergent adverse events</w:t>
      </w:r>
      <w:r w:rsidR="003B68E0" w:rsidRPr="00F35404">
        <w:t xml:space="preserve"> led to permanent discontinuation of treatment in 11% of the MYL-1402O arm and 9% of the EU-</w:t>
      </w:r>
      <w:r w:rsidR="00667F81" w:rsidRPr="00F35404">
        <w:t>Avastin</w:t>
      </w:r>
      <w:r w:rsidR="003B68E0" w:rsidRPr="00F35404">
        <w:t xml:space="preserve"> </w:t>
      </w:r>
      <w:proofErr w:type="gramStart"/>
      <w:r w:rsidR="003B68E0" w:rsidRPr="00F35404">
        <w:t>arm, and</w:t>
      </w:r>
      <w:proofErr w:type="gramEnd"/>
      <w:r w:rsidR="003B68E0" w:rsidRPr="00F35404">
        <w:t xml:space="preserve"> were fatal in 25 patients (7.5%) in the MYL-1204O arm and 14 patients (4.3%) in the EU-</w:t>
      </w:r>
      <w:r w:rsidR="00667F81" w:rsidRPr="00F35404">
        <w:t>Avastin</w:t>
      </w:r>
      <w:r w:rsidR="003B68E0" w:rsidRPr="00F35404">
        <w:t xml:space="preserve"> arm.</w:t>
      </w:r>
    </w:p>
    <w:p w14:paraId="3D8C111D" w14:textId="218BDC61" w:rsidR="003B68E0" w:rsidRPr="00F35404" w:rsidRDefault="003B68E0" w:rsidP="002F0941">
      <w:r w:rsidRPr="00F35404">
        <w:t>Fatal TEAEs that were considered treatment</w:t>
      </w:r>
      <w:r w:rsidR="00EB7065" w:rsidRPr="00F35404">
        <w:t xml:space="preserve"> </w:t>
      </w:r>
      <w:r w:rsidRPr="00F35404">
        <w:t>related by the investigator occurred in 8</w:t>
      </w:r>
      <w:r w:rsidR="00EB7065" w:rsidRPr="00F35404">
        <w:t> </w:t>
      </w:r>
      <w:r w:rsidRPr="00F35404">
        <w:t xml:space="preserve">(2.4%) patients in the MYL-1402O arm (pulmonary embolism </w:t>
      </w:r>
      <w:r w:rsidR="00EB7065" w:rsidRPr="00F35404">
        <w:t>(</w:t>
      </w:r>
      <w:r w:rsidRPr="00F35404">
        <w:t>n</w:t>
      </w:r>
      <w:r w:rsidR="00EB7065" w:rsidRPr="00F35404">
        <w:t xml:space="preserve"> </w:t>
      </w:r>
      <w:r w:rsidRPr="00F35404">
        <w:t>=</w:t>
      </w:r>
      <w:r w:rsidR="00EB7065" w:rsidRPr="00F35404">
        <w:t xml:space="preserve"> </w:t>
      </w:r>
      <w:r w:rsidRPr="00F35404">
        <w:t>2</w:t>
      </w:r>
      <w:r w:rsidR="00EB7065" w:rsidRPr="00F35404">
        <w:t>)</w:t>
      </w:r>
      <w:r w:rsidRPr="00F35404">
        <w:t xml:space="preserve">; pulmonary haemorrhage </w:t>
      </w:r>
      <w:r w:rsidR="00EB7065" w:rsidRPr="00F35404">
        <w:t>(</w:t>
      </w:r>
      <w:r w:rsidRPr="00F35404">
        <w:t>n</w:t>
      </w:r>
      <w:r w:rsidR="00EB7065" w:rsidRPr="00F35404">
        <w:t xml:space="preserve"> </w:t>
      </w:r>
      <w:r w:rsidRPr="00F35404">
        <w:t>=</w:t>
      </w:r>
      <w:r w:rsidR="00EB7065" w:rsidRPr="00F35404">
        <w:t xml:space="preserve"> </w:t>
      </w:r>
      <w:r w:rsidRPr="00F35404">
        <w:t>2</w:t>
      </w:r>
      <w:r w:rsidR="00EB7065" w:rsidRPr="00F35404">
        <w:t>)</w:t>
      </w:r>
      <w:r w:rsidRPr="00F35404">
        <w:t>; cardiorespiratory arrest; acute coronary syndrome; gastric perforation; cerebrovascular accident) and 5 (1.5%) patients in the EU-</w:t>
      </w:r>
      <w:r w:rsidR="00667F81" w:rsidRPr="00F35404">
        <w:t>Avastin</w:t>
      </w:r>
      <w:r w:rsidRPr="00F35404">
        <w:t xml:space="preserve"> arm (sepsis </w:t>
      </w:r>
      <w:r w:rsidR="00EB7065" w:rsidRPr="00F35404">
        <w:t>(</w:t>
      </w:r>
      <w:r w:rsidRPr="00F35404">
        <w:t>n</w:t>
      </w:r>
      <w:r w:rsidR="00EB7065" w:rsidRPr="00F35404">
        <w:t xml:space="preserve"> </w:t>
      </w:r>
      <w:r w:rsidRPr="00F35404">
        <w:t>=</w:t>
      </w:r>
      <w:r w:rsidR="00EB7065" w:rsidRPr="00F35404">
        <w:t xml:space="preserve"> </w:t>
      </w:r>
      <w:r w:rsidRPr="00F35404">
        <w:t>2</w:t>
      </w:r>
      <w:r w:rsidR="00EB7065" w:rsidRPr="00F35404">
        <w:t>)</w:t>
      </w:r>
      <w:r w:rsidRPr="00F35404">
        <w:t>; febrile neutropenia; acute respiratory distress syndrome; pulmonary haemorrhage).</w:t>
      </w:r>
    </w:p>
    <w:p w14:paraId="41794DB1" w14:textId="62A80DFF" w:rsidR="003B68E0" w:rsidRPr="00F35404" w:rsidRDefault="003B68E0" w:rsidP="002F0941">
      <w:r w:rsidRPr="00F35404">
        <w:t xml:space="preserve">Adverse events of interest were nominated based on the known toxicity profile of </w:t>
      </w:r>
      <w:proofErr w:type="gramStart"/>
      <w:r w:rsidRPr="00F35404">
        <w:t>bevacizumab, and</w:t>
      </w:r>
      <w:proofErr w:type="gramEnd"/>
      <w:r w:rsidRPr="00F35404">
        <w:t xml:space="preserve"> were similar between arms as demonstrated by standardised </w:t>
      </w:r>
      <w:r w:rsidR="00395E83" w:rsidRPr="00F35404">
        <w:t>Medical Dictionary for Regulatory Activities (</w:t>
      </w:r>
      <w:r w:rsidRPr="00F35404">
        <w:t>MedDRA</w:t>
      </w:r>
      <w:r w:rsidR="00395E83" w:rsidRPr="00F35404">
        <w:t>)</w:t>
      </w:r>
      <w:r w:rsidR="00395E83" w:rsidRPr="00F35404">
        <w:rPr>
          <w:rStyle w:val="FootnoteReference"/>
        </w:rPr>
        <w:footnoteReference w:id="15"/>
      </w:r>
      <w:r w:rsidRPr="00F35404">
        <w:t xml:space="preserve"> </w:t>
      </w:r>
      <w:r w:rsidR="00395E83" w:rsidRPr="00F35404">
        <w:t>Q</w:t>
      </w:r>
      <w:r w:rsidRPr="00F35404">
        <w:t>uery (SMQ)</w:t>
      </w:r>
      <w:r w:rsidR="00395E83" w:rsidRPr="00F35404">
        <w:rPr>
          <w:rStyle w:val="FootnoteReference"/>
        </w:rPr>
        <w:footnoteReference w:id="16"/>
      </w:r>
      <w:r w:rsidRPr="00F35404">
        <w:t xml:space="preserve"> grouping (</w:t>
      </w:r>
      <w:r w:rsidRPr="00F35404">
        <w:fldChar w:fldCharType="begin"/>
      </w:r>
      <w:r w:rsidRPr="00F35404">
        <w:instrText xml:space="preserve"> REF _Ref70348910 \h </w:instrText>
      </w:r>
      <w:r w:rsidR="002F0941" w:rsidRPr="00F35404">
        <w:instrText xml:space="preserve"> \* MERGEFORMAT </w:instrText>
      </w:r>
      <w:r w:rsidRPr="00F35404">
        <w:fldChar w:fldCharType="separate"/>
      </w:r>
      <w:r w:rsidR="00D0686E" w:rsidRPr="00F35404">
        <w:t xml:space="preserve">Table </w:t>
      </w:r>
      <w:r w:rsidR="00D0686E">
        <w:t>11</w:t>
      </w:r>
      <w:r w:rsidRPr="00F35404">
        <w:fldChar w:fldCharType="end"/>
      </w:r>
      <w:r w:rsidRPr="00F35404">
        <w:t>).</w:t>
      </w:r>
    </w:p>
    <w:p w14:paraId="65A65611" w14:textId="4D4C1253" w:rsidR="003B68E0" w:rsidRPr="00F35404" w:rsidRDefault="003B68E0" w:rsidP="002F0941">
      <w:pPr>
        <w:pStyle w:val="TableTitle"/>
      </w:pPr>
      <w:bookmarkStart w:id="66" w:name="_Ref70348910"/>
      <w:r w:rsidRPr="00F35404">
        <w:lastRenderedPageBreak/>
        <w:t xml:space="preserve">Table </w:t>
      </w:r>
      <w:fldSimple w:instr=" SEQ Table \* ARABIC ">
        <w:r w:rsidR="00D0686E">
          <w:rPr>
            <w:noProof/>
          </w:rPr>
          <w:t>11</w:t>
        </w:r>
      </w:fldSimple>
      <w:bookmarkEnd w:id="66"/>
      <w:r w:rsidR="00E26BE3" w:rsidRPr="00F35404">
        <w:t xml:space="preserve">: Study </w:t>
      </w:r>
      <w:r w:rsidR="00E26BE3" w:rsidRPr="00F35404">
        <w:rPr>
          <w:szCs w:val="19"/>
          <w:lang w:eastAsia="ja-JP"/>
        </w:rPr>
        <w:t xml:space="preserve">MYL-1402O-3001 </w:t>
      </w:r>
      <w:r w:rsidRPr="00F35404">
        <w:t>Adverse events of interest that occurred in at least 2 patients in either arm</w:t>
      </w:r>
      <w:r w:rsidR="00E26BE3" w:rsidRPr="00F35404">
        <w:t xml:space="preserve"> </w:t>
      </w:r>
      <w:r w:rsidRPr="00F35404">
        <w:t xml:space="preserve">(safety set, data through </w:t>
      </w:r>
      <w:r w:rsidR="00395E83" w:rsidRPr="00F35404">
        <w:t xml:space="preserve">Week </w:t>
      </w:r>
      <w:r w:rsidRPr="00F35404">
        <w:t>42)</w:t>
      </w:r>
    </w:p>
    <w:p w14:paraId="607AC2F5" w14:textId="3A50A236" w:rsidR="00395E83" w:rsidRPr="00F35404" w:rsidRDefault="00395E83" w:rsidP="002F0941">
      <w:pPr>
        <w:pStyle w:val="TableTitle"/>
      </w:pPr>
      <w:r w:rsidRPr="00F35404">
        <w:rPr>
          <w:noProof/>
          <w:lang w:val="en-GB" w:eastAsia="en-GB"/>
        </w:rPr>
        <w:drawing>
          <wp:inline distT="0" distB="0" distL="0" distR="0" wp14:anchorId="238EA77C" wp14:editId="7712B09C">
            <wp:extent cx="4564162" cy="5063837"/>
            <wp:effectExtent l="0" t="0" r="8255" b="3810"/>
            <wp:docPr id="5" name="Picture 5" descr="Study MYL-1402O-3001 Adverse events of interest that occurred in at least 2 patients in either arm (safety set, data through Week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tudy MYL-1402O-3001 Adverse events of interest that occurred in at least 2 patients in either arm (safety set, data through Week 42)"/>
                    <pic:cNvPicPr/>
                  </pic:nvPicPr>
                  <pic:blipFill>
                    <a:blip r:embed="rId16"/>
                    <a:stretch>
                      <a:fillRect/>
                    </a:stretch>
                  </pic:blipFill>
                  <pic:spPr>
                    <a:xfrm>
                      <a:off x="0" y="0"/>
                      <a:ext cx="4570338" cy="5070689"/>
                    </a:xfrm>
                    <a:prstGeom prst="rect">
                      <a:avLst/>
                    </a:prstGeom>
                  </pic:spPr>
                </pic:pic>
              </a:graphicData>
            </a:graphic>
          </wp:inline>
        </w:drawing>
      </w:r>
    </w:p>
    <w:p w14:paraId="1047CC67" w14:textId="17762C2E" w:rsidR="00395E83" w:rsidRPr="00F35404" w:rsidRDefault="00B6743D" w:rsidP="00773BC7">
      <w:pPr>
        <w:pStyle w:val="TableDescription"/>
      </w:pPr>
      <w:r>
        <w:t>MYL-1402O = p</w:t>
      </w:r>
      <w:r w:rsidRPr="00B6743D">
        <w:t>roduct code for Abevmy formulation intended for marketing in Australia</w:t>
      </w:r>
      <w:r>
        <w:t xml:space="preserve">; </w:t>
      </w:r>
      <w:r w:rsidR="00773BC7" w:rsidRPr="00F35404">
        <w:t xml:space="preserve">N = population size; n = sample size; </w:t>
      </w:r>
      <w:r w:rsidR="00395E83" w:rsidRPr="00F35404">
        <w:t>SMQ = standard medical query</w:t>
      </w:r>
      <w:r w:rsidR="00773BC7" w:rsidRPr="00F35404">
        <w:t>.</w:t>
      </w:r>
    </w:p>
    <w:p w14:paraId="11BE12F7" w14:textId="3E89D2FC" w:rsidR="003B68E0" w:rsidRPr="00F35404" w:rsidRDefault="00395E83" w:rsidP="005843A8">
      <w:pPr>
        <w:pStyle w:val="Heading5"/>
        <w:rPr>
          <w:lang w:eastAsia="ja-JP"/>
        </w:rPr>
      </w:pPr>
      <w:r w:rsidRPr="00F35404">
        <w:rPr>
          <w:lang w:eastAsia="ja-JP"/>
        </w:rPr>
        <w:t xml:space="preserve">Study </w:t>
      </w:r>
      <w:r w:rsidR="003B68E0" w:rsidRPr="00F35404">
        <w:rPr>
          <w:lang w:eastAsia="ja-JP"/>
        </w:rPr>
        <w:t>BM100-CC-03-1-01</w:t>
      </w:r>
    </w:p>
    <w:p w14:paraId="43EA4B2C" w14:textId="6177351D" w:rsidR="003B68E0" w:rsidRPr="00F35404" w:rsidRDefault="003B68E0" w:rsidP="002F0941">
      <w:r w:rsidRPr="00F35404">
        <w:t>Interpretation of the safety data from this study is limited by the small study size, short duration (18 weeks) and the use of a different formulation (Bmab-100) to the one intended for Australian marketing (MYL-1402O).</w:t>
      </w:r>
    </w:p>
    <w:p w14:paraId="0E52AEBB" w14:textId="36E98487" w:rsidR="003B68E0" w:rsidRPr="00F35404" w:rsidRDefault="003B68E0" w:rsidP="002F0941">
      <w:r w:rsidRPr="00F35404">
        <w:t>The main objective of Part 1 (n</w:t>
      </w:r>
      <w:r w:rsidR="00395E83" w:rsidRPr="00F35404">
        <w:t xml:space="preserve"> </w:t>
      </w:r>
      <w:r w:rsidRPr="00F35404">
        <w:t>=</w:t>
      </w:r>
      <w:r w:rsidR="00395E83" w:rsidRPr="00F35404">
        <w:t xml:space="preserve"> </w:t>
      </w:r>
      <w:r w:rsidRPr="00F35404">
        <w:t>10) was to assess infusion reactions with first dose of Bmab-100. No infusion</w:t>
      </w:r>
      <w:r w:rsidR="00395E83" w:rsidRPr="00F35404">
        <w:t xml:space="preserve"> </w:t>
      </w:r>
      <w:r w:rsidRPr="00F35404">
        <w:t>related reactions occurred. The most frequent TEAE was palmar</w:t>
      </w:r>
      <w:r w:rsidR="00395E83" w:rsidRPr="00F35404">
        <w:noBreakHyphen/>
      </w:r>
      <w:r w:rsidRPr="00F35404">
        <w:t xml:space="preserve">planter </w:t>
      </w:r>
      <w:proofErr w:type="spellStart"/>
      <w:r w:rsidRPr="00F35404">
        <w:t>erythrodysaesthesia</w:t>
      </w:r>
      <w:proofErr w:type="spellEnd"/>
      <w:r w:rsidRPr="00F35404">
        <w:t xml:space="preserve"> syndrome (6 events): a toxicity known to be associated with capecitabine </w:t>
      </w:r>
      <w:bookmarkStart w:id="67" w:name="_Ref70337155"/>
      <w:r w:rsidRPr="00F35404">
        <w:t>treatment.</w:t>
      </w:r>
      <w:bookmarkStart w:id="68" w:name="_Ref70345194"/>
      <w:r w:rsidR="00395E83" w:rsidRPr="00F35404">
        <w:rPr>
          <w:rStyle w:val="FootnoteReference"/>
        </w:rPr>
        <w:footnoteReference w:id="17"/>
      </w:r>
      <w:bookmarkEnd w:id="67"/>
      <w:bookmarkEnd w:id="68"/>
    </w:p>
    <w:p w14:paraId="1505E3F3" w14:textId="6B92B1B2" w:rsidR="003B68E0" w:rsidRPr="00F35404" w:rsidRDefault="003B68E0" w:rsidP="002F0941">
      <w:r w:rsidRPr="00F35404">
        <w:t>In Part 2, the safety population comprised 68 patients treated with Bmab-100 and 67</w:t>
      </w:r>
      <w:r w:rsidR="000E77B0">
        <w:t> </w:t>
      </w:r>
      <w:r w:rsidRPr="00F35404">
        <w:t>patients treated with EU-</w:t>
      </w:r>
      <w:r w:rsidR="00667F81" w:rsidRPr="00F35404">
        <w:t>Avastin</w:t>
      </w:r>
      <w:r w:rsidRPr="00F35404">
        <w:t>. Bevacizumab exposure was similar between arms, and the observed safety profile was in keeping with the known toxicity profile of bevacizumab plus capecitabine in context of metastatic colorectal carcinoma.</w:t>
      </w:r>
      <w:r w:rsidR="00EC5242" w:rsidRPr="00F35404">
        <w:rPr>
          <w:vertAlign w:val="superscript"/>
        </w:rPr>
        <w:fldChar w:fldCharType="begin"/>
      </w:r>
      <w:r w:rsidR="00EC5242" w:rsidRPr="00F35404">
        <w:rPr>
          <w:vertAlign w:val="superscript"/>
        </w:rPr>
        <w:instrText xml:space="preserve"> NOTEREF _Ref70345194 \h  \* MERGEFORMAT </w:instrText>
      </w:r>
      <w:r w:rsidR="00EC5242" w:rsidRPr="00F35404">
        <w:rPr>
          <w:vertAlign w:val="superscript"/>
        </w:rPr>
      </w:r>
      <w:r w:rsidR="00EC5242" w:rsidRPr="00F35404">
        <w:rPr>
          <w:vertAlign w:val="superscript"/>
        </w:rPr>
        <w:fldChar w:fldCharType="separate"/>
      </w:r>
      <w:r w:rsidR="00D0686E">
        <w:rPr>
          <w:vertAlign w:val="superscript"/>
        </w:rPr>
        <w:t>17</w:t>
      </w:r>
      <w:r w:rsidR="00EC5242" w:rsidRPr="00F35404">
        <w:rPr>
          <w:vertAlign w:val="superscript"/>
        </w:rPr>
        <w:fldChar w:fldCharType="end"/>
      </w:r>
      <w:r w:rsidR="00EC5242" w:rsidRPr="00F35404">
        <w:rPr>
          <w:vertAlign w:val="superscript"/>
        </w:rPr>
        <w:t>,</w:t>
      </w:r>
      <w:r w:rsidR="00957E76" w:rsidRPr="00F35404">
        <w:rPr>
          <w:vertAlign w:val="superscript"/>
        </w:rPr>
        <w:fldChar w:fldCharType="begin"/>
      </w:r>
      <w:r w:rsidR="00957E76" w:rsidRPr="00F35404">
        <w:rPr>
          <w:vertAlign w:val="superscript"/>
        </w:rPr>
        <w:instrText xml:space="preserve"> NOTEREF _Ref90392151 \h </w:instrText>
      </w:r>
      <w:r w:rsidR="00F35404">
        <w:rPr>
          <w:vertAlign w:val="superscript"/>
        </w:rPr>
        <w:instrText xml:space="preserve"> \* MERGEFORMAT </w:instrText>
      </w:r>
      <w:r w:rsidR="00957E76" w:rsidRPr="00F35404">
        <w:rPr>
          <w:vertAlign w:val="superscript"/>
        </w:rPr>
      </w:r>
      <w:r w:rsidR="00957E76" w:rsidRPr="00F35404">
        <w:rPr>
          <w:vertAlign w:val="superscript"/>
        </w:rPr>
        <w:fldChar w:fldCharType="separate"/>
      </w:r>
      <w:r w:rsidR="00D0686E">
        <w:rPr>
          <w:vertAlign w:val="superscript"/>
        </w:rPr>
        <w:t>6</w:t>
      </w:r>
      <w:r w:rsidR="00957E76" w:rsidRPr="00F35404">
        <w:rPr>
          <w:vertAlign w:val="superscript"/>
        </w:rPr>
        <w:fldChar w:fldCharType="end"/>
      </w:r>
      <w:r w:rsidRPr="00F35404">
        <w:t xml:space="preserve"> Palmar-</w:t>
      </w:r>
      <w:r w:rsidRPr="00F35404">
        <w:lastRenderedPageBreak/>
        <w:t xml:space="preserve">planter </w:t>
      </w:r>
      <w:proofErr w:type="spellStart"/>
      <w:r w:rsidRPr="00F35404">
        <w:t>erythrodysaesthesia</w:t>
      </w:r>
      <w:proofErr w:type="spellEnd"/>
      <w:r w:rsidRPr="00F35404">
        <w:t xml:space="preserve"> syndrome and diarrhoea were the most common TEAEs, in keeping with the co-administration of capecitabine.</w:t>
      </w:r>
      <w:r w:rsidR="00957E76" w:rsidRPr="00F35404">
        <w:rPr>
          <w:vertAlign w:val="superscript"/>
        </w:rPr>
        <w:fldChar w:fldCharType="begin"/>
      </w:r>
      <w:r w:rsidR="00957E76" w:rsidRPr="00F35404">
        <w:rPr>
          <w:vertAlign w:val="superscript"/>
        </w:rPr>
        <w:instrText xml:space="preserve"> NOTEREF _Ref70345194 \h  \* MERGEFORMAT </w:instrText>
      </w:r>
      <w:r w:rsidR="00957E76" w:rsidRPr="00F35404">
        <w:rPr>
          <w:vertAlign w:val="superscript"/>
        </w:rPr>
      </w:r>
      <w:r w:rsidR="00957E76" w:rsidRPr="00F35404">
        <w:rPr>
          <w:vertAlign w:val="superscript"/>
        </w:rPr>
        <w:fldChar w:fldCharType="separate"/>
      </w:r>
      <w:r w:rsidR="00D0686E">
        <w:rPr>
          <w:vertAlign w:val="superscript"/>
        </w:rPr>
        <w:t>17</w:t>
      </w:r>
      <w:r w:rsidR="00957E76" w:rsidRPr="00F35404">
        <w:rPr>
          <w:vertAlign w:val="superscript"/>
        </w:rPr>
        <w:fldChar w:fldCharType="end"/>
      </w:r>
    </w:p>
    <w:p w14:paraId="2CA34395" w14:textId="77777777" w:rsidR="008E7846" w:rsidRPr="00F35404" w:rsidRDefault="00386150" w:rsidP="007B6132">
      <w:pPr>
        <w:pStyle w:val="Heading3"/>
        <w:rPr>
          <w:lang w:eastAsia="en-AU"/>
        </w:rPr>
      </w:pPr>
      <w:bookmarkStart w:id="69" w:name="_Toc94253949"/>
      <w:r w:rsidRPr="00F35404">
        <w:rPr>
          <w:lang w:eastAsia="en-AU"/>
        </w:rPr>
        <w:t>Risk m</w:t>
      </w:r>
      <w:r w:rsidR="008E7846" w:rsidRPr="00F35404">
        <w:rPr>
          <w:lang w:eastAsia="en-AU"/>
        </w:rPr>
        <w:t xml:space="preserve">anagement </w:t>
      </w:r>
      <w:r w:rsidRPr="00F35404">
        <w:rPr>
          <w:lang w:eastAsia="en-AU"/>
        </w:rPr>
        <w:t>p</w:t>
      </w:r>
      <w:r w:rsidR="008E7846" w:rsidRPr="00F35404">
        <w:rPr>
          <w:lang w:eastAsia="en-AU"/>
        </w:rPr>
        <w:t>lan</w:t>
      </w:r>
      <w:bookmarkEnd w:id="44"/>
      <w:bookmarkEnd w:id="69"/>
    </w:p>
    <w:p w14:paraId="6A9C3B79" w14:textId="77777777" w:rsidR="008E7846" w:rsidRPr="00F35404" w:rsidRDefault="007D53B6" w:rsidP="007D53B6">
      <w:r w:rsidRPr="00F35404">
        <w:t>There was no requirement for a risk management plan evaluation for a submission of this type.</w:t>
      </w:r>
      <w:r w:rsidRPr="00F35404">
        <w:rPr>
          <w:rStyle w:val="FootnoteReference"/>
        </w:rPr>
        <w:footnoteReference w:id="18"/>
      </w:r>
    </w:p>
    <w:p w14:paraId="06A2918A" w14:textId="77777777" w:rsidR="008E7846" w:rsidRPr="00F35404" w:rsidRDefault="00AA0ED0" w:rsidP="008E7846">
      <w:pPr>
        <w:pStyle w:val="Heading3"/>
      </w:pPr>
      <w:bookmarkStart w:id="70" w:name="_Toc247691531"/>
      <w:bookmarkStart w:id="71" w:name="_Toc314842515"/>
      <w:bookmarkStart w:id="72" w:name="_Toc94253950"/>
      <w:bookmarkStart w:id="73" w:name="_Toc196046505"/>
      <w:bookmarkStart w:id="74" w:name="_Toc196046949"/>
      <w:r w:rsidRPr="00F35404">
        <w:t>Risk-benefit a</w:t>
      </w:r>
      <w:r w:rsidR="008E7846" w:rsidRPr="00F35404">
        <w:t>nalysis</w:t>
      </w:r>
      <w:bookmarkEnd w:id="70"/>
      <w:bookmarkEnd w:id="71"/>
      <w:bookmarkEnd w:id="72"/>
    </w:p>
    <w:p w14:paraId="25B602EC" w14:textId="77777777" w:rsidR="00D23139" w:rsidRPr="00F35404" w:rsidRDefault="007D53B6" w:rsidP="00D23139">
      <w:pPr>
        <w:pStyle w:val="Heading4"/>
      </w:pPr>
      <w:r w:rsidRPr="00F35404">
        <w:t>Delegate’s considerations</w:t>
      </w:r>
    </w:p>
    <w:p w14:paraId="7611CFEA" w14:textId="071B1D81" w:rsidR="003B68E0" w:rsidRPr="00F35404" w:rsidRDefault="003B68E0" w:rsidP="002F0941">
      <w:r w:rsidRPr="00F35404">
        <w:t>Assessment of the appropriateness of extrapolation to the other indications registered for the reference biological medicine is structured here around the summary of key principles outlined by Weise et al (2014).</w:t>
      </w:r>
      <w:r w:rsidR="00AB1089" w:rsidRPr="00F35404">
        <w:rPr>
          <w:rStyle w:val="FootnoteReference"/>
        </w:rPr>
        <w:footnoteReference w:id="19"/>
      </w:r>
      <w:r w:rsidRPr="00F35404">
        <w:t xml:space="preserve"> In biosimilar development, the objective of the data package is to show similarity between test and reference product, rather than to re</w:t>
      </w:r>
      <w:r w:rsidR="00AB242B">
        <w:noBreakHyphen/>
      </w:r>
      <w:r w:rsidRPr="00F35404">
        <w:t>establish the safety and efficacy of the reference product for the approved indications.</w:t>
      </w:r>
    </w:p>
    <w:p w14:paraId="246236BA" w14:textId="6263E3CF" w:rsidR="003B68E0" w:rsidRPr="00F35404" w:rsidRDefault="003B68E0" w:rsidP="002F0941">
      <w:r w:rsidRPr="00F35404">
        <w:t xml:space="preserve">Being a monoclonal antibody, bevacizumab has a single, specific target (VEGF) and </w:t>
      </w:r>
      <w:r w:rsidR="00AB242B">
        <w:t>well</w:t>
      </w:r>
      <w:r w:rsidR="00AB242B">
        <w:noBreakHyphen/>
      </w:r>
      <w:r w:rsidR="00AB242B" w:rsidRPr="00F35404">
        <w:t>studied</w:t>
      </w:r>
      <w:r w:rsidRPr="00F35404">
        <w:t xml:space="preserve"> mechanism of action (attenuation of activation of downstream </w:t>
      </w:r>
      <w:r w:rsidR="00395E83" w:rsidRPr="00F35404">
        <w:t>signalling</w:t>
      </w:r>
      <w:r w:rsidRPr="00F35404">
        <w:t xml:space="preserve"> pathways). The target receptor and mechanism of action are the same across all indications that are approved for the reference biological medicine.</w:t>
      </w:r>
    </w:p>
    <w:p w14:paraId="66DA34A4" w14:textId="5E55332B" w:rsidR="003B68E0" w:rsidRPr="00F35404" w:rsidRDefault="003B68E0" w:rsidP="002F0941">
      <w:r w:rsidRPr="00F35404">
        <w:t xml:space="preserve">The route of administration is the same across </w:t>
      </w:r>
      <w:r w:rsidR="00AB242B">
        <w:t xml:space="preserve">all </w:t>
      </w:r>
      <w:r w:rsidRPr="00F35404">
        <w:t xml:space="preserve">indications. Dosages vary across indications from 5 mg/kg of body weight given once every 2 weeks to 15 mg/kg given every 3 weeks, however, the high similarity between the pharmacokinetics of </w:t>
      </w:r>
      <w:r w:rsidR="00667F81" w:rsidRPr="00F35404">
        <w:t>Abevmy</w:t>
      </w:r>
      <w:r w:rsidRPr="00F35404">
        <w:t xml:space="preserve"> and </w:t>
      </w:r>
      <w:r w:rsidR="00667F81" w:rsidRPr="00F35404">
        <w:t>Avastin</w:t>
      </w:r>
      <w:r w:rsidRPr="00F35404">
        <w:t xml:space="preserve"> supports extrapolation of the supporting efficacy and safety comparability data </w:t>
      </w:r>
      <w:r w:rsidR="00AB242B">
        <w:t xml:space="preserve">for </w:t>
      </w:r>
      <w:r w:rsidR="00AB242B" w:rsidRPr="00F35404">
        <w:t xml:space="preserve">Abevmy </w:t>
      </w:r>
      <w:r w:rsidRPr="00F35404">
        <w:t>to the doses used in all registered bevacizumab indications.</w:t>
      </w:r>
    </w:p>
    <w:p w14:paraId="5C2264D2" w14:textId="4E410E02" w:rsidR="003B68E0" w:rsidRPr="00F35404" w:rsidRDefault="00667F81" w:rsidP="002F0941">
      <w:r w:rsidRPr="00F35404">
        <w:t>Avastin</w:t>
      </w:r>
      <w:r w:rsidR="003B68E0" w:rsidRPr="00F35404">
        <w:t xml:space="preserve"> data shows low immunogenicity across indications, and the submitted trials provide adequate data to demonstrate that </w:t>
      </w:r>
      <w:r w:rsidRPr="00F35404">
        <w:t>Abevmy</w:t>
      </w:r>
      <w:r w:rsidR="003B68E0" w:rsidRPr="00F35404">
        <w:t xml:space="preserve"> has similar immunogenicity, in settings associated with both immunocompetency (with a single dose in healthy volunteers) and immunocompromise (metastatic NSCLC). This data can accordingly be extrapolated to the other clinical settings in which bevacizumab is registered (breast cancer, renal cell carcinoma, glioma, epithelial ovarian, fallopian tube or primary peritoneal cancer, and cervical cancer) settings.</w:t>
      </w:r>
    </w:p>
    <w:p w14:paraId="2E82C60D" w14:textId="73F3678C" w:rsidR="003B68E0" w:rsidRPr="00F35404" w:rsidRDefault="003B68E0" w:rsidP="002F0941">
      <w:r w:rsidRPr="00F35404">
        <w:t xml:space="preserve">The safety profile of </w:t>
      </w:r>
      <w:r w:rsidR="00667F81" w:rsidRPr="00F35404">
        <w:t>Abevmy</w:t>
      </w:r>
      <w:r w:rsidRPr="00F35404">
        <w:t xml:space="preserve"> was not meaningfully different to </w:t>
      </w:r>
      <w:r w:rsidR="00667F81" w:rsidRPr="00F35404">
        <w:t>Avastin</w:t>
      </w:r>
      <w:r w:rsidRPr="00F35404">
        <w:t xml:space="preserve"> in any of the submitted studies. The data from </w:t>
      </w:r>
      <w:r w:rsidR="00395E83" w:rsidRPr="00F35404">
        <w:t xml:space="preserve">Study </w:t>
      </w:r>
      <w:r w:rsidRPr="00F35404">
        <w:t xml:space="preserve">MYL-1402O-3001 provide the strongest support for this conclusion, due to study design. The follow-up duration of 42 weeks is considered adequate. Extensive safety information has been previously generated for </w:t>
      </w:r>
      <w:proofErr w:type="gramStart"/>
      <w:r w:rsidR="00667F81" w:rsidRPr="00F35404">
        <w:t>Avastin</w:t>
      </w:r>
      <w:r w:rsidRPr="00F35404">
        <w:t>, and</w:t>
      </w:r>
      <w:proofErr w:type="gramEnd"/>
      <w:r w:rsidRPr="00F35404">
        <w:t xml:space="preserve"> indicates that significant differences in attributable toxicities should not be expected between indications.</w:t>
      </w:r>
    </w:p>
    <w:p w14:paraId="69F49A91" w14:textId="12858FC8" w:rsidR="003B68E0" w:rsidRPr="00F35404" w:rsidRDefault="003B68E0" w:rsidP="002F0941">
      <w:r w:rsidRPr="00F35404">
        <w:t xml:space="preserve">Extrapolation of data from the </w:t>
      </w:r>
      <w:proofErr w:type="spellStart"/>
      <w:r w:rsidR="00667F81" w:rsidRPr="00F35404">
        <w:t>Abevmy</w:t>
      </w:r>
      <w:proofErr w:type="spellEnd"/>
      <w:r w:rsidRPr="00F35404">
        <w:t xml:space="preserve"> </w:t>
      </w:r>
      <w:proofErr w:type="spellStart"/>
      <w:r w:rsidRPr="00F35404">
        <w:t>biosimilarity</w:t>
      </w:r>
      <w:proofErr w:type="spellEnd"/>
      <w:r w:rsidRPr="00F35404">
        <w:t xml:space="preserve"> studies to the other registered indications for </w:t>
      </w:r>
      <w:r w:rsidR="00667F81" w:rsidRPr="00F35404">
        <w:t>Avastin</w:t>
      </w:r>
      <w:r w:rsidRPr="00F35404">
        <w:t xml:space="preserve"> is therefore reasonable.</w:t>
      </w:r>
    </w:p>
    <w:p w14:paraId="1A0AAA6B" w14:textId="77777777" w:rsidR="00D23139" w:rsidRPr="00F35404" w:rsidRDefault="00D23139" w:rsidP="00D23139">
      <w:pPr>
        <w:pStyle w:val="Heading4"/>
      </w:pPr>
      <w:r w:rsidRPr="00F35404">
        <w:t>Proposed action</w:t>
      </w:r>
    </w:p>
    <w:p w14:paraId="4455BC0C" w14:textId="247056F3" w:rsidR="003B68E0" w:rsidRPr="00F35404" w:rsidRDefault="003B68E0" w:rsidP="002F0941">
      <w:r w:rsidRPr="00F35404">
        <w:t xml:space="preserve">The totality of evidence for the </w:t>
      </w:r>
      <w:r w:rsidR="00667F81" w:rsidRPr="00F35404">
        <w:t>Abevmy</w:t>
      </w:r>
      <w:r w:rsidRPr="00F35404">
        <w:t xml:space="preserve"> product demonstrates it to be highly </w:t>
      </w:r>
      <w:proofErr w:type="gramStart"/>
      <w:r w:rsidRPr="00F35404">
        <w:t>similar to</w:t>
      </w:r>
      <w:proofErr w:type="gramEnd"/>
      <w:r w:rsidRPr="00F35404">
        <w:t xml:space="preserve"> the reference biological medicine, </w:t>
      </w:r>
      <w:r w:rsidR="00667F81" w:rsidRPr="00F35404">
        <w:t>Avastin</w:t>
      </w:r>
      <w:r w:rsidRPr="00F35404">
        <w:t>.</w:t>
      </w:r>
    </w:p>
    <w:p w14:paraId="281BF233" w14:textId="38E1B6BD" w:rsidR="003B68E0" w:rsidRPr="00F35404" w:rsidRDefault="003B68E0" w:rsidP="002F0941">
      <w:r w:rsidRPr="00F35404">
        <w:lastRenderedPageBreak/>
        <w:t>Extensive physicochemical and biological analysis supports this conclusion. Data from toxicology studies and from three clinical studies provides adequate additional support to the analytic</w:t>
      </w:r>
      <w:r w:rsidR="00AB242B">
        <w:t>al</w:t>
      </w:r>
      <w:r w:rsidRPr="00F35404">
        <w:t xml:space="preserve"> assessment of </w:t>
      </w:r>
      <w:proofErr w:type="spellStart"/>
      <w:proofErr w:type="gramStart"/>
      <w:r w:rsidRPr="00F35404">
        <w:t>biosimilarity</w:t>
      </w:r>
      <w:proofErr w:type="spellEnd"/>
      <w:r w:rsidRPr="00F35404">
        <w:t>, and</w:t>
      </w:r>
      <w:proofErr w:type="gramEnd"/>
      <w:r w:rsidRPr="00F35404">
        <w:t xml:space="preserve"> indicates </w:t>
      </w:r>
      <w:proofErr w:type="spellStart"/>
      <w:r w:rsidR="00667F81" w:rsidRPr="00F35404">
        <w:t>Abevmy</w:t>
      </w:r>
      <w:proofErr w:type="spellEnd"/>
      <w:r w:rsidRPr="00F35404">
        <w:t xml:space="preserve"> does not demonstrate clinically meaningful differences from, and is therapeutically equivalent to, the reference biological medicine </w:t>
      </w:r>
      <w:r w:rsidR="00667F81" w:rsidRPr="00F35404">
        <w:t>Avastin</w:t>
      </w:r>
      <w:r w:rsidRPr="00F35404">
        <w:t>.</w:t>
      </w:r>
    </w:p>
    <w:p w14:paraId="35707D0E" w14:textId="0598D3E3" w:rsidR="003B68E0" w:rsidRPr="00F35404" w:rsidRDefault="003B68E0" w:rsidP="002F0941">
      <w:r w:rsidRPr="00F35404">
        <w:t xml:space="preserve">The proposed indications are identical to those for the reference biological medicine. Although there were no studies conducted for the MYL-1402O formulation of </w:t>
      </w:r>
      <w:r w:rsidR="00667F81" w:rsidRPr="00F35404">
        <w:t>Abevmy</w:t>
      </w:r>
      <w:r w:rsidRPr="00F35404">
        <w:t xml:space="preserve"> in clinical settings other than </w:t>
      </w:r>
      <w:r w:rsidR="00AB242B">
        <w:t xml:space="preserve">non-squamous </w:t>
      </w:r>
      <w:r w:rsidRPr="00F35404">
        <w:t xml:space="preserve">NSCLC, extrapolation to all other indications currently approved in Australia for </w:t>
      </w:r>
      <w:r w:rsidR="00667F81" w:rsidRPr="00F35404">
        <w:t>Avastin</w:t>
      </w:r>
      <w:r w:rsidRPr="00F35404">
        <w:t xml:space="preserve"> is supported.</w:t>
      </w:r>
    </w:p>
    <w:p w14:paraId="4E6A3667" w14:textId="77777777" w:rsidR="008E7846" w:rsidRPr="00F35404" w:rsidRDefault="008E7846" w:rsidP="007D53B6">
      <w:pPr>
        <w:pStyle w:val="Heading4"/>
      </w:pPr>
      <w:r w:rsidRPr="00F35404">
        <w:t xml:space="preserve">Advisory Committee </w:t>
      </w:r>
      <w:r w:rsidR="007D53B6" w:rsidRPr="00F35404">
        <w:t>c</w:t>
      </w:r>
      <w:r w:rsidRPr="00F35404">
        <w:t>onsiderations</w:t>
      </w:r>
      <w:r w:rsidR="00456765" w:rsidRPr="00F35404">
        <w:rPr>
          <w:rStyle w:val="FootnoteReference"/>
        </w:rPr>
        <w:footnoteReference w:id="20"/>
      </w:r>
    </w:p>
    <w:p w14:paraId="4B56A927" w14:textId="77777777" w:rsidR="00744121" w:rsidRPr="00F35404" w:rsidRDefault="00744121" w:rsidP="00744121">
      <w:bookmarkStart w:id="75" w:name="_Toc247691532"/>
      <w:bookmarkStart w:id="76" w:name="_Toc314842516"/>
      <w:bookmarkEnd w:id="33"/>
      <w:bookmarkEnd w:id="73"/>
      <w:bookmarkEnd w:id="74"/>
      <w:r w:rsidRPr="00F35404">
        <w:t>The Delegate did not refer this application to the Advisory Committee on Medicines (ACM) for advice.</w:t>
      </w:r>
    </w:p>
    <w:p w14:paraId="710D9BC8" w14:textId="77777777" w:rsidR="008E7846" w:rsidRPr="00F35404" w:rsidRDefault="008E7846" w:rsidP="008E7846">
      <w:pPr>
        <w:pStyle w:val="Heading3"/>
      </w:pPr>
      <w:bookmarkStart w:id="77" w:name="_Toc94253951"/>
      <w:r w:rsidRPr="00F35404">
        <w:t>Outcome</w:t>
      </w:r>
      <w:bookmarkEnd w:id="75"/>
      <w:bookmarkEnd w:id="76"/>
      <w:bookmarkEnd w:id="77"/>
    </w:p>
    <w:p w14:paraId="321E3C65" w14:textId="53056815" w:rsidR="00744121" w:rsidRPr="00F35404" w:rsidRDefault="00744121" w:rsidP="00744121">
      <w:bookmarkStart w:id="78" w:name="_Toc247691533"/>
      <w:bookmarkStart w:id="79" w:name="_Toc314842517"/>
      <w:r w:rsidRPr="00F35404">
        <w:t xml:space="preserve">Based on a review of quality, </w:t>
      </w:r>
      <w:proofErr w:type="gramStart"/>
      <w:r w:rsidRPr="00F35404">
        <w:t>safety</w:t>
      </w:r>
      <w:proofErr w:type="gramEnd"/>
      <w:r w:rsidRPr="00F35404">
        <w:t xml:space="preserve"> and efficacy, the TGA approved the registration of </w:t>
      </w:r>
      <w:proofErr w:type="spellStart"/>
      <w:r w:rsidR="00667F81" w:rsidRPr="00F35404">
        <w:t>Abevmy</w:t>
      </w:r>
      <w:proofErr w:type="spellEnd"/>
      <w:r w:rsidR="00667F81" w:rsidRPr="00F35404">
        <w:t>/</w:t>
      </w:r>
      <w:proofErr w:type="spellStart"/>
      <w:r w:rsidR="00667F81" w:rsidRPr="00F35404">
        <w:t>Trucleva</w:t>
      </w:r>
      <w:proofErr w:type="spellEnd"/>
      <w:r w:rsidR="00667F81" w:rsidRPr="00F35404">
        <w:t xml:space="preserve"> </w:t>
      </w:r>
      <w:r w:rsidRPr="00F35404">
        <w:t>(</w:t>
      </w:r>
      <w:r w:rsidR="002F7761" w:rsidRPr="00F35404">
        <w:t>bevacizumab</w:t>
      </w:r>
      <w:r w:rsidRPr="00F35404">
        <w:t xml:space="preserve">) </w:t>
      </w:r>
      <w:r w:rsidR="00A1065C" w:rsidRPr="00F35404">
        <w:t>100 mg/4 mL and 400 mg/16 mL</w:t>
      </w:r>
      <w:r w:rsidRPr="00F35404">
        <w:t xml:space="preserve">, </w:t>
      </w:r>
      <w:r w:rsidR="00A1065C" w:rsidRPr="00F35404">
        <w:t xml:space="preserve">concentrate for solution for </w:t>
      </w:r>
      <w:r w:rsidR="00B42BC7">
        <w:t>infusion</w:t>
      </w:r>
      <w:r w:rsidRPr="00F35404">
        <w:t xml:space="preserve">, </w:t>
      </w:r>
      <w:r w:rsidR="00A1065C" w:rsidRPr="00F35404">
        <w:t>vial</w:t>
      </w:r>
      <w:r w:rsidRPr="00F35404">
        <w:t>, indicated for:</w:t>
      </w:r>
    </w:p>
    <w:p w14:paraId="0FEF20A1" w14:textId="77777777" w:rsidR="002F7761" w:rsidRPr="00F35404" w:rsidRDefault="002F7761" w:rsidP="002F7761">
      <w:pPr>
        <w:ind w:left="720"/>
        <w:rPr>
          <w:b/>
          <w:i/>
        </w:rPr>
      </w:pPr>
      <w:r w:rsidRPr="00F35404">
        <w:rPr>
          <w:b/>
          <w:i/>
        </w:rPr>
        <w:t>Metastatic colorectal cancer</w:t>
      </w:r>
    </w:p>
    <w:p w14:paraId="63C37217" w14:textId="77777777" w:rsidR="002F7761" w:rsidRPr="00F35404" w:rsidRDefault="002F7761" w:rsidP="002F7761">
      <w:pPr>
        <w:ind w:left="720"/>
        <w:rPr>
          <w:i/>
        </w:rPr>
      </w:pPr>
      <w:r w:rsidRPr="00F35404">
        <w:rPr>
          <w:i/>
        </w:rPr>
        <w:t>Abevmy (bevacizumab) in combination with fluoropyrimidine-based chemotherapy is indicated for the treatment of patients with metastatic colorectal cancer.</w:t>
      </w:r>
    </w:p>
    <w:p w14:paraId="5BFCBFA2" w14:textId="77777777" w:rsidR="002F7761" w:rsidRPr="00F35404" w:rsidRDefault="002F7761" w:rsidP="002F7761">
      <w:pPr>
        <w:ind w:left="720"/>
        <w:rPr>
          <w:b/>
          <w:i/>
        </w:rPr>
      </w:pPr>
      <w:r w:rsidRPr="00F35404">
        <w:rPr>
          <w:b/>
          <w:i/>
        </w:rPr>
        <w:t>Locally recurrent or metastatic breast cancer</w:t>
      </w:r>
    </w:p>
    <w:p w14:paraId="0A509D8B" w14:textId="77777777" w:rsidR="002F7761" w:rsidRPr="00F35404" w:rsidRDefault="002F7761" w:rsidP="002F7761">
      <w:pPr>
        <w:ind w:left="720"/>
        <w:rPr>
          <w:i/>
        </w:rPr>
      </w:pPr>
      <w:r w:rsidRPr="00F35404">
        <w:rPr>
          <w:i/>
        </w:rPr>
        <w:t>Abevmy (bevacizumab) in combination with paclitaxel is indicated for the first-line treatment of metastatic breast cancer in patients in whom an anthracycline-based therapy is contraindicated (see Section 5.1 Pharmacodynamic properties, clinical trials).</w:t>
      </w:r>
    </w:p>
    <w:p w14:paraId="51B8A25B" w14:textId="77777777" w:rsidR="002F7761" w:rsidRPr="00F35404" w:rsidRDefault="002F7761" w:rsidP="002F7761">
      <w:pPr>
        <w:ind w:left="720"/>
        <w:rPr>
          <w:i/>
        </w:rPr>
      </w:pPr>
      <w:r w:rsidRPr="00F35404">
        <w:rPr>
          <w:b/>
          <w:i/>
        </w:rPr>
        <w:t xml:space="preserve">Advanced, </w:t>
      </w:r>
      <w:proofErr w:type="gramStart"/>
      <w:r w:rsidRPr="00F35404">
        <w:rPr>
          <w:b/>
          <w:i/>
        </w:rPr>
        <w:t>metastatic</w:t>
      </w:r>
      <w:proofErr w:type="gramEnd"/>
      <w:r w:rsidRPr="00F35404">
        <w:rPr>
          <w:b/>
          <w:i/>
        </w:rPr>
        <w:t xml:space="preserve"> or recurrent non-squamous non-small cell lung cancer (NSCLC</w:t>
      </w:r>
      <w:r w:rsidRPr="00F35404">
        <w:rPr>
          <w:i/>
        </w:rPr>
        <w:t>)</w:t>
      </w:r>
    </w:p>
    <w:p w14:paraId="33395420" w14:textId="77777777" w:rsidR="002F7761" w:rsidRPr="00F35404" w:rsidRDefault="002F7761" w:rsidP="002F7761">
      <w:pPr>
        <w:ind w:left="720"/>
        <w:rPr>
          <w:i/>
        </w:rPr>
      </w:pPr>
      <w:r w:rsidRPr="00F35404">
        <w:rPr>
          <w:i/>
        </w:rPr>
        <w:t xml:space="preserve">Abevmy (bevacizumab), in combination with carboplatin and paclitaxel, is indicated for </w:t>
      </w:r>
      <w:proofErr w:type="spellStart"/>
      <w:r w:rsidRPr="00F35404">
        <w:rPr>
          <w:i/>
        </w:rPr>
        <w:t>firstline</w:t>
      </w:r>
      <w:proofErr w:type="spellEnd"/>
      <w:r w:rsidRPr="00F35404">
        <w:rPr>
          <w:i/>
        </w:rPr>
        <w:t xml:space="preserve"> treatment of patients with unresectable advanced, </w:t>
      </w:r>
      <w:proofErr w:type="gramStart"/>
      <w:r w:rsidRPr="00F35404">
        <w:rPr>
          <w:i/>
        </w:rPr>
        <w:t>metastatic</w:t>
      </w:r>
      <w:proofErr w:type="gramEnd"/>
      <w:r w:rsidRPr="00F35404">
        <w:rPr>
          <w:i/>
        </w:rPr>
        <w:t xml:space="preserve"> or recurrent, non-squamous, non- small cell lung cancer.</w:t>
      </w:r>
    </w:p>
    <w:p w14:paraId="395D2C03" w14:textId="77777777" w:rsidR="002F7761" w:rsidRPr="00F35404" w:rsidRDefault="002F7761" w:rsidP="002F7761">
      <w:pPr>
        <w:ind w:left="720"/>
        <w:rPr>
          <w:b/>
          <w:i/>
        </w:rPr>
      </w:pPr>
      <w:r w:rsidRPr="00F35404">
        <w:rPr>
          <w:b/>
          <w:i/>
        </w:rPr>
        <w:t>Advanced and/or metastatic renal cell cancer</w:t>
      </w:r>
    </w:p>
    <w:p w14:paraId="466E4781" w14:textId="77777777" w:rsidR="002F7761" w:rsidRPr="00F35404" w:rsidRDefault="002F7761" w:rsidP="002F7761">
      <w:pPr>
        <w:ind w:left="720"/>
        <w:rPr>
          <w:i/>
        </w:rPr>
      </w:pPr>
      <w:r w:rsidRPr="00F35404">
        <w:rPr>
          <w:i/>
        </w:rPr>
        <w:t>Abevmy (bevacizumab) in combination with interferon alfa-2a is indicated for treatment of patients with advanced and/or metastatic renal cell cancer.</w:t>
      </w:r>
    </w:p>
    <w:p w14:paraId="0FBA0698" w14:textId="77777777" w:rsidR="002F7761" w:rsidRPr="00F35404" w:rsidRDefault="002F7761" w:rsidP="002F7761">
      <w:pPr>
        <w:ind w:left="720"/>
        <w:rPr>
          <w:b/>
          <w:i/>
        </w:rPr>
      </w:pPr>
      <w:r w:rsidRPr="00F35404">
        <w:rPr>
          <w:b/>
          <w:i/>
        </w:rPr>
        <w:t>Grade IV glioma</w:t>
      </w:r>
    </w:p>
    <w:p w14:paraId="6E9BA9D1" w14:textId="77777777" w:rsidR="002F7761" w:rsidRPr="00F35404" w:rsidRDefault="002F7761" w:rsidP="002F7761">
      <w:pPr>
        <w:ind w:left="720"/>
        <w:rPr>
          <w:i/>
        </w:rPr>
      </w:pPr>
      <w:r w:rsidRPr="00F35404">
        <w:rPr>
          <w:i/>
        </w:rPr>
        <w:t>Abevmy (bevacizumab) as a single agent, is indicated for the treatment of patients with Grade IV glioma after relapse or disease progression after standard therapy, including chemotherapy.</w:t>
      </w:r>
    </w:p>
    <w:p w14:paraId="64CEA465" w14:textId="77777777" w:rsidR="002F7761" w:rsidRPr="00F35404" w:rsidRDefault="002F7761" w:rsidP="002F7761">
      <w:pPr>
        <w:ind w:left="720"/>
        <w:rPr>
          <w:b/>
          <w:i/>
        </w:rPr>
      </w:pPr>
      <w:r w:rsidRPr="00F35404">
        <w:rPr>
          <w:b/>
          <w:i/>
        </w:rPr>
        <w:t>Epithelial ovarian, fallopian tube or primary peritoneal cancer</w:t>
      </w:r>
    </w:p>
    <w:p w14:paraId="66859F11" w14:textId="77777777" w:rsidR="002F7761" w:rsidRPr="00F35404" w:rsidRDefault="002F7761" w:rsidP="002F7761">
      <w:pPr>
        <w:ind w:left="720"/>
        <w:rPr>
          <w:i/>
        </w:rPr>
      </w:pPr>
      <w:r w:rsidRPr="00F35404">
        <w:rPr>
          <w:i/>
        </w:rPr>
        <w:lastRenderedPageBreak/>
        <w:t xml:space="preserve">Abevmy (bevacizumab) in combination with carboplatin and paclitaxel, is indicated for </w:t>
      </w:r>
      <w:proofErr w:type="spellStart"/>
      <w:r w:rsidRPr="00F35404">
        <w:rPr>
          <w:i/>
        </w:rPr>
        <w:t>firstline</w:t>
      </w:r>
      <w:proofErr w:type="spellEnd"/>
      <w:r w:rsidRPr="00F35404">
        <w:rPr>
          <w:i/>
        </w:rPr>
        <w:t xml:space="preserve"> treatment of patients with advanced (FIGO stages IIIB, IIIC and IV) epithelial ovarian, fallopian tube, or primary peritoneal cancer.</w:t>
      </w:r>
    </w:p>
    <w:p w14:paraId="2F3429FD" w14:textId="77777777" w:rsidR="002F7761" w:rsidRPr="005843A8" w:rsidRDefault="002F7761" w:rsidP="002F7761">
      <w:pPr>
        <w:ind w:left="720"/>
        <w:rPr>
          <w:b/>
          <w:bCs/>
          <w:i/>
        </w:rPr>
      </w:pPr>
      <w:r w:rsidRPr="005843A8">
        <w:rPr>
          <w:b/>
          <w:bCs/>
          <w:i/>
        </w:rPr>
        <w:t>Recurrent epithelial ovarian, fallopian tube or primary peritoneal cancer</w:t>
      </w:r>
    </w:p>
    <w:p w14:paraId="7F3BAE71" w14:textId="77777777" w:rsidR="002F7761" w:rsidRPr="00F35404" w:rsidRDefault="002F7761" w:rsidP="002F7761">
      <w:pPr>
        <w:ind w:left="720"/>
        <w:rPr>
          <w:i/>
        </w:rPr>
      </w:pPr>
      <w:r w:rsidRPr="00F35404">
        <w:rPr>
          <w:i/>
        </w:rPr>
        <w:t>Abevmy (bevacizumab) in combination with carboplatin and paclitaxel or in combination with carboplatin and gemcitabine, is indicated for the treatment of patients with first recurrence of platinum-sensitive, epithelial ovarian, fallopian tube, or primary peritoneal cancer who have not received prior bevacizumab or other VEGF-targeted angiogenesis inhibitors.</w:t>
      </w:r>
    </w:p>
    <w:p w14:paraId="2FA01598" w14:textId="77777777" w:rsidR="002F7761" w:rsidRPr="00F35404" w:rsidRDefault="002F7761" w:rsidP="002F7761">
      <w:pPr>
        <w:ind w:left="720"/>
        <w:rPr>
          <w:i/>
        </w:rPr>
      </w:pPr>
      <w:r w:rsidRPr="00F35404">
        <w:rPr>
          <w:i/>
        </w:rPr>
        <w:t xml:space="preserve">Abevmy (bevacizumab) in combination with paclitaxel, topotecan or pegylated liposomal doxorubicin is indicated for the treatment of patients with recurrent, platinum-resistant epithelial ovarian, fallopian tube, or primary peritoneal cancer who have received no more than two prior chemotherapy </w:t>
      </w:r>
      <w:proofErr w:type="gramStart"/>
      <w:r w:rsidRPr="00F35404">
        <w:rPr>
          <w:i/>
        </w:rPr>
        <w:t>regimens, and</w:t>
      </w:r>
      <w:proofErr w:type="gramEnd"/>
      <w:r w:rsidRPr="00F35404">
        <w:rPr>
          <w:i/>
        </w:rPr>
        <w:t xml:space="preserve"> have not received any prior anti-angiogenic therapy including bevacizumab.</w:t>
      </w:r>
    </w:p>
    <w:p w14:paraId="2B693B77" w14:textId="77777777" w:rsidR="002F7761" w:rsidRPr="00F35404" w:rsidRDefault="002F7761" w:rsidP="002F7761">
      <w:pPr>
        <w:ind w:left="720"/>
        <w:rPr>
          <w:b/>
          <w:i/>
        </w:rPr>
      </w:pPr>
      <w:r w:rsidRPr="00F35404">
        <w:rPr>
          <w:b/>
          <w:i/>
        </w:rPr>
        <w:t>Cervical cancer</w:t>
      </w:r>
    </w:p>
    <w:p w14:paraId="7F1B1680" w14:textId="77777777" w:rsidR="002F7761" w:rsidRPr="00F35404" w:rsidRDefault="002F7761" w:rsidP="002F7761">
      <w:pPr>
        <w:ind w:left="720"/>
        <w:rPr>
          <w:i/>
        </w:rPr>
      </w:pPr>
      <w:r w:rsidRPr="00F35404">
        <w:rPr>
          <w:i/>
        </w:rPr>
        <w:t xml:space="preserve">Abevmy (bevacizumab) in combination with paclitaxel and cisplatin is indicated for the treatment of persistent, </w:t>
      </w:r>
      <w:proofErr w:type="gramStart"/>
      <w:r w:rsidRPr="00F35404">
        <w:rPr>
          <w:i/>
        </w:rPr>
        <w:t>recurrent</w:t>
      </w:r>
      <w:proofErr w:type="gramEnd"/>
      <w:r w:rsidRPr="00F35404">
        <w:rPr>
          <w:i/>
        </w:rPr>
        <w:t xml:space="preserve"> or metastatic carcinoma of the cervix. Abevmy (bevacizumab) in combination with paclitaxel and topotecan is an acceptable alternative where cisplatin is not tolerated or not indicated.</w:t>
      </w:r>
    </w:p>
    <w:p w14:paraId="51DC7AE9" w14:textId="77777777" w:rsidR="00D23139" w:rsidRPr="00F35404" w:rsidRDefault="00D23139" w:rsidP="00D23139">
      <w:pPr>
        <w:pStyle w:val="Heading4"/>
      </w:pPr>
      <w:r w:rsidRPr="00F35404">
        <w:t>Specific conditions of registration applying to these goods</w:t>
      </w:r>
    </w:p>
    <w:p w14:paraId="0BEB0638" w14:textId="77777777" w:rsidR="00A1065C" w:rsidRPr="00F35404" w:rsidRDefault="00A1065C" w:rsidP="00A1065C">
      <w:pPr>
        <w:pStyle w:val="ListBullet"/>
      </w:pPr>
      <w:r w:rsidRPr="00F35404">
        <w:t xml:space="preserve">This approval does not impose any requirement for the submission of periodic safety update reports (PSURs). The sponsor should note that it is a requirement that all existing requirements for the submission of PSURs </w:t>
      </w:r>
      <w:proofErr w:type="gramStart"/>
      <w:r w:rsidRPr="00F35404">
        <w:t>as a consequence of</w:t>
      </w:r>
      <w:proofErr w:type="gramEnd"/>
      <w:r w:rsidRPr="00F35404">
        <w:t xml:space="preserve"> the initial registration or subsequent changes must be completed.</w:t>
      </w:r>
    </w:p>
    <w:p w14:paraId="525A412C" w14:textId="42464D66" w:rsidR="00A1065C" w:rsidRPr="00F35404" w:rsidRDefault="00A1065C" w:rsidP="00A1065C">
      <w:pPr>
        <w:pStyle w:val="ListBullet"/>
      </w:pPr>
      <w:r w:rsidRPr="00F35404">
        <w:t xml:space="preserve">Laboratory testing </w:t>
      </w:r>
      <w:r w:rsidR="006A1AFA" w:rsidRPr="00F35404">
        <w:t>and</w:t>
      </w:r>
      <w:r w:rsidRPr="00F35404">
        <w:t xml:space="preserve"> compliance with Certified Product Details</w:t>
      </w:r>
      <w:r w:rsidR="006A1AFA" w:rsidRPr="00F35404">
        <w:t xml:space="preserve"> (CPD)</w:t>
      </w:r>
    </w:p>
    <w:p w14:paraId="6B8322FA" w14:textId="77777777" w:rsidR="00A1065C" w:rsidRPr="00F35404" w:rsidRDefault="00A1065C" w:rsidP="006A1AFA">
      <w:pPr>
        <w:pStyle w:val="ListBullet2"/>
      </w:pPr>
      <w:r w:rsidRPr="00F35404">
        <w:t>All batches of Abevmy (bevacizumab) supplied in Australia must comply with the product details and specifications approved during evaluation and detailed in the Certified Product Details (CPD).</w:t>
      </w:r>
    </w:p>
    <w:p w14:paraId="20E1C38A" w14:textId="75B7DE4A" w:rsidR="00A1065C" w:rsidRPr="00F35404" w:rsidRDefault="00A1065C" w:rsidP="006A1AFA">
      <w:pPr>
        <w:pStyle w:val="ListBullet2"/>
      </w:pPr>
      <w:r w:rsidRPr="00F35404">
        <w:t xml:space="preserve">When requested by the TGA, the </w:t>
      </w:r>
      <w:r w:rsidR="006A1AFA" w:rsidRPr="00F35404">
        <w:t>s</w:t>
      </w:r>
      <w:r w:rsidRPr="00F35404">
        <w:t xml:space="preserve">ponsor should be prepared to provide product samples, specified reference materials and documentary evidence to enable the TGA to conduct laboratory testing on the </w:t>
      </w:r>
      <w:r w:rsidR="006A1AFA" w:rsidRPr="00F35404">
        <w:t>p</w:t>
      </w:r>
      <w:r w:rsidRPr="00F35404">
        <w:t xml:space="preserve">roduct. Outcomes of laboratory testing are published biannually in the TGA Database of Laboratory Testing Results </w:t>
      </w:r>
      <w:hyperlink r:id="rId17" w:history="1">
        <w:r w:rsidR="006A1AFA" w:rsidRPr="00F35404">
          <w:rPr>
            <w:rStyle w:val="Hyperlink"/>
          </w:rPr>
          <w:t>http://www.tga.gov.au/ws-labs-index</w:t>
        </w:r>
      </w:hyperlink>
      <w:r w:rsidR="006A1AFA" w:rsidRPr="00F35404">
        <w:t xml:space="preserve"> </w:t>
      </w:r>
      <w:r w:rsidRPr="00F35404">
        <w:t>and periodically in testing reports on the TGA website.</w:t>
      </w:r>
    </w:p>
    <w:p w14:paraId="10173C35" w14:textId="77777777" w:rsidR="00A1065C" w:rsidRPr="00F35404" w:rsidRDefault="00A1065C" w:rsidP="00A1065C">
      <w:pPr>
        <w:pStyle w:val="ListBullet"/>
        <w:numPr>
          <w:ilvl w:val="0"/>
          <w:numId w:val="0"/>
        </w:numPr>
        <w:ind w:left="360"/>
      </w:pPr>
      <w:r w:rsidRPr="00F35404">
        <w:t>Certified Product Details</w:t>
      </w:r>
    </w:p>
    <w:p w14:paraId="666D8422" w14:textId="29D7BAFD" w:rsidR="00A1065C" w:rsidRPr="00F35404" w:rsidRDefault="00A1065C" w:rsidP="00A1065C">
      <w:pPr>
        <w:pStyle w:val="ListBullet"/>
        <w:numPr>
          <w:ilvl w:val="0"/>
          <w:numId w:val="0"/>
        </w:numPr>
        <w:ind w:left="360"/>
      </w:pPr>
      <w:r w:rsidRPr="00F35404">
        <w:t xml:space="preserve">The </w:t>
      </w:r>
      <w:r w:rsidR="006A1AFA" w:rsidRPr="00F35404">
        <w:t>Certified Product Details (</w:t>
      </w:r>
      <w:r w:rsidRPr="00F35404">
        <w:t>CPD</w:t>
      </w:r>
      <w:r w:rsidR="006A1AFA" w:rsidRPr="00F35404">
        <w:t>)</w:t>
      </w:r>
      <w:r w:rsidRPr="00F35404">
        <w:t xml:space="preserve">, as described in Guidance 7: Certified </w:t>
      </w:r>
      <w:r w:rsidR="006A1AFA" w:rsidRPr="00F35404">
        <w:t xml:space="preserve">Product Details of the </w:t>
      </w:r>
      <w:r w:rsidRPr="00F35404">
        <w:t xml:space="preserve">Australian </w:t>
      </w:r>
      <w:r w:rsidR="006A1AFA" w:rsidRPr="00F35404">
        <w:t>Regulatory Guidelines for Prescription Medicines</w:t>
      </w:r>
      <w:r w:rsidRPr="00F35404">
        <w:t xml:space="preserve"> (ARGPM) </w:t>
      </w:r>
      <w:r w:rsidR="00EB7065" w:rsidRPr="00F35404">
        <w:t>(</w:t>
      </w:r>
      <w:hyperlink r:id="rId18" w:history="1">
        <w:r w:rsidR="00957E76" w:rsidRPr="00F35404">
          <w:rPr>
            <w:rStyle w:val="Hyperlink"/>
          </w:rPr>
          <w:t>http://www.tga.gov.au/industry/pm-argpm-guidance-7.htm</w:t>
        </w:r>
      </w:hyperlink>
      <w:r w:rsidR="00EB7065" w:rsidRPr="00F35404">
        <w:t>)</w:t>
      </w:r>
      <w:r w:rsidRPr="00F35404">
        <w:t>, in PDF format, for the above products should be provided upon registration of these therapeutic goods. In addition, an updated CPD should be provided when changes to finished product specifications and test methods are approved in a Category 3 application or notified through a self-assessable change.</w:t>
      </w:r>
    </w:p>
    <w:p w14:paraId="1273061D" w14:textId="77777777" w:rsidR="00A1065C" w:rsidRPr="00F35404" w:rsidRDefault="00A1065C" w:rsidP="00A1065C">
      <w:pPr>
        <w:pStyle w:val="ListBullet"/>
      </w:pPr>
      <w:r w:rsidRPr="00F35404">
        <w:t>For all injectable products the Product Information must be included with the product as a package insert.</w:t>
      </w:r>
    </w:p>
    <w:p w14:paraId="371B37B5" w14:textId="77777777" w:rsidR="008E7846" w:rsidRPr="00F35404" w:rsidRDefault="00A80B5B" w:rsidP="00D23139">
      <w:pPr>
        <w:pStyle w:val="Heading2"/>
      </w:pPr>
      <w:bookmarkStart w:id="80" w:name="_Toc94253952"/>
      <w:r w:rsidRPr="00F35404">
        <w:lastRenderedPageBreak/>
        <w:t xml:space="preserve">Attachment 1. </w:t>
      </w:r>
      <w:r w:rsidR="008E7846" w:rsidRPr="00F35404">
        <w:t xml:space="preserve">Product </w:t>
      </w:r>
      <w:r w:rsidR="00AA0ED0" w:rsidRPr="00F35404">
        <w:t>I</w:t>
      </w:r>
      <w:r w:rsidR="008E7846" w:rsidRPr="00F35404">
        <w:t>nformation</w:t>
      </w:r>
      <w:bookmarkEnd w:id="78"/>
      <w:bookmarkEnd w:id="79"/>
      <w:bookmarkEnd w:id="80"/>
    </w:p>
    <w:p w14:paraId="5D475711" w14:textId="6470AC5D" w:rsidR="00744121" w:rsidRPr="00F35404" w:rsidRDefault="006136D7" w:rsidP="00744121">
      <w:pPr>
        <w:rPr>
          <w:lang w:eastAsia="ja-JP"/>
        </w:rPr>
      </w:pPr>
      <w:r w:rsidRPr="00F35404">
        <w:t xml:space="preserve">The PI for </w:t>
      </w:r>
      <w:r w:rsidR="002F7761" w:rsidRPr="00F35404">
        <w:t>Abevmy</w:t>
      </w:r>
      <w:r w:rsidRPr="00F35404">
        <w:t xml:space="preserve"> approved with the submission which is described in this AusPAR is at Attachment 1. For the most recent PI, please refer to the TGA website at </w:t>
      </w:r>
      <w:r w:rsidR="007C6B9B" w:rsidRPr="00F35404">
        <w:t>&lt;</w:t>
      </w:r>
      <w:hyperlink r:id="rId19" w:history="1">
        <w:r w:rsidR="007C6B9B" w:rsidRPr="00F35404">
          <w:rPr>
            <w:rStyle w:val="Hyperlink"/>
          </w:rPr>
          <w:t>https://www.tga.gov.au/product-information-pi</w:t>
        </w:r>
      </w:hyperlink>
      <w:r w:rsidR="007C6B9B" w:rsidRPr="00F35404">
        <w:t>&gt;.</w:t>
      </w:r>
    </w:p>
    <w:p w14:paraId="14E41F4A" w14:textId="77777777" w:rsidR="00C80137" w:rsidRPr="00F35404" w:rsidRDefault="00C80137" w:rsidP="003A7F6C">
      <w:pPr>
        <w:pStyle w:val="TableTitle"/>
        <w:sectPr w:rsidR="00C80137" w:rsidRPr="00F35404" w:rsidSect="00B452CE">
          <w:headerReference w:type="even" r:id="rId20"/>
          <w:headerReference w:type="default" r:id="rId21"/>
          <w:headerReference w:type="first" r:id="rId22"/>
          <w:footerReference w:type="first" r:id="rId23"/>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F35404" w14:paraId="6EB468D7" w14:textId="77777777" w:rsidTr="00A05FA4">
        <w:trPr>
          <w:trHeight w:hRule="exact" w:val="704"/>
        </w:trPr>
        <w:tc>
          <w:tcPr>
            <w:tcW w:w="9175" w:type="dxa"/>
          </w:tcPr>
          <w:p w14:paraId="0E9113E1" w14:textId="77777777" w:rsidR="001C32CD" w:rsidRPr="00F35404" w:rsidRDefault="001C32CD" w:rsidP="00A05FA4">
            <w:pPr>
              <w:pStyle w:val="TGASignoff"/>
            </w:pPr>
            <w:r w:rsidRPr="00F35404">
              <w:lastRenderedPageBreak/>
              <w:t>Therapeutic Goods Administration</w:t>
            </w:r>
          </w:p>
        </w:tc>
      </w:tr>
      <w:tr w:rsidR="001C32CD" w:rsidRPr="004C239D" w14:paraId="6ABDA009" w14:textId="77777777" w:rsidTr="00A05FA4">
        <w:trPr>
          <w:trHeight w:val="1221"/>
        </w:trPr>
        <w:tc>
          <w:tcPr>
            <w:tcW w:w="9175" w:type="dxa"/>
            <w:tcMar>
              <w:top w:w="28" w:type="dxa"/>
            </w:tcMar>
          </w:tcPr>
          <w:p w14:paraId="1A26F299" w14:textId="77777777" w:rsidR="001C32CD" w:rsidRPr="00F35404" w:rsidRDefault="001C32CD" w:rsidP="00A05FA4">
            <w:pPr>
              <w:pStyle w:val="Address"/>
            </w:pPr>
            <w:r w:rsidRPr="00F35404">
              <w:t>PO Box 100 Woden ACT 2606 Australia</w:t>
            </w:r>
          </w:p>
          <w:p w14:paraId="6335A009" w14:textId="51916984" w:rsidR="001C32CD" w:rsidRPr="00F35404" w:rsidRDefault="001C32CD" w:rsidP="00A05FA4">
            <w:pPr>
              <w:pStyle w:val="Address"/>
            </w:pPr>
            <w:r w:rsidRPr="00F35404">
              <w:t xml:space="preserve">Email: </w:t>
            </w:r>
            <w:hyperlink r:id="rId24" w:history="1">
              <w:r w:rsidRPr="00F35404">
                <w:rPr>
                  <w:rStyle w:val="Hyperlink"/>
                </w:rPr>
                <w:t>info@tga.gov.au</w:t>
              </w:r>
            </w:hyperlink>
            <w:r w:rsidRPr="00F35404">
              <w:t xml:space="preserve">  Phone: 1800 020 </w:t>
            </w:r>
            <w:proofErr w:type="gramStart"/>
            <w:r w:rsidRPr="00F35404">
              <w:t>653  Fax</w:t>
            </w:r>
            <w:proofErr w:type="gramEnd"/>
            <w:r w:rsidRPr="00F35404">
              <w:t>: 02 6232 8605</w:t>
            </w:r>
          </w:p>
          <w:p w14:paraId="1B496BEA" w14:textId="5289BED9" w:rsidR="001C32CD" w:rsidRPr="004C239D" w:rsidRDefault="00CB4893" w:rsidP="00A05FA4">
            <w:pPr>
              <w:pStyle w:val="Address"/>
              <w:spacing w:line="260" w:lineRule="atLeast"/>
              <w:rPr>
                <w:b/>
                <w:color w:val="0000FF"/>
                <w:u w:val="single"/>
              </w:rPr>
            </w:pPr>
            <w:hyperlink r:id="rId25" w:history="1">
              <w:r w:rsidR="007C6B9B" w:rsidRPr="00F35404">
                <w:rPr>
                  <w:rStyle w:val="Hyperlink"/>
                  <w:b/>
                </w:rPr>
                <w:t>https://www.tga.gov.au</w:t>
              </w:r>
            </w:hyperlink>
          </w:p>
        </w:tc>
      </w:tr>
    </w:tbl>
    <w:p w14:paraId="07B163AC" w14:textId="77777777" w:rsidR="00774E1D" w:rsidRPr="008A5E0B" w:rsidRDefault="00774E1D" w:rsidP="004C239D"/>
    <w:sectPr w:rsidR="00774E1D" w:rsidRPr="008A5E0B" w:rsidSect="001C32CD">
      <w:headerReference w:type="even" r:id="rId26"/>
      <w:headerReference w:type="default" r:id="rId27"/>
      <w:footerReference w:type="default" r:id="rId28"/>
      <w:headerReference w:type="first" r:id="rId29"/>
      <w:footerReference w:type="first" r:id="rId30"/>
      <w:pgSz w:w="11906" w:h="16838" w:code="9"/>
      <w:pgMar w:top="13467" w:right="1701" w:bottom="426" w:left="1701" w:header="90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BDA799" w14:textId="77777777" w:rsidR="00737AC8" w:rsidRDefault="00737AC8" w:rsidP="00C40A36">
      <w:pPr>
        <w:spacing w:after="0"/>
      </w:pPr>
      <w:r>
        <w:separator/>
      </w:r>
    </w:p>
  </w:endnote>
  <w:endnote w:type="continuationSeparator" w:id="0">
    <w:p w14:paraId="24B63E6C" w14:textId="77777777" w:rsidR="00737AC8" w:rsidRDefault="00737AC8"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737AC8" w:rsidRPr="00487162" w14:paraId="12E381A6" w14:textId="77777777" w:rsidTr="00DB750B">
      <w:trPr>
        <w:trHeight w:val="269"/>
      </w:trPr>
      <w:tc>
        <w:tcPr>
          <w:tcW w:w="7371" w:type="dxa"/>
          <w:tcMar>
            <w:top w:w="142" w:type="dxa"/>
            <w:bottom w:w="0" w:type="dxa"/>
          </w:tcMar>
        </w:tcPr>
        <w:p w14:paraId="3D9CAAAC" w14:textId="40C42F07" w:rsidR="00737AC8" w:rsidRPr="00487162" w:rsidRDefault="00737AC8" w:rsidP="00460036">
          <w:pPr>
            <w:pStyle w:val="Footer"/>
          </w:pPr>
          <w:proofErr w:type="spellStart"/>
          <w:r w:rsidRPr="00487162">
            <w:t>AusPA</w:t>
          </w:r>
          <w:r>
            <w:t>R</w:t>
          </w:r>
          <w:proofErr w:type="spellEnd"/>
          <w:r>
            <w:t xml:space="preserve"> - </w:t>
          </w:r>
          <w:proofErr w:type="spellStart"/>
          <w:r>
            <w:t>Abevmy</w:t>
          </w:r>
          <w:proofErr w:type="spellEnd"/>
          <w:r>
            <w:t>/</w:t>
          </w:r>
          <w:proofErr w:type="spellStart"/>
          <w:r w:rsidRPr="00667F81">
            <w:t>Trucleva</w:t>
          </w:r>
          <w:proofErr w:type="spellEnd"/>
          <w:r w:rsidRPr="00460036">
            <w:t xml:space="preserve"> </w:t>
          </w:r>
          <w:r>
            <w:t>-</w:t>
          </w:r>
          <w:r w:rsidRPr="00460036">
            <w:t xml:space="preserve"> </w:t>
          </w:r>
          <w:r w:rsidRPr="002F7761">
            <w:t xml:space="preserve">bevacizumab </w:t>
          </w:r>
          <w:r>
            <w:t xml:space="preserve">- </w:t>
          </w:r>
          <w:proofErr w:type="spellStart"/>
          <w:r w:rsidRPr="002F7761">
            <w:t>Alphapharm</w:t>
          </w:r>
          <w:proofErr w:type="spellEnd"/>
          <w:r w:rsidRPr="002F7761">
            <w:t xml:space="preserve"> Pty Ltd</w:t>
          </w:r>
          <w:r>
            <w:t xml:space="preserve"> - </w:t>
          </w:r>
          <w:r w:rsidRPr="002F7761">
            <w:t>PM-2020-01736-1-4</w:t>
          </w:r>
          <w:r>
            <w:br/>
          </w:r>
          <w:r w:rsidR="005843A8">
            <w:t xml:space="preserve">Final </w:t>
          </w:r>
          <w:r>
            <w:t>2</w:t>
          </w:r>
          <w:r w:rsidR="005843A8">
            <w:t>8</w:t>
          </w:r>
          <w:r>
            <w:t xml:space="preserve"> January 2022</w:t>
          </w:r>
        </w:p>
      </w:tc>
      <w:tc>
        <w:tcPr>
          <w:tcW w:w="1490" w:type="dxa"/>
          <w:tcMar>
            <w:top w:w="142" w:type="dxa"/>
            <w:bottom w:w="0" w:type="dxa"/>
          </w:tcMar>
        </w:tcPr>
        <w:p w14:paraId="3E4C5EF4" w14:textId="65ACE91D" w:rsidR="00737AC8" w:rsidRPr="00487162" w:rsidRDefault="00737AC8" w:rsidP="00DB750B">
          <w:pPr>
            <w:pStyle w:val="Footer"/>
            <w:jc w:val="right"/>
          </w:pPr>
          <w:r w:rsidRPr="00487162">
            <w:t xml:space="preserve">Page </w:t>
          </w:r>
          <w:r>
            <w:fldChar w:fldCharType="begin"/>
          </w:r>
          <w:r>
            <w:instrText xml:space="preserve"> PAGE  \* Arabic </w:instrText>
          </w:r>
          <w:r>
            <w:fldChar w:fldCharType="separate"/>
          </w:r>
          <w:r>
            <w:rPr>
              <w:noProof/>
            </w:rPr>
            <w:t>4</w:t>
          </w:r>
          <w:r>
            <w:fldChar w:fldCharType="end"/>
          </w:r>
          <w:r w:rsidRPr="00487162">
            <w:t xml:space="preserve"> of </w:t>
          </w:r>
          <w:fldSimple w:instr=" NUMPAGES  \* Arabic ">
            <w:r>
              <w:rPr>
                <w:noProof/>
              </w:rPr>
              <w:t>28</w:t>
            </w:r>
          </w:fldSimple>
        </w:p>
      </w:tc>
    </w:tr>
  </w:tbl>
  <w:p w14:paraId="3CF169F6" w14:textId="77777777" w:rsidR="00737AC8" w:rsidRDefault="00737AC8"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737AC8" w:rsidRPr="00487162" w14:paraId="6D957B2E" w14:textId="77777777" w:rsidTr="00E45619">
      <w:trPr>
        <w:trHeight w:val="269"/>
      </w:trPr>
      <w:tc>
        <w:tcPr>
          <w:tcW w:w="4519" w:type="dxa"/>
          <w:tcBorders>
            <w:top w:val="single" w:sz="4" w:space="0" w:color="auto"/>
          </w:tcBorders>
          <w:tcMar>
            <w:top w:w="142" w:type="dxa"/>
            <w:bottom w:w="0" w:type="dxa"/>
          </w:tcMar>
        </w:tcPr>
        <w:p w14:paraId="6429EAC9" w14:textId="77777777" w:rsidR="00737AC8" w:rsidRPr="00487162" w:rsidRDefault="00737AC8" w:rsidP="00FE1DEE">
          <w:pPr>
            <w:pStyle w:val="Footer"/>
          </w:pPr>
          <w:r w:rsidRPr="00487162">
            <w:t>Document title, Part #, Section # - Section title</w:t>
          </w:r>
        </w:p>
        <w:p w14:paraId="37210E57" w14:textId="77777777" w:rsidR="00737AC8" w:rsidRPr="00487162" w:rsidRDefault="00737AC8" w:rsidP="00FE1DEE">
          <w:pPr>
            <w:pStyle w:val="Footer"/>
          </w:pPr>
          <w:r w:rsidRPr="00487162">
            <w:t>V1.0 October 2010</w:t>
          </w:r>
        </w:p>
      </w:tc>
      <w:tc>
        <w:tcPr>
          <w:tcW w:w="4342" w:type="dxa"/>
          <w:tcBorders>
            <w:top w:val="single" w:sz="4" w:space="0" w:color="auto"/>
          </w:tcBorders>
          <w:tcMar>
            <w:top w:w="142" w:type="dxa"/>
            <w:bottom w:w="0" w:type="dxa"/>
          </w:tcMar>
        </w:tcPr>
        <w:p w14:paraId="0A2FF9F9" w14:textId="77777777" w:rsidR="00737AC8" w:rsidRPr="00487162" w:rsidRDefault="00737AC8"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21</w:t>
            </w:r>
          </w:fldSimple>
        </w:p>
      </w:tc>
    </w:tr>
  </w:tbl>
  <w:p w14:paraId="1AA3769E" w14:textId="77777777" w:rsidR="00737AC8" w:rsidRDefault="00737AC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DB1DC9" w14:textId="77777777" w:rsidR="00737AC8" w:rsidRPr="001C32CD" w:rsidRDefault="00737AC8"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737AC8" w14:paraId="03168DE4" w14:textId="77777777" w:rsidTr="0010601F">
      <w:trPr>
        <w:trHeight w:val="108"/>
      </w:trPr>
      <w:tc>
        <w:tcPr>
          <w:tcW w:w="8875" w:type="dxa"/>
          <w:gridSpan w:val="2"/>
          <w:tcBorders>
            <w:bottom w:val="single" w:sz="4" w:space="0" w:color="auto"/>
          </w:tcBorders>
          <w:tcMar>
            <w:right w:w="284" w:type="dxa"/>
          </w:tcMar>
        </w:tcPr>
        <w:p w14:paraId="08FD3E9D" w14:textId="77777777" w:rsidR="00737AC8" w:rsidRDefault="00737AC8" w:rsidP="006E08B3">
          <w:pPr>
            <w:pStyle w:val="Heading3"/>
          </w:pPr>
          <w:r>
            <w:t>Copyright</w:t>
          </w:r>
        </w:p>
        <w:p w14:paraId="7657BC3D" w14:textId="77777777" w:rsidR="00737AC8" w:rsidRDefault="00737AC8" w:rsidP="006E08B3">
          <w:r>
            <w:rPr>
              <w:rFonts w:cs="Arial"/>
            </w:rPr>
            <w:t>©</w:t>
          </w:r>
          <w:r>
            <w:t xml:space="preserve"> Commonwealth of Australia [add year]</w:t>
          </w:r>
        </w:p>
        <w:p w14:paraId="1EDD5AA3" w14:textId="77777777" w:rsidR="00737AC8" w:rsidRDefault="00737AC8" w:rsidP="006E08B3"/>
        <w:p w14:paraId="2CEAD70A" w14:textId="77777777" w:rsidR="00737AC8" w:rsidRDefault="00737AC8"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w:t>
          </w:r>
          <w:proofErr w:type="gramStart"/>
          <w:r>
            <w:t xml:space="preserve">at  </w:t>
          </w:r>
          <w:r w:rsidRPr="006E08B3">
            <w:t>http://www.ag.gov.au/cca</w:t>
          </w:r>
          <w:proofErr w:type="gramEnd"/>
        </w:p>
        <w:p w14:paraId="48485A79" w14:textId="77777777" w:rsidR="00737AC8" w:rsidRDefault="00737AC8" w:rsidP="006E08B3"/>
        <w:p w14:paraId="1AC3A482" w14:textId="77777777" w:rsidR="00737AC8" w:rsidRDefault="00737AC8" w:rsidP="006E08B3">
          <w:pPr>
            <w:pStyle w:val="Heading3"/>
          </w:pPr>
          <w:r>
            <w:t>Confidentiality</w:t>
          </w:r>
        </w:p>
        <w:p w14:paraId="5E8ACCD1" w14:textId="77777777" w:rsidR="00737AC8" w:rsidRDefault="00737AC8"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0DE0539B" w14:textId="77777777" w:rsidR="00737AC8" w:rsidRDefault="00737AC8" w:rsidP="006E08B3"/>
        <w:p w14:paraId="71F42770" w14:textId="77777777" w:rsidR="00737AC8" w:rsidRDefault="00737AC8" w:rsidP="006E08B3">
          <w:r>
            <w:t>For submission made by individuals, all personal details, other than your name, will be removed from your submission before it is published on the TGA’s Internet site.</w:t>
          </w:r>
        </w:p>
        <w:p w14:paraId="3E99F47D" w14:textId="77777777" w:rsidR="00737AC8" w:rsidRDefault="00737AC8" w:rsidP="006E08B3"/>
        <w:p w14:paraId="3345428B" w14:textId="77777777" w:rsidR="00737AC8" w:rsidRDefault="00737AC8"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737AC8" w14:paraId="68F7D5F3" w14:textId="77777777" w:rsidTr="0010601F">
      <w:trPr>
        <w:trHeight w:val="417"/>
      </w:trPr>
      <w:tc>
        <w:tcPr>
          <w:tcW w:w="4519" w:type="dxa"/>
          <w:tcBorders>
            <w:top w:val="single" w:sz="4" w:space="0" w:color="auto"/>
          </w:tcBorders>
          <w:tcMar>
            <w:top w:w="142" w:type="dxa"/>
            <w:bottom w:w="0" w:type="dxa"/>
          </w:tcMar>
        </w:tcPr>
        <w:p w14:paraId="134E0A92" w14:textId="77777777" w:rsidR="00737AC8" w:rsidRDefault="00737AC8" w:rsidP="006E08B3">
          <w:r>
            <w:t>Document title, Part #, Section # - Section title</w:t>
          </w:r>
        </w:p>
        <w:p w14:paraId="33F832FF" w14:textId="77777777" w:rsidR="00737AC8" w:rsidRDefault="00737AC8" w:rsidP="006E08B3">
          <w:r>
            <w:t>V1.0 October 2010</w:t>
          </w:r>
        </w:p>
      </w:tc>
      <w:tc>
        <w:tcPr>
          <w:tcW w:w="4356" w:type="dxa"/>
          <w:tcBorders>
            <w:top w:val="single" w:sz="4" w:space="0" w:color="auto"/>
          </w:tcBorders>
          <w:tcMar>
            <w:top w:w="142" w:type="dxa"/>
            <w:bottom w:w="0" w:type="dxa"/>
          </w:tcMar>
        </w:tcPr>
        <w:p w14:paraId="53C934B5" w14:textId="77777777" w:rsidR="00737AC8" w:rsidRDefault="00737AC8"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21</w:t>
            </w:r>
          </w:fldSimple>
          <w:r>
            <w:t xml:space="preserve">  </w:t>
          </w:r>
        </w:p>
      </w:tc>
    </w:tr>
  </w:tbl>
  <w:p w14:paraId="06D7AF16" w14:textId="77777777" w:rsidR="00737AC8" w:rsidRDefault="00737AC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4E5478" w14:textId="77777777" w:rsidR="00737AC8" w:rsidRDefault="00737AC8" w:rsidP="00C40A36">
      <w:pPr>
        <w:spacing w:after="0"/>
      </w:pPr>
      <w:r>
        <w:separator/>
      </w:r>
    </w:p>
  </w:footnote>
  <w:footnote w:type="continuationSeparator" w:id="0">
    <w:p w14:paraId="5311F271" w14:textId="77777777" w:rsidR="00737AC8" w:rsidRDefault="00737AC8" w:rsidP="00C40A36">
      <w:pPr>
        <w:spacing w:after="0"/>
      </w:pPr>
      <w:r>
        <w:continuationSeparator/>
      </w:r>
    </w:p>
  </w:footnote>
  <w:footnote w:id="1">
    <w:p w14:paraId="3A68385A" w14:textId="6C1FDD33" w:rsidR="00737AC8" w:rsidRDefault="00737AC8">
      <w:pPr>
        <w:pStyle w:val="FootnoteText"/>
      </w:pPr>
      <w:r>
        <w:rPr>
          <w:rStyle w:val="FootnoteReference"/>
        </w:rPr>
        <w:footnoteRef/>
      </w:r>
      <w:r>
        <w:t xml:space="preserve"> </w:t>
      </w:r>
      <w:r w:rsidRPr="00667F81">
        <w:t>Trucleva</w:t>
      </w:r>
      <w:r>
        <w:t xml:space="preserve"> has been approved by the TGA on 10 May </w:t>
      </w:r>
      <w:r w:rsidRPr="00002A3C">
        <w:t>2021</w:t>
      </w:r>
      <w:r>
        <w:t xml:space="preserve">. </w:t>
      </w:r>
      <w:r w:rsidRPr="00667F81">
        <w:t>Trucleva</w:t>
      </w:r>
      <w:r>
        <w:t xml:space="preserve"> is not listed on the </w:t>
      </w:r>
      <w:r w:rsidRPr="00002A3C">
        <w:t xml:space="preserve">Australian Register of Therapeutic Goods </w:t>
      </w:r>
      <w:r>
        <w:t>(ARTG).</w:t>
      </w:r>
    </w:p>
  </w:footnote>
  <w:footnote w:id="2">
    <w:p w14:paraId="05C97C36" w14:textId="77777777" w:rsidR="00737AC8" w:rsidRDefault="00737AC8">
      <w:pPr>
        <w:pStyle w:val="FootnoteText"/>
      </w:pPr>
      <w:r>
        <w:rPr>
          <w:rStyle w:val="FootnoteReference"/>
        </w:rPr>
        <w:footnoteRef/>
      </w:r>
      <w:r>
        <w:t xml:space="preserve"> </w:t>
      </w:r>
      <w:r w:rsidRPr="00460036">
        <w:t xml:space="preserve">The </w:t>
      </w:r>
      <w:r w:rsidRPr="00460036">
        <w:rPr>
          <w:b/>
        </w:rPr>
        <w:t>Black Triangle Scheme</w:t>
      </w:r>
      <w:r w:rsidRPr="00460036">
        <w:t xml:space="preserve"> provides a simple means for practitioners and patients to identify certain types of new prescription medicines, including those being used in new ways and to encourage the reporting of adverse events associated with their use. The Black Triangle does not denote that there are known safety problems, just that the TGA is encouraging adverse event reporting to help us build up the full picture of a medicine's safety profile.</w:t>
      </w:r>
    </w:p>
  </w:footnote>
  <w:footnote w:id="3">
    <w:p w14:paraId="00944D5C" w14:textId="34427DCF" w:rsidR="00737AC8" w:rsidRDefault="00737AC8">
      <w:pPr>
        <w:pStyle w:val="FootnoteText"/>
      </w:pPr>
      <w:r>
        <w:rPr>
          <w:rStyle w:val="FootnoteReference"/>
        </w:rPr>
        <w:footnoteRef/>
      </w:r>
      <w:r>
        <w:t xml:space="preserve"> </w:t>
      </w:r>
      <w:r w:rsidRPr="005A0C7A">
        <w:t>Bhattacharya</w:t>
      </w:r>
      <w:r>
        <w:t xml:space="preserve"> et al. </w:t>
      </w:r>
      <w:r w:rsidRPr="005A0C7A">
        <w:t xml:space="preserve">Colorectal Cancer: </w:t>
      </w:r>
      <w:r>
        <w:t>a</w:t>
      </w:r>
      <w:r w:rsidRPr="005A0C7A">
        <w:t xml:space="preserve"> Study of Risk Factors in a Tertiary Care Hospital of North Bengal</w:t>
      </w:r>
      <w:r>
        <w:t xml:space="preserve">, </w:t>
      </w:r>
      <w:r w:rsidRPr="00002A3C">
        <w:rPr>
          <w:i/>
          <w:iCs/>
        </w:rPr>
        <w:t>J Clin Diagn Res</w:t>
      </w:r>
      <w:r>
        <w:t>,</w:t>
      </w:r>
      <w:r w:rsidRPr="005A0C7A">
        <w:t xml:space="preserve"> 2014; 8(11): FC08–FC10.</w:t>
      </w:r>
    </w:p>
  </w:footnote>
  <w:footnote w:id="4">
    <w:p w14:paraId="76CB3C36" w14:textId="57A51D7A" w:rsidR="00737AC8" w:rsidRDefault="00737AC8" w:rsidP="009F61CD">
      <w:pPr>
        <w:pStyle w:val="FootnoteText"/>
      </w:pPr>
      <w:r>
        <w:rPr>
          <w:rStyle w:val="FootnoteReference"/>
        </w:rPr>
        <w:footnoteRef/>
      </w:r>
      <w:r>
        <w:t xml:space="preserve"> </w:t>
      </w:r>
      <w:r w:rsidRPr="00002A3C">
        <w:t>Midthun</w:t>
      </w:r>
      <w:r>
        <w:t xml:space="preserve">, D. E. </w:t>
      </w:r>
      <w:r w:rsidRPr="00002A3C">
        <w:t>Overview of the Initial Treatment and Prognosis of Lung Cancer</w:t>
      </w:r>
      <w:r>
        <w:t xml:space="preserve">, </w:t>
      </w:r>
      <w:r w:rsidRPr="00002A3C">
        <w:t>In: UpToDate</w:t>
      </w:r>
      <w:r>
        <w:t xml:space="preserve"> (Accessed on 18 August 2020).</w:t>
      </w:r>
    </w:p>
  </w:footnote>
  <w:footnote w:id="5">
    <w:p w14:paraId="0FFEBF28" w14:textId="77777777" w:rsidR="00737AC8" w:rsidRDefault="00737AC8" w:rsidP="00572A82">
      <w:pPr>
        <w:pStyle w:val="FootnoteText"/>
      </w:pPr>
      <w:r>
        <w:rPr>
          <w:rStyle w:val="FootnoteReference"/>
        </w:rPr>
        <w:footnoteRef/>
      </w:r>
      <w:r>
        <w:t xml:space="preserve"> </w:t>
      </w:r>
      <w:r w:rsidRPr="002442C0">
        <w:t>Avastin was first registered on the ARTG on 24</w:t>
      </w:r>
      <w:r>
        <w:t xml:space="preserve"> February </w:t>
      </w:r>
      <w:r w:rsidRPr="002442C0">
        <w:t xml:space="preserve">2005 (ARTG number: 99755 </w:t>
      </w:r>
      <w:r>
        <w:t>and</w:t>
      </w:r>
      <w:r w:rsidRPr="002442C0">
        <w:t xml:space="preserve"> 9975</w:t>
      </w:r>
      <w:r>
        <w:t>7</w:t>
      </w:r>
      <w:r w:rsidRPr="002442C0">
        <w:t>).</w:t>
      </w:r>
    </w:p>
  </w:footnote>
  <w:footnote w:id="6">
    <w:p w14:paraId="693C8807" w14:textId="5659A5BB" w:rsidR="00737AC8" w:rsidRDefault="00737AC8">
      <w:pPr>
        <w:pStyle w:val="FootnoteText"/>
      </w:pPr>
      <w:r>
        <w:rPr>
          <w:rStyle w:val="FootnoteReference"/>
        </w:rPr>
        <w:footnoteRef/>
      </w:r>
      <w:r>
        <w:t xml:space="preserve"> The </w:t>
      </w:r>
      <w:r w:rsidRPr="007F4E2A">
        <w:t>Approved Australian Product Information for Avastin</w:t>
      </w:r>
      <w:r>
        <w:t xml:space="preserve"> (</w:t>
      </w:r>
      <w:r w:rsidRPr="007F4E2A">
        <w:t xml:space="preserve">bevacizumab). </w:t>
      </w:r>
      <w:r>
        <w:t xml:space="preserve">Available </w:t>
      </w:r>
      <w:r w:rsidRPr="007F4E2A">
        <w:t xml:space="preserve">at: </w:t>
      </w:r>
      <w:hyperlink r:id="rId1" w:history="1">
        <w:r w:rsidRPr="00503B0B">
          <w:rPr>
            <w:rStyle w:val="Hyperlink"/>
          </w:rPr>
          <w:t>https://www.ebs.tga.gov.au/ebs/picmi/picmirepository.nsf/pdf?OpenAgent&amp;id=CP-2010-PI-04263-3&amp;d=202104261016933</w:t>
        </w:r>
      </w:hyperlink>
      <w:r>
        <w:rPr>
          <w:rStyle w:val="Hyperlink"/>
        </w:rPr>
        <w:t>.</w:t>
      </w:r>
    </w:p>
  </w:footnote>
  <w:footnote w:id="7">
    <w:p w14:paraId="50E896A8" w14:textId="0AA8A155" w:rsidR="00737AC8" w:rsidRDefault="00737AC8">
      <w:pPr>
        <w:pStyle w:val="FootnoteText"/>
      </w:pPr>
      <w:r>
        <w:rPr>
          <w:rStyle w:val="FootnoteReference"/>
        </w:rPr>
        <w:footnoteRef/>
      </w:r>
      <w:r>
        <w:t xml:space="preserve"> </w:t>
      </w:r>
      <w:r w:rsidRPr="006A3D58">
        <w:t xml:space="preserve">Randomised clinical trials analysed by the </w:t>
      </w:r>
      <w:r w:rsidRPr="006A3D58">
        <w:rPr>
          <w:b/>
          <w:bCs/>
        </w:rPr>
        <w:t>intent-to-treat (ITT)</w:t>
      </w:r>
      <w:r w:rsidRPr="006A3D58">
        <w:t xml:space="preserve"> approach provide the unbiased comparisons among the treatment groups. In the ITT population, none of the patients are excluded and the patients are analysed according to the randomisation scheme.</w:t>
      </w:r>
    </w:p>
  </w:footnote>
  <w:footnote w:id="8">
    <w:p w14:paraId="176A418E" w14:textId="37995E5C" w:rsidR="00737AC8" w:rsidRDefault="00737AC8" w:rsidP="00AD7568">
      <w:pPr>
        <w:pStyle w:val="FootnoteText"/>
      </w:pPr>
      <w:r>
        <w:rPr>
          <w:rStyle w:val="FootnoteReference"/>
        </w:rPr>
        <w:footnoteRef/>
      </w:r>
      <w:r>
        <w:t xml:space="preserve"> ECOG Performance Status: The </w:t>
      </w:r>
      <w:r w:rsidRPr="00002A3C">
        <w:rPr>
          <w:b/>
          <w:bCs/>
        </w:rPr>
        <w:t>Eastern Cooperative Oncology Group (ECOG)</w:t>
      </w:r>
      <w:r>
        <w:t xml:space="preserve"> has developed criteria used by doctors and researchers to assess how a patient's disease is progressing, assess how the disease affects the daily living abilities of the patient, and determine appropriate treatment and prognosis. The following are used:</w:t>
      </w:r>
    </w:p>
    <w:p w14:paraId="6261B1AF" w14:textId="77777777" w:rsidR="00737AC8" w:rsidRDefault="00737AC8" w:rsidP="00AD7568">
      <w:pPr>
        <w:pStyle w:val="FootnoteText"/>
      </w:pPr>
      <w:r>
        <w:t>0 - Fully active, able to carry on all pre-disease performance without restriction</w:t>
      </w:r>
    </w:p>
    <w:p w14:paraId="58EA8341" w14:textId="54DE4A2F" w:rsidR="00737AC8" w:rsidRDefault="00737AC8" w:rsidP="00AD7568">
      <w:pPr>
        <w:pStyle w:val="FootnoteText"/>
      </w:pPr>
      <w:r>
        <w:t xml:space="preserve">1- Restricted in physically strenuous activity but ambulatory and able to carry out work of a light or sedentary nature, </w:t>
      </w:r>
      <w:r w:rsidR="00CD0019">
        <w:t>for example</w:t>
      </w:r>
      <w:r>
        <w:t>, light house work, office work</w:t>
      </w:r>
    </w:p>
    <w:p w14:paraId="37BA380B" w14:textId="77777777" w:rsidR="00737AC8" w:rsidRDefault="00737AC8" w:rsidP="00AD7568">
      <w:pPr>
        <w:pStyle w:val="FootnoteText"/>
      </w:pPr>
      <w:r>
        <w:t>2 - Ambulatory and capable of all selfcare but unable to carry out any work activities. Up and about more than 50% of waking hours</w:t>
      </w:r>
    </w:p>
    <w:p w14:paraId="7E04D941" w14:textId="77777777" w:rsidR="00737AC8" w:rsidRDefault="00737AC8" w:rsidP="00AD7568">
      <w:pPr>
        <w:pStyle w:val="FootnoteText"/>
      </w:pPr>
      <w:r>
        <w:t>3 - Capable of only limited selfcare, confined to bed or chair more than 50% of waking hours</w:t>
      </w:r>
    </w:p>
    <w:p w14:paraId="1B0F9BF6" w14:textId="77777777" w:rsidR="00737AC8" w:rsidRDefault="00737AC8" w:rsidP="00AD7568">
      <w:pPr>
        <w:pStyle w:val="FootnoteText"/>
      </w:pPr>
      <w:r>
        <w:t>4 - Completely disabled. Cannot carry on any selfcare. Totally confined to bed or chair</w:t>
      </w:r>
    </w:p>
    <w:p w14:paraId="61195060" w14:textId="40DEDDE5" w:rsidR="00737AC8" w:rsidRDefault="00737AC8" w:rsidP="00AD7568">
      <w:pPr>
        <w:pStyle w:val="FootnoteText"/>
      </w:pPr>
      <w:r>
        <w:t>5 – Dead</w:t>
      </w:r>
    </w:p>
  </w:footnote>
  <w:footnote w:id="9">
    <w:p w14:paraId="3FE36ED0" w14:textId="77777777" w:rsidR="00737AC8" w:rsidRDefault="00737AC8" w:rsidP="00122203">
      <w:pPr>
        <w:pStyle w:val="FootnoteText"/>
      </w:pPr>
      <w:r>
        <w:rPr>
          <w:rStyle w:val="FootnoteReference"/>
        </w:rPr>
        <w:footnoteRef/>
      </w:r>
      <w:r>
        <w:t xml:space="preserve"> </w:t>
      </w:r>
      <w:r w:rsidRPr="00E26BE3">
        <w:t>Reinmuth, N. et al. PF-06439535 (a Bevacizumab Biosimilar) Compared with Reference Bevacizumab (Avastin), Both Plus Paclitaxel and Carboplatin, as First-Line Treatment for Advanced Non-</w:t>
      </w:r>
      <w:r>
        <w:t>s</w:t>
      </w:r>
      <w:r w:rsidRPr="00E26BE3">
        <w:t>quamous Non-small-cell Lung Cancer: A Randomized, Double-</w:t>
      </w:r>
      <w:r>
        <w:t>b</w:t>
      </w:r>
      <w:r w:rsidRPr="00E26BE3">
        <w:t>lind Study</w:t>
      </w:r>
      <w:r>
        <w:t>,</w:t>
      </w:r>
      <w:r w:rsidRPr="00E26BE3">
        <w:t xml:space="preserve"> </w:t>
      </w:r>
      <w:r w:rsidRPr="00002A3C">
        <w:rPr>
          <w:i/>
          <w:iCs/>
        </w:rPr>
        <w:t>BioDrugs</w:t>
      </w:r>
      <w:r w:rsidRPr="00DC5F7A">
        <w:t>, 2019;</w:t>
      </w:r>
      <w:r w:rsidRPr="00E26BE3">
        <w:t xml:space="preserve"> 33, 555–570.</w:t>
      </w:r>
    </w:p>
  </w:footnote>
  <w:footnote w:id="10">
    <w:p w14:paraId="131EEBD2" w14:textId="77777777" w:rsidR="00737AC8" w:rsidRDefault="00737AC8" w:rsidP="00122203">
      <w:pPr>
        <w:pStyle w:val="FootnoteText"/>
      </w:pPr>
      <w:r>
        <w:rPr>
          <w:rStyle w:val="FootnoteReference"/>
        </w:rPr>
        <w:footnoteRef/>
      </w:r>
      <w:r>
        <w:t xml:space="preserve"> </w:t>
      </w:r>
      <w:r w:rsidRPr="009B4FB6">
        <w:t xml:space="preserve">Food and Drug Administration </w:t>
      </w:r>
      <w:r>
        <w:t>(</w:t>
      </w:r>
      <w:r w:rsidRPr="00E26BE3">
        <w:t>FDA</w:t>
      </w:r>
      <w:r>
        <w:t>),</w:t>
      </w:r>
      <w:r w:rsidRPr="00E26BE3">
        <w:t xml:space="preserve"> </w:t>
      </w:r>
      <w:r>
        <w:t xml:space="preserve">Center for Drug Evaluation and Research, Clinical Pharmacology and Biopharmaceutics Review(s), </w:t>
      </w:r>
      <w:r w:rsidRPr="00DC5F7A">
        <w:t>ABP215</w:t>
      </w:r>
      <w:r>
        <w:t xml:space="preserve">, 100 or 400 mg </w:t>
      </w:r>
      <w:r w:rsidRPr="00DC5F7A">
        <w:t>solution</w:t>
      </w:r>
      <w:r>
        <w:t xml:space="preserve">, for intravenous infusion. </w:t>
      </w:r>
      <w:r w:rsidRPr="00DC5F7A">
        <w:t>Available from the FDA website.</w:t>
      </w:r>
    </w:p>
  </w:footnote>
  <w:footnote w:id="11">
    <w:p w14:paraId="24498AFE" w14:textId="77777777" w:rsidR="00737AC8" w:rsidRDefault="00737AC8" w:rsidP="00122203">
      <w:pPr>
        <w:pStyle w:val="FootnoteText"/>
      </w:pPr>
      <w:r>
        <w:rPr>
          <w:rStyle w:val="FootnoteReference"/>
        </w:rPr>
        <w:footnoteRef/>
      </w:r>
      <w:r>
        <w:t xml:space="preserve"> </w:t>
      </w:r>
      <w:r w:rsidRPr="009B4FB6">
        <w:t xml:space="preserve">European Medicines Agency </w:t>
      </w:r>
      <w:r>
        <w:t>(</w:t>
      </w:r>
      <w:r w:rsidRPr="009B4FB6">
        <w:t>EMA</w:t>
      </w:r>
      <w:r>
        <w:t>)</w:t>
      </w:r>
      <w:r w:rsidRPr="009B4FB6">
        <w:t>, European Public Assessment Report (EPAR), Aybintio (bevacizumab)</w:t>
      </w:r>
      <w:r>
        <w:t xml:space="preserve">, </w:t>
      </w:r>
      <w:r w:rsidRPr="009B4FB6">
        <w:t>EMA/349890/2020</w:t>
      </w:r>
      <w:r>
        <w:t xml:space="preserve">, 2 September 2020. </w:t>
      </w:r>
      <w:r w:rsidRPr="009B4FB6">
        <w:t>Available from the EMA website</w:t>
      </w:r>
      <w:r>
        <w:t>.</w:t>
      </w:r>
    </w:p>
  </w:footnote>
  <w:footnote w:id="12">
    <w:p w14:paraId="66B10E68" w14:textId="1CABFDA2" w:rsidR="00737AC8" w:rsidRPr="008D49D0" w:rsidRDefault="00737AC8" w:rsidP="008D49D0">
      <w:pPr>
        <w:pStyle w:val="FootnoteText"/>
      </w:pPr>
      <w:r>
        <w:rPr>
          <w:rStyle w:val="FootnoteReference"/>
        </w:rPr>
        <w:footnoteRef/>
      </w:r>
      <w:r>
        <w:t xml:space="preserve"> </w:t>
      </w:r>
      <w:r w:rsidRPr="008D49D0">
        <w:t>Food and Drug Administration (FDA), U.S. Department of Health and Human Services. Center for Drug Evaluation and Research (CDER). Center for Biologics Evaluation and Research (CBER), Immunogenicity Testing of Therapeutic Protein Products – Developing and Validating Assays for Anti-Drug Antibody</w:t>
      </w:r>
    </w:p>
    <w:p w14:paraId="5EDB1873" w14:textId="01249DDF" w:rsidR="00737AC8" w:rsidRPr="008D49D0" w:rsidRDefault="00737AC8" w:rsidP="00E26BE3">
      <w:pPr>
        <w:pStyle w:val="FootnoteText"/>
        <w:rPr>
          <w:highlight w:val="yellow"/>
        </w:rPr>
      </w:pPr>
      <w:r w:rsidRPr="008D49D0">
        <w:t>Detection Guidance for Industry, January 2019. Available from the FDA website.</w:t>
      </w:r>
    </w:p>
  </w:footnote>
  <w:footnote w:id="13">
    <w:p w14:paraId="3915F6BF" w14:textId="76B48703" w:rsidR="00737AC8" w:rsidRDefault="00737AC8">
      <w:pPr>
        <w:pStyle w:val="FootnoteText"/>
      </w:pPr>
      <w:r>
        <w:rPr>
          <w:rStyle w:val="FootnoteReference"/>
        </w:rPr>
        <w:footnoteRef/>
      </w:r>
      <w:r>
        <w:t xml:space="preserve"> </w:t>
      </w:r>
      <w:r w:rsidRPr="007504A6">
        <w:t>Inclusion of this information is beyond the scope of the AusPAR.</w:t>
      </w:r>
    </w:p>
  </w:footnote>
  <w:footnote w:id="14">
    <w:p w14:paraId="3B6814F2" w14:textId="11468244" w:rsidR="00737AC8" w:rsidRDefault="00737AC8">
      <w:pPr>
        <w:pStyle w:val="FootnoteText"/>
      </w:pPr>
      <w:r>
        <w:rPr>
          <w:rStyle w:val="FootnoteReference"/>
        </w:rPr>
        <w:footnoteRef/>
      </w:r>
      <w:r>
        <w:t xml:space="preserve"> </w:t>
      </w:r>
      <w:r w:rsidRPr="00B402E6">
        <w:t xml:space="preserve">The </w:t>
      </w:r>
      <w:r w:rsidRPr="00B402E6">
        <w:rPr>
          <w:b/>
          <w:bCs/>
        </w:rPr>
        <w:t>Response Evaluation Criteria In Solid Tumours (RECIST)</w:t>
      </w:r>
      <w:r w:rsidRPr="00B402E6">
        <w:t xml:space="preserve"> is a voluntary international standard with unified and easily applicable criteria to define when a patient's tumour has improved ('respond'), stayed the same ('stabilise'), or worsened ('progress') during treatment. The criteria were published in February 2000 by an international collaboration including the European Organisation for Research and Treatment of Cancer (EORTC), National Cancer Institute (NCI) of the United States, and the National Cancer Institute of Canada Clinical Trials Group. Today, the majority of clinical trials evaluating cancer treatments for objective response in solid tumours use RECIST. These criteria were developed and published in February 2000, and subsequently updated in 2009.</w:t>
      </w:r>
    </w:p>
  </w:footnote>
  <w:footnote w:id="15">
    <w:p w14:paraId="203867DE" w14:textId="017766E4" w:rsidR="00737AC8" w:rsidRDefault="00737AC8">
      <w:pPr>
        <w:pStyle w:val="FootnoteText"/>
      </w:pPr>
      <w:r>
        <w:rPr>
          <w:rStyle w:val="FootnoteReference"/>
        </w:rPr>
        <w:footnoteRef/>
      </w:r>
      <w:r>
        <w:t xml:space="preserve"> </w:t>
      </w:r>
      <w:r w:rsidRPr="00395E83">
        <w:t xml:space="preserve">The </w:t>
      </w:r>
      <w:r w:rsidRPr="00395E83">
        <w:rPr>
          <w:b/>
          <w:bCs/>
        </w:rPr>
        <w:t>Medical Dictionary for Regulatory Activities (MedDRA)</w:t>
      </w:r>
      <w:r w:rsidRPr="00395E83">
        <w:t xml:space="preserve"> is a single standardised international medical terminology, developed as a project of the International Council for Harmonisation of Technical Requirements for Pharmaceuticals for Human Use (ICH) which can be used for regulatory communication and evaluation of data pertaining to medicinal products for human use. As a result, MedDRA is designed for use in the registration, documentation and safety monitoring of medicinal products through all phases of the development cycle (that is, from clinical trials to post-marketing surveillance). Furthermore, MedDRA supports ICH electronic communication within the ICH’s Electronic Common Technical Document (eCTD) and the E2B Individual Case Safety Report.</w:t>
      </w:r>
    </w:p>
  </w:footnote>
  <w:footnote w:id="16">
    <w:p w14:paraId="289F81FB" w14:textId="0281CEB9" w:rsidR="00737AC8" w:rsidRDefault="00737AC8">
      <w:pPr>
        <w:pStyle w:val="FootnoteText"/>
      </w:pPr>
      <w:r>
        <w:rPr>
          <w:rStyle w:val="FootnoteReference"/>
        </w:rPr>
        <w:footnoteRef/>
      </w:r>
      <w:r>
        <w:t xml:space="preserve"> </w:t>
      </w:r>
      <w:r w:rsidRPr="00395E83">
        <w:rPr>
          <w:b/>
          <w:bCs/>
        </w:rPr>
        <w:t>Standardised MedDRA Queries (SMQs)</w:t>
      </w:r>
      <w:r w:rsidRPr="00395E83">
        <w:t xml:space="preserve"> are groupings of terms from one or more MedDRA System Organ Classes (SOCs) that relate to a defined medical condition or area of interest. They are intended to aid in case identification.</w:t>
      </w:r>
    </w:p>
  </w:footnote>
  <w:footnote w:id="17">
    <w:p w14:paraId="082CB71F" w14:textId="6AEC9990" w:rsidR="00737AC8" w:rsidRDefault="00737AC8">
      <w:pPr>
        <w:pStyle w:val="FootnoteText"/>
      </w:pPr>
      <w:r>
        <w:rPr>
          <w:rStyle w:val="FootnoteReference"/>
        </w:rPr>
        <w:footnoteRef/>
      </w:r>
      <w:r>
        <w:t xml:space="preserve"> The </w:t>
      </w:r>
      <w:r w:rsidRPr="00395E83">
        <w:t xml:space="preserve">Approved Australian Product Information for Xelocitabine </w:t>
      </w:r>
      <w:r>
        <w:t>(</w:t>
      </w:r>
      <w:r w:rsidRPr="00395E83">
        <w:t>capecitabine</w:t>
      </w:r>
      <w:r>
        <w:t>)</w:t>
      </w:r>
      <w:r w:rsidRPr="00395E83">
        <w:t xml:space="preserve">. </w:t>
      </w:r>
      <w:r>
        <w:t>Available</w:t>
      </w:r>
      <w:r w:rsidRPr="00395E83">
        <w:t xml:space="preserve"> at: </w:t>
      </w:r>
      <w:hyperlink r:id="rId2" w:history="1">
        <w:r w:rsidRPr="004D7779">
          <w:rPr>
            <w:rStyle w:val="Hyperlink"/>
          </w:rPr>
          <w:t>https://www.ebs.tga.gov.au/ebs/picmi/picmirepository.nsf/pdf?OpenAgent&amp;id=CP-2017-PI-01416-1</w:t>
        </w:r>
      </w:hyperlink>
      <w:r>
        <w:t>.</w:t>
      </w:r>
    </w:p>
  </w:footnote>
  <w:footnote w:id="18">
    <w:p w14:paraId="202F9F4B" w14:textId="77777777" w:rsidR="00737AC8" w:rsidRDefault="00737AC8">
      <w:pPr>
        <w:pStyle w:val="FootnoteText"/>
      </w:pPr>
      <w:r>
        <w:rPr>
          <w:rStyle w:val="FootnoteReference"/>
        </w:rPr>
        <w:footnoteRef/>
      </w:r>
      <w:r>
        <w:t xml:space="preserve"> </w:t>
      </w:r>
      <w:r w:rsidRPr="007D53B6">
        <w:t>The sponsor must still comply with routine product vigilance and risk minimisation requirements.</w:t>
      </w:r>
    </w:p>
  </w:footnote>
  <w:footnote w:id="19">
    <w:p w14:paraId="68A13503" w14:textId="2C9E5395" w:rsidR="00737AC8" w:rsidRDefault="00737AC8" w:rsidP="00AB1089">
      <w:pPr>
        <w:pStyle w:val="FootnoteText"/>
      </w:pPr>
      <w:r>
        <w:rPr>
          <w:rStyle w:val="FootnoteReference"/>
        </w:rPr>
        <w:footnoteRef/>
      </w:r>
      <w:r>
        <w:t xml:space="preserve"> </w:t>
      </w:r>
      <w:r w:rsidRPr="00AB1089">
        <w:t>Weise</w:t>
      </w:r>
      <w:r>
        <w:t xml:space="preserve">, M. et al. </w:t>
      </w:r>
      <w:r w:rsidRPr="00AB1089">
        <w:t>Biosimilars: the science of extrapolation</w:t>
      </w:r>
      <w:r>
        <w:t xml:space="preserve">, </w:t>
      </w:r>
      <w:r w:rsidRPr="009B4FB6">
        <w:rPr>
          <w:i/>
          <w:iCs/>
        </w:rPr>
        <w:t>Blood</w:t>
      </w:r>
      <w:r>
        <w:t>, 2014; 124(22): 3191-3196.</w:t>
      </w:r>
    </w:p>
  </w:footnote>
  <w:footnote w:id="20">
    <w:p w14:paraId="5DFECEFF" w14:textId="77777777" w:rsidR="00737AC8" w:rsidRPr="00456765" w:rsidRDefault="00737AC8" w:rsidP="00FB369D">
      <w:pPr>
        <w:pStyle w:val="FootnoteText"/>
        <w:rPr>
          <w:lang w:val="en-US"/>
        </w:rPr>
      </w:pPr>
      <w:r>
        <w:rPr>
          <w:rStyle w:val="FootnoteReference"/>
        </w:rPr>
        <w:footnoteRef/>
      </w:r>
      <w:r>
        <w:t xml:space="preserve"> </w:t>
      </w:r>
      <w:r w:rsidRPr="00FB369D">
        <w:t xml:space="preserve">The ACM provides independent medical and scientific advice to the Minister for Health and the TGA on issues relating to the safety, quality and efficacy of medicines supplied in Australia including issues relating to pre market and post-market functions for medicines. Further information can be found here: </w:t>
      </w:r>
      <w:hyperlink r:id="rId3" w:history="1">
        <w:r w:rsidRPr="0004151A">
          <w:rPr>
            <w:rStyle w:val="Hyperlink"/>
          </w:rPr>
          <w:t>https://www.tga.gov.au/committee/advisory-committee-medicines-acm</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D39D83" w14:textId="77777777" w:rsidR="00737AC8" w:rsidRDefault="00737AC8"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DA1DDB" w14:textId="77777777" w:rsidR="00737AC8" w:rsidRDefault="00737AC8">
    <w:pPr>
      <w:rPr>
        <w:noProof/>
        <w:lang w:eastAsia="en-AU"/>
      </w:rPr>
    </w:pPr>
    <w:r w:rsidRPr="00347824">
      <w:rPr>
        <w:noProof/>
        <w:lang w:val="en-GB" w:eastAsia="en-GB"/>
      </w:rPr>
      <w:drawing>
        <wp:anchor distT="0" distB="0" distL="114300" distR="114300" simplePos="0" relativeHeight="251659264" behindDoc="1" locked="0" layoutInCell="1" allowOverlap="1" wp14:anchorId="27C29028" wp14:editId="6E211257">
          <wp:simplePos x="0" y="0"/>
          <wp:positionH relativeFrom="column">
            <wp:posOffset>-1089660</wp:posOffset>
          </wp:positionH>
          <wp:positionV relativeFrom="paragraph">
            <wp:posOffset>-585470</wp:posOffset>
          </wp:positionV>
          <wp:extent cx="7572375" cy="10706100"/>
          <wp:effectExtent l="19050" t="0" r="0" b="0"/>
          <wp:wrapNone/>
          <wp:docPr id="8"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4FB82D0E" w14:textId="77777777" w:rsidR="00737AC8" w:rsidRDefault="00737AC8" w:rsidP="00593AD1">
    <w:pPr>
      <w:pStyle w:val="HeaderNoLi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9ADD0" w14:textId="77777777" w:rsidR="00737AC8" w:rsidRDefault="00737A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8E14" w14:textId="77777777" w:rsidR="00737AC8" w:rsidRDefault="00737AC8">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70CCD1" w14:textId="77777777" w:rsidR="00737AC8" w:rsidRDefault="00737AC8">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1B65B" w14:textId="77777777" w:rsidR="00737AC8" w:rsidRDefault="00737AC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FA4575" w14:textId="77777777" w:rsidR="00737AC8" w:rsidRDefault="00737AC8"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75A988" w14:textId="77777777" w:rsidR="00737AC8" w:rsidRDefault="00737AC8" w:rsidP="006E08B3">
    <w:r>
      <w:t>Therapeutic Goods Administration</w:t>
    </w:r>
  </w:p>
  <w:p w14:paraId="72F59740" w14:textId="77777777" w:rsidR="00737AC8" w:rsidRDefault="00737AC8" w:rsidP="006D03E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3636FD2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080017AB"/>
    <w:multiLevelType w:val="hybridMultilevel"/>
    <w:tmpl w:val="7FB83D2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053F11"/>
    <w:multiLevelType w:val="multilevel"/>
    <w:tmpl w:val="575CEDBE"/>
    <w:styleLink w:val="NumberBullet"/>
    <w:lvl w:ilvl="0">
      <w:start w:val="1"/>
      <w:numFmt w:val="decimal"/>
      <w:pStyle w:val="Numberbullet0"/>
      <w:lvlText w:val="%1."/>
      <w:lvlJc w:val="left"/>
      <w:pPr>
        <w:ind w:left="850" w:hanging="425"/>
      </w:pPr>
      <w:rPr>
        <w:rFonts w:ascii="Cambria" w:hAnsi="Cambria" w:hint="default"/>
      </w:rPr>
    </w:lvl>
    <w:lvl w:ilvl="1">
      <w:start w:val="1"/>
      <w:numFmt w:val="lowerLetter"/>
      <w:pStyle w:val="Numberbullet2"/>
      <w:lvlText w:val="%2."/>
      <w:lvlJc w:val="left"/>
      <w:pPr>
        <w:ind w:left="1276" w:hanging="426"/>
      </w:pPr>
      <w:rPr>
        <w:rFonts w:hint="default"/>
      </w:rPr>
    </w:lvl>
    <w:lvl w:ilvl="2">
      <w:start w:val="1"/>
      <w:numFmt w:val="lowerRoman"/>
      <w:pStyle w:val="Numberbullet3"/>
      <w:lvlText w:val="%3."/>
      <w:lvlJc w:val="left"/>
      <w:pPr>
        <w:ind w:left="1701" w:hanging="425"/>
      </w:pPr>
      <w:rPr>
        <w:rFonts w:hint="default"/>
      </w:rPr>
    </w:lvl>
    <w:lvl w:ilvl="3">
      <w:start w:val="1"/>
      <w:numFmt w:val="none"/>
      <w:lvlText w:val=""/>
      <w:lvlJc w:val="left"/>
      <w:pPr>
        <w:ind w:left="1701" w:hanging="425"/>
      </w:pPr>
      <w:rPr>
        <w:rFonts w:hint="default"/>
      </w:rPr>
    </w:lvl>
    <w:lvl w:ilvl="4">
      <w:start w:val="1"/>
      <w:numFmt w:val="none"/>
      <w:lvlText w:val=""/>
      <w:lvlJc w:val="left"/>
      <w:pPr>
        <w:ind w:left="1701" w:hanging="425"/>
      </w:pPr>
      <w:rPr>
        <w:rFonts w:hint="default"/>
      </w:rPr>
    </w:lvl>
    <w:lvl w:ilvl="5">
      <w:start w:val="1"/>
      <w:numFmt w:val="none"/>
      <w:lvlText w:val=""/>
      <w:lvlJc w:val="left"/>
      <w:pPr>
        <w:ind w:left="1701" w:hanging="425"/>
      </w:pPr>
      <w:rPr>
        <w:rFonts w:hint="default"/>
      </w:rPr>
    </w:lvl>
    <w:lvl w:ilvl="6">
      <w:start w:val="1"/>
      <w:numFmt w:val="none"/>
      <w:lvlText w:val="%7"/>
      <w:lvlJc w:val="left"/>
      <w:pPr>
        <w:ind w:left="1701" w:hanging="425"/>
      </w:pPr>
      <w:rPr>
        <w:rFonts w:hint="default"/>
      </w:rPr>
    </w:lvl>
    <w:lvl w:ilvl="7">
      <w:start w:val="1"/>
      <w:numFmt w:val="none"/>
      <w:lvlText w:val=""/>
      <w:lvlJc w:val="left"/>
      <w:pPr>
        <w:ind w:left="1701" w:hanging="425"/>
      </w:pPr>
      <w:rPr>
        <w:rFonts w:hint="default"/>
      </w:rPr>
    </w:lvl>
    <w:lvl w:ilvl="8">
      <w:start w:val="1"/>
      <w:numFmt w:val="none"/>
      <w:lvlText w:val=""/>
      <w:lvlJc w:val="left"/>
      <w:pPr>
        <w:ind w:left="1701" w:hanging="425"/>
      </w:pPr>
      <w:rPr>
        <w:rFonts w:hint="default"/>
      </w:rPr>
    </w:lvl>
  </w:abstractNum>
  <w:abstractNum w:abstractNumId="6" w15:restartNumberingAfterBreak="0">
    <w:nsid w:val="11F3578D"/>
    <w:multiLevelType w:val="hybridMultilevel"/>
    <w:tmpl w:val="1D92BB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8" w15:restartNumberingAfterBreak="0">
    <w:nsid w:val="17746E22"/>
    <w:multiLevelType w:val="hybridMultilevel"/>
    <w:tmpl w:val="BB8C73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91E59D5"/>
    <w:multiLevelType w:val="hybridMultilevel"/>
    <w:tmpl w:val="34180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DAD218C"/>
    <w:multiLevelType w:val="hybridMultilevel"/>
    <w:tmpl w:val="776603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37A0357E"/>
    <w:multiLevelType w:val="hybridMultilevel"/>
    <w:tmpl w:val="E23CAD8C"/>
    <w:lvl w:ilvl="0" w:tplc="0C09000F">
      <w:start w:val="1"/>
      <w:numFmt w:val="decimal"/>
      <w:lvlText w:val="%1."/>
      <w:lvlJc w:val="left"/>
      <w:pPr>
        <w:ind w:left="1145" w:hanging="360"/>
      </w:pPr>
    </w:lvl>
    <w:lvl w:ilvl="1" w:tplc="0C090019" w:tentative="1">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2" w15:restartNumberingAfterBreak="0">
    <w:nsid w:val="3A2F5CDC"/>
    <w:multiLevelType w:val="hybridMultilevel"/>
    <w:tmpl w:val="CB4A66DE"/>
    <w:lvl w:ilvl="0" w:tplc="CB98220E">
      <w:numFmt w:val="bullet"/>
      <w:lvlText w:val="-"/>
      <w:lvlJc w:val="left"/>
      <w:pPr>
        <w:ind w:left="1080" w:hanging="720"/>
      </w:pPr>
      <w:rPr>
        <w:rFonts w:ascii="Cambria" w:eastAsia="Cambria" w:hAnsi="Cambri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C582AAA"/>
    <w:multiLevelType w:val="hybridMultilevel"/>
    <w:tmpl w:val="E97822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44BB7AC3"/>
    <w:multiLevelType w:val="hybridMultilevel"/>
    <w:tmpl w:val="B972D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tentative="1">
      <w:start w:val="1"/>
      <w:numFmt w:val="bullet"/>
      <w:lvlText w:val="o"/>
      <w:lvlJc w:val="left"/>
      <w:pPr>
        <w:tabs>
          <w:tab w:val="num" w:pos="1440"/>
        </w:tabs>
        <w:ind w:left="1440" w:hanging="360"/>
      </w:pPr>
      <w:rPr>
        <w:rFonts w:ascii="Courier New" w:hAnsi="Courier New" w:cs="Symbol"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Symbol"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Symbol"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B431E2E"/>
    <w:multiLevelType w:val="hybridMultilevel"/>
    <w:tmpl w:val="6E3C4C18"/>
    <w:lvl w:ilvl="0" w:tplc="D6BED442">
      <w:numFmt w:val="bullet"/>
      <w:lvlText w:val="-"/>
      <w:lvlJc w:val="left"/>
      <w:pPr>
        <w:ind w:left="720" w:hanging="360"/>
      </w:pPr>
      <w:rPr>
        <w:rFonts w:ascii="Cambria" w:eastAsia="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07279CB"/>
    <w:multiLevelType w:val="hybridMultilevel"/>
    <w:tmpl w:val="324839D4"/>
    <w:lvl w:ilvl="0" w:tplc="E5EACD22">
      <w:numFmt w:val="bullet"/>
      <w:lvlText w:val="•"/>
      <w:lvlJc w:val="left"/>
      <w:pPr>
        <w:ind w:left="720" w:hanging="72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779141A"/>
    <w:multiLevelType w:val="hybridMultilevel"/>
    <w:tmpl w:val="AB4629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8E47DBA"/>
    <w:multiLevelType w:val="hybridMultilevel"/>
    <w:tmpl w:val="536A6B0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21" w15:restartNumberingAfterBreak="0">
    <w:nsid w:val="61EE4208"/>
    <w:multiLevelType w:val="hybridMultilevel"/>
    <w:tmpl w:val="FB42AB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2E1248D"/>
    <w:multiLevelType w:val="hybridMultilevel"/>
    <w:tmpl w:val="89C856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11623D3"/>
    <w:multiLevelType w:val="hybridMultilevel"/>
    <w:tmpl w:val="F256935C"/>
    <w:lvl w:ilvl="0" w:tplc="0C090001">
      <w:start w:val="1"/>
      <w:numFmt w:val="bullet"/>
      <w:lvlText w:val=""/>
      <w:lvlJc w:val="left"/>
      <w:pPr>
        <w:ind w:left="720" w:hanging="360"/>
      </w:pPr>
      <w:rPr>
        <w:rFonts w:ascii="Symbol" w:hAnsi="Symbol" w:hint="default"/>
      </w:rPr>
    </w:lvl>
    <w:lvl w:ilvl="1" w:tplc="C3BA6ACC">
      <w:start w:val="20"/>
      <w:numFmt w:val="bullet"/>
      <w:lvlText w:val="•"/>
      <w:lvlJc w:val="left"/>
      <w:pPr>
        <w:ind w:left="1440" w:hanging="360"/>
      </w:pPr>
      <w:rPr>
        <w:rFonts w:ascii="Cambria" w:eastAsia="Cambria" w:hAnsi="Cambria" w:cs="Times New Roman"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B2E6E15"/>
    <w:multiLevelType w:val="hybridMultilevel"/>
    <w:tmpl w:val="C90081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7"/>
  </w:num>
  <w:num w:numId="4">
    <w:abstractNumId w:val="7"/>
  </w:num>
  <w:num w:numId="5">
    <w:abstractNumId w:val="0"/>
  </w:num>
  <w:num w:numId="6">
    <w:abstractNumId w:val="7"/>
  </w:num>
  <w:num w:numId="7">
    <w:abstractNumId w:val="7"/>
  </w:num>
  <w:num w:numId="8">
    <w:abstractNumId w:val="5"/>
  </w:num>
  <w:num w:numId="9">
    <w:abstractNumId w:val="5"/>
  </w:num>
  <w:num w:numId="10">
    <w:abstractNumId w:val="5"/>
  </w:num>
  <w:num w:numId="11">
    <w:abstractNumId w:val="5"/>
  </w:num>
  <w:num w:numId="12">
    <w:abstractNumId w:val="3"/>
    <w:lvlOverride w:ilvl="0">
      <w:lvl w:ilvl="0">
        <w:numFmt w:val="bullet"/>
        <w:lvlText w:val="•"/>
        <w:legacy w:legacy="1" w:legacySpace="0" w:legacyIndent="0"/>
        <w:lvlJc w:val="left"/>
        <w:rPr>
          <w:rFonts w:ascii="Helv" w:hAnsi="Helv" w:hint="default"/>
        </w:rPr>
      </w:lvl>
    </w:lvlOverride>
  </w:num>
  <w:num w:numId="13">
    <w:abstractNumId w:val="7"/>
  </w:num>
  <w:num w:numId="14">
    <w:abstractNumId w:val="7"/>
  </w:num>
  <w:num w:numId="15">
    <w:abstractNumId w:val="7"/>
  </w:num>
  <w:num w:numId="16">
    <w:abstractNumId w:val="5"/>
  </w:num>
  <w:num w:numId="17">
    <w:abstractNumId w:val="5"/>
  </w:num>
  <w:num w:numId="18">
    <w:abstractNumId w:val="5"/>
  </w:num>
  <w:num w:numId="19">
    <w:abstractNumId w:val="7"/>
  </w:num>
  <w:num w:numId="20">
    <w:abstractNumId w:val="7"/>
  </w:num>
  <w:num w:numId="21">
    <w:abstractNumId w:val="7"/>
  </w:num>
  <w:num w:numId="22">
    <w:abstractNumId w:val="5"/>
  </w:num>
  <w:num w:numId="23">
    <w:abstractNumId w:val="5"/>
  </w:num>
  <w:num w:numId="24">
    <w:abstractNumId w:val="5"/>
  </w:num>
  <w:num w:numId="25">
    <w:abstractNumId w:val="5"/>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5"/>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17"/>
  </w:num>
  <w:num w:numId="28">
    <w:abstractNumId w:val="24"/>
  </w:num>
  <w:num w:numId="29">
    <w:abstractNumId w:val="6"/>
  </w:num>
  <w:num w:numId="30">
    <w:abstractNumId w:val="12"/>
  </w:num>
  <w:num w:numId="31">
    <w:abstractNumId w:val="4"/>
  </w:num>
  <w:num w:numId="32">
    <w:abstractNumId w:val="18"/>
  </w:num>
  <w:num w:numId="33">
    <w:abstractNumId w:val="22"/>
  </w:num>
  <w:num w:numId="34">
    <w:abstractNumId w:val="15"/>
  </w:num>
  <w:num w:numId="35">
    <w:abstractNumId w:val="11"/>
  </w:num>
  <w:num w:numId="36">
    <w:abstractNumId w:val="14"/>
  </w:num>
  <w:num w:numId="37">
    <w:abstractNumId w:val="8"/>
  </w:num>
  <w:num w:numId="38">
    <w:abstractNumId w:val="13"/>
  </w:num>
  <w:num w:numId="39">
    <w:abstractNumId w:val="10"/>
  </w:num>
  <w:num w:numId="40">
    <w:abstractNumId w:val="9"/>
  </w:num>
  <w:num w:numId="41">
    <w:abstractNumId w:val="21"/>
  </w:num>
  <w:num w:numId="42">
    <w:abstractNumId w:val="25"/>
  </w:num>
  <w:num w:numId="43">
    <w:abstractNumId w:val="19"/>
  </w:num>
  <w:num w:numId="44">
    <w:abstractNumId w:val="20"/>
  </w:num>
  <w:num w:numId="45">
    <w:abstractNumId w:val="23"/>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761"/>
    <w:rsid w:val="00002031"/>
    <w:rsid w:val="00002A3C"/>
    <w:rsid w:val="00004734"/>
    <w:rsid w:val="00006B22"/>
    <w:rsid w:val="00006FAB"/>
    <w:rsid w:val="0001276A"/>
    <w:rsid w:val="000246AE"/>
    <w:rsid w:val="00025C67"/>
    <w:rsid w:val="00036B86"/>
    <w:rsid w:val="00044772"/>
    <w:rsid w:val="0004541C"/>
    <w:rsid w:val="0005559E"/>
    <w:rsid w:val="000604D6"/>
    <w:rsid w:val="000734D8"/>
    <w:rsid w:val="00077775"/>
    <w:rsid w:val="00090471"/>
    <w:rsid w:val="00096AA7"/>
    <w:rsid w:val="000A3AED"/>
    <w:rsid w:val="000B3532"/>
    <w:rsid w:val="000B368F"/>
    <w:rsid w:val="000B3A75"/>
    <w:rsid w:val="000C00C2"/>
    <w:rsid w:val="000C5B6A"/>
    <w:rsid w:val="000C690F"/>
    <w:rsid w:val="000C7727"/>
    <w:rsid w:val="000D1295"/>
    <w:rsid w:val="000D391B"/>
    <w:rsid w:val="000D3D6D"/>
    <w:rsid w:val="000D4FC7"/>
    <w:rsid w:val="000E6196"/>
    <w:rsid w:val="000E77B0"/>
    <w:rsid w:val="000F4869"/>
    <w:rsid w:val="000F5B42"/>
    <w:rsid w:val="000F6E6F"/>
    <w:rsid w:val="0010601F"/>
    <w:rsid w:val="0010788A"/>
    <w:rsid w:val="00107A31"/>
    <w:rsid w:val="00110EA5"/>
    <w:rsid w:val="00112F56"/>
    <w:rsid w:val="00122203"/>
    <w:rsid w:val="00122C2E"/>
    <w:rsid w:val="00124ACD"/>
    <w:rsid w:val="00125318"/>
    <w:rsid w:val="001305A2"/>
    <w:rsid w:val="00133238"/>
    <w:rsid w:val="00133A1B"/>
    <w:rsid w:val="0014197B"/>
    <w:rsid w:val="00144689"/>
    <w:rsid w:val="001447CD"/>
    <w:rsid w:val="001516B1"/>
    <w:rsid w:val="00154EBB"/>
    <w:rsid w:val="00156316"/>
    <w:rsid w:val="00161181"/>
    <w:rsid w:val="00162D14"/>
    <w:rsid w:val="00163780"/>
    <w:rsid w:val="00165389"/>
    <w:rsid w:val="00167F94"/>
    <w:rsid w:val="0017693F"/>
    <w:rsid w:val="0018110E"/>
    <w:rsid w:val="00181684"/>
    <w:rsid w:val="00184002"/>
    <w:rsid w:val="001843C6"/>
    <w:rsid w:val="001850E0"/>
    <w:rsid w:val="001A03AF"/>
    <w:rsid w:val="001A2158"/>
    <w:rsid w:val="001A525F"/>
    <w:rsid w:val="001A7C3A"/>
    <w:rsid w:val="001B09F9"/>
    <w:rsid w:val="001B5C90"/>
    <w:rsid w:val="001B6448"/>
    <w:rsid w:val="001C32CD"/>
    <w:rsid w:val="001D2984"/>
    <w:rsid w:val="001E07CF"/>
    <w:rsid w:val="001E32AC"/>
    <w:rsid w:val="001E59F1"/>
    <w:rsid w:val="001F2CEE"/>
    <w:rsid w:val="001F4391"/>
    <w:rsid w:val="001F49EB"/>
    <w:rsid w:val="001F4F3E"/>
    <w:rsid w:val="001F6CBA"/>
    <w:rsid w:val="00201CA0"/>
    <w:rsid w:val="00201D4E"/>
    <w:rsid w:val="002076C9"/>
    <w:rsid w:val="002138AB"/>
    <w:rsid w:val="00220B8A"/>
    <w:rsid w:val="00224DB4"/>
    <w:rsid w:val="002257F3"/>
    <w:rsid w:val="00232281"/>
    <w:rsid w:val="00233456"/>
    <w:rsid w:val="002339A5"/>
    <w:rsid w:val="002442C0"/>
    <w:rsid w:val="00250271"/>
    <w:rsid w:val="00257848"/>
    <w:rsid w:val="002578E8"/>
    <w:rsid w:val="00263973"/>
    <w:rsid w:val="00265E86"/>
    <w:rsid w:val="0027084A"/>
    <w:rsid w:val="00280265"/>
    <w:rsid w:val="00286434"/>
    <w:rsid w:val="00286C59"/>
    <w:rsid w:val="00291957"/>
    <w:rsid w:val="002942D1"/>
    <w:rsid w:val="0029501A"/>
    <w:rsid w:val="002A3721"/>
    <w:rsid w:val="002A560E"/>
    <w:rsid w:val="002A66C5"/>
    <w:rsid w:val="002A760B"/>
    <w:rsid w:val="002B1638"/>
    <w:rsid w:val="002B2C4F"/>
    <w:rsid w:val="002B3624"/>
    <w:rsid w:val="002C66E9"/>
    <w:rsid w:val="002D0952"/>
    <w:rsid w:val="002E40B3"/>
    <w:rsid w:val="002E4C9A"/>
    <w:rsid w:val="002F0941"/>
    <w:rsid w:val="002F11F8"/>
    <w:rsid w:val="002F3F56"/>
    <w:rsid w:val="002F44B5"/>
    <w:rsid w:val="002F5122"/>
    <w:rsid w:val="002F7761"/>
    <w:rsid w:val="00301BC1"/>
    <w:rsid w:val="00311AC0"/>
    <w:rsid w:val="003176FC"/>
    <w:rsid w:val="00324E45"/>
    <w:rsid w:val="0032583B"/>
    <w:rsid w:val="00327883"/>
    <w:rsid w:val="00333051"/>
    <w:rsid w:val="00335504"/>
    <w:rsid w:val="00340C18"/>
    <w:rsid w:val="003434C1"/>
    <w:rsid w:val="003442FD"/>
    <w:rsid w:val="00347824"/>
    <w:rsid w:val="00350567"/>
    <w:rsid w:val="003521E8"/>
    <w:rsid w:val="00355CDB"/>
    <w:rsid w:val="00370CE3"/>
    <w:rsid w:val="003728F3"/>
    <w:rsid w:val="003735BC"/>
    <w:rsid w:val="0037496E"/>
    <w:rsid w:val="00383221"/>
    <w:rsid w:val="00386150"/>
    <w:rsid w:val="00387381"/>
    <w:rsid w:val="003874CE"/>
    <w:rsid w:val="00390900"/>
    <w:rsid w:val="00395E83"/>
    <w:rsid w:val="003A7F6C"/>
    <w:rsid w:val="003B4D60"/>
    <w:rsid w:val="003B68E0"/>
    <w:rsid w:val="003B7E39"/>
    <w:rsid w:val="003C58DC"/>
    <w:rsid w:val="003C6E65"/>
    <w:rsid w:val="003D1E62"/>
    <w:rsid w:val="003E0B99"/>
    <w:rsid w:val="003E15FE"/>
    <w:rsid w:val="003E2067"/>
    <w:rsid w:val="003E2486"/>
    <w:rsid w:val="003E3208"/>
    <w:rsid w:val="003F0B04"/>
    <w:rsid w:val="003F65D2"/>
    <w:rsid w:val="0040134E"/>
    <w:rsid w:val="00401753"/>
    <w:rsid w:val="00411725"/>
    <w:rsid w:val="00417E59"/>
    <w:rsid w:val="004334C7"/>
    <w:rsid w:val="00440A2D"/>
    <w:rsid w:val="00441C3F"/>
    <w:rsid w:val="00444D1A"/>
    <w:rsid w:val="0045186A"/>
    <w:rsid w:val="004564A7"/>
    <w:rsid w:val="00456765"/>
    <w:rsid w:val="00460036"/>
    <w:rsid w:val="004617BF"/>
    <w:rsid w:val="00463658"/>
    <w:rsid w:val="004637A0"/>
    <w:rsid w:val="004722CC"/>
    <w:rsid w:val="00483B06"/>
    <w:rsid w:val="004857A7"/>
    <w:rsid w:val="00490483"/>
    <w:rsid w:val="004936E4"/>
    <w:rsid w:val="00494E60"/>
    <w:rsid w:val="00497487"/>
    <w:rsid w:val="004A2771"/>
    <w:rsid w:val="004A6189"/>
    <w:rsid w:val="004A7390"/>
    <w:rsid w:val="004B7B76"/>
    <w:rsid w:val="004C239D"/>
    <w:rsid w:val="004C2DCA"/>
    <w:rsid w:val="004C4FBE"/>
    <w:rsid w:val="004C61D2"/>
    <w:rsid w:val="004F0C4A"/>
    <w:rsid w:val="004F0F38"/>
    <w:rsid w:val="004F47D6"/>
    <w:rsid w:val="00500337"/>
    <w:rsid w:val="00501921"/>
    <w:rsid w:val="005252B2"/>
    <w:rsid w:val="00530354"/>
    <w:rsid w:val="0053625B"/>
    <w:rsid w:val="005434C6"/>
    <w:rsid w:val="0054383C"/>
    <w:rsid w:val="00543B39"/>
    <w:rsid w:val="00545EAB"/>
    <w:rsid w:val="00546154"/>
    <w:rsid w:val="00550096"/>
    <w:rsid w:val="00555280"/>
    <w:rsid w:val="00557FF9"/>
    <w:rsid w:val="00562327"/>
    <w:rsid w:val="005711D5"/>
    <w:rsid w:val="00572A82"/>
    <w:rsid w:val="00576378"/>
    <w:rsid w:val="00577130"/>
    <w:rsid w:val="00577945"/>
    <w:rsid w:val="00577E38"/>
    <w:rsid w:val="005843A8"/>
    <w:rsid w:val="00585322"/>
    <w:rsid w:val="005857C6"/>
    <w:rsid w:val="00592F6E"/>
    <w:rsid w:val="00593AD1"/>
    <w:rsid w:val="005A0C7A"/>
    <w:rsid w:val="005A68B6"/>
    <w:rsid w:val="005C5570"/>
    <w:rsid w:val="005C5B66"/>
    <w:rsid w:val="005C79A4"/>
    <w:rsid w:val="005D5442"/>
    <w:rsid w:val="00603F32"/>
    <w:rsid w:val="00605AD4"/>
    <w:rsid w:val="00612D16"/>
    <w:rsid w:val="006136D7"/>
    <w:rsid w:val="00625A6E"/>
    <w:rsid w:val="00632398"/>
    <w:rsid w:val="00640FC3"/>
    <w:rsid w:val="00642020"/>
    <w:rsid w:val="006430EE"/>
    <w:rsid w:val="006434A0"/>
    <w:rsid w:val="0065337B"/>
    <w:rsid w:val="0065419D"/>
    <w:rsid w:val="00655A3F"/>
    <w:rsid w:val="006603BC"/>
    <w:rsid w:val="006604D8"/>
    <w:rsid w:val="00664A5B"/>
    <w:rsid w:val="0066735C"/>
    <w:rsid w:val="00667F81"/>
    <w:rsid w:val="006741A2"/>
    <w:rsid w:val="006763D2"/>
    <w:rsid w:val="00680C08"/>
    <w:rsid w:val="006916A0"/>
    <w:rsid w:val="006931B1"/>
    <w:rsid w:val="006A15C0"/>
    <w:rsid w:val="006A1AFA"/>
    <w:rsid w:val="006A3D58"/>
    <w:rsid w:val="006A46D1"/>
    <w:rsid w:val="006A58A8"/>
    <w:rsid w:val="006B09A8"/>
    <w:rsid w:val="006C3E2A"/>
    <w:rsid w:val="006C642F"/>
    <w:rsid w:val="006D03E5"/>
    <w:rsid w:val="006D5D3E"/>
    <w:rsid w:val="006E08B3"/>
    <w:rsid w:val="006F17AC"/>
    <w:rsid w:val="006F25B8"/>
    <w:rsid w:val="006F572E"/>
    <w:rsid w:val="007046D6"/>
    <w:rsid w:val="00705DB0"/>
    <w:rsid w:val="00722B57"/>
    <w:rsid w:val="00730F8A"/>
    <w:rsid w:val="00735A8C"/>
    <w:rsid w:val="00737AC8"/>
    <w:rsid w:val="0074253D"/>
    <w:rsid w:val="00744121"/>
    <w:rsid w:val="0074429B"/>
    <w:rsid w:val="007504A6"/>
    <w:rsid w:val="007615BC"/>
    <w:rsid w:val="00762F05"/>
    <w:rsid w:val="007652FF"/>
    <w:rsid w:val="00770CAC"/>
    <w:rsid w:val="00770EF1"/>
    <w:rsid w:val="007738A9"/>
    <w:rsid w:val="00773A45"/>
    <w:rsid w:val="00773BC7"/>
    <w:rsid w:val="00773EF7"/>
    <w:rsid w:val="00774E1D"/>
    <w:rsid w:val="007765D8"/>
    <w:rsid w:val="0077675A"/>
    <w:rsid w:val="00780355"/>
    <w:rsid w:val="007819FD"/>
    <w:rsid w:val="00785717"/>
    <w:rsid w:val="00785721"/>
    <w:rsid w:val="00793A59"/>
    <w:rsid w:val="007A46F5"/>
    <w:rsid w:val="007A6505"/>
    <w:rsid w:val="007B6132"/>
    <w:rsid w:val="007B6E9F"/>
    <w:rsid w:val="007C1216"/>
    <w:rsid w:val="007C1AF7"/>
    <w:rsid w:val="007C46C9"/>
    <w:rsid w:val="007C6B9B"/>
    <w:rsid w:val="007D138D"/>
    <w:rsid w:val="007D53B6"/>
    <w:rsid w:val="007F4E2A"/>
    <w:rsid w:val="00805D27"/>
    <w:rsid w:val="00806DCB"/>
    <w:rsid w:val="00821776"/>
    <w:rsid w:val="008321F5"/>
    <w:rsid w:val="00832369"/>
    <w:rsid w:val="00834660"/>
    <w:rsid w:val="00836BC2"/>
    <w:rsid w:val="0085156D"/>
    <w:rsid w:val="00852B28"/>
    <w:rsid w:val="0085641B"/>
    <w:rsid w:val="00857136"/>
    <w:rsid w:val="00875A6B"/>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D2FE2"/>
    <w:rsid w:val="008D49D0"/>
    <w:rsid w:val="008E7846"/>
    <w:rsid w:val="008F02E5"/>
    <w:rsid w:val="008F1CCC"/>
    <w:rsid w:val="008F2967"/>
    <w:rsid w:val="008F6943"/>
    <w:rsid w:val="008F71B3"/>
    <w:rsid w:val="008F7EED"/>
    <w:rsid w:val="00902A21"/>
    <w:rsid w:val="0091523F"/>
    <w:rsid w:val="00920330"/>
    <w:rsid w:val="009219D7"/>
    <w:rsid w:val="00922C4A"/>
    <w:rsid w:val="00922D53"/>
    <w:rsid w:val="00923B70"/>
    <w:rsid w:val="00924482"/>
    <w:rsid w:val="00930237"/>
    <w:rsid w:val="00937C17"/>
    <w:rsid w:val="00940A89"/>
    <w:rsid w:val="00941F77"/>
    <w:rsid w:val="00946EA5"/>
    <w:rsid w:val="0095153F"/>
    <w:rsid w:val="00957E76"/>
    <w:rsid w:val="00960520"/>
    <w:rsid w:val="00963C08"/>
    <w:rsid w:val="009752A5"/>
    <w:rsid w:val="0098585A"/>
    <w:rsid w:val="009A4CED"/>
    <w:rsid w:val="009A690D"/>
    <w:rsid w:val="009B1D12"/>
    <w:rsid w:val="009B416B"/>
    <w:rsid w:val="009B4FB6"/>
    <w:rsid w:val="009B6728"/>
    <w:rsid w:val="009C14BA"/>
    <w:rsid w:val="009C4BD5"/>
    <w:rsid w:val="009D7B77"/>
    <w:rsid w:val="009E0BB0"/>
    <w:rsid w:val="009E3FBB"/>
    <w:rsid w:val="009F348C"/>
    <w:rsid w:val="009F61CD"/>
    <w:rsid w:val="009F7353"/>
    <w:rsid w:val="00A04F85"/>
    <w:rsid w:val="00A05FA4"/>
    <w:rsid w:val="00A102E4"/>
    <w:rsid w:val="00A1065C"/>
    <w:rsid w:val="00A1219C"/>
    <w:rsid w:val="00A12C42"/>
    <w:rsid w:val="00A14DF7"/>
    <w:rsid w:val="00A22D57"/>
    <w:rsid w:val="00A3246D"/>
    <w:rsid w:val="00A36FA7"/>
    <w:rsid w:val="00A42C7A"/>
    <w:rsid w:val="00A44DDB"/>
    <w:rsid w:val="00A475B7"/>
    <w:rsid w:val="00A47AF7"/>
    <w:rsid w:val="00A47C3E"/>
    <w:rsid w:val="00A50226"/>
    <w:rsid w:val="00A60BAD"/>
    <w:rsid w:val="00A64D01"/>
    <w:rsid w:val="00A7169D"/>
    <w:rsid w:val="00A75092"/>
    <w:rsid w:val="00A77F87"/>
    <w:rsid w:val="00A80B5B"/>
    <w:rsid w:val="00A84E36"/>
    <w:rsid w:val="00A93AD4"/>
    <w:rsid w:val="00A964D1"/>
    <w:rsid w:val="00AA0ED0"/>
    <w:rsid w:val="00AB1089"/>
    <w:rsid w:val="00AB242B"/>
    <w:rsid w:val="00AB7EFA"/>
    <w:rsid w:val="00AC2B40"/>
    <w:rsid w:val="00AC2BB2"/>
    <w:rsid w:val="00AC2C3C"/>
    <w:rsid w:val="00AC512D"/>
    <w:rsid w:val="00AD0083"/>
    <w:rsid w:val="00AD3935"/>
    <w:rsid w:val="00AD4F5E"/>
    <w:rsid w:val="00AD7568"/>
    <w:rsid w:val="00AE04AC"/>
    <w:rsid w:val="00AE65EB"/>
    <w:rsid w:val="00AE67A7"/>
    <w:rsid w:val="00AF1D94"/>
    <w:rsid w:val="00AF60C5"/>
    <w:rsid w:val="00B009C6"/>
    <w:rsid w:val="00B01548"/>
    <w:rsid w:val="00B130C5"/>
    <w:rsid w:val="00B13EBD"/>
    <w:rsid w:val="00B21D29"/>
    <w:rsid w:val="00B25034"/>
    <w:rsid w:val="00B33588"/>
    <w:rsid w:val="00B33863"/>
    <w:rsid w:val="00B37D17"/>
    <w:rsid w:val="00B402E6"/>
    <w:rsid w:val="00B40BE0"/>
    <w:rsid w:val="00B4175E"/>
    <w:rsid w:val="00B41C85"/>
    <w:rsid w:val="00B42BC7"/>
    <w:rsid w:val="00B452CE"/>
    <w:rsid w:val="00B4631B"/>
    <w:rsid w:val="00B54C25"/>
    <w:rsid w:val="00B6743D"/>
    <w:rsid w:val="00B76B91"/>
    <w:rsid w:val="00B77EB1"/>
    <w:rsid w:val="00B811C6"/>
    <w:rsid w:val="00B8143B"/>
    <w:rsid w:val="00B855B0"/>
    <w:rsid w:val="00B92E08"/>
    <w:rsid w:val="00BA6D19"/>
    <w:rsid w:val="00BC4649"/>
    <w:rsid w:val="00BC622A"/>
    <w:rsid w:val="00BD1F85"/>
    <w:rsid w:val="00BE0A78"/>
    <w:rsid w:val="00BE4CCB"/>
    <w:rsid w:val="00BE62CF"/>
    <w:rsid w:val="00BE79F0"/>
    <w:rsid w:val="00BF046D"/>
    <w:rsid w:val="00BF1190"/>
    <w:rsid w:val="00BF3774"/>
    <w:rsid w:val="00BF5D04"/>
    <w:rsid w:val="00C009AA"/>
    <w:rsid w:val="00C1164D"/>
    <w:rsid w:val="00C16861"/>
    <w:rsid w:val="00C23158"/>
    <w:rsid w:val="00C346AB"/>
    <w:rsid w:val="00C404A6"/>
    <w:rsid w:val="00C40A36"/>
    <w:rsid w:val="00C44419"/>
    <w:rsid w:val="00C45E7B"/>
    <w:rsid w:val="00C471B1"/>
    <w:rsid w:val="00C518EA"/>
    <w:rsid w:val="00C525A2"/>
    <w:rsid w:val="00C52E24"/>
    <w:rsid w:val="00C6316B"/>
    <w:rsid w:val="00C634A9"/>
    <w:rsid w:val="00C64586"/>
    <w:rsid w:val="00C70A36"/>
    <w:rsid w:val="00C70D53"/>
    <w:rsid w:val="00C73D0B"/>
    <w:rsid w:val="00C74F5C"/>
    <w:rsid w:val="00C75526"/>
    <w:rsid w:val="00C772FF"/>
    <w:rsid w:val="00C80137"/>
    <w:rsid w:val="00C801AF"/>
    <w:rsid w:val="00C80256"/>
    <w:rsid w:val="00C90E88"/>
    <w:rsid w:val="00C9144E"/>
    <w:rsid w:val="00C91DE6"/>
    <w:rsid w:val="00C94CD4"/>
    <w:rsid w:val="00C94F88"/>
    <w:rsid w:val="00C9747E"/>
    <w:rsid w:val="00CB4893"/>
    <w:rsid w:val="00CB6BC0"/>
    <w:rsid w:val="00CC1B7C"/>
    <w:rsid w:val="00CC727F"/>
    <w:rsid w:val="00CD0019"/>
    <w:rsid w:val="00CF15C3"/>
    <w:rsid w:val="00CF2B6F"/>
    <w:rsid w:val="00CF2F3E"/>
    <w:rsid w:val="00CF58B6"/>
    <w:rsid w:val="00CF5DAD"/>
    <w:rsid w:val="00D0062D"/>
    <w:rsid w:val="00D017ED"/>
    <w:rsid w:val="00D040D3"/>
    <w:rsid w:val="00D04C65"/>
    <w:rsid w:val="00D0686E"/>
    <w:rsid w:val="00D153D8"/>
    <w:rsid w:val="00D201D2"/>
    <w:rsid w:val="00D224FE"/>
    <w:rsid w:val="00D23139"/>
    <w:rsid w:val="00D37D94"/>
    <w:rsid w:val="00D425BB"/>
    <w:rsid w:val="00D453FA"/>
    <w:rsid w:val="00D62025"/>
    <w:rsid w:val="00D6493E"/>
    <w:rsid w:val="00D7195D"/>
    <w:rsid w:val="00D7301E"/>
    <w:rsid w:val="00D8313A"/>
    <w:rsid w:val="00D83AE1"/>
    <w:rsid w:val="00D855D4"/>
    <w:rsid w:val="00D902C9"/>
    <w:rsid w:val="00D93466"/>
    <w:rsid w:val="00DA1124"/>
    <w:rsid w:val="00DA59BD"/>
    <w:rsid w:val="00DA64CB"/>
    <w:rsid w:val="00DA6C21"/>
    <w:rsid w:val="00DB06B8"/>
    <w:rsid w:val="00DB6124"/>
    <w:rsid w:val="00DB750B"/>
    <w:rsid w:val="00DB75B7"/>
    <w:rsid w:val="00DC0A2F"/>
    <w:rsid w:val="00DC1948"/>
    <w:rsid w:val="00DC5F7A"/>
    <w:rsid w:val="00DC6E02"/>
    <w:rsid w:val="00DD28CD"/>
    <w:rsid w:val="00DE02AE"/>
    <w:rsid w:val="00DE39D1"/>
    <w:rsid w:val="00DF1D7F"/>
    <w:rsid w:val="00DF4BE4"/>
    <w:rsid w:val="00DF53F0"/>
    <w:rsid w:val="00E02382"/>
    <w:rsid w:val="00E02FB4"/>
    <w:rsid w:val="00E13FC7"/>
    <w:rsid w:val="00E20571"/>
    <w:rsid w:val="00E235F7"/>
    <w:rsid w:val="00E23659"/>
    <w:rsid w:val="00E239D4"/>
    <w:rsid w:val="00E26130"/>
    <w:rsid w:val="00E26BE3"/>
    <w:rsid w:val="00E27A24"/>
    <w:rsid w:val="00E33D42"/>
    <w:rsid w:val="00E40B22"/>
    <w:rsid w:val="00E44ED1"/>
    <w:rsid w:val="00E45619"/>
    <w:rsid w:val="00E4588F"/>
    <w:rsid w:val="00E46DA3"/>
    <w:rsid w:val="00E51BB1"/>
    <w:rsid w:val="00E55CB0"/>
    <w:rsid w:val="00E624A5"/>
    <w:rsid w:val="00E64BA4"/>
    <w:rsid w:val="00E7344E"/>
    <w:rsid w:val="00E82665"/>
    <w:rsid w:val="00EA1FFC"/>
    <w:rsid w:val="00EA444A"/>
    <w:rsid w:val="00EB0798"/>
    <w:rsid w:val="00EB40AD"/>
    <w:rsid w:val="00EB586E"/>
    <w:rsid w:val="00EB5FC8"/>
    <w:rsid w:val="00EB7065"/>
    <w:rsid w:val="00EC463D"/>
    <w:rsid w:val="00EC5242"/>
    <w:rsid w:val="00EC7A85"/>
    <w:rsid w:val="00ED2922"/>
    <w:rsid w:val="00ED3CAD"/>
    <w:rsid w:val="00ED5A41"/>
    <w:rsid w:val="00ED6404"/>
    <w:rsid w:val="00EE1DE8"/>
    <w:rsid w:val="00EE27C2"/>
    <w:rsid w:val="00EF4BAD"/>
    <w:rsid w:val="00EF59DC"/>
    <w:rsid w:val="00F033EC"/>
    <w:rsid w:val="00F03E6D"/>
    <w:rsid w:val="00F04F68"/>
    <w:rsid w:val="00F12670"/>
    <w:rsid w:val="00F14B27"/>
    <w:rsid w:val="00F222FA"/>
    <w:rsid w:val="00F3148D"/>
    <w:rsid w:val="00F325C5"/>
    <w:rsid w:val="00F32FE0"/>
    <w:rsid w:val="00F35298"/>
    <w:rsid w:val="00F35404"/>
    <w:rsid w:val="00F47333"/>
    <w:rsid w:val="00F47E37"/>
    <w:rsid w:val="00F53C07"/>
    <w:rsid w:val="00F54B65"/>
    <w:rsid w:val="00F55358"/>
    <w:rsid w:val="00F63DBF"/>
    <w:rsid w:val="00F640B6"/>
    <w:rsid w:val="00F66DF2"/>
    <w:rsid w:val="00F80E40"/>
    <w:rsid w:val="00F848D9"/>
    <w:rsid w:val="00FA5069"/>
    <w:rsid w:val="00FA5B82"/>
    <w:rsid w:val="00FA639E"/>
    <w:rsid w:val="00FB369D"/>
    <w:rsid w:val="00FC1962"/>
    <w:rsid w:val="00FC1FCA"/>
    <w:rsid w:val="00FC25E4"/>
    <w:rsid w:val="00FC4EF7"/>
    <w:rsid w:val="00FD0824"/>
    <w:rsid w:val="00FD119B"/>
    <w:rsid w:val="00FD1EDC"/>
    <w:rsid w:val="00FE1DEE"/>
    <w:rsid w:val="00FF006A"/>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68C5006"/>
  <w15:docId w15:val="{AC5E65C9-AE3F-4785-B13D-16F428AE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D3935"/>
    <w:pPr>
      <w:spacing w:before="120" w:after="120" w:line="240" w:lineRule="atLeast"/>
    </w:pPr>
    <w:rPr>
      <w:rFonts w:ascii="Cambria" w:eastAsia="Cambria" w:hAnsi="Cambria" w:cs="Times New Roman"/>
    </w:rPr>
  </w:style>
  <w:style w:type="paragraph" w:styleId="Heading1">
    <w:name w:val="heading 1"/>
    <w:basedOn w:val="Heading2"/>
    <w:next w:val="Normal"/>
    <w:link w:val="Heading1Char"/>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uiPriority w:val="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qFormat/>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qFormat/>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qFormat/>
    <w:rsid w:val="00F3148D"/>
    <w:pPr>
      <w:spacing w:after="0" w:line="240" w:lineRule="auto"/>
    </w:pPr>
    <w:rPr>
      <w:rFonts w:ascii="Arial" w:hAnsi="Arial"/>
      <w:noProof/>
      <w:sz w:val="14"/>
      <w:lang w:eastAsia="en-AU"/>
    </w:rPr>
  </w:style>
  <w:style w:type="paragraph" w:customStyle="1" w:styleId="AxisTitle">
    <w:name w:val="Axis Title"/>
    <w:basedOn w:val="Normal"/>
    <w:qFormat/>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qFormat/>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qFormat/>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qFormat/>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uiPriority w:val="9"/>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qFormat/>
    <w:rsid w:val="00F3148D"/>
    <w:rPr>
      <w:sz w:val="14"/>
    </w:rPr>
  </w:style>
  <w:style w:type="paragraph" w:customStyle="1" w:styleId="LegalCopy">
    <w:name w:val="Legal Copy"/>
    <w:basedOn w:val="Footer"/>
    <w:qFormat/>
    <w:rsid w:val="00F3148D"/>
  </w:style>
  <w:style w:type="paragraph" w:customStyle="1" w:styleId="LegalSubheading">
    <w:name w:val="Legal Subheading"/>
    <w:basedOn w:val="Footer"/>
    <w:qFormat/>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21"/>
      </w:numPr>
    </w:pPr>
  </w:style>
  <w:style w:type="paragraph" w:styleId="ListBullet2">
    <w:name w:val="List Bullet 2"/>
    <w:basedOn w:val="Normal"/>
    <w:uiPriority w:val="99"/>
    <w:qFormat/>
    <w:rsid w:val="004C2DCA"/>
    <w:pPr>
      <w:numPr>
        <w:ilvl w:val="1"/>
        <w:numId w:val="21"/>
      </w:numPr>
    </w:pPr>
  </w:style>
  <w:style w:type="paragraph" w:styleId="ListBullet3">
    <w:name w:val="List Bullet 3"/>
    <w:basedOn w:val="Normal"/>
    <w:uiPriority w:val="99"/>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qFormat/>
    <w:locked/>
    <w:rsid w:val="00F3148D"/>
    <w:pPr>
      <w:spacing w:after="0" w:line="240" w:lineRule="auto"/>
    </w:pPr>
    <w:rPr>
      <w:rFonts w:ascii="Arial" w:hAnsi="Arial"/>
      <w:sz w:val="16"/>
    </w:rPr>
  </w:style>
  <w:style w:type="paragraph" w:customStyle="1" w:styleId="Numberbullet0">
    <w:name w:val="Number bullet"/>
    <w:basedOn w:val="ListBullet"/>
    <w:qFormat/>
    <w:rsid w:val="004C2DCA"/>
    <w:pPr>
      <w:numPr>
        <w:numId w:val="24"/>
      </w:numPr>
    </w:pPr>
  </w:style>
  <w:style w:type="paragraph" w:customStyle="1" w:styleId="Numberbullet2">
    <w:name w:val="Number bullet 2"/>
    <w:basedOn w:val="ListBullet2"/>
    <w:qFormat/>
    <w:rsid w:val="004C2DCA"/>
    <w:pPr>
      <w:numPr>
        <w:numId w:val="24"/>
      </w:numPr>
    </w:pPr>
  </w:style>
  <w:style w:type="paragraph" w:customStyle="1" w:styleId="Numberbullet3">
    <w:name w:val="Number bullet 3"/>
    <w:basedOn w:val="ListBullet3"/>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qFormat/>
    <w:rsid w:val="002E40B3"/>
    <w:pPr>
      <w:keepNext/>
    </w:pPr>
    <w:rPr>
      <w:b/>
    </w:rPr>
  </w:style>
  <w:style w:type="paragraph" w:customStyle="1" w:styleId="TGASignoff">
    <w:name w:val="TGA Signoff"/>
    <w:basedOn w:val="Normal"/>
    <w:qFormat/>
    <w:rsid w:val="00F3148D"/>
    <w:pPr>
      <w:jc w:val="center"/>
    </w:pPr>
    <w:rPr>
      <w:rFonts w:ascii="Arial" w:hAnsi="Arial"/>
      <w:b/>
      <w:sz w:val="28"/>
    </w:rPr>
  </w:style>
  <w:style w:type="paragraph" w:styleId="Title">
    <w:name w:val="Title"/>
    <w:next w:val="Normal"/>
    <w:link w:val="TitleChar"/>
    <w:uiPriority w:val="10"/>
    <w:rsid w:val="00C74F5C"/>
    <w:pPr>
      <w:spacing w:after="480" w:line="240" w:lineRule="auto"/>
      <w:contextualSpacing/>
      <w:outlineLvl w:val="0"/>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C74F5C"/>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iPriority w:val="99"/>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uiPriority w:val="99"/>
    <w:rsid w:val="001B5C90"/>
    <w:rPr>
      <w:rFonts w:ascii="Cambria" w:eastAsia="Cambria" w:hAnsi="Cambria" w:cs="Times New Roman"/>
      <w:sz w:val="18"/>
      <w:szCs w:val="20"/>
    </w:rPr>
  </w:style>
  <w:style w:type="character" w:styleId="FootnoteReference">
    <w:name w:val="footnote reference"/>
    <w:basedOn w:val="DefaultParagraphFont"/>
    <w:uiPriority w:val="99"/>
    <w:semiHidden/>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aliases w:val="Comment Text Char Char Char,Comment Text Char1,Comment Text Char1 Char, Car17, Char Char Char, Char Char1,Annotationtext,Char,Char Char Char,Char Char1,Comment Text Char Char,Comment Text Char Char1 Char,Comment Text Char2 Char, Char2,Char2"/>
    <w:basedOn w:val="Normal"/>
    <w:link w:val="CommentTextChar"/>
    <w:uiPriority w:val="99"/>
    <w:unhideWhenUsed/>
    <w:qFormat/>
    <w:rsid w:val="00EC463D"/>
    <w:pPr>
      <w:spacing w:line="240" w:lineRule="auto"/>
    </w:pPr>
    <w:rPr>
      <w:sz w:val="20"/>
      <w:szCs w:val="20"/>
    </w:rPr>
  </w:style>
  <w:style w:type="character" w:customStyle="1" w:styleId="CommentTextChar">
    <w:name w:val="Comment Text Char"/>
    <w:aliases w:val="Comment Text Char Char Char Char,Comment Text Char1 Char1,Comment Text Char1 Char Char, Car17 Char, Char Char Char Char, Char Char1 Char,Annotationtext Char,Char Char,Char Char Char Char,Char Char1 Char,Comment Text Char Char Char1"/>
    <w:basedOn w:val="DefaultParagraphFont"/>
    <w:link w:val="CommentText"/>
    <w:uiPriority w:val="99"/>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character" w:customStyle="1" w:styleId="UnresolvedMention1">
    <w:name w:val="Unresolved Mention1"/>
    <w:basedOn w:val="DefaultParagraphFont"/>
    <w:uiPriority w:val="99"/>
    <w:semiHidden/>
    <w:unhideWhenUsed/>
    <w:rsid w:val="00FB369D"/>
    <w:rPr>
      <w:color w:val="605E5C"/>
      <w:shd w:val="clear" w:color="auto" w:fill="E1DFDD"/>
    </w:rPr>
  </w:style>
  <w:style w:type="paragraph" w:customStyle="1" w:styleId="Default">
    <w:name w:val="Default"/>
    <w:rsid w:val="007F4E2A"/>
    <w:pPr>
      <w:autoSpaceDE w:val="0"/>
      <w:autoSpaceDN w:val="0"/>
      <w:adjustRightInd w:val="0"/>
      <w:spacing w:after="0" w:line="240" w:lineRule="auto"/>
    </w:pPr>
    <w:rPr>
      <w:rFonts w:ascii="Cambria" w:hAnsi="Cambria" w:cs="Cambria"/>
      <w:color w:val="000000"/>
      <w:sz w:val="24"/>
      <w:szCs w:val="24"/>
    </w:rPr>
  </w:style>
  <w:style w:type="paragraph" w:customStyle="1" w:styleId="FigureCaption">
    <w:name w:val="Figure Caption"/>
    <w:basedOn w:val="Normal"/>
    <w:qFormat/>
    <w:rsid w:val="003B68E0"/>
    <w:pPr>
      <w:adjustRightInd w:val="0"/>
      <w:snapToGrid w:val="0"/>
      <w:spacing w:before="180" w:after="180"/>
    </w:pPr>
    <w:rPr>
      <w:rFonts w:eastAsia="MS Mincho"/>
      <w:szCs w:val="20"/>
      <w:lang w:eastAsia="ja-JP"/>
    </w:rPr>
  </w:style>
  <w:style w:type="paragraph" w:customStyle="1" w:styleId="TableCaption">
    <w:name w:val="Table Caption"/>
    <w:basedOn w:val="FigureCaption"/>
    <w:qFormat/>
    <w:rsid w:val="003B68E0"/>
    <w:pPr>
      <w:spacing w:after="240"/>
    </w:pPr>
    <w:rPr>
      <w:sz w:val="17"/>
    </w:rPr>
  </w:style>
  <w:style w:type="table" w:customStyle="1" w:styleId="TableTGA2">
    <w:name w:val="Table TGA 2"/>
    <w:basedOn w:val="TableNormal"/>
    <w:uiPriority w:val="99"/>
    <w:rsid w:val="003B68E0"/>
    <w:pPr>
      <w:spacing w:before="60" w:after="0" w:line="240" w:lineRule="auto"/>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Autospacing="0" w:afterLines="0" w:afterAutospacing="0"/>
      </w:pPr>
      <w:rPr>
        <w:rFonts w:ascii="Cambria" w:hAnsi="Cambria"/>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Subject">
    <w:name w:val="Subject"/>
    <w:basedOn w:val="Normal"/>
    <w:qFormat/>
    <w:rsid w:val="003B68E0"/>
    <w:pPr>
      <w:adjustRightInd w:val="0"/>
      <w:snapToGrid w:val="0"/>
      <w:spacing w:before="180" w:after="180"/>
    </w:pPr>
    <w:rPr>
      <w:rFonts w:eastAsia="MS Mincho"/>
      <w:b/>
      <w:szCs w:val="20"/>
      <w:lang w:eastAsia="ja-JP"/>
    </w:rPr>
  </w:style>
  <w:style w:type="paragraph" w:customStyle="1" w:styleId="Addressee">
    <w:name w:val="Addressee"/>
    <w:basedOn w:val="Normal"/>
    <w:qFormat/>
    <w:rsid w:val="003B68E0"/>
    <w:pPr>
      <w:adjustRightInd w:val="0"/>
      <w:snapToGrid w:val="0"/>
      <w:spacing w:before="180" w:after="180"/>
    </w:pPr>
    <w:rPr>
      <w:rFonts w:eastAsia="MS Mincho"/>
      <w:szCs w:val="20"/>
      <w:lang w:eastAsia="ja-JP"/>
    </w:rPr>
  </w:style>
  <w:style w:type="character" w:customStyle="1" w:styleId="ABN">
    <w:name w:val="ABN"/>
    <w:basedOn w:val="DefaultParagraphFont"/>
    <w:uiPriority w:val="1"/>
    <w:qFormat/>
    <w:rsid w:val="003B68E0"/>
    <w:rPr>
      <w:rFonts w:ascii="Arial" w:hAnsi="Arial"/>
      <w:color w:val="002C47"/>
      <w:sz w:val="14"/>
    </w:rPr>
  </w:style>
  <w:style w:type="paragraph" w:customStyle="1" w:styleId="BodyCopy">
    <w:name w:val="Body Copy"/>
    <w:basedOn w:val="Normal"/>
    <w:qFormat/>
    <w:rsid w:val="003B68E0"/>
    <w:pPr>
      <w:adjustRightInd w:val="0"/>
      <w:snapToGrid w:val="0"/>
      <w:spacing w:before="180" w:after="180"/>
    </w:pPr>
    <w:rPr>
      <w:rFonts w:eastAsia="MS Mincho"/>
      <w:szCs w:val="20"/>
      <w:lang w:eastAsia="ja-JP"/>
    </w:rPr>
  </w:style>
  <w:style w:type="paragraph" w:styleId="ListParagraph">
    <w:name w:val="List Paragraph"/>
    <w:basedOn w:val="Normal"/>
    <w:uiPriority w:val="34"/>
    <w:qFormat/>
    <w:rsid w:val="003B68E0"/>
    <w:pPr>
      <w:adjustRightInd w:val="0"/>
      <w:snapToGrid w:val="0"/>
      <w:spacing w:before="180" w:after="180"/>
      <w:ind w:left="720"/>
      <w:contextualSpacing/>
    </w:pPr>
    <w:rPr>
      <w:rFonts w:eastAsia="MS Mincho"/>
      <w:szCs w:val="20"/>
      <w:lang w:eastAsia="ja-JP"/>
    </w:rPr>
  </w:style>
  <w:style w:type="paragraph" w:customStyle="1" w:styleId="Standard">
    <w:name w:val="Standard"/>
    <w:basedOn w:val="Normal"/>
    <w:link w:val="StandardChar"/>
    <w:qFormat/>
    <w:rsid w:val="003B68E0"/>
    <w:pPr>
      <w:spacing w:before="0" w:after="220" w:line="252" w:lineRule="auto"/>
    </w:pPr>
    <w:rPr>
      <w:rFonts w:eastAsia="Times New Roman"/>
      <w:snapToGrid w:val="0"/>
      <w:kern w:val="16"/>
      <w:sz w:val="23"/>
      <w:szCs w:val="24"/>
    </w:rPr>
  </w:style>
  <w:style w:type="character" w:customStyle="1" w:styleId="StandardChar">
    <w:name w:val="Standard Char"/>
    <w:basedOn w:val="DefaultParagraphFont"/>
    <w:link w:val="Standard"/>
    <w:rsid w:val="003B68E0"/>
    <w:rPr>
      <w:rFonts w:ascii="Cambria" w:eastAsia="Times New Roman" w:hAnsi="Cambria" w:cs="Times New Roman"/>
      <w:snapToGrid w:val="0"/>
      <w:kern w:val="16"/>
      <w:sz w:val="23"/>
      <w:szCs w:val="24"/>
    </w:rPr>
  </w:style>
  <w:style w:type="paragraph" w:customStyle="1" w:styleId="Bulletpoint">
    <w:name w:val="Bullet point"/>
    <w:basedOn w:val="Standard"/>
    <w:rsid w:val="003B68E0"/>
    <w:pPr>
      <w:numPr>
        <w:numId w:val="34"/>
      </w:numPr>
      <w:tabs>
        <w:tab w:val="clear" w:pos="369"/>
        <w:tab w:val="left" w:pos="397"/>
        <w:tab w:val="num" w:pos="511"/>
        <w:tab w:val="num" w:pos="926"/>
      </w:tabs>
      <w:spacing w:after="180"/>
      <w:ind w:left="0" w:firstLine="0"/>
    </w:pPr>
    <w:rPr>
      <w:sz w:val="22"/>
    </w:rPr>
  </w:style>
  <w:style w:type="paragraph" w:customStyle="1" w:styleId="PISubsection">
    <w:name w:val="PI Subsection"/>
    <w:basedOn w:val="Standard"/>
    <w:next w:val="Standard"/>
    <w:rsid w:val="003B68E0"/>
    <w:pPr>
      <w:keepNext/>
      <w:spacing w:after="120"/>
    </w:pPr>
    <w:rPr>
      <w:b/>
      <w:i/>
      <w:kern w:val="2"/>
      <w:sz w:val="22"/>
    </w:rPr>
  </w:style>
  <w:style w:type="paragraph" w:customStyle="1" w:styleId="mine">
    <w:name w:val="mine"/>
    <w:basedOn w:val="Normal"/>
    <w:qFormat/>
    <w:rsid w:val="003B68E0"/>
    <w:pPr>
      <w:widowControl w:val="0"/>
      <w:adjustRightInd w:val="0"/>
      <w:snapToGrid w:val="0"/>
      <w:spacing w:before="0" w:after="0" w:line="240" w:lineRule="auto"/>
      <w:contextualSpacing/>
    </w:pPr>
    <w:rPr>
      <w:rFonts w:asciiTheme="minorHAnsi" w:eastAsia="MS Mincho" w:hAnsiTheme="minorHAnsi" w:cstheme="minorBidi"/>
      <w:szCs w:val="21"/>
      <w:lang w:eastAsia="en-AU"/>
    </w:rPr>
  </w:style>
  <w:style w:type="table" w:customStyle="1" w:styleId="TablegridAgencyblank">
    <w:name w:val="Table grid (Agency) blank"/>
    <w:basedOn w:val="TableNormal"/>
    <w:semiHidden/>
    <w:rsid w:val="00F03E6D"/>
    <w:pPr>
      <w:spacing w:after="0" w:line="240" w:lineRule="auto"/>
    </w:pPr>
    <w:rPr>
      <w:rFonts w:ascii="Verdana" w:eastAsia="SimSun" w:hAnsi="Verdana" w:cs="Times New Roman"/>
      <w:sz w:val="18"/>
      <w:szCs w:val="20"/>
      <w:lang w:val="en-GB" w:eastAsia="en-GB"/>
    </w:rPr>
    <w:tblPr/>
    <w:tcPr>
      <w:shd w:val="clear" w:color="auto" w:fill="auto"/>
    </w:tcPr>
    <w:tblStylePr w:type="firstRow">
      <w:rPr>
        <w:rFonts w:ascii="Palatino Linotype" w:hAnsi="Palatino Linotype"/>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90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hyperlink" Target="https://www.tga.gov.au/product-information-pi" TargetMode="External"/><Relationship Id="rId18" Type="http://schemas.openxmlformats.org/officeDocument/2006/relationships/hyperlink" Target="http://www.tga.gov.au/industry/pm-argpm-guidance-7.htm"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tga.gov.au/ws-labs-index" TargetMode="External"/><Relationship Id="rId25" Type="http://schemas.openxmlformats.org/officeDocument/2006/relationships/hyperlink" Target="https://www.tga.gov.au"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3.xm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mailto:info@tga.gov.a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oter" Target="footer2.xml"/><Relationship Id="rId28"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tga.gov.au/product-information-p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image" Target="media/image2.png"/><Relationship Id="rId22" Type="http://schemas.openxmlformats.org/officeDocument/2006/relationships/header" Target="header5.xml"/><Relationship Id="rId27" Type="http://schemas.openxmlformats.org/officeDocument/2006/relationships/header" Target="header7.xml"/><Relationship Id="rId30" Type="http://schemas.openxmlformats.org/officeDocument/2006/relationships/footer" Target="footer4.xml"/></Relationships>
</file>

<file path=word/_rels/footnotes.xml.rels><?xml version="1.0" encoding="UTF-8" standalone="yes"?>
<Relationships xmlns="http://schemas.openxmlformats.org/package/2006/relationships"><Relationship Id="rId3" Type="http://schemas.openxmlformats.org/officeDocument/2006/relationships/hyperlink" Target="https://www.tga.gov.au/committee/advisory-committee-medicines-acm" TargetMode="External"/><Relationship Id="rId2" Type="http://schemas.openxmlformats.org/officeDocument/2006/relationships/hyperlink" Target="https://www.ebs.tga.gov.au/ebs/picmi/picmirepository.nsf/pdf?OpenAgent&amp;id=CP-2017-PI-01416-1" TargetMode="External"/><Relationship Id="rId1" Type="http://schemas.openxmlformats.org/officeDocument/2006/relationships/hyperlink" Target="https://www.ebs.tga.gov.au/ebs/picmi/picmirepository.nsf/pdf?OpenAgent&amp;id=CP-2010-PI-04263-3&amp;d=20210426101693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D98D9B-46CA-48C8-96DA-956BAA717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380</TotalTime>
  <Pages>29</Pages>
  <Words>7655</Words>
  <Characters>45304</Characters>
  <Application>Microsoft Office Word</Application>
  <DocSecurity>0</DocSecurity>
  <Lines>1310</Lines>
  <Paragraphs>753</Paragraphs>
  <ScaleCrop>false</ScaleCrop>
  <HeadingPairs>
    <vt:vector size="2" baseType="variant">
      <vt:variant>
        <vt:lpstr>Title</vt:lpstr>
      </vt:variant>
      <vt:variant>
        <vt:i4>1</vt:i4>
      </vt:variant>
    </vt:vector>
  </HeadingPairs>
  <TitlesOfParts>
    <vt:vector size="1" baseType="lpstr">
      <vt:lpstr>Australian public assessment report for</vt:lpstr>
    </vt:vector>
  </TitlesOfParts>
  <Company>Department of Health</Company>
  <LinksUpToDate>false</LinksUpToDate>
  <CharactersWithSpaces>52251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Bevacizumab</dc:title>
  <dc:subject>prescription medicine regulation</dc:subject>
  <dc:creator>Therapeutic Goods Administration</dc:creator>
  <cp:keywords/>
  <cp:lastModifiedBy>KOLARIK-OREILLY, Kristy</cp:lastModifiedBy>
  <cp:revision>9</cp:revision>
  <cp:lastPrinted>2019-08-14T04:30:00Z</cp:lastPrinted>
  <dcterms:created xsi:type="dcterms:W3CDTF">2022-01-26T20:21:00Z</dcterms:created>
  <dcterms:modified xsi:type="dcterms:W3CDTF">2022-02-02T00:22:00Z</dcterms:modified>
  <cp:category/>
</cp:coreProperties>
</file>