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85FE0E4" w14:textId="77777777" w:rsidTr="00BF1190">
        <w:trPr>
          <w:trHeight w:val="1863"/>
        </w:trPr>
        <w:tc>
          <w:tcPr>
            <w:tcW w:w="3652" w:type="dxa"/>
            <w:tcBorders>
              <w:top w:val="nil"/>
              <w:left w:val="nil"/>
              <w:bottom w:val="nil"/>
              <w:right w:val="nil"/>
            </w:tcBorders>
          </w:tcPr>
          <w:p w14:paraId="47C980D2" w14:textId="00D635A2" w:rsidR="008E7846" w:rsidRPr="00096AA7" w:rsidRDefault="003B4720" w:rsidP="003F56D5">
            <w:pPr>
              <w:rPr>
                <w:rFonts w:ascii="Arial" w:hAnsi="Arial" w:cs="Arial"/>
                <w:b/>
                <w:color w:val="002C47"/>
                <w:sz w:val="36"/>
                <w:szCs w:val="36"/>
              </w:rPr>
            </w:pPr>
            <w:r>
              <w:rPr>
                <w:rFonts w:ascii="Arial" w:hAnsi="Arial" w:cs="Arial"/>
                <w:b/>
                <w:color w:val="002C47"/>
                <w:sz w:val="36"/>
                <w:szCs w:val="36"/>
              </w:rPr>
              <w:t xml:space="preserve">November </w:t>
            </w:r>
            <w:r w:rsidR="0000710A">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F01623E" w14:textId="77777777" w:rsidTr="0032583B">
        <w:trPr>
          <w:trHeight w:val="868"/>
        </w:trPr>
        <w:tc>
          <w:tcPr>
            <w:tcW w:w="9079" w:type="dxa"/>
          </w:tcPr>
          <w:p w14:paraId="3143542F" w14:textId="6EA24D9C" w:rsidR="0032583B" w:rsidRPr="009E6E79" w:rsidRDefault="0032583B" w:rsidP="009E6E79">
            <w:pPr>
              <w:pStyle w:val="Title"/>
              <w:framePr w:hSpace="0" w:wrap="auto" w:vAnchor="margin" w:yAlign="inline"/>
            </w:pPr>
            <w:r w:rsidRPr="009E6E79">
              <w:t xml:space="preserve">Australian Public Assessment Report for </w:t>
            </w:r>
            <w:r w:rsidR="005938A4" w:rsidRPr="009E6E79">
              <w:t>B</w:t>
            </w:r>
            <w:r w:rsidR="0000710A" w:rsidRPr="009E6E79">
              <w:t>evacizumab</w:t>
            </w:r>
          </w:p>
        </w:tc>
      </w:tr>
      <w:tr w:rsidR="0032583B" w:rsidRPr="00B64760" w14:paraId="1A7FDE69" w14:textId="77777777" w:rsidTr="0032583B">
        <w:tc>
          <w:tcPr>
            <w:tcW w:w="9079" w:type="dxa"/>
          </w:tcPr>
          <w:p w14:paraId="7322D630" w14:textId="578BF4E5" w:rsidR="0032583B" w:rsidRPr="009E6E79" w:rsidRDefault="0032583B" w:rsidP="009E6E79">
            <w:pPr>
              <w:pStyle w:val="Subtitle"/>
              <w:framePr w:hSpace="0" w:wrap="auto" w:vAnchor="margin" w:yAlign="inline"/>
            </w:pPr>
            <w:r w:rsidRPr="009E6E79">
              <w:t xml:space="preserve">Proprietary Product Name: </w:t>
            </w:r>
            <w:r w:rsidR="00FF2F8F" w:rsidRPr="009E6E79">
              <w:t>Mvasi</w:t>
            </w:r>
          </w:p>
        </w:tc>
      </w:tr>
      <w:tr w:rsidR="0032583B" w:rsidRPr="00B64760" w14:paraId="044F85A9" w14:textId="77777777" w:rsidTr="0032583B">
        <w:trPr>
          <w:trHeight w:val="486"/>
        </w:trPr>
        <w:tc>
          <w:tcPr>
            <w:tcW w:w="9079" w:type="dxa"/>
          </w:tcPr>
          <w:p w14:paraId="36841612" w14:textId="77777777" w:rsidR="0032583B" w:rsidRPr="008E7846" w:rsidRDefault="00460036" w:rsidP="009E6E79">
            <w:pPr>
              <w:pStyle w:val="Subtitle"/>
              <w:framePr w:hSpace="0" w:wrap="auto" w:vAnchor="margin" w:yAlign="inline"/>
            </w:pPr>
            <w:r>
              <w:t xml:space="preserve">Sponsor: </w:t>
            </w:r>
            <w:r w:rsidR="0000710A">
              <w:t>Amgen Australia Pty Ltd</w:t>
            </w:r>
          </w:p>
        </w:tc>
      </w:tr>
    </w:tbl>
    <w:p w14:paraId="79C7650E" w14:textId="77777777" w:rsidR="008E7846" w:rsidRPr="0085156D" w:rsidRDefault="008E7846" w:rsidP="0085156D">
      <w:r w:rsidRPr="0085156D">
        <w:br w:type="page"/>
      </w:r>
    </w:p>
    <w:p w14:paraId="717CC0EB" w14:textId="77777777" w:rsidR="008E7846" w:rsidRPr="001F6CBA" w:rsidRDefault="008E7846" w:rsidP="008E7846">
      <w:pPr>
        <w:pStyle w:val="NonTOCHeading2"/>
      </w:pPr>
      <w:r w:rsidRPr="001F6CBA">
        <w:lastRenderedPageBreak/>
        <w:t>About the Therapeutic Goods Administration (TGA)</w:t>
      </w:r>
    </w:p>
    <w:p w14:paraId="5A01FADE" w14:textId="77777777" w:rsidR="008E7846" w:rsidRDefault="008E7846" w:rsidP="00B4560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9020E76" w14:textId="77777777" w:rsidR="008E7846" w:rsidRDefault="00C80137" w:rsidP="00B4560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EF18959" w14:textId="77777777" w:rsidR="008E7846" w:rsidRDefault="008E7846" w:rsidP="00B4560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32F1C49" w14:textId="77777777" w:rsidR="008E7846" w:rsidRDefault="008E7846" w:rsidP="00B4560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15CE73A" w14:textId="1C0EB8D9" w:rsidR="00441C3F" w:rsidRDefault="008E7846" w:rsidP="00B4560A">
      <w:pPr>
        <w:pStyle w:val="ListBullet"/>
        <w:numPr>
          <w:ilvl w:val="0"/>
          <w:numId w:val="1"/>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341F5338" w14:textId="77777777" w:rsidR="008E7846" w:rsidRDefault="008E7846" w:rsidP="00875A6B">
      <w:pPr>
        <w:pStyle w:val="NonTOCHeading2"/>
      </w:pPr>
      <w:r>
        <w:t>About AusPARs</w:t>
      </w:r>
    </w:p>
    <w:p w14:paraId="30C85932" w14:textId="77777777" w:rsidR="008E7846" w:rsidRDefault="008E7846" w:rsidP="00B4560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112A271" w14:textId="77777777" w:rsidR="008E7846" w:rsidRDefault="008E7846" w:rsidP="00B4560A">
      <w:pPr>
        <w:pStyle w:val="ListBullet"/>
        <w:numPr>
          <w:ilvl w:val="0"/>
          <w:numId w:val="1"/>
        </w:numPr>
        <w:ind w:left="357" w:hanging="357"/>
      </w:pPr>
      <w:r>
        <w:t>AusPARs are prepared and published by the TGA.</w:t>
      </w:r>
    </w:p>
    <w:p w14:paraId="12EE8346" w14:textId="77777777" w:rsidR="008E7846" w:rsidRDefault="008E7846" w:rsidP="00B4560A">
      <w:pPr>
        <w:pStyle w:val="ListBullet"/>
        <w:numPr>
          <w:ilvl w:val="0"/>
          <w:numId w:val="1"/>
        </w:numPr>
        <w:ind w:left="357" w:hanging="357"/>
      </w:pPr>
      <w:r>
        <w:t>An AusPAR is prepared for submissions that relate to new chemical entities, generic medicines, major variations and extensions of indications.</w:t>
      </w:r>
    </w:p>
    <w:p w14:paraId="632ECD13" w14:textId="77777777" w:rsidR="008E7846" w:rsidRDefault="008E7846" w:rsidP="00B4560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57E3808" w14:textId="77777777" w:rsidR="00B452CE" w:rsidRDefault="008E7846" w:rsidP="00B4560A">
      <w:pPr>
        <w:pStyle w:val="ListBullet"/>
        <w:numPr>
          <w:ilvl w:val="0"/>
          <w:numId w:val="1"/>
        </w:numPr>
        <w:ind w:left="357" w:hanging="357"/>
      </w:pPr>
      <w:r>
        <w:t>A new AusPAR will be developed to reflect changes to indications and/or major variations to a prescription medicine subject to evaluation by the TGA.</w:t>
      </w:r>
    </w:p>
    <w:p w14:paraId="2638547D" w14:textId="77777777" w:rsidR="00924482" w:rsidRPr="00DF1D7F" w:rsidRDefault="00924482" w:rsidP="00F54B65">
      <w:pPr>
        <w:pStyle w:val="LegalSubheading"/>
        <w:spacing w:before="3120"/>
      </w:pPr>
      <w:r w:rsidRPr="00DF1D7F">
        <w:t>Copyright</w:t>
      </w:r>
    </w:p>
    <w:p w14:paraId="5A0E011F" w14:textId="7BD61985"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664DE790"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5B96F54" w14:textId="77777777" w:rsidR="0089635C" w:rsidRPr="0089635C" w:rsidRDefault="0089635C" w:rsidP="0010788A">
          <w:pPr>
            <w:pStyle w:val="Contents"/>
          </w:pPr>
          <w:r w:rsidRPr="0010788A">
            <w:t>Contents</w:t>
          </w:r>
        </w:p>
        <w:p w14:paraId="6703D74B" w14:textId="355DC95A" w:rsidR="005938A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7130849" w:history="1">
            <w:r w:rsidR="005938A4" w:rsidRPr="000245FF">
              <w:rPr>
                <w:rStyle w:val="Hyperlink"/>
                <w:noProof/>
              </w:rPr>
              <w:t>Common abbreviations</w:t>
            </w:r>
            <w:r w:rsidR="005938A4">
              <w:rPr>
                <w:noProof/>
                <w:webHidden/>
              </w:rPr>
              <w:tab/>
            </w:r>
            <w:r w:rsidR="005938A4">
              <w:rPr>
                <w:noProof/>
                <w:webHidden/>
              </w:rPr>
              <w:fldChar w:fldCharType="begin"/>
            </w:r>
            <w:r w:rsidR="005938A4">
              <w:rPr>
                <w:noProof/>
                <w:webHidden/>
              </w:rPr>
              <w:instrText xml:space="preserve"> PAGEREF _Toc57130849 \h </w:instrText>
            </w:r>
            <w:r w:rsidR="005938A4">
              <w:rPr>
                <w:noProof/>
                <w:webHidden/>
              </w:rPr>
            </w:r>
            <w:r w:rsidR="005938A4">
              <w:rPr>
                <w:noProof/>
                <w:webHidden/>
              </w:rPr>
              <w:fldChar w:fldCharType="separate"/>
            </w:r>
            <w:r w:rsidR="00741986">
              <w:rPr>
                <w:noProof/>
                <w:webHidden/>
              </w:rPr>
              <w:t>4</w:t>
            </w:r>
            <w:r w:rsidR="005938A4">
              <w:rPr>
                <w:noProof/>
                <w:webHidden/>
              </w:rPr>
              <w:fldChar w:fldCharType="end"/>
            </w:r>
          </w:hyperlink>
        </w:p>
        <w:p w14:paraId="19674485" w14:textId="33F83360" w:rsidR="005938A4" w:rsidRDefault="00741986">
          <w:pPr>
            <w:pStyle w:val="TOC1"/>
            <w:rPr>
              <w:rFonts w:asciiTheme="minorHAnsi" w:eastAsiaTheme="minorEastAsia" w:hAnsiTheme="minorHAnsi" w:cstheme="minorBidi"/>
              <w:b w:val="0"/>
              <w:noProof/>
              <w:sz w:val="22"/>
              <w:lang w:eastAsia="en-AU"/>
            </w:rPr>
          </w:pPr>
          <w:hyperlink w:anchor="_Toc57130850" w:history="1">
            <w:r w:rsidR="005938A4" w:rsidRPr="000245FF">
              <w:rPr>
                <w:rStyle w:val="Hyperlink"/>
                <w:noProof/>
              </w:rPr>
              <w:t>I. Introduction to product submission</w:t>
            </w:r>
            <w:r w:rsidR="005938A4">
              <w:rPr>
                <w:noProof/>
                <w:webHidden/>
              </w:rPr>
              <w:tab/>
            </w:r>
            <w:r w:rsidR="005938A4">
              <w:rPr>
                <w:noProof/>
                <w:webHidden/>
              </w:rPr>
              <w:fldChar w:fldCharType="begin"/>
            </w:r>
            <w:r w:rsidR="005938A4">
              <w:rPr>
                <w:noProof/>
                <w:webHidden/>
              </w:rPr>
              <w:instrText xml:space="preserve"> PAGEREF _Toc57130850 \h </w:instrText>
            </w:r>
            <w:r w:rsidR="005938A4">
              <w:rPr>
                <w:noProof/>
                <w:webHidden/>
              </w:rPr>
            </w:r>
            <w:r w:rsidR="005938A4">
              <w:rPr>
                <w:noProof/>
                <w:webHidden/>
              </w:rPr>
              <w:fldChar w:fldCharType="separate"/>
            </w:r>
            <w:r>
              <w:rPr>
                <w:noProof/>
                <w:webHidden/>
              </w:rPr>
              <w:t>6</w:t>
            </w:r>
            <w:r w:rsidR="005938A4">
              <w:rPr>
                <w:noProof/>
                <w:webHidden/>
              </w:rPr>
              <w:fldChar w:fldCharType="end"/>
            </w:r>
          </w:hyperlink>
        </w:p>
        <w:p w14:paraId="29BC67DA" w14:textId="63359615" w:rsidR="005938A4" w:rsidRDefault="00741986">
          <w:pPr>
            <w:pStyle w:val="TOC2"/>
            <w:rPr>
              <w:rFonts w:asciiTheme="minorHAnsi" w:eastAsiaTheme="minorEastAsia" w:hAnsiTheme="minorHAnsi" w:cstheme="minorBidi"/>
              <w:b w:val="0"/>
              <w:noProof/>
              <w:sz w:val="22"/>
              <w:lang w:eastAsia="en-AU"/>
            </w:rPr>
          </w:pPr>
          <w:hyperlink w:anchor="_Toc57130851" w:history="1">
            <w:r w:rsidR="005938A4" w:rsidRPr="000245FF">
              <w:rPr>
                <w:rStyle w:val="Hyperlink"/>
                <w:noProof/>
                <w:lang w:eastAsia="en-AU"/>
              </w:rPr>
              <w:t>Submission details</w:t>
            </w:r>
            <w:r w:rsidR="005938A4">
              <w:rPr>
                <w:noProof/>
                <w:webHidden/>
              </w:rPr>
              <w:tab/>
            </w:r>
            <w:r w:rsidR="005938A4">
              <w:rPr>
                <w:noProof/>
                <w:webHidden/>
              </w:rPr>
              <w:fldChar w:fldCharType="begin"/>
            </w:r>
            <w:r w:rsidR="005938A4">
              <w:rPr>
                <w:noProof/>
                <w:webHidden/>
              </w:rPr>
              <w:instrText xml:space="preserve"> PAGEREF _Toc57130851 \h </w:instrText>
            </w:r>
            <w:r w:rsidR="005938A4">
              <w:rPr>
                <w:noProof/>
                <w:webHidden/>
              </w:rPr>
            </w:r>
            <w:r w:rsidR="005938A4">
              <w:rPr>
                <w:noProof/>
                <w:webHidden/>
              </w:rPr>
              <w:fldChar w:fldCharType="separate"/>
            </w:r>
            <w:r>
              <w:rPr>
                <w:noProof/>
                <w:webHidden/>
              </w:rPr>
              <w:t>6</w:t>
            </w:r>
            <w:r w:rsidR="005938A4">
              <w:rPr>
                <w:noProof/>
                <w:webHidden/>
              </w:rPr>
              <w:fldChar w:fldCharType="end"/>
            </w:r>
          </w:hyperlink>
        </w:p>
        <w:p w14:paraId="3BE8DF40" w14:textId="447F6CB5" w:rsidR="005938A4" w:rsidRDefault="00741986">
          <w:pPr>
            <w:pStyle w:val="TOC2"/>
            <w:rPr>
              <w:rFonts w:asciiTheme="minorHAnsi" w:eastAsiaTheme="minorEastAsia" w:hAnsiTheme="minorHAnsi" w:cstheme="minorBidi"/>
              <w:b w:val="0"/>
              <w:noProof/>
              <w:sz w:val="22"/>
              <w:lang w:eastAsia="en-AU"/>
            </w:rPr>
          </w:pPr>
          <w:hyperlink w:anchor="_Toc57130852" w:history="1">
            <w:r w:rsidR="005938A4" w:rsidRPr="000245FF">
              <w:rPr>
                <w:rStyle w:val="Hyperlink"/>
                <w:noProof/>
              </w:rPr>
              <w:t>Product background</w:t>
            </w:r>
            <w:r w:rsidR="005938A4">
              <w:rPr>
                <w:noProof/>
                <w:webHidden/>
              </w:rPr>
              <w:tab/>
            </w:r>
            <w:r w:rsidR="005938A4">
              <w:rPr>
                <w:noProof/>
                <w:webHidden/>
              </w:rPr>
              <w:fldChar w:fldCharType="begin"/>
            </w:r>
            <w:r w:rsidR="005938A4">
              <w:rPr>
                <w:noProof/>
                <w:webHidden/>
              </w:rPr>
              <w:instrText xml:space="preserve"> PAGEREF _Toc57130852 \h </w:instrText>
            </w:r>
            <w:r w:rsidR="005938A4">
              <w:rPr>
                <w:noProof/>
                <w:webHidden/>
              </w:rPr>
            </w:r>
            <w:r w:rsidR="005938A4">
              <w:rPr>
                <w:noProof/>
                <w:webHidden/>
              </w:rPr>
              <w:fldChar w:fldCharType="separate"/>
            </w:r>
            <w:r>
              <w:rPr>
                <w:noProof/>
                <w:webHidden/>
              </w:rPr>
              <w:t>8</w:t>
            </w:r>
            <w:r w:rsidR="005938A4">
              <w:rPr>
                <w:noProof/>
                <w:webHidden/>
              </w:rPr>
              <w:fldChar w:fldCharType="end"/>
            </w:r>
          </w:hyperlink>
        </w:p>
        <w:p w14:paraId="6FC977E8" w14:textId="65F6CB38" w:rsidR="005938A4" w:rsidRDefault="00741986">
          <w:pPr>
            <w:pStyle w:val="TOC2"/>
            <w:rPr>
              <w:rFonts w:asciiTheme="minorHAnsi" w:eastAsiaTheme="minorEastAsia" w:hAnsiTheme="minorHAnsi" w:cstheme="minorBidi"/>
              <w:b w:val="0"/>
              <w:noProof/>
              <w:sz w:val="22"/>
              <w:lang w:eastAsia="en-AU"/>
            </w:rPr>
          </w:pPr>
          <w:hyperlink w:anchor="_Toc57130853" w:history="1">
            <w:r w:rsidR="005938A4" w:rsidRPr="000245FF">
              <w:rPr>
                <w:rStyle w:val="Hyperlink"/>
                <w:noProof/>
              </w:rPr>
              <w:t>Regulatory status</w:t>
            </w:r>
            <w:r w:rsidR="005938A4">
              <w:rPr>
                <w:noProof/>
                <w:webHidden/>
              </w:rPr>
              <w:tab/>
            </w:r>
            <w:r w:rsidR="005938A4">
              <w:rPr>
                <w:noProof/>
                <w:webHidden/>
              </w:rPr>
              <w:fldChar w:fldCharType="begin"/>
            </w:r>
            <w:r w:rsidR="005938A4">
              <w:rPr>
                <w:noProof/>
                <w:webHidden/>
              </w:rPr>
              <w:instrText xml:space="preserve"> PAGEREF _Toc57130853 \h </w:instrText>
            </w:r>
            <w:r w:rsidR="005938A4">
              <w:rPr>
                <w:noProof/>
                <w:webHidden/>
              </w:rPr>
            </w:r>
            <w:r w:rsidR="005938A4">
              <w:rPr>
                <w:noProof/>
                <w:webHidden/>
              </w:rPr>
              <w:fldChar w:fldCharType="separate"/>
            </w:r>
            <w:r>
              <w:rPr>
                <w:noProof/>
                <w:webHidden/>
              </w:rPr>
              <w:t>9</w:t>
            </w:r>
            <w:r w:rsidR="005938A4">
              <w:rPr>
                <w:noProof/>
                <w:webHidden/>
              </w:rPr>
              <w:fldChar w:fldCharType="end"/>
            </w:r>
          </w:hyperlink>
        </w:p>
        <w:p w14:paraId="1F0A016F" w14:textId="214CA6C0" w:rsidR="005938A4" w:rsidRDefault="00741986">
          <w:pPr>
            <w:pStyle w:val="TOC2"/>
            <w:rPr>
              <w:rFonts w:asciiTheme="minorHAnsi" w:eastAsiaTheme="minorEastAsia" w:hAnsiTheme="minorHAnsi" w:cstheme="minorBidi"/>
              <w:b w:val="0"/>
              <w:noProof/>
              <w:sz w:val="22"/>
              <w:lang w:eastAsia="en-AU"/>
            </w:rPr>
          </w:pPr>
          <w:hyperlink w:anchor="_Toc57130854" w:history="1">
            <w:r w:rsidR="005938A4" w:rsidRPr="000245FF">
              <w:rPr>
                <w:rStyle w:val="Hyperlink"/>
                <w:noProof/>
              </w:rPr>
              <w:t>Product Information</w:t>
            </w:r>
            <w:r w:rsidR="005938A4">
              <w:rPr>
                <w:noProof/>
                <w:webHidden/>
              </w:rPr>
              <w:tab/>
            </w:r>
            <w:r w:rsidR="005938A4">
              <w:rPr>
                <w:noProof/>
                <w:webHidden/>
              </w:rPr>
              <w:fldChar w:fldCharType="begin"/>
            </w:r>
            <w:r w:rsidR="005938A4">
              <w:rPr>
                <w:noProof/>
                <w:webHidden/>
              </w:rPr>
              <w:instrText xml:space="preserve"> PAGEREF _Toc57130854 \h </w:instrText>
            </w:r>
            <w:r w:rsidR="005938A4">
              <w:rPr>
                <w:noProof/>
                <w:webHidden/>
              </w:rPr>
            </w:r>
            <w:r w:rsidR="005938A4">
              <w:rPr>
                <w:noProof/>
                <w:webHidden/>
              </w:rPr>
              <w:fldChar w:fldCharType="separate"/>
            </w:r>
            <w:r>
              <w:rPr>
                <w:noProof/>
                <w:webHidden/>
              </w:rPr>
              <w:t>10</w:t>
            </w:r>
            <w:r w:rsidR="005938A4">
              <w:rPr>
                <w:noProof/>
                <w:webHidden/>
              </w:rPr>
              <w:fldChar w:fldCharType="end"/>
            </w:r>
          </w:hyperlink>
        </w:p>
        <w:p w14:paraId="5DE5C66E" w14:textId="57699F24" w:rsidR="005938A4" w:rsidRDefault="00741986">
          <w:pPr>
            <w:pStyle w:val="TOC1"/>
            <w:rPr>
              <w:rFonts w:asciiTheme="minorHAnsi" w:eastAsiaTheme="minorEastAsia" w:hAnsiTheme="minorHAnsi" w:cstheme="minorBidi"/>
              <w:b w:val="0"/>
              <w:noProof/>
              <w:sz w:val="22"/>
              <w:lang w:eastAsia="en-AU"/>
            </w:rPr>
          </w:pPr>
          <w:hyperlink w:anchor="_Toc57130855" w:history="1">
            <w:r w:rsidR="005938A4" w:rsidRPr="000245FF">
              <w:rPr>
                <w:rStyle w:val="Hyperlink"/>
                <w:noProof/>
              </w:rPr>
              <w:t>II. Registration timeline</w:t>
            </w:r>
            <w:r w:rsidR="005938A4">
              <w:rPr>
                <w:noProof/>
                <w:webHidden/>
              </w:rPr>
              <w:tab/>
            </w:r>
            <w:r w:rsidR="005938A4">
              <w:rPr>
                <w:noProof/>
                <w:webHidden/>
              </w:rPr>
              <w:fldChar w:fldCharType="begin"/>
            </w:r>
            <w:r w:rsidR="005938A4">
              <w:rPr>
                <w:noProof/>
                <w:webHidden/>
              </w:rPr>
              <w:instrText xml:space="preserve"> PAGEREF _Toc57130855 \h </w:instrText>
            </w:r>
            <w:r w:rsidR="005938A4">
              <w:rPr>
                <w:noProof/>
                <w:webHidden/>
              </w:rPr>
            </w:r>
            <w:r w:rsidR="005938A4">
              <w:rPr>
                <w:noProof/>
                <w:webHidden/>
              </w:rPr>
              <w:fldChar w:fldCharType="separate"/>
            </w:r>
            <w:r>
              <w:rPr>
                <w:noProof/>
                <w:webHidden/>
              </w:rPr>
              <w:t>10</w:t>
            </w:r>
            <w:r w:rsidR="005938A4">
              <w:rPr>
                <w:noProof/>
                <w:webHidden/>
              </w:rPr>
              <w:fldChar w:fldCharType="end"/>
            </w:r>
          </w:hyperlink>
        </w:p>
        <w:p w14:paraId="52FA5243" w14:textId="253E02EF" w:rsidR="005938A4" w:rsidRDefault="00741986">
          <w:pPr>
            <w:pStyle w:val="TOC1"/>
            <w:rPr>
              <w:rFonts w:asciiTheme="minorHAnsi" w:eastAsiaTheme="minorEastAsia" w:hAnsiTheme="minorHAnsi" w:cstheme="minorBidi"/>
              <w:b w:val="0"/>
              <w:noProof/>
              <w:sz w:val="22"/>
              <w:lang w:eastAsia="en-AU"/>
            </w:rPr>
          </w:pPr>
          <w:hyperlink w:anchor="_Toc57130856" w:history="1">
            <w:r w:rsidR="005938A4" w:rsidRPr="000245FF">
              <w:rPr>
                <w:rStyle w:val="Hyperlink"/>
                <w:noProof/>
              </w:rPr>
              <w:t>III. Submission overview a</w:t>
            </w:r>
            <w:bookmarkStart w:id="2" w:name="_GoBack"/>
            <w:bookmarkEnd w:id="2"/>
            <w:r w:rsidR="005938A4" w:rsidRPr="000245FF">
              <w:rPr>
                <w:rStyle w:val="Hyperlink"/>
                <w:noProof/>
              </w:rPr>
              <w:t>nd risk/benefit assessment</w:t>
            </w:r>
            <w:r w:rsidR="005938A4">
              <w:rPr>
                <w:noProof/>
                <w:webHidden/>
              </w:rPr>
              <w:tab/>
            </w:r>
            <w:r w:rsidR="005938A4">
              <w:rPr>
                <w:noProof/>
                <w:webHidden/>
              </w:rPr>
              <w:fldChar w:fldCharType="begin"/>
            </w:r>
            <w:r w:rsidR="005938A4">
              <w:rPr>
                <w:noProof/>
                <w:webHidden/>
              </w:rPr>
              <w:instrText xml:space="preserve"> PAGEREF _Toc57130856 \h </w:instrText>
            </w:r>
            <w:r w:rsidR="005938A4">
              <w:rPr>
                <w:noProof/>
                <w:webHidden/>
              </w:rPr>
            </w:r>
            <w:r w:rsidR="005938A4">
              <w:rPr>
                <w:noProof/>
                <w:webHidden/>
              </w:rPr>
              <w:fldChar w:fldCharType="separate"/>
            </w:r>
            <w:r>
              <w:rPr>
                <w:noProof/>
                <w:webHidden/>
              </w:rPr>
              <w:t>11</w:t>
            </w:r>
            <w:r w:rsidR="005938A4">
              <w:rPr>
                <w:noProof/>
                <w:webHidden/>
              </w:rPr>
              <w:fldChar w:fldCharType="end"/>
            </w:r>
          </w:hyperlink>
        </w:p>
        <w:p w14:paraId="6832A82F" w14:textId="341F4705" w:rsidR="005938A4" w:rsidRDefault="00741986">
          <w:pPr>
            <w:pStyle w:val="TOC2"/>
            <w:rPr>
              <w:rFonts w:asciiTheme="minorHAnsi" w:eastAsiaTheme="minorEastAsia" w:hAnsiTheme="minorHAnsi" w:cstheme="minorBidi"/>
              <w:b w:val="0"/>
              <w:noProof/>
              <w:sz w:val="22"/>
              <w:lang w:eastAsia="en-AU"/>
            </w:rPr>
          </w:pPr>
          <w:hyperlink w:anchor="_Toc57130857" w:history="1">
            <w:r w:rsidR="005938A4" w:rsidRPr="000245FF">
              <w:rPr>
                <w:rStyle w:val="Hyperlink"/>
                <w:noProof/>
              </w:rPr>
              <w:t>Quality</w:t>
            </w:r>
            <w:r w:rsidR="005938A4">
              <w:rPr>
                <w:noProof/>
                <w:webHidden/>
              </w:rPr>
              <w:tab/>
            </w:r>
            <w:r w:rsidR="005938A4">
              <w:rPr>
                <w:noProof/>
                <w:webHidden/>
              </w:rPr>
              <w:fldChar w:fldCharType="begin"/>
            </w:r>
            <w:r w:rsidR="005938A4">
              <w:rPr>
                <w:noProof/>
                <w:webHidden/>
              </w:rPr>
              <w:instrText xml:space="preserve"> PAGEREF _Toc57130857 \h </w:instrText>
            </w:r>
            <w:r w:rsidR="005938A4">
              <w:rPr>
                <w:noProof/>
                <w:webHidden/>
              </w:rPr>
            </w:r>
            <w:r w:rsidR="005938A4">
              <w:rPr>
                <w:noProof/>
                <w:webHidden/>
              </w:rPr>
              <w:fldChar w:fldCharType="separate"/>
            </w:r>
            <w:r>
              <w:rPr>
                <w:noProof/>
                <w:webHidden/>
              </w:rPr>
              <w:t>11</w:t>
            </w:r>
            <w:r w:rsidR="005938A4">
              <w:rPr>
                <w:noProof/>
                <w:webHidden/>
              </w:rPr>
              <w:fldChar w:fldCharType="end"/>
            </w:r>
          </w:hyperlink>
        </w:p>
        <w:p w14:paraId="7A6AF6BA" w14:textId="173E512B" w:rsidR="005938A4" w:rsidRDefault="00741986">
          <w:pPr>
            <w:pStyle w:val="TOC2"/>
            <w:rPr>
              <w:rFonts w:asciiTheme="minorHAnsi" w:eastAsiaTheme="minorEastAsia" w:hAnsiTheme="minorHAnsi" w:cstheme="minorBidi"/>
              <w:b w:val="0"/>
              <w:noProof/>
              <w:sz w:val="22"/>
              <w:lang w:eastAsia="en-AU"/>
            </w:rPr>
          </w:pPr>
          <w:hyperlink w:anchor="_Toc57130858" w:history="1">
            <w:r w:rsidR="005938A4" w:rsidRPr="000245FF">
              <w:rPr>
                <w:rStyle w:val="Hyperlink"/>
                <w:noProof/>
              </w:rPr>
              <w:t>Nonclinical</w:t>
            </w:r>
            <w:r w:rsidR="005938A4">
              <w:rPr>
                <w:noProof/>
                <w:webHidden/>
              </w:rPr>
              <w:tab/>
            </w:r>
            <w:r w:rsidR="005938A4">
              <w:rPr>
                <w:noProof/>
                <w:webHidden/>
              </w:rPr>
              <w:fldChar w:fldCharType="begin"/>
            </w:r>
            <w:r w:rsidR="005938A4">
              <w:rPr>
                <w:noProof/>
                <w:webHidden/>
              </w:rPr>
              <w:instrText xml:space="preserve"> PAGEREF _Toc57130858 \h </w:instrText>
            </w:r>
            <w:r w:rsidR="005938A4">
              <w:rPr>
                <w:noProof/>
                <w:webHidden/>
              </w:rPr>
            </w:r>
            <w:r w:rsidR="005938A4">
              <w:rPr>
                <w:noProof/>
                <w:webHidden/>
              </w:rPr>
              <w:fldChar w:fldCharType="separate"/>
            </w:r>
            <w:r>
              <w:rPr>
                <w:noProof/>
                <w:webHidden/>
              </w:rPr>
              <w:t>12</w:t>
            </w:r>
            <w:r w:rsidR="005938A4">
              <w:rPr>
                <w:noProof/>
                <w:webHidden/>
              </w:rPr>
              <w:fldChar w:fldCharType="end"/>
            </w:r>
          </w:hyperlink>
        </w:p>
        <w:p w14:paraId="74882DBC" w14:textId="60528434" w:rsidR="005938A4" w:rsidRDefault="00741986">
          <w:pPr>
            <w:pStyle w:val="TOC2"/>
            <w:rPr>
              <w:rFonts w:asciiTheme="minorHAnsi" w:eastAsiaTheme="minorEastAsia" w:hAnsiTheme="minorHAnsi" w:cstheme="minorBidi"/>
              <w:b w:val="0"/>
              <w:noProof/>
              <w:sz w:val="22"/>
              <w:lang w:eastAsia="en-AU"/>
            </w:rPr>
          </w:pPr>
          <w:hyperlink w:anchor="_Toc57130859" w:history="1">
            <w:r w:rsidR="005938A4" w:rsidRPr="000245FF">
              <w:rPr>
                <w:rStyle w:val="Hyperlink"/>
                <w:noProof/>
              </w:rPr>
              <w:t>Clinical</w:t>
            </w:r>
            <w:r w:rsidR="005938A4">
              <w:rPr>
                <w:noProof/>
                <w:webHidden/>
              </w:rPr>
              <w:tab/>
            </w:r>
            <w:r w:rsidR="005938A4">
              <w:rPr>
                <w:noProof/>
                <w:webHidden/>
              </w:rPr>
              <w:fldChar w:fldCharType="begin"/>
            </w:r>
            <w:r w:rsidR="005938A4">
              <w:rPr>
                <w:noProof/>
                <w:webHidden/>
              </w:rPr>
              <w:instrText xml:space="preserve"> PAGEREF _Toc57130859 \h </w:instrText>
            </w:r>
            <w:r w:rsidR="005938A4">
              <w:rPr>
                <w:noProof/>
                <w:webHidden/>
              </w:rPr>
            </w:r>
            <w:r w:rsidR="005938A4">
              <w:rPr>
                <w:noProof/>
                <w:webHidden/>
              </w:rPr>
              <w:fldChar w:fldCharType="separate"/>
            </w:r>
            <w:r>
              <w:rPr>
                <w:noProof/>
                <w:webHidden/>
              </w:rPr>
              <w:t>12</w:t>
            </w:r>
            <w:r w:rsidR="005938A4">
              <w:rPr>
                <w:noProof/>
                <w:webHidden/>
              </w:rPr>
              <w:fldChar w:fldCharType="end"/>
            </w:r>
          </w:hyperlink>
        </w:p>
        <w:p w14:paraId="274F825B" w14:textId="75AD7AFD" w:rsidR="005938A4" w:rsidRDefault="00741986">
          <w:pPr>
            <w:pStyle w:val="TOC2"/>
            <w:rPr>
              <w:rFonts w:asciiTheme="minorHAnsi" w:eastAsiaTheme="minorEastAsia" w:hAnsiTheme="minorHAnsi" w:cstheme="minorBidi"/>
              <w:b w:val="0"/>
              <w:noProof/>
              <w:sz w:val="22"/>
              <w:lang w:eastAsia="en-AU"/>
            </w:rPr>
          </w:pPr>
          <w:hyperlink w:anchor="_Toc57130860" w:history="1">
            <w:r w:rsidR="005938A4" w:rsidRPr="000245FF">
              <w:rPr>
                <w:rStyle w:val="Hyperlink"/>
                <w:noProof/>
                <w:lang w:eastAsia="en-AU"/>
              </w:rPr>
              <w:t>Risk management plan</w:t>
            </w:r>
            <w:r w:rsidR="005938A4">
              <w:rPr>
                <w:noProof/>
                <w:webHidden/>
              </w:rPr>
              <w:tab/>
            </w:r>
            <w:r w:rsidR="005938A4">
              <w:rPr>
                <w:noProof/>
                <w:webHidden/>
              </w:rPr>
              <w:fldChar w:fldCharType="begin"/>
            </w:r>
            <w:r w:rsidR="005938A4">
              <w:rPr>
                <w:noProof/>
                <w:webHidden/>
              </w:rPr>
              <w:instrText xml:space="preserve"> PAGEREF _Toc57130860 \h </w:instrText>
            </w:r>
            <w:r w:rsidR="005938A4">
              <w:rPr>
                <w:noProof/>
                <w:webHidden/>
              </w:rPr>
            </w:r>
            <w:r w:rsidR="005938A4">
              <w:rPr>
                <w:noProof/>
                <w:webHidden/>
              </w:rPr>
              <w:fldChar w:fldCharType="separate"/>
            </w:r>
            <w:r>
              <w:rPr>
                <w:noProof/>
                <w:webHidden/>
              </w:rPr>
              <w:t>25</w:t>
            </w:r>
            <w:r w:rsidR="005938A4">
              <w:rPr>
                <w:noProof/>
                <w:webHidden/>
              </w:rPr>
              <w:fldChar w:fldCharType="end"/>
            </w:r>
          </w:hyperlink>
        </w:p>
        <w:p w14:paraId="304896AE" w14:textId="15B838BD" w:rsidR="005938A4" w:rsidRDefault="00741986">
          <w:pPr>
            <w:pStyle w:val="TOC2"/>
            <w:rPr>
              <w:rFonts w:asciiTheme="minorHAnsi" w:eastAsiaTheme="minorEastAsia" w:hAnsiTheme="minorHAnsi" w:cstheme="minorBidi"/>
              <w:b w:val="0"/>
              <w:noProof/>
              <w:sz w:val="22"/>
              <w:lang w:eastAsia="en-AU"/>
            </w:rPr>
          </w:pPr>
          <w:hyperlink w:anchor="_Toc57130861" w:history="1">
            <w:r w:rsidR="005938A4" w:rsidRPr="000245FF">
              <w:rPr>
                <w:rStyle w:val="Hyperlink"/>
                <w:noProof/>
              </w:rPr>
              <w:t>Risk-benefit analysis</w:t>
            </w:r>
            <w:r w:rsidR="005938A4">
              <w:rPr>
                <w:noProof/>
                <w:webHidden/>
              </w:rPr>
              <w:tab/>
            </w:r>
            <w:r w:rsidR="005938A4">
              <w:rPr>
                <w:noProof/>
                <w:webHidden/>
              </w:rPr>
              <w:fldChar w:fldCharType="begin"/>
            </w:r>
            <w:r w:rsidR="005938A4">
              <w:rPr>
                <w:noProof/>
                <w:webHidden/>
              </w:rPr>
              <w:instrText xml:space="preserve"> PAGEREF _Toc57130861 \h </w:instrText>
            </w:r>
            <w:r w:rsidR="005938A4">
              <w:rPr>
                <w:noProof/>
                <w:webHidden/>
              </w:rPr>
            </w:r>
            <w:r w:rsidR="005938A4">
              <w:rPr>
                <w:noProof/>
                <w:webHidden/>
              </w:rPr>
              <w:fldChar w:fldCharType="separate"/>
            </w:r>
            <w:r>
              <w:rPr>
                <w:noProof/>
                <w:webHidden/>
              </w:rPr>
              <w:t>28</w:t>
            </w:r>
            <w:r w:rsidR="005938A4">
              <w:rPr>
                <w:noProof/>
                <w:webHidden/>
              </w:rPr>
              <w:fldChar w:fldCharType="end"/>
            </w:r>
          </w:hyperlink>
        </w:p>
        <w:p w14:paraId="6BC95ED6" w14:textId="242F9A24" w:rsidR="005938A4" w:rsidRDefault="00741986">
          <w:pPr>
            <w:pStyle w:val="TOC2"/>
            <w:rPr>
              <w:rFonts w:asciiTheme="minorHAnsi" w:eastAsiaTheme="minorEastAsia" w:hAnsiTheme="minorHAnsi" w:cstheme="minorBidi"/>
              <w:b w:val="0"/>
              <w:noProof/>
              <w:sz w:val="22"/>
              <w:lang w:eastAsia="en-AU"/>
            </w:rPr>
          </w:pPr>
          <w:hyperlink w:anchor="_Toc57130862" w:history="1">
            <w:r w:rsidR="005938A4" w:rsidRPr="000245FF">
              <w:rPr>
                <w:rStyle w:val="Hyperlink"/>
                <w:noProof/>
              </w:rPr>
              <w:t>Outcome</w:t>
            </w:r>
            <w:r w:rsidR="005938A4">
              <w:rPr>
                <w:noProof/>
                <w:webHidden/>
              </w:rPr>
              <w:tab/>
            </w:r>
            <w:r w:rsidR="005938A4">
              <w:rPr>
                <w:noProof/>
                <w:webHidden/>
              </w:rPr>
              <w:fldChar w:fldCharType="begin"/>
            </w:r>
            <w:r w:rsidR="005938A4">
              <w:rPr>
                <w:noProof/>
                <w:webHidden/>
              </w:rPr>
              <w:instrText xml:space="preserve"> PAGEREF _Toc57130862 \h </w:instrText>
            </w:r>
            <w:r w:rsidR="005938A4">
              <w:rPr>
                <w:noProof/>
                <w:webHidden/>
              </w:rPr>
            </w:r>
            <w:r w:rsidR="005938A4">
              <w:rPr>
                <w:noProof/>
                <w:webHidden/>
              </w:rPr>
              <w:fldChar w:fldCharType="separate"/>
            </w:r>
            <w:r>
              <w:rPr>
                <w:noProof/>
                <w:webHidden/>
              </w:rPr>
              <w:t>30</w:t>
            </w:r>
            <w:r w:rsidR="005938A4">
              <w:rPr>
                <w:noProof/>
                <w:webHidden/>
              </w:rPr>
              <w:fldChar w:fldCharType="end"/>
            </w:r>
          </w:hyperlink>
        </w:p>
        <w:p w14:paraId="2748187A" w14:textId="407D0F3B" w:rsidR="005938A4" w:rsidRDefault="00741986">
          <w:pPr>
            <w:pStyle w:val="TOC1"/>
            <w:rPr>
              <w:rFonts w:asciiTheme="minorHAnsi" w:eastAsiaTheme="minorEastAsia" w:hAnsiTheme="minorHAnsi" w:cstheme="minorBidi"/>
              <w:b w:val="0"/>
              <w:noProof/>
              <w:sz w:val="22"/>
              <w:lang w:eastAsia="en-AU"/>
            </w:rPr>
          </w:pPr>
          <w:hyperlink w:anchor="_Toc57130863" w:history="1">
            <w:r w:rsidR="005938A4" w:rsidRPr="000245FF">
              <w:rPr>
                <w:rStyle w:val="Hyperlink"/>
                <w:noProof/>
              </w:rPr>
              <w:t>Attachment 1. Product Information</w:t>
            </w:r>
            <w:r w:rsidR="005938A4">
              <w:rPr>
                <w:noProof/>
                <w:webHidden/>
              </w:rPr>
              <w:tab/>
            </w:r>
            <w:r w:rsidR="005938A4">
              <w:rPr>
                <w:noProof/>
                <w:webHidden/>
              </w:rPr>
              <w:fldChar w:fldCharType="begin"/>
            </w:r>
            <w:r w:rsidR="005938A4">
              <w:rPr>
                <w:noProof/>
                <w:webHidden/>
              </w:rPr>
              <w:instrText xml:space="preserve"> PAGEREF _Toc57130863 \h </w:instrText>
            </w:r>
            <w:r w:rsidR="005938A4">
              <w:rPr>
                <w:noProof/>
                <w:webHidden/>
              </w:rPr>
            </w:r>
            <w:r w:rsidR="005938A4">
              <w:rPr>
                <w:noProof/>
                <w:webHidden/>
              </w:rPr>
              <w:fldChar w:fldCharType="separate"/>
            </w:r>
            <w:r>
              <w:rPr>
                <w:noProof/>
                <w:webHidden/>
              </w:rPr>
              <w:t>32</w:t>
            </w:r>
            <w:r w:rsidR="005938A4">
              <w:rPr>
                <w:noProof/>
                <w:webHidden/>
              </w:rPr>
              <w:fldChar w:fldCharType="end"/>
            </w:r>
          </w:hyperlink>
        </w:p>
        <w:p w14:paraId="68CF82ED" w14:textId="6B20DE7A" w:rsidR="003A7F6C" w:rsidRPr="00B811C6" w:rsidRDefault="00C525A2" w:rsidP="00253DF6">
          <w:pPr>
            <w:pStyle w:val="TOC2"/>
            <w:ind w:left="0"/>
          </w:pPr>
          <w:r>
            <w:fldChar w:fldCharType="end"/>
          </w:r>
        </w:p>
      </w:sdtContent>
    </w:sdt>
    <w:bookmarkStart w:id="3" w:name="_Toc314842482" w:displacedByCustomXml="prev"/>
    <w:p w14:paraId="2AC466D2" w14:textId="77777777" w:rsidR="00FD119B" w:rsidRDefault="00441C3F" w:rsidP="009E6E79">
      <w:pPr>
        <w:pStyle w:val="Heading2"/>
        <w:pageBreakBefore/>
        <w:spacing w:before="0"/>
      </w:pPr>
      <w:bookmarkStart w:id="4" w:name="_Toc351716269"/>
      <w:bookmarkStart w:id="5" w:name="_Toc351718881"/>
      <w:bookmarkStart w:id="6" w:name="_Toc355338616"/>
      <w:bookmarkStart w:id="7" w:name="_Toc356306144"/>
      <w:bookmarkStart w:id="8" w:name="_Toc5713084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DD5CEF" w:rsidRPr="00FD119B" w14:paraId="41945CA8"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7A5B527A" w14:textId="77777777" w:rsidR="00DD5CEF" w:rsidRPr="00FD119B" w:rsidRDefault="00DD5CEF" w:rsidP="00CF5DAD">
            <w:pPr>
              <w:keepNext w:val="0"/>
              <w:ind w:left="0"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1C77F8E6" w14:textId="77777777" w:rsidR="00DD5CEF" w:rsidRPr="00FD119B" w:rsidRDefault="00DD5CEF" w:rsidP="00CF5DAD">
            <w:pPr>
              <w:keepNext w:val="0"/>
              <w:ind w:left="0" w:right="0"/>
              <w:rPr>
                <w:szCs w:val="22"/>
                <w:lang w:eastAsia="en-US"/>
              </w:rPr>
            </w:pPr>
            <w:r w:rsidRPr="00FD119B">
              <w:rPr>
                <w:szCs w:val="22"/>
                <w:lang w:eastAsia="en-US"/>
              </w:rPr>
              <w:t>Meaning</w:t>
            </w:r>
          </w:p>
        </w:tc>
      </w:tr>
      <w:tr w:rsidR="00DD5CEF" w:rsidRPr="00FD119B" w14:paraId="79FBF02D" w14:textId="77777777" w:rsidTr="00CF5DAD">
        <w:tc>
          <w:tcPr>
            <w:tcW w:w="1809" w:type="dxa"/>
            <w:tcBorders>
              <w:top w:val="single" w:sz="4" w:space="0" w:color="auto"/>
            </w:tcBorders>
          </w:tcPr>
          <w:p w14:paraId="73B36F59" w14:textId="77777777" w:rsidR="00DD5CEF" w:rsidRDefault="00DD5CEF" w:rsidP="00690118">
            <w:r>
              <w:t>ABP 215</w:t>
            </w:r>
          </w:p>
        </w:tc>
        <w:tc>
          <w:tcPr>
            <w:tcW w:w="6911" w:type="dxa"/>
            <w:tcBorders>
              <w:top w:val="single" w:sz="4" w:space="0" w:color="auto"/>
            </w:tcBorders>
          </w:tcPr>
          <w:p w14:paraId="45C38CC3" w14:textId="72C2C9A0" w:rsidR="00DD5CEF" w:rsidRPr="00460036" w:rsidRDefault="00DD5CEF" w:rsidP="00690118">
            <w:r>
              <w:t>Drug development code for Mvasi</w:t>
            </w:r>
          </w:p>
        </w:tc>
      </w:tr>
      <w:tr w:rsidR="00DD5CEF" w:rsidRPr="00FD119B" w14:paraId="2DF6D8CC" w14:textId="77777777" w:rsidTr="00CF5DAD">
        <w:tc>
          <w:tcPr>
            <w:tcW w:w="1809" w:type="dxa"/>
            <w:tcBorders>
              <w:top w:val="single" w:sz="4" w:space="0" w:color="auto"/>
            </w:tcBorders>
          </w:tcPr>
          <w:p w14:paraId="5139D84C" w14:textId="77777777" w:rsidR="00DD5CEF" w:rsidRPr="00FD119B" w:rsidRDefault="00DD5CEF" w:rsidP="00690118">
            <w:r>
              <w:t>ACM</w:t>
            </w:r>
          </w:p>
        </w:tc>
        <w:tc>
          <w:tcPr>
            <w:tcW w:w="6911" w:type="dxa"/>
            <w:tcBorders>
              <w:top w:val="single" w:sz="4" w:space="0" w:color="auto"/>
            </w:tcBorders>
          </w:tcPr>
          <w:p w14:paraId="332BAF75" w14:textId="77777777" w:rsidR="00DD5CEF" w:rsidRPr="00FD119B" w:rsidRDefault="00DD5CEF" w:rsidP="00690118">
            <w:r w:rsidRPr="00460036">
              <w:t>Advisory Committee on Medicines</w:t>
            </w:r>
          </w:p>
        </w:tc>
      </w:tr>
      <w:tr w:rsidR="00DD5CEF" w:rsidRPr="00FD119B" w14:paraId="1AA16911" w14:textId="77777777" w:rsidTr="00CF5DAD">
        <w:tc>
          <w:tcPr>
            <w:tcW w:w="1809" w:type="dxa"/>
            <w:tcBorders>
              <w:top w:val="single" w:sz="4" w:space="0" w:color="auto"/>
            </w:tcBorders>
          </w:tcPr>
          <w:p w14:paraId="71E7D3E9" w14:textId="35BDF9C9" w:rsidR="00DD5CEF" w:rsidRDefault="00DD5CEF" w:rsidP="00690118">
            <w:r>
              <w:t>ADA</w:t>
            </w:r>
          </w:p>
        </w:tc>
        <w:tc>
          <w:tcPr>
            <w:tcW w:w="6911" w:type="dxa"/>
            <w:tcBorders>
              <w:top w:val="single" w:sz="4" w:space="0" w:color="auto"/>
            </w:tcBorders>
          </w:tcPr>
          <w:p w14:paraId="65B98E9F" w14:textId="542454D5" w:rsidR="00DD5CEF" w:rsidRDefault="00DD5CEF" w:rsidP="00690118">
            <w:r>
              <w:rPr>
                <w:noProof/>
              </w:rPr>
              <w:t>Antidrug antibody</w:t>
            </w:r>
          </w:p>
        </w:tc>
      </w:tr>
      <w:tr w:rsidR="00DD5CEF" w:rsidRPr="00FD119B" w14:paraId="391E82FE" w14:textId="77777777" w:rsidTr="00CF5DAD">
        <w:tc>
          <w:tcPr>
            <w:tcW w:w="1809" w:type="dxa"/>
            <w:tcBorders>
              <w:top w:val="single" w:sz="4" w:space="0" w:color="auto"/>
            </w:tcBorders>
          </w:tcPr>
          <w:p w14:paraId="3D487BF4" w14:textId="77777777" w:rsidR="00DD5CEF" w:rsidRDefault="00DD5CEF" w:rsidP="00690118">
            <w:r>
              <w:t>AESI</w:t>
            </w:r>
          </w:p>
        </w:tc>
        <w:tc>
          <w:tcPr>
            <w:tcW w:w="6911" w:type="dxa"/>
            <w:tcBorders>
              <w:top w:val="single" w:sz="4" w:space="0" w:color="auto"/>
            </w:tcBorders>
          </w:tcPr>
          <w:p w14:paraId="20C8241F" w14:textId="2ED01321" w:rsidR="00DD5CEF" w:rsidRDefault="00DD5CEF" w:rsidP="00690118">
            <w:r>
              <w:rPr>
                <w:noProof/>
              </w:rPr>
              <w:t>Adverse event of special interest</w:t>
            </w:r>
          </w:p>
        </w:tc>
      </w:tr>
      <w:tr w:rsidR="00DD5CEF" w:rsidRPr="00FD119B" w14:paraId="08090F84" w14:textId="77777777" w:rsidTr="00CF5DAD">
        <w:tc>
          <w:tcPr>
            <w:tcW w:w="1809" w:type="dxa"/>
            <w:tcBorders>
              <w:top w:val="single" w:sz="4" w:space="0" w:color="auto"/>
            </w:tcBorders>
          </w:tcPr>
          <w:p w14:paraId="629419EC" w14:textId="77777777" w:rsidR="00DD5CEF" w:rsidRDefault="00DD5CEF" w:rsidP="00690118">
            <w:r>
              <w:t>ALK</w:t>
            </w:r>
          </w:p>
        </w:tc>
        <w:tc>
          <w:tcPr>
            <w:tcW w:w="6911" w:type="dxa"/>
            <w:tcBorders>
              <w:top w:val="single" w:sz="4" w:space="0" w:color="auto"/>
            </w:tcBorders>
          </w:tcPr>
          <w:p w14:paraId="66B34FCB" w14:textId="7F7A9D2B" w:rsidR="00DD5CEF" w:rsidRDefault="00DD5CEF" w:rsidP="00690118">
            <w:r>
              <w:t>Anaplastic lymphoma kinase</w:t>
            </w:r>
          </w:p>
        </w:tc>
      </w:tr>
      <w:tr w:rsidR="00DD5CEF" w:rsidRPr="00FD119B" w14:paraId="5D692493" w14:textId="77777777" w:rsidTr="00FD119B">
        <w:tc>
          <w:tcPr>
            <w:tcW w:w="1809" w:type="dxa"/>
          </w:tcPr>
          <w:p w14:paraId="5EA4FC97" w14:textId="77777777" w:rsidR="00DD5CEF" w:rsidRPr="00FD119B" w:rsidRDefault="00DD5CEF" w:rsidP="00690118">
            <w:r>
              <w:t>ARTG</w:t>
            </w:r>
          </w:p>
        </w:tc>
        <w:tc>
          <w:tcPr>
            <w:tcW w:w="6911" w:type="dxa"/>
          </w:tcPr>
          <w:p w14:paraId="7A7B0B30" w14:textId="77777777" w:rsidR="00DD5CEF" w:rsidRPr="00FD119B" w:rsidRDefault="00DD5CEF" w:rsidP="00690118">
            <w:r w:rsidRPr="00460036">
              <w:t>Australian Register of Therapeutic Goods</w:t>
            </w:r>
          </w:p>
        </w:tc>
      </w:tr>
      <w:tr w:rsidR="00735BC0" w:rsidRPr="00FD119B" w14:paraId="0A55F6A4" w14:textId="77777777" w:rsidTr="00FD119B">
        <w:tc>
          <w:tcPr>
            <w:tcW w:w="1809" w:type="dxa"/>
          </w:tcPr>
          <w:p w14:paraId="7DE09075" w14:textId="16088B3A" w:rsidR="00735BC0" w:rsidRDefault="00735BC0" w:rsidP="00690118">
            <w:r>
              <w:t>ASA</w:t>
            </w:r>
          </w:p>
        </w:tc>
        <w:tc>
          <w:tcPr>
            <w:tcW w:w="6911" w:type="dxa"/>
          </w:tcPr>
          <w:p w14:paraId="2B12C680" w14:textId="1B4FEEE9" w:rsidR="00735BC0" w:rsidRPr="00460036" w:rsidRDefault="00735BC0" w:rsidP="00690118">
            <w:r>
              <w:t>Australian specific annex</w:t>
            </w:r>
          </w:p>
        </w:tc>
      </w:tr>
      <w:tr w:rsidR="00DD5CEF" w:rsidRPr="00FD119B" w14:paraId="4ED81F19" w14:textId="77777777" w:rsidTr="00CF5DAD">
        <w:tc>
          <w:tcPr>
            <w:tcW w:w="1809" w:type="dxa"/>
            <w:tcBorders>
              <w:top w:val="single" w:sz="4" w:space="0" w:color="auto"/>
            </w:tcBorders>
          </w:tcPr>
          <w:p w14:paraId="57B82EA9" w14:textId="77777777" w:rsidR="00DD5CEF" w:rsidRDefault="00DD5CEF" w:rsidP="00690118">
            <w:r>
              <w:t>AUC</w:t>
            </w:r>
          </w:p>
        </w:tc>
        <w:tc>
          <w:tcPr>
            <w:tcW w:w="6911" w:type="dxa"/>
            <w:tcBorders>
              <w:top w:val="single" w:sz="4" w:space="0" w:color="auto"/>
            </w:tcBorders>
          </w:tcPr>
          <w:p w14:paraId="4FE2E781" w14:textId="1DEC8611" w:rsidR="00DD5CEF" w:rsidRDefault="00DD5CEF" w:rsidP="00690118">
            <w:r>
              <w:t>Area under the curve</w:t>
            </w:r>
          </w:p>
        </w:tc>
      </w:tr>
      <w:tr w:rsidR="00DD5CEF" w:rsidRPr="00FD119B" w14:paraId="414CEAB7" w14:textId="77777777" w:rsidTr="00CF5DAD">
        <w:tc>
          <w:tcPr>
            <w:tcW w:w="1809" w:type="dxa"/>
            <w:tcBorders>
              <w:top w:val="single" w:sz="4" w:space="0" w:color="auto"/>
            </w:tcBorders>
          </w:tcPr>
          <w:p w14:paraId="542DD6C0" w14:textId="77777777" w:rsidR="00DD5CEF" w:rsidRDefault="00DD5CEF" w:rsidP="00690118">
            <w:r>
              <w:t>AUC</w:t>
            </w:r>
            <w:r w:rsidRPr="00227A5B">
              <w:rPr>
                <w:vertAlign w:val="subscript"/>
              </w:rPr>
              <w:t>inf</w:t>
            </w:r>
          </w:p>
        </w:tc>
        <w:tc>
          <w:tcPr>
            <w:tcW w:w="6911" w:type="dxa"/>
            <w:tcBorders>
              <w:top w:val="single" w:sz="4" w:space="0" w:color="auto"/>
            </w:tcBorders>
          </w:tcPr>
          <w:p w14:paraId="7D946754" w14:textId="19CC2A95" w:rsidR="00DD5CEF" w:rsidRDefault="00DD5CEF" w:rsidP="006E363F">
            <w:r>
              <w:t>A</w:t>
            </w:r>
            <w:r w:rsidRPr="00227A5B">
              <w:t xml:space="preserve">rea under </w:t>
            </w:r>
            <w:r w:rsidR="006E363F">
              <w:t xml:space="preserve">the </w:t>
            </w:r>
            <w:r w:rsidRPr="00227A5B">
              <w:t>conc</w:t>
            </w:r>
            <w:r>
              <w:t>entration-time curve from time zero</w:t>
            </w:r>
            <w:r w:rsidRPr="00227A5B">
              <w:t xml:space="preserve"> to infinity</w:t>
            </w:r>
          </w:p>
        </w:tc>
      </w:tr>
      <w:tr w:rsidR="00DD5CEF" w:rsidRPr="00FD119B" w14:paraId="5C29D5F1" w14:textId="77777777" w:rsidTr="00CF5DAD">
        <w:tc>
          <w:tcPr>
            <w:tcW w:w="1809" w:type="dxa"/>
            <w:tcBorders>
              <w:top w:val="single" w:sz="4" w:space="0" w:color="auto"/>
            </w:tcBorders>
          </w:tcPr>
          <w:p w14:paraId="3ED54938" w14:textId="77777777" w:rsidR="00DD5CEF" w:rsidRDefault="00DD5CEF" w:rsidP="00690118">
            <w:r>
              <w:t>AUC</w:t>
            </w:r>
            <w:r w:rsidRPr="00227A5B">
              <w:rPr>
                <w:vertAlign w:val="subscript"/>
              </w:rPr>
              <w:t>last</w:t>
            </w:r>
          </w:p>
        </w:tc>
        <w:tc>
          <w:tcPr>
            <w:tcW w:w="6911" w:type="dxa"/>
            <w:tcBorders>
              <w:top w:val="single" w:sz="4" w:space="0" w:color="auto"/>
            </w:tcBorders>
          </w:tcPr>
          <w:p w14:paraId="1766C1E9" w14:textId="7F54F05E" w:rsidR="00DD5CEF" w:rsidRDefault="00DD5CEF" w:rsidP="00690118">
            <w:r w:rsidRPr="00227A5B">
              <w:t>Area under the concentration-time curve from time zero to time of last measurable concentration</w:t>
            </w:r>
          </w:p>
        </w:tc>
      </w:tr>
      <w:tr w:rsidR="00DD5CEF" w:rsidRPr="00FD119B" w14:paraId="087343CD" w14:textId="77777777" w:rsidTr="00FD119B">
        <w:tc>
          <w:tcPr>
            <w:tcW w:w="1809" w:type="dxa"/>
          </w:tcPr>
          <w:p w14:paraId="4C0177A2" w14:textId="77777777" w:rsidR="00DD5CEF" w:rsidRDefault="00DD5CEF" w:rsidP="00690118">
            <w:r>
              <w:t>CHMP</w:t>
            </w:r>
          </w:p>
        </w:tc>
        <w:tc>
          <w:tcPr>
            <w:tcW w:w="6911" w:type="dxa"/>
          </w:tcPr>
          <w:p w14:paraId="6F577012" w14:textId="3EB19DE4" w:rsidR="00DD5CEF" w:rsidRDefault="00DD5CEF" w:rsidP="003124FD">
            <w:r>
              <w:t>Committee for Medicinal Products for Human Use (</w:t>
            </w:r>
            <w:r w:rsidR="003124FD">
              <w:t>European Medicines Agency; European Union</w:t>
            </w:r>
            <w:r>
              <w:t>)</w:t>
            </w:r>
          </w:p>
        </w:tc>
      </w:tr>
      <w:tr w:rsidR="00DD5CEF" w:rsidRPr="00FD119B" w14:paraId="7A9C0959" w14:textId="77777777" w:rsidTr="00FD119B">
        <w:tc>
          <w:tcPr>
            <w:tcW w:w="1809" w:type="dxa"/>
          </w:tcPr>
          <w:p w14:paraId="48FCBA42" w14:textId="77777777" w:rsidR="00DD5CEF" w:rsidRDefault="00DD5CEF" w:rsidP="00690118">
            <w:r>
              <w:t>CI</w:t>
            </w:r>
          </w:p>
        </w:tc>
        <w:tc>
          <w:tcPr>
            <w:tcW w:w="6911" w:type="dxa"/>
          </w:tcPr>
          <w:p w14:paraId="228244F4" w14:textId="4AE0AF03" w:rsidR="00DD5CEF" w:rsidRDefault="00DD5CEF" w:rsidP="00690118">
            <w:r>
              <w:t>Confidence interval</w:t>
            </w:r>
          </w:p>
        </w:tc>
      </w:tr>
      <w:tr w:rsidR="00DD5CEF" w:rsidRPr="00FD119B" w14:paraId="745A92D2" w14:textId="77777777" w:rsidTr="00FD119B">
        <w:tc>
          <w:tcPr>
            <w:tcW w:w="1809" w:type="dxa"/>
          </w:tcPr>
          <w:p w14:paraId="4F1F8AD3" w14:textId="77777777" w:rsidR="00DD5CEF" w:rsidRDefault="00DD5CEF" w:rsidP="00227A5B">
            <w:r>
              <w:t>C</w:t>
            </w:r>
            <w:r w:rsidRPr="00227A5B">
              <w:rPr>
                <w:vertAlign w:val="subscript"/>
              </w:rPr>
              <w:t>max</w:t>
            </w:r>
          </w:p>
        </w:tc>
        <w:tc>
          <w:tcPr>
            <w:tcW w:w="6911" w:type="dxa"/>
          </w:tcPr>
          <w:p w14:paraId="081DA549" w14:textId="75378555" w:rsidR="00DD5CEF" w:rsidRDefault="00DD5CEF" w:rsidP="00690118">
            <w:r>
              <w:t>M</w:t>
            </w:r>
            <w:r w:rsidRPr="00C44F69">
              <w:t>aximum (peak) serum concentration</w:t>
            </w:r>
          </w:p>
        </w:tc>
      </w:tr>
      <w:tr w:rsidR="00DD5CEF" w:rsidRPr="00FD119B" w14:paraId="42E42692" w14:textId="77777777" w:rsidTr="00FD119B">
        <w:tc>
          <w:tcPr>
            <w:tcW w:w="1809" w:type="dxa"/>
          </w:tcPr>
          <w:p w14:paraId="51BF700F" w14:textId="77777777" w:rsidR="00DD5CEF" w:rsidRDefault="00DD5CEF" w:rsidP="00690118">
            <w:r>
              <w:t>CT</w:t>
            </w:r>
          </w:p>
        </w:tc>
        <w:tc>
          <w:tcPr>
            <w:tcW w:w="6911" w:type="dxa"/>
          </w:tcPr>
          <w:p w14:paraId="383ACD56" w14:textId="2539FB83" w:rsidR="00DD5CEF" w:rsidRDefault="00DD5CEF" w:rsidP="00690118">
            <w:r>
              <w:t>Computerised tomography</w:t>
            </w:r>
          </w:p>
        </w:tc>
      </w:tr>
      <w:tr w:rsidR="00DD5CEF" w:rsidRPr="00FD119B" w14:paraId="537CD809" w14:textId="77777777" w:rsidTr="00FD119B">
        <w:tc>
          <w:tcPr>
            <w:tcW w:w="1809" w:type="dxa"/>
          </w:tcPr>
          <w:p w14:paraId="45A89012" w14:textId="77777777" w:rsidR="00DD5CEF" w:rsidRDefault="00DD5CEF" w:rsidP="00690118">
            <w:r>
              <w:t>C</w:t>
            </w:r>
            <w:r w:rsidRPr="00227A5B">
              <w:rPr>
                <w:vertAlign w:val="subscript"/>
              </w:rPr>
              <w:t>trough</w:t>
            </w:r>
          </w:p>
        </w:tc>
        <w:tc>
          <w:tcPr>
            <w:tcW w:w="6911" w:type="dxa"/>
          </w:tcPr>
          <w:p w14:paraId="6EABE4FE" w14:textId="40770CE6" w:rsidR="00DD5CEF" w:rsidRDefault="000D3696" w:rsidP="00690118">
            <w:r>
              <w:t xml:space="preserve">Trough </w:t>
            </w:r>
            <w:r w:rsidR="00DD5CEF">
              <w:t>serum concentration</w:t>
            </w:r>
          </w:p>
        </w:tc>
      </w:tr>
      <w:tr w:rsidR="00DD5CEF" w:rsidRPr="00FD119B" w14:paraId="5D756A37" w14:textId="77777777" w:rsidTr="00FD119B">
        <w:tc>
          <w:tcPr>
            <w:tcW w:w="1809" w:type="dxa"/>
          </w:tcPr>
          <w:p w14:paraId="7778C388" w14:textId="77777777" w:rsidR="00DD5CEF" w:rsidRDefault="00DD5CEF" w:rsidP="00690118">
            <w:r>
              <w:t>DOR</w:t>
            </w:r>
          </w:p>
        </w:tc>
        <w:tc>
          <w:tcPr>
            <w:tcW w:w="6911" w:type="dxa"/>
          </w:tcPr>
          <w:p w14:paraId="6EF238AE" w14:textId="15E450EE" w:rsidR="00DD5CEF" w:rsidRDefault="00DD5CEF" w:rsidP="00690118">
            <w:r>
              <w:t>Duration of response</w:t>
            </w:r>
          </w:p>
        </w:tc>
      </w:tr>
      <w:tr w:rsidR="00DD5CEF" w:rsidRPr="00FD119B" w14:paraId="1F428B78" w14:textId="77777777" w:rsidTr="00FD119B">
        <w:tc>
          <w:tcPr>
            <w:tcW w:w="1809" w:type="dxa"/>
          </w:tcPr>
          <w:p w14:paraId="7C789552" w14:textId="77777777" w:rsidR="00DD5CEF" w:rsidRDefault="00DD5CEF" w:rsidP="00690118">
            <w:r>
              <w:t>EGFR</w:t>
            </w:r>
          </w:p>
        </w:tc>
        <w:tc>
          <w:tcPr>
            <w:tcW w:w="6911" w:type="dxa"/>
          </w:tcPr>
          <w:p w14:paraId="390566B9" w14:textId="65584585" w:rsidR="00DD5CEF" w:rsidRDefault="00DD5CEF" w:rsidP="00690118">
            <w:r>
              <w:t>Epidermal growth factor receptor</w:t>
            </w:r>
          </w:p>
        </w:tc>
      </w:tr>
      <w:tr w:rsidR="00DD5CEF" w:rsidRPr="00FD119B" w14:paraId="17558671" w14:textId="77777777" w:rsidTr="00FD119B">
        <w:tc>
          <w:tcPr>
            <w:tcW w:w="1809" w:type="dxa"/>
          </w:tcPr>
          <w:p w14:paraId="56ED4047" w14:textId="77777777" w:rsidR="00DD5CEF" w:rsidRDefault="00DD5CEF" w:rsidP="00690118">
            <w:r>
              <w:t>EMA</w:t>
            </w:r>
          </w:p>
        </w:tc>
        <w:tc>
          <w:tcPr>
            <w:tcW w:w="6911" w:type="dxa"/>
          </w:tcPr>
          <w:p w14:paraId="66C7BAC8" w14:textId="18469019" w:rsidR="00DD5CEF" w:rsidRDefault="00DD5CEF" w:rsidP="00690118">
            <w:r>
              <w:t>European Medicines Agency</w:t>
            </w:r>
            <w:r w:rsidR="003124FD">
              <w:t xml:space="preserve"> (European Union)</w:t>
            </w:r>
          </w:p>
        </w:tc>
      </w:tr>
      <w:tr w:rsidR="00DD5CEF" w:rsidRPr="00FD119B" w14:paraId="201255F0" w14:textId="77777777" w:rsidTr="00FD119B">
        <w:tc>
          <w:tcPr>
            <w:tcW w:w="1809" w:type="dxa"/>
          </w:tcPr>
          <w:p w14:paraId="47135339" w14:textId="77777777" w:rsidR="00DD5CEF" w:rsidRDefault="00DD5CEF" w:rsidP="00690118">
            <w:r>
              <w:t>EU</w:t>
            </w:r>
          </w:p>
        </w:tc>
        <w:tc>
          <w:tcPr>
            <w:tcW w:w="6911" w:type="dxa"/>
          </w:tcPr>
          <w:p w14:paraId="4B6C980F" w14:textId="77777777" w:rsidR="00DD5CEF" w:rsidRDefault="00DD5CEF" w:rsidP="00690118">
            <w:r>
              <w:t>European Union</w:t>
            </w:r>
          </w:p>
        </w:tc>
      </w:tr>
      <w:tr w:rsidR="006E363F" w:rsidRPr="00FD119B" w14:paraId="4BF5CE6D" w14:textId="77777777" w:rsidTr="00FD119B">
        <w:tc>
          <w:tcPr>
            <w:tcW w:w="1809" w:type="dxa"/>
          </w:tcPr>
          <w:p w14:paraId="1F77014A" w14:textId="12714E43" w:rsidR="006E363F" w:rsidRDefault="006E363F" w:rsidP="00690118">
            <w:r>
              <w:t>FDA</w:t>
            </w:r>
          </w:p>
        </w:tc>
        <w:tc>
          <w:tcPr>
            <w:tcW w:w="6911" w:type="dxa"/>
          </w:tcPr>
          <w:p w14:paraId="33793512" w14:textId="20E17E68" w:rsidR="006E363F" w:rsidRDefault="006E363F" w:rsidP="00690118">
            <w:r>
              <w:t>Food and Drug Administration (United States)</w:t>
            </w:r>
          </w:p>
        </w:tc>
      </w:tr>
      <w:tr w:rsidR="00DD5CEF" w:rsidRPr="00FD119B" w14:paraId="0A840EB2" w14:textId="77777777" w:rsidTr="00FD119B">
        <w:tc>
          <w:tcPr>
            <w:tcW w:w="1809" w:type="dxa"/>
          </w:tcPr>
          <w:p w14:paraId="7A778D89" w14:textId="77777777" w:rsidR="00DD5CEF" w:rsidRPr="00FD119B" w:rsidRDefault="00DD5CEF" w:rsidP="00DF7439">
            <w:pPr>
              <w:rPr>
                <w:color w:val="auto"/>
                <w:szCs w:val="22"/>
                <w:lang w:eastAsia="en-US"/>
              </w:rPr>
            </w:pPr>
            <w:r>
              <w:rPr>
                <w:color w:val="auto"/>
                <w:szCs w:val="22"/>
                <w:lang w:eastAsia="en-US"/>
              </w:rPr>
              <w:t>FIGO</w:t>
            </w:r>
          </w:p>
        </w:tc>
        <w:tc>
          <w:tcPr>
            <w:tcW w:w="6911" w:type="dxa"/>
          </w:tcPr>
          <w:p w14:paraId="577DA732" w14:textId="0537F88A" w:rsidR="00DD5CEF" w:rsidRPr="00FD119B" w:rsidRDefault="00DD5CEF" w:rsidP="00DF7439">
            <w:pPr>
              <w:rPr>
                <w:color w:val="auto"/>
                <w:szCs w:val="22"/>
                <w:lang w:eastAsia="en-US"/>
              </w:rPr>
            </w:pPr>
            <w:r>
              <w:rPr>
                <w:color w:val="auto"/>
                <w:szCs w:val="22"/>
                <w:lang w:eastAsia="en-US"/>
              </w:rPr>
              <w:t>International Federation of Gynaecologists and Obstetricians</w:t>
            </w:r>
            <w:r w:rsidR="003124FD">
              <w:rPr>
                <w:color w:val="auto"/>
                <w:szCs w:val="22"/>
                <w:lang w:eastAsia="en-US"/>
              </w:rPr>
              <w:t xml:space="preserve">; French: </w:t>
            </w:r>
            <w:r w:rsidR="003124FD" w:rsidRPr="003124FD">
              <w:rPr>
                <w:color w:val="auto"/>
                <w:szCs w:val="22"/>
                <w:lang w:eastAsia="en-US"/>
              </w:rPr>
              <w:t>Fédération Internationale de Gynécologie et d’Obstétrique</w:t>
            </w:r>
          </w:p>
        </w:tc>
      </w:tr>
      <w:tr w:rsidR="00DD5CEF" w:rsidRPr="00FD119B" w14:paraId="356DF241" w14:textId="77777777" w:rsidTr="00FD119B">
        <w:tc>
          <w:tcPr>
            <w:tcW w:w="1809" w:type="dxa"/>
          </w:tcPr>
          <w:p w14:paraId="07347ADD" w14:textId="77777777" w:rsidR="00DD5CEF" w:rsidRDefault="00DD5CEF" w:rsidP="00DF7439">
            <w:r>
              <w:t>GVP</w:t>
            </w:r>
          </w:p>
        </w:tc>
        <w:tc>
          <w:tcPr>
            <w:tcW w:w="6911" w:type="dxa"/>
          </w:tcPr>
          <w:p w14:paraId="035A2C9B" w14:textId="193F5DB9" w:rsidR="00DD5CEF" w:rsidRDefault="00DD5CEF" w:rsidP="00DF7439">
            <w:r>
              <w:t>Good pharmacovigilance practices</w:t>
            </w:r>
          </w:p>
        </w:tc>
      </w:tr>
      <w:tr w:rsidR="00DD5CEF" w:rsidRPr="00FD119B" w14:paraId="51523B70" w14:textId="77777777" w:rsidTr="00FD119B">
        <w:tc>
          <w:tcPr>
            <w:tcW w:w="1809" w:type="dxa"/>
          </w:tcPr>
          <w:p w14:paraId="55F36714" w14:textId="77777777" w:rsidR="00DD5CEF" w:rsidRDefault="00DD5CEF" w:rsidP="00690118">
            <w:r w:rsidRPr="00227A5B">
              <w:t>IgG</w:t>
            </w:r>
          </w:p>
        </w:tc>
        <w:tc>
          <w:tcPr>
            <w:tcW w:w="6911" w:type="dxa"/>
          </w:tcPr>
          <w:p w14:paraId="75C63E55" w14:textId="2EFB4AF7" w:rsidR="00DD5CEF" w:rsidRPr="0041509C" w:rsidRDefault="00DD5CEF" w:rsidP="00690118">
            <w:pPr>
              <w:rPr>
                <w:lang w:eastAsia="ja-JP"/>
              </w:rPr>
            </w:pPr>
            <w:r>
              <w:rPr>
                <w:lang w:eastAsia="ja-JP"/>
              </w:rPr>
              <w:t>I</w:t>
            </w:r>
            <w:r w:rsidRPr="00227A5B">
              <w:rPr>
                <w:lang w:eastAsia="ja-JP"/>
              </w:rPr>
              <w:t>mmunoglobulin G</w:t>
            </w:r>
          </w:p>
        </w:tc>
      </w:tr>
      <w:tr w:rsidR="00DD5CEF" w:rsidRPr="00FD119B" w14:paraId="155E6839" w14:textId="77777777" w:rsidTr="00FD119B">
        <w:tc>
          <w:tcPr>
            <w:tcW w:w="1809" w:type="dxa"/>
          </w:tcPr>
          <w:p w14:paraId="5ABF1B91" w14:textId="77777777" w:rsidR="00DD5CEF" w:rsidRPr="00227A5B" w:rsidRDefault="00DD5CEF" w:rsidP="00690118">
            <w:r>
              <w:lastRenderedPageBreak/>
              <w:t>IP</w:t>
            </w:r>
          </w:p>
        </w:tc>
        <w:tc>
          <w:tcPr>
            <w:tcW w:w="6911" w:type="dxa"/>
          </w:tcPr>
          <w:p w14:paraId="70916862" w14:textId="7977A784" w:rsidR="00DD5CEF" w:rsidRPr="00227A5B" w:rsidRDefault="00DD5CEF" w:rsidP="00690118">
            <w:pPr>
              <w:rPr>
                <w:lang w:eastAsia="ja-JP"/>
              </w:rPr>
            </w:pPr>
            <w:r>
              <w:rPr>
                <w:lang w:eastAsia="ja-JP"/>
              </w:rPr>
              <w:t>Investigational product</w:t>
            </w:r>
          </w:p>
        </w:tc>
      </w:tr>
      <w:tr w:rsidR="00DD5CEF" w:rsidRPr="00FD119B" w14:paraId="35ADC257" w14:textId="77777777" w:rsidTr="00FD119B">
        <w:tc>
          <w:tcPr>
            <w:tcW w:w="1809" w:type="dxa"/>
          </w:tcPr>
          <w:p w14:paraId="61D1067B" w14:textId="77777777" w:rsidR="00DD5CEF" w:rsidRPr="00227A5B" w:rsidRDefault="00DD5CEF" w:rsidP="00690118">
            <w:r>
              <w:t>ITT</w:t>
            </w:r>
          </w:p>
        </w:tc>
        <w:tc>
          <w:tcPr>
            <w:tcW w:w="6911" w:type="dxa"/>
          </w:tcPr>
          <w:p w14:paraId="2AF28A3B" w14:textId="7E625F39" w:rsidR="00DD5CEF" w:rsidRPr="00227A5B" w:rsidRDefault="00DD5CEF" w:rsidP="00690118">
            <w:pPr>
              <w:rPr>
                <w:lang w:eastAsia="ja-JP"/>
              </w:rPr>
            </w:pPr>
            <w:r>
              <w:rPr>
                <w:lang w:eastAsia="ja-JP"/>
              </w:rPr>
              <w:t>Intention to treat</w:t>
            </w:r>
          </w:p>
        </w:tc>
      </w:tr>
      <w:tr w:rsidR="00DD5CEF" w:rsidRPr="00FD119B" w14:paraId="30F43E25" w14:textId="77777777" w:rsidTr="00FD119B">
        <w:tc>
          <w:tcPr>
            <w:tcW w:w="1809" w:type="dxa"/>
          </w:tcPr>
          <w:p w14:paraId="66055354" w14:textId="77777777" w:rsidR="00DD5CEF" w:rsidRDefault="00DD5CEF" w:rsidP="00690118">
            <w:r>
              <w:t>IV</w:t>
            </w:r>
          </w:p>
        </w:tc>
        <w:tc>
          <w:tcPr>
            <w:tcW w:w="6911" w:type="dxa"/>
          </w:tcPr>
          <w:p w14:paraId="755AA18B" w14:textId="1EEBF9AE" w:rsidR="00DD5CEF" w:rsidRDefault="00DD5CEF" w:rsidP="00690118">
            <w:pPr>
              <w:rPr>
                <w:lang w:eastAsia="ja-JP"/>
              </w:rPr>
            </w:pPr>
            <w:r>
              <w:rPr>
                <w:lang w:eastAsia="ja-JP"/>
              </w:rPr>
              <w:t>Intravenous</w:t>
            </w:r>
          </w:p>
        </w:tc>
      </w:tr>
      <w:tr w:rsidR="00DD5CEF" w:rsidRPr="00FD119B" w14:paraId="650EBAF4" w14:textId="77777777" w:rsidTr="00FD119B">
        <w:tc>
          <w:tcPr>
            <w:tcW w:w="1809" w:type="dxa"/>
          </w:tcPr>
          <w:p w14:paraId="2500D39B" w14:textId="77777777" w:rsidR="00DD5CEF" w:rsidRPr="00227A5B" w:rsidRDefault="00DD5CEF" w:rsidP="00690118">
            <w:r>
              <w:t>LS</w:t>
            </w:r>
          </w:p>
        </w:tc>
        <w:tc>
          <w:tcPr>
            <w:tcW w:w="6911" w:type="dxa"/>
          </w:tcPr>
          <w:p w14:paraId="2BC2A3B2" w14:textId="5C69B872" w:rsidR="00DD5CEF" w:rsidRPr="00227A5B" w:rsidRDefault="00DD5CEF" w:rsidP="00690118">
            <w:pPr>
              <w:rPr>
                <w:lang w:eastAsia="ja-JP"/>
              </w:rPr>
            </w:pPr>
            <w:r>
              <w:rPr>
                <w:lang w:eastAsia="ja-JP"/>
              </w:rPr>
              <w:t xml:space="preserve">Least </w:t>
            </w:r>
            <w:r w:rsidR="00C36BCC">
              <w:rPr>
                <w:lang w:eastAsia="ja-JP"/>
              </w:rPr>
              <w:t>s</w:t>
            </w:r>
            <w:r>
              <w:rPr>
                <w:lang w:eastAsia="ja-JP"/>
              </w:rPr>
              <w:t>quares</w:t>
            </w:r>
          </w:p>
        </w:tc>
      </w:tr>
      <w:tr w:rsidR="00DD5CEF" w:rsidRPr="00FD119B" w14:paraId="20B4103B" w14:textId="77777777" w:rsidTr="00FD119B">
        <w:tc>
          <w:tcPr>
            <w:tcW w:w="1809" w:type="dxa"/>
          </w:tcPr>
          <w:p w14:paraId="012713F0" w14:textId="77777777" w:rsidR="00DD5CEF" w:rsidRDefault="00DD5CEF" w:rsidP="00690118">
            <w:r>
              <w:t>MRI</w:t>
            </w:r>
          </w:p>
        </w:tc>
        <w:tc>
          <w:tcPr>
            <w:tcW w:w="6911" w:type="dxa"/>
          </w:tcPr>
          <w:p w14:paraId="533483E0" w14:textId="5DD6584F" w:rsidR="00DD5CEF" w:rsidRDefault="00DD5CEF" w:rsidP="00690118">
            <w:pPr>
              <w:rPr>
                <w:lang w:eastAsia="ja-JP"/>
              </w:rPr>
            </w:pPr>
            <w:r>
              <w:rPr>
                <w:lang w:eastAsia="ja-JP"/>
              </w:rPr>
              <w:t>Magnetic resonance imaging</w:t>
            </w:r>
          </w:p>
        </w:tc>
      </w:tr>
      <w:tr w:rsidR="00DD5CEF" w:rsidRPr="00FD119B" w14:paraId="53951DDD" w14:textId="77777777" w:rsidTr="00FD119B">
        <w:tc>
          <w:tcPr>
            <w:tcW w:w="1809" w:type="dxa"/>
          </w:tcPr>
          <w:p w14:paraId="36DF5CEF" w14:textId="77777777" w:rsidR="00DD5CEF" w:rsidRPr="00227A5B" w:rsidRDefault="00DD5CEF" w:rsidP="00690118">
            <w:r>
              <w:t>NSCLC</w:t>
            </w:r>
          </w:p>
        </w:tc>
        <w:tc>
          <w:tcPr>
            <w:tcW w:w="6911" w:type="dxa"/>
          </w:tcPr>
          <w:p w14:paraId="31FD0AD3" w14:textId="0A05F54E" w:rsidR="00DD5CEF" w:rsidRPr="00227A5B" w:rsidRDefault="007B0BD9" w:rsidP="00690118">
            <w:pPr>
              <w:rPr>
                <w:lang w:eastAsia="ja-JP"/>
              </w:rPr>
            </w:pPr>
            <w:r>
              <w:rPr>
                <w:lang w:eastAsia="ja-JP"/>
              </w:rPr>
              <w:t>Non-</w:t>
            </w:r>
            <w:r w:rsidR="00DD5CEF">
              <w:rPr>
                <w:lang w:eastAsia="ja-JP"/>
              </w:rPr>
              <w:t>small cell lung cancer</w:t>
            </w:r>
          </w:p>
        </w:tc>
      </w:tr>
      <w:tr w:rsidR="00DD5CEF" w:rsidRPr="00FD119B" w14:paraId="470D492F" w14:textId="77777777" w:rsidTr="00FD119B">
        <w:tc>
          <w:tcPr>
            <w:tcW w:w="1809" w:type="dxa"/>
          </w:tcPr>
          <w:p w14:paraId="1AA77FA1" w14:textId="77777777" w:rsidR="00DD5CEF" w:rsidRDefault="00DD5CEF" w:rsidP="009E792B">
            <w:r>
              <w:t>ORR</w:t>
            </w:r>
          </w:p>
        </w:tc>
        <w:tc>
          <w:tcPr>
            <w:tcW w:w="6911" w:type="dxa"/>
          </w:tcPr>
          <w:p w14:paraId="26D7FCE3" w14:textId="0306AF36" w:rsidR="00DD5CEF" w:rsidRDefault="00DD5CEF" w:rsidP="009E792B">
            <w:pPr>
              <w:rPr>
                <w:lang w:eastAsia="ja-JP"/>
              </w:rPr>
            </w:pPr>
            <w:r>
              <w:rPr>
                <w:lang w:eastAsia="ja-JP"/>
              </w:rPr>
              <w:t>Overall response rate</w:t>
            </w:r>
          </w:p>
        </w:tc>
      </w:tr>
      <w:tr w:rsidR="00DD5CEF" w:rsidRPr="00FD119B" w14:paraId="4904C580" w14:textId="77777777" w:rsidTr="00FD119B">
        <w:tc>
          <w:tcPr>
            <w:tcW w:w="1809" w:type="dxa"/>
          </w:tcPr>
          <w:p w14:paraId="63BD7D2B" w14:textId="77777777" w:rsidR="00DD5CEF" w:rsidRDefault="00DD5CEF" w:rsidP="009E792B">
            <w:r>
              <w:t>PBS</w:t>
            </w:r>
          </w:p>
        </w:tc>
        <w:tc>
          <w:tcPr>
            <w:tcW w:w="6911" w:type="dxa"/>
          </w:tcPr>
          <w:p w14:paraId="7777C671" w14:textId="77777777" w:rsidR="00DD5CEF" w:rsidRDefault="00DD5CEF" w:rsidP="009E792B">
            <w:pPr>
              <w:rPr>
                <w:lang w:eastAsia="ja-JP"/>
              </w:rPr>
            </w:pPr>
            <w:r>
              <w:rPr>
                <w:lang w:eastAsia="ja-JP"/>
              </w:rPr>
              <w:t>Pharmaceutical Benefits Scheme</w:t>
            </w:r>
          </w:p>
        </w:tc>
      </w:tr>
      <w:tr w:rsidR="00DD5CEF" w:rsidRPr="00FD119B" w14:paraId="3FC0D960" w14:textId="77777777" w:rsidTr="00FD119B">
        <w:tc>
          <w:tcPr>
            <w:tcW w:w="1809" w:type="dxa"/>
          </w:tcPr>
          <w:p w14:paraId="5719A16E" w14:textId="77777777" w:rsidR="00DD5CEF" w:rsidRDefault="00DD5CEF" w:rsidP="009E792B">
            <w:r>
              <w:t>PD</w:t>
            </w:r>
          </w:p>
        </w:tc>
        <w:tc>
          <w:tcPr>
            <w:tcW w:w="6911" w:type="dxa"/>
          </w:tcPr>
          <w:p w14:paraId="0D52E250" w14:textId="327C5C4C" w:rsidR="00DD5CEF" w:rsidRDefault="00DD5CEF" w:rsidP="009E792B">
            <w:pPr>
              <w:rPr>
                <w:lang w:eastAsia="ja-JP"/>
              </w:rPr>
            </w:pPr>
            <w:r>
              <w:rPr>
                <w:lang w:eastAsia="ja-JP"/>
              </w:rPr>
              <w:t>Pharmacodynamics</w:t>
            </w:r>
          </w:p>
        </w:tc>
      </w:tr>
      <w:tr w:rsidR="00DD5CEF" w:rsidRPr="00FD119B" w14:paraId="27F10872" w14:textId="77777777" w:rsidTr="00FD119B">
        <w:tc>
          <w:tcPr>
            <w:tcW w:w="1809" w:type="dxa"/>
          </w:tcPr>
          <w:p w14:paraId="64600832" w14:textId="77777777" w:rsidR="00DD5CEF" w:rsidRDefault="00DD5CEF" w:rsidP="009E792B">
            <w:r>
              <w:t>PFS</w:t>
            </w:r>
          </w:p>
        </w:tc>
        <w:tc>
          <w:tcPr>
            <w:tcW w:w="6911" w:type="dxa"/>
          </w:tcPr>
          <w:p w14:paraId="53275B93" w14:textId="67ED937F" w:rsidR="00DD5CEF" w:rsidRDefault="00DD5CEF" w:rsidP="009E792B">
            <w:pPr>
              <w:rPr>
                <w:lang w:eastAsia="ja-JP"/>
              </w:rPr>
            </w:pPr>
            <w:r>
              <w:rPr>
                <w:lang w:eastAsia="ja-JP"/>
              </w:rPr>
              <w:t>Progression-free survival</w:t>
            </w:r>
          </w:p>
        </w:tc>
      </w:tr>
      <w:tr w:rsidR="00DD5CEF" w:rsidRPr="00FD119B" w14:paraId="6DF58E4D" w14:textId="77777777" w:rsidTr="00FD119B">
        <w:tc>
          <w:tcPr>
            <w:tcW w:w="1809" w:type="dxa"/>
          </w:tcPr>
          <w:p w14:paraId="64DDC26C" w14:textId="77777777" w:rsidR="00DD5CEF" w:rsidRDefault="00DD5CEF" w:rsidP="009E792B">
            <w:r>
              <w:t>PI</w:t>
            </w:r>
          </w:p>
        </w:tc>
        <w:tc>
          <w:tcPr>
            <w:tcW w:w="6911" w:type="dxa"/>
          </w:tcPr>
          <w:p w14:paraId="2A788E3D" w14:textId="77777777" w:rsidR="00DD5CEF" w:rsidRPr="0041509C" w:rsidRDefault="00DD5CEF" w:rsidP="009E792B">
            <w:pPr>
              <w:rPr>
                <w:lang w:eastAsia="ja-JP"/>
              </w:rPr>
            </w:pPr>
            <w:r>
              <w:rPr>
                <w:lang w:eastAsia="ja-JP"/>
              </w:rPr>
              <w:t>Product Information</w:t>
            </w:r>
          </w:p>
        </w:tc>
      </w:tr>
      <w:tr w:rsidR="00C36BCC" w:rsidRPr="00FD119B" w14:paraId="4FB0C574" w14:textId="77777777" w:rsidTr="00FD119B">
        <w:tc>
          <w:tcPr>
            <w:tcW w:w="1809" w:type="dxa"/>
          </w:tcPr>
          <w:p w14:paraId="660CD757" w14:textId="74405E77" w:rsidR="00C36BCC" w:rsidRDefault="00C36BCC" w:rsidP="009E792B">
            <w:r>
              <w:t>PK</w:t>
            </w:r>
          </w:p>
        </w:tc>
        <w:tc>
          <w:tcPr>
            <w:tcW w:w="6911" w:type="dxa"/>
          </w:tcPr>
          <w:p w14:paraId="15AE02DE" w14:textId="2CCC9CE6" w:rsidR="00C36BCC" w:rsidRDefault="00C36BCC" w:rsidP="009E792B">
            <w:pPr>
              <w:rPr>
                <w:lang w:eastAsia="ja-JP"/>
              </w:rPr>
            </w:pPr>
            <w:r>
              <w:rPr>
                <w:lang w:eastAsia="ja-JP"/>
              </w:rPr>
              <w:t>Pharmacokinetics</w:t>
            </w:r>
          </w:p>
        </w:tc>
      </w:tr>
      <w:tr w:rsidR="00DD5CEF" w:rsidRPr="00FD119B" w14:paraId="0CF68A41" w14:textId="77777777" w:rsidTr="00FD119B">
        <w:tc>
          <w:tcPr>
            <w:tcW w:w="1809" w:type="dxa"/>
          </w:tcPr>
          <w:p w14:paraId="192B14D3" w14:textId="77777777" w:rsidR="00DD5CEF" w:rsidRDefault="00DD5CEF" w:rsidP="002C4BD4">
            <w:r>
              <w:t>PP</w:t>
            </w:r>
          </w:p>
        </w:tc>
        <w:tc>
          <w:tcPr>
            <w:tcW w:w="6911" w:type="dxa"/>
          </w:tcPr>
          <w:p w14:paraId="24CAA3B1" w14:textId="5E30C57F" w:rsidR="00DD5CEF" w:rsidRDefault="00DD5CEF" w:rsidP="002C4BD4">
            <w:pPr>
              <w:rPr>
                <w:lang w:eastAsia="ja-JP"/>
              </w:rPr>
            </w:pPr>
            <w:r>
              <w:rPr>
                <w:lang w:eastAsia="ja-JP"/>
              </w:rPr>
              <w:t>Per protocol</w:t>
            </w:r>
          </w:p>
        </w:tc>
      </w:tr>
      <w:tr w:rsidR="00DD5CEF" w:rsidRPr="00FD119B" w14:paraId="48786C6D" w14:textId="77777777" w:rsidTr="00FD119B">
        <w:tc>
          <w:tcPr>
            <w:tcW w:w="1809" w:type="dxa"/>
          </w:tcPr>
          <w:p w14:paraId="6922A7FE" w14:textId="77777777" w:rsidR="00DD5CEF" w:rsidRDefault="00DD5CEF" w:rsidP="002C4BD4">
            <w:r>
              <w:t>PPS</w:t>
            </w:r>
          </w:p>
        </w:tc>
        <w:tc>
          <w:tcPr>
            <w:tcW w:w="6911" w:type="dxa"/>
          </w:tcPr>
          <w:p w14:paraId="7193A6F1" w14:textId="101593DF" w:rsidR="00DD5CEF" w:rsidRDefault="00DD5CEF" w:rsidP="002C4BD4">
            <w:pPr>
              <w:rPr>
                <w:lang w:eastAsia="ja-JP"/>
              </w:rPr>
            </w:pPr>
            <w:r>
              <w:rPr>
                <w:lang w:eastAsia="ja-JP"/>
              </w:rPr>
              <w:t>Per protocol population</w:t>
            </w:r>
          </w:p>
        </w:tc>
      </w:tr>
      <w:tr w:rsidR="00DD5CEF" w:rsidRPr="00FD119B" w14:paraId="32221F7C" w14:textId="77777777" w:rsidTr="00FD119B">
        <w:tc>
          <w:tcPr>
            <w:tcW w:w="1809" w:type="dxa"/>
          </w:tcPr>
          <w:p w14:paraId="6A468095" w14:textId="77777777" w:rsidR="00DD5CEF" w:rsidRDefault="00DD5CEF" w:rsidP="002C4BD4">
            <w:r>
              <w:t>PSUR</w:t>
            </w:r>
          </w:p>
        </w:tc>
        <w:tc>
          <w:tcPr>
            <w:tcW w:w="6911" w:type="dxa"/>
          </w:tcPr>
          <w:p w14:paraId="2DBFCCD7" w14:textId="26D699B8" w:rsidR="00DD5CEF" w:rsidRDefault="00DD5CEF" w:rsidP="002C4BD4">
            <w:pPr>
              <w:rPr>
                <w:lang w:eastAsia="ja-JP"/>
              </w:rPr>
            </w:pPr>
            <w:r>
              <w:rPr>
                <w:lang w:eastAsia="ja-JP"/>
              </w:rPr>
              <w:t>Periodic safety update report</w:t>
            </w:r>
          </w:p>
        </w:tc>
      </w:tr>
      <w:tr w:rsidR="00DD5CEF" w:rsidRPr="00FD119B" w14:paraId="3EAABA31" w14:textId="77777777" w:rsidTr="00FD119B">
        <w:tc>
          <w:tcPr>
            <w:tcW w:w="1809" w:type="dxa"/>
          </w:tcPr>
          <w:p w14:paraId="621EA78B" w14:textId="77777777" w:rsidR="00DD5CEF" w:rsidRDefault="00DD5CEF" w:rsidP="002C4BD4">
            <w:r>
              <w:t>Q3W</w:t>
            </w:r>
          </w:p>
        </w:tc>
        <w:tc>
          <w:tcPr>
            <w:tcW w:w="6911" w:type="dxa"/>
          </w:tcPr>
          <w:p w14:paraId="4D0E74FC" w14:textId="11D3FB2B" w:rsidR="00DD5CEF" w:rsidRDefault="00DD5CEF" w:rsidP="002C4BD4">
            <w:pPr>
              <w:rPr>
                <w:lang w:eastAsia="ja-JP"/>
              </w:rPr>
            </w:pPr>
            <w:r>
              <w:rPr>
                <w:lang w:eastAsia="ja-JP"/>
              </w:rPr>
              <w:t>Every three weeks</w:t>
            </w:r>
          </w:p>
        </w:tc>
      </w:tr>
      <w:tr w:rsidR="00DD5CEF" w:rsidRPr="00FD119B" w14:paraId="42934711" w14:textId="77777777" w:rsidTr="00FD119B">
        <w:tc>
          <w:tcPr>
            <w:tcW w:w="1809" w:type="dxa"/>
          </w:tcPr>
          <w:p w14:paraId="36B5D10E" w14:textId="77777777" w:rsidR="00DD5CEF" w:rsidRDefault="00DD5CEF" w:rsidP="002C4BD4">
            <w:r>
              <w:t>RECIST</w:t>
            </w:r>
          </w:p>
        </w:tc>
        <w:tc>
          <w:tcPr>
            <w:tcW w:w="6911" w:type="dxa"/>
          </w:tcPr>
          <w:p w14:paraId="7821C519" w14:textId="77777777" w:rsidR="00DD5CEF" w:rsidRDefault="00DD5CEF" w:rsidP="002C4BD4">
            <w:pPr>
              <w:rPr>
                <w:lang w:eastAsia="ja-JP"/>
              </w:rPr>
            </w:pPr>
            <w:r>
              <w:rPr>
                <w:lang w:eastAsia="ja-JP"/>
              </w:rPr>
              <w:t xml:space="preserve">Response evaluation criteria in solid tumours </w:t>
            </w:r>
          </w:p>
        </w:tc>
      </w:tr>
      <w:tr w:rsidR="00DD5CEF" w:rsidRPr="00FD119B" w14:paraId="3C474C16" w14:textId="77777777" w:rsidTr="00FD119B">
        <w:tc>
          <w:tcPr>
            <w:tcW w:w="1809" w:type="dxa"/>
          </w:tcPr>
          <w:p w14:paraId="271A421A" w14:textId="77777777" w:rsidR="00DD5CEF" w:rsidRDefault="00DD5CEF" w:rsidP="002C4BD4">
            <w:r>
              <w:t>RMP</w:t>
            </w:r>
          </w:p>
        </w:tc>
        <w:tc>
          <w:tcPr>
            <w:tcW w:w="6911" w:type="dxa"/>
          </w:tcPr>
          <w:p w14:paraId="35669AA4" w14:textId="0C575380" w:rsidR="00DD5CEF" w:rsidRDefault="00DD5CEF" w:rsidP="002C4BD4">
            <w:pPr>
              <w:rPr>
                <w:lang w:eastAsia="ja-JP"/>
              </w:rPr>
            </w:pPr>
            <w:r>
              <w:rPr>
                <w:lang w:eastAsia="ja-JP"/>
              </w:rPr>
              <w:t>Risk management plan</w:t>
            </w:r>
          </w:p>
        </w:tc>
      </w:tr>
      <w:tr w:rsidR="00DD5CEF" w:rsidRPr="00FD119B" w14:paraId="1C65DC61" w14:textId="77777777" w:rsidTr="00FD119B">
        <w:tc>
          <w:tcPr>
            <w:tcW w:w="1809" w:type="dxa"/>
          </w:tcPr>
          <w:p w14:paraId="163EBEE9" w14:textId="77777777" w:rsidR="00DD5CEF" w:rsidRDefault="00DD5CEF" w:rsidP="00DD5CEF">
            <w:r>
              <w:t>RR</w:t>
            </w:r>
          </w:p>
        </w:tc>
        <w:tc>
          <w:tcPr>
            <w:tcW w:w="6911" w:type="dxa"/>
          </w:tcPr>
          <w:p w14:paraId="002EBF19" w14:textId="77777777" w:rsidR="00DD5CEF" w:rsidRDefault="00DD5CEF" w:rsidP="00DD5CEF">
            <w:pPr>
              <w:rPr>
                <w:lang w:eastAsia="ja-JP"/>
              </w:rPr>
            </w:pPr>
            <w:r>
              <w:rPr>
                <w:lang w:eastAsia="ja-JP"/>
              </w:rPr>
              <w:t>Risk ratio</w:t>
            </w:r>
          </w:p>
        </w:tc>
      </w:tr>
      <w:tr w:rsidR="00DD5CEF" w:rsidRPr="00FD119B" w14:paraId="5A278903" w14:textId="77777777" w:rsidTr="00FD119B">
        <w:tc>
          <w:tcPr>
            <w:tcW w:w="1809" w:type="dxa"/>
          </w:tcPr>
          <w:p w14:paraId="0AC434DC" w14:textId="77777777" w:rsidR="00DD5CEF" w:rsidRDefault="00DD5CEF" w:rsidP="002C4BD4">
            <w:r>
              <w:t>SAF</w:t>
            </w:r>
          </w:p>
        </w:tc>
        <w:tc>
          <w:tcPr>
            <w:tcW w:w="6911" w:type="dxa"/>
          </w:tcPr>
          <w:p w14:paraId="242C7F97" w14:textId="0D2B15CB" w:rsidR="00DD5CEF" w:rsidRDefault="00DD5CEF" w:rsidP="002C4BD4">
            <w:pPr>
              <w:rPr>
                <w:lang w:eastAsia="ja-JP"/>
              </w:rPr>
            </w:pPr>
            <w:r>
              <w:rPr>
                <w:lang w:eastAsia="ja-JP"/>
              </w:rPr>
              <w:t>Safety analysis population</w:t>
            </w:r>
          </w:p>
        </w:tc>
      </w:tr>
      <w:tr w:rsidR="00DD5CEF" w:rsidRPr="00FD119B" w14:paraId="4F95E81D" w14:textId="77777777" w:rsidTr="00FD119B">
        <w:tc>
          <w:tcPr>
            <w:tcW w:w="1809" w:type="dxa"/>
          </w:tcPr>
          <w:p w14:paraId="39C02B08" w14:textId="77777777" w:rsidR="00DD5CEF" w:rsidRDefault="00DD5CEF" w:rsidP="002C4BD4">
            <w:r>
              <w:t>TEAE</w:t>
            </w:r>
          </w:p>
        </w:tc>
        <w:tc>
          <w:tcPr>
            <w:tcW w:w="6911" w:type="dxa"/>
          </w:tcPr>
          <w:p w14:paraId="1C3F9DD0" w14:textId="2FCDE678" w:rsidR="00DD5CEF" w:rsidRDefault="00DD5CEF" w:rsidP="002C4BD4">
            <w:pPr>
              <w:rPr>
                <w:lang w:eastAsia="ja-JP"/>
              </w:rPr>
            </w:pPr>
            <w:r>
              <w:rPr>
                <w:lang w:eastAsia="ja-JP"/>
              </w:rPr>
              <w:t>Treatment emergent adverse event</w:t>
            </w:r>
          </w:p>
        </w:tc>
      </w:tr>
      <w:tr w:rsidR="00DD5CEF" w:rsidRPr="00FD119B" w14:paraId="3CECE400" w14:textId="77777777" w:rsidTr="00FD119B">
        <w:tc>
          <w:tcPr>
            <w:tcW w:w="1809" w:type="dxa"/>
          </w:tcPr>
          <w:p w14:paraId="44F6792D" w14:textId="1A3CA06C" w:rsidR="00DD5CEF" w:rsidRDefault="00DD5CEF" w:rsidP="002C4BD4">
            <w:r>
              <w:t>US</w:t>
            </w:r>
            <w:r w:rsidR="0066785F">
              <w:t>(A)</w:t>
            </w:r>
          </w:p>
        </w:tc>
        <w:tc>
          <w:tcPr>
            <w:tcW w:w="6911" w:type="dxa"/>
          </w:tcPr>
          <w:p w14:paraId="3E93889E" w14:textId="6DA46977" w:rsidR="00DD5CEF" w:rsidRPr="0041509C" w:rsidRDefault="00DD5CEF" w:rsidP="002C4BD4">
            <w:pPr>
              <w:rPr>
                <w:lang w:eastAsia="ja-JP"/>
              </w:rPr>
            </w:pPr>
            <w:r>
              <w:rPr>
                <w:lang w:eastAsia="ja-JP"/>
              </w:rPr>
              <w:t xml:space="preserve">United States </w:t>
            </w:r>
            <w:r w:rsidR="003124FD">
              <w:rPr>
                <w:lang w:eastAsia="ja-JP"/>
              </w:rPr>
              <w:t>(</w:t>
            </w:r>
            <w:r>
              <w:rPr>
                <w:lang w:eastAsia="ja-JP"/>
              </w:rPr>
              <w:t>of America</w:t>
            </w:r>
            <w:r w:rsidR="003124FD">
              <w:rPr>
                <w:lang w:eastAsia="ja-JP"/>
              </w:rPr>
              <w:t>)</w:t>
            </w:r>
          </w:p>
        </w:tc>
      </w:tr>
      <w:tr w:rsidR="00DD5CEF" w:rsidRPr="00FD119B" w14:paraId="3E459161" w14:textId="77777777" w:rsidTr="00FD119B">
        <w:tc>
          <w:tcPr>
            <w:tcW w:w="1809" w:type="dxa"/>
          </w:tcPr>
          <w:p w14:paraId="66F39C3B" w14:textId="77777777" w:rsidR="00DD5CEF" w:rsidRPr="00FD119B" w:rsidRDefault="00DD5CEF" w:rsidP="002C4BD4">
            <w:r>
              <w:t>VEGF</w:t>
            </w:r>
          </w:p>
        </w:tc>
        <w:tc>
          <w:tcPr>
            <w:tcW w:w="6911" w:type="dxa"/>
          </w:tcPr>
          <w:p w14:paraId="2ABD612C" w14:textId="090F4B29" w:rsidR="00DD5CEF" w:rsidRPr="00FD119B" w:rsidRDefault="00DD5CEF" w:rsidP="002C4BD4">
            <w:r>
              <w:rPr>
                <w:lang w:eastAsia="ja-JP"/>
              </w:rPr>
              <w:t>V</w:t>
            </w:r>
            <w:r w:rsidRPr="0041509C">
              <w:rPr>
                <w:lang w:eastAsia="ja-JP"/>
              </w:rPr>
              <w:t>ascular endothelial growth factor</w:t>
            </w:r>
          </w:p>
        </w:tc>
      </w:tr>
    </w:tbl>
    <w:p w14:paraId="3B54B003" w14:textId="77777777" w:rsidR="008E7846" w:rsidRDefault="00F53C07" w:rsidP="009E6E79">
      <w:pPr>
        <w:pStyle w:val="Heading2"/>
        <w:pageBreakBefore/>
        <w:spacing w:before="0"/>
      </w:pPr>
      <w:bookmarkStart w:id="9" w:name="_Toc57130850"/>
      <w:r>
        <w:lastRenderedPageBreak/>
        <w:t>I.</w:t>
      </w:r>
      <w:r w:rsidR="008E7846">
        <w:t xml:space="preserve"> Introduction to product submission</w:t>
      </w:r>
      <w:bookmarkEnd w:id="9"/>
      <w:bookmarkEnd w:id="3"/>
      <w:bookmarkEnd w:id="0"/>
    </w:p>
    <w:p w14:paraId="3AF12C72" w14:textId="77777777" w:rsidR="008E7846" w:rsidRDefault="008E7846" w:rsidP="008E7846">
      <w:pPr>
        <w:pStyle w:val="Heading3"/>
        <w:rPr>
          <w:lang w:eastAsia="en-AU"/>
        </w:rPr>
      </w:pPr>
      <w:bookmarkStart w:id="10" w:name="_Toc247691502"/>
      <w:bookmarkStart w:id="11" w:name="_Toc314842483"/>
      <w:bookmarkStart w:id="12" w:name="_Toc5713085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7F126FA3" w14:textId="77777777" w:rsidTr="003735BC">
        <w:tc>
          <w:tcPr>
            <w:tcW w:w="2907" w:type="dxa"/>
          </w:tcPr>
          <w:p w14:paraId="5142E495"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E4819CC" w14:textId="4F468167" w:rsidR="008E7846" w:rsidRPr="003D1E62" w:rsidRDefault="005B1E7E" w:rsidP="001B5C90">
            <w:r>
              <w:t xml:space="preserve">New </w:t>
            </w:r>
            <w:r w:rsidR="00CD7EC8">
              <w:t>b</w:t>
            </w:r>
            <w:r>
              <w:t>iosimilar</w:t>
            </w:r>
            <w:r w:rsidR="00CD7EC8">
              <w:t xml:space="preserve"> medicine</w:t>
            </w:r>
          </w:p>
        </w:tc>
      </w:tr>
      <w:tr w:rsidR="00460036" w:rsidRPr="003D1E62" w14:paraId="78B71960" w14:textId="77777777" w:rsidTr="003735BC">
        <w:tc>
          <w:tcPr>
            <w:tcW w:w="2907" w:type="dxa"/>
          </w:tcPr>
          <w:p w14:paraId="0151B9D4" w14:textId="19058D74" w:rsidR="00460036" w:rsidRPr="003D1E62" w:rsidRDefault="00460036" w:rsidP="003D1E62">
            <w:pPr>
              <w:rPr>
                <w:i/>
              </w:rPr>
            </w:pPr>
            <w:r w:rsidRPr="00460036">
              <w:rPr>
                <w:i/>
              </w:rPr>
              <w:t>Product name:</w:t>
            </w:r>
          </w:p>
        </w:tc>
        <w:tc>
          <w:tcPr>
            <w:tcW w:w="6307" w:type="dxa"/>
          </w:tcPr>
          <w:p w14:paraId="3752A600" w14:textId="0484AE1A" w:rsidR="00460036" w:rsidRPr="003D1E62" w:rsidRDefault="00FF2F8F" w:rsidP="001B5C90">
            <w:r>
              <w:t>Mvasi</w:t>
            </w:r>
          </w:p>
        </w:tc>
      </w:tr>
      <w:tr w:rsidR="00460036" w:rsidRPr="003D1E62" w14:paraId="1EA88CAE" w14:textId="77777777" w:rsidTr="003735BC">
        <w:tc>
          <w:tcPr>
            <w:tcW w:w="2907" w:type="dxa"/>
          </w:tcPr>
          <w:p w14:paraId="23557934" w14:textId="05106313" w:rsidR="00460036" w:rsidRPr="003D1E62" w:rsidRDefault="00460036" w:rsidP="003D1E62">
            <w:pPr>
              <w:rPr>
                <w:i/>
              </w:rPr>
            </w:pPr>
            <w:r w:rsidRPr="00460036">
              <w:rPr>
                <w:i/>
              </w:rPr>
              <w:t>Active ingredient:</w:t>
            </w:r>
          </w:p>
        </w:tc>
        <w:tc>
          <w:tcPr>
            <w:tcW w:w="6307" w:type="dxa"/>
          </w:tcPr>
          <w:p w14:paraId="21178726" w14:textId="77777777" w:rsidR="00460036" w:rsidRPr="003D1E62" w:rsidRDefault="00987A32" w:rsidP="001B5C90">
            <w:r>
              <w:t>Bevacizumab</w:t>
            </w:r>
          </w:p>
        </w:tc>
      </w:tr>
      <w:tr w:rsidR="008E7846" w:rsidRPr="003D1E62" w14:paraId="548269DB" w14:textId="77777777" w:rsidTr="003735BC">
        <w:tc>
          <w:tcPr>
            <w:tcW w:w="2907" w:type="dxa"/>
          </w:tcPr>
          <w:p w14:paraId="4329BAD0" w14:textId="77777777" w:rsidR="008E7846" w:rsidRPr="003D1E62" w:rsidRDefault="008E7846" w:rsidP="003D1E62">
            <w:r w:rsidRPr="003D1E62">
              <w:rPr>
                <w:i/>
              </w:rPr>
              <w:t>Decision</w:t>
            </w:r>
            <w:r w:rsidRPr="003D1E62">
              <w:t>:</w:t>
            </w:r>
          </w:p>
        </w:tc>
        <w:tc>
          <w:tcPr>
            <w:tcW w:w="6307" w:type="dxa"/>
          </w:tcPr>
          <w:p w14:paraId="32F0A1F8" w14:textId="60B591C3" w:rsidR="008E7846" w:rsidRPr="003D1E62" w:rsidRDefault="00460036" w:rsidP="00987A32">
            <w:r w:rsidRPr="00460036">
              <w:t>Approved</w:t>
            </w:r>
          </w:p>
        </w:tc>
      </w:tr>
      <w:tr w:rsidR="008E7846" w:rsidRPr="003D1E62" w14:paraId="72A0F9D0" w14:textId="77777777" w:rsidTr="003735BC">
        <w:tc>
          <w:tcPr>
            <w:tcW w:w="2907" w:type="dxa"/>
          </w:tcPr>
          <w:p w14:paraId="2A23CA55"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3A15D534" w14:textId="77777777" w:rsidR="008E7846" w:rsidRPr="003D1E62" w:rsidRDefault="00987A32" w:rsidP="001B5C90">
            <w:r>
              <w:t>16 January 2019</w:t>
            </w:r>
          </w:p>
        </w:tc>
      </w:tr>
      <w:tr w:rsidR="00ED2922" w:rsidRPr="003D1E62" w14:paraId="508A7FE2" w14:textId="77777777" w:rsidTr="003735BC">
        <w:tc>
          <w:tcPr>
            <w:tcW w:w="2907" w:type="dxa"/>
          </w:tcPr>
          <w:p w14:paraId="249C9D2C" w14:textId="77777777" w:rsidR="00ED2922" w:rsidRPr="00441C3F" w:rsidRDefault="00ED2922" w:rsidP="001B5C90">
            <w:pPr>
              <w:rPr>
                <w:i/>
              </w:rPr>
            </w:pPr>
            <w:r w:rsidRPr="00441C3F">
              <w:rPr>
                <w:i/>
              </w:rPr>
              <w:t>Date of entry onto ARTG</w:t>
            </w:r>
            <w:r w:rsidR="00500337">
              <w:rPr>
                <w:i/>
              </w:rPr>
              <w:t>:</w:t>
            </w:r>
          </w:p>
        </w:tc>
        <w:tc>
          <w:tcPr>
            <w:tcW w:w="6307" w:type="dxa"/>
          </w:tcPr>
          <w:p w14:paraId="27465729" w14:textId="30A5D915" w:rsidR="00ED2922" w:rsidRPr="00441C3F" w:rsidRDefault="00CD7EC8" w:rsidP="00D153D8">
            <w:pPr>
              <w:rPr>
                <w:i/>
              </w:rPr>
            </w:pPr>
            <w:r>
              <w:t>30 June</w:t>
            </w:r>
            <w:r w:rsidR="00987A32">
              <w:t xml:space="preserve"> 2020</w:t>
            </w:r>
          </w:p>
        </w:tc>
      </w:tr>
      <w:tr w:rsidR="00500337" w:rsidRPr="003D1E62" w14:paraId="45190651" w14:textId="77777777" w:rsidTr="003735BC">
        <w:tc>
          <w:tcPr>
            <w:tcW w:w="2907" w:type="dxa"/>
          </w:tcPr>
          <w:p w14:paraId="6C58DF95" w14:textId="568BBB6D" w:rsidR="00500337" w:rsidRPr="00441C3F" w:rsidRDefault="00500337" w:rsidP="001B5C90">
            <w:pPr>
              <w:rPr>
                <w:i/>
              </w:rPr>
            </w:pPr>
            <w:r>
              <w:rPr>
                <w:i/>
              </w:rPr>
              <w:t>ARTG numbers:</w:t>
            </w:r>
          </w:p>
        </w:tc>
        <w:tc>
          <w:tcPr>
            <w:tcW w:w="6307" w:type="dxa"/>
          </w:tcPr>
          <w:p w14:paraId="28865935" w14:textId="77777777" w:rsidR="00500337" w:rsidRPr="00441C3F" w:rsidRDefault="00987A32" w:rsidP="00EC463D">
            <w:r>
              <w:t>297455, 297456</w:t>
            </w:r>
          </w:p>
        </w:tc>
      </w:tr>
      <w:tr w:rsidR="003735BC" w:rsidRPr="003D1E62" w14:paraId="0CA2A33B" w14:textId="77777777" w:rsidTr="003735BC">
        <w:tc>
          <w:tcPr>
            <w:tcW w:w="2907" w:type="dxa"/>
          </w:tcPr>
          <w:p w14:paraId="6C1436E0"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bookmarkStart w:id="13" w:name="_Ref52364663"/>
            <w:r w:rsidR="00460036">
              <w:rPr>
                <w:rStyle w:val="FootnoteReference"/>
                <w:i/>
              </w:rPr>
              <w:footnoteReference w:id="1"/>
            </w:r>
            <w:bookmarkEnd w:id="13"/>
          </w:p>
        </w:tc>
        <w:tc>
          <w:tcPr>
            <w:tcW w:w="6307" w:type="dxa"/>
          </w:tcPr>
          <w:p w14:paraId="75F9D664" w14:textId="6B81FFD7" w:rsidR="003735BC" w:rsidRPr="00487162" w:rsidRDefault="003735BC" w:rsidP="003735BC">
            <w:r>
              <w:t>No</w:t>
            </w:r>
          </w:p>
        </w:tc>
      </w:tr>
    </w:tbl>
    <w:p w14:paraId="565CCD4C"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66376892" w14:textId="77777777" w:rsidTr="00BF1190">
        <w:tc>
          <w:tcPr>
            <w:tcW w:w="2907" w:type="dxa"/>
          </w:tcPr>
          <w:p w14:paraId="413CC5A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6D333D01" w14:textId="1874758F" w:rsidR="007E5119" w:rsidRDefault="007E5119" w:rsidP="00E45619">
            <w:r>
              <w:t>Amgen Australia Pty Ltd</w:t>
            </w:r>
          </w:p>
          <w:p w14:paraId="231C47A9" w14:textId="77777777" w:rsidR="00A735C3" w:rsidRDefault="00A735C3" w:rsidP="00E45619">
            <w:r>
              <w:t>Level 7, 123 Epping Road,</w:t>
            </w:r>
          </w:p>
          <w:p w14:paraId="76CE5FA0" w14:textId="0378BBE6" w:rsidR="007E5119" w:rsidRPr="00487162" w:rsidRDefault="00A735C3" w:rsidP="00E45619">
            <w:r w:rsidRPr="00A735C3">
              <w:t>North Ryde, NSW 2113</w:t>
            </w:r>
          </w:p>
        </w:tc>
      </w:tr>
      <w:tr w:rsidR="008E7846" w:rsidRPr="00487162" w14:paraId="36625A02" w14:textId="77777777" w:rsidTr="00BF1190">
        <w:tc>
          <w:tcPr>
            <w:tcW w:w="2907" w:type="dxa"/>
          </w:tcPr>
          <w:p w14:paraId="76B39528" w14:textId="49CD17DB" w:rsidR="008E7846" w:rsidRPr="00487162" w:rsidRDefault="001B5C90" w:rsidP="00E45619">
            <w:pPr>
              <w:rPr>
                <w:i/>
              </w:rPr>
            </w:pPr>
            <w:r>
              <w:rPr>
                <w:i/>
              </w:rPr>
              <w:t>Dose form:</w:t>
            </w:r>
          </w:p>
        </w:tc>
        <w:tc>
          <w:tcPr>
            <w:tcW w:w="6307" w:type="dxa"/>
          </w:tcPr>
          <w:p w14:paraId="626E23DA" w14:textId="4A13E653" w:rsidR="008E7846" w:rsidRPr="00487162" w:rsidRDefault="00CD7EC8" w:rsidP="00766A26">
            <w:r>
              <w:t>Concentrated injection</w:t>
            </w:r>
          </w:p>
        </w:tc>
      </w:tr>
      <w:tr w:rsidR="008E7846" w:rsidRPr="00487162" w14:paraId="33A7C0F5" w14:textId="77777777" w:rsidTr="00BF1190">
        <w:tc>
          <w:tcPr>
            <w:tcW w:w="2907" w:type="dxa"/>
          </w:tcPr>
          <w:p w14:paraId="7623C335" w14:textId="55355A46" w:rsidR="008E7846" w:rsidRPr="00487162" w:rsidRDefault="008E7846" w:rsidP="00E45619">
            <w:pPr>
              <w:rPr>
                <w:i/>
              </w:rPr>
            </w:pPr>
            <w:r w:rsidRPr="00487162">
              <w:rPr>
                <w:i/>
              </w:rPr>
              <w:t>Strengths:</w:t>
            </w:r>
          </w:p>
        </w:tc>
        <w:tc>
          <w:tcPr>
            <w:tcW w:w="6307" w:type="dxa"/>
          </w:tcPr>
          <w:p w14:paraId="5504C934" w14:textId="5A920512" w:rsidR="008E7846" w:rsidRPr="00487162" w:rsidRDefault="00766A26" w:rsidP="00E45619">
            <w:r>
              <w:t>100 mg/4 m</w:t>
            </w:r>
            <w:r w:rsidR="0080354F">
              <w:t>L</w:t>
            </w:r>
            <w:r>
              <w:t>, 400 mg/16 m</w:t>
            </w:r>
            <w:r w:rsidR="0080354F">
              <w:t>L</w:t>
            </w:r>
          </w:p>
        </w:tc>
      </w:tr>
      <w:tr w:rsidR="008E7846" w:rsidRPr="00487162" w14:paraId="7C97C31B" w14:textId="77777777" w:rsidTr="00BF1190">
        <w:tc>
          <w:tcPr>
            <w:tcW w:w="2907" w:type="dxa"/>
          </w:tcPr>
          <w:p w14:paraId="45A25484" w14:textId="2ED97BCD" w:rsidR="008E7846" w:rsidRPr="00487162" w:rsidRDefault="008E7846" w:rsidP="00E45619">
            <w:pPr>
              <w:rPr>
                <w:i/>
              </w:rPr>
            </w:pPr>
            <w:r w:rsidRPr="00487162">
              <w:rPr>
                <w:i/>
              </w:rPr>
              <w:t>Container:</w:t>
            </w:r>
          </w:p>
        </w:tc>
        <w:tc>
          <w:tcPr>
            <w:tcW w:w="6307" w:type="dxa"/>
          </w:tcPr>
          <w:p w14:paraId="7F9119CD" w14:textId="686F2F67" w:rsidR="008E7846" w:rsidRPr="00487162" w:rsidRDefault="0080354F" w:rsidP="00E45619">
            <w:r>
              <w:t>Vial</w:t>
            </w:r>
          </w:p>
        </w:tc>
      </w:tr>
      <w:tr w:rsidR="008E7846" w:rsidRPr="00487162" w14:paraId="0AF1EF0B" w14:textId="77777777" w:rsidTr="00BF1190">
        <w:tc>
          <w:tcPr>
            <w:tcW w:w="2907" w:type="dxa"/>
          </w:tcPr>
          <w:p w14:paraId="6524E9E7" w14:textId="4F5A08D1" w:rsidR="008E7846" w:rsidRPr="00487162" w:rsidRDefault="008E7846" w:rsidP="00E45619">
            <w:pPr>
              <w:rPr>
                <w:i/>
              </w:rPr>
            </w:pPr>
            <w:r w:rsidRPr="00487162">
              <w:rPr>
                <w:i/>
              </w:rPr>
              <w:t>Pack size:</w:t>
            </w:r>
          </w:p>
        </w:tc>
        <w:tc>
          <w:tcPr>
            <w:tcW w:w="6307" w:type="dxa"/>
          </w:tcPr>
          <w:p w14:paraId="542E2FF0" w14:textId="4C1121B3" w:rsidR="008E7846" w:rsidRPr="00487162" w:rsidRDefault="0080354F" w:rsidP="005233BF">
            <w:r>
              <w:t>One vial</w:t>
            </w:r>
          </w:p>
        </w:tc>
      </w:tr>
      <w:tr w:rsidR="008E7846" w:rsidRPr="00487162" w14:paraId="17819F35" w14:textId="77777777" w:rsidTr="00BF1190">
        <w:tc>
          <w:tcPr>
            <w:tcW w:w="2907" w:type="dxa"/>
          </w:tcPr>
          <w:p w14:paraId="7E6C3F3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2DCA1DB" w14:textId="77777777" w:rsidR="00E54377" w:rsidRPr="00484F41" w:rsidRDefault="00E54377" w:rsidP="005233BF">
            <w:pPr>
              <w:rPr>
                <w:b/>
                <w:i/>
                <w:lang w:eastAsia="en-AU"/>
              </w:rPr>
            </w:pPr>
            <w:r w:rsidRPr="00484F41">
              <w:rPr>
                <w:b/>
                <w:i/>
                <w:lang w:eastAsia="en-AU"/>
              </w:rPr>
              <w:t>Metastatic colorectal cancer</w:t>
            </w:r>
          </w:p>
          <w:p w14:paraId="053A0ACE" w14:textId="77777777" w:rsidR="00E54377" w:rsidRPr="00484F41" w:rsidRDefault="00E54377" w:rsidP="005233BF">
            <w:pPr>
              <w:rPr>
                <w:i/>
                <w:lang w:eastAsia="en-AU"/>
              </w:rPr>
            </w:pPr>
            <w:r w:rsidRPr="00484F41">
              <w:rPr>
                <w:i/>
                <w:lang w:eastAsia="en-AU"/>
              </w:rPr>
              <w:t>Mvasi (bevacizumab) in combination with fluoropyrimidine-based chemotherapy is indicated for the treatment of patients with metastatic colorectal cancer.</w:t>
            </w:r>
          </w:p>
          <w:p w14:paraId="1EBD35D0" w14:textId="77777777" w:rsidR="00E54377" w:rsidRPr="00484F41" w:rsidRDefault="00E54377" w:rsidP="005233BF">
            <w:pPr>
              <w:rPr>
                <w:b/>
                <w:i/>
                <w:lang w:eastAsia="en-AU"/>
              </w:rPr>
            </w:pPr>
            <w:r w:rsidRPr="00484F41">
              <w:rPr>
                <w:b/>
                <w:i/>
                <w:lang w:eastAsia="en-AU"/>
              </w:rPr>
              <w:t>Locally recurrent or metastatic breast cancer</w:t>
            </w:r>
          </w:p>
          <w:p w14:paraId="5BC63025" w14:textId="77777777" w:rsidR="00E54377" w:rsidRPr="00484F41" w:rsidRDefault="00E54377" w:rsidP="005233BF">
            <w:pPr>
              <w:rPr>
                <w:i/>
                <w:lang w:eastAsia="en-AU"/>
              </w:rPr>
            </w:pPr>
            <w:r w:rsidRPr="00484F41">
              <w:rPr>
                <w:i/>
                <w:lang w:eastAsia="en-AU"/>
              </w:rPr>
              <w:t>Mvasi (bevacizumab) in combination with paclitaxel is indicated for the first-line treatment of metastatic breast cancer in patients in whom an anthracycline-based therapy is contraindicated. (see section 5.1 Pharmacodynamic properties, Clinical trials).</w:t>
            </w:r>
          </w:p>
          <w:p w14:paraId="5D31F580" w14:textId="77777777" w:rsidR="00E54377" w:rsidRPr="00484F41" w:rsidRDefault="00E54377" w:rsidP="005233BF">
            <w:pPr>
              <w:rPr>
                <w:b/>
                <w:i/>
                <w:lang w:eastAsia="en-AU"/>
              </w:rPr>
            </w:pPr>
            <w:r w:rsidRPr="00484F41">
              <w:rPr>
                <w:b/>
                <w:i/>
                <w:lang w:eastAsia="en-AU"/>
              </w:rPr>
              <w:t>Advanced, metastatic or recurrent non-squamous non-small cell lung cancer (NSCLC)</w:t>
            </w:r>
          </w:p>
          <w:p w14:paraId="60A40537" w14:textId="77777777" w:rsidR="00E54377" w:rsidRPr="00484F41" w:rsidRDefault="00E54377" w:rsidP="005233BF">
            <w:pPr>
              <w:rPr>
                <w:i/>
                <w:lang w:eastAsia="en-AU"/>
              </w:rPr>
            </w:pPr>
            <w:r w:rsidRPr="00484F41">
              <w:rPr>
                <w:i/>
                <w:lang w:eastAsia="en-AU"/>
              </w:rPr>
              <w:lastRenderedPageBreak/>
              <w:t>Mvasi (bevacizumab), in combination with carboplatin and paclitaxel, is indicated for first-line treatment of patients with unresectable advanced, metastatic or recurrent, non</w:t>
            </w:r>
            <w:r w:rsidRPr="00484F41">
              <w:rPr>
                <w:i/>
                <w:lang w:eastAsia="en-AU"/>
              </w:rPr>
              <w:noBreakHyphen/>
              <w:t>squamous, non-small cell lung cancer.</w:t>
            </w:r>
          </w:p>
          <w:p w14:paraId="0F690765" w14:textId="77777777" w:rsidR="00E54377" w:rsidRPr="00484F41" w:rsidRDefault="00E54377" w:rsidP="005233BF">
            <w:pPr>
              <w:rPr>
                <w:b/>
                <w:i/>
                <w:lang w:eastAsia="en-AU"/>
              </w:rPr>
            </w:pPr>
            <w:r w:rsidRPr="00484F41">
              <w:rPr>
                <w:b/>
                <w:i/>
                <w:lang w:eastAsia="en-AU"/>
              </w:rPr>
              <w:t>Advanced and/or metastatic renal cell cancer</w:t>
            </w:r>
          </w:p>
          <w:p w14:paraId="4B4D5D32" w14:textId="77777777" w:rsidR="00E54377" w:rsidRPr="00484F41" w:rsidRDefault="00E54377" w:rsidP="005233BF">
            <w:pPr>
              <w:rPr>
                <w:i/>
                <w:lang w:eastAsia="en-AU"/>
              </w:rPr>
            </w:pPr>
            <w:r w:rsidRPr="00484F41">
              <w:rPr>
                <w:i/>
                <w:lang w:eastAsia="en-AU"/>
              </w:rPr>
              <w:t>Mvasi (bevacizumab) in combination with interferon alfa-2a is indicated for treatment of patients with advanced and/or metastatic renal cell cancer.</w:t>
            </w:r>
          </w:p>
          <w:p w14:paraId="71FD2725" w14:textId="77777777" w:rsidR="00E54377" w:rsidRPr="00484F41" w:rsidRDefault="00E54377" w:rsidP="005233BF">
            <w:pPr>
              <w:rPr>
                <w:b/>
                <w:i/>
                <w:lang w:eastAsia="en-AU"/>
              </w:rPr>
            </w:pPr>
            <w:r w:rsidRPr="00484F41">
              <w:rPr>
                <w:b/>
                <w:i/>
                <w:lang w:eastAsia="en-AU"/>
              </w:rPr>
              <w:t>Grade IV glioma</w:t>
            </w:r>
          </w:p>
          <w:p w14:paraId="17D3AA6F" w14:textId="77777777" w:rsidR="00E54377" w:rsidRPr="00484F41" w:rsidRDefault="00E54377" w:rsidP="005233BF">
            <w:pPr>
              <w:rPr>
                <w:i/>
                <w:lang w:eastAsia="en-AU"/>
              </w:rPr>
            </w:pPr>
            <w:r w:rsidRPr="00484F41">
              <w:rPr>
                <w:i/>
                <w:lang w:eastAsia="en-AU"/>
              </w:rPr>
              <w:t>Mvasi (bevacizumab) as a single agent, is indicated for the treatment of patients with Grade IV glioma after relapse or disease progression after standard therapy, including chemotherapy.</w:t>
            </w:r>
          </w:p>
          <w:p w14:paraId="2E3E1EB2" w14:textId="77777777" w:rsidR="00E54377" w:rsidRPr="00484F41" w:rsidRDefault="00E54377" w:rsidP="005233BF">
            <w:pPr>
              <w:rPr>
                <w:b/>
                <w:i/>
                <w:lang w:eastAsia="en-AU"/>
              </w:rPr>
            </w:pPr>
            <w:r w:rsidRPr="00484F41">
              <w:rPr>
                <w:b/>
                <w:i/>
                <w:lang w:eastAsia="en-AU"/>
              </w:rPr>
              <w:t>Epithelial ovarian, fallopian tube or primary peritoneal cancer</w:t>
            </w:r>
          </w:p>
          <w:p w14:paraId="202C5940" w14:textId="77777777" w:rsidR="00E54377" w:rsidRPr="00484F41" w:rsidRDefault="00E54377" w:rsidP="005233BF">
            <w:pPr>
              <w:rPr>
                <w:i/>
                <w:lang w:eastAsia="en-AU"/>
              </w:rPr>
            </w:pPr>
            <w:r w:rsidRPr="00484F41">
              <w:rPr>
                <w:i/>
                <w:lang w:eastAsia="en-AU"/>
              </w:rPr>
              <w:t xml:space="preserve">Mvasi (bevacizumab) in combination with carboplatin and paclitaxel, is indicated for first-line treatment of patients with advanced </w:t>
            </w:r>
            <w:r w:rsidRPr="00484F41">
              <w:rPr>
                <w:i/>
              </w:rPr>
              <w:t>(FIGO stages IIIB, IIIC and IV)</w:t>
            </w:r>
            <w:r w:rsidRPr="00484F41">
              <w:rPr>
                <w:i/>
                <w:lang w:eastAsia="en-AU"/>
              </w:rPr>
              <w:t xml:space="preserve"> epithelial ovarian, fallopian tube, or primary peritoneal cancer.</w:t>
            </w:r>
          </w:p>
          <w:p w14:paraId="6068A3C5" w14:textId="77777777" w:rsidR="00E54377" w:rsidRPr="00484F41" w:rsidRDefault="00E54377" w:rsidP="005233BF">
            <w:pPr>
              <w:rPr>
                <w:b/>
                <w:i/>
                <w:lang w:eastAsia="en-AU"/>
              </w:rPr>
            </w:pPr>
            <w:r w:rsidRPr="00484F41">
              <w:rPr>
                <w:b/>
                <w:i/>
                <w:lang w:eastAsia="en-AU"/>
              </w:rPr>
              <w:t>Recurrent epithelial ovarian, fallopian tube or primary peritoneal cancer</w:t>
            </w:r>
          </w:p>
          <w:p w14:paraId="295FAD43" w14:textId="77777777" w:rsidR="00E54377" w:rsidRPr="00484F41" w:rsidRDefault="00E54377" w:rsidP="005233BF">
            <w:pPr>
              <w:rPr>
                <w:i/>
                <w:lang w:eastAsia="en-AU"/>
              </w:rPr>
            </w:pPr>
            <w:r w:rsidRPr="00484F41">
              <w:rPr>
                <w:i/>
                <w:lang w:eastAsia="en-AU"/>
              </w:rPr>
              <w:t xml:space="preserve">Mvasi (bevacizumab), in combination with carboplatin and paclitaxel or in combination with carboplatin and gemcitabine, is indicated for the treatment of patients with first recurrence of platinum-sensitive, epithelial ovarian, fallopian tube, or primary peritoneal cancer who have not </w:t>
            </w:r>
            <w:r w:rsidRPr="00484F41">
              <w:rPr>
                <w:i/>
              </w:rPr>
              <w:t>received prior bevacizumab or other VEGF-targeted angiogenesis</w:t>
            </w:r>
            <w:r w:rsidRPr="00484F41">
              <w:rPr>
                <w:i/>
                <w:lang w:eastAsia="en-AU"/>
              </w:rPr>
              <w:t xml:space="preserve"> inhibitors.</w:t>
            </w:r>
          </w:p>
          <w:p w14:paraId="56869E02" w14:textId="77777777" w:rsidR="00E54377" w:rsidRPr="00484F41" w:rsidRDefault="00E54377" w:rsidP="005233BF">
            <w:pPr>
              <w:rPr>
                <w:i/>
                <w:lang w:eastAsia="en-AU"/>
              </w:rPr>
            </w:pPr>
            <w:r w:rsidRPr="00484F41">
              <w:rPr>
                <w:i/>
                <w:lang w:eastAsia="en-AU"/>
              </w:rPr>
              <w:t>Mvasi (bevacizumab) in combination with paclitaxel, topotecan or pegylated liposomal doxorubicin is indicated for the treatment of patients with recurrent, platinum-resistant epithelial ovarian, fallopian tube, or primary peritoneal cancer who have received no more than two prior chemotherapy regimens, and have not received any prior anti-angiogenic therapy including bevacizumab.</w:t>
            </w:r>
          </w:p>
          <w:p w14:paraId="05689530" w14:textId="77777777" w:rsidR="00E54377" w:rsidRPr="00484F41" w:rsidRDefault="00E54377" w:rsidP="005233BF">
            <w:pPr>
              <w:rPr>
                <w:b/>
                <w:i/>
                <w:lang w:eastAsia="en-AU"/>
              </w:rPr>
            </w:pPr>
            <w:r w:rsidRPr="00484F41">
              <w:rPr>
                <w:b/>
                <w:i/>
                <w:lang w:eastAsia="en-AU"/>
              </w:rPr>
              <w:t>Cervical cancer</w:t>
            </w:r>
          </w:p>
          <w:p w14:paraId="4B36FC80" w14:textId="7E26B3D0" w:rsidR="00BD42B7" w:rsidRPr="00BD42B7" w:rsidRDefault="00E54377" w:rsidP="005233BF">
            <w:pPr>
              <w:rPr>
                <w:rFonts w:eastAsia="MS Mincho"/>
                <w:lang w:eastAsia="ja-JP"/>
              </w:rPr>
            </w:pPr>
            <w:r w:rsidRPr="00484F41">
              <w:rPr>
                <w:i/>
                <w:lang w:eastAsia="en-AU"/>
              </w:rPr>
              <w:t>Mvasi (bevacizumab) in combination with paclitaxel and cisplatin is indicated for the treatment of persistent, recurrent or metastatic carcinoma of the cervix. Mvasi (bevacizumab) in combination with paclitaxel and topotecan is an acceptable alternative where cisplatin is not tolerated or not indicated.</w:t>
            </w:r>
          </w:p>
        </w:tc>
      </w:tr>
      <w:tr w:rsidR="008E7846" w:rsidRPr="00487162" w14:paraId="3D8786B3" w14:textId="77777777" w:rsidTr="00BF1190">
        <w:tc>
          <w:tcPr>
            <w:tcW w:w="2907" w:type="dxa"/>
          </w:tcPr>
          <w:p w14:paraId="62C56C86" w14:textId="2DCD3BC2" w:rsidR="008E7846" w:rsidRPr="00487162" w:rsidRDefault="008E7846" w:rsidP="00E45619">
            <w:pPr>
              <w:rPr>
                <w:i/>
              </w:rPr>
            </w:pPr>
            <w:r w:rsidRPr="00487162">
              <w:rPr>
                <w:i/>
              </w:rPr>
              <w:lastRenderedPageBreak/>
              <w:t>Route of administration:</w:t>
            </w:r>
          </w:p>
        </w:tc>
        <w:tc>
          <w:tcPr>
            <w:tcW w:w="6307" w:type="dxa"/>
          </w:tcPr>
          <w:p w14:paraId="4AE13A54" w14:textId="357A4B6F" w:rsidR="008E7846" w:rsidRPr="00487162" w:rsidRDefault="00766A26" w:rsidP="00E45619">
            <w:r>
              <w:t xml:space="preserve">Intravenous </w:t>
            </w:r>
            <w:r w:rsidR="00E54377">
              <w:t>i</w:t>
            </w:r>
            <w:r>
              <w:t>nfusion</w:t>
            </w:r>
          </w:p>
        </w:tc>
      </w:tr>
      <w:tr w:rsidR="008E7846" w:rsidRPr="00487162" w14:paraId="5BF50B23" w14:textId="77777777" w:rsidTr="00BF1190">
        <w:tc>
          <w:tcPr>
            <w:tcW w:w="2907" w:type="dxa"/>
          </w:tcPr>
          <w:p w14:paraId="1347673C" w14:textId="77777777" w:rsidR="008E7846" w:rsidRPr="00487162" w:rsidRDefault="008E7846" w:rsidP="00E45619">
            <w:pPr>
              <w:rPr>
                <w:i/>
              </w:rPr>
            </w:pPr>
            <w:r w:rsidRPr="00487162">
              <w:rPr>
                <w:i/>
              </w:rPr>
              <w:t>Dosage:</w:t>
            </w:r>
          </w:p>
        </w:tc>
        <w:tc>
          <w:tcPr>
            <w:tcW w:w="6307" w:type="dxa"/>
          </w:tcPr>
          <w:p w14:paraId="53C5B286" w14:textId="77777777" w:rsidR="00E54377" w:rsidRPr="00484F41" w:rsidRDefault="00E54377" w:rsidP="0025264C">
            <w:r w:rsidRPr="00484F41">
              <w:t>In order to improve traceability of biological medicinal products, the trade name and the batch number of the administered product should be clearly recorded in the patient dispensing record.</w:t>
            </w:r>
          </w:p>
          <w:p w14:paraId="2FC7629E" w14:textId="79BBD6BD" w:rsidR="000D4BCC" w:rsidRPr="00484F41" w:rsidRDefault="00E54377" w:rsidP="0025264C">
            <w:r w:rsidRPr="00484F41">
              <w:t xml:space="preserve">Mvasi should be administered under the supervision of a physician experienced in the use of anti-neoplastic medicinal </w:t>
            </w:r>
            <w:r w:rsidRPr="00484F41">
              <w:lastRenderedPageBreak/>
              <w:t>products.</w:t>
            </w:r>
          </w:p>
          <w:p w14:paraId="3B7BCB20" w14:textId="542410BC" w:rsidR="00E54377" w:rsidRDefault="00E54377" w:rsidP="00E54377">
            <w:r w:rsidRPr="00484F41">
              <w:rPr>
                <w:rFonts w:eastAsia="Calibri"/>
              </w:rPr>
              <w:t>Dosage of Mvasi is based on multiple factors, including the type of cancer and the body weight of the patient.</w:t>
            </w:r>
          </w:p>
          <w:p w14:paraId="355012FC" w14:textId="2D15E195" w:rsidR="00460036" w:rsidRPr="00487162" w:rsidRDefault="00460036" w:rsidP="00467BA1">
            <w:r w:rsidRPr="00460036">
              <w:t>For further information regarding dosage, refer to the Product Information.</w:t>
            </w:r>
          </w:p>
        </w:tc>
      </w:tr>
      <w:tr w:rsidR="00460036" w:rsidRPr="00487162" w14:paraId="5DEAC0B9" w14:textId="77777777" w:rsidTr="00BF1190">
        <w:tc>
          <w:tcPr>
            <w:tcW w:w="2907" w:type="dxa"/>
          </w:tcPr>
          <w:p w14:paraId="62B92364" w14:textId="77777777" w:rsidR="00460036" w:rsidRPr="00487162" w:rsidRDefault="00460036" w:rsidP="00E45619">
            <w:pPr>
              <w:rPr>
                <w:i/>
              </w:rPr>
            </w:pPr>
            <w:r w:rsidRPr="00460036">
              <w:rPr>
                <w:i/>
              </w:rPr>
              <w:lastRenderedPageBreak/>
              <w:t>Pregnancy category</w:t>
            </w:r>
            <w:r>
              <w:rPr>
                <w:i/>
              </w:rPr>
              <w:t>:</w:t>
            </w:r>
          </w:p>
        </w:tc>
        <w:tc>
          <w:tcPr>
            <w:tcW w:w="6307" w:type="dxa"/>
          </w:tcPr>
          <w:p w14:paraId="738F9FD2" w14:textId="77777777" w:rsidR="00460036" w:rsidRPr="00467BA1" w:rsidRDefault="00467BA1" w:rsidP="005233BF">
            <w:r w:rsidRPr="00467BA1">
              <w:t>D</w:t>
            </w:r>
          </w:p>
          <w:p w14:paraId="67F33C17" w14:textId="77AC7659" w:rsidR="00467BA1" w:rsidRPr="00467BA1" w:rsidRDefault="00467BA1" w:rsidP="00467BA1">
            <w:r w:rsidRPr="00467BA1">
              <w:t xml:space="preserve">Drugs which have caused, are suspected to have caused or may be expected to cause, an increased incidence of human </w:t>
            </w:r>
            <w:r w:rsidR="009C2208" w:rsidRPr="00467BA1">
              <w:t>foetal</w:t>
            </w:r>
            <w:r w:rsidRPr="00467BA1">
              <w:t xml:space="preserve"> malformations or irreversible damage. These drugs may also have adverse pharmacological effects. Accompanying texts should be consulted for further details.</w:t>
            </w:r>
          </w:p>
          <w:p w14:paraId="51F277CC" w14:textId="2E453D3A"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B051C18" w14:textId="6589B5B3" w:rsidR="008E7846" w:rsidRDefault="008E7846" w:rsidP="008E7846">
      <w:pPr>
        <w:pStyle w:val="Heading3"/>
      </w:pPr>
      <w:bookmarkStart w:id="14" w:name="_Toc247691503"/>
      <w:bookmarkStart w:id="15" w:name="_Toc314842484"/>
      <w:bookmarkStart w:id="16" w:name="_Toc57130852"/>
      <w:r>
        <w:t>Product background</w:t>
      </w:r>
      <w:bookmarkEnd w:id="14"/>
      <w:bookmarkEnd w:id="15"/>
      <w:bookmarkEnd w:id="16"/>
    </w:p>
    <w:p w14:paraId="3E13C705" w14:textId="7EF8DF32" w:rsidR="008E7846" w:rsidRDefault="00250271" w:rsidP="00940A89">
      <w:r w:rsidRPr="00250271">
        <w:t xml:space="preserve">This AusPAR describes the application by </w:t>
      </w:r>
      <w:r w:rsidR="00A81F9C">
        <w:t xml:space="preserve">Amgen Australia Pty Ltd (the sponsor) to register </w:t>
      </w:r>
      <w:r w:rsidR="00FF2F8F">
        <w:t>Mvasi</w:t>
      </w:r>
      <w:r w:rsidRPr="00250271">
        <w:t xml:space="preserve"> (</w:t>
      </w:r>
      <w:r w:rsidR="00A81F9C">
        <w:t>bevacizumab</w:t>
      </w:r>
      <w:r w:rsidRPr="00250271">
        <w:t xml:space="preserve">) </w:t>
      </w:r>
      <w:r w:rsidR="00A81F9C">
        <w:t>100 mg/4 m</w:t>
      </w:r>
      <w:r w:rsidR="00E54377">
        <w:t>L</w:t>
      </w:r>
      <w:r w:rsidR="00A81F9C">
        <w:t xml:space="preserve"> and 400 mg/16 m</w:t>
      </w:r>
      <w:r w:rsidR="00E54377">
        <w:t>L</w:t>
      </w:r>
      <w:r w:rsidR="00A81F9C">
        <w:t xml:space="preserve"> concentrated injection</w:t>
      </w:r>
      <w:r w:rsidR="00561672">
        <w:t xml:space="preserve"> </w:t>
      </w:r>
      <w:r w:rsidRPr="00250271">
        <w:t>for the following proposed indication</w:t>
      </w:r>
      <w:r w:rsidR="005233BF">
        <w:t>s</w:t>
      </w:r>
      <w:r w:rsidR="00CF5DAD">
        <w:t>:</w:t>
      </w:r>
    </w:p>
    <w:p w14:paraId="40DD27B1" w14:textId="77777777" w:rsidR="003831E4" w:rsidRPr="00484F41" w:rsidRDefault="003831E4" w:rsidP="005233BF">
      <w:pPr>
        <w:ind w:left="720"/>
        <w:rPr>
          <w:b/>
          <w:i/>
          <w:lang w:eastAsia="en-AU"/>
        </w:rPr>
      </w:pPr>
      <w:r w:rsidRPr="00484F41">
        <w:rPr>
          <w:b/>
          <w:i/>
          <w:lang w:eastAsia="en-AU"/>
        </w:rPr>
        <w:t>Metastatic colorectal cancer</w:t>
      </w:r>
    </w:p>
    <w:p w14:paraId="7F487F39" w14:textId="77777777" w:rsidR="003831E4" w:rsidRPr="00484F41" w:rsidRDefault="003831E4" w:rsidP="005233BF">
      <w:pPr>
        <w:ind w:left="720"/>
        <w:rPr>
          <w:i/>
          <w:lang w:eastAsia="en-AU"/>
        </w:rPr>
      </w:pPr>
      <w:r w:rsidRPr="00484F41">
        <w:rPr>
          <w:i/>
          <w:lang w:eastAsia="en-AU"/>
        </w:rPr>
        <w:t>Mvasi (bevacizumab) in combination with fluoropyrimidine-based chemotherapy is indicated for the treatment of patients with metastatic colorectal cancer.</w:t>
      </w:r>
    </w:p>
    <w:p w14:paraId="1B45AA51" w14:textId="77777777" w:rsidR="003831E4" w:rsidRPr="00484F41" w:rsidRDefault="003831E4" w:rsidP="005233BF">
      <w:pPr>
        <w:ind w:left="720"/>
        <w:rPr>
          <w:b/>
          <w:i/>
          <w:lang w:eastAsia="en-AU"/>
        </w:rPr>
      </w:pPr>
      <w:r w:rsidRPr="00484F41">
        <w:rPr>
          <w:b/>
          <w:i/>
          <w:lang w:eastAsia="en-AU"/>
        </w:rPr>
        <w:t>Locally recurrent or metastatic breast cancer</w:t>
      </w:r>
    </w:p>
    <w:p w14:paraId="5AA39B99" w14:textId="77777777" w:rsidR="003831E4" w:rsidRPr="00484F41" w:rsidRDefault="003831E4" w:rsidP="005233BF">
      <w:pPr>
        <w:ind w:left="720"/>
        <w:rPr>
          <w:i/>
          <w:lang w:eastAsia="en-AU"/>
        </w:rPr>
      </w:pPr>
      <w:r w:rsidRPr="00484F41">
        <w:rPr>
          <w:i/>
          <w:lang w:eastAsia="en-AU"/>
        </w:rPr>
        <w:t>Mvasi (bevacizumab) in combination with paclitaxel is indicated for the first-line treatment of metastatic breast cancer in patients in whom an anthracycline-based therapy is contraindicated. (see section 5.1 Pharmacodynamic properties, Clinical trials).</w:t>
      </w:r>
    </w:p>
    <w:p w14:paraId="519522EF" w14:textId="77777777" w:rsidR="003831E4" w:rsidRPr="00484F41" w:rsidRDefault="003831E4" w:rsidP="005233BF">
      <w:pPr>
        <w:ind w:left="720"/>
        <w:rPr>
          <w:b/>
          <w:i/>
          <w:lang w:eastAsia="en-AU"/>
        </w:rPr>
      </w:pPr>
      <w:r w:rsidRPr="00484F41">
        <w:rPr>
          <w:b/>
          <w:i/>
          <w:lang w:eastAsia="en-AU"/>
        </w:rPr>
        <w:t>Advanced, metastatic or recurrent non-squamous non-small cell lung cancer (NSCLC)</w:t>
      </w:r>
    </w:p>
    <w:p w14:paraId="616A094F" w14:textId="77777777" w:rsidR="003831E4" w:rsidRPr="00484F41" w:rsidRDefault="003831E4" w:rsidP="005233BF">
      <w:pPr>
        <w:ind w:left="720"/>
        <w:rPr>
          <w:i/>
          <w:lang w:eastAsia="en-AU"/>
        </w:rPr>
      </w:pPr>
      <w:r w:rsidRPr="00484F41">
        <w:rPr>
          <w:i/>
          <w:lang w:eastAsia="en-AU"/>
        </w:rPr>
        <w:t>Mvasi (bevacizumab), in combination with carboplatin and paclitaxel, is indicated for first-line treatment of patients with unresectable advanced, metastatic or recurrent, non</w:t>
      </w:r>
      <w:r w:rsidRPr="00484F41">
        <w:rPr>
          <w:i/>
          <w:lang w:eastAsia="en-AU"/>
        </w:rPr>
        <w:noBreakHyphen/>
        <w:t>squamous, non-small cell lung cancer.</w:t>
      </w:r>
    </w:p>
    <w:p w14:paraId="3BF3F769" w14:textId="77777777" w:rsidR="003831E4" w:rsidRPr="00484F41" w:rsidRDefault="003831E4" w:rsidP="005233BF">
      <w:pPr>
        <w:ind w:left="720"/>
        <w:rPr>
          <w:b/>
          <w:i/>
          <w:lang w:eastAsia="en-AU"/>
        </w:rPr>
      </w:pPr>
      <w:r w:rsidRPr="00484F41">
        <w:rPr>
          <w:b/>
          <w:i/>
          <w:lang w:eastAsia="en-AU"/>
        </w:rPr>
        <w:t>Advanced and/or metastatic renal cell cancer</w:t>
      </w:r>
    </w:p>
    <w:p w14:paraId="19675D93" w14:textId="77777777" w:rsidR="003831E4" w:rsidRPr="00484F41" w:rsidRDefault="003831E4" w:rsidP="005233BF">
      <w:pPr>
        <w:ind w:left="720"/>
        <w:rPr>
          <w:i/>
          <w:lang w:eastAsia="en-AU"/>
        </w:rPr>
      </w:pPr>
      <w:r w:rsidRPr="00484F41">
        <w:rPr>
          <w:i/>
          <w:lang w:eastAsia="en-AU"/>
        </w:rPr>
        <w:t>Mvasi (bevacizumab) in combination with interferon alfa-2a is indicated for treatment of patients with advanced and/or metastatic renal cell cancer.</w:t>
      </w:r>
    </w:p>
    <w:p w14:paraId="2D7D8F7E" w14:textId="77777777" w:rsidR="003831E4" w:rsidRPr="00484F41" w:rsidRDefault="003831E4" w:rsidP="005233BF">
      <w:pPr>
        <w:ind w:left="720"/>
        <w:rPr>
          <w:b/>
          <w:i/>
          <w:lang w:eastAsia="en-AU"/>
        </w:rPr>
      </w:pPr>
      <w:r w:rsidRPr="00484F41">
        <w:rPr>
          <w:b/>
          <w:i/>
          <w:lang w:eastAsia="en-AU"/>
        </w:rPr>
        <w:t>Grade IV glioma</w:t>
      </w:r>
    </w:p>
    <w:p w14:paraId="44F6AC5D" w14:textId="77777777" w:rsidR="003831E4" w:rsidRPr="00484F41" w:rsidRDefault="003831E4" w:rsidP="005233BF">
      <w:pPr>
        <w:ind w:left="720"/>
        <w:rPr>
          <w:i/>
          <w:lang w:eastAsia="en-AU"/>
        </w:rPr>
      </w:pPr>
      <w:r w:rsidRPr="00484F41">
        <w:rPr>
          <w:i/>
          <w:lang w:eastAsia="en-AU"/>
        </w:rPr>
        <w:t>Mvasi (bevacizumab) as a single agent, is indicated for the treatment of patients with Grade IV glioma after relapse or disease progression after standard therapy, including chemotherapy.</w:t>
      </w:r>
    </w:p>
    <w:p w14:paraId="463F5296" w14:textId="77777777" w:rsidR="003831E4" w:rsidRPr="00484F41" w:rsidRDefault="003831E4" w:rsidP="009E6E79">
      <w:pPr>
        <w:keepNext/>
        <w:ind w:left="720"/>
        <w:rPr>
          <w:b/>
          <w:i/>
          <w:lang w:eastAsia="en-AU"/>
        </w:rPr>
      </w:pPr>
      <w:r w:rsidRPr="00484F41">
        <w:rPr>
          <w:b/>
          <w:i/>
          <w:lang w:eastAsia="en-AU"/>
        </w:rPr>
        <w:lastRenderedPageBreak/>
        <w:t>Epithelial ovarian, fallopian tube or primary peritoneal cancer</w:t>
      </w:r>
    </w:p>
    <w:p w14:paraId="0650266D" w14:textId="77777777" w:rsidR="003831E4" w:rsidRPr="00484F41" w:rsidRDefault="003831E4" w:rsidP="005233BF">
      <w:pPr>
        <w:ind w:left="720"/>
        <w:rPr>
          <w:i/>
          <w:lang w:eastAsia="en-AU"/>
        </w:rPr>
      </w:pPr>
      <w:r w:rsidRPr="00484F41">
        <w:rPr>
          <w:i/>
          <w:lang w:eastAsia="en-AU"/>
        </w:rPr>
        <w:t xml:space="preserve">Mvasi (bevacizumab) in combination with carboplatin and paclitaxel, is indicated for first-line treatment of patients with advanced </w:t>
      </w:r>
      <w:r w:rsidRPr="00484F41">
        <w:rPr>
          <w:i/>
        </w:rPr>
        <w:t>(FIGO stages IIIB, IIIC and IV)</w:t>
      </w:r>
      <w:r w:rsidRPr="00484F41">
        <w:rPr>
          <w:i/>
          <w:lang w:eastAsia="en-AU"/>
        </w:rPr>
        <w:t xml:space="preserve"> epithelial ovarian, fallopian tube, or primary peritoneal cancer.</w:t>
      </w:r>
    </w:p>
    <w:p w14:paraId="4BDEE695" w14:textId="77777777" w:rsidR="003831E4" w:rsidRPr="00484F41" w:rsidRDefault="003831E4" w:rsidP="005233BF">
      <w:pPr>
        <w:ind w:left="720"/>
        <w:rPr>
          <w:b/>
          <w:i/>
          <w:lang w:eastAsia="en-AU"/>
        </w:rPr>
      </w:pPr>
      <w:r w:rsidRPr="00484F41">
        <w:rPr>
          <w:b/>
          <w:i/>
          <w:lang w:eastAsia="en-AU"/>
        </w:rPr>
        <w:t>Recurrent epithelial ovarian, fallopian tube or primary peritoneal cancer</w:t>
      </w:r>
    </w:p>
    <w:p w14:paraId="4140CACE" w14:textId="77777777" w:rsidR="003831E4" w:rsidRPr="00484F41" w:rsidRDefault="003831E4" w:rsidP="005233BF">
      <w:pPr>
        <w:ind w:left="720"/>
        <w:rPr>
          <w:i/>
          <w:lang w:eastAsia="en-AU"/>
        </w:rPr>
      </w:pPr>
      <w:r w:rsidRPr="00484F41">
        <w:rPr>
          <w:i/>
          <w:lang w:eastAsia="en-AU"/>
        </w:rPr>
        <w:t xml:space="preserve">Mvasi (bevacizumab), in combination with carboplatin and paclitaxel or in combination with carboplatin and gemcitabine, is indicated for the treatment of patients with first recurrence of platinum-sensitive, epithelial ovarian, fallopian tube, or primary peritoneal cancer who have not </w:t>
      </w:r>
      <w:r w:rsidRPr="00484F41">
        <w:rPr>
          <w:i/>
        </w:rPr>
        <w:t>received prior bevacizumab or other VEGF-targeted angiogenesis</w:t>
      </w:r>
      <w:r w:rsidRPr="00484F41">
        <w:rPr>
          <w:i/>
          <w:lang w:eastAsia="en-AU"/>
        </w:rPr>
        <w:t xml:space="preserve"> inhibitors.</w:t>
      </w:r>
    </w:p>
    <w:p w14:paraId="6DB11128" w14:textId="77777777" w:rsidR="003831E4" w:rsidRPr="00484F41" w:rsidRDefault="003831E4" w:rsidP="005233BF">
      <w:pPr>
        <w:ind w:left="720"/>
        <w:rPr>
          <w:i/>
          <w:lang w:eastAsia="en-AU"/>
        </w:rPr>
      </w:pPr>
      <w:r w:rsidRPr="00484F41">
        <w:rPr>
          <w:i/>
          <w:lang w:eastAsia="en-AU"/>
        </w:rPr>
        <w:t>Mvasi (bevacizumab) in combination with paclitaxel, topotecan or pegylated liposomal doxorubicin is indicated for the treatment of patients with recurrent, platinum-resistant epithelial ovarian, fallopian tube, or primary peritoneal cancer who have received no more than two prior chemotherapy regimens, and have not received any prior anti-angiogenic therapy including bevacizumab.</w:t>
      </w:r>
    </w:p>
    <w:p w14:paraId="3CEC20F2" w14:textId="77777777" w:rsidR="003831E4" w:rsidRPr="00484F41" w:rsidRDefault="003831E4" w:rsidP="005233BF">
      <w:pPr>
        <w:ind w:left="720"/>
        <w:rPr>
          <w:b/>
          <w:i/>
          <w:lang w:eastAsia="en-AU"/>
        </w:rPr>
      </w:pPr>
      <w:r w:rsidRPr="00484F41">
        <w:rPr>
          <w:b/>
          <w:i/>
          <w:lang w:eastAsia="en-AU"/>
        </w:rPr>
        <w:t>Cervical cancer</w:t>
      </w:r>
    </w:p>
    <w:p w14:paraId="792CC34A" w14:textId="77777777" w:rsidR="003831E4" w:rsidRDefault="003831E4" w:rsidP="005233BF">
      <w:pPr>
        <w:ind w:left="720"/>
        <w:rPr>
          <w:i/>
          <w:lang w:eastAsia="en-AU"/>
        </w:rPr>
      </w:pPr>
      <w:r w:rsidRPr="00484F41">
        <w:rPr>
          <w:i/>
          <w:lang w:eastAsia="en-AU"/>
        </w:rPr>
        <w:t>Mvasi (bevacizumab) in combination with paclitaxel and cisplatin is indicated for the treatment of persistent, recurrent or metastatic carcinoma of the cervix. Mvasi (bevacizumab) in combination with paclitaxel and topotecan is an acceptable alternative where cisplatin is not tolerated or not indicated.</w:t>
      </w:r>
    </w:p>
    <w:p w14:paraId="575D83DC" w14:textId="06A2D970" w:rsidR="001A0051" w:rsidRDefault="00FF2F8F" w:rsidP="00936FF6">
      <w:r>
        <w:t>Mvasi</w:t>
      </w:r>
      <w:r w:rsidR="001A0051">
        <w:t xml:space="preserve"> (also called </w:t>
      </w:r>
      <w:r w:rsidR="003124FD">
        <w:t xml:space="preserve">by the drug development name, </w:t>
      </w:r>
      <w:r w:rsidR="001A0051">
        <w:t>ABP 215) has been developed as a biosimilar of Avastin</w:t>
      </w:r>
      <w:r w:rsidR="003831E4">
        <w:t xml:space="preserve"> </w:t>
      </w:r>
      <w:r w:rsidR="003831E4" w:rsidRPr="00250271">
        <w:t>(</w:t>
      </w:r>
      <w:r w:rsidR="003831E4">
        <w:t>bevacizumab</w:t>
      </w:r>
      <w:r w:rsidR="003831E4" w:rsidRPr="00250271">
        <w:t>)</w:t>
      </w:r>
      <w:r w:rsidR="001A0051">
        <w:t xml:space="preserve">. The indications applied for are the same </w:t>
      </w:r>
      <w:r w:rsidR="003124FD">
        <w:t>as for the originator product</w:t>
      </w:r>
      <w:r w:rsidR="001A0051">
        <w:t xml:space="preserve"> Avastin is registered for in Australia.</w:t>
      </w:r>
      <w:r w:rsidR="00FB4F43">
        <w:rPr>
          <w:rStyle w:val="FootnoteReference"/>
        </w:rPr>
        <w:footnoteReference w:id="2"/>
      </w:r>
    </w:p>
    <w:p w14:paraId="26D55411" w14:textId="2E4FA15C" w:rsidR="00FB3539" w:rsidRDefault="00FB3539" w:rsidP="001A0051">
      <w:r>
        <w:rPr>
          <w:lang w:eastAsia="ja-JP"/>
        </w:rPr>
        <w:t>Bevacizumab</w:t>
      </w:r>
      <w:r w:rsidR="00EE5E17">
        <w:rPr>
          <w:lang w:eastAsia="ja-JP"/>
        </w:rPr>
        <w:t xml:space="preserve"> is a humanis</w:t>
      </w:r>
      <w:r w:rsidRPr="0041509C">
        <w:rPr>
          <w:lang w:eastAsia="ja-JP"/>
        </w:rPr>
        <w:t xml:space="preserve">ed recombinant immunoglobulin G1 </w:t>
      </w:r>
      <w:r w:rsidR="003124FD">
        <w:rPr>
          <w:lang w:eastAsia="ja-JP"/>
        </w:rPr>
        <w:t xml:space="preserve">(IgG) </w:t>
      </w:r>
      <w:r>
        <w:rPr>
          <w:lang w:eastAsia="ja-JP"/>
        </w:rPr>
        <w:t>monoclonal antibody</w:t>
      </w:r>
      <w:r w:rsidRPr="0041509C">
        <w:rPr>
          <w:lang w:eastAsia="ja-JP"/>
        </w:rPr>
        <w:t xml:space="preserve"> that targets vascular endothelial growth factor (VEGF) and inhibits binding of VE</w:t>
      </w:r>
      <w:r>
        <w:rPr>
          <w:lang w:eastAsia="ja-JP"/>
        </w:rPr>
        <w:t>GF</w:t>
      </w:r>
      <w:r w:rsidRPr="0041509C">
        <w:rPr>
          <w:lang w:eastAsia="ja-JP"/>
        </w:rPr>
        <w:t xml:space="preserve"> to cell receptors on the surface of endothelial cells.</w:t>
      </w:r>
      <w:r>
        <w:rPr>
          <w:lang w:eastAsia="ja-JP"/>
        </w:rPr>
        <w:t xml:space="preserve"> Binding VEGF inhibits </w:t>
      </w:r>
      <w:r w:rsidRPr="008C6875">
        <w:rPr>
          <w:lang w:eastAsia="ja-JP"/>
        </w:rPr>
        <w:t>angiogenesis, which is required for the growth and persistence of solid tumo</w:t>
      </w:r>
      <w:r>
        <w:rPr>
          <w:lang w:eastAsia="ja-JP"/>
        </w:rPr>
        <w:t>u</w:t>
      </w:r>
      <w:r w:rsidRPr="008C6875">
        <w:rPr>
          <w:lang w:eastAsia="ja-JP"/>
        </w:rPr>
        <w:t>rs and their metastases</w:t>
      </w:r>
      <w:r>
        <w:rPr>
          <w:lang w:eastAsia="ja-JP"/>
        </w:rPr>
        <w:t>,</w:t>
      </w:r>
      <w:r w:rsidRPr="008C6875">
        <w:rPr>
          <w:lang w:eastAsia="ja-JP"/>
        </w:rPr>
        <w:t xml:space="preserve"> inhibits VEGF-induced cellular prolifer</w:t>
      </w:r>
      <w:r>
        <w:rPr>
          <w:lang w:eastAsia="ja-JP"/>
        </w:rPr>
        <w:t xml:space="preserve">ation and vascular permeability, </w:t>
      </w:r>
      <w:r w:rsidRPr="008C6875">
        <w:rPr>
          <w:lang w:eastAsia="ja-JP"/>
        </w:rPr>
        <w:t>norm</w:t>
      </w:r>
      <w:r>
        <w:rPr>
          <w:lang w:eastAsia="ja-JP"/>
        </w:rPr>
        <w:t>alising</w:t>
      </w:r>
      <w:r w:rsidRPr="008C6875">
        <w:rPr>
          <w:lang w:eastAsia="ja-JP"/>
        </w:rPr>
        <w:t xml:space="preserve"> the vasculature</w:t>
      </w:r>
      <w:r>
        <w:rPr>
          <w:lang w:eastAsia="ja-JP"/>
        </w:rPr>
        <w:t xml:space="preserve"> and</w:t>
      </w:r>
      <w:r w:rsidRPr="008C6875">
        <w:rPr>
          <w:lang w:eastAsia="ja-JP"/>
        </w:rPr>
        <w:t xml:space="preserve"> potentially promoting the delivery of cytotoxic chemotherapy</w:t>
      </w:r>
      <w:r w:rsidR="008858F9">
        <w:rPr>
          <w:lang w:eastAsia="ja-JP"/>
        </w:rPr>
        <w:t>.</w:t>
      </w:r>
      <w:r w:rsidR="009C2208">
        <w:rPr>
          <w:rStyle w:val="FootnoteReference"/>
          <w:lang w:eastAsia="ja-JP"/>
        </w:rPr>
        <w:footnoteReference w:id="3"/>
      </w:r>
    </w:p>
    <w:p w14:paraId="6106CE4A" w14:textId="454819B2" w:rsidR="008E7846" w:rsidRPr="003F31A2" w:rsidRDefault="00386150" w:rsidP="00936FF6">
      <w:pPr>
        <w:pStyle w:val="Heading3"/>
      </w:pPr>
      <w:bookmarkStart w:id="17" w:name="_Toc314842485"/>
      <w:bookmarkStart w:id="18" w:name="_Toc247691504"/>
      <w:bookmarkStart w:id="19" w:name="_Toc57130853"/>
      <w:r>
        <w:t>Regulatory s</w:t>
      </w:r>
      <w:r w:rsidR="008E7846">
        <w:t>tatus</w:t>
      </w:r>
      <w:bookmarkEnd w:id="17"/>
      <w:bookmarkEnd w:id="18"/>
      <w:bookmarkEnd w:id="19"/>
    </w:p>
    <w:p w14:paraId="5D24DCF9" w14:textId="77777777" w:rsidR="00940A89" w:rsidRDefault="00006FAB" w:rsidP="00940A89">
      <w:bookmarkStart w:id="20" w:name="_Toc247691505"/>
      <w:bookmarkStart w:id="21" w:name="_Toc314842486"/>
      <w:r w:rsidRPr="00006FAB">
        <w:t>This product is considered a new biosimilar medicine for Australian regulatory purposes.</w:t>
      </w:r>
    </w:p>
    <w:p w14:paraId="6A3E3278" w14:textId="0C6EEB38" w:rsidR="00006FAB" w:rsidRDefault="00006FAB" w:rsidP="00006FAB">
      <w:r>
        <w:t>At the time the TG</w:t>
      </w:r>
      <w:r w:rsidR="00EE5E17">
        <w:t>A considered this application,</w:t>
      </w:r>
      <w:r>
        <w:t xml:space="preserve"> similar application</w:t>
      </w:r>
      <w:r w:rsidR="00EE5E17">
        <w:t>s</w:t>
      </w:r>
      <w:r>
        <w:t xml:space="preserve"> </w:t>
      </w:r>
      <w:r w:rsidR="007221C3">
        <w:t>ha</w:t>
      </w:r>
      <w:r w:rsidR="0066785F">
        <w:t xml:space="preserve">d been approved </w:t>
      </w:r>
      <w:r w:rsidR="00EE5E17">
        <w:t xml:space="preserve">in </w:t>
      </w:r>
      <w:r w:rsidR="0066785F">
        <w:t xml:space="preserve">the </w:t>
      </w:r>
      <w:r w:rsidR="00EE5E17">
        <w:t>United States of America</w:t>
      </w:r>
      <w:r w:rsidR="0066785F">
        <w:t xml:space="preserve"> (USA)</w:t>
      </w:r>
      <w:r w:rsidR="00EE5E17">
        <w:t>, Europe</w:t>
      </w:r>
      <w:r w:rsidR="00BA6769">
        <w:t>an Union (EU)</w:t>
      </w:r>
      <w:r w:rsidR="00EE5E17">
        <w:t xml:space="preserve"> and Canada</w:t>
      </w:r>
      <w:r w:rsidR="00A10947">
        <w:t>.</w:t>
      </w:r>
    </w:p>
    <w:p w14:paraId="0996BDA1" w14:textId="3FA45967" w:rsidR="0066785F" w:rsidRDefault="0066785F" w:rsidP="00936FF6">
      <w:pPr>
        <w:pStyle w:val="TableTitle"/>
        <w:pageBreakBefore/>
      </w:pPr>
      <w:r>
        <w:lastRenderedPageBreak/>
        <w:t xml:space="preserve">Table </w:t>
      </w:r>
      <w:r w:rsidR="00741986">
        <w:fldChar w:fldCharType="begin"/>
      </w:r>
      <w:r w:rsidR="00741986">
        <w:instrText xml:space="preserve"> SEQ Table \* AR</w:instrText>
      </w:r>
      <w:r w:rsidR="00741986">
        <w:instrText xml:space="preserve">ABIC </w:instrText>
      </w:r>
      <w:r w:rsidR="00741986">
        <w:fldChar w:fldCharType="separate"/>
      </w:r>
      <w:r w:rsidR="005938A4">
        <w:rPr>
          <w:noProof/>
        </w:rPr>
        <w:t>1</w:t>
      </w:r>
      <w:r w:rsidR="00741986">
        <w:rPr>
          <w:noProof/>
        </w:rPr>
        <w:fldChar w:fldCharType="end"/>
      </w:r>
      <w:r>
        <w:t>: International regulatory status</w:t>
      </w:r>
    </w:p>
    <w:tbl>
      <w:tblPr>
        <w:tblStyle w:val="TableTGAblue"/>
        <w:tblW w:w="0" w:type="auto"/>
        <w:tblLook w:val="04A0" w:firstRow="1" w:lastRow="0" w:firstColumn="1" w:lastColumn="0" w:noHBand="0" w:noVBand="1"/>
      </w:tblPr>
      <w:tblGrid>
        <w:gridCol w:w="1542"/>
        <w:gridCol w:w="2076"/>
        <w:gridCol w:w="1980"/>
        <w:gridCol w:w="3122"/>
      </w:tblGrid>
      <w:tr w:rsidR="00006FAB" w14:paraId="6D437FF2" w14:textId="77777777" w:rsidTr="00CB79EC">
        <w:trPr>
          <w:cnfStyle w:val="100000000000" w:firstRow="1" w:lastRow="0" w:firstColumn="0" w:lastColumn="0" w:oddVBand="0" w:evenVBand="0" w:oddHBand="0" w:evenHBand="0" w:firstRowFirstColumn="0" w:firstRowLastColumn="0" w:lastRowFirstColumn="0" w:lastRowLastColumn="0"/>
        </w:trPr>
        <w:tc>
          <w:tcPr>
            <w:tcW w:w="1542" w:type="dxa"/>
            <w:tcBorders>
              <w:top w:val="single" w:sz="4" w:space="0" w:color="auto"/>
              <w:left w:val="single" w:sz="4" w:space="0" w:color="auto"/>
              <w:bottom w:val="single" w:sz="4" w:space="0" w:color="auto"/>
              <w:right w:val="single" w:sz="4" w:space="0" w:color="auto"/>
            </w:tcBorders>
          </w:tcPr>
          <w:p w14:paraId="2D29B170" w14:textId="77777777" w:rsidR="00006FAB" w:rsidRDefault="00006FAB" w:rsidP="00F915B1">
            <w:pPr>
              <w:ind w:left="0" w:right="0"/>
            </w:pPr>
            <w:r>
              <w:t>Region</w:t>
            </w:r>
          </w:p>
        </w:tc>
        <w:tc>
          <w:tcPr>
            <w:tcW w:w="2076" w:type="dxa"/>
            <w:tcBorders>
              <w:top w:val="single" w:sz="4" w:space="0" w:color="auto"/>
              <w:left w:val="single" w:sz="4" w:space="0" w:color="auto"/>
              <w:bottom w:val="single" w:sz="4" w:space="0" w:color="auto"/>
              <w:right w:val="single" w:sz="4" w:space="0" w:color="auto"/>
            </w:tcBorders>
          </w:tcPr>
          <w:p w14:paraId="3388D767" w14:textId="77777777" w:rsidR="00006FAB" w:rsidRDefault="00006FAB" w:rsidP="00F915B1">
            <w:pPr>
              <w:ind w:left="0" w:right="0"/>
            </w:pPr>
            <w:r>
              <w:t>Submission date</w:t>
            </w:r>
          </w:p>
        </w:tc>
        <w:tc>
          <w:tcPr>
            <w:tcW w:w="1980" w:type="dxa"/>
            <w:tcBorders>
              <w:top w:val="single" w:sz="4" w:space="0" w:color="auto"/>
              <w:left w:val="single" w:sz="4" w:space="0" w:color="auto"/>
              <w:bottom w:val="single" w:sz="4" w:space="0" w:color="auto"/>
              <w:right w:val="single" w:sz="4" w:space="0" w:color="auto"/>
            </w:tcBorders>
          </w:tcPr>
          <w:p w14:paraId="23BC495C" w14:textId="77777777" w:rsidR="00006FAB" w:rsidRDefault="00006FAB" w:rsidP="00F915B1">
            <w:pPr>
              <w:ind w:left="0" w:right="0"/>
            </w:pPr>
            <w:r>
              <w:t>Status</w:t>
            </w:r>
          </w:p>
        </w:tc>
        <w:tc>
          <w:tcPr>
            <w:tcW w:w="3122" w:type="dxa"/>
            <w:tcBorders>
              <w:top w:val="single" w:sz="4" w:space="0" w:color="auto"/>
              <w:left w:val="single" w:sz="4" w:space="0" w:color="auto"/>
              <w:bottom w:val="single" w:sz="4" w:space="0" w:color="auto"/>
              <w:right w:val="single" w:sz="4" w:space="0" w:color="auto"/>
            </w:tcBorders>
          </w:tcPr>
          <w:p w14:paraId="09571814" w14:textId="307C48B3" w:rsidR="00006FAB" w:rsidRDefault="002B62F9" w:rsidP="00F915B1">
            <w:pPr>
              <w:ind w:left="0" w:right="0"/>
            </w:pPr>
            <w:r>
              <w:t xml:space="preserve">Summary of approved </w:t>
            </w:r>
            <w:r w:rsidR="00006FAB">
              <w:t>indications</w:t>
            </w:r>
          </w:p>
        </w:tc>
      </w:tr>
      <w:tr w:rsidR="00006FAB" w14:paraId="4C8CB74D" w14:textId="77777777" w:rsidTr="00CB79EC">
        <w:tc>
          <w:tcPr>
            <w:tcW w:w="1542" w:type="dxa"/>
          </w:tcPr>
          <w:p w14:paraId="116A17E2" w14:textId="3ABC942F" w:rsidR="00006FAB" w:rsidRPr="00CB79EC" w:rsidRDefault="00425A6A" w:rsidP="00F915B1">
            <w:pPr>
              <w:ind w:left="0" w:right="0"/>
              <w:rPr>
                <w:sz w:val="20"/>
              </w:rPr>
            </w:pPr>
            <w:r w:rsidRPr="00CB79EC">
              <w:rPr>
                <w:sz w:val="20"/>
              </w:rPr>
              <w:t>United States of America</w:t>
            </w:r>
          </w:p>
        </w:tc>
        <w:tc>
          <w:tcPr>
            <w:tcW w:w="2076" w:type="dxa"/>
          </w:tcPr>
          <w:p w14:paraId="2E22FD23" w14:textId="19545453" w:rsidR="00006FAB" w:rsidRPr="00CB79EC" w:rsidRDefault="00F82743" w:rsidP="00F915B1">
            <w:pPr>
              <w:ind w:left="0" w:right="0"/>
              <w:rPr>
                <w:sz w:val="20"/>
              </w:rPr>
            </w:pPr>
            <w:r w:rsidRPr="00CB79EC">
              <w:rPr>
                <w:sz w:val="20"/>
              </w:rPr>
              <w:t>14 November 2016</w:t>
            </w:r>
          </w:p>
        </w:tc>
        <w:tc>
          <w:tcPr>
            <w:tcW w:w="1980" w:type="dxa"/>
          </w:tcPr>
          <w:p w14:paraId="0F55FEDC" w14:textId="2AFDB88C" w:rsidR="00006FAB" w:rsidRPr="00CB79EC" w:rsidRDefault="00425A6A" w:rsidP="00F915B1">
            <w:pPr>
              <w:ind w:left="0" w:right="0"/>
              <w:rPr>
                <w:sz w:val="20"/>
              </w:rPr>
            </w:pPr>
            <w:r w:rsidRPr="00CB79EC">
              <w:rPr>
                <w:sz w:val="20"/>
              </w:rPr>
              <w:t>Approved on 14</w:t>
            </w:r>
            <w:r w:rsidR="00DF63EA">
              <w:rPr>
                <w:sz w:val="20"/>
              </w:rPr>
              <w:t> </w:t>
            </w:r>
            <w:r w:rsidRPr="00CB79EC">
              <w:rPr>
                <w:sz w:val="20"/>
              </w:rPr>
              <w:t>September 2017</w:t>
            </w:r>
          </w:p>
        </w:tc>
        <w:tc>
          <w:tcPr>
            <w:tcW w:w="3122" w:type="dxa"/>
          </w:tcPr>
          <w:p w14:paraId="711EFAE9" w14:textId="31C09F7C" w:rsidR="00006FAB" w:rsidRPr="00CB79EC" w:rsidRDefault="00425A6A" w:rsidP="00F915B1">
            <w:pPr>
              <w:ind w:left="0"/>
              <w:rPr>
                <w:sz w:val="20"/>
              </w:rPr>
            </w:pPr>
            <w:r w:rsidRPr="00CB79EC">
              <w:rPr>
                <w:sz w:val="20"/>
                <w:lang w:eastAsia="ja-JP"/>
              </w:rPr>
              <w:t>metastatic colorectal cancer, non-squamous non-small cell lung cancer, glioblastoma, metastatic renal cancer and cervical cancer.</w:t>
            </w:r>
          </w:p>
        </w:tc>
      </w:tr>
      <w:tr w:rsidR="00425A6A" w14:paraId="65312CC3" w14:textId="77777777" w:rsidTr="00CB79EC">
        <w:tc>
          <w:tcPr>
            <w:tcW w:w="1542" w:type="dxa"/>
          </w:tcPr>
          <w:p w14:paraId="468C66A6" w14:textId="43984E10" w:rsidR="00425A6A" w:rsidRPr="00CB79EC" w:rsidRDefault="00425A6A" w:rsidP="00F915B1">
            <w:pPr>
              <w:ind w:left="0"/>
              <w:rPr>
                <w:sz w:val="20"/>
              </w:rPr>
            </w:pPr>
            <w:r w:rsidRPr="00CB79EC">
              <w:rPr>
                <w:sz w:val="20"/>
              </w:rPr>
              <w:t>Europe</w:t>
            </w:r>
            <w:r w:rsidR="00BA6769" w:rsidRPr="00CB79EC">
              <w:rPr>
                <w:sz w:val="20"/>
              </w:rPr>
              <w:t>an Union</w:t>
            </w:r>
            <w:r w:rsidR="00F82743" w:rsidRPr="00CB79EC">
              <w:rPr>
                <w:sz w:val="20"/>
              </w:rPr>
              <w:t xml:space="preserve"> (Centralised Procedure)</w:t>
            </w:r>
          </w:p>
        </w:tc>
        <w:tc>
          <w:tcPr>
            <w:tcW w:w="2076" w:type="dxa"/>
          </w:tcPr>
          <w:p w14:paraId="134AD423" w14:textId="405CE1E8" w:rsidR="00425A6A" w:rsidRPr="00CB79EC" w:rsidRDefault="00F82743" w:rsidP="00F915B1">
            <w:pPr>
              <w:ind w:left="0"/>
              <w:rPr>
                <w:sz w:val="20"/>
              </w:rPr>
            </w:pPr>
            <w:r w:rsidRPr="00CB79EC">
              <w:rPr>
                <w:sz w:val="20"/>
              </w:rPr>
              <w:t>1 December 2016</w:t>
            </w:r>
          </w:p>
        </w:tc>
        <w:tc>
          <w:tcPr>
            <w:tcW w:w="1980" w:type="dxa"/>
          </w:tcPr>
          <w:p w14:paraId="38B8F06C" w14:textId="629D8B34" w:rsidR="00425A6A" w:rsidRPr="00CB79EC" w:rsidRDefault="00425A6A" w:rsidP="00F915B1">
            <w:pPr>
              <w:ind w:left="0"/>
              <w:rPr>
                <w:sz w:val="20"/>
              </w:rPr>
            </w:pPr>
            <w:r w:rsidRPr="00CB79EC">
              <w:rPr>
                <w:sz w:val="20"/>
              </w:rPr>
              <w:t>Approved on 15</w:t>
            </w:r>
            <w:r w:rsidR="00DF63EA">
              <w:rPr>
                <w:sz w:val="20"/>
              </w:rPr>
              <w:t> </w:t>
            </w:r>
            <w:r w:rsidRPr="00CB79EC">
              <w:rPr>
                <w:sz w:val="20"/>
              </w:rPr>
              <w:t>January 2018</w:t>
            </w:r>
          </w:p>
        </w:tc>
        <w:tc>
          <w:tcPr>
            <w:tcW w:w="3122" w:type="dxa"/>
          </w:tcPr>
          <w:p w14:paraId="29EC316F" w14:textId="45184116" w:rsidR="00425A6A" w:rsidRPr="00CB79EC" w:rsidRDefault="00425A6A" w:rsidP="00F915B1">
            <w:pPr>
              <w:ind w:left="0"/>
              <w:rPr>
                <w:sz w:val="20"/>
                <w:lang w:eastAsia="ja-JP"/>
              </w:rPr>
            </w:pPr>
            <w:r w:rsidRPr="00CB79EC">
              <w:rPr>
                <w:sz w:val="20"/>
                <w:lang w:eastAsia="ja-JP"/>
              </w:rPr>
              <w:t>metastatic carcinoma of the colon or rectum, metastatic breast cancer, metastatic or recurrent non-squamous non-small cell lung cancer, advanced and/or metastatic renal cell cancer, epithelial ovarian, fallopian tube or primary peritoneal cancer, metastatic carcinoma of the cervix</w:t>
            </w:r>
          </w:p>
        </w:tc>
      </w:tr>
      <w:tr w:rsidR="00425A6A" w14:paraId="5F08BF84" w14:textId="77777777" w:rsidTr="00CB79EC">
        <w:tc>
          <w:tcPr>
            <w:tcW w:w="1542" w:type="dxa"/>
          </w:tcPr>
          <w:p w14:paraId="58E1827B" w14:textId="0793F461" w:rsidR="00425A6A" w:rsidRPr="00CB79EC" w:rsidRDefault="00425A6A" w:rsidP="00F915B1">
            <w:pPr>
              <w:ind w:left="0"/>
              <w:rPr>
                <w:sz w:val="20"/>
              </w:rPr>
            </w:pPr>
            <w:r w:rsidRPr="00CB79EC">
              <w:rPr>
                <w:sz w:val="20"/>
              </w:rPr>
              <w:t>Canada</w:t>
            </w:r>
          </w:p>
        </w:tc>
        <w:tc>
          <w:tcPr>
            <w:tcW w:w="2076" w:type="dxa"/>
          </w:tcPr>
          <w:p w14:paraId="5E578538" w14:textId="34E70F7A" w:rsidR="00425A6A" w:rsidRPr="00CB79EC" w:rsidRDefault="00F82743" w:rsidP="00F915B1">
            <w:pPr>
              <w:ind w:left="0"/>
              <w:rPr>
                <w:sz w:val="20"/>
              </w:rPr>
            </w:pPr>
            <w:r w:rsidRPr="00CB79EC">
              <w:rPr>
                <w:sz w:val="20"/>
              </w:rPr>
              <w:t>21 December 2016</w:t>
            </w:r>
          </w:p>
        </w:tc>
        <w:tc>
          <w:tcPr>
            <w:tcW w:w="1980" w:type="dxa"/>
          </w:tcPr>
          <w:p w14:paraId="5E9E9BB2" w14:textId="50F23A82" w:rsidR="00425A6A" w:rsidRPr="00CB79EC" w:rsidRDefault="00425A6A" w:rsidP="00F915B1">
            <w:pPr>
              <w:ind w:left="0"/>
              <w:rPr>
                <w:sz w:val="20"/>
              </w:rPr>
            </w:pPr>
            <w:r w:rsidRPr="00CB79EC">
              <w:rPr>
                <w:caps/>
                <w:sz w:val="20"/>
              </w:rPr>
              <w:t>a</w:t>
            </w:r>
            <w:r w:rsidRPr="00CB79EC">
              <w:rPr>
                <w:sz w:val="20"/>
              </w:rPr>
              <w:t>pproved on 30</w:t>
            </w:r>
            <w:r w:rsidR="00DF63EA">
              <w:rPr>
                <w:sz w:val="20"/>
              </w:rPr>
              <w:t> </w:t>
            </w:r>
            <w:r w:rsidRPr="00CB79EC">
              <w:rPr>
                <w:sz w:val="20"/>
              </w:rPr>
              <w:t>April 2018</w:t>
            </w:r>
          </w:p>
        </w:tc>
        <w:tc>
          <w:tcPr>
            <w:tcW w:w="3122" w:type="dxa"/>
          </w:tcPr>
          <w:p w14:paraId="05C7DA27" w14:textId="58EB510B" w:rsidR="00425A6A" w:rsidRPr="00CB79EC" w:rsidRDefault="00425A6A" w:rsidP="00F915B1">
            <w:pPr>
              <w:ind w:left="0"/>
              <w:rPr>
                <w:sz w:val="20"/>
                <w:lang w:eastAsia="ja-JP"/>
              </w:rPr>
            </w:pPr>
            <w:r w:rsidRPr="00CB79EC">
              <w:rPr>
                <w:sz w:val="20"/>
                <w:lang w:eastAsia="ja-JP"/>
              </w:rPr>
              <w:t>metastatic colorectal cancer and locally advanced, metastatic or recurrent non-squamous non-small cell lung cancer</w:t>
            </w:r>
          </w:p>
        </w:tc>
      </w:tr>
    </w:tbl>
    <w:p w14:paraId="4D60EC26" w14:textId="77777777" w:rsidR="008E7846" w:rsidRDefault="008E7846" w:rsidP="00940A89">
      <w:pPr>
        <w:pStyle w:val="Heading3"/>
      </w:pPr>
      <w:bookmarkStart w:id="22" w:name="_Toc57130854"/>
      <w:r>
        <w:t>Product Information</w:t>
      </w:r>
      <w:bookmarkEnd w:id="20"/>
      <w:bookmarkEnd w:id="21"/>
      <w:bookmarkEnd w:id="22"/>
    </w:p>
    <w:p w14:paraId="1A504C38" w14:textId="1F069B90"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37A3D9C2" w14:textId="04827AAE" w:rsidR="00500337" w:rsidRDefault="00500337" w:rsidP="00500337">
      <w:pPr>
        <w:pStyle w:val="Heading2"/>
      </w:pPr>
      <w:bookmarkStart w:id="25" w:name="_Toc504480011"/>
      <w:bookmarkStart w:id="26" w:name="_Toc57130855"/>
      <w:r>
        <w:t>II. Registration timeline</w:t>
      </w:r>
      <w:bookmarkEnd w:id="25"/>
      <w:bookmarkEnd w:id="26"/>
    </w:p>
    <w:p w14:paraId="23E5A632" w14:textId="77777777" w:rsidR="00500337" w:rsidRDefault="00500337" w:rsidP="00500337">
      <w:r>
        <w:t>The following table captures the key steps and dates for this application and which are detailed and discussed in this AusPAR.</w:t>
      </w:r>
    </w:p>
    <w:p w14:paraId="05CF660E" w14:textId="4909C74C" w:rsidR="006A58A8" w:rsidRPr="006A58A8" w:rsidRDefault="006A4C3F" w:rsidP="00707079">
      <w:pPr>
        <w:pStyle w:val="TableTitle"/>
      </w:pPr>
      <w:r>
        <w:t xml:space="preserve">Table </w:t>
      </w:r>
      <w:r w:rsidR="00741986">
        <w:fldChar w:fldCharType="begin"/>
      </w:r>
      <w:r w:rsidR="00741986">
        <w:instrText xml:space="preserve"> SEQ Table \* ARABIC </w:instrText>
      </w:r>
      <w:r w:rsidR="00741986">
        <w:fldChar w:fldCharType="separate"/>
      </w:r>
      <w:r w:rsidR="005938A4">
        <w:rPr>
          <w:noProof/>
        </w:rPr>
        <w:t>2</w:t>
      </w:r>
      <w:r w:rsidR="00741986">
        <w:rPr>
          <w:noProof/>
        </w:rPr>
        <w:fldChar w:fldCharType="end"/>
      </w:r>
      <w:r w:rsidR="00006FAB">
        <w:t>:</w:t>
      </w:r>
      <w:r w:rsidR="006A58A8" w:rsidRPr="006A58A8">
        <w:t xml:space="preserve"> Timeline for Submission PM-20</w:t>
      </w:r>
      <w:r w:rsidR="003D43C6">
        <w:t>17-04616-1-4</w:t>
      </w:r>
    </w:p>
    <w:tbl>
      <w:tblPr>
        <w:tblStyle w:val="TableTGAblue"/>
        <w:tblW w:w="0" w:type="auto"/>
        <w:tblLook w:val="04A0" w:firstRow="1" w:lastRow="0" w:firstColumn="1" w:lastColumn="0" w:noHBand="0" w:noVBand="1"/>
      </w:tblPr>
      <w:tblGrid>
        <w:gridCol w:w="4360"/>
        <w:gridCol w:w="4360"/>
      </w:tblGrid>
      <w:tr w:rsidR="00500337" w14:paraId="4A120CC8"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6ADE2D3F"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687ACCDC" w14:textId="77777777" w:rsidR="00500337" w:rsidRDefault="00500337" w:rsidP="00500337">
            <w:pPr>
              <w:ind w:left="0" w:right="0"/>
            </w:pPr>
            <w:r>
              <w:t>Date</w:t>
            </w:r>
          </w:p>
        </w:tc>
      </w:tr>
      <w:tr w:rsidR="00500337" w14:paraId="3B69EC5B" w14:textId="77777777" w:rsidTr="00CF5DAD">
        <w:tc>
          <w:tcPr>
            <w:tcW w:w="4360" w:type="dxa"/>
            <w:tcBorders>
              <w:top w:val="single" w:sz="4" w:space="0" w:color="auto"/>
            </w:tcBorders>
          </w:tcPr>
          <w:p w14:paraId="31812DF9"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43CD70B7" w14:textId="3B9C4273" w:rsidR="00500337" w:rsidRDefault="003D43C6" w:rsidP="00500337">
            <w:pPr>
              <w:ind w:left="0" w:right="0"/>
            </w:pPr>
            <w:r>
              <w:t>1 February 2018</w:t>
            </w:r>
          </w:p>
        </w:tc>
      </w:tr>
      <w:tr w:rsidR="00500337" w14:paraId="6E9F703B" w14:textId="77777777" w:rsidTr="00500337">
        <w:tc>
          <w:tcPr>
            <w:tcW w:w="4360" w:type="dxa"/>
          </w:tcPr>
          <w:p w14:paraId="699D2AA9" w14:textId="77777777" w:rsidR="00500337" w:rsidRDefault="00500337" w:rsidP="00500337">
            <w:pPr>
              <w:ind w:left="0" w:right="0"/>
            </w:pPr>
            <w:r>
              <w:t>First round evaluation completed</w:t>
            </w:r>
          </w:p>
        </w:tc>
        <w:tc>
          <w:tcPr>
            <w:tcW w:w="4360" w:type="dxa"/>
          </w:tcPr>
          <w:p w14:paraId="4D7A79CC" w14:textId="5929470F" w:rsidR="00500337" w:rsidRDefault="003D43C6" w:rsidP="00500337">
            <w:pPr>
              <w:ind w:left="0" w:right="0"/>
            </w:pPr>
            <w:r>
              <w:t>29 June 2018</w:t>
            </w:r>
          </w:p>
        </w:tc>
      </w:tr>
      <w:tr w:rsidR="00500337" w14:paraId="7026A186" w14:textId="77777777" w:rsidTr="00500337">
        <w:tc>
          <w:tcPr>
            <w:tcW w:w="4360" w:type="dxa"/>
          </w:tcPr>
          <w:p w14:paraId="75A18190" w14:textId="77777777" w:rsidR="00500337" w:rsidRDefault="00500337" w:rsidP="00500337">
            <w:pPr>
              <w:ind w:left="0" w:right="0"/>
            </w:pPr>
            <w:r>
              <w:t>Sponsor provides responses on questions raised in first round evaluation</w:t>
            </w:r>
          </w:p>
        </w:tc>
        <w:tc>
          <w:tcPr>
            <w:tcW w:w="4360" w:type="dxa"/>
          </w:tcPr>
          <w:p w14:paraId="4FF47483" w14:textId="351E681F" w:rsidR="00500337" w:rsidRDefault="003D43C6" w:rsidP="00500337">
            <w:pPr>
              <w:ind w:left="0" w:right="0"/>
            </w:pPr>
            <w:r>
              <w:t>3 September 2018</w:t>
            </w:r>
          </w:p>
        </w:tc>
      </w:tr>
      <w:tr w:rsidR="00500337" w14:paraId="1F84CE2B" w14:textId="77777777" w:rsidTr="00500337">
        <w:tc>
          <w:tcPr>
            <w:tcW w:w="4360" w:type="dxa"/>
          </w:tcPr>
          <w:p w14:paraId="150F8D04" w14:textId="77777777" w:rsidR="00500337" w:rsidRDefault="00500337" w:rsidP="00500337">
            <w:pPr>
              <w:ind w:left="0" w:right="0"/>
            </w:pPr>
            <w:r>
              <w:t>Second round evaluation completed</w:t>
            </w:r>
          </w:p>
        </w:tc>
        <w:tc>
          <w:tcPr>
            <w:tcW w:w="4360" w:type="dxa"/>
          </w:tcPr>
          <w:p w14:paraId="10A18555" w14:textId="3579D0D6" w:rsidR="00500337" w:rsidRDefault="003D43C6" w:rsidP="00500337">
            <w:pPr>
              <w:ind w:left="0" w:right="0"/>
            </w:pPr>
            <w:r>
              <w:t>9 October 2018</w:t>
            </w:r>
          </w:p>
        </w:tc>
      </w:tr>
      <w:tr w:rsidR="00F915B1" w14:paraId="2A30E5F0" w14:textId="77777777" w:rsidTr="00500337">
        <w:tc>
          <w:tcPr>
            <w:tcW w:w="4360" w:type="dxa"/>
          </w:tcPr>
          <w:p w14:paraId="51D2F4D5" w14:textId="3BA4F955" w:rsidR="00F915B1" w:rsidRDefault="00F915B1" w:rsidP="00F915B1">
            <w:pPr>
              <w:ind w:left="0"/>
            </w:pPr>
            <w:r w:rsidRPr="007E4378">
              <w:t>Delegate's overall benefit-risk assessment</w:t>
            </w:r>
          </w:p>
        </w:tc>
        <w:tc>
          <w:tcPr>
            <w:tcW w:w="4360" w:type="dxa"/>
          </w:tcPr>
          <w:p w14:paraId="2507756F" w14:textId="42FDF4A4" w:rsidR="00F915B1" w:rsidRDefault="00F915B1" w:rsidP="00F915B1">
            <w:pPr>
              <w:ind w:left="0"/>
            </w:pPr>
            <w:r w:rsidRPr="007E4378">
              <w:t>12 November 2018</w:t>
            </w:r>
          </w:p>
        </w:tc>
      </w:tr>
      <w:tr w:rsidR="00F915B1" w14:paraId="24ECEA9A" w14:textId="77777777" w:rsidTr="00500337">
        <w:tc>
          <w:tcPr>
            <w:tcW w:w="4360" w:type="dxa"/>
          </w:tcPr>
          <w:p w14:paraId="2441AA71" w14:textId="239F0B5A" w:rsidR="00F915B1" w:rsidRDefault="00F915B1" w:rsidP="00F915B1">
            <w:pPr>
              <w:ind w:left="0"/>
            </w:pPr>
            <w:r w:rsidRPr="007E4378">
              <w:lastRenderedPageBreak/>
              <w:t>Sponsor's pre-Advisory Committee response</w:t>
            </w:r>
          </w:p>
        </w:tc>
        <w:tc>
          <w:tcPr>
            <w:tcW w:w="4360" w:type="dxa"/>
          </w:tcPr>
          <w:p w14:paraId="06347158" w14:textId="27833205" w:rsidR="00F915B1" w:rsidRDefault="00F915B1" w:rsidP="00F915B1">
            <w:pPr>
              <w:ind w:left="0"/>
            </w:pPr>
            <w:r w:rsidRPr="007E4378">
              <w:t>Not applicable</w:t>
            </w:r>
          </w:p>
        </w:tc>
      </w:tr>
      <w:tr w:rsidR="00F915B1" w14:paraId="088C842A" w14:textId="77777777" w:rsidTr="00500337">
        <w:tc>
          <w:tcPr>
            <w:tcW w:w="4360" w:type="dxa"/>
          </w:tcPr>
          <w:p w14:paraId="5BAA4787" w14:textId="6F22B7BD" w:rsidR="00F915B1" w:rsidRDefault="00F915B1" w:rsidP="00F915B1">
            <w:pPr>
              <w:ind w:left="0"/>
            </w:pPr>
            <w:r w:rsidRPr="007E4378">
              <w:t>Advisory Committee meeting</w:t>
            </w:r>
          </w:p>
        </w:tc>
        <w:tc>
          <w:tcPr>
            <w:tcW w:w="4360" w:type="dxa"/>
          </w:tcPr>
          <w:p w14:paraId="2E86E85A" w14:textId="21EFCA45" w:rsidR="00F915B1" w:rsidRDefault="00F915B1" w:rsidP="00F915B1">
            <w:pPr>
              <w:ind w:left="0"/>
            </w:pPr>
            <w:r w:rsidRPr="007E4378">
              <w:t>Not applicable</w:t>
            </w:r>
          </w:p>
        </w:tc>
      </w:tr>
      <w:tr w:rsidR="00500337" w14:paraId="14D01DD3" w14:textId="77777777" w:rsidTr="00500337">
        <w:tc>
          <w:tcPr>
            <w:tcW w:w="4360" w:type="dxa"/>
          </w:tcPr>
          <w:p w14:paraId="130BB975" w14:textId="77777777" w:rsidR="00500337" w:rsidRDefault="00500337" w:rsidP="00500337">
            <w:pPr>
              <w:ind w:left="0" w:right="0"/>
            </w:pPr>
            <w:r>
              <w:t>Registration decision (Outcome)</w:t>
            </w:r>
          </w:p>
        </w:tc>
        <w:tc>
          <w:tcPr>
            <w:tcW w:w="4360" w:type="dxa"/>
          </w:tcPr>
          <w:p w14:paraId="43D67194" w14:textId="490D454C" w:rsidR="00500337" w:rsidRDefault="003D43C6" w:rsidP="00500337">
            <w:pPr>
              <w:ind w:left="0" w:right="0"/>
            </w:pPr>
            <w:r>
              <w:t>16 January 2019</w:t>
            </w:r>
          </w:p>
        </w:tc>
      </w:tr>
      <w:tr w:rsidR="00500337" w14:paraId="23C24392" w14:textId="77777777" w:rsidTr="00500337">
        <w:tc>
          <w:tcPr>
            <w:tcW w:w="4360" w:type="dxa"/>
          </w:tcPr>
          <w:p w14:paraId="0F14E014"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2EE50A20" w14:textId="7A05056C" w:rsidR="00500337" w:rsidRDefault="003D43C6" w:rsidP="00500337">
            <w:pPr>
              <w:ind w:left="0" w:right="0"/>
            </w:pPr>
            <w:r>
              <w:t>30 June 2020</w:t>
            </w:r>
          </w:p>
        </w:tc>
      </w:tr>
      <w:tr w:rsidR="00500337" w14:paraId="20624E75" w14:textId="77777777" w:rsidTr="00500337">
        <w:tc>
          <w:tcPr>
            <w:tcW w:w="4360" w:type="dxa"/>
          </w:tcPr>
          <w:p w14:paraId="6EA6F8A0" w14:textId="77777777" w:rsidR="00500337" w:rsidRDefault="00500337" w:rsidP="00500337">
            <w:pPr>
              <w:ind w:left="0" w:right="0"/>
            </w:pPr>
            <w:r>
              <w:t>Number of working days from submission dossier acceptance to registration decision*</w:t>
            </w:r>
          </w:p>
        </w:tc>
        <w:tc>
          <w:tcPr>
            <w:tcW w:w="4360" w:type="dxa"/>
          </w:tcPr>
          <w:p w14:paraId="169D01FF" w14:textId="1DD7B2A8" w:rsidR="00500337" w:rsidRDefault="003D43C6" w:rsidP="00500337">
            <w:pPr>
              <w:ind w:left="0" w:right="0"/>
            </w:pPr>
            <w:r>
              <w:t>187</w:t>
            </w:r>
          </w:p>
        </w:tc>
      </w:tr>
    </w:tbl>
    <w:p w14:paraId="7668A888" w14:textId="7DDA9A44"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r w:rsidR="00547AAE">
        <w:t>.</w:t>
      </w:r>
    </w:p>
    <w:p w14:paraId="38335337" w14:textId="09829BBE" w:rsidR="008E7846" w:rsidRPr="00792A32" w:rsidRDefault="00456765" w:rsidP="008E7846">
      <w:pPr>
        <w:pStyle w:val="Heading2"/>
      </w:pPr>
      <w:bookmarkStart w:id="27" w:name="_Toc196046504"/>
      <w:bookmarkStart w:id="28" w:name="_Toc247691527"/>
      <w:bookmarkStart w:id="29" w:name="_Toc314842510"/>
      <w:bookmarkStart w:id="30" w:name="_Toc57130856"/>
      <w:bookmarkStart w:id="31" w:name="_Toc163441390"/>
      <w:bookmarkEnd w:id="23"/>
      <w:bookmarkEnd w:id="24"/>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7"/>
      <w:bookmarkEnd w:id="28"/>
      <w:bookmarkEnd w:id="29"/>
      <w:bookmarkEnd w:id="30"/>
    </w:p>
    <w:p w14:paraId="240C3C59" w14:textId="77777777" w:rsidR="00006FAB" w:rsidRDefault="00006FAB" w:rsidP="00006FAB">
      <w:bookmarkStart w:id="32" w:name="_Toc247691528"/>
      <w:r>
        <w:t>The submission was summarised in the following Delegate’s overview and recommendations.</w:t>
      </w:r>
    </w:p>
    <w:p w14:paraId="779B285F" w14:textId="77777777" w:rsidR="008E7846" w:rsidRDefault="008E7846" w:rsidP="008E7846">
      <w:pPr>
        <w:pStyle w:val="Heading3"/>
      </w:pPr>
      <w:bookmarkStart w:id="33" w:name="_Toc314842511"/>
      <w:bookmarkStart w:id="34" w:name="_Toc57130857"/>
      <w:r>
        <w:t>Quality</w:t>
      </w:r>
      <w:bookmarkEnd w:id="32"/>
      <w:bookmarkEnd w:id="33"/>
      <w:bookmarkEnd w:id="34"/>
    </w:p>
    <w:p w14:paraId="7E61DCEF" w14:textId="55502FC3" w:rsidR="009D4E2F" w:rsidRDefault="008E1AED" w:rsidP="005233BF">
      <w:pPr>
        <w:rPr>
          <w:lang w:val="en-GB" w:eastAsia="zh-TW"/>
        </w:rPr>
      </w:pPr>
      <w:r>
        <w:rPr>
          <w:lang w:val="en-GB" w:eastAsia="zh-TW"/>
        </w:rPr>
        <w:t xml:space="preserve">The </w:t>
      </w:r>
      <w:r w:rsidR="00BA6769">
        <w:rPr>
          <w:lang w:val="en-GB" w:eastAsia="zh-TW"/>
        </w:rPr>
        <w:t xml:space="preserve">following </w:t>
      </w:r>
      <w:r w:rsidR="00BE3D8C">
        <w:rPr>
          <w:lang w:val="en-GB" w:eastAsia="zh-TW"/>
        </w:rPr>
        <w:t>was summarised in the quality evaluation report</w:t>
      </w:r>
      <w:r w:rsidR="00BA6769">
        <w:rPr>
          <w:lang w:val="en-GB" w:eastAsia="zh-TW"/>
        </w:rPr>
        <w:t>:</w:t>
      </w:r>
    </w:p>
    <w:p w14:paraId="0B65ABB9" w14:textId="77BB674A" w:rsidR="009D4E2F" w:rsidRPr="00B2346D" w:rsidRDefault="009D4E2F" w:rsidP="00936FF6">
      <w:pPr>
        <w:pStyle w:val="ListBullet"/>
        <w:rPr>
          <w:lang w:val="en-GB"/>
        </w:rPr>
      </w:pPr>
      <w:r w:rsidRPr="00B2346D">
        <w:rPr>
          <w:lang w:val="en-GB"/>
        </w:rPr>
        <w:t xml:space="preserve">The ABP 215 biosimilar studies used non-Australian reference products (bevacizumab </w:t>
      </w:r>
      <w:r w:rsidR="00BE3D8C">
        <w:rPr>
          <w:lang w:val="en-GB"/>
        </w:rPr>
        <w:t>(</w:t>
      </w:r>
      <w:r w:rsidRPr="00B2346D">
        <w:rPr>
          <w:lang w:val="en-GB"/>
        </w:rPr>
        <w:t>EU</w:t>
      </w:r>
      <w:r w:rsidR="00DF63EA">
        <w:rPr>
          <w:lang w:val="en-GB"/>
        </w:rPr>
        <w:t xml:space="preserve"> sourced</w:t>
      </w:r>
      <w:r w:rsidR="00BE3D8C">
        <w:rPr>
          <w:lang w:val="en-GB"/>
        </w:rPr>
        <w:t>)</w:t>
      </w:r>
      <w:r w:rsidRPr="00B2346D">
        <w:rPr>
          <w:lang w:val="en-GB"/>
        </w:rPr>
        <w:t xml:space="preserve"> and bevacizumab </w:t>
      </w:r>
      <w:r w:rsidR="00BE3D8C">
        <w:rPr>
          <w:lang w:val="en-GB"/>
        </w:rPr>
        <w:t>(</w:t>
      </w:r>
      <w:r w:rsidRPr="00B2346D">
        <w:rPr>
          <w:lang w:val="en-GB"/>
        </w:rPr>
        <w:t>US</w:t>
      </w:r>
      <w:r w:rsidR="00DF63EA">
        <w:rPr>
          <w:lang w:val="en-GB"/>
        </w:rPr>
        <w:t xml:space="preserve"> sourced</w:t>
      </w:r>
      <w:r w:rsidR="00BE3D8C">
        <w:rPr>
          <w:lang w:val="en-GB"/>
        </w:rPr>
        <w:t>)</w:t>
      </w:r>
      <w:r w:rsidR="00ED6DD5">
        <w:rPr>
          <w:lang w:val="en-GB"/>
        </w:rPr>
        <w:t xml:space="preserve">). Therefore, a two </w:t>
      </w:r>
      <w:r w:rsidRPr="00B2346D">
        <w:rPr>
          <w:lang w:val="en-GB"/>
        </w:rPr>
        <w:t xml:space="preserve">step approach was used to evaluate analytical similarity between ABP 215 and US, EU, and </w:t>
      </w:r>
      <w:r w:rsidR="00DF63EA">
        <w:rPr>
          <w:lang w:val="en-GB"/>
        </w:rPr>
        <w:t>Australian</w:t>
      </w:r>
      <w:r w:rsidRPr="00B2346D">
        <w:rPr>
          <w:lang w:val="en-GB"/>
        </w:rPr>
        <w:t xml:space="preserve"> </w:t>
      </w:r>
      <w:r w:rsidR="00DF63EA">
        <w:rPr>
          <w:lang w:val="en-GB"/>
        </w:rPr>
        <w:t xml:space="preserve">sourced </w:t>
      </w:r>
      <w:r w:rsidRPr="00B2346D">
        <w:rPr>
          <w:lang w:val="en-GB"/>
        </w:rPr>
        <w:t>bevacizumab. This included the following:</w:t>
      </w:r>
    </w:p>
    <w:p w14:paraId="56798517" w14:textId="77777777" w:rsidR="009D4E2F" w:rsidRPr="00B2346D" w:rsidRDefault="009D4E2F" w:rsidP="005233BF">
      <w:pPr>
        <w:pStyle w:val="ListBullet2"/>
        <w:rPr>
          <w:lang w:val="en-GB"/>
        </w:rPr>
      </w:pPr>
      <w:r w:rsidRPr="00B2346D">
        <w:rPr>
          <w:lang w:val="en-GB"/>
        </w:rPr>
        <w:t>Comparability analytical similarity assessment was performed between ABP 215, bevacizumab (US), and bevacizumab (EU) as follows:</w:t>
      </w:r>
    </w:p>
    <w:p w14:paraId="560DADF4" w14:textId="77777777" w:rsidR="006D12F1" w:rsidRPr="00F915B1" w:rsidRDefault="009D4E2F" w:rsidP="00F915B1">
      <w:pPr>
        <w:pStyle w:val="ListBullet3"/>
      </w:pPr>
      <w:r w:rsidRPr="00F915B1">
        <w:t>analytical similarity between ABP 215 and bevacizumab (US)</w:t>
      </w:r>
    </w:p>
    <w:p w14:paraId="1476FD7E" w14:textId="77777777" w:rsidR="006D12F1" w:rsidRPr="00F915B1" w:rsidRDefault="009D4E2F" w:rsidP="00F915B1">
      <w:pPr>
        <w:pStyle w:val="ListBullet3"/>
      </w:pPr>
      <w:r w:rsidRPr="00F915B1">
        <w:t>analytical similarity between ABP 215 and bevacizumab (EU)</w:t>
      </w:r>
    </w:p>
    <w:p w14:paraId="2EAF1C2D" w14:textId="3130370C" w:rsidR="009D4E2F" w:rsidRPr="00F915B1" w:rsidRDefault="009D4E2F" w:rsidP="00F915B1">
      <w:pPr>
        <w:pStyle w:val="ListBullet3"/>
      </w:pPr>
      <w:r w:rsidRPr="00F915B1">
        <w:t>reference product bridging between bevacizumab (US) and bevacizumab (EU)</w:t>
      </w:r>
      <w:r w:rsidR="00DF63EA">
        <w:t>.</w:t>
      </w:r>
    </w:p>
    <w:p w14:paraId="0ED8B91A" w14:textId="6B766875" w:rsidR="009D4E2F" w:rsidRPr="00B2346D" w:rsidRDefault="009D4E2F" w:rsidP="005233BF">
      <w:pPr>
        <w:pStyle w:val="ListBullet2"/>
        <w:rPr>
          <w:lang w:val="en-GB"/>
        </w:rPr>
      </w:pPr>
      <w:r w:rsidRPr="00B2346D">
        <w:rPr>
          <w:lang w:val="en-GB"/>
        </w:rPr>
        <w:t>An Australian confirmatory bridging assessment was performed between bevacizumab (A</w:t>
      </w:r>
      <w:r w:rsidR="00DF63EA">
        <w:rPr>
          <w:lang w:val="en-GB"/>
        </w:rPr>
        <w:t>ustralian</w:t>
      </w:r>
      <w:r w:rsidRPr="00B2346D">
        <w:rPr>
          <w:lang w:val="en-GB"/>
        </w:rPr>
        <w:t>), bevacizumab (EU), and bevacizumab (US)</w:t>
      </w:r>
    </w:p>
    <w:p w14:paraId="05203288" w14:textId="389243F8" w:rsidR="009D4E2F" w:rsidRDefault="009D4E2F" w:rsidP="005233BF">
      <w:pPr>
        <w:pStyle w:val="ListBullet"/>
        <w:rPr>
          <w:lang w:val="en-GB" w:eastAsia="zh-TW"/>
        </w:rPr>
      </w:pPr>
      <w:r w:rsidRPr="00B2346D">
        <w:rPr>
          <w:lang w:val="en-GB" w:eastAsia="zh-TW"/>
        </w:rPr>
        <w:t xml:space="preserve">The results of the studies showed that ABP 215 is generally similar </w:t>
      </w:r>
      <w:r w:rsidR="00446F2A">
        <w:rPr>
          <w:lang w:val="en-GB" w:eastAsia="zh-TW"/>
        </w:rPr>
        <w:t xml:space="preserve">to </w:t>
      </w:r>
      <w:r w:rsidRPr="00B2346D">
        <w:rPr>
          <w:lang w:val="en-GB" w:eastAsia="zh-TW"/>
        </w:rPr>
        <w:t>bevacizumab US and EU for the quality attributes tested, including the same amino acid sequence, post</w:t>
      </w:r>
      <w:r w:rsidR="00DF63EA">
        <w:rPr>
          <w:lang w:val="en-GB" w:eastAsia="zh-TW"/>
        </w:rPr>
        <w:noBreakHyphen/>
      </w:r>
      <w:r w:rsidRPr="00B2346D">
        <w:rPr>
          <w:lang w:val="en-GB" w:eastAsia="zh-TW"/>
        </w:rPr>
        <w:t>translational modifications, disulphide structure and degradation profiles at 50°C (forced degradation), 40°C (stressed degradation) and 25°C (accelerated degradation)</w:t>
      </w:r>
      <w:r w:rsidR="00707079">
        <w:rPr>
          <w:lang w:val="en-GB" w:eastAsia="zh-TW"/>
        </w:rPr>
        <w:t xml:space="preserve">. </w:t>
      </w:r>
      <w:r w:rsidRPr="00B2346D">
        <w:rPr>
          <w:lang w:val="en-GB" w:eastAsia="zh-TW"/>
        </w:rPr>
        <w:t>However, due to the different cell line and manufacturing process used to produce ABP 215 and bevacizumab, there will be inevit</w:t>
      </w:r>
      <w:r w:rsidR="00ED6DD5">
        <w:rPr>
          <w:lang w:val="en-GB" w:eastAsia="zh-TW"/>
        </w:rPr>
        <w:t>able differences in the physico</w:t>
      </w:r>
      <w:r w:rsidRPr="00B2346D">
        <w:rPr>
          <w:lang w:val="en-GB" w:eastAsia="zh-TW"/>
        </w:rPr>
        <w:t>chemical characteristics and biological activity between the two products</w:t>
      </w:r>
      <w:r w:rsidR="008E07BB">
        <w:rPr>
          <w:lang w:val="en-GB" w:eastAsia="zh-TW"/>
        </w:rPr>
        <w:t>.</w:t>
      </w:r>
    </w:p>
    <w:p w14:paraId="3F3F4746" w14:textId="677E3BBC" w:rsidR="009D4E2F" w:rsidRPr="002A7060" w:rsidRDefault="008E1AED" w:rsidP="006D12F1">
      <w:pPr>
        <w:rPr>
          <w:lang w:val="en-GB" w:eastAsia="zh-TW"/>
        </w:rPr>
      </w:pPr>
      <w:r>
        <w:rPr>
          <w:lang w:val="en-GB" w:eastAsia="zh-TW"/>
        </w:rPr>
        <w:t>The evaluator</w:t>
      </w:r>
      <w:r w:rsidR="009D4E2F" w:rsidRPr="002A7060">
        <w:rPr>
          <w:lang w:val="en-GB" w:eastAsia="zh-TW"/>
        </w:rPr>
        <w:t xml:space="preserve"> then described the minor differences noted</w:t>
      </w:r>
      <w:r>
        <w:rPr>
          <w:lang w:val="en-GB" w:eastAsia="zh-TW"/>
        </w:rPr>
        <w:t>, and concluded by stating:</w:t>
      </w:r>
    </w:p>
    <w:p w14:paraId="799E2749" w14:textId="57F7DBDE" w:rsidR="009D4E2F" w:rsidRDefault="009D4E2F" w:rsidP="000137E6">
      <w:pPr>
        <w:pStyle w:val="ListBullet"/>
        <w:rPr>
          <w:lang w:val="en-GB"/>
        </w:rPr>
      </w:pPr>
      <w:r w:rsidRPr="00B2346D">
        <w:rPr>
          <w:lang w:val="en-GB"/>
        </w:rPr>
        <w:t>Overall, the differences in the quality attributes between ABP 215 and bevacizumab (A</w:t>
      </w:r>
      <w:r w:rsidR="008E1AED">
        <w:rPr>
          <w:lang w:val="en-GB"/>
        </w:rPr>
        <w:t>vastin</w:t>
      </w:r>
      <w:r w:rsidRPr="00B2346D">
        <w:rPr>
          <w:lang w:val="en-GB"/>
        </w:rPr>
        <w:t>) appear to be minor. Nevertheless, the differences described above should be considered in conjunction with nonclinical and clinical studies to determine whether there is any impact on safety and efficacy</w:t>
      </w:r>
      <w:r w:rsidR="008E1AED">
        <w:rPr>
          <w:lang w:val="en-GB"/>
        </w:rPr>
        <w:t>.</w:t>
      </w:r>
    </w:p>
    <w:p w14:paraId="079914EF" w14:textId="56EDB32C" w:rsidR="00BA6769" w:rsidRPr="00B2346D" w:rsidRDefault="00BA6769" w:rsidP="006D12F1">
      <w:pPr>
        <w:rPr>
          <w:lang w:val="en-GB" w:eastAsia="zh-TW"/>
        </w:rPr>
      </w:pPr>
      <w:r>
        <w:rPr>
          <w:lang w:val="en-GB" w:eastAsia="zh-TW"/>
        </w:rPr>
        <w:lastRenderedPageBreak/>
        <w:t xml:space="preserve">The Delegate commented </w:t>
      </w:r>
      <w:r w:rsidR="00DF63EA">
        <w:rPr>
          <w:lang w:val="en-GB" w:eastAsia="zh-TW"/>
        </w:rPr>
        <w:t xml:space="preserve">with </w:t>
      </w:r>
      <w:r>
        <w:rPr>
          <w:lang w:val="en-GB" w:eastAsia="zh-TW"/>
        </w:rPr>
        <w:t>the following:</w:t>
      </w:r>
    </w:p>
    <w:p w14:paraId="43561A13" w14:textId="33DE50F1" w:rsidR="009D4E2F" w:rsidRDefault="005E1C7F" w:rsidP="005233BF">
      <w:pPr>
        <w:pStyle w:val="ListBullet"/>
        <w:rPr>
          <w:snapToGrid w:val="0"/>
          <w:lang w:val="en-GB"/>
        </w:rPr>
      </w:pPr>
      <w:r>
        <w:rPr>
          <w:snapToGrid w:val="0"/>
          <w:lang w:val="en-GB"/>
        </w:rPr>
        <w:t xml:space="preserve">No details were included in the report about the Australian confirmatory bridging study. On 23 October 2018, </w:t>
      </w:r>
      <w:r w:rsidR="009D4E2F">
        <w:rPr>
          <w:snapToGrid w:val="0"/>
          <w:lang w:val="en-GB"/>
        </w:rPr>
        <w:t xml:space="preserve">the </w:t>
      </w:r>
      <w:r w:rsidR="00BA6769">
        <w:rPr>
          <w:snapToGrid w:val="0"/>
          <w:lang w:val="en-GB"/>
        </w:rPr>
        <w:t xml:space="preserve">quality </w:t>
      </w:r>
      <w:r w:rsidR="009D4E2F">
        <w:rPr>
          <w:snapToGrid w:val="0"/>
          <w:lang w:val="en-GB"/>
        </w:rPr>
        <w:t>evaluator advised that there were no significant differences between bevacizumab (A</w:t>
      </w:r>
      <w:r w:rsidR="00FF2C3D">
        <w:rPr>
          <w:snapToGrid w:val="0"/>
          <w:lang w:val="en-GB"/>
        </w:rPr>
        <w:t>ustralian</w:t>
      </w:r>
      <w:r w:rsidR="009D4E2F">
        <w:rPr>
          <w:snapToGrid w:val="0"/>
          <w:lang w:val="en-GB"/>
        </w:rPr>
        <w:t>), bevacizumab (EU) and bevacizumab (US) in the Australian bridging study.</w:t>
      </w:r>
    </w:p>
    <w:p w14:paraId="59331CCC" w14:textId="45D28DC4" w:rsidR="009D4E2F" w:rsidRDefault="009D4E2F" w:rsidP="005233BF">
      <w:pPr>
        <w:pStyle w:val="ListBullet"/>
        <w:rPr>
          <w:lang w:val="en-GB"/>
        </w:rPr>
      </w:pPr>
      <w:r>
        <w:rPr>
          <w:snapToGrid w:val="0"/>
          <w:lang w:val="en-GB"/>
        </w:rPr>
        <w:t xml:space="preserve">In addition, there were no novel excipients as noted in the report. The excipients meet the current </w:t>
      </w:r>
      <w:r w:rsidRPr="00C86F40">
        <w:rPr>
          <w:lang w:val="en-GB"/>
        </w:rPr>
        <w:t>United States Pharmacopeia, National</w:t>
      </w:r>
      <w:r>
        <w:rPr>
          <w:lang w:val="en-GB"/>
        </w:rPr>
        <w:t xml:space="preserve"> </w:t>
      </w:r>
      <w:r w:rsidRPr="00C86F40">
        <w:rPr>
          <w:lang w:val="en-GB"/>
        </w:rPr>
        <w:t>Formulary, or European Pharmacopoeia acceptance limit</w:t>
      </w:r>
      <w:r>
        <w:rPr>
          <w:lang w:val="en-GB"/>
        </w:rPr>
        <w:t>s.</w:t>
      </w:r>
    </w:p>
    <w:p w14:paraId="71C31CEE" w14:textId="77DBE770" w:rsidR="008E1AED" w:rsidRPr="002D0045" w:rsidRDefault="008E1AED" w:rsidP="005233BF">
      <w:pPr>
        <w:spacing w:after="0" w:line="240" w:lineRule="auto"/>
        <w:rPr>
          <w:snapToGrid w:val="0"/>
          <w:lang w:val="en-GB"/>
        </w:rPr>
      </w:pPr>
      <w:r>
        <w:rPr>
          <w:lang w:val="en-GB"/>
        </w:rPr>
        <w:t xml:space="preserve">In summary, </w:t>
      </w:r>
      <w:r>
        <w:rPr>
          <w:snapToGrid w:val="0"/>
          <w:lang w:val="en-GB"/>
        </w:rPr>
        <w:t>a</w:t>
      </w:r>
      <w:r w:rsidRPr="002A7060">
        <w:rPr>
          <w:snapToGrid w:val="0"/>
          <w:lang w:val="en-GB"/>
        </w:rPr>
        <w:t xml:space="preserve">ll issues </w:t>
      </w:r>
      <w:r>
        <w:rPr>
          <w:snapToGrid w:val="0"/>
          <w:lang w:val="en-GB"/>
        </w:rPr>
        <w:t xml:space="preserve">in relation to quality </w:t>
      </w:r>
      <w:r w:rsidRPr="002A7060">
        <w:rPr>
          <w:snapToGrid w:val="0"/>
          <w:lang w:val="en-GB"/>
        </w:rPr>
        <w:t xml:space="preserve">have been resolved. There is no objection to registration of </w:t>
      </w:r>
      <w:r>
        <w:rPr>
          <w:snapToGrid w:val="0"/>
          <w:lang w:val="en-GB"/>
        </w:rPr>
        <w:t>Mvasi on quality grounds.</w:t>
      </w:r>
    </w:p>
    <w:p w14:paraId="75518373" w14:textId="78405A30" w:rsidR="001D71D8" w:rsidRDefault="008E7846" w:rsidP="001D71D8">
      <w:pPr>
        <w:pStyle w:val="Heading3"/>
      </w:pPr>
      <w:bookmarkStart w:id="35" w:name="_Toc314842512"/>
      <w:bookmarkStart w:id="36" w:name="_Toc57130858"/>
      <w:r>
        <w:t>Nonclinica</w:t>
      </w:r>
      <w:bookmarkStart w:id="37" w:name="_Toc247691530"/>
      <w:bookmarkStart w:id="38" w:name="_Toc314842513"/>
      <w:bookmarkEnd w:id="35"/>
      <w:r w:rsidR="001178BA">
        <w:t>l</w:t>
      </w:r>
      <w:bookmarkEnd w:id="36"/>
    </w:p>
    <w:p w14:paraId="7F501463" w14:textId="249629E9" w:rsidR="008E07BB" w:rsidRPr="00BB4421" w:rsidRDefault="008E07BB" w:rsidP="008E07BB">
      <w:r>
        <w:t>The following conclusions and recommendations were made in the nonclinical evaluation:</w:t>
      </w:r>
    </w:p>
    <w:p w14:paraId="3A094647" w14:textId="106AB487" w:rsidR="009D4E2F" w:rsidRPr="00383C66" w:rsidRDefault="009D4E2F" w:rsidP="005233BF">
      <w:pPr>
        <w:pStyle w:val="ListBullet"/>
      </w:pPr>
      <w:r w:rsidRPr="00383C66">
        <w:t xml:space="preserve">The nonclinical dossier contained comparative studies on pharmacology, pharmacokinetics and repeat-dose toxicity. The scope of the nonclinical program is adequate under the relevant EU guideline. </w:t>
      </w:r>
      <w:r w:rsidR="002442C5" w:rsidRPr="00383C66">
        <w:t>Non</w:t>
      </w:r>
      <w:r w:rsidR="00B448F3">
        <w:t>clinical</w:t>
      </w:r>
      <w:r w:rsidR="002442C5" w:rsidRPr="00383C66">
        <w:t xml:space="preserve"> </w:t>
      </w:r>
      <w:r w:rsidRPr="00383C66">
        <w:t xml:space="preserve">studies were conducted using US-sourced </w:t>
      </w:r>
      <w:r w:rsidR="00486167" w:rsidRPr="00A42627">
        <w:t>Avastin</w:t>
      </w:r>
      <w:r w:rsidRPr="00A42627">
        <w:t xml:space="preserve"> as the comparator reference product. Studies outlining comparability of the US-sourced </w:t>
      </w:r>
      <w:r w:rsidR="00486167" w:rsidRPr="00383C66">
        <w:t xml:space="preserve">Avastin </w:t>
      </w:r>
      <w:r w:rsidRPr="00383C66">
        <w:t xml:space="preserve">to the Australian product were provided in </w:t>
      </w:r>
      <w:r w:rsidR="002442C5" w:rsidRPr="00383C66">
        <w:t xml:space="preserve">the </w:t>
      </w:r>
      <w:r w:rsidR="00956E4B">
        <w:t>q</w:t>
      </w:r>
      <w:r w:rsidR="002442C5" w:rsidRPr="00383C66">
        <w:t>uality information</w:t>
      </w:r>
      <w:r w:rsidRPr="00383C66">
        <w:t>.</w:t>
      </w:r>
    </w:p>
    <w:p w14:paraId="10D9E32B" w14:textId="2D2E4697" w:rsidR="009D4E2F" w:rsidRPr="00383C66" w:rsidRDefault="009D4E2F" w:rsidP="005233BF">
      <w:pPr>
        <w:pStyle w:val="ListBullet"/>
      </w:pPr>
      <w:r w:rsidRPr="00383C66">
        <w:t xml:space="preserve">No meaningful differences between </w:t>
      </w:r>
      <w:r w:rsidR="00486167" w:rsidRPr="00383C66">
        <w:t>Mvasi</w:t>
      </w:r>
      <w:r w:rsidRPr="00383C66">
        <w:t xml:space="preserve"> and </w:t>
      </w:r>
      <w:r w:rsidR="00486167" w:rsidRPr="00383C66">
        <w:t>Avastin</w:t>
      </w:r>
      <w:r w:rsidRPr="00383C66">
        <w:t xml:space="preserve"> were observed in the comparative pharmacology, pharmacokinetic and toxicity studies.</w:t>
      </w:r>
    </w:p>
    <w:p w14:paraId="11ECA624" w14:textId="72D401FE" w:rsidR="009D4E2F" w:rsidRPr="00383C66" w:rsidRDefault="009D4E2F" w:rsidP="005233BF">
      <w:pPr>
        <w:pStyle w:val="ListBullet"/>
      </w:pPr>
      <w:r w:rsidRPr="00383C66">
        <w:t xml:space="preserve">The ability of the nonclinical studies to support comparability to Australian </w:t>
      </w:r>
      <w:r w:rsidR="00486167" w:rsidRPr="00383C66">
        <w:t xml:space="preserve">Avastin </w:t>
      </w:r>
      <w:r w:rsidRPr="00383C66">
        <w:t xml:space="preserve">depends on the conclusion of the </w:t>
      </w:r>
      <w:r w:rsidR="00383C66">
        <w:t>q</w:t>
      </w:r>
      <w:r w:rsidR="002442C5" w:rsidRPr="00383C66">
        <w:t>uality</w:t>
      </w:r>
      <w:r w:rsidRPr="00383C66">
        <w:t xml:space="preserve"> </w:t>
      </w:r>
      <w:r w:rsidR="00383C66">
        <w:t>e</w:t>
      </w:r>
      <w:r w:rsidRPr="00383C66">
        <w:t xml:space="preserve">valuator regarding the identity of </w:t>
      </w:r>
      <w:r w:rsidR="00486167" w:rsidRPr="00383C66">
        <w:t>Avastin</w:t>
      </w:r>
      <w:r w:rsidRPr="00383C66">
        <w:t xml:space="preserve"> products across jurisdictions</w:t>
      </w:r>
      <w:r w:rsidR="00383C66">
        <w:t xml:space="preserve"> (see </w:t>
      </w:r>
      <w:r w:rsidR="00383C66" w:rsidRPr="005233BF">
        <w:rPr>
          <w:i/>
        </w:rPr>
        <w:t>‘Quality’</w:t>
      </w:r>
      <w:r w:rsidR="00383C66">
        <w:t xml:space="preserve"> section, above)</w:t>
      </w:r>
      <w:r w:rsidRPr="00383C66">
        <w:t xml:space="preserve">. Provided that the </w:t>
      </w:r>
      <w:r w:rsidR="00383C66">
        <w:t>q</w:t>
      </w:r>
      <w:r w:rsidR="002442C5" w:rsidRPr="00383C66">
        <w:t xml:space="preserve">uality </w:t>
      </w:r>
      <w:r w:rsidRPr="00383C66">
        <w:t xml:space="preserve">evaluator finds US-sourced </w:t>
      </w:r>
      <w:r w:rsidR="00486167" w:rsidRPr="00383C66">
        <w:t>Avastin</w:t>
      </w:r>
      <w:r w:rsidRPr="00383C66">
        <w:t xml:space="preserve"> used in nonclinical investigations to be highly comparable to the Australian product and the nonclinical batch is comparable to the batch to be distributed for marketing, there are no nonclinical objections to the registration of </w:t>
      </w:r>
      <w:r w:rsidR="00486167" w:rsidRPr="00383C66">
        <w:t>Mvasi.</w:t>
      </w:r>
    </w:p>
    <w:p w14:paraId="3EAE6B6D" w14:textId="21274CF4" w:rsidR="009D4E2F" w:rsidRPr="00383C66" w:rsidRDefault="009D4E2F" w:rsidP="005233BF">
      <w:pPr>
        <w:pStyle w:val="ListBullet"/>
      </w:pPr>
      <w:r w:rsidRPr="00383C66">
        <w:t xml:space="preserve">Statements in the draft </w:t>
      </w:r>
      <w:r w:rsidR="00383C66">
        <w:t>PI</w:t>
      </w:r>
      <w:r w:rsidRPr="00383C66">
        <w:t xml:space="preserve"> </w:t>
      </w:r>
      <w:r w:rsidR="00486167" w:rsidRPr="00383C66">
        <w:t>of Mvasi</w:t>
      </w:r>
      <w:r w:rsidRPr="00383C66">
        <w:t xml:space="preserve"> that pertain to nonclinical data are consistent with those for the approved Australian PI for </w:t>
      </w:r>
      <w:r w:rsidR="00486167" w:rsidRPr="00383C66">
        <w:t>Avastin</w:t>
      </w:r>
      <w:r w:rsidRPr="00383C66">
        <w:t xml:space="preserve"> and are therefore acceptable from a nonclinical perspective.</w:t>
      </w:r>
    </w:p>
    <w:p w14:paraId="60B19855" w14:textId="77777777" w:rsidR="008E7846" w:rsidRDefault="008E7846" w:rsidP="008E7846">
      <w:pPr>
        <w:pStyle w:val="Heading3"/>
      </w:pPr>
      <w:bookmarkStart w:id="39" w:name="_Toc57130859"/>
      <w:r>
        <w:t>Clinical</w:t>
      </w:r>
      <w:bookmarkEnd w:id="37"/>
      <w:bookmarkEnd w:id="38"/>
      <w:bookmarkEnd w:id="39"/>
    </w:p>
    <w:p w14:paraId="4AB098E1" w14:textId="77777777" w:rsidR="00B4560A" w:rsidRDefault="00B4560A" w:rsidP="008D376D">
      <w:pPr>
        <w:rPr>
          <w:lang w:eastAsia="ja-JP"/>
        </w:rPr>
      </w:pPr>
      <w:bookmarkStart w:id="40" w:name="_Toc314842514"/>
      <w:r w:rsidRPr="00EF3253">
        <w:rPr>
          <w:lang w:eastAsia="ja-JP"/>
        </w:rPr>
        <w:t>The clinical studies included</w:t>
      </w:r>
      <w:r>
        <w:rPr>
          <w:lang w:eastAsia="ja-JP"/>
        </w:rPr>
        <w:t>:</w:t>
      </w:r>
    </w:p>
    <w:p w14:paraId="73E5C8AD" w14:textId="1E106AE0" w:rsidR="00B4560A" w:rsidRDefault="00B4560A" w:rsidP="005233BF">
      <w:pPr>
        <w:pStyle w:val="ListBullet"/>
      </w:pPr>
      <w:r>
        <w:rPr>
          <w:lang w:eastAsia="ja-JP"/>
        </w:rPr>
        <w:t>S</w:t>
      </w:r>
      <w:r w:rsidRPr="00EF3253">
        <w:rPr>
          <w:lang w:eastAsia="ja-JP"/>
        </w:rPr>
        <w:t>tudy 20110216</w:t>
      </w:r>
      <w:r>
        <w:rPr>
          <w:lang w:eastAsia="ja-JP"/>
        </w:rPr>
        <w:t xml:space="preserve"> (also called </w:t>
      </w:r>
      <w:r w:rsidR="00383C66">
        <w:rPr>
          <w:lang w:eastAsia="ja-JP"/>
        </w:rPr>
        <w:t>S</w:t>
      </w:r>
      <w:r>
        <w:rPr>
          <w:lang w:eastAsia="ja-JP"/>
        </w:rPr>
        <w:t>tudy 216)</w:t>
      </w:r>
      <w:r w:rsidR="000137E6">
        <w:rPr>
          <w:lang w:eastAsia="ja-JP"/>
        </w:rPr>
        <w:t xml:space="preserve"> is</w:t>
      </w:r>
      <w:r w:rsidR="001178BA">
        <w:rPr>
          <w:lang w:eastAsia="ja-JP"/>
        </w:rPr>
        <w:t xml:space="preserve"> a randomis</w:t>
      </w:r>
      <w:r w:rsidRPr="00EF3253">
        <w:rPr>
          <w:lang w:eastAsia="ja-JP"/>
        </w:rPr>
        <w:t>ed, single</w:t>
      </w:r>
      <w:r w:rsidR="00C36BCC">
        <w:rPr>
          <w:lang w:eastAsia="ja-JP"/>
        </w:rPr>
        <w:t xml:space="preserve"> </w:t>
      </w:r>
      <w:r w:rsidRPr="00EF3253">
        <w:rPr>
          <w:lang w:eastAsia="ja-JP"/>
        </w:rPr>
        <w:t>blind, single</w:t>
      </w:r>
      <w:r w:rsidR="00C36BCC">
        <w:rPr>
          <w:lang w:eastAsia="ja-JP"/>
        </w:rPr>
        <w:t xml:space="preserve"> </w:t>
      </w:r>
      <w:r w:rsidRPr="00EF3253">
        <w:rPr>
          <w:lang w:eastAsia="ja-JP"/>
        </w:rPr>
        <w:t xml:space="preserve">dose, three arm, parallel group study to determine the pharmacokinetics </w:t>
      </w:r>
      <w:r w:rsidR="00C36BCC">
        <w:rPr>
          <w:lang w:eastAsia="ja-JP"/>
        </w:rPr>
        <w:t xml:space="preserve">(PK) </w:t>
      </w:r>
      <w:r w:rsidRPr="00EF3253">
        <w:rPr>
          <w:lang w:eastAsia="ja-JP"/>
        </w:rPr>
        <w:t>of ABP 215 and A</w:t>
      </w:r>
      <w:r>
        <w:rPr>
          <w:lang w:eastAsia="ja-JP"/>
        </w:rPr>
        <w:t xml:space="preserve">vastin in healthy male subjects. </w:t>
      </w:r>
      <w:r w:rsidRPr="009B7572">
        <w:rPr>
          <w:lang w:eastAsia="ja-JP"/>
        </w:rPr>
        <w:t>68 subjects received ABP 215, 67 received Avastin (US</w:t>
      </w:r>
      <w:r w:rsidR="00FF2C3D">
        <w:rPr>
          <w:lang w:eastAsia="ja-JP"/>
        </w:rPr>
        <w:t>-sourced</w:t>
      </w:r>
      <w:r w:rsidRPr="009B7572">
        <w:rPr>
          <w:lang w:eastAsia="ja-JP"/>
        </w:rPr>
        <w:t>) and 67 received Avastin (EU</w:t>
      </w:r>
      <w:r w:rsidR="00FF2C3D">
        <w:rPr>
          <w:lang w:eastAsia="ja-JP"/>
        </w:rPr>
        <w:t>-sourced</w:t>
      </w:r>
      <w:r>
        <w:rPr>
          <w:lang w:eastAsia="ja-JP"/>
        </w:rPr>
        <w:t>).</w:t>
      </w:r>
    </w:p>
    <w:p w14:paraId="515085FD" w14:textId="7613572A" w:rsidR="00B4560A" w:rsidRDefault="008D376D" w:rsidP="005233BF">
      <w:pPr>
        <w:pStyle w:val="ListBullet"/>
        <w:rPr>
          <w:lang w:eastAsia="ja-JP"/>
        </w:rPr>
      </w:pPr>
      <w:r>
        <w:rPr>
          <w:lang w:eastAsia="ja-JP"/>
        </w:rPr>
        <w:t>S</w:t>
      </w:r>
      <w:r w:rsidR="00B4560A" w:rsidRPr="005632DC">
        <w:t xml:space="preserve">tudy </w:t>
      </w:r>
      <w:r w:rsidR="00B4560A">
        <w:t xml:space="preserve">20120265 (also called </w:t>
      </w:r>
      <w:r w:rsidR="003B41C0">
        <w:t>S</w:t>
      </w:r>
      <w:r w:rsidR="00B4560A">
        <w:t>tudy 265)</w:t>
      </w:r>
      <w:r w:rsidR="000137E6">
        <w:t xml:space="preserve"> </w:t>
      </w:r>
      <w:r w:rsidR="000137E6">
        <w:rPr>
          <w:lang w:eastAsia="ja-JP"/>
        </w:rPr>
        <w:t>is</w:t>
      </w:r>
      <w:r w:rsidR="00B4560A">
        <w:rPr>
          <w:lang w:eastAsia="ja-JP"/>
        </w:rPr>
        <w:t xml:space="preserve"> </w:t>
      </w:r>
      <w:r w:rsidR="001178BA">
        <w:rPr>
          <w:lang w:eastAsia="ja-JP"/>
        </w:rPr>
        <w:t>a randomis</w:t>
      </w:r>
      <w:r w:rsidR="00B4560A" w:rsidRPr="00EF3253">
        <w:rPr>
          <w:lang w:eastAsia="ja-JP"/>
        </w:rPr>
        <w:t>ed, double</w:t>
      </w:r>
      <w:r w:rsidR="00C36BCC">
        <w:rPr>
          <w:lang w:eastAsia="ja-JP"/>
        </w:rPr>
        <w:t xml:space="preserve"> </w:t>
      </w:r>
      <w:r w:rsidR="00B4560A" w:rsidRPr="00EF3253">
        <w:rPr>
          <w:lang w:eastAsia="ja-JP"/>
        </w:rPr>
        <w:t xml:space="preserve">blind, </w:t>
      </w:r>
      <w:r w:rsidR="00FA4155">
        <w:rPr>
          <w:lang w:eastAsia="ja-JP"/>
        </w:rPr>
        <w:t>P</w:t>
      </w:r>
      <w:r w:rsidR="00B4560A" w:rsidRPr="00EF3253">
        <w:rPr>
          <w:lang w:eastAsia="ja-JP"/>
        </w:rPr>
        <w:t xml:space="preserve">hase </w:t>
      </w:r>
      <w:r w:rsidR="00FA4155">
        <w:rPr>
          <w:lang w:eastAsia="ja-JP"/>
        </w:rPr>
        <w:t xml:space="preserve">III </w:t>
      </w:r>
      <w:r w:rsidR="00B4560A" w:rsidRPr="00EF3253">
        <w:rPr>
          <w:lang w:eastAsia="ja-JP"/>
        </w:rPr>
        <w:t xml:space="preserve">study </w:t>
      </w:r>
      <w:r w:rsidR="00B4560A">
        <w:rPr>
          <w:lang w:eastAsia="ja-JP"/>
        </w:rPr>
        <w:t>assessing for immunogenicity and checking</w:t>
      </w:r>
      <w:r w:rsidR="00B4560A" w:rsidRPr="00EF3253">
        <w:rPr>
          <w:lang w:eastAsia="ja-JP"/>
        </w:rPr>
        <w:t xml:space="preserve"> the efficacy and safety of ABP 215 compared with Avastin in subjects with advanced non-small cell lung cancer</w:t>
      </w:r>
      <w:r w:rsidR="00B4560A">
        <w:rPr>
          <w:lang w:eastAsia="ja-JP"/>
        </w:rPr>
        <w:t xml:space="preserve"> in conjunction with first line chemotherapy.</w:t>
      </w:r>
      <w:r w:rsidR="00B4560A" w:rsidRPr="009B7572">
        <w:t xml:space="preserve"> </w:t>
      </w:r>
      <w:r w:rsidR="00B4560A" w:rsidRPr="009B7572">
        <w:rPr>
          <w:lang w:eastAsia="ja-JP"/>
        </w:rPr>
        <w:t>324 subjects recei</w:t>
      </w:r>
      <w:r w:rsidR="001178BA">
        <w:rPr>
          <w:lang w:eastAsia="ja-JP"/>
        </w:rPr>
        <w:t>ved at least one</w:t>
      </w:r>
      <w:r w:rsidR="00B4560A">
        <w:rPr>
          <w:lang w:eastAsia="ja-JP"/>
        </w:rPr>
        <w:t xml:space="preserve"> dose of ABP 215 and </w:t>
      </w:r>
      <w:r w:rsidR="001178BA">
        <w:rPr>
          <w:lang w:eastAsia="ja-JP"/>
        </w:rPr>
        <w:t>309 subjects received at least one</w:t>
      </w:r>
      <w:r w:rsidR="00B4560A" w:rsidRPr="009B7572">
        <w:rPr>
          <w:lang w:eastAsia="ja-JP"/>
        </w:rPr>
        <w:t xml:space="preserve"> dose of </w:t>
      </w:r>
      <w:r w:rsidR="001178BA">
        <w:rPr>
          <w:lang w:eastAsia="ja-JP"/>
        </w:rPr>
        <w:t>Avastin.</w:t>
      </w:r>
    </w:p>
    <w:p w14:paraId="0A591EF4" w14:textId="68038078" w:rsidR="00821D77" w:rsidRDefault="00821D77" w:rsidP="00667C50">
      <w:pPr>
        <w:pStyle w:val="Heading4"/>
      </w:pPr>
      <w:r>
        <w:lastRenderedPageBreak/>
        <w:t>Pharmacology</w:t>
      </w:r>
    </w:p>
    <w:p w14:paraId="19311F8B" w14:textId="0FB41367" w:rsidR="00B4560A" w:rsidRDefault="00B4560A" w:rsidP="00B4560A">
      <w:pPr>
        <w:pStyle w:val="Heading5"/>
      </w:pPr>
      <w:r w:rsidRPr="00AA53F4">
        <w:t>Pharmacokinetics</w:t>
      </w:r>
    </w:p>
    <w:p w14:paraId="53EA476B" w14:textId="04B6C668" w:rsidR="000A64D2" w:rsidRDefault="00B4560A" w:rsidP="00B4560A">
      <w:r>
        <w:t xml:space="preserve">Studies 216 and 265 both included data about </w:t>
      </w:r>
      <w:r w:rsidR="00C36BCC">
        <w:t>PK</w:t>
      </w:r>
      <w:r w:rsidR="000A64D2">
        <w:t>.</w:t>
      </w:r>
    </w:p>
    <w:p w14:paraId="5DC2AF82" w14:textId="12AB28D4" w:rsidR="000A64D2" w:rsidRDefault="00B4560A" w:rsidP="00B4560A">
      <w:r>
        <w:t xml:space="preserve">In </w:t>
      </w:r>
      <w:r w:rsidR="00010EB8">
        <w:t>S</w:t>
      </w:r>
      <w:r>
        <w:t xml:space="preserve">tudy 216, the main </w:t>
      </w:r>
      <w:r w:rsidR="00C36BCC">
        <w:t xml:space="preserve">PK </w:t>
      </w:r>
      <w:r>
        <w:t xml:space="preserve">study, the primary objective was to demonstrate bioequivalence as assessed by the area under the </w:t>
      </w:r>
      <w:r w:rsidR="00FF2C3D">
        <w:t xml:space="preserve">concentration-time </w:t>
      </w:r>
      <w:r>
        <w:t>curve (AUC) and the maximum observed serum concentration (</w:t>
      </w:r>
      <w:r w:rsidRPr="009037CF">
        <w:t>C</w:t>
      </w:r>
      <w:r w:rsidRPr="009037CF">
        <w:rPr>
          <w:vertAlign w:val="subscript"/>
        </w:rPr>
        <w:t>max</w:t>
      </w:r>
      <w:r>
        <w:t>)</w:t>
      </w:r>
      <w:r w:rsidRPr="009037CF">
        <w:rPr>
          <w:lang w:eastAsia="ja-JP"/>
        </w:rPr>
        <w:t xml:space="preserve"> </w:t>
      </w:r>
      <w:r>
        <w:rPr>
          <w:lang w:eastAsia="ja-JP"/>
        </w:rPr>
        <w:t>following a 3</w:t>
      </w:r>
      <w:r w:rsidR="00C36BCC">
        <w:rPr>
          <w:lang w:eastAsia="ja-JP"/>
        </w:rPr>
        <w:t xml:space="preserve"> </w:t>
      </w:r>
      <w:r>
        <w:rPr>
          <w:lang w:eastAsia="ja-JP"/>
        </w:rPr>
        <w:t>mg/kg intravenous infusion</w:t>
      </w:r>
      <w:r w:rsidR="000A64D2">
        <w:t>.</w:t>
      </w:r>
    </w:p>
    <w:p w14:paraId="2185C08D" w14:textId="21692F33" w:rsidR="00B4560A" w:rsidRDefault="00B4560A" w:rsidP="00B4560A">
      <w:r>
        <w:t xml:space="preserve">The adjusted </w:t>
      </w:r>
      <w:r w:rsidR="00C36BCC">
        <w:t>l</w:t>
      </w:r>
      <w:r w:rsidR="00B34C0E">
        <w:t xml:space="preserve">east </w:t>
      </w:r>
      <w:r w:rsidR="00C36BCC">
        <w:t>s</w:t>
      </w:r>
      <w:r w:rsidR="00B34C0E">
        <w:t>quares (</w:t>
      </w:r>
      <w:r>
        <w:t>LS</w:t>
      </w:r>
      <w:r w:rsidR="00B34C0E">
        <w:t>)</w:t>
      </w:r>
      <w:r>
        <w:t xml:space="preserve"> geometric mean for C</w:t>
      </w:r>
      <w:r w:rsidRPr="00EE5336">
        <w:rPr>
          <w:vertAlign w:val="subscript"/>
        </w:rPr>
        <w:t>max</w:t>
      </w:r>
      <w:r>
        <w:t xml:space="preserve"> for ABP 215 was 87.2 </w:t>
      </w:r>
      <w:r w:rsidR="007D31EF">
        <w:t>µg</w:t>
      </w:r>
      <w:r>
        <w:t>/mL, for Avastin (US</w:t>
      </w:r>
      <w:r w:rsidR="00FF2C3D">
        <w:t>-sourced</w:t>
      </w:r>
      <w:r>
        <w:t xml:space="preserve">) was 88.0 </w:t>
      </w:r>
      <w:r w:rsidR="00010EB8">
        <w:t>µg</w:t>
      </w:r>
      <w:r w:rsidRPr="00661FDF">
        <w:t>/mL</w:t>
      </w:r>
      <w:r>
        <w:t xml:space="preserve"> and Avastin (EU</w:t>
      </w:r>
      <w:r w:rsidR="00FF2C3D">
        <w:t>-sourced</w:t>
      </w:r>
      <w:r>
        <w:t>) was 85.8</w:t>
      </w:r>
      <w:r w:rsidRPr="00661FDF">
        <w:t xml:space="preserve"> </w:t>
      </w:r>
      <w:r w:rsidR="00010EB8">
        <w:t>µg</w:t>
      </w:r>
      <w:r w:rsidRPr="00661FDF">
        <w:t>/mL</w:t>
      </w:r>
      <w:r>
        <w:t xml:space="preserve">. The ratios of the adjusted LS geometric means were within the 90% confidence intervals, as demonstrated </w:t>
      </w:r>
      <w:r w:rsidR="00961899">
        <w:t xml:space="preserve">in </w:t>
      </w:r>
      <w:r w:rsidR="00961899">
        <w:fldChar w:fldCharType="begin"/>
      </w:r>
      <w:r w:rsidR="00961899">
        <w:instrText xml:space="preserve"> REF _Ref53672596 \h </w:instrText>
      </w:r>
      <w:r w:rsidR="00961899">
        <w:fldChar w:fldCharType="separate"/>
      </w:r>
      <w:r w:rsidR="005938A4">
        <w:t xml:space="preserve">Table </w:t>
      </w:r>
      <w:r w:rsidR="005938A4">
        <w:rPr>
          <w:noProof/>
        </w:rPr>
        <w:t>3</w:t>
      </w:r>
      <w:r w:rsidR="00961899">
        <w:fldChar w:fldCharType="end"/>
      </w:r>
      <w:r>
        <w:t>.</w:t>
      </w:r>
    </w:p>
    <w:p w14:paraId="2338A496" w14:textId="247405E4" w:rsidR="00B4560A" w:rsidRPr="00706935" w:rsidRDefault="00B4560A" w:rsidP="00B4560A">
      <w:r>
        <w:t xml:space="preserve">In addition, the </w:t>
      </w:r>
      <w:r w:rsidR="00010EB8">
        <w:t xml:space="preserve">area under the </w:t>
      </w:r>
      <w:r w:rsidR="00FF2C3D">
        <w:t xml:space="preserve">concentration-time </w:t>
      </w:r>
      <w:r w:rsidR="00010EB8">
        <w:t>curve from</w:t>
      </w:r>
      <w:r w:rsidR="00010EB8" w:rsidRPr="00010EB8">
        <w:t xml:space="preserve"> </w:t>
      </w:r>
      <w:r w:rsidR="00010EB8">
        <w:t>time 0 to infinity (</w:t>
      </w:r>
      <w:r>
        <w:t>AUC</w:t>
      </w:r>
      <w:r w:rsidRPr="00661FDF">
        <w:rPr>
          <w:vertAlign w:val="subscript"/>
        </w:rPr>
        <w:t>inf</w:t>
      </w:r>
      <w:r w:rsidR="00010EB8" w:rsidRPr="001E2D94">
        <w:t>)</w:t>
      </w:r>
      <w:r w:rsidR="00010EB8">
        <w:rPr>
          <w:vertAlign w:val="subscript"/>
        </w:rPr>
        <w:t xml:space="preserve"> </w:t>
      </w:r>
      <w:r>
        <w:t xml:space="preserve">and </w:t>
      </w:r>
      <w:r w:rsidR="00010EB8">
        <w:t xml:space="preserve">the area under the </w:t>
      </w:r>
      <w:r w:rsidR="00FF2C3D">
        <w:t xml:space="preserve">concentration-time </w:t>
      </w:r>
      <w:r w:rsidR="00010EB8">
        <w:t xml:space="preserve">curve from time 0 to the time of last quantifiable concentration </w:t>
      </w:r>
      <w:r>
        <w:t>(</w:t>
      </w:r>
      <w:r w:rsidR="00010EB8" w:rsidRPr="00661FDF">
        <w:t>AUC</w:t>
      </w:r>
      <w:r w:rsidR="00010EB8">
        <w:rPr>
          <w:vertAlign w:val="subscript"/>
        </w:rPr>
        <w:t>last</w:t>
      </w:r>
      <w:r>
        <w:t>) were assessed. The ratios of the adjusted LS geometric means of the AUC</w:t>
      </w:r>
      <w:r w:rsidRPr="00BD4B6E">
        <w:rPr>
          <w:vertAlign w:val="subscript"/>
        </w:rPr>
        <w:t>inf</w:t>
      </w:r>
      <w:r>
        <w:t xml:space="preserve"> for ABP 215 </w:t>
      </w:r>
      <w:r w:rsidR="005E5924">
        <w:t xml:space="preserve">versus </w:t>
      </w:r>
      <w:r>
        <w:t>Avastin (US) was 0.97, ABP 215 v</w:t>
      </w:r>
      <w:r w:rsidR="00CE5D3E">
        <w:t>ersus</w:t>
      </w:r>
      <w:r>
        <w:t xml:space="preserve"> Avastin (EU) was 0.98 and Avastin (US) v</w:t>
      </w:r>
      <w:r w:rsidR="00CE5D3E">
        <w:t>ersus</w:t>
      </w:r>
      <w:r>
        <w:t xml:space="preserve"> Avastin (EU) was 1.01, all within the 90% confidence interval. The results of the </w:t>
      </w:r>
      <w:r w:rsidRPr="00706935">
        <w:t xml:space="preserve">adjusted LS geometric means </w:t>
      </w:r>
      <w:r>
        <w:t xml:space="preserve">ratios of the </w:t>
      </w:r>
      <w:r w:rsidRPr="00BD4B6E">
        <w:t>AUC</w:t>
      </w:r>
      <w:r w:rsidRPr="00BD4B6E">
        <w:rPr>
          <w:vertAlign w:val="subscript"/>
        </w:rPr>
        <w:t>last</w:t>
      </w:r>
      <w:r>
        <w:t xml:space="preserve"> were very similar to those of the AUC</w:t>
      </w:r>
      <w:r w:rsidRPr="00BD4B6E">
        <w:rPr>
          <w:vertAlign w:val="subscript"/>
        </w:rPr>
        <w:t>inf</w:t>
      </w:r>
      <w:r>
        <w:t xml:space="preserve">, also falling within the 90% confidence intervals. </w:t>
      </w:r>
      <w:r w:rsidR="00961899">
        <w:fldChar w:fldCharType="begin"/>
      </w:r>
      <w:r w:rsidR="00961899">
        <w:instrText xml:space="preserve"> REF _Ref53672596 \h </w:instrText>
      </w:r>
      <w:r w:rsidR="00961899">
        <w:fldChar w:fldCharType="separate"/>
      </w:r>
      <w:r w:rsidR="005938A4">
        <w:t xml:space="preserve">Table </w:t>
      </w:r>
      <w:r w:rsidR="005938A4">
        <w:rPr>
          <w:noProof/>
        </w:rPr>
        <w:t>3</w:t>
      </w:r>
      <w:r w:rsidR="00961899">
        <w:fldChar w:fldCharType="end"/>
      </w:r>
      <w:r w:rsidR="00961899">
        <w:t xml:space="preserve"> </w:t>
      </w:r>
      <w:r w:rsidR="001178BA">
        <w:t>summari</w:t>
      </w:r>
      <w:r w:rsidR="00CE5D3E">
        <w:t>ses</w:t>
      </w:r>
      <w:r w:rsidR="001178BA">
        <w:t xml:space="preserve"> the results of Study 216</w:t>
      </w:r>
      <w:r w:rsidR="00060AD3">
        <w:t>.</w:t>
      </w:r>
    </w:p>
    <w:p w14:paraId="57AE0DE3" w14:textId="1C9DAB36" w:rsidR="001178BA" w:rsidRDefault="00C36BCC" w:rsidP="00707079">
      <w:pPr>
        <w:pStyle w:val="TableTitle"/>
      </w:pPr>
      <w:bookmarkStart w:id="41" w:name="_Ref53672596"/>
      <w:r>
        <w:t xml:space="preserve">Table </w:t>
      </w:r>
      <w:r w:rsidR="00741986">
        <w:fldChar w:fldCharType="begin"/>
      </w:r>
      <w:r w:rsidR="00741986">
        <w:instrText xml:space="preserve"> SEQ Table \* ARABIC </w:instrText>
      </w:r>
      <w:r w:rsidR="00741986">
        <w:fldChar w:fldCharType="separate"/>
      </w:r>
      <w:r w:rsidR="005938A4">
        <w:rPr>
          <w:noProof/>
        </w:rPr>
        <w:t>3</w:t>
      </w:r>
      <w:r w:rsidR="00741986">
        <w:rPr>
          <w:noProof/>
        </w:rPr>
        <w:fldChar w:fldCharType="end"/>
      </w:r>
      <w:bookmarkEnd w:id="41"/>
      <w:r>
        <w:t>:</w:t>
      </w:r>
      <w:r w:rsidR="00961899">
        <w:t xml:space="preserve"> </w:t>
      </w:r>
      <w:r w:rsidR="00FF2C3D">
        <w:t xml:space="preserve">Study 216 </w:t>
      </w:r>
      <w:r w:rsidR="001178BA">
        <w:t>Pharmacokinetic results summary</w:t>
      </w:r>
    </w:p>
    <w:p w14:paraId="25961840" w14:textId="22E75AFB" w:rsidR="00DD6944" w:rsidRDefault="00DD6944" w:rsidP="00B4560A">
      <w:pPr>
        <w:rPr>
          <w:noProof/>
          <w:lang w:eastAsia="en-AU"/>
        </w:rPr>
      </w:pPr>
      <w:r>
        <w:rPr>
          <w:noProof/>
          <w:lang w:eastAsia="en-AU"/>
        </w:rPr>
        <w:drawing>
          <wp:inline distT="0" distB="0" distL="0" distR="0" wp14:anchorId="21B8E4A6" wp14:editId="7C827D0E">
            <wp:extent cx="5391785" cy="3133725"/>
            <wp:effectExtent l="0" t="0" r="0" b="9525"/>
            <wp:docPr id="3" name="Picture 3" descr="This table shows the Cmax, AUCinf and AUClast of 3 treaments - bevacizumab (ABP215), bevacizumab (US) and bevacizumab (EY). &#10;It also shows the Radio of Adjusted LS Geometric means (90% confidence interval) for 3 comparisons:&#10;1. ABP215 vs Bevacizumab (US)&#10;2. ABP215 vs bevacizumab (EU)&#10;3. bevacizumab (US) vs bevacizumab (EU)" title="Table 3 - pharmacokinetic results summary of Study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785" cy="3133725"/>
                    </a:xfrm>
                    <a:prstGeom prst="rect">
                      <a:avLst/>
                    </a:prstGeom>
                    <a:noFill/>
                    <a:ln>
                      <a:noFill/>
                    </a:ln>
                  </pic:spPr>
                </pic:pic>
              </a:graphicData>
            </a:graphic>
          </wp:inline>
        </w:drawing>
      </w:r>
    </w:p>
    <w:p w14:paraId="7F4A7AE2" w14:textId="2C37D4B4" w:rsidR="00B4560A" w:rsidRPr="00D37F83" w:rsidRDefault="00B4560A" w:rsidP="00060AD3">
      <w:r>
        <w:t xml:space="preserve">In </w:t>
      </w:r>
      <w:r w:rsidR="00AD2281">
        <w:t>S</w:t>
      </w:r>
      <w:r>
        <w:t xml:space="preserve">tudy 265, the geometric mean </w:t>
      </w:r>
      <w:r w:rsidR="000D3696">
        <w:t xml:space="preserve">trough </w:t>
      </w:r>
      <w:r w:rsidR="00CE5D3E">
        <w:t>serum concentration (</w:t>
      </w:r>
      <w:r>
        <w:t>C</w:t>
      </w:r>
      <w:r w:rsidRPr="00D37F83">
        <w:rPr>
          <w:vertAlign w:val="subscript"/>
        </w:rPr>
        <w:t>trough</w:t>
      </w:r>
      <w:r>
        <w:rPr>
          <w:vertAlign w:val="subscript"/>
        </w:rPr>
        <w:t xml:space="preserve"> </w:t>
      </w:r>
      <w:r w:rsidR="00CE5D3E" w:rsidRPr="001E2D94">
        <w:t>)</w:t>
      </w:r>
      <w:r w:rsidR="000D3696">
        <w:t xml:space="preserve"> </w:t>
      </w:r>
      <w:r>
        <w:t xml:space="preserve">(ng/ml) was measured at </w:t>
      </w:r>
      <w:r w:rsidR="00AC502A">
        <w:t>W</w:t>
      </w:r>
      <w:r>
        <w:t xml:space="preserve">eeks 4, 7, 13 and 19 in patients receiving Avastin or ABP 215. The adjusted LS </w:t>
      </w:r>
      <w:r w:rsidRPr="00D37F83">
        <w:t>geometric mean C</w:t>
      </w:r>
      <w:r w:rsidRPr="00D37F83">
        <w:rPr>
          <w:vertAlign w:val="subscript"/>
        </w:rPr>
        <w:t>trough</w:t>
      </w:r>
      <w:r>
        <w:t xml:space="preserve"> was comparable at each time point.</w:t>
      </w:r>
      <w:r w:rsidRPr="00F1367F">
        <w:t xml:space="preserve"> </w:t>
      </w:r>
      <w:r>
        <w:t>In summary, the results of these studies suggest no clinically meaningful differences in the pharmacokinetics of Avastin (US</w:t>
      </w:r>
      <w:r w:rsidR="00FF2C3D">
        <w:t>-sourced</w:t>
      </w:r>
      <w:r>
        <w:t>), Avastin (EU</w:t>
      </w:r>
      <w:r w:rsidR="00FF2C3D">
        <w:t>-sourced</w:t>
      </w:r>
      <w:r>
        <w:t xml:space="preserve">) and </w:t>
      </w:r>
      <w:r w:rsidR="00FF2F8F">
        <w:t>Mvasi</w:t>
      </w:r>
      <w:r w:rsidR="00FF2C3D">
        <w:t xml:space="preserve"> (ABP 215)</w:t>
      </w:r>
      <w:r w:rsidR="00F27C64">
        <w:t>.</w:t>
      </w:r>
    </w:p>
    <w:p w14:paraId="67591E78" w14:textId="6C1F9D05" w:rsidR="00B4560A" w:rsidRPr="008D376D" w:rsidRDefault="00B4560A" w:rsidP="008D376D">
      <w:pPr>
        <w:pStyle w:val="Heading5"/>
      </w:pPr>
      <w:r w:rsidRPr="008D376D">
        <w:t xml:space="preserve">Population </w:t>
      </w:r>
      <w:r w:rsidR="00060AD3">
        <w:t>p</w:t>
      </w:r>
      <w:r w:rsidR="00CE5D3E">
        <w:t>harmacokinetics</w:t>
      </w:r>
      <w:r w:rsidRPr="008D376D">
        <w:t xml:space="preserve"> data</w:t>
      </w:r>
    </w:p>
    <w:p w14:paraId="60F2D0DC" w14:textId="1889E75C" w:rsidR="00B4560A" w:rsidRPr="00C47AD0" w:rsidRDefault="00B4560A" w:rsidP="00B4560A">
      <w:pPr>
        <w:rPr>
          <w:lang w:eastAsia="ja-JP"/>
        </w:rPr>
      </w:pPr>
      <w:r>
        <w:rPr>
          <w:lang w:eastAsia="ja-JP"/>
        </w:rPr>
        <w:t xml:space="preserve">The </w:t>
      </w:r>
      <w:r w:rsidR="00CE5D3E">
        <w:rPr>
          <w:lang w:eastAsia="ja-JP"/>
        </w:rPr>
        <w:t>s</w:t>
      </w:r>
      <w:r w:rsidRPr="00C47AD0">
        <w:rPr>
          <w:lang w:eastAsia="ja-JP"/>
        </w:rPr>
        <w:t xml:space="preserve">ponsor applied a previously published </w:t>
      </w:r>
      <w:r w:rsidR="00FB1824">
        <w:rPr>
          <w:lang w:eastAsia="ja-JP"/>
        </w:rPr>
        <w:t>population PK</w:t>
      </w:r>
      <w:r w:rsidR="00FB1824" w:rsidRPr="00C47AD0">
        <w:rPr>
          <w:lang w:eastAsia="ja-JP"/>
        </w:rPr>
        <w:t xml:space="preserve"> </w:t>
      </w:r>
      <w:r w:rsidRPr="00C47AD0">
        <w:rPr>
          <w:lang w:eastAsia="ja-JP"/>
        </w:rPr>
        <w:t>model of expe</w:t>
      </w:r>
      <w:r>
        <w:rPr>
          <w:lang w:eastAsia="ja-JP"/>
        </w:rPr>
        <w:t xml:space="preserve">cted bevacizumab concentrations. Based on this model, the </w:t>
      </w:r>
      <w:r w:rsidR="007637A9">
        <w:rPr>
          <w:lang w:eastAsia="ja-JP"/>
        </w:rPr>
        <w:t>s</w:t>
      </w:r>
      <w:r w:rsidRPr="00C47AD0">
        <w:rPr>
          <w:lang w:eastAsia="ja-JP"/>
        </w:rPr>
        <w:t>ponsor reported that the prediction</w:t>
      </w:r>
      <w:r w:rsidR="00060AD3">
        <w:rPr>
          <w:lang w:eastAsia="ja-JP"/>
        </w:rPr>
        <w:t xml:space="preserve"> </w:t>
      </w:r>
      <w:r w:rsidRPr="00C47AD0">
        <w:rPr>
          <w:lang w:eastAsia="ja-JP"/>
        </w:rPr>
        <w:t>corrected observed data for ABP</w:t>
      </w:r>
      <w:r w:rsidR="00CE5D3E">
        <w:rPr>
          <w:lang w:eastAsia="ja-JP"/>
        </w:rPr>
        <w:t xml:space="preserve"> </w:t>
      </w:r>
      <w:r w:rsidRPr="00C47AD0">
        <w:rPr>
          <w:lang w:eastAsia="ja-JP"/>
        </w:rPr>
        <w:t>215 and Avastin were adequately contained within the 95% prediction</w:t>
      </w:r>
      <w:r w:rsidR="00851720">
        <w:rPr>
          <w:lang w:eastAsia="ja-JP"/>
        </w:rPr>
        <w:t xml:space="preserve"> </w:t>
      </w:r>
      <w:r w:rsidRPr="00C47AD0">
        <w:rPr>
          <w:lang w:eastAsia="ja-JP"/>
        </w:rPr>
        <w:t>corrected intervals, and concluded that PK similarity between ABP</w:t>
      </w:r>
      <w:r w:rsidR="00CE5D3E">
        <w:rPr>
          <w:lang w:eastAsia="ja-JP"/>
        </w:rPr>
        <w:t xml:space="preserve"> </w:t>
      </w:r>
      <w:r w:rsidRPr="00C47AD0">
        <w:rPr>
          <w:lang w:eastAsia="ja-JP"/>
        </w:rPr>
        <w:t>215 and Avastin could be expected to hold in different types of cancer.</w:t>
      </w:r>
    </w:p>
    <w:p w14:paraId="5E45F6C1" w14:textId="4203066C" w:rsidR="00B4560A" w:rsidRPr="008D376D" w:rsidRDefault="00B4560A" w:rsidP="008D376D">
      <w:pPr>
        <w:pStyle w:val="Heading5"/>
      </w:pPr>
      <w:r w:rsidRPr="008D376D">
        <w:lastRenderedPageBreak/>
        <w:t>Pharmacodynamics</w:t>
      </w:r>
    </w:p>
    <w:p w14:paraId="3D1836C3" w14:textId="43B8F7B2" w:rsidR="00B4560A" w:rsidRPr="00E41A8D" w:rsidRDefault="00FF2C3D" w:rsidP="00B4560A">
      <w:pPr>
        <w:rPr>
          <w:lang w:eastAsia="ja-JP"/>
        </w:rPr>
      </w:pPr>
      <w:r>
        <w:rPr>
          <w:lang w:eastAsia="ja-JP"/>
        </w:rPr>
        <w:t>This is n</w:t>
      </w:r>
      <w:r w:rsidR="00B4560A">
        <w:rPr>
          <w:lang w:eastAsia="ja-JP"/>
        </w:rPr>
        <w:t>ot</w:t>
      </w:r>
      <w:r>
        <w:rPr>
          <w:lang w:eastAsia="ja-JP"/>
        </w:rPr>
        <w:t xml:space="preserve"> </w:t>
      </w:r>
      <w:r w:rsidR="00B4560A">
        <w:rPr>
          <w:lang w:eastAsia="ja-JP"/>
        </w:rPr>
        <w:t>relevant</w:t>
      </w:r>
      <w:r>
        <w:rPr>
          <w:lang w:eastAsia="ja-JP"/>
        </w:rPr>
        <w:t xml:space="preserve"> as</w:t>
      </w:r>
      <w:r w:rsidR="00B4560A">
        <w:rPr>
          <w:lang w:eastAsia="ja-JP"/>
        </w:rPr>
        <w:t xml:space="preserve"> there is no established </w:t>
      </w:r>
      <w:r>
        <w:rPr>
          <w:lang w:eastAsia="ja-JP"/>
        </w:rPr>
        <w:t xml:space="preserve">pharmacodynamics </w:t>
      </w:r>
      <w:r w:rsidR="00060AD3">
        <w:rPr>
          <w:lang w:eastAsia="ja-JP"/>
        </w:rPr>
        <w:t>(</w:t>
      </w:r>
      <w:r w:rsidR="00B4560A">
        <w:rPr>
          <w:lang w:eastAsia="ja-JP"/>
        </w:rPr>
        <w:t>PD</w:t>
      </w:r>
      <w:r w:rsidR="00060AD3">
        <w:rPr>
          <w:lang w:eastAsia="ja-JP"/>
        </w:rPr>
        <w:t>)</w:t>
      </w:r>
      <w:r w:rsidR="00B4560A">
        <w:rPr>
          <w:lang w:eastAsia="ja-JP"/>
        </w:rPr>
        <w:t xml:space="preserve"> endpoint for bevacizumab in oncology.</w:t>
      </w:r>
    </w:p>
    <w:p w14:paraId="188D8D8F" w14:textId="61131A7E" w:rsidR="00821D77" w:rsidRDefault="00821D77" w:rsidP="00F65D57">
      <w:pPr>
        <w:pStyle w:val="Heading4"/>
      </w:pPr>
      <w:r>
        <w:t>Efficacy</w:t>
      </w:r>
    </w:p>
    <w:p w14:paraId="64F998DA" w14:textId="61C22E08" w:rsidR="00B4560A" w:rsidRDefault="00B4560A" w:rsidP="008D376D">
      <w:pPr>
        <w:pStyle w:val="Heading5"/>
      </w:pPr>
      <w:r>
        <w:t>Randomised clinical comparability study</w:t>
      </w:r>
      <w:r w:rsidR="00FF2C3D">
        <w:t>: Study 265</w:t>
      </w:r>
    </w:p>
    <w:p w14:paraId="0FB3FE86" w14:textId="531E6736" w:rsidR="00B4560A" w:rsidRPr="00F1367F" w:rsidRDefault="00B4560A" w:rsidP="00B4560A">
      <w:r>
        <w:t xml:space="preserve">There was one study </w:t>
      </w:r>
      <w:r w:rsidR="00FF2C3D">
        <w:t xml:space="preserve">(Study 265) </w:t>
      </w:r>
      <w:r>
        <w:t>providing comparative clinical data for ABP 215 which is summarised in</w:t>
      </w:r>
      <w:r w:rsidR="00C36A62">
        <w:t xml:space="preserve"> </w:t>
      </w:r>
      <w:r w:rsidR="00C36A62">
        <w:fldChar w:fldCharType="begin"/>
      </w:r>
      <w:r w:rsidR="00C36A62">
        <w:instrText xml:space="preserve"> REF _Ref55851441 \h </w:instrText>
      </w:r>
      <w:r w:rsidR="00C36A62">
        <w:fldChar w:fldCharType="separate"/>
      </w:r>
      <w:r w:rsidR="005938A4">
        <w:t xml:space="preserve">Table </w:t>
      </w:r>
      <w:r w:rsidR="005938A4">
        <w:rPr>
          <w:noProof/>
        </w:rPr>
        <w:t>4</w:t>
      </w:r>
      <w:r w:rsidR="00C36A62">
        <w:fldChar w:fldCharType="end"/>
      </w:r>
      <w:r>
        <w:t>. This study will be summarised first then the results will be discussed.</w:t>
      </w:r>
    </w:p>
    <w:p w14:paraId="55F60A79" w14:textId="1C2A8A8B" w:rsidR="006051A9" w:rsidRPr="00707079" w:rsidRDefault="00263F30" w:rsidP="00263F30">
      <w:pPr>
        <w:pStyle w:val="TableTitle"/>
      </w:pPr>
      <w:bookmarkStart w:id="42" w:name="_Ref55851441"/>
      <w:bookmarkStart w:id="43" w:name="_Ref54087477"/>
      <w:r>
        <w:t xml:space="preserve">Table </w:t>
      </w:r>
      <w:r w:rsidR="00741986">
        <w:fldChar w:fldCharType="begin"/>
      </w:r>
      <w:r w:rsidR="00741986">
        <w:instrText xml:space="preserve"> SEQ Table \* ARABIC </w:instrText>
      </w:r>
      <w:r w:rsidR="00741986">
        <w:fldChar w:fldCharType="separate"/>
      </w:r>
      <w:r w:rsidR="005938A4">
        <w:rPr>
          <w:noProof/>
        </w:rPr>
        <w:t>4</w:t>
      </w:r>
      <w:r w:rsidR="00741986">
        <w:rPr>
          <w:noProof/>
        </w:rPr>
        <w:fldChar w:fldCharType="end"/>
      </w:r>
      <w:bookmarkEnd w:id="42"/>
      <w:r>
        <w:t xml:space="preserve">: </w:t>
      </w:r>
      <w:r w:rsidR="006051A9" w:rsidRPr="00707079">
        <w:t>Study 265</w:t>
      </w:r>
      <w:bookmarkEnd w:id="43"/>
      <w:r w:rsidR="00FF2C3D">
        <w:t xml:space="preserve"> Study outline and summary</w:t>
      </w:r>
    </w:p>
    <w:tbl>
      <w:tblPr>
        <w:tblStyle w:val="TableTGAblue"/>
        <w:tblW w:w="5000" w:type="pct"/>
        <w:tblLook w:val="04A0" w:firstRow="1" w:lastRow="0" w:firstColumn="1" w:lastColumn="0" w:noHBand="0" w:noVBand="1"/>
      </w:tblPr>
      <w:tblGrid>
        <w:gridCol w:w="1449"/>
        <w:gridCol w:w="7271"/>
      </w:tblGrid>
      <w:tr w:rsidR="00ED2634" w14:paraId="069D9E42" w14:textId="77777777" w:rsidTr="00CC6024">
        <w:trPr>
          <w:cnfStyle w:val="100000000000" w:firstRow="1" w:lastRow="0" w:firstColumn="0" w:lastColumn="0" w:oddVBand="0" w:evenVBand="0" w:oddHBand="0" w:evenHBand="0" w:firstRowFirstColumn="0" w:firstRowLastColumn="0" w:lastRowFirstColumn="0" w:lastRowLastColumn="0"/>
        </w:trPr>
        <w:tc>
          <w:tcPr>
            <w:tcW w:w="831" w:type="pct"/>
            <w:tcBorders>
              <w:top w:val="single" w:sz="4" w:space="0" w:color="auto"/>
              <w:left w:val="single" w:sz="4" w:space="0" w:color="auto"/>
              <w:bottom w:val="single" w:sz="4" w:space="0" w:color="auto"/>
              <w:right w:val="single" w:sz="4" w:space="0" w:color="auto"/>
            </w:tcBorders>
          </w:tcPr>
          <w:p w14:paraId="4AB17E0F" w14:textId="10DBA3E7" w:rsidR="00ED2634" w:rsidRPr="00E8486C" w:rsidRDefault="00ED2634" w:rsidP="00D44E20">
            <w:pPr>
              <w:ind w:left="0" w:right="0"/>
            </w:pPr>
            <w:r w:rsidRPr="00E8486C">
              <w:t>Study 265</w:t>
            </w:r>
          </w:p>
        </w:tc>
        <w:tc>
          <w:tcPr>
            <w:tcW w:w="4169" w:type="pct"/>
            <w:tcBorders>
              <w:top w:val="single" w:sz="4" w:space="0" w:color="auto"/>
              <w:left w:val="single" w:sz="4" w:space="0" w:color="auto"/>
              <w:bottom w:val="single" w:sz="4" w:space="0" w:color="auto"/>
              <w:right w:val="single" w:sz="4" w:space="0" w:color="auto"/>
            </w:tcBorders>
          </w:tcPr>
          <w:p w14:paraId="163DD83F" w14:textId="577DAA05" w:rsidR="00ED2634" w:rsidRDefault="00ED2634" w:rsidP="00AD2281">
            <w:pPr>
              <w:ind w:left="0" w:right="0"/>
            </w:pPr>
            <w:r>
              <w:rPr>
                <w:i/>
                <w:iCs/>
                <w:szCs w:val="22"/>
              </w:rPr>
              <w:t>A randomis</w:t>
            </w:r>
            <w:r w:rsidRPr="008851F4">
              <w:rPr>
                <w:i/>
                <w:iCs/>
                <w:szCs w:val="22"/>
              </w:rPr>
              <w:t xml:space="preserve">ed, double-blind, </w:t>
            </w:r>
            <w:r w:rsidR="00AD2281">
              <w:rPr>
                <w:i/>
                <w:iCs/>
                <w:szCs w:val="22"/>
              </w:rPr>
              <w:t>Phase III</w:t>
            </w:r>
            <w:r w:rsidRPr="008851F4">
              <w:rPr>
                <w:i/>
                <w:iCs/>
                <w:szCs w:val="22"/>
              </w:rPr>
              <w:t xml:space="preserve"> study evaluating the efficacy and safety of ABP 215 compared with bevacizumab in subjects with advanced non-s</w:t>
            </w:r>
            <w:r>
              <w:rPr>
                <w:i/>
                <w:iCs/>
                <w:szCs w:val="22"/>
              </w:rPr>
              <w:t>mall cell lung cancer</w:t>
            </w:r>
          </w:p>
        </w:tc>
      </w:tr>
      <w:tr w:rsidR="00ED2634" w14:paraId="651D67F4" w14:textId="77777777" w:rsidTr="00CC6024">
        <w:tc>
          <w:tcPr>
            <w:tcW w:w="831" w:type="pct"/>
            <w:tcBorders>
              <w:top w:val="single" w:sz="4" w:space="0" w:color="auto"/>
            </w:tcBorders>
          </w:tcPr>
          <w:p w14:paraId="5C684F21" w14:textId="77777777" w:rsidR="00ED2634" w:rsidRDefault="00ED2634" w:rsidP="00D44E20">
            <w:pPr>
              <w:ind w:left="0" w:right="0"/>
            </w:pPr>
            <w:r>
              <w:t>Patients</w:t>
            </w:r>
          </w:p>
          <w:p w14:paraId="67CCF4FC" w14:textId="596CE968" w:rsidR="00ED2634" w:rsidRDefault="00ED2634" w:rsidP="00D44E20">
            <w:pPr>
              <w:ind w:left="0" w:right="0"/>
            </w:pPr>
            <w:r>
              <w:t>n = 642</w:t>
            </w:r>
          </w:p>
        </w:tc>
        <w:tc>
          <w:tcPr>
            <w:tcW w:w="4169" w:type="pct"/>
            <w:tcBorders>
              <w:top w:val="single" w:sz="4" w:space="0" w:color="auto"/>
            </w:tcBorders>
          </w:tcPr>
          <w:p w14:paraId="097EACA9" w14:textId="534A1798" w:rsidR="00ED2634" w:rsidRDefault="00ED2634" w:rsidP="001E2D94">
            <w:pPr>
              <w:ind w:left="0"/>
              <w:rPr>
                <w:szCs w:val="22"/>
                <w:lang w:eastAsia="en-US"/>
              </w:rPr>
            </w:pPr>
            <w:r w:rsidRPr="00CB6D2F">
              <w:rPr>
                <w:szCs w:val="22"/>
                <w:lang w:eastAsia="en-US"/>
              </w:rPr>
              <w:t xml:space="preserve">Stage 4 or recurrent metastatic </w:t>
            </w:r>
            <w:r w:rsidR="00E95941">
              <w:rPr>
                <w:szCs w:val="22"/>
                <w:lang w:eastAsia="en-US"/>
              </w:rPr>
              <w:t>non small cell lung cancer (</w:t>
            </w:r>
            <w:r w:rsidRPr="00CB6D2F">
              <w:rPr>
                <w:szCs w:val="22"/>
                <w:lang w:eastAsia="en-US"/>
              </w:rPr>
              <w:t>NSCLC</w:t>
            </w:r>
            <w:r w:rsidR="00E95941">
              <w:rPr>
                <w:szCs w:val="22"/>
                <w:lang w:eastAsia="en-US"/>
              </w:rPr>
              <w:t>),</w:t>
            </w:r>
            <w:r w:rsidRPr="00CB6D2F">
              <w:rPr>
                <w:szCs w:val="22"/>
                <w:lang w:eastAsia="en-US"/>
              </w:rPr>
              <w:t xml:space="preserve"> histologically or cytologically confirmed</w:t>
            </w:r>
            <w:r w:rsidR="00E95941">
              <w:rPr>
                <w:szCs w:val="22"/>
                <w:lang w:eastAsia="en-US"/>
              </w:rPr>
              <w:t>.</w:t>
            </w:r>
          </w:p>
          <w:p w14:paraId="3CDF4B6D" w14:textId="2F2F9116" w:rsidR="00ED2634" w:rsidRDefault="00ED2634" w:rsidP="00ED2634">
            <w:pPr>
              <w:ind w:left="0" w:right="0"/>
            </w:pPr>
            <w:r>
              <w:rPr>
                <w:szCs w:val="22"/>
                <w:lang w:eastAsia="en-US"/>
              </w:rPr>
              <w:t>Also refer to ‘</w:t>
            </w:r>
            <w:r w:rsidRPr="00CB79EC">
              <w:rPr>
                <w:i/>
              </w:rPr>
              <w:fldChar w:fldCharType="begin"/>
            </w:r>
            <w:r w:rsidRPr="00CB79EC">
              <w:rPr>
                <w:i/>
              </w:rPr>
              <w:instrText xml:space="preserve"> REF _Ref51064987 \h </w:instrText>
            </w:r>
            <w:r w:rsidR="00E95941">
              <w:rPr>
                <w:i/>
              </w:rPr>
              <w:instrText xml:space="preserve"> \* MERGEFORMAT </w:instrText>
            </w:r>
            <w:r w:rsidRPr="00CB79EC">
              <w:rPr>
                <w:i/>
              </w:rPr>
            </w:r>
            <w:r w:rsidRPr="00CB79EC">
              <w:rPr>
                <w:i/>
              </w:rPr>
              <w:fldChar w:fldCharType="separate"/>
            </w:r>
            <w:r w:rsidR="005938A4" w:rsidRPr="005938A4">
              <w:rPr>
                <w:i/>
              </w:rPr>
              <w:t>Brief summary of inclusion criteria</w:t>
            </w:r>
            <w:r w:rsidRPr="00CB79EC">
              <w:rPr>
                <w:i/>
              </w:rPr>
              <w:fldChar w:fldCharType="end"/>
            </w:r>
            <w:r>
              <w:t>’</w:t>
            </w:r>
            <w:r>
              <w:rPr>
                <w:szCs w:val="22"/>
                <w:lang w:eastAsia="en-US"/>
              </w:rPr>
              <w:t xml:space="preserve"> and ‘</w:t>
            </w:r>
            <w:r w:rsidRPr="00CB79EC">
              <w:rPr>
                <w:i/>
              </w:rPr>
              <w:fldChar w:fldCharType="begin"/>
            </w:r>
            <w:r w:rsidRPr="00CB79EC">
              <w:rPr>
                <w:i/>
              </w:rPr>
              <w:instrText xml:space="preserve"> REF _Ref51064992 \h </w:instrText>
            </w:r>
            <w:r w:rsidR="00E95941">
              <w:rPr>
                <w:i/>
              </w:rPr>
              <w:instrText xml:space="preserve"> \* MERGEFORMAT </w:instrText>
            </w:r>
            <w:r w:rsidRPr="00CB79EC">
              <w:rPr>
                <w:i/>
              </w:rPr>
            </w:r>
            <w:r w:rsidRPr="00CB79EC">
              <w:rPr>
                <w:i/>
              </w:rPr>
              <w:fldChar w:fldCharType="separate"/>
            </w:r>
            <w:r w:rsidR="005938A4" w:rsidRPr="005938A4">
              <w:rPr>
                <w:i/>
              </w:rPr>
              <w:t>Brief summary of exclusion criteria</w:t>
            </w:r>
            <w:r w:rsidRPr="00CB79EC">
              <w:rPr>
                <w:i/>
              </w:rPr>
              <w:fldChar w:fldCharType="end"/>
            </w:r>
            <w:r>
              <w:t>’</w:t>
            </w:r>
            <w:r w:rsidRPr="00AC502A">
              <w:t>, below.</w:t>
            </w:r>
          </w:p>
        </w:tc>
      </w:tr>
      <w:tr w:rsidR="00ED2634" w14:paraId="4C0C6F9C" w14:textId="77777777" w:rsidTr="00CC6024">
        <w:tc>
          <w:tcPr>
            <w:tcW w:w="831" w:type="pct"/>
          </w:tcPr>
          <w:p w14:paraId="3A08CAC4" w14:textId="77777777" w:rsidR="00ED2634" w:rsidRDefault="00ED2634" w:rsidP="001E2D94">
            <w:pPr>
              <w:spacing w:before="0"/>
              <w:ind w:left="0" w:right="0"/>
            </w:pPr>
            <w:r>
              <w:t>ABP 215 arm</w:t>
            </w:r>
          </w:p>
          <w:p w14:paraId="3429D5B5" w14:textId="04F2BB6E" w:rsidR="00ED2634" w:rsidRDefault="00ED2634" w:rsidP="001E2D94">
            <w:pPr>
              <w:spacing w:before="0"/>
              <w:ind w:left="0" w:right="0"/>
            </w:pPr>
            <w:r>
              <w:t>n = 328</w:t>
            </w:r>
          </w:p>
        </w:tc>
        <w:tc>
          <w:tcPr>
            <w:tcW w:w="4169" w:type="pct"/>
          </w:tcPr>
          <w:p w14:paraId="43F840F8" w14:textId="0DDF3359" w:rsidR="00ED2634" w:rsidRDefault="00707079" w:rsidP="00E95941">
            <w:pPr>
              <w:spacing w:before="0" w:line="240" w:lineRule="auto"/>
              <w:ind w:left="0"/>
            </w:pPr>
            <w:r w:rsidRPr="00707079">
              <w:rPr>
                <w:szCs w:val="22"/>
                <w:lang w:eastAsia="en-US"/>
              </w:rPr>
              <w:t>ABP 215 15</w:t>
            </w:r>
            <w:r>
              <w:rPr>
                <w:szCs w:val="22"/>
                <w:lang w:eastAsia="en-US"/>
              </w:rPr>
              <w:t xml:space="preserve"> </w:t>
            </w:r>
            <w:r w:rsidRPr="00707079">
              <w:rPr>
                <w:szCs w:val="22"/>
                <w:lang w:eastAsia="en-US"/>
              </w:rPr>
              <w:t xml:space="preserve">mg/kg </w:t>
            </w:r>
            <w:r w:rsidR="00E95941">
              <w:rPr>
                <w:szCs w:val="22"/>
                <w:lang w:eastAsia="en-US"/>
              </w:rPr>
              <w:t>intravenously (</w:t>
            </w:r>
            <w:r w:rsidRPr="00707079">
              <w:rPr>
                <w:szCs w:val="22"/>
                <w:lang w:eastAsia="en-US"/>
              </w:rPr>
              <w:t>IV</w:t>
            </w:r>
            <w:r w:rsidR="00E95941">
              <w:rPr>
                <w:szCs w:val="22"/>
                <w:lang w:eastAsia="en-US"/>
              </w:rPr>
              <w:t>)</w:t>
            </w:r>
            <w:r w:rsidRPr="00707079">
              <w:rPr>
                <w:szCs w:val="22"/>
                <w:lang w:eastAsia="en-US"/>
              </w:rPr>
              <w:t xml:space="preserve">, </w:t>
            </w:r>
            <w:r w:rsidR="00E95941" w:rsidRPr="00CB79EC">
              <w:rPr>
                <w:i/>
              </w:rPr>
              <w:t>and</w:t>
            </w:r>
            <w:r w:rsidR="00E95941" w:rsidRPr="00707079">
              <w:rPr>
                <w:szCs w:val="22"/>
                <w:lang w:eastAsia="en-US"/>
              </w:rPr>
              <w:t xml:space="preserve"> </w:t>
            </w:r>
            <w:r w:rsidRPr="00707079">
              <w:rPr>
                <w:szCs w:val="22"/>
                <w:lang w:eastAsia="en-US"/>
              </w:rPr>
              <w:t>carboplatin AUC</w:t>
            </w:r>
            <w:r w:rsidR="00E95941">
              <w:rPr>
                <w:szCs w:val="22"/>
                <w:lang w:eastAsia="en-US"/>
              </w:rPr>
              <w:t> </w:t>
            </w:r>
            <w:r w:rsidRPr="00707079">
              <w:rPr>
                <w:szCs w:val="22"/>
                <w:lang w:eastAsia="en-US"/>
              </w:rPr>
              <w:t>6</w:t>
            </w:r>
            <w:r w:rsidR="00E95941">
              <w:rPr>
                <w:szCs w:val="22"/>
                <w:lang w:eastAsia="en-US"/>
              </w:rPr>
              <w:t> </w:t>
            </w:r>
            <w:r w:rsidRPr="00707079">
              <w:rPr>
                <w:szCs w:val="22"/>
                <w:lang w:eastAsia="en-US"/>
              </w:rPr>
              <w:t xml:space="preserve">mg/mL/min IV, </w:t>
            </w:r>
            <w:r w:rsidR="00E95941" w:rsidRPr="00CB79EC">
              <w:rPr>
                <w:i/>
              </w:rPr>
              <w:t>and</w:t>
            </w:r>
            <w:r w:rsidRPr="00707079">
              <w:rPr>
                <w:szCs w:val="22"/>
                <w:lang w:eastAsia="en-US"/>
              </w:rPr>
              <w:t xml:space="preserve"> paclitaxel 200 mg/m</w:t>
            </w:r>
            <w:r w:rsidRPr="00707079">
              <w:rPr>
                <w:szCs w:val="22"/>
                <w:vertAlign w:val="superscript"/>
                <w:lang w:eastAsia="en-US"/>
              </w:rPr>
              <w:t>2</w:t>
            </w:r>
            <w:r w:rsidRPr="00707079">
              <w:rPr>
                <w:szCs w:val="22"/>
                <w:lang w:eastAsia="en-US"/>
              </w:rPr>
              <w:t xml:space="preserve"> IV, every 3 weeks for a total of 6 cycles</w:t>
            </w:r>
            <w:r w:rsidR="00E95941">
              <w:rPr>
                <w:szCs w:val="22"/>
                <w:lang w:eastAsia="en-US"/>
              </w:rPr>
              <w:t>.</w:t>
            </w:r>
          </w:p>
        </w:tc>
      </w:tr>
      <w:tr w:rsidR="00ED2634" w14:paraId="0AD8E645" w14:textId="77777777" w:rsidTr="00CC6024">
        <w:tc>
          <w:tcPr>
            <w:tcW w:w="831" w:type="pct"/>
          </w:tcPr>
          <w:p w14:paraId="127435CC" w14:textId="77777777" w:rsidR="00ED2634" w:rsidRDefault="00ED2634" w:rsidP="001E2D94">
            <w:pPr>
              <w:spacing w:before="0"/>
              <w:ind w:left="0"/>
            </w:pPr>
            <w:r>
              <w:t>Avastin arm</w:t>
            </w:r>
          </w:p>
          <w:p w14:paraId="123AF07E" w14:textId="282C1419" w:rsidR="00ED2634" w:rsidRDefault="00ED2634" w:rsidP="001E2D94">
            <w:pPr>
              <w:spacing w:before="0"/>
              <w:ind w:left="0"/>
            </w:pPr>
            <w:r>
              <w:t>n = 314</w:t>
            </w:r>
          </w:p>
        </w:tc>
        <w:tc>
          <w:tcPr>
            <w:tcW w:w="4169" w:type="pct"/>
          </w:tcPr>
          <w:p w14:paraId="7A28D0A3" w14:textId="08FA3C9A" w:rsidR="00ED2634" w:rsidRDefault="00621028" w:rsidP="001E2D94">
            <w:pPr>
              <w:spacing w:before="0" w:line="240" w:lineRule="auto"/>
              <w:ind w:left="0"/>
            </w:pPr>
            <w:r w:rsidRPr="00621028">
              <w:t>Avastin (EU</w:t>
            </w:r>
            <w:r w:rsidR="00E95941">
              <w:t>-sourced</w:t>
            </w:r>
            <w:r w:rsidRPr="00621028">
              <w:t>) 215 15</w:t>
            </w:r>
            <w:r>
              <w:t xml:space="preserve"> </w:t>
            </w:r>
            <w:r w:rsidRPr="00621028">
              <w:t xml:space="preserve">mg/kg IV, </w:t>
            </w:r>
            <w:r w:rsidR="00E95941" w:rsidRPr="00CB79EC">
              <w:rPr>
                <w:i/>
              </w:rPr>
              <w:t>and</w:t>
            </w:r>
            <w:r w:rsidRPr="00621028">
              <w:t xml:space="preserve"> carboplatin AUC</w:t>
            </w:r>
            <w:r w:rsidR="00E95941">
              <w:t> </w:t>
            </w:r>
            <w:r w:rsidRPr="00621028">
              <w:t>6</w:t>
            </w:r>
            <w:r w:rsidR="00E95941">
              <w:t> </w:t>
            </w:r>
            <w:r w:rsidRPr="00621028">
              <w:t xml:space="preserve">mg/mL/min IV, </w:t>
            </w:r>
            <w:r w:rsidR="00E95941" w:rsidRPr="00E95941">
              <w:rPr>
                <w:i/>
              </w:rPr>
              <w:t>and</w:t>
            </w:r>
            <w:r w:rsidRPr="00621028">
              <w:t xml:space="preserve"> paclitaxel 200 mg/m</w:t>
            </w:r>
            <w:r w:rsidRPr="00621028">
              <w:rPr>
                <w:vertAlign w:val="superscript"/>
              </w:rPr>
              <w:t>2</w:t>
            </w:r>
            <w:r w:rsidRPr="00621028">
              <w:t xml:space="preserve"> IV, every 3 weeks for a total of 6 cycles</w:t>
            </w:r>
            <w:r w:rsidR="00E95941">
              <w:t>.</w:t>
            </w:r>
          </w:p>
        </w:tc>
      </w:tr>
      <w:tr w:rsidR="00ED2634" w14:paraId="2B307A7D" w14:textId="77777777" w:rsidTr="00CC6024">
        <w:tc>
          <w:tcPr>
            <w:tcW w:w="831" w:type="pct"/>
          </w:tcPr>
          <w:p w14:paraId="6FD6948D" w14:textId="2F8F2EB7" w:rsidR="00ED2634" w:rsidRDefault="00ED2634" w:rsidP="001E2D94">
            <w:pPr>
              <w:ind w:left="0"/>
            </w:pPr>
            <w:r>
              <w:t>Endpoints</w:t>
            </w:r>
          </w:p>
        </w:tc>
        <w:tc>
          <w:tcPr>
            <w:tcW w:w="4169" w:type="pct"/>
          </w:tcPr>
          <w:p w14:paraId="79B73502" w14:textId="14C974C0" w:rsidR="009C618D" w:rsidRDefault="00ED2634" w:rsidP="00D26F3A">
            <w:pPr>
              <w:ind w:left="0"/>
              <w:rPr>
                <w:i/>
                <w:szCs w:val="22"/>
                <w:lang w:val="en-US" w:eastAsia="en-US"/>
              </w:rPr>
            </w:pPr>
            <w:r>
              <w:rPr>
                <w:i/>
                <w:szCs w:val="22"/>
                <w:lang w:val="en-US" w:eastAsia="en-US"/>
              </w:rPr>
              <w:t>Primary efficacy endpoin</w:t>
            </w:r>
            <w:r w:rsidR="009C618D">
              <w:rPr>
                <w:i/>
                <w:szCs w:val="22"/>
                <w:lang w:val="en-US" w:eastAsia="en-US"/>
              </w:rPr>
              <w:t>t</w:t>
            </w:r>
            <w:r w:rsidR="00E95941">
              <w:rPr>
                <w:i/>
                <w:szCs w:val="22"/>
                <w:lang w:val="en-US" w:eastAsia="en-US"/>
              </w:rPr>
              <w:t>:</w:t>
            </w:r>
          </w:p>
          <w:p w14:paraId="04DBB01B" w14:textId="77777777" w:rsidR="00670D66" w:rsidRDefault="00ED2634" w:rsidP="00D26F3A">
            <w:pPr>
              <w:pStyle w:val="ListBullet"/>
            </w:pPr>
            <w:r w:rsidRPr="008851F4">
              <w:rPr>
                <w:lang w:val="en-US"/>
              </w:rPr>
              <w:t>Risk ratio (RR) of the overall response rate (ORR) of ABP 215 compared to Avastin</w:t>
            </w:r>
            <w:r w:rsidR="005A7622">
              <w:t>.</w:t>
            </w:r>
          </w:p>
          <w:p w14:paraId="231B23A2" w14:textId="7B6C59FD" w:rsidR="005A7622" w:rsidRDefault="005A7622" w:rsidP="00D26F3A">
            <w:pPr>
              <w:pStyle w:val="ListBullet2"/>
            </w:pPr>
            <w:r w:rsidRPr="005A7622">
              <w:t>The ORR was assessed by the RECIST</w:t>
            </w:r>
            <w:bookmarkStart w:id="44" w:name="_Ref54094626"/>
            <w:r w:rsidR="00670D66">
              <w:t>;</w:t>
            </w:r>
            <w:r>
              <w:rPr>
                <w:rStyle w:val="FootnoteReference"/>
              </w:rPr>
              <w:footnoteReference w:id="4"/>
            </w:r>
            <w:bookmarkEnd w:id="44"/>
            <w:r w:rsidRPr="005A7622">
              <w:t>1.1 guidelines by blinded independent central review</w:t>
            </w:r>
            <w:r>
              <w:t>.</w:t>
            </w:r>
          </w:p>
          <w:p w14:paraId="68428E5C" w14:textId="366D74F6" w:rsidR="005A7622" w:rsidRPr="00AA5359" w:rsidRDefault="005A7622" w:rsidP="00D26F3A">
            <w:pPr>
              <w:pStyle w:val="ListBullet2"/>
            </w:pPr>
            <w:r w:rsidRPr="00AA5359">
              <w:t>Note: primary analysis of this endpoint used the intention to treat (ITT) population and the secondary analysis of the same endpoint used the per protocol (PP) population</w:t>
            </w:r>
            <w:r w:rsidR="00AA5359">
              <w:t>.</w:t>
            </w:r>
          </w:p>
          <w:p w14:paraId="298EDE4C" w14:textId="15F95289" w:rsidR="00ED2634" w:rsidRPr="008851F4" w:rsidRDefault="00ED2634" w:rsidP="00D26F3A">
            <w:pPr>
              <w:ind w:left="0"/>
              <w:rPr>
                <w:i/>
                <w:szCs w:val="22"/>
                <w:lang w:val="en-US"/>
              </w:rPr>
            </w:pPr>
            <w:r w:rsidRPr="008851F4">
              <w:rPr>
                <w:i/>
                <w:szCs w:val="22"/>
                <w:lang w:val="en-US"/>
              </w:rPr>
              <w:t>Secondary efficacy endpoints</w:t>
            </w:r>
            <w:r w:rsidR="00E95941">
              <w:rPr>
                <w:i/>
                <w:szCs w:val="22"/>
                <w:lang w:val="en-US"/>
              </w:rPr>
              <w:t>:</w:t>
            </w:r>
          </w:p>
          <w:p w14:paraId="68F2CBEB" w14:textId="06C52ABC" w:rsidR="00ED2634" w:rsidRPr="008851F4" w:rsidRDefault="00ED2634" w:rsidP="00EA521F">
            <w:pPr>
              <w:pStyle w:val="ListBullet"/>
            </w:pPr>
            <w:r w:rsidRPr="008851F4">
              <w:t>Risk difference for the ORR</w:t>
            </w:r>
          </w:p>
          <w:p w14:paraId="724F334D" w14:textId="77777777" w:rsidR="009C618D" w:rsidRDefault="00ED2634" w:rsidP="00EA521F">
            <w:pPr>
              <w:pStyle w:val="ListBullet"/>
            </w:pPr>
            <w:r w:rsidRPr="008851F4">
              <w:t>Duration of response (DOR)</w:t>
            </w:r>
          </w:p>
          <w:p w14:paraId="160DD1A6" w14:textId="31C51F51" w:rsidR="00ED2634" w:rsidRPr="00AA5359" w:rsidRDefault="00ED2634" w:rsidP="00EA521F">
            <w:pPr>
              <w:pStyle w:val="ListBullet"/>
            </w:pPr>
            <w:r w:rsidRPr="00AA5359">
              <w:t>Progression-free survival (PFS)</w:t>
            </w:r>
          </w:p>
        </w:tc>
      </w:tr>
    </w:tbl>
    <w:p w14:paraId="4B7AD5CC" w14:textId="67697063" w:rsidR="00323192" w:rsidRDefault="00E95941" w:rsidP="00CB79EC">
      <w:pPr>
        <w:pStyle w:val="TableDescription"/>
      </w:pPr>
      <w:r>
        <w:t>AUC carboplatin dosing refers to pharmacokinetically individualis</w:t>
      </w:r>
      <w:r w:rsidRPr="00E95941">
        <w:t>ed dos</w:t>
      </w:r>
      <w:r>
        <w:t xml:space="preserve">ing based on the desired area under the </w:t>
      </w:r>
      <w:r w:rsidR="00323192">
        <w:t>concentration-</w:t>
      </w:r>
      <w:r w:rsidRPr="00E95941">
        <w:t>time curve (AUC)</w:t>
      </w:r>
      <w:r w:rsidR="00323192">
        <w:t xml:space="preserve"> as calculated by Calvert’s formula: t</w:t>
      </w:r>
      <w:r w:rsidR="00323192" w:rsidRPr="00323192">
        <w:t>ot</w:t>
      </w:r>
      <w:r w:rsidR="00323192">
        <w:t>al dose (mg) = target AUC (mg/mL x min) x (glomerular filtration rate (ml/min) + 25, with 25 representing t</w:t>
      </w:r>
      <w:r w:rsidR="00323192" w:rsidRPr="00323192">
        <w:t xml:space="preserve">he </w:t>
      </w:r>
      <w:r w:rsidR="00323192">
        <w:t xml:space="preserve">relatively constant </w:t>
      </w:r>
      <w:r w:rsidR="00323192" w:rsidRPr="00323192">
        <w:t xml:space="preserve">nonrenal contribution to carboplatin clearance at </w:t>
      </w:r>
      <w:r w:rsidR="00323192">
        <w:t>25 mL</w:t>
      </w:r>
      <w:r w:rsidR="00323192" w:rsidRPr="00323192">
        <w:t>/min</w:t>
      </w:r>
      <w:r w:rsidR="00323192">
        <w:t>.</w:t>
      </w:r>
    </w:p>
    <w:p w14:paraId="35E695A0" w14:textId="28C2927F" w:rsidR="00B4560A" w:rsidRPr="0013583C" w:rsidRDefault="00B4560A" w:rsidP="00B4560A">
      <w:r>
        <w:lastRenderedPageBreak/>
        <w:t xml:space="preserve">Note: the numbers included in this table are from the ITT population, consistent with the primary analysis of the primary efficacy endpoint. </w:t>
      </w:r>
      <w:r w:rsidRPr="00CC482F">
        <w:t>The PP population constituted approximately 86% of the ITT population</w:t>
      </w:r>
      <w:r>
        <w:t>.</w:t>
      </w:r>
    </w:p>
    <w:p w14:paraId="6A06E5D4" w14:textId="77777777" w:rsidR="00B4560A" w:rsidRPr="00D770E8" w:rsidRDefault="00B4560A" w:rsidP="008D376D">
      <w:pPr>
        <w:pStyle w:val="Heading6"/>
      </w:pPr>
      <w:r w:rsidRPr="00D770E8">
        <w:t>Design</w:t>
      </w:r>
    </w:p>
    <w:p w14:paraId="4BDEAFE5" w14:textId="559F2594" w:rsidR="00B4560A" w:rsidRDefault="000129A0" w:rsidP="00B4560A">
      <w:r>
        <w:t>This was a randomis</w:t>
      </w:r>
      <w:r w:rsidR="00B4560A" w:rsidRPr="007A4C2D">
        <w:t>ed, double-blind, active-controlled study in adult subjects with</w:t>
      </w:r>
      <w:r w:rsidR="00B4560A">
        <w:t xml:space="preserve"> </w:t>
      </w:r>
      <w:r w:rsidR="00B4560A" w:rsidRPr="007A4C2D">
        <w:t>non-squamous NSCLC receiving first-line chemotherapy with carboplatin and paclitaxel.</w:t>
      </w:r>
      <w:r w:rsidR="00B4560A">
        <w:t xml:space="preserve"> </w:t>
      </w:r>
      <w:r w:rsidR="00B4560A" w:rsidRPr="007A4C2D">
        <w:t>Approximately 620 subjects (310 per treatmen</w:t>
      </w:r>
      <w:r>
        <w:t>t group) were randomis</w:t>
      </w:r>
      <w:r w:rsidR="00B4560A" w:rsidRPr="007A4C2D">
        <w:t>ed (1:1) to</w:t>
      </w:r>
      <w:r w:rsidR="00B4560A">
        <w:t xml:space="preserve"> </w:t>
      </w:r>
      <w:r w:rsidR="00B4560A" w:rsidRPr="007A4C2D">
        <w:t xml:space="preserve">receive </w:t>
      </w:r>
      <w:r w:rsidR="00B4560A">
        <w:t>investigational product (</w:t>
      </w:r>
      <w:r w:rsidR="0082187E">
        <w:t>Investigational Product (</w:t>
      </w:r>
      <w:r w:rsidR="00B4560A">
        <w:t>IP</w:t>
      </w:r>
      <w:r w:rsidR="0082187E">
        <w:t>)</w:t>
      </w:r>
      <w:r w:rsidR="00B4560A">
        <w:t xml:space="preserve">: </w:t>
      </w:r>
      <w:r w:rsidR="00B4560A" w:rsidRPr="007A4C2D">
        <w:t xml:space="preserve">ABP 215 or </w:t>
      </w:r>
      <w:r w:rsidR="00B4560A">
        <w:t>Avastin</w:t>
      </w:r>
      <w:r w:rsidR="00B4560A" w:rsidRPr="007A4C2D">
        <w:t>) at a dose of 1</w:t>
      </w:r>
      <w:r w:rsidR="00AF6BD6">
        <w:t>5</w:t>
      </w:r>
      <w:r w:rsidR="00323192">
        <w:t> </w:t>
      </w:r>
      <w:r w:rsidR="00B4560A" w:rsidRPr="007A4C2D">
        <w:t>mg/kg administered as an intravenous</w:t>
      </w:r>
      <w:r w:rsidR="00B4560A">
        <w:t xml:space="preserve"> </w:t>
      </w:r>
      <w:r w:rsidR="00B4560A" w:rsidRPr="007A4C2D">
        <w:t xml:space="preserve">(IV) infusion every </w:t>
      </w:r>
      <w:r w:rsidR="00B4560A">
        <w:t>three</w:t>
      </w:r>
      <w:r w:rsidR="00B4560A" w:rsidRPr="007A4C2D">
        <w:t xml:space="preserve"> weeks (Q3W) for </w:t>
      </w:r>
      <w:r w:rsidR="00B4560A">
        <w:t>six</w:t>
      </w:r>
      <w:r w:rsidR="00323192">
        <w:t> </w:t>
      </w:r>
      <w:r w:rsidR="00B4560A" w:rsidRPr="007A4C2D">
        <w:t>cycles</w:t>
      </w:r>
      <w:r w:rsidR="00EA521F">
        <w:t xml:space="preserve">. </w:t>
      </w:r>
      <w:r w:rsidR="00B4560A">
        <w:t>In addition, a</w:t>
      </w:r>
      <w:r w:rsidR="00B4560A" w:rsidRPr="007A4C2D">
        <w:t>ll subjects were to receive carboplatin</w:t>
      </w:r>
      <w:r w:rsidR="00B4560A">
        <w:t xml:space="preserve"> (15</w:t>
      </w:r>
      <w:r w:rsidR="00A166D1">
        <w:t xml:space="preserve"> </w:t>
      </w:r>
      <w:r w:rsidR="00B4560A">
        <w:t>mg/kg IV)</w:t>
      </w:r>
      <w:r w:rsidR="00B4560A" w:rsidRPr="007A4C2D">
        <w:t xml:space="preserve"> and</w:t>
      </w:r>
      <w:r w:rsidR="00B4560A">
        <w:t xml:space="preserve"> </w:t>
      </w:r>
      <w:r w:rsidR="00B4560A" w:rsidRPr="007A4C2D">
        <w:t xml:space="preserve">paclitaxel </w:t>
      </w:r>
      <w:r w:rsidR="00B4560A">
        <w:t>(200</w:t>
      </w:r>
      <w:r w:rsidR="00A166D1">
        <w:t xml:space="preserve"> </w:t>
      </w:r>
      <w:r w:rsidR="00B4560A">
        <w:t>mg/m</w:t>
      </w:r>
      <w:r w:rsidR="00B4560A" w:rsidRPr="001E2D94">
        <w:rPr>
          <w:vertAlign w:val="superscript"/>
        </w:rPr>
        <w:t>2</w:t>
      </w:r>
      <w:r w:rsidR="00B4560A">
        <w:t xml:space="preserve">) </w:t>
      </w:r>
      <w:r w:rsidR="00B4560A" w:rsidRPr="007A4C2D">
        <w:t xml:space="preserve">chemotherapy Q3W for at least </w:t>
      </w:r>
      <w:r w:rsidR="00B4560A">
        <w:t>four</w:t>
      </w:r>
      <w:r w:rsidR="00B4560A" w:rsidRPr="007A4C2D">
        <w:t xml:space="preserve"> and not more than </w:t>
      </w:r>
      <w:r w:rsidR="00B4560A">
        <w:t>six</w:t>
      </w:r>
      <w:r w:rsidR="00B4560A" w:rsidRPr="007A4C2D">
        <w:t xml:space="preserve"> cycles.</w:t>
      </w:r>
    </w:p>
    <w:p w14:paraId="390EB377" w14:textId="157F8308" w:rsidR="00B4560A" w:rsidRDefault="00B4560A" w:rsidP="00B4560A">
      <w:r>
        <w:t xml:space="preserve">This is summarised in </w:t>
      </w:r>
      <w:r w:rsidR="00EA521F">
        <w:fldChar w:fldCharType="begin"/>
      </w:r>
      <w:r w:rsidR="00EA521F">
        <w:instrText xml:space="preserve"> REF _Ref54090198 \h </w:instrText>
      </w:r>
      <w:r w:rsidR="00EA521F">
        <w:fldChar w:fldCharType="separate"/>
      </w:r>
      <w:r w:rsidR="005938A4">
        <w:t xml:space="preserve">Figure </w:t>
      </w:r>
      <w:r w:rsidR="005938A4">
        <w:rPr>
          <w:noProof/>
        </w:rPr>
        <w:t>1</w:t>
      </w:r>
      <w:r w:rsidR="00EA521F">
        <w:fldChar w:fldCharType="end"/>
      </w:r>
      <w:r w:rsidR="00EA521F">
        <w:t>.</w:t>
      </w:r>
      <w:r w:rsidR="00BC3EA8">
        <w:t xml:space="preserve"> </w:t>
      </w:r>
      <w:r>
        <w:t>Note the treatment phase of 18 weeks includes 6 cycles of ABP 215 or Avastin.</w:t>
      </w:r>
    </w:p>
    <w:p w14:paraId="37E35693" w14:textId="7F708B6F" w:rsidR="00B4560A" w:rsidRDefault="004B48C0" w:rsidP="00285E3B">
      <w:pPr>
        <w:pStyle w:val="FigureTitle"/>
        <w:rPr>
          <w:b w:val="0"/>
        </w:rPr>
      </w:pPr>
      <w:bookmarkStart w:id="45" w:name="_Ref54090198"/>
      <w:r>
        <w:t xml:space="preserve">Figure </w:t>
      </w:r>
      <w:r w:rsidR="00741986">
        <w:fldChar w:fldCharType="begin"/>
      </w:r>
      <w:r w:rsidR="00741986">
        <w:instrText xml:space="preserve"> SEQ</w:instrText>
      </w:r>
      <w:r w:rsidR="00741986">
        <w:instrText xml:space="preserve"> Figure \* ARABIC </w:instrText>
      </w:r>
      <w:r w:rsidR="00741986">
        <w:fldChar w:fldCharType="separate"/>
      </w:r>
      <w:r w:rsidR="005938A4">
        <w:rPr>
          <w:noProof/>
        </w:rPr>
        <w:t>1</w:t>
      </w:r>
      <w:r w:rsidR="00741986">
        <w:rPr>
          <w:noProof/>
        </w:rPr>
        <w:fldChar w:fldCharType="end"/>
      </w:r>
      <w:bookmarkEnd w:id="45"/>
      <w:r w:rsidR="00E53A17">
        <w:t>:</w:t>
      </w:r>
      <w:r>
        <w:t xml:space="preserve"> </w:t>
      </w:r>
      <w:r w:rsidR="00323192">
        <w:t xml:space="preserve">Study 265 </w:t>
      </w:r>
      <w:r>
        <w:t xml:space="preserve">Study </w:t>
      </w:r>
      <w:r w:rsidR="00323192">
        <w:t>schema</w:t>
      </w:r>
      <w:r w:rsidR="0082187E">
        <w:rPr>
          <w:b w:val="0"/>
          <w:noProof/>
          <w:lang w:eastAsia="en-AU"/>
        </w:rPr>
        <w:drawing>
          <wp:inline distT="0" distB="0" distL="0" distR="0" wp14:anchorId="6C23A324" wp14:editId="242A7DAC">
            <wp:extent cx="5076825" cy="3038475"/>
            <wp:effectExtent l="0" t="0" r="9525" b="9525"/>
            <wp:docPr id="4" name="Picture 4" descr="Patients went through screening for 4 or fewer weeks, then randomised to either: 328 patients did ABP 215 15 mg/kg IV + carboplatin/paclitaxel chemotherapy every 3 weeks or a total of 18 weeks ; 314 patients did bevecizumab 15 mg/kg IV + carboplatin/paclitaxel chemotherapy every 3 weeks for a total of 18 weeks . There was a safety follow up of 21 days and then a follow up period." title="Figure 1: Scheme of Study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3038475"/>
                    </a:xfrm>
                    <a:prstGeom prst="rect">
                      <a:avLst/>
                    </a:prstGeom>
                    <a:noFill/>
                    <a:ln>
                      <a:noFill/>
                    </a:ln>
                  </pic:spPr>
                </pic:pic>
              </a:graphicData>
            </a:graphic>
          </wp:inline>
        </w:drawing>
      </w:r>
    </w:p>
    <w:p w14:paraId="7C2B4388" w14:textId="77777777" w:rsidR="009A73D8" w:rsidRDefault="00B4560A" w:rsidP="009A73D8">
      <w:pPr>
        <w:pStyle w:val="Heading6"/>
      </w:pPr>
      <w:r w:rsidRPr="00152729">
        <w:t>Locations</w:t>
      </w:r>
    </w:p>
    <w:p w14:paraId="54ACE89A" w14:textId="47C1BACF" w:rsidR="00B4560A" w:rsidRDefault="009A73D8" w:rsidP="009A73D8">
      <w:r>
        <w:t>T</w:t>
      </w:r>
      <w:r w:rsidR="00B4560A" w:rsidRPr="002C6310">
        <w:t xml:space="preserve">he </w:t>
      </w:r>
      <w:r w:rsidR="00285E3B">
        <w:t>Phase III</w:t>
      </w:r>
      <w:r w:rsidR="00B4560A" w:rsidRPr="002C6310">
        <w:t xml:space="preserve"> </w:t>
      </w:r>
      <w:r w:rsidR="00285E3B">
        <w:t>S</w:t>
      </w:r>
      <w:r w:rsidR="00B4560A" w:rsidRPr="002C6310">
        <w:t>tudy</w:t>
      </w:r>
      <w:r w:rsidR="00B4560A" w:rsidRPr="002C6310">
        <w:rPr>
          <w:b/>
        </w:rPr>
        <w:t xml:space="preserve"> </w:t>
      </w:r>
      <w:r w:rsidR="00B4560A" w:rsidRPr="00AB7DFD">
        <w:t>265</w:t>
      </w:r>
      <w:r w:rsidR="00B4560A" w:rsidRPr="002C6310">
        <w:t xml:space="preserve"> was conducted at 101 sites</w:t>
      </w:r>
      <w:r w:rsidR="00B4560A">
        <w:t>.</w:t>
      </w:r>
      <w:r w:rsidR="00ED147C">
        <w:t xml:space="preserve"> </w:t>
      </w:r>
      <w:r w:rsidR="00B4560A">
        <w:t xml:space="preserve">A list of these sites was noted </w:t>
      </w:r>
      <w:r w:rsidR="00BD3718">
        <w:t xml:space="preserve">in </w:t>
      </w:r>
      <w:r w:rsidR="00BF1E18">
        <w:t xml:space="preserve">on page 50 of </w:t>
      </w:r>
      <w:r w:rsidR="00B4560A">
        <w:t>the EMA report</w:t>
      </w:r>
      <w:bookmarkStart w:id="46" w:name="_Ref53752580"/>
      <w:r w:rsidR="003E3431">
        <w:t>;</w:t>
      </w:r>
      <w:bookmarkStart w:id="47" w:name="_Ref54263280"/>
      <w:r w:rsidR="00BD3718">
        <w:rPr>
          <w:rStyle w:val="FootnoteReference"/>
        </w:rPr>
        <w:footnoteReference w:id="5"/>
      </w:r>
      <w:bookmarkEnd w:id="46"/>
      <w:bookmarkEnd w:id="47"/>
      <w:r w:rsidR="00B4560A">
        <w:t xml:space="preserve"> and is summarised below:</w:t>
      </w:r>
    </w:p>
    <w:p w14:paraId="08644141" w14:textId="77777777" w:rsidR="00B4560A" w:rsidRDefault="00B4560A" w:rsidP="001E2D94">
      <w:pPr>
        <w:pStyle w:val="ListBullet"/>
      </w:pPr>
      <w:r>
        <w:t>14 sites in the USA</w:t>
      </w:r>
    </w:p>
    <w:p w14:paraId="092814E9" w14:textId="77777777" w:rsidR="00B4560A" w:rsidRDefault="00B4560A" w:rsidP="001E2D94">
      <w:pPr>
        <w:pStyle w:val="ListBullet"/>
      </w:pPr>
      <w:r>
        <w:t>11 in Russia</w:t>
      </w:r>
    </w:p>
    <w:p w14:paraId="61B6EE42" w14:textId="77777777" w:rsidR="00B4560A" w:rsidRDefault="00B4560A" w:rsidP="001E2D94">
      <w:pPr>
        <w:pStyle w:val="ListBullet"/>
      </w:pPr>
      <w:r>
        <w:t>10 in Australia</w:t>
      </w:r>
    </w:p>
    <w:p w14:paraId="41DF3BFC" w14:textId="77777777" w:rsidR="00B4560A" w:rsidRDefault="00B4560A" w:rsidP="001E2D94">
      <w:pPr>
        <w:pStyle w:val="ListBullet"/>
      </w:pPr>
      <w:r>
        <w:t>9 in Germany</w:t>
      </w:r>
    </w:p>
    <w:p w14:paraId="2C0CFC81" w14:textId="77777777" w:rsidR="00B4560A" w:rsidRDefault="00B4560A" w:rsidP="001E2D94">
      <w:pPr>
        <w:pStyle w:val="ListBullet"/>
      </w:pPr>
      <w:r>
        <w:t>8 in Poland</w:t>
      </w:r>
    </w:p>
    <w:p w14:paraId="093F9F0F" w14:textId="77777777" w:rsidR="00B4560A" w:rsidRDefault="00B4560A" w:rsidP="001E2D94">
      <w:pPr>
        <w:pStyle w:val="ListBullet"/>
      </w:pPr>
      <w:r>
        <w:t>7 in Hungary</w:t>
      </w:r>
    </w:p>
    <w:p w14:paraId="68C5ACC8" w14:textId="77777777" w:rsidR="00B4560A" w:rsidRDefault="00B4560A" w:rsidP="001E2D94">
      <w:pPr>
        <w:pStyle w:val="ListBullet"/>
      </w:pPr>
      <w:r>
        <w:t>7 in Romania</w:t>
      </w:r>
    </w:p>
    <w:p w14:paraId="0282668D" w14:textId="77777777" w:rsidR="00B4560A" w:rsidRDefault="00B4560A" w:rsidP="001E2D94">
      <w:pPr>
        <w:pStyle w:val="ListBullet"/>
      </w:pPr>
      <w:r>
        <w:t>6 in Italy</w:t>
      </w:r>
    </w:p>
    <w:p w14:paraId="5FA4E64B" w14:textId="77777777" w:rsidR="00B4560A" w:rsidRDefault="00B4560A" w:rsidP="001E2D94">
      <w:pPr>
        <w:pStyle w:val="ListBullet"/>
      </w:pPr>
      <w:r>
        <w:t>6 in Spain</w:t>
      </w:r>
    </w:p>
    <w:p w14:paraId="3DC7E7E4" w14:textId="4C7B6C54" w:rsidR="00B44AF3" w:rsidRDefault="00B4560A" w:rsidP="001E2D94">
      <w:pPr>
        <w:pStyle w:val="ListBullet"/>
      </w:pPr>
      <w:r>
        <w:lastRenderedPageBreak/>
        <w:t>5 in Bulgaria</w:t>
      </w:r>
    </w:p>
    <w:p w14:paraId="7969A42B" w14:textId="1A54D549" w:rsidR="00B4560A" w:rsidRDefault="00B4560A" w:rsidP="001E2D94">
      <w:pPr>
        <w:pStyle w:val="ListBullet"/>
      </w:pPr>
      <w:r>
        <w:t>5 in Greece</w:t>
      </w:r>
    </w:p>
    <w:p w14:paraId="64CC0320" w14:textId="789C3012" w:rsidR="00B4560A" w:rsidRDefault="00B4560A" w:rsidP="001E2D94">
      <w:pPr>
        <w:pStyle w:val="ListBullet"/>
      </w:pPr>
      <w:r>
        <w:t>3 in the Czech Republic</w:t>
      </w:r>
    </w:p>
    <w:p w14:paraId="70E64910" w14:textId="35F79DF8" w:rsidR="00BC3EA8" w:rsidRDefault="00B4560A" w:rsidP="001E2D94">
      <w:pPr>
        <w:pStyle w:val="ListBullet"/>
      </w:pPr>
      <w:r>
        <w:t>3 i</w:t>
      </w:r>
      <w:r w:rsidR="00BC3EA8">
        <w:t>n</w:t>
      </w:r>
      <w:r>
        <w:t xml:space="preserve"> Mexico</w:t>
      </w:r>
    </w:p>
    <w:p w14:paraId="0FDAE25A" w14:textId="77777777" w:rsidR="00B4560A" w:rsidRDefault="00B4560A" w:rsidP="001E2D94">
      <w:pPr>
        <w:pStyle w:val="ListBullet"/>
      </w:pPr>
      <w:r>
        <w:t>3 in Taiwan</w:t>
      </w:r>
    </w:p>
    <w:p w14:paraId="5B2A5350" w14:textId="77777777" w:rsidR="00B4560A" w:rsidRDefault="00B4560A" w:rsidP="001E2D94">
      <w:pPr>
        <w:pStyle w:val="ListBullet"/>
      </w:pPr>
      <w:r>
        <w:t>2 in the Netherlands</w:t>
      </w:r>
    </w:p>
    <w:p w14:paraId="01CB0762" w14:textId="77777777" w:rsidR="00B4560A" w:rsidRDefault="00B4560A" w:rsidP="001E2D94">
      <w:pPr>
        <w:pStyle w:val="ListBullet"/>
      </w:pPr>
      <w:r>
        <w:t>1 in Canada</w:t>
      </w:r>
    </w:p>
    <w:p w14:paraId="64E6F831" w14:textId="4320E141" w:rsidR="00B4560A" w:rsidRDefault="00B4560A" w:rsidP="001E2D94">
      <w:pPr>
        <w:pStyle w:val="ListBullet"/>
      </w:pPr>
      <w:r>
        <w:t>1 in Hong Kong</w:t>
      </w:r>
    </w:p>
    <w:p w14:paraId="61A602C1" w14:textId="5E51F4F6" w:rsidR="00572EB5" w:rsidRDefault="00B4560A" w:rsidP="00B4560A">
      <w:r>
        <w:t>The sites were grouped into geographic regions which included Eastern Europe, Western Europe, Asia Pacific/ Other and North America. The results were stratified by region</w:t>
      </w:r>
      <w:r w:rsidR="00A6057E">
        <w:t xml:space="preserve"> </w:t>
      </w:r>
      <w:r w:rsidR="00445450">
        <w:t xml:space="preserve">and are summarised in </w:t>
      </w:r>
      <w:r w:rsidR="00445450">
        <w:fldChar w:fldCharType="begin"/>
      </w:r>
      <w:r w:rsidR="00445450">
        <w:instrText xml:space="preserve"> REF _Ref54098330 \h </w:instrText>
      </w:r>
      <w:r w:rsidR="00445450">
        <w:fldChar w:fldCharType="separate"/>
      </w:r>
      <w:r w:rsidR="005938A4">
        <w:t xml:space="preserve">Table </w:t>
      </w:r>
      <w:r w:rsidR="005938A4">
        <w:rPr>
          <w:noProof/>
        </w:rPr>
        <w:t>5</w:t>
      </w:r>
      <w:r w:rsidR="00445450">
        <w:fldChar w:fldCharType="end"/>
      </w:r>
      <w:r w:rsidR="00ED6DD5">
        <w:t>.</w:t>
      </w:r>
    </w:p>
    <w:p w14:paraId="107F5540" w14:textId="795E2E5D" w:rsidR="007B37D3" w:rsidRDefault="00445450" w:rsidP="00A80FF9">
      <w:pPr>
        <w:pStyle w:val="TableTitle"/>
      </w:pPr>
      <w:bookmarkStart w:id="48" w:name="_Ref54098330"/>
      <w:r>
        <w:t xml:space="preserve">Table </w:t>
      </w:r>
      <w:r w:rsidR="00741986">
        <w:fldChar w:fldCharType="begin"/>
      </w:r>
      <w:r w:rsidR="00741986">
        <w:instrText xml:space="preserve"> SEQ Table \* ARABIC </w:instrText>
      </w:r>
      <w:r w:rsidR="00741986">
        <w:fldChar w:fldCharType="separate"/>
      </w:r>
      <w:r w:rsidR="005938A4">
        <w:rPr>
          <w:noProof/>
        </w:rPr>
        <w:t>5</w:t>
      </w:r>
      <w:r w:rsidR="00741986">
        <w:rPr>
          <w:noProof/>
        </w:rPr>
        <w:fldChar w:fldCharType="end"/>
      </w:r>
      <w:bookmarkEnd w:id="48"/>
      <w:r>
        <w:t xml:space="preserve">: </w:t>
      </w:r>
      <w:r w:rsidR="007B37D3">
        <w:t xml:space="preserve">Study 265 </w:t>
      </w:r>
      <w:r w:rsidR="00323192">
        <w:t>P</w:t>
      </w:r>
      <w:r w:rsidR="007B37D3">
        <w:t>articipants stratified by geographical region</w:t>
      </w:r>
    </w:p>
    <w:tbl>
      <w:tblPr>
        <w:tblStyle w:val="TableTGAblue"/>
        <w:tblW w:w="0" w:type="auto"/>
        <w:tblLook w:val="04A0" w:firstRow="1" w:lastRow="0" w:firstColumn="1" w:lastColumn="0" w:noHBand="0" w:noVBand="1"/>
      </w:tblPr>
      <w:tblGrid>
        <w:gridCol w:w="2180"/>
        <w:gridCol w:w="2180"/>
        <w:gridCol w:w="2180"/>
        <w:gridCol w:w="2180"/>
      </w:tblGrid>
      <w:tr w:rsidR="009060EA" w14:paraId="1AE1760A" w14:textId="77777777" w:rsidTr="005C282C">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58F6BC7A" w14:textId="77777777" w:rsidR="009060EA" w:rsidRDefault="009060EA" w:rsidP="009060EA">
            <w:pPr>
              <w:jc w:val="center"/>
            </w:pPr>
            <w:r>
              <w:t>Geographic Region</w:t>
            </w:r>
          </w:p>
          <w:p w14:paraId="5EDB22D8" w14:textId="0CA98850" w:rsidR="009060EA" w:rsidRDefault="009060EA" w:rsidP="001E2D94">
            <w:pPr>
              <w:ind w:left="0" w:right="0"/>
              <w:jc w:val="center"/>
            </w:pPr>
            <w:r>
              <w:t>[n(%)]</w:t>
            </w:r>
          </w:p>
        </w:tc>
        <w:tc>
          <w:tcPr>
            <w:tcW w:w="2180" w:type="dxa"/>
            <w:tcBorders>
              <w:top w:val="single" w:sz="4" w:space="0" w:color="auto"/>
              <w:left w:val="single" w:sz="4" w:space="0" w:color="auto"/>
              <w:bottom w:val="single" w:sz="4" w:space="0" w:color="auto"/>
              <w:right w:val="single" w:sz="4" w:space="0" w:color="auto"/>
            </w:tcBorders>
          </w:tcPr>
          <w:p w14:paraId="5EDF1F6E" w14:textId="77777777" w:rsidR="009060EA" w:rsidRDefault="009060EA" w:rsidP="009060EA">
            <w:pPr>
              <w:jc w:val="center"/>
            </w:pPr>
            <w:r>
              <w:t>ABP 215 arm</w:t>
            </w:r>
          </w:p>
          <w:p w14:paraId="17D494DC" w14:textId="30C5ABE8" w:rsidR="009060EA" w:rsidRDefault="009060EA" w:rsidP="001E2D94">
            <w:pPr>
              <w:ind w:left="0" w:right="0"/>
              <w:jc w:val="center"/>
            </w:pPr>
            <w:r>
              <w:t>(N = 328)</w:t>
            </w:r>
          </w:p>
        </w:tc>
        <w:tc>
          <w:tcPr>
            <w:tcW w:w="2180" w:type="dxa"/>
            <w:tcBorders>
              <w:top w:val="single" w:sz="4" w:space="0" w:color="auto"/>
              <w:left w:val="single" w:sz="4" w:space="0" w:color="auto"/>
              <w:bottom w:val="single" w:sz="4" w:space="0" w:color="auto"/>
              <w:right w:val="single" w:sz="4" w:space="0" w:color="auto"/>
            </w:tcBorders>
          </w:tcPr>
          <w:p w14:paraId="2A60C12B" w14:textId="77777777" w:rsidR="009060EA" w:rsidRDefault="009060EA" w:rsidP="009060EA">
            <w:pPr>
              <w:jc w:val="center"/>
            </w:pPr>
            <w:r>
              <w:t>Bevacizumab arm</w:t>
            </w:r>
          </w:p>
          <w:p w14:paraId="515F6DF9" w14:textId="5CDF58F3" w:rsidR="009060EA" w:rsidRDefault="009060EA" w:rsidP="001E2D94">
            <w:pPr>
              <w:ind w:left="0" w:right="0"/>
              <w:jc w:val="center"/>
            </w:pPr>
            <w:r>
              <w:t>(N = 314)</w:t>
            </w:r>
          </w:p>
        </w:tc>
        <w:tc>
          <w:tcPr>
            <w:tcW w:w="2180" w:type="dxa"/>
            <w:tcBorders>
              <w:top w:val="single" w:sz="4" w:space="0" w:color="auto"/>
              <w:left w:val="single" w:sz="4" w:space="0" w:color="auto"/>
              <w:bottom w:val="single" w:sz="4" w:space="0" w:color="auto"/>
              <w:right w:val="single" w:sz="4" w:space="0" w:color="auto"/>
            </w:tcBorders>
          </w:tcPr>
          <w:p w14:paraId="7F64434E" w14:textId="77777777" w:rsidR="009060EA" w:rsidRDefault="009060EA" w:rsidP="009060EA">
            <w:pPr>
              <w:jc w:val="center"/>
            </w:pPr>
            <w:r>
              <w:t>Total</w:t>
            </w:r>
          </w:p>
          <w:p w14:paraId="550AD02F" w14:textId="44771028" w:rsidR="009060EA" w:rsidRDefault="009060EA" w:rsidP="001E2D94">
            <w:pPr>
              <w:ind w:left="0" w:right="0"/>
              <w:jc w:val="center"/>
            </w:pPr>
            <w:r>
              <w:t>(N = 642)</w:t>
            </w:r>
          </w:p>
        </w:tc>
      </w:tr>
      <w:tr w:rsidR="009060EA" w14:paraId="70FAF53B" w14:textId="77777777" w:rsidTr="005C282C">
        <w:tc>
          <w:tcPr>
            <w:tcW w:w="2180" w:type="dxa"/>
            <w:tcBorders>
              <w:top w:val="single" w:sz="4" w:space="0" w:color="auto"/>
            </w:tcBorders>
          </w:tcPr>
          <w:p w14:paraId="567A24BD" w14:textId="25241206" w:rsidR="009060EA" w:rsidRDefault="009060EA" w:rsidP="009060EA">
            <w:pPr>
              <w:ind w:left="0" w:right="0"/>
            </w:pPr>
            <w:r>
              <w:t>Eastern Europe</w:t>
            </w:r>
          </w:p>
        </w:tc>
        <w:tc>
          <w:tcPr>
            <w:tcW w:w="2180" w:type="dxa"/>
            <w:tcBorders>
              <w:top w:val="single" w:sz="4" w:space="0" w:color="auto"/>
            </w:tcBorders>
          </w:tcPr>
          <w:p w14:paraId="26E04EF6" w14:textId="73D42A19" w:rsidR="009060EA" w:rsidRDefault="009060EA" w:rsidP="009060EA">
            <w:pPr>
              <w:ind w:left="0" w:right="0"/>
            </w:pPr>
            <w:r>
              <w:t>189 (57.6)</w:t>
            </w:r>
          </w:p>
        </w:tc>
        <w:tc>
          <w:tcPr>
            <w:tcW w:w="2180" w:type="dxa"/>
            <w:tcBorders>
              <w:top w:val="single" w:sz="4" w:space="0" w:color="auto"/>
            </w:tcBorders>
          </w:tcPr>
          <w:p w14:paraId="06420737" w14:textId="2D5FEA95" w:rsidR="009060EA" w:rsidRDefault="009060EA" w:rsidP="009060EA">
            <w:pPr>
              <w:ind w:left="0" w:right="0"/>
            </w:pPr>
            <w:r>
              <w:t>186 (59.2)</w:t>
            </w:r>
          </w:p>
        </w:tc>
        <w:tc>
          <w:tcPr>
            <w:tcW w:w="2180" w:type="dxa"/>
            <w:tcBorders>
              <w:top w:val="single" w:sz="4" w:space="0" w:color="auto"/>
            </w:tcBorders>
          </w:tcPr>
          <w:p w14:paraId="2E1B8646" w14:textId="53B72660" w:rsidR="009060EA" w:rsidRDefault="009060EA" w:rsidP="009060EA">
            <w:pPr>
              <w:ind w:left="0" w:right="0"/>
            </w:pPr>
            <w:r>
              <w:t>375 (58.4)</w:t>
            </w:r>
          </w:p>
        </w:tc>
      </w:tr>
      <w:tr w:rsidR="009060EA" w14:paraId="620E53B8" w14:textId="77777777" w:rsidTr="005C282C">
        <w:tc>
          <w:tcPr>
            <w:tcW w:w="2180" w:type="dxa"/>
          </w:tcPr>
          <w:p w14:paraId="669ED569" w14:textId="34481F52" w:rsidR="009060EA" w:rsidRDefault="009060EA" w:rsidP="009060EA">
            <w:pPr>
              <w:ind w:left="0" w:right="0"/>
            </w:pPr>
            <w:r>
              <w:t>Western Europe</w:t>
            </w:r>
          </w:p>
        </w:tc>
        <w:tc>
          <w:tcPr>
            <w:tcW w:w="2180" w:type="dxa"/>
          </w:tcPr>
          <w:p w14:paraId="766E1C72" w14:textId="4DE65C96" w:rsidR="009060EA" w:rsidRDefault="009060EA" w:rsidP="009060EA">
            <w:pPr>
              <w:ind w:left="0" w:right="0"/>
            </w:pPr>
            <w:r>
              <w:t>78 (23.8)</w:t>
            </w:r>
          </w:p>
        </w:tc>
        <w:tc>
          <w:tcPr>
            <w:tcW w:w="2180" w:type="dxa"/>
          </w:tcPr>
          <w:p w14:paraId="7946328D" w14:textId="197AD17E" w:rsidR="009060EA" w:rsidRDefault="009060EA" w:rsidP="009060EA">
            <w:pPr>
              <w:ind w:left="0" w:right="0"/>
            </w:pPr>
            <w:r>
              <w:t>76 (24.2)</w:t>
            </w:r>
          </w:p>
        </w:tc>
        <w:tc>
          <w:tcPr>
            <w:tcW w:w="2180" w:type="dxa"/>
          </w:tcPr>
          <w:p w14:paraId="150E5638" w14:textId="17C390F0" w:rsidR="009060EA" w:rsidRDefault="009060EA" w:rsidP="009060EA">
            <w:pPr>
              <w:ind w:left="0" w:right="0"/>
            </w:pPr>
            <w:r>
              <w:t>154 (24.0)</w:t>
            </w:r>
          </w:p>
        </w:tc>
      </w:tr>
      <w:tr w:rsidR="009060EA" w14:paraId="61945279" w14:textId="77777777" w:rsidTr="005C282C">
        <w:tc>
          <w:tcPr>
            <w:tcW w:w="2180" w:type="dxa"/>
          </w:tcPr>
          <w:p w14:paraId="26CDC3FE" w14:textId="122CDF33" w:rsidR="009060EA" w:rsidRDefault="009060EA" w:rsidP="001E2D94">
            <w:pPr>
              <w:ind w:left="0"/>
            </w:pPr>
            <w:r>
              <w:t>North America</w:t>
            </w:r>
          </w:p>
        </w:tc>
        <w:tc>
          <w:tcPr>
            <w:tcW w:w="2180" w:type="dxa"/>
          </w:tcPr>
          <w:p w14:paraId="3EE4BEA4" w14:textId="2079DED3" w:rsidR="009060EA" w:rsidRDefault="009060EA" w:rsidP="001E2D94">
            <w:pPr>
              <w:ind w:left="0"/>
            </w:pPr>
            <w:r>
              <w:t>31 (9.5)</w:t>
            </w:r>
          </w:p>
        </w:tc>
        <w:tc>
          <w:tcPr>
            <w:tcW w:w="2180" w:type="dxa"/>
          </w:tcPr>
          <w:p w14:paraId="68726B79" w14:textId="3F75AEFB" w:rsidR="009060EA" w:rsidRDefault="009060EA" w:rsidP="001E2D94">
            <w:pPr>
              <w:ind w:left="0"/>
            </w:pPr>
            <w:r>
              <w:t>26 (8.3)</w:t>
            </w:r>
          </w:p>
        </w:tc>
        <w:tc>
          <w:tcPr>
            <w:tcW w:w="2180" w:type="dxa"/>
          </w:tcPr>
          <w:p w14:paraId="0891EF41" w14:textId="20C6AD53" w:rsidR="009060EA" w:rsidRDefault="009060EA" w:rsidP="001E2D94">
            <w:pPr>
              <w:ind w:left="0"/>
            </w:pPr>
            <w:r>
              <w:t>57 (8.9)</w:t>
            </w:r>
          </w:p>
        </w:tc>
      </w:tr>
      <w:tr w:rsidR="009060EA" w14:paraId="5F81E597" w14:textId="77777777" w:rsidTr="005C282C">
        <w:tc>
          <w:tcPr>
            <w:tcW w:w="2180" w:type="dxa"/>
          </w:tcPr>
          <w:p w14:paraId="5FC0D355" w14:textId="1551B823" w:rsidR="009060EA" w:rsidRDefault="009060EA" w:rsidP="001E2D94">
            <w:pPr>
              <w:ind w:left="0"/>
            </w:pPr>
            <w:r>
              <w:t>Asia Pacific/Other</w:t>
            </w:r>
          </w:p>
        </w:tc>
        <w:tc>
          <w:tcPr>
            <w:tcW w:w="2180" w:type="dxa"/>
          </w:tcPr>
          <w:p w14:paraId="03784CAC" w14:textId="7B11C7DD" w:rsidR="009060EA" w:rsidRDefault="009060EA" w:rsidP="001E2D94">
            <w:pPr>
              <w:ind w:left="0"/>
            </w:pPr>
            <w:r>
              <w:t>30 (9.1)</w:t>
            </w:r>
          </w:p>
        </w:tc>
        <w:tc>
          <w:tcPr>
            <w:tcW w:w="2180" w:type="dxa"/>
          </w:tcPr>
          <w:p w14:paraId="392203C1" w14:textId="742D6F7B" w:rsidR="009060EA" w:rsidRDefault="009060EA" w:rsidP="001E2D94">
            <w:pPr>
              <w:ind w:left="0"/>
            </w:pPr>
            <w:r>
              <w:t>26 (8.3)</w:t>
            </w:r>
          </w:p>
        </w:tc>
        <w:tc>
          <w:tcPr>
            <w:tcW w:w="2180" w:type="dxa"/>
          </w:tcPr>
          <w:p w14:paraId="68F6CF77" w14:textId="0E1AA7D0" w:rsidR="009060EA" w:rsidRDefault="009060EA" w:rsidP="001E2D94">
            <w:pPr>
              <w:ind w:left="0"/>
            </w:pPr>
            <w:r>
              <w:t>56 (8.7)</w:t>
            </w:r>
          </w:p>
        </w:tc>
      </w:tr>
    </w:tbl>
    <w:p w14:paraId="23E40228" w14:textId="7D261FBE" w:rsidR="009060EA" w:rsidRDefault="00BF1E18" w:rsidP="001362DA">
      <w:pPr>
        <w:pStyle w:val="TableDescription"/>
      </w:pPr>
      <w:r>
        <w:t>Source: EPAR for Mvasi.</w:t>
      </w:r>
      <w:r w:rsidR="00F915B1">
        <w:rPr>
          <w:vertAlign w:val="superscript"/>
        </w:rPr>
        <w:fldChar w:fldCharType="begin"/>
      </w:r>
      <w:r w:rsidR="00F915B1">
        <w:instrText xml:space="preserve"> NOTEREF _Ref54263280 \f \h </w:instrText>
      </w:r>
      <w:r w:rsidR="00F915B1">
        <w:rPr>
          <w:vertAlign w:val="superscript"/>
        </w:rPr>
      </w:r>
      <w:r w:rsidR="00F915B1">
        <w:rPr>
          <w:vertAlign w:val="superscript"/>
        </w:rPr>
        <w:fldChar w:fldCharType="separate"/>
      </w:r>
      <w:r w:rsidR="005938A4" w:rsidRPr="005938A4">
        <w:rPr>
          <w:rStyle w:val="FootnoteReference"/>
        </w:rPr>
        <w:t>5</w:t>
      </w:r>
      <w:r w:rsidR="00F915B1">
        <w:rPr>
          <w:vertAlign w:val="superscript"/>
        </w:rPr>
        <w:fldChar w:fldCharType="end"/>
      </w:r>
    </w:p>
    <w:p w14:paraId="38FFE532" w14:textId="7E66084F" w:rsidR="007B37D3" w:rsidRDefault="00B4560A" w:rsidP="00B4560A">
      <w:r w:rsidRPr="007B6168">
        <w:t xml:space="preserve">The first subject in </w:t>
      </w:r>
      <w:r w:rsidR="00272706">
        <w:t>S</w:t>
      </w:r>
      <w:r w:rsidRPr="007B6168">
        <w:t>tudy 265 was enrolled</w:t>
      </w:r>
      <w:r w:rsidR="001362DA">
        <w:t xml:space="preserve"> on </w:t>
      </w:r>
      <w:r w:rsidRPr="007B6168">
        <w:t>11</w:t>
      </w:r>
      <w:r w:rsidR="001362DA">
        <w:t xml:space="preserve"> </w:t>
      </w:r>
      <w:r w:rsidRPr="007B6168">
        <w:t xml:space="preserve">November 2013, and last subject completed </w:t>
      </w:r>
      <w:r w:rsidR="00272706">
        <w:t xml:space="preserve">the </w:t>
      </w:r>
      <w:r w:rsidRPr="007B6168">
        <w:t>study</w:t>
      </w:r>
      <w:r w:rsidR="00272706">
        <w:t xml:space="preserve"> on</w:t>
      </w:r>
      <w:r w:rsidRPr="007B6168">
        <w:t xml:space="preserve"> 2 </w:t>
      </w:r>
      <w:r w:rsidR="001362DA">
        <w:t>J</w:t>
      </w:r>
      <w:r w:rsidRPr="007B6168">
        <w:t>uly 2015.</w:t>
      </w:r>
    </w:p>
    <w:p w14:paraId="0A404DF2" w14:textId="054F64D5" w:rsidR="00B4560A" w:rsidRPr="00152729" w:rsidRDefault="00B4560A" w:rsidP="008D376D">
      <w:pPr>
        <w:pStyle w:val="Heading6"/>
      </w:pPr>
      <w:bookmarkStart w:id="49" w:name="_Ref51064987"/>
      <w:r w:rsidRPr="00152729">
        <w:t>Brief summary of inclusion criteria</w:t>
      </w:r>
      <w:bookmarkEnd w:id="49"/>
    </w:p>
    <w:p w14:paraId="5FFAFD20" w14:textId="77777777" w:rsidR="00B4560A" w:rsidRDefault="00B4560A" w:rsidP="001E2D94">
      <w:pPr>
        <w:pStyle w:val="ListBullet"/>
      </w:pPr>
      <w:r>
        <w:t>Age ≥ 18 years and &lt; 80 years</w:t>
      </w:r>
    </w:p>
    <w:p w14:paraId="3ACDA804" w14:textId="2BB3FA63" w:rsidR="00B4560A" w:rsidRDefault="00B4560A" w:rsidP="001E2D94">
      <w:pPr>
        <w:pStyle w:val="ListBullet"/>
      </w:pPr>
      <w:r w:rsidRPr="00C03FE8">
        <w:t xml:space="preserve">Stage 4 or recurrent metastatic NSCLC </w:t>
      </w:r>
      <w:r>
        <w:t xml:space="preserve">(histologically or cytologically confirmed) </w:t>
      </w:r>
      <w:r w:rsidRPr="00C03FE8">
        <w:t>with measurable disease according to modified RECIST</w:t>
      </w:r>
      <w:r w:rsidR="003E3431">
        <w:t>;</w:t>
      </w:r>
      <w:r w:rsidR="004B4198" w:rsidRPr="0027515A">
        <w:rPr>
          <w:vertAlign w:val="superscript"/>
        </w:rPr>
        <w:fldChar w:fldCharType="begin"/>
      </w:r>
      <w:r w:rsidR="004B4198" w:rsidRPr="0027515A">
        <w:rPr>
          <w:vertAlign w:val="superscript"/>
        </w:rPr>
        <w:instrText xml:space="preserve"> NOTEREF _Ref54094626 \h </w:instrText>
      </w:r>
      <w:r w:rsidR="004B4198">
        <w:rPr>
          <w:vertAlign w:val="superscript"/>
        </w:rPr>
        <w:instrText xml:space="preserve"> \* MERGEFORMAT </w:instrText>
      </w:r>
      <w:r w:rsidR="004B4198" w:rsidRPr="0027515A">
        <w:rPr>
          <w:vertAlign w:val="superscript"/>
        </w:rPr>
      </w:r>
      <w:r w:rsidR="004B4198" w:rsidRPr="0027515A">
        <w:rPr>
          <w:vertAlign w:val="superscript"/>
        </w:rPr>
        <w:fldChar w:fldCharType="separate"/>
      </w:r>
      <w:r w:rsidR="005938A4">
        <w:rPr>
          <w:vertAlign w:val="superscript"/>
        </w:rPr>
        <w:t>4</w:t>
      </w:r>
      <w:r w:rsidR="004B4198" w:rsidRPr="0027515A">
        <w:rPr>
          <w:vertAlign w:val="superscript"/>
        </w:rPr>
        <w:fldChar w:fldCharType="end"/>
      </w:r>
      <w:r w:rsidR="00662791">
        <w:t xml:space="preserve"> </w:t>
      </w:r>
      <w:r w:rsidRPr="00C03FE8">
        <w:t>v</w:t>
      </w:r>
      <w:r w:rsidR="00323192">
        <w:t xml:space="preserve">ersion </w:t>
      </w:r>
      <w:r w:rsidRPr="00C03FE8">
        <w:t>1.1</w:t>
      </w:r>
    </w:p>
    <w:p w14:paraId="7EB370CC" w14:textId="77777777" w:rsidR="00B4560A" w:rsidRDefault="00B4560A" w:rsidP="001E2D94">
      <w:pPr>
        <w:pStyle w:val="ListBullet"/>
      </w:pPr>
      <w:r w:rsidRPr="00C03FE8">
        <w:t>If recurrent, at least 12 months since completing adjuvant chemotherapy</w:t>
      </w:r>
    </w:p>
    <w:p w14:paraId="44FB5006" w14:textId="77777777" w:rsidR="00B4560A" w:rsidRDefault="00B4560A" w:rsidP="001E2D94">
      <w:pPr>
        <w:pStyle w:val="ListBullet"/>
      </w:pPr>
      <w:r w:rsidRPr="00C03FE8">
        <w:t>Receiving first-line carboplatin/paclitaxel</w:t>
      </w:r>
    </w:p>
    <w:p w14:paraId="7839D137" w14:textId="5924949B" w:rsidR="00B4560A" w:rsidRDefault="00B4560A" w:rsidP="001E2D94">
      <w:pPr>
        <w:pStyle w:val="ListBullet"/>
      </w:pPr>
      <w:r w:rsidRPr="00C03FE8">
        <w:t>Baseline scan (</w:t>
      </w:r>
      <w:r w:rsidR="00323192">
        <w:t>computer</w:t>
      </w:r>
      <w:r w:rsidR="005938A4">
        <w:t>is</w:t>
      </w:r>
      <w:r w:rsidR="00323192">
        <w:t>ed tomography (</w:t>
      </w:r>
      <w:r w:rsidRPr="00C03FE8">
        <w:t>CT</w:t>
      </w:r>
      <w:r w:rsidR="00323192">
        <w:t>)</w:t>
      </w:r>
      <w:r w:rsidRPr="00C03FE8">
        <w:t xml:space="preserve"> or </w:t>
      </w:r>
      <w:r w:rsidR="00323192">
        <w:t>magnetic resonance imaging (</w:t>
      </w:r>
      <w:r w:rsidRPr="00C03FE8">
        <w:t>MRI</w:t>
      </w:r>
      <w:r w:rsidR="00323192">
        <w:t>)</w:t>
      </w:r>
      <w:r w:rsidRPr="00C03FE8">
        <w:t>) of chest and abdomen ≤ 28 days prior enrolling in study</w:t>
      </w:r>
    </w:p>
    <w:p w14:paraId="5D1C1F6B" w14:textId="2B59BFBA" w:rsidR="00B4560A" w:rsidRDefault="00B4560A" w:rsidP="001E2D94">
      <w:pPr>
        <w:pStyle w:val="ListBullet"/>
      </w:pPr>
      <w:r w:rsidRPr="00C03FE8">
        <w:t>Commencing chemotherapy within 8 days of randomi</w:t>
      </w:r>
      <w:r w:rsidR="00323192">
        <w:t>s</w:t>
      </w:r>
      <w:r w:rsidRPr="00C03FE8">
        <w:t>ation</w:t>
      </w:r>
    </w:p>
    <w:p w14:paraId="1AEE3034" w14:textId="77777777" w:rsidR="00B4560A" w:rsidRDefault="00B4560A" w:rsidP="001E2D94">
      <w:pPr>
        <w:pStyle w:val="ListBullet"/>
      </w:pPr>
      <w:r w:rsidRPr="00C03FE8">
        <w:t>Must receive at least 4 cycles of chemotherapy</w:t>
      </w:r>
    </w:p>
    <w:p w14:paraId="3EBBF6AF" w14:textId="5D498F52" w:rsidR="00B4560A" w:rsidRPr="00152729" w:rsidRDefault="00B4560A" w:rsidP="008D376D">
      <w:pPr>
        <w:pStyle w:val="Heading6"/>
      </w:pPr>
      <w:bookmarkStart w:id="50" w:name="_Ref51064992"/>
      <w:r w:rsidRPr="00152729">
        <w:t>Brief summary of exclusion criteria</w:t>
      </w:r>
      <w:bookmarkEnd w:id="50"/>
    </w:p>
    <w:p w14:paraId="4BF36F77" w14:textId="77777777" w:rsidR="00B4560A" w:rsidRDefault="00B4560A" w:rsidP="001E2D94">
      <w:pPr>
        <w:pStyle w:val="ListBullet"/>
      </w:pPr>
      <w:r>
        <w:t>Any non-study cancer treatment</w:t>
      </w:r>
    </w:p>
    <w:p w14:paraId="5508048B" w14:textId="77777777" w:rsidR="00B4560A" w:rsidRDefault="00B4560A" w:rsidP="001E2D94">
      <w:pPr>
        <w:pStyle w:val="ListBullet"/>
      </w:pPr>
      <w:r>
        <w:t>Commercial bevacizumab treatment</w:t>
      </w:r>
    </w:p>
    <w:p w14:paraId="290B4760" w14:textId="697FB807" w:rsidR="00A6057E" w:rsidRPr="007B37D3" w:rsidRDefault="00B4560A" w:rsidP="00A6057E">
      <w:pPr>
        <w:pStyle w:val="ListBullet"/>
      </w:pPr>
      <w:r>
        <w:t>Any other clinical trial (experimental) therapy</w:t>
      </w:r>
      <w:r w:rsidR="007B37D3">
        <w:t>.</w:t>
      </w:r>
    </w:p>
    <w:p w14:paraId="1AAF0093" w14:textId="62072C7E" w:rsidR="00B4560A" w:rsidRPr="00152729" w:rsidRDefault="00B4560A" w:rsidP="008D376D">
      <w:pPr>
        <w:pStyle w:val="Heading6"/>
      </w:pPr>
      <w:r w:rsidRPr="00152729">
        <w:lastRenderedPageBreak/>
        <w:t>Efficacy endpoints</w:t>
      </w:r>
    </w:p>
    <w:p w14:paraId="47896935" w14:textId="19DAF14A" w:rsidR="007325FB" w:rsidRDefault="00A6057E" w:rsidP="00A80FF9">
      <w:pPr>
        <w:pStyle w:val="TableTitle"/>
      </w:pPr>
      <w:r>
        <w:t xml:space="preserve">Table </w:t>
      </w:r>
      <w:r w:rsidR="00741986">
        <w:fldChar w:fldCharType="begin"/>
      </w:r>
      <w:r w:rsidR="00741986">
        <w:instrText xml:space="preserve"> SEQ Table \* ARABIC </w:instrText>
      </w:r>
      <w:r w:rsidR="00741986">
        <w:fldChar w:fldCharType="separate"/>
      </w:r>
      <w:r w:rsidR="005938A4">
        <w:rPr>
          <w:noProof/>
        </w:rPr>
        <w:t>6</w:t>
      </w:r>
      <w:r w:rsidR="00741986">
        <w:rPr>
          <w:noProof/>
        </w:rPr>
        <w:fldChar w:fldCharType="end"/>
      </w:r>
      <w:r>
        <w:t xml:space="preserve">: </w:t>
      </w:r>
      <w:r w:rsidR="007325FB">
        <w:t>Efficacy endpoints</w:t>
      </w:r>
    </w:p>
    <w:tbl>
      <w:tblPr>
        <w:tblStyle w:val="TableTGAblue"/>
        <w:tblW w:w="8897" w:type="dxa"/>
        <w:tblLook w:val="04A0" w:firstRow="1" w:lastRow="0" w:firstColumn="1" w:lastColumn="0" w:noHBand="0" w:noVBand="1"/>
      </w:tblPr>
      <w:tblGrid>
        <w:gridCol w:w="2180"/>
        <w:gridCol w:w="6717"/>
      </w:tblGrid>
      <w:tr w:rsidR="00134CEC" w14:paraId="24622199" w14:textId="77777777" w:rsidTr="001E2D94">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0E25CC74" w14:textId="080C1DF2" w:rsidR="00134CEC" w:rsidRDefault="00134CEC" w:rsidP="005C282C">
            <w:pPr>
              <w:ind w:left="0" w:right="0"/>
            </w:pPr>
            <w:r>
              <w:t xml:space="preserve">Efficacy </w:t>
            </w:r>
            <w:r w:rsidR="009F4EE1">
              <w:t>e</w:t>
            </w:r>
            <w:r>
              <w:t xml:space="preserve">ndpoint </w:t>
            </w:r>
          </w:p>
        </w:tc>
        <w:tc>
          <w:tcPr>
            <w:tcW w:w="6717" w:type="dxa"/>
            <w:tcBorders>
              <w:top w:val="single" w:sz="4" w:space="0" w:color="auto"/>
              <w:left w:val="single" w:sz="4" w:space="0" w:color="auto"/>
              <w:bottom w:val="single" w:sz="4" w:space="0" w:color="auto"/>
              <w:right w:val="single" w:sz="4" w:space="0" w:color="auto"/>
            </w:tcBorders>
          </w:tcPr>
          <w:p w14:paraId="5B2137AF" w14:textId="770671CC" w:rsidR="00134CEC" w:rsidRDefault="00134CEC" w:rsidP="005C282C">
            <w:pPr>
              <w:ind w:left="0" w:right="0"/>
            </w:pPr>
            <w:r>
              <w:t>Details</w:t>
            </w:r>
          </w:p>
        </w:tc>
      </w:tr>
      <w:tr w:rsidR="00134CEC" w14:paraId="4D088794" w14:textId="77777777" w:rsidTr="001E2D94">
        <w:tc>
          <w:tcPr>
            <w:tcW w:w="2180" w:type="dxa"/>
            <w:tcBorders>
              <w:top w:val="single" w:sz="4" w:space="0" w:color="auto"/>
            </w:tcBorders>
          </w:tcPr>
          <w:p w14:paraId="63AFA912" w14:textId="1103EBA9" w:rsidR="00134CEC" w:rsidRDefault="00134CEC" w:rsidP="005C282C">
            <w:pPr>
              <w:ind w:left="0" w:right="0"/>
            </w:pPr>
            <w:r>
              <w:t>Primary efficacy endpoint</w:t>
            </w:r>
          </w:p>
        </w:tc>
        <w:tc>
          <w:tcPr>
            <w:tcW w:w="6717" w:type="dxa"/>
            <w:tcBorders>
              <w:top w:val="single" w:sz="4" w:space="0" w:color="auto"/>
            </w:tcBorders>
          </w:tcPr>
          <w:p w14:paraId="101BBE56" w14:textId="4FA147C8" w:rsidR="00134CEC" w:rsidRPr="00D65838" w:rsidRDefault="00134CEC" w:rsidP="001E2D94">
            <w:r w:rsidRPr="00D65838">
              <w:t>Risk ratio (RR) of the overall response rate (ORR)</w:t>
            </w:r>
            <w:r>
              <w:t xml:space="preserve">, as assessed by </w:t>
            </w:r>
            <w:r w:rsidR="00323192">
              <w:t>blinded independent central review</w:t>
            </w:r>
            <w:r w:rsidR="00323192" w:rsidRPr="00D65838">
              <w:t xml:space="preserve"> </w:t>
            </w:r>
            <w:r w:rsidRPr="00D65838">
              <w:t>of ABP 215 compared to Avastin</w:t>
            </w:r>
          </w:p>
          <w:p w14:paraId="1361A8A2" w14:textId="3CA2FE2B" w:rsidR="00134CEC" w:rsidRPr="00D65838" w:rsidRDefault="00134CEC" w:rsidP="00936FF6">
            <w:pPr>
              <w:pStyle w:val="ListBullet"/>
              <w:spacing w:before="60" w:after="60" w:line="240" w:lineRule="auto"/>
              <w:ind w:left="357" w:hanging="357"/>
            </w:pPr>
            <w:r w:rsidRPr="00D65838">
              <w:t>Note: ORR was defined by the incidence rates of complete response and partial response using RECIST</w:t>
            </w:r>
            <w:r w:rsidR="00A166D1">
              <w:t>;</w:t>
            </w:r>
            <w:r w:rsidR="004B4198" w:rsidRPr="0027515A">
              <w:rPr>
                <w:vertAlign w:val="superscript"/>
              </w:rPr>
              <w:fldChar w:fldCharType="begin"/>
            </w:r>
            <w:r w:rsidR="004B4198" w:rsidRPr="0027515A">
              <w:rPr>
                <w:vertAlign w:val="superscript"/>
              </w:rPr>
              <w:instrText xml:space="preserve"> NOTEREF _Ref54094626 \h </w:instrText>
            </w:r>
            <w:r w:rsidR="004B4198">
              <w:rPr>
                <w:vertAlign w:val="superscript"/>
              </w:rPr>
              <w:instrText xml:space="preserve"> \* MERGEFORMAT </w:instrText>
            </w:r>
            <w:r w:rsidR="004B4198" w:rsidRPr="0027515A">
              <w:rPr>
                <w:vertAlign w:val="superscript"/>
              </w:rPr>
            </w:r>
            <w:r w:rsidR="004B4198" w:rsidRPr="0027515A">
              <w:rPr>
                <w:vertAlign w:val="superscript"/>
              </w:rPr>
              <w:fldChar w:fldCharType="separate"/>
            </w:r>
            <w:r w:rsidR="005938A4">
              <w:rPr>
                <w:vertAlign w:val="superscript"/>
              </w:rPr>
              <w:t>4</w:t>
            </w:r>
            <w:r w:rsidR="004B4198" w:rsidRPr="0027515A">
              <w:rPr>
                <w:vertAlign w:val="superscript"/>
              </w:rPr>
              <w:fldChar w:fldCharType="end"/>
            </w:r>
            <w:r w:rsidRPr="00D65838">
              <w:t xml:space="preserve"> v1.1</w:t>
            </w:r>
          </w:p>
          <w:p w14:paraId="248F1BF4" w14:textId="794BB41F" w:rsidR="00134CEC" w:rsidRPr="00D65838" w:rsidRDefault="00134CEC" w:rsidP="00936FF6">
            <w:pPr>
              <w:pStyle w:val="ListBullet"/>
              <w:spacing w:before="60" w:after="60" w:line="240" w:lineRule="auto"/>
              <w:ind w:left="357" w:hanging="357"/>
            </w:pPr>
            <w:r w:rsidRPr="00D65838">
              <w:t>The pre-specified equivalence margin was 0.67</w:t>
            </w:r>
            <w:r w:rsidR="00323192">
              <w:t xml:space="preserve"> to</w:t>
            </w:r>
            <w:r w:rsidRPr="00D65838">
              <w:t xml:space="preserve"> 1.5</w:t>
            </w:r>
          </w:p>
          <w:p w14:paraId="213035F6" w14:textId="794BE391" w:rsidR="00134CEC" w:rsidRPr="00D65838" w:rsidRDefault="00134CEC" w:rsidP="00936FF6">
            <w:pPr>
              <w:pStyle w:val="ListBullet"/>
              <w:spacing w:before="60" w:after="60" w:line="240" w:lineRule="auto"/>
              <w:ind w:left="357" w:hanging="357"/>
            </w:pPr>
            <w:r w:rsidRPr="00D65838">
              <w:t>The primary analysis of the ORR was based on the ITT</w:t>
            </w:r>
            <w:r w:rsidR="004E720E">
              <w:t> </w:t>
            </w:r>
            <w:r w:rsidRPr="00D65838">
              <w:t>population</w:t>
            </w:r>
          </w:p>
          <w:p w14:paraId="64F6041C" w14:textId="6F662450" w:rsidR="00134CEC" w:rsidRDefault="00134CEC" w:rsidP="00936FF6">
            <w:pPr>
              <w:pStyle w:val="ListBullet"/>
              <w:spacing w:before="60" w:after="60" w:line="240" w:lineRule="auto"/>
              <w:ind w:left="357" w:hanging="357"/>
            </w:pPr>
            <w:r w:rsidRPr="00D65838">
              <w:t>The secondary analysis of the ORR was based on the PP</w:t>
            </w:r>
            <w:r w:rsidR="004E720E">
              <w:t> </w:t>
            </w:r>
            <w:r w:rsidRPr="00D65838">
              <w:t>population</w:t>
            </w:r>
          </w:p>
        </w:tc>
      </w:tr>
      <w:tr w:rsidR="00134CEC" w14:paraId="6EEEB823" w14:textId="77777777" w:rsidTr="001E2D94">
        <w:tc>
          <w:tcPr>
            <w:tcW w:w="2180" w:type="dxa"/>
          </w:tcPr>
          <w:p w14:paraId="5B4617B3" w14:textId="41522F8D" w:rsidR="00134CEC" w:rsidRDefault="00134CEC" w:rsidP="005C282C">
            <w:pPr>
              <w:ind w:left="0" w:right="0"/>
            </w:pPr>
            <w:r>
              <w:t>Secondary efficacy endpoints</w:t>
            </w:r>
          </w:p>
        </w:tc>
        <w:tc>
          <w:tcPr>
            <w:tcW w:w="6717" w:type="dxa"/>
          </w:tcPr>
          <w:p w14:paraId="1CC725F2" w14:textId="3C8C0DF8" w:rsidR="00134CEC" w:rsidRPr="00D65838" w:rsidRDefault="00134CEC" w:rsidP="00936FF6">
            <w:pPr>
              <w:pStyle w:val="ListBullet"/>
              <w:spacing w:before="60" w:after="60" w:line="240" w:lineRule="auto"/>
              <w:ind w:hanging="357"/>
            </w:pPr>
            <w:r w:rsidRPr="00D65838">
              <w:t>Risk difference for the ORR</w:t>
            </w:r>
            <w:r w:rsidR="004E720E">
              <w:t>:</w:t>
            </w:r>
          </w:p>
          <w:p w14:paraId="1F07707C" w14:textId="77777777" w:rsidR="00134CEC" w:rsidRPr="00D65838" w:rsidRDefault="00134CEC" w:rsidP="00936FF6">
            <w:pPr>
              <w:pStyle w:val="ListBullet2"/>
              <w:spacing w:before="60" w:after="60" w:line="240" w:lineRule="auto"/>
              <w:ind w:hanging="357"/>
            </w:pPr>
            <w:r w:rsidRPr="00D65838">
              <w:t xml:space="preserve">The </w:t>
            </w:r>
            <w:r>
              <w:t>s</w:t>
            </w:r>
            <w:r w:rsidRPr="00D65838">
              <w:t>ponsor included data regarding the risk difference in the ITT population, in the PP population and the tumour response set</w:t>
            </w:r>
          </w:p>
          <w:p w14:paraId="7B730808" w14:textId="77777777" w:rsidR="00134CEC" w:rsidRPr="00D65838" w:rsidRDefault="00134CEC" w:rsidP="00936FF6">
            <w:pPr>
              <w:pStyle w:val="ListBullet2"/>
              <w:spacing w:before="60" w:after="60" w:line="240" w:lineRule="auto"/>
              <w:ind w:hanging="357"/>
            </w:pPr>
            <w:r w:rsidRPr="00D65838">
              <w:t>The pre-specified equivalence margin was -12.5% to 12.5%</w:t>
            </w:r>
          </w:p>
          <w:p w14:paraId="07080396" w14:textId="77777777" w:rsidR="00134CEC" w:rsidRPr="00D65838" w:rsidRDefault="00134CEC" w:rsidP="00936FF6">
            <w:pPr>
              <w:pStyle w:val="ListBullet"/>
              <w:spacing w:before="60" w:after="60" w:line="240" w:lineRule="auto"/>
              <w:ind w:hanging="357"/>
            </w:pPr>
            <w:r w:rsidRPr="00D65838">
              <w:t>Duration of response (DOR)</w:t>
            </w:r>
          </w:p>
          <w:p w14:paraId="2B080D30" w14:textId="597E3B87" w:rsidR="00134CEC" w:rsidRDefault="00134CEC" w:rsidP="00936FF6">
            <w:pPr>
              <w:pStyle w:val="ListBullet"/>
              <w:spacing w:before="60" w:after="60" w:line="240" w:lineRule="auto"/>
              <w:ind w:hanging="357"/>
            </w:pPr>
            <w:r>
              <w:t>P</w:t>
            </w:r>
            <w:r w:rsidRPr="00D65838">
              <w:t>rogression-free survival (PFS)</w:t>
            </w:r>
          </w:p>
        </w:tc>
      </w:tr>
    </w:tbl>
    <w:p w14:paraId="7FB1F2D0" w14:textId="6400B523" w:rsidR="00282308" w:rsidRDefault="00B4560A" w:rsidP="00282308">
      <w:r>
        <w:t xml:space="preserve">Note about </w:t>
      </w:r>
      <w:r w:rsidRPr="00F25236">
        <w:t>the pre-specified equivalence margin</w:t>
      </w:r>
      <w:r>
        <w:t>:</w:t>
      </w:r>
      <w:r w:rsidR="00282308">
        <w:t xml:space="preserve"> </w:t>
      </w:r>
      <w:r>
        <w:t>0.67</w:t>
      </w:r>
      <w:r w:rsidR="004142A4">
        <w:t xml:space="preserve"> to</w:t>
      </w:r>
      <w:r w:rsidR="00FF4E03">
        <w:t xml:space="preserve"> </w:t>
      </w:r>
      <w:r>
        <w:t>1.5 appears to be a wide equivalence margin for the estimated risk ratio for the ORR</w:t>
      </w:r>
      <w:r w:rsidR="00282308">
        <w:t xml:space="preserve">. </w:t>
      </w:r>
      <w:r>
        <w:t xml:space="preserve">To consider this further, the </w:t>
      </w:r>
      <w:r w:rsidR="004E720E">
        <w:t>US Food and Drug Association (</w:t>
      </w:r>
      <w:r>
        <w:t>FDA</w:t>
      </w:r>
      <w:r w:rsidR="004E720E">
        <w:t>)</w:t>
      </w:r>
      <w:r>
        <w:t xml:space="preserve">summary report for </w:t>
      </w:r>
      <w:r w:rsidR="00FF2F8F">
        <w:t>Mvasi</w:t>
      </w:r>
      <w:bookmarkStart w:id="51" w:name="_Ref51009160"/>
      <w:r w:rsidR="003E3431">
        <w:t>;</w:t>
      </w:r>
      <w:r w:rsidR="00282308">
        <w:rPr>
          <w:rStyle w:val="FootnoteReference"/>
        </w:rPr>
        <w:footnoteReference w:id="6"/>
      </w:r>
      <w:bookmarkEnd w:id="51"/>
      <w:r w:rsidR="00282308">
        <w:t xml:space="preserve"> was reviewed:</w:t>
      </w:r>
    </w:p>
    <w:p w14:paraId="70F9501D" w14:textId="0C7C6438" w:rsidR="00B4560A" w:rsidRDefault="00B4560A" w:rsidP="00936FF6">
      <w:pPr>
        <w:pStyle w:val="ListBullet"/>
        <w:spacing w:before="60" w:after="60" w:line="240" w:lineRule="auto"/>
        <w:ind w:left="357" w:hanging="357"/>
      </w:pPr>
      <w:r>
        <w:t>The FDA initially provided advice about the non-inferiority margin in 2011</w:t>
      </w:r>
      <w:r w:rsidR="00A70584">
        <w:t>.</w:t>
      </w:r>
    </w:p>
    <w:p w14:paraId="27835AE1" w14:textId="125020C3" w:rsidR="00B4560A" w:rsidRDefault="00B4560A" w:rsidP="00936FF6">
      <w:pPr>
        <w:pStyle w:val="ListBullet"/>
        <w:spacing w:before="60" w:after="60" w:line="240" w:lineRule="auto"/>
        <w:ind w:left="357" w:hanging="357"/>
      </w:pPr>
      <w:r>
        <w:t xml:space="preserve">In 2014, the FDA issued the </w:t>
      </w:r>
      <w:r w:rsidR="007637A9">
        <w:t>s</w:t>
      </w:r>
      <w:r>
        <w:t>ponsor with further advice regarding an acceptable approach to the determination of the similarity margin based on a meta-analysis</w:t>
      </w:r>
      <w:r w:rsidR="006768BF">
        <w:t>.</w:t>
      </w:r>
    </w:p>
    <w:p w14:paraId="6FBFCDB5" w14:textId="2A665576" w:rsidR="00B4560A" w:rsidRDefault="00B4560A" w:rsidP="00936FF6">
      <w:pPr>
        <w:pStyle w:val="ListBullet"/>
        <w:spacing w:before="60" w:after="60" w:line="240" w:lineRule="auto"/>
        <w:ind w:left="357" w:hanging="357"/>
      </w:pPr>
      <w:r>
        <w:t xml:space="preserve">In 2015, a meeting was held between the </w:t>
      </w:r>
      <w:r w:rsidR="007637A9">
        <w:t>s</w:t>
      </w:r>
      <w:r>
        <w:t>ponsor and the FDA</w:t>
      </w:r>
      <w:r w:rsidR="00282308">
        <w:t xml:space="preserve">. </w:t>
      </w:r>
      <w:r>
        <w:t xml:space="preserve">The </w:t>
      </w:r>
      <w:r w:rsidR="007637A9">
        <w:t>s</w:t>
      </w:r>
      <w:r>
        <w:t>ponsor advised that they were unable to use the FDA’s proposed non-inferiority margin as Study 265 had completed enrolment</w:t>
      </w:r>
      <w:r w:rsidR="00282308">
        <w:t>. F</w:t>
      </w:r>
      <w:r>
        <w:t xml:space="preserve">ollowing this meeting, the FDA advised that </w:t>
      </w:r>
      <w:r w:rsidR="004142A4">
        <w:t>‘</w:t>
      </w:r>
      <w:r w:rsidRPr="00212B36">
        <w:t>the applicant’s margins for Study 265 would be considered in the context</w:t>
      </w:r>
      <w:r>
        <w:t xml:space="preserve"> </w:t>
      </w:r>
      <w:r w:rsidRPr="00212B36">
        <w:t>of the totality of the evidence.</w:t>
      </w:r>
      <w:r w:rsidR="004142A4">
        <w:t>’</w:t>
      </w:r>
    </w:p>
    <w:p w14:paraId="384CE0F5" w14:textId="2A9FB80D" w:rsidR="00B4560A" w:rsidRDefault="006768BF" w:rsidP="00936FF6">
      <w:pPr>
        <w:pStyle w:val="ListBullet"/>
        <w:spacing w:before="60" w:after="60" w:line="240" w:lineRule="auto"/>
        <w:ind w:left="357" w:hanging="357"/>
      </w:pPr>
      <w:r>
        <w:t>I</w:t>
      </w:r>
      <w:r w:rsidR="00B4560A">
        <w:t>t is stated that the similarity margins were 0.67</w:t>
      </w:r>
      <w:r w:rsidR="0027515A">
        <w:t>to</w:t>
      </w:r>
      <w:r w:rsidR="00B4560A">
        <w:t xml:space="preserve">1.5 (proposed by the </w:t>
      </w:r>
      <w:r w:rsidR="007637A9">
        <w:t>s</w:t>
      </w:r>
      <w:r w:rsidR="00B4560A">
        <w:t>ponsor) and 0.73</w:t>
      </w:r>
      <w:r w:rsidR="0027515A">
        <w:t xml:space="preserve"> to</w:t>
      </w:r>
      <w:r w:rsidR="00B4560A">
        <w:t>1.36 (proposed by the FDA)</w:t>
      </w:r>
      <w:r w:rsidR="00282308">
        <w:t>.</w:t>
      </w:r>
    </w:p>
    <w:p w14:paraId="785EDC16" w14:textId="77777777" w:rsidR="00B4560A" w:rsidRPr="00152729" w:rsidDel="0081373E" w:rsidRDefault="00B4560A" w:rsidP="008D376D">
      <w:pPr>
        <w:pStyle w:val="Heading6"/>
      </w:pPr>
      <w:r w:rsidRPr="00152729">
        <w:t>Analysis populations</w:t>
      </w:r>
    </w:p>
    <w:p w14:paraId="6A2E23F6" w14:textId="426EA5C8" w:rsidR="00B4560A" w:rsidRPr="00D65838" w:rsidRDefault="00B4560A" w:rsidP="00B4560A">
      <w:pPr>
        <w:rPr>
          <w:lang w:eastAsia="ja-JP"/>
        </w:rPr>
      </w:pPr>
      <w:r w:rsidRPr="00D65838">
        <w:rPr>
          <w:lang w:eastAsia="ja-JP"/>
        </w:rPr>
        <w:t>The following information about populations is sourced from page 53 of the EMA report.</w:t>
      </w:r>
      <w:r w:rsidR="007E4C39" w:rsidRPr="007E4C39">
        <w:rPr>
          <w:lang w:eastAsia="ja-JP"/>
        </w:rPr>
        <w:fldChar w:fldCharType="begin"/>
      </w:r>
      <w:r w:rsidR="007E4C39" w:rsidRPr="007E4C39">
        <w:rPr>
          <w:vertAlign w:val="superscript"/>
          <w:lang w:eastAsia="ja-JP"/>
        </w:rPr>
        <w:instrText xml:space="preserve"> NOTEREF _Ref53752580 \h </w:instrText>
      </w:r>
      <w:r w:rsidR="007E4C39">
        <w:rPr>
          <w:vertAlign w:val="superscript"/>
          <w:lang w:eastAsia="ja-JP"/>
        </w:rPr>
        <w:instrText xml:space="preserve"> \* MERGEFORMAT </w:instrText>
      </w:r>
      <w:r w:rsidR="007E4C39" w:rsidRPr="007E4C39">
        <w:rPr>
          <w:lang w:eastAsia="ja-JP"/>
        </w:rPr>
      </w:r>
      <w:r w:rsidR="007E4C39" w:rsidRPr="007E4C39">
        <w:rPr>
          <w:lang w:eastAsia="ja-JP"/>
        </w:rPr>
        <w:fldChar w:fldCharType="separate"/>
      </w:r>
      <w:r w:rsidR="005938A4">
        <w:rPr>
          <w:vertAlign w:val="superscript"/>
          <w:lang w:eastAsia="ja-JP"/>
        </w:rPr>
        <w:t>5</w:t>
      </w:r>
      <w:r w:rsidR="007E4C39" w:rsidRPr="007E4C39">
        <w:rPr>
          <w:lang w:eastAsia="ja-JP"/>
        </w:rPr>
        <w:fldChar w:fldCharType="end"/>
      </w:r>
    </w:p>
    <w:p w14:paraId="07268AD5" w14:textId="25277B65" w:rsidR="00B4560A" w:rsidRPr="00D37DE6" w:rsidRDefault="00B4560A" w:rsidP="00B4560A">
      <w:pPr>
        <w:rPr>
          <w:lang w:eastAsia="ja-JP"/>
        </w:rPr>
      </w:pPr>
      <w:r w:rsidRPr="00CB79EC">
        <w:rPr>
          <w:i/>
          <w:lang w:eastAsia="ja-JP"/>
        </w:rPr>
        <w:t>Intent</w:t>
      </w:r>
      <w:r w:rsidR="004E720E">
        <w:rPr>
          <w:i/>
          <w:lang w:eastAsia="ja-JP"/>
        </w:rPr>
        <w:t xml:space="preserve"> </w:t>
      </w:r>
      <w:r w:rsidRPr="00CB79EC">
        <w:rPr>
          <w:i/>
          <w:lang w:eastAsia="ja-JP"/>
        </w:rPr>
        <w:t>to</w:t>
      </w:r>
      <w:r w:rsidR="004E720E">
        <w:rPr>
          <w:i/>
          <w:lang w:eastAsia="ja-JP"/>
        </w:rPr>
        <w:t xml:space="preserve"> t</w:t>
      </w:r>
      <w:r w:rsidRPr="00CB79EC">
        <w:rPr>
          <w:i/>
          <w:lang w:eastAsia="ja-JP"/>
        </w:rPr>
        <w:t xml:space="preserve">reat </w:t>
      </w:r>
      <w:r w:rsidR="004E720E">
        <w:rPr>
          <w:i/>
          <w:lang w:eastAsia="ja-JP"/>
        </w:rPr>
        <w:t xml:space="preserve">(ITT) </w:t>
      </w:r>
      <w:r w:rsidRPr="00CB79EC">
        <w:rPr>
          <w:i/>
          <w:lang w:eastAsia="ja-JP"/>
        </w:rPr>
        <w:t>population</w:t>
      </w:r>
      <w:r w:rsidR="00282308" w:rsidRPr="00CB79EC">
        <w:rPr>
          <w:i/>
          <w:lang w:eastAsia="ja-JP"/>
        </w:rPr>
        <w:t>:</w:t>
      </w:r>
      <w:r w:rsidR="00282308">
        <w:rPr>
          <w:lang w:eastAsia="ja-JP"/>
        </w:rPr>
        <w:t xml:space="preserve"> all subjects randomis</w:t>
      </w:r>
      <w:r>
        <w:rPr>
          <w:lang w:eastAsia="ja-JP"/>
        </w:rPr>
        <w:t>ed to ABP 215 (</w:t>
      </w:r>
      <w:r w:rsidR="004E720E">
        <w:rPr>
          <w:lang w:eastAsia="ja-JP"/>
        </w:rPr>
        <w:t xml:space="preserve">n = </w:t>
      </w:r>
      <w:r>
        <w:rPr>
          <w:lang w:eastAsia="ja-JP"/>
        </w:rPr>
        <w:t>328) or Avastin (</w:t>
      </w:r>
      <w:r w:rsidR="004E720E">
        <w:rPr>
          <w:lang w:eastAsia="ja-JP"/>
        </w:rPr>
        <w:t xml:space="preserve">n = </w:t>
      </w:r>
      <w:r>
        <w:rPr>
          <w:lang w:eastAsia="ja-JP"/>
        </w:rPr>
        <w:t>314) (total</w:t>
      </w:r>
      <w:r w:rsidR="004E720E">
        <w:rPr>
          <w:lang w:eastAsia="ja-JP"/>
        </w:rPr>
        <w:t>, n =</w:t>
      </w:r>
      <w:r w:rsidR="00282308">
        <w:rPr>
          <w:lang w:eastAsia="ja-JP"/>
        </w:rPr>
        <w:t xml:space="preserve"> </w:t>
      </w:r>
      <w:r>
        <w:rPr>
          <w:lang w:eastAsia="ja-JP"/>
        </w:rPr>
        <w:t>642)</w:t>
      </w:r>
      <w:r w:rsidR="008A19B3">
        <w:rPr>
          <w:lang w:eastAsia="ja-JP"/>
        </w:rPr>
        <w:t>.</w:t>
      </w:r>
    </w:p>
    <w:p w14:paraId="6CA8C785" w14:textId="76B9C021" w:rsidR="00B4560A" w:rsidRDefault="00B4560A" w:rsidP="00B4560A">
      <w:pPr>
        <w:rPr>
          <w:lang w:eastAsia="ja-JP"/>
        </w:rPr>
      </w:pPr>
      <w:r w:rsidRPr="00CB79EC">
        <w:rPr>
          <w:i/>
          <w:lang w:eastAsia="ja-JP"/>
        </w:rPr>
        <w:t xml:space="preserve">Per </w:t>
      </w:r>
      <w:r w:rsidR="004E720E">
        <w:rPr>
          <w:i/>
          <w:lang w:eastAsia="ja-JP"/>
        </w:rPr>
        <w:t>p</w:t>
      </w:r>
      <w:r w:rsidRPr="00CB79EC">
        <w:rPr>
          <w:i/>
          <w:lang w:eastAsia="ja-JP"/>
        </w:rPr>
        <w:t xml:space="preserve">rotocol </w:t>
      </w:r>
      <w:r w:rsidR="004E720E" w:rsidRPr="00CB79EC">
        <w:rPr>
          <w:i/>
          <w:lang w:eastAsia="ja-JP"/>
        </w:rPr>
        <w:t xml:space="preserve">(PP) </w:t>
      </w:r>
      <w:r w:rsidRPr="00CB79EC">
        <w:rPr>
          <w:i/>
          <w:lang w:eastAsia="ja-JP"/>
        </w:rPr>
        <w:t>population</w:t>
      </w:r>
      <w:r>
        <w:rPr>
          <w:b/>
          <w:lang w:eastAsia="ja-JP"/>
        </w:rPr>
        <w:t>:</w:t>
      </w:r>
      <w:r>
        <w:rPr>
          <w:lang w:eastAsia="ja-JP"/>
        </w:rPr>
        <w:t xml:space="preserve"> all subjects who completed the treatment period (six</w:t>
      </w:r>
      <w:r w:rsidR="004E720E">
        <w:rPr>
          <w:lang w:eastAsia="ja-JP"/>
        </w:rPr>
        <w:t> </w:t>
      </w:r>
      <w:r>
        <w:rPr>
          <w:lang w:eastAsia="ja-JP"/>
        </w:rPr>
        <w:t xml:space="preserve">cycles of </w:t>
      </w:r>
      <w:r w:rsidR="004E720E">
        <w:rPr>
          <w:lang w:eastAsia="ja-JP"/>
        </w:rPr>
        <w:t xml:space="preserve">the </w:t>
      </w:r>
      <w:r>
        <w:rPr>
          <w:lang w:eastAsia="ja-JP"/>
        </w:rPr>
        <w:t>IP and at least four cycles of chemotherapy) or who discontinue prior to completing the treatment period due to reasons allowed per protocol, and did not experience a protocol deviation that affected the evaluation: ABP 215 (</w:t>
      </w:r>
      <w:r w:rsidR="004E720E">
        <w:rPr>
          <w:lang w:eastAsia="ja-JP"/>
        </w:rPr>
        <w:t xml:space="preserve">n = </w:t>
      </w:r>
      <w:r>
        <w:rPr>
          <w:lang w:eastAsia="ja-JP"/>
        </w:rPr>
        <w:t>281), Avastin (</w:t>
      </w:r>
      <w:r w:rsidR="004E720E">
        <w:rPr>
          <w:lang w:eastAsia="ja-JP"/>
        </w:rPr>
        <w:t>n = </w:t>
      </w:r>
      <w:r>
        <w:rPr>
          <w:lang w:eastAsia="ja-JP"/>
        </w:rPr>
        <w:t>274)</w:t>
      </w:r>
      <w:r w:rsidR="008A19B3">
        <w:rPr>
          <w:lang w:eastAsia="ja-JP"/>
        </w:rPr>
        <w:t>.</w:t>
      </w:r>
    </w:p>
    <w:p w14:paraId="21FB37B9" w14:textId="236418AF" w:rsidR="00B4560A" w:rsidRDefault="00B4560A" w:rsidP="00B4560A">
      <w:pPr>
        <w:rPr>
          <w:lang w:eastAsia="ja-JP"/>
        </w:rPr>
      </w:pPr>
      <w:r w:rsidRPr="00CB79EC">
        <w:rPr>
          <w:i/>
          <w:lang w:eastAsia="ja-JP"/>
        </w:rPr>
        <w:lastRenderedPageBreak/>
        <w:t>Tumour response set:</w:t>
      </w:r>
      <w:r>
        <w:rPr>
          <w:b/>
          <w:lang w:eastAsia="ja-JP"/>
        </w:rPr>
        <w:t xml:space="preserve"> </w:t>
      </w:r>
      <w:r w:rsidR="00282308">
        <w:rPr>
          <w:lang w:eastAsia="ja-JP"/>
        </w:rPr>
        <w:t>all randomis</w:t>
      </w:r>
      <w:r>
        <w:rPr>
          <w:lang w:eastAsia="ja-JP"/>
        </w:rPr>
        <w:t xml:space="preserve">ed subjects who were treated with </w:t>
      </w:r>
      <w:r w:rsidR="004E720E">
        <w:rPr>
          <w:lang w:eastAsia="ja-JP"/>
        </w:rPr>
        <w:t xml:space="preserve">the IP </w:t>
      </w:r>
      <w:r>
        <w:rPr>
          <w:lang w:eastAsia="ja-JP"/>
        </w:rPr>
        <w:t>and had measurable disease at screening: ABP 215 (</w:t>
      </w:r>
      <w:r w:rsidR="004E720E">
        <w:rPr>
          <w:lang w:eastAsia="ja-JP"/>
        </w:rPr>
        <w:t xml:space="preserve">n = </w:t>
      </w:r>
      <w:r>
        <w:rPr>
          <w:lang w:eastAsia="ja-JP"/>
        </w:rPr>
        <w:t>317), Avastin (</w:t>
      </w:r>
      <w:r w:rsidR="004E720E">
        <w:rPr>
          <w:lang w:eastAsia="ja-JP"/>
        </w:rPr>
        <w:t xml:space="preserve">n = </w:t>
      </w:r>
      <w:r>
        <w:rPr>
          <w:lang w:eastAsia="ja-JP"/>
        </w:rPr>
        <w:t>305)</w:t>
      </w:r>
      <w:r w:rsidR="004E720E">
        <w:rPr>
          <w:lang w:eastAsia="ja-JP"/>
        </w:rPr>
        <w:t>.</w:t>
      </w:r>
    </w:p>
    <w:p w14:paraId="3D95782B" w14:textId="1AC934DE" w:rsidR="00B4560A" w:rsidRDefault="00B4560A" w:rsidP="00B4560A">
      <w:pPr>
        <w:rPr>
          <w:lang w:eastAsia="ja-JP"/>
        </w:rPr>
      </w:pPr>
      <w:r w:rsidRPr="00CB79EC">
        <w:rPr>
          <w:i/>
          <w:lang w:eastAsia="ja-JP"/>
        </w:rPr>
        <w:t xml:space="preserve">Safety analysis </w:t>
      </w:r>
      <w:r w:rsidR="004E720E">
        <w:rPr>
          <w:i/>
          <w:lang w:eastAsia="ja-JP"/>
        </w:rPr>
        <w:t xml:space="preserve">(SAF) </w:t>
      </w:r>
      <w:r w:rsidRPr="00CB79EC">
        <w:rPr>
          <w:i/>
          <w:lang w:eastAsia="ja-JP"/>
        </w:rPr>
        <w:t>population</w:t>
      </w:r>
      <w:r w:rsidR="00282308" w:rsidRPr="00CB79EC">
        <w:rPr>
          <w:i/>
          <w:lang w:eastAsia="ja-JP"/>
        </w:rPr>
        <w:t>:</w:t>
      </w:r>
      <w:r w:rsidR="00282308">
        <w:rPr>
          <w:lang w:eastAsia="ja-JP"/>
        </w:rPr>
        <w:t xml:space="preserve"> all randomis</w:t>
      </w:r>
      <w:r>
        <w:rPr>
          <w:lang w:eastAsia="ja-JP"/>
        </w:rPr>
        <w:t xml:space="preserve">ed subjects who received at least one cycle of </w:t>
      </w:r>
      <w:r w:rsidR="004E720E">
        <w:rPr>
          <w:lang w:eastAsia="ja-JP"/>
        </w:rPr>
        <w:t xml:space="preserve">the </w:t>
      </w:r>
      <w:r>
        <w:rPr>
          <w:lang w:eastAsia="ja-JP"/>
        </w:rPr>
        <w:t>IP: ABP 215 (</w:t>
      </w:r>
      <w:r w:rsidR="004E720E">
        <w:rPr>
          <w:lang w:eastAsia="ja-JP"/>
        </w:rPr>
        <w:t xml:space="preserve">n = </w:t>
      </w:r>
      <w:r>
        <w:rPr>
          <w:lang w:eastAsia="ja-JP"/>
        </w:rPr>
        <w:t>324), Avastin (</w:t>
      </w:r>
      <w:r w:rsidR="004E720E">
        <w:rPr>
          <w:lang w:eastAsia="ja-JP"/>
        </w:rPr>
        <w:t xml:space="preserve">n = </w:t>
      </w:r>
      <w:r>
        <w:rPr>
          <w:lang w:eastAsia="ja-JP"/>
        </w:rPr>
        <w:t>309) (total</w:t>
      </w:r>
      <w:r w:rsidR="004E720E">
        <w:rPr>
          <w:lang w:eastAsia="ja-JP"/>
        </w:rPr>
        <w:t>, n =</w:t>
      </w:r>
      <w:r>
        <w:rPr>
          <w:lang w:eastAsia="ja-JP"/>
        </w:rPr>
        <w:t xml:space="preserve"> 633)</w:t>
      </w:r>
      <w:r w:rsidR="00B50DC8">
        <w:rPr>
          <w:lang w:eastAsia="ja-JP"/>
        </w:rPr>
        <w:t>.</w:t>
      </w:r>
    </w:p>
    <w:p w14:paraId="1C48BF2D" w14:textId="4E693A83" w:rsidR="00445450" w:rsidRDefault="00B4560A" w:rsidP="00B4560A">
      <w:r w:rsidRPr="00CD7F27">
        <w:t xml:space="preserve">All the randomised subjects were included in the ITT population. Of the randomised subjects, 633 subjects (98.6%; 324 </w:t>
      </w:r>
      <w:r w:rsidR="004E720E">
        <w:t>(</w:t>
      </w:r>
      <w:r w:rsidRPr="00CD7F27">
        <w:t>98.8%</w:t>
      </w:r>
      <w:r w:rsidR="004E720E">
        <w:t>)</w:t>
      </w:r>
      <w:r w:rsidRPr="00CD7F27">
        <w:t xml:space="preserve"> and 309 subjects </w:t>
      </w:r>
      <w:r w:rsidR="004E720E">
        <w:t>(</w:t>
      </w:r>
      <w:r w:rsidRPr="00CD7F27">
        <w:t>98.4%</w:t>
      </w:r>
      <w:r w:rsidR="004E720E">
        <w:t>)</w:t>
      </w:r>
      <w:r w:rsidRPr="00CD7F27">
        <w:t xml:space="preserve"> on ABP 215 and bevacizumab reference, respectively) received at least one dose of bevacizumab and were includ</w:t>
      </w:r>
      <w:r>
        <w:t xml:space="preserve">ed in the safety analysis set. </w:t>
      </w:r>
      <w:r w:rsidRPr="005F088B">
        <w:t>The PP population constituted approximately 86% of the ITT population</w:t>
      </w:r>
      <w:r w:rsidR="00445450">
        <w:t>.</w:t>
      </w:r>
    </w:p>
    <w:p w14:paraId="08C3283A" w14:textId="422ABD77" w:rsidR="00B4560A" w:rsidRDefault="00282308" w:rsidP="00B4560A">
      <w:r>
        <w:t xml:space="preserve">A </w:t>
      </w:r>
      <w:r w:rsidR="00B4560A">
        <w:t>summary</w:t>
      </w:r>
      <w:r w:rsidR="003E3431">
        <w:t>;</w:t>
      </w:r>
      <w:r w:rsidR="00FF4E03" w:rsidRPr="00A80FF9">
        <w:rPr>
          <w:vertAlign w:val="superscript"/>
        </w:rPr>
        <w:fldChar w:fldCharType="begin"/>
      </w:r>
      <w:r w:rsidR="00FF4E03" w:rsidRPr="00A80FF9">
        <w:rPr>
          <w:vertAlign w:val="superscript"/>
        </w:rPr>
        <w:instrText xml:space="preserve"> NOTEREF _Ref51009160 \h </w:instrText>
      </w:r>
      <w:r w:rsidR="00FF4E03">
        <w:rPr>
          <w:vertAlign w:val="superscript"/>
        </w:rPr>
        <w:instrText xml:space="preserve"> \* MERGEFORMAT </w:instrText>
      </w:r>
      <w:r w:rsidR="00FF4E03" w:rsidRPr="00A80FF9">
        <w:rPr>
          <w:vertAlign w:val="superscript"/>
        </w:rPr>
      </w:r>
      <w:r w:rsidR="00FF4E03" w:rsidRPr="00A80FF9">
        <w:rPr>
          <w:vertAlign w:val="superscript"/>
        </w:rPr>
        <w:fldChar w:fldCharType="separate"/>
      </w:r>
      <w:r w:rsidR="005938A4">
        <w:rPr>
          <w:vertAlign w:val="superscript"/>
        </w:rPr>
        <w:t>6</w:t>
      </w:r>
      <w:r w:rsidR="00FF4E03" w:rsidRPr="00A80FF9">
        <w:rPr>
          <w:vertAlign w:val="superscript"/>
        </w:rPr>
        <w:fldChar w:fldCharType="end"/>
      </w:r>
      <w:r w:rsidR="00B4560A">
        <w:t xml:space="preserve"> of the subject populations</w:t>
      </w:r>
      <w:r w:rsidR="00B50DC8">
        <w:t xml:space="preserve"> is </w:t>
      </w:r>
      <w:r w:rsidR="00FF4E03">
        <w:t xml:space="preserve">presented in </w:t>
      </w:r>
      <w:r w:rsidR="00FF4E03">
        <w:fldChar w:fldCharType="begin"/>
      </w:r>
      <w:r w:rsidR="00FF4E03">
        <w:instrText xml:space="preserve"> REF _Ref54099376 \h </w:instrText>
      </w:r>
      <w:r w:rsidR="00FF4E03">
        <w:fldChar w:fldCharType="separate"/>
      </w:r>
      <w:r w:rsidR="005938A4">
        <w:t xml:space="preserve">Table </w:t>
      </w:r>
      <w:r w:rsidR="005938A4">
        <w:rPr>
          <w:noProof/>
        </w:rPr>
        <w:t>7</w:t>
      </w:r>
      <w:r w:rsidR="00FF4E03">
        <w:fldChar w:fldCharType="end"/>
      </w:r>
      <w:r w:rsidR="004E720E">
        <w:t>.</w:t>
      </w:r>
    </w:p>
    <w:p w14:paraId="2D4F8BD3" w14:textId="364D0D79" w:rsidR="00282308" w:rsidRDefault="00FF4E03" w:rsidP="00936FF6">
      <w:pPr>
        <w:pStyle w:val="TableTitle"/>
      </w:pPr>
      <w:bookmarkStart w:id="52" w:name="_Ref54099376"/>
      <w:r>
        <w:t xml:space="preserve">Table </w:t>
      </w:r>
      <w:r w:rsidR="00741986">
        <w:fldChar w:fldCharType="begin"/>
      </w:r>
      <w:r w:rsidR="00741986">
        <w:instrText xml:space="preserve"> SEQ Table \* ARABIC </w:instrText>
      </w:r>
      <w:r w:rsidR="00741986">
        <w:fldChar w:fldCharType="separate"/>
      </w:r>
      <w:r w:rsidR="005938A4">
        <w:rPr>
          <w:noProof/>
        </w:rPr>
        <w:t>7</w:t>
      </w:r>
      <w:r w:rsidR="00741986">
        <w:rPr>
          <w:noProof/>
        </w:rPr>
        <w:fldChar w:fldCharType="end"/>
      </w:r>
      <w:bookmarkEnd w:id="52"/>
      <w:r w:rsidR="00445450">
        <w:t>:</w:t>
      </w:r>
      <w:r>
        <w:t xml:space="preserve"> </w:t>
      </w:r>
      <w:r w:rsidR="00282308">
        <w:t xml:space="preserve">Study 256 </w:t>
      </w:r>
      <w:r w:rsidR="004E720E">
        <w:t>S</w:t>
      </w:r>
      <w:r w:rsidR="00282308">
        <w:t>ubject populations</w:t>
      </w:r>
    </w:p>
    <w:p w14:paraId="41EAE6A0" w14:textId="30D08C01" w:rsidR="00B4560A" w:rsidRDefault="00391E8C" w:rsidP="00936FF6">
      <w:pPr>
        <w:rPr>
          <w:i/>
        </w:rPr>
      </w:pPr>
      <w:r>
        <w:rPr>
          <w:noProof/>
          <w:lang w:eastAsia="en-AU"/>
        </w:rPr>
        <w:drawing>
          <wp:inline distT="0" distB="0" distL="0" distR="0" wp14:anchorId="27C7B0E6" wp14:editId="5011A44A">
            <wp:extent cx="5400040" cy="6531610"/>
            <wp:effectExtent l="0" t="0" r="0" b="2540"/>
            <wp:docPr id="7" name="Picture 7" descr="Study 256 subjec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6531610"/>
                    </a:xfrm>
                    <a:prstGeom prst="rect">
                      <a:avLst/>
                    </a:prstGeom>
                  </pic:spPr>
                </pic:pic>
              </a:graphicData>
            </a:graphic>
          </wp:inline>
        </w:drawing>
      </w:r>
    </w:p>
    <w:p w14:paraId="38A4F56F" w14:textId="5BE0A0F6" w:rsidR="00B4560A" w:rsidRDefault="004E720E" w:rsidP="00936FF6">
      <w:pPr>
        <w:pStyle w:val="Heading6"/>
        <w:spacing w:before="60" w:after="60"/>
      </w:pPr>
      <w:r>
        <w:lastRenderedPageBreak/>
        <w:t>B</w:t>
      </w:r>
      <w:r w:rsidR="00B4560A" w:rsidRPr="00152729">
        <w:t>aseline characteristics</w:t>
      </w:r>
    </w:p>
    <w:p w14:paraId="41B5F0C9" w14:textId="080433AE" w:rsidR="00B4560A" w:rsidRPr="001C3A20" w:rsidRDefault="00B4560A" w:rsidP="00936FF6">
      <w:pPr>
        <w:spacing w:before="60" w:after="60"/>
      </w:pPr>
      <w:r w:rsidRPr="00ED6DD5">
        <w:t xml:space="preserve">There is a comprehensive 3 page table documenting the baseline characteristics of the subjects in </w:t>
      </w:r>
      <w:r w:rsidR="003F696B" w:rsidRPr="00ED6DD5">
        <w:t>S</w:t>
      </w:r>
      <w:r w:rsidRPr="00ED6DD5">
        <w:t>tudy 265 on page 51</w:t>
      </w:r>
      <w:r w:rsidR="00723160" w:rsidRPr="00ED6DD5">
        <w:t xml:space="preserve"> to 5</w:t>
      </w:r>
      <w:r w:rsidRPr="00ED6DD5">
        <w:t>3 of the EMA report</w:t>
      </w:r>
      <w:r w:rsidR="003E3431">
        <w:t>.</w:t>
      </w:r>
      <w:r w:rsidR="00ED6DD5" w:rsidRPr="00ED6DD5">
        <w:rPr>
          <w:vertAlign w:val="superscript"/>
        </w:rPr>
        <w:fldChar w:fldCharType="begin"/>
      </w:r>
      <w:r w:rsidR="00ED6DD5" w:rsidRPr="00ED6DD5">
        <w:rPr>
          <w:vertAlign w:val="superscript"/>
        </w:rPr>
        <w:instrText xml:space="preserve"> NOTEREF _Ref53752580 \h </w:instrText>
      </w:r>
      <w:r w:rsidR="00ED6DD5">
        <w:rPr>
          <w:vertAlign w:val="superscript"/>
        </w:rPr>
        <w:instrText xml:space="preserve"> \* MERGEFORMAT </w:instrText>
      </w:r>
      <w:r w:rsidR="00ED6DD5" w:rsidRPr="00ED6DD5">
        <w:rPr>
          <w:vertAlign w:val="superscript"/>
        </w:rPr>
      </w:r>
      <w:r w:rsidR="00ED6DD5" w:rsidRPr="00ED6DD5">
        <w:rPr>
          <w:vertAlign w:val="superscript"/>
        </w:rPr>
        <w:fldChar w:fldCharType="separate"/>
      </w:r>
      <w:r w:rsidR="005938A4">
        <w:rPr>
          <w:vertAlign w:val="superscript"/>
        </w:rPr>
        <w:t>5</w:t>
      </w:r>
      <w:r w:rsidR="00ED6DD5" w:rsidRPr="00ED6DD5">
        <w:rPr>
          <w:vertAlign w:val="superscript"/>
        </w:rPr>
        <w:fldChar w:fldCharType="end"/>
      </w:r>
      <w:r w:rsidR="00ED147C">
        <w:t xml:space="preserve"> </w:t>
      </w:r>
      <w:r w:rsidRPr="00ED6DD5">
        <w:t xml:space="preserve">In summary, the baseline </w:t>
      </w:r>
      <w:r w:rsidRPr="001C3A20">
        <w:t>characteristics were approximately similar across the two treatment groups</w:t>
      </w:r>
      <w:r w:rsidR="001C3A20">
        <w:t xml:space="preserve">. </w:t>
      </w:r>
      <w:r w:rsidR="006E363F">
        <w:t>Epidermal growth factor receptor</w:t>
      </w:r>
      <w:r w:rsidR="004E720E">
        <w:t xml:space="preserve"> (</w:t>
      </w:r>
      <w:r w:rsidRPr="001C3A20">
        <w:t>EGFR</w:t>
      </w:r>
      <w:r w:rsidR="004E720E">
        <w:t>)</w:t>
      </w:r>
      <w:r w:rsidRPr="001C3A20">
        <w:t xml:space="preserve"> and </w:t>
      </w:r>
      <w:r w:rsidR="004E720E" w:rsidRPr="004E720E">
        <w:t>anaplastic lymphoma kinase</w:t>
      </w:r>
      <w:r w:rsidR="004E720E">
        <w:t xml:space="preserve"> (ALK)</w:t>
      </w:r>
      <w:r w:rsidR="004E720E" w:rsidRPr="001C3A20">
        <w:t xml:space="preserve"> </w:t>
      </w:r>
      <w:r w:rsidRPr="001C3A20">
        <w:t xml:space="preserve">status was not required at </w:t>
      </w:r>
      <w:r w:rsidR="004E720E">
        <w:t>B</w:t>
      </w:r>
      <w:r w:rsidRPr="001C3A20">
        <w:t xml:space="preserve">aseline for this </w:t>
      </w:r>
      <w:r w:rsidR="009F4C97" w:rsidRPr="001C3A20">
        <w:t>Phase III</w:t>
      </w:r>
      <w:r w:rsidRPr="001C3A20">
        <w:t xml:space="preserve"> study, although it was done in approximately 25% of patients. The EMA report notes that there has been recent clinical development of targeted drugs which has changed the treatment of NSCLC. However, the advice from </w:t>
      </w:r>
      <w:r w:rsidR="004E720E">
        <w:t xml:space="preserve">the EMA’s </w:t>
      </w:r>
      <w:r w:rsidR="004E720E" w:rsidRPr="004E720E">
        <w:t>Committee for Medicinal Products for Human Use</w:t>
      </w:r>
      <w:r w:rsidR="004E720E">
        <w:t xml:space="preserve"> (</w:t>
      </w:r>
      <w:r w:rsidRPr="001C3A20">
        <w:t>CHMP</w:t>
      </w:r>
      <w:r w:rsidR="004E720E">
        <w:t>)</w:t>
      </w:r>
      <w:r w:rsidRPr="001C3A20">
        <w:t xml:space="preserve"> in 2011 did not discuss the subject (as it was still novel) and the chosen strategy of not requiring </w:t>
      </w:r>
      <w:r w:rsidR="005669C2">
        <w:t>E</w:t>
      </w:r>
      <w:r w:rsidRPr="001C3A20">
        <w:t>GFR and ALK status at enrolment was considered acceptable by the EMA in this context</w:t>
      </w:r>
      <w:r w:rsidR="001C3A20">
        <w:t>.</w:t>
      </w:r>
    </w:p>
    <w:p w14:paraId="7BE3361E" w14:textId="41A4CAA9" w:rsidR="00B4560A" w:rsidRPr="002E5801" w:rsidRDefault="005669C2" w:rsidP="00936FF6">
      <w:pPr>
        <w:pStyle w:val="Heading6"/>
        <w:spacing w:before="60" w:after="60"/>
      </w:pPr>
      <w:r>
        <w:t>Results for the p</w:t>
      </w:r>
      <w:r w:rsidR="00B4560A" w:rsidRPr="002E5801">
        <w:t>rimary efficacy endpoint</w:t>
      </w:r>
    </w:p>
    <w:p w14:paraId="56A01AB4" w14:textId="2AFEB156" w:rsidR="00B4560A" w:rsidRDefault="00B4560A" w:rsidP="00936FF6">
      <w:pPr>
        <w:spacing w:before="60" w:after="60"/>
      </w:pPr>
      <w:r>
        <w:t>The main focus will be on the primary endpoint. The primary endpoint is the risk ratio of the ORR,</w:t>
      </w:r>
      <w:r w:rsidRPr="002E5801">
        <w:t xml:space="preserve"> </w:t>
      </w:r>
      <w:r w:rsidRPr="00E41A8D">
        <w:t>with the ORR assessed by the RECIST</w:t>
      </w:r>
      <w:r w:rsidR="00DA4371">
        <w:t>;</w:t>
      </w:r>
      <w:r w:rsidR="002277A5" w:rsidRPr="00A80FF9">
        <w:rPr>
          <w:vertAlign w:val="superscript"/>
        </w:rPr>
        <w:fldChar w:fldCharType="begin"/>
      </w:r>
      <w:r w:rsidR="002277A5" w:rsidRPr="00A80FF9">
        <w:rPr>
          <w:vertAlign w:val="superscript"/>
        </w:rPr>
        <w:instrText xml:space="preserve"> NOTEREF _Ref54094626 \h </w:instrText>
      </w:r>
      <w:r w:rsidR="002277A5">
        <w:rPr>
          <w:vertAlign w:val="superscript"/>
        </w:rPr>
        <w:instrText xml:space="preserve"> \* MERGEFORMAT </w:instrText>
      </w:r>
      <w:r w:rsidR="002277A5" w:rsidRPr="00A80FF9">
        <w:rPr>
          <w:vertAlign w:val="superscript"/>
        </w:rPr>
      </w:r>
      <w:r w:rsidR="002277A5" w:rsidRPr="00A80FF9">
        <w:rPr>
          <w:vertAlign w:val="superscript"/>
        </w:rPr>
        <w:fldChar w:fldCharType="separate"/>
      </w:r>
      <w:r w:rsidR="005938A4">
        <w:rPr>
          <w:vertAlign w:val="superscript"/>
        </w:rPr>
        <w:t>4</w:t>
      </w:r>
      <w:r w:rsidR="002277A5" w:rsidRPr="00A80FF9">
        <w:rPr>
          <w:vertAlign w:val="superscript"/>
        </w:rPr>
        <w:fldChar w:fldCharType="end"/>
      </w:r>
      <w:r w:rsidRPr="00E41A8D">
        <w:t xml:space="preserve"> </w:t>
      </w:r>
      <w:r w:rsidR="005669C2">
        <w:t xml:space="preserve">version </w:t>
      </w:r>
      <w:r w:rsidRPr="00E41A8D">
        <w:t>1.1 guidelines</w:t>
      </w:r>
      <w:r>
        <w:t xml:space="preserve"> by blinded independent central review. The primary analysis of this endpoint was done in the ITT</w:t>
      </w:r>
      <w:r w:rsidR="005669C2">
        <w:t> </w:t>
      </w:r>
      <w:r>
        <w:t>population with a secondary analysis done in the PP population.</w:t>
      </w:r>
    </w:p>
    <w:p w14:paraId="572D4454" w14:textId="1CAAF57F" w:rsidR="00B4560A" w:rsidRPr="00204706" w:rsidRDefault="00B4560A" w:rsidP="00936FF6">
      <w:pPr>
        <w:spacing w:before="60" w:after="60"/>
      </w:pPr>
      <w:r>
        <w:t>In the ITT population, the ORR in the ABP 215 group was 39% and was 41.7% in the Avastin. These results are consistent with the FDA’s predicted ORR of approximate</w:t>
      </w:r>
      <w:r w:rsidR="00204706">
        <w:t>ly 38% based on a meta-</w:t>
      </w:r>
      <w:r w:rsidR="00204706" w:rsidRPr="001C3A20">
        <w:t>analysis</w:t>
      </w:r>
      <w:r w:rsidR="00204706" w:rsidRPr="00204706">
        <w:t>.</w:t>
      </w:r>
      <w:r w:rsidR="00DA4371" w:rsidRPr="00DA4371">
        <w:rPr>
          <w:vertAlign w:val="superscript"/>
        </w:rPr>
        <w:t xml:space="preserve"> </w:t>
      </w:r>
      <w:r w:rsidR="00DA4371" w:rsidRPr="001C3A20">
        <w:rPr>
          <w:vertAlign w:val="superscript"/>
        </w:rPr>
        <w:fldChar w:fldCharType="begin"/>
      </w:r>
      <w:r w:rsidR="00DA4371" w:rsidRPr="001C3A20">
        <w:rPr>
          <w:vertAlign w:val="superscript"/>
        </w:rPr>
        <w:instrText xml:space="preserve"> NOTEREF _Ref51009160 \h  \* MERGEFORMAT </w:instrText>
      </w:r>
      <w:r w:rsidR="00DA4371" w:rsidRPr="001C3A20">
        <w:rPr>
          <w:vertAlign w:val="superscript"/>
        </w:rPr>
      </w:r>
      <w:r w:rsidR="00DA4371" w:rsidRPr="001C3A20">
        <w:rPr>
          <w:vertAlign w:val="superscript"/>
        </w:rPr>
        <w:fldChar w:fldCharType="separate"/>
      </w:r>
      <w:r w:rsidR="005938A4">
        <w:rPr>
          <w:vertAlign w:val="superscript"/>
        </w:rPr>
        <w:t>6</w:t>
      </w:r>
      <w:r w:rsidR="00DA4371" w:rsidRPr="001C3A20">
        <w:rPr>
          <w:vertAlign w:val="superscript"/>
        </w:rPr>
        <w:fldChar w:fldCharType="end"/>
      </w:r>
    </w:p>
    <w:p w14:paraId="7EA33BA7" w14:textId="77777777" w:rsidR="00B4560A" w:rsidRDefault="00B4560A" w:rsidP="00936FF6">
      <w:pPr>
        <w:spacing w:before="60" w:after="60"/>
        <w:rPr>
          <w:noProof/>
          <w:lang w:eastAsia="en-AU"/>
        </w:rPr>
      </w:pPr>
      <w:r w:rsidRPr="00E41A8D">
        <w:t xml:space="preserve">The risk ratio of the ORR </w:t>
      </w:r>
      <w:r>
        <w:t>in the ITT population was 0.93 (95% CI: 0.77 to 1.12)</w:t>
      </w:r>
      <w:r w:rsidRPr="00E41A8D">
        <w:t xml:space="preserve"> which was within the pre-spe</w:t>
      </w:r>
      <w:r>
        <w:t xml:space="preserve">cified equivalence margin (0.67 to </w:t>
      </w:r>
      <w:r w:rsidRPr="00E41A8D">
        <w:t>1.5).</w:t>
      </w:r>
      <w:r w:rsidRPr="002E5801">
        <w:rPr>
          <w:noProof/>
          <w:lang w:eastAsia="en-AU"/>
        </w:rPr>
        <w:t xml:space="preserve"> </w:t>
      </w:r>
      <w:r>
        <w:rPr>
          <w:noProof/>
          <w:lang w:eastAsia="en-AU"/>
        </w:rPr>
        <w:t xml:space="preserve">This risk ratio is also within the </w:t>
      </w:r>
      <w:r w:rsidRPr="00C47E22">
        <w:rPr>
          <w:noProof/>
          <w:lang w:eastAsia="en-AU"/>
        </w:rPr>
        <w:t>F</w:t>
      </w:r>
      <w:r>
        <w:rPr>
          <w:noProof/>
          <w:lang w:eastAsia="en-AU"/>
        </w:rPr>
        <w:t xml:space="preserve">DA-proposed similarity </w:t>
      </w:r>
      <w:r w:rsidRPr="00C47E22">
        <w:rPr>
          <w:noProof/>
          <w:lang w:eastAsia="en-AU"/>
        </w:rPr>
        <w:t>margin of 0.73 to 1.36.</w:t>
      </w:r>
    </w:p>
    <w:p w14:paraId="57348082" w14:textId="6035C4A7" w:rsidR="00B4560A" w:rsidRDefault="002277A5" w:rsidP="00936FF6">
      <w:pPr>
        <w:spacing w:before="60" w:after="60"/>
        <w:rPr>
          <w:noProof/>
          <w:lang w:eastAsia="en-AU"/>
        </w:rPr>
      </w:pPr>
      <w:r>
        <w:rPr>
          <w:noProof/>
          <w:lang w:eastAsia="en-AU"/>
        </w:rPr>
        <w:fldChar w:fldCharType="begin"/>
      </w:r>
      <w:r>
        <w:rPr>
          <w:noProof/>
          <w:lang w:eastAsia="en-AU"/>
        </w:rPr>
        <w:instrText xml:space="preserve"> REF _Ref54100400 \h </w:instrText>
      </w:r>
      <w:r>
        <w:rPr>
          <w:noProof/>
          <w:lang w:eastAsia="en-AU"/>
        </w:rPr>
      </w:r>
      <w:r>
        <w:rPr>
          <w:noProof/>
          <w:lang w:eastAsia="en-AU"/>
        </w:rPr>
        <w:fldChar w:fldCharType="separate"/>
      </w:r>
      <w:r w:rsidR="005938A4">
        <w:t xml:space="preserve">Table </w:t>
      </w:r>
      <w:r w:rsidR="005938A4">
        <w:rPr>
          <w:noProof/>
        </w:rPr>
        <w:t>8</w:t>
      </w:r>
      <w:r>
        <w:rPr>
          <w:noProof/>
          <w:lang w:eastAsia="en-AU"/>
        </w:rPr>
        <w:fldChar w:fldCharType="end"/>
      </w:r>
      <w:r>
        <w:rPr>
          <w:noProof/>
          <w:lang w:eastAsia="en-AU"/>
        </w:rPr>
        <w:t xml:space="preserve"> </w:t>
      </w:r>
      <w:r w:rsidR="00B4560A">
        <w:rPr>
          <w:noProof/>
          <w:lang w:eastAsia="en-AU"/>
        </w:rPr>
        <w:t>summarises the efficacy data from the ITT population- this includes information about the risk ratio (primary endpoint) and the risk difference (a secondary endpoint).</w:t>
      </w:r>
    </w:p>
    <w:p w14:paraId="0F607B03" w14:textId="24EBBCD8" w:rsidR="00204706" w:rsidRPr="002277A5" w:rsidRDefault="002277A5" w:rsidP="00936FF6">
      <w:pPr>
        <w:pStyle w:val="TableTitle"/>
        <w:spacing w:before="60" w:after="60"/>
      </w:pPr>
      <w:bookmarkStart w:id="53" w:name="_Ref54100400"/>
      <w:r>
        <w:t xml:space="preserve">Table </w:t>
      </w:r>
      <w:r w:rsidR="00741986">
        <w:fldChar w:fldCharType="begin"/>
      </w:r>
      <w:r w:rsidR="00741986">
        <w:instrText xml:space="preserve"> SEQ Table \* ARABIC </w:instrText>
      </w:r>
      <w:r w:rsidR="00741986">
        <w:fldChar w:fldCharType="separate"/>
      </w:r>
      <w:r w:rsidR="005938A4">
        <w:rPr>
          <w:noProof/>
        </w:rPr>
        <w:t>8</w:t>
      </w:r>
      <w:r w:rsidR="00741986">
        <w:rPr>
          <w:noProof/>
        </w:rPr>
        <w:fldChar w:fldCharType="end"/>
      </w:r>
      <w:bookmarkEnd w:id="53"/>
      <w:r>
        <w:t xml:space="preserve">: </w:t>
      </w:r>
      <w:r w:rsidR="005669C2">
        <w:t>Study 265 Primary efficacy endpoint; s</w:t>
      </w:r>
      <w:r w:rsidR="00204706">
        <w:t>ummary of objective response rate (</w:t>
      </w:r>
      <w:r w:rsidR="005669C2">
        <w:t>Intent to treat population</w:t>
      </w:r>
      <w:r w:rsidR="00204706">
        <w:t>)</w:t>
      </w:r>
    </w:p>
    <w:p w14:paraId="1432EB66" w14:textId="6670356E" w:rsidR="00B4560A" w:rsidRDefault="00A25C96" w:rsidP="00B4560A">
      <w:r>
        <w:rPr>
          <w:noProof/>
          <w:lang w:eastAsia="en-AU"/>
        </w:rPr>
        <w:drawing>
          <wp:inline distT="0" distB="0" distL="0" distR="0" wp14:anchorId="3AB037B2" wp14:editId="1F8DFBD3">
            <wp:extent cx="5107054" cy="4045372"/>
            <wp:effectExtent l="0" t="0" r="0" b="0"/>
            <wp:docPr id="1" name="Picture 1" descr="This shows the proportion of subjects in each treatment arm (ABP 215 and bevacizumab) as having one of 5 categories of response - complete, partial, stable, progressive disease, and not evaluable.  It also shows the risk ratio of ABP 215 / bevacizumab, and the risk difference of ABP 215 / bevacizumab, as the 90% and the 95% confidence intervals." title="Summary of objective response rate - Primary efficacy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3709" cy="4050644"/>
                    </a:xfrm>
                    <a:prstGeom prst="rect">
                      <a:avLst/>
                    </a:prstGeom>
                    <a:noFill/>
                    <a:ln>
                      <a:noFill/>
                    </a:ln>
                  </pic:spPr>
                </pic:pic>
              </a:graphicData>
            </a:graphic>
          </wp:inline>
        </w:drawing>
      </w:r>
    </w:p>
    <w:p w14:paraId="1F0A647E" w14:textId="12D64552" w:rsidR="00E2447E" w:rsidRDefault="00E2447E" w:rsidP="002277A5">
      <w:pPr>
        <w:pStyle w:val="TableDescription"/>
      </w:pPr>
      <w:r>
        <w:t xml:space="preserve">Source: </w:t>
      </w:r>
      <w:r w:rsidR="005669C2">
        <w:t>P</w:t>
      </w:r>
      <w:r>
        <w:t>age 55 of the Mvasi EPAR.</w:t>
      </w:r>
      <w:r w:rsidR="00966C3F" w:rsidRPr="00966C3F">
        <w:rPr>
          <w:vertAlign w:val="superscript"/>
        </w:rPr>
        <w:fldChar w:fldCharType="begin"/>
      </w:r>
      <w:r w:rsidR="00966C3F" w:rsidRPr="00966C3F">
        <w:rPr>
          <w:vertAlign w:val="superscript"/>
        </w:rPr>
        <w:instrText xml:space="preserve"> NOTEREF _Ref53752580 \h </w:instrText>
      </w:r>
      <w:r w:rsidR="00966C3F">
        <w:rPr>
          <w:vertAlign w:val="superscript"/>
        </w:rPr>
        <w:instrText xml:space="preserve"> \* MERGEFORMAT </w:instrText>
      </w:r>
      <w:r w:rsidR="00966C3F" w:rsidRPr="00966C3F">
        <w:rPr>
          <w:vertAlign w:val="superscript"/>
        </w:rPr>
      </w:r>
      <w:r w:rsidR="00966C3F" w:rsidRPr="00966C3F">
        <w:rPr>
          <w:vertAlign w:val="superscript"/>
        </w:rPr>
        <w:fldChar w:fldCharType="separate"/>
      </w:r>
      <w:r w:rsidR="005938A4">
        <w:rPr>
          <w:vertAlign w:val="superscript"/>
        </w:rPr>
        <w:t>5</w:t>
      </w:r>
      <w:r w:rsidR="00966C3F" w:rsidRPr="00966C3F">
        <w:rPr>
          <w:vertAlign w:val="superscript"/>
        </w:rPr>
        <w:fldChar w:fldCharType="end"/>
      </w:r>
    </w:p>
    <w:p w14:paraId="007D5850" w14:textId="256BF2A1" w:rsidR="00B4560A" w:rsidRPr="003F5143" w:rsidRDefault="00B4560A" w:rsidP="00B4560A">
      <w:r w:rsidRPr="003F5143">
        <w:lastRenderedPageBreak/>
        <w:t xml:space="preserve">In addition, the </w:t>
      </w:r>
      <w:r w:rsidR="007637A9">
        <w:t>s</w:t>
      </w:r>
      <w:r w:rsidRPr="003F5143">
        <w:t xml:space="preserve">ponsor performed a secondary analysis of the risk ratio </w:t>
      </w:r>
      <w:r>
        <w:t xml:space="preserve">of the ORR in the PP population. The ORR in the ABP 215 group was 43.1% and 45.6% in the Avastin group, both ORRs slightly higher than in the ITT population. The risk ratio was 0.94 </w:t>
      </w:r>
      <w:r w:rsidRPr="003F5143">
        <w:t>(95% CI: 0.78 to 1.13)</w:t>
      </w:r>
      <w:r>
        <w:rPr>
          <w:b/>
          <w:i/>
        </w:rPr>
        <w:t>.</w:t>
      </w:r>
    </w:p>
    <w:p w14:paraId="63B1A7A3" w14:textId="3BE79E2F" w:rsidR="00B4560A" w:rsidRPr="002E5801" w:rsidRDefault="005669C2" w:rsidP="00CB79EC">
      <w:pPr>
        <w:pStyle w:val="Heading6"/>
      </w:pPr>
      <w:r>
        <w:t>Results for the s</w:t>
      </w:r>
      <w:r w:rsidR="00B4560A" w:rsidRPr="002E5801">
        <w:t>econdary efficacy endpoints</w:t>
      </w:r>
    </w:p>
    <w:p w14:paraId="72DD2BF2" w14:textId="79BEB4B1" w:rsidR="004E3B9F" w:rsidRDefault="00B4560A" w:rsidP="00B4560A">
      <w:r>
        <w:t xml:space="preserve">There were also several secondary efficacy endpoints in </w:t>
      </w:r>
      <w:r w:rsidR="00A91C72">
        <w:t>S</w:t>
      </w:r>
      <w:r>
        <w:t>tudy 265</w:t>
      </w:r>
      <w:r>
        <w:rPr>
          <w:b/>
        </w:rPr>
        <w:t xml:space="preserve"> </w:t>
      </w:r>
      <w:r w:rsidRPr="003F5143">
        <w:t>which were:</w:t>
      </w:r>
    </w:p>
    <w:p w14:paraId="0B68D801" w14:textId="0456DA53" w:rsidR="00B4560A" w:rsidRPr="00632936" w:rsidRDefault="00B4560A" w:rsidP="00936FF6">
      <w:pPr>
        <w:pStyle w:val="ListBullet"/>
        <w:spacing w:before="60" w:after="60" w:line="240" w:lineRule="auto"/>
        <w:ind w:hanging="357"/>
      </w:pPr>
      <w:r w:rsidRPr="00A80FF9">
        <w:t>Risk difference for the ORR</w:t>
      </w:r>
      <w:r w:rsidRPr="00632936">
        <w:t xml:space="preserve"> (in the ITT population, in the PP population and the tumour response set)</w:t>
      </w:r>
      <w:r w:rsidR="005669C2">
        <w:t>:</w:t>
      </w:r>
    </w:p>
    <w:p w14:paraId="5DF99E34" w14:textId="4D0B23FA" w:rsidR="00B4560A" w:rsidRPr="00632936" w:rsidRDefault="005669C2" w:rsidP="00936FF6">
      <w:pPr>
        <w:pStyle w:val="ListBullet2"/>
        <w:spacing w:before="60" w:after="60" w:line="240" w:lineRule="auto"/>
        <w:ind w:hanging="357"/>
      </w:pPr>
      <w:r>
        <w:t>i</w:t>
      </w:r>
      <w:r w:rsidR="00B4560A" w:rsidRPr="00632936">
        <w:t>n the ITT population, this was -2.90% (95% CI: -10.48% to 4.67%) which was within the pre-specified equivalence margin</w:t>
      </w:r>
      <w:r>
        <w:t>;</w:t>
      </w:r>
    </w:p>
    <w:p w14:paraId="4C3720E8" w14:textId="3F70070F" w:rsidR="00B4560A" w:rsidRPr="00632936" w:rsidRDefault="005669C2" w:rsidP="00936FF6">
      <w:pPr>
        <w:pStyle w:val="ListBullet2"/>
        <w:spacing w:before="60" w:after="60" w:line="240" w:lineRule="auto"/>
        <w:ind w:hanging="357"/>
      </w:pPr>
      <w:r>
        <w:t>i</w:t>
      </w:r>
      <w:r w:rsidR="00B4560A" w:rsidRPr="00632936">
        <w:t>n the PP population, this was-2.82% (95% CI: -11.06% to 5.42%) which was also within the pre-specified equivalence margin.</w:t>
      </w:r>
    </w:p>
    <w:p w14:paraId="79F65352" w14:textId="7C1AA958" w:rsidR="00B4560A" w:rsidRPr="00632936" w:rsidRDefault="00B4560A" w:rsidP="00936FF6">
      <w:pPr>
        <w:pStyle w:val="ListBullet"/>
        <w:spacing w:before="60" w:after="60" w:line="240" w:lineRule="auto"/>
        <w:ind w:hanging="357"/>
      </w:pPr>
      <w:r w:rsidRPr="00A80FF9">
        <w:t>Duration of response</w:t>
      </w:r>
      <w:r w:rsidRPr="00632936">
        <w:t xml:space="preserve"> (DOR)</w:t>
      </w:r>
      <w:r w:rsidR="005669C2">
        <w:t xml:space="preserve"> </w:t>
      </w:r>
      <w:r w:rsidRPr="00632936">
        <w:t>(median)</w:t>
      </w:r>
      <w:r w:rsidR="005669C2">
        <w:t>:</w:t>
      </w:r>
    </w:p>
    <w:p w14:paraId="79E77855" w14:textId="78011597" w:rsidR="00B4560A" w:rsidRPr="00632936" w:rsidRDefault="00966C3F" w:rsidP="00936FF6">
      <w:pPr>
        <w:pStyle w:val="ListBullet2"/>
        <w:spacing w:before="60" w:after="60" w:line="240" w:lineRule="auto"/>
        <w:ind w:hanging="357"/>
      </w:pPr>
      <w:r>
        <w:t xml:space="preserve">ABP 215: </w:t>
      </w:r>
      <w:r w:rsidR="00B4560A" w:rsidRPr="00632936">
        <w:t>5.8 months (95% CI: 4.9-7.7 months)</w:t>
      </w:r>
      <w:r w:rsidR="005669C2">
        <w:t>;</w:t>
      </w:r>
    </w:p>
    <w:p w14:paraId="40004559" w14:textId="0D203F78" w:rsidR="00B4560A" w:rsidRPr="00632936" w:rsidRDefault="00966C3F" w:rsidP="00936FF6">
      <w:pPr>
        <w:pStyle w:val="ListBullet2"/>
        <w:spacing w:before="60" w:after="60" w:line="240" w:lineRule="auto"/>
        <w:ind w:hanging="357"/>
      </w:pPr>
      <w:r>
        <w:t xml:space="preserve">Avastin: </w:t>
      </w:r>
      <w:r w:rsidR="00B4560A" w:rsidRPr="00632936">
        <w:t>5.6 months (95% CI: 5.1 to 6.3 months).</w:t>
      </w:r>
    </w:p>
    <w:p w14:paraId="65713388" w14:textId="10EFBF17" w:rsidR="00B4560A" w:rsidRPr="00632936" w:rsidRDefault="00B4560A" w:rsidP="00936FF6">
      <w:pPr>
        <w:pStyle w:val="ListBullet"/>
        <w:spacing w:before="60" w:after="60" w:line="240" w:lineRule="auto"/>
        <w:ind w:hanging="357"/>
      </w:pPr>
      <w:r w:rsidRPr="00A80FF9">
        <w:t>Progression-free survival</w:t>
      </w:r>
      <w:r w:rsidRPr="00632936">
        <w:t xml:space="preserve"> (PFS) (median)</w:t>
      </w:r>
      <w:r w:rsidR="005669C2">
        <w:t>:</w:t>
      </w:r>
    </w:p>
    <w:p w14:paraId="42D2DE32" w14:textId="510B76ED" w:rsidR="00B4560A" w:rsidRDefault="00966C3F" w:rsidP="00936FF6">
      <w:pPr>
        <w:pStyle w:val="ListBullet2"/>
        <w:spacing w:before="60" w:after="60" w:line="240" w:lineRule="auto"/>
        <w:ind w:hanging="357"/>
      </w:pPr>
      <w:r>
        <w:t xml:space="preserve">ABP 215: </w:t>
      </w:r>
      <w:r w:rsidR="00B4560A">
        <w:t>6.6 months</w:t>
      </w:r>
      <w:r w:rsidR="00ED147C">
        <w:t xml:space="preserve"> </w:t>
      </w:r>
      <w:r w:rsidR="00B4560A" w:rsidRPr="00BA47F9">
        <w:t>(95% CI: 6.3 to 7.9 months)</w:t>
      </w:r>
      <w:r w:rsidR="005669C2">
        <w:t>;</w:t>
      </w:r>
    </w:p>
    <w:p w14:paraId="2EA2EC52" w14:textId="23620FEE" w:rsidR="00B4560A" w:rsidRDefault="00966C3F" w:rsidP="00936FF6">
      <w:pPr>
        <w:pStyle w:val="ListBullet2"/>
        <w:spacing w:before="60" w:after="60" w:line="240" w:lineRule="auto"/>
        <w:ind w:hanging="357"/>
      </w:pPr>
      <w:r>
        <w:t xml:space="preserve">Avastin: </w:t>
      </w:r>
      <w:r w:rsidR="00B4560A">
        <w:t xml:space="preserve">7.9 months </w:t>
      </w:r>
      <w:r w:rsidR="00B4560A" w:rsidRPr="00BA47F9">
        <w:t>(95% CI: 6.6 to 8.2 months).</w:t>
      </w:r>
    </w:p>
    <w:p w14:paraId="3B50DC8E" w14:textId="5224D340" w:rsidR="00B4560A" w:rsidRPr="00D770E8" w:rsidRDefault="00B4560A" w:rsidP="00B4560A">
      <w:r>
        <w:t>To conclude, the results of the primary and se</w:t>
      </w:r>
      <w:r w:rsidR="000D4338">
        <w:t>condary endpoints indicate the two</w:t>
      </w:r>
      <w:r>
        <w:t xml:space="preserve"> treatment arms were similar in both the ITT population and the PP population. This is supportive of ABP 215 and Avastin being biosimilar.</w:t>
      </w:r>
    </w:p>
    <w:p w14:paraId="282A1A77" w14:textId="2426F48C" w:rsidR="00B4560A" w:rsidRDefault="00B4560A" w:rsidP="001E7016">
      <w:pPr>
        <w:pStyle w:val="Heading6"/>
      </w:pPr>
      <w:r>
        <w:t>Subgroup analysis</w:t>
      </w:r>
    </w:p>
    <w:p w14:paraId="284B28EF" w14:textId="09699C36" w:rsidR="00966C3F" w:rsidRDefault="00B4560A" w:rsidP="00B4560A">
      <w:r w:rsidRPr="008D2BF8">
        <w:t>The primary endpoint, the risk ratio for the ORR, was also considered in subgroup analyses. The forest plot</w:t>
      </w:r>
      <w:r w:rsidR="00F47CCF">
        <w:t xml:space="preserve"> in </w:t>
      </w:r>
      <w:r w:rsidR="00F47CCF">
        <w:fldChar w:fldCharType="begin"/>
      </w:r>
      <w:r w:rsidR="00F47CCF">
        <w:instrText xml:space="preserve"> REF _Ref54101010 \h </w:instrText>
      </w:r>
      <w:r w:rsidR="00F47CCF">
        <w:fldChar w:fldCharType="separate"/>
      </w:r>
      <w:r w:rsidR="005938A4">
        <w:t xml:space="preserve">Figure </w:t>
      </w:r>
      <w:r w:rsidR="005938A4">
        <w:rPr>
          <w:noProof/>
        </w:rPr>
        <w:t>2</w:t>
      </w:r>
      <w:r w:rsidR="005938A4">
        <w:t>: Study 265 Forest plot of risk ratio of overall response rate by study subgroup (Intent to treat population)</w:t>
      </w:r>
      <w:r w:rsidR="00F47CCF">
        <w:fldChar w:fldCharType="end"/>
      </w:r>
      <w:r w:rsidR="00F47CCF" w:rsidRPr="008D2BF8">
        <w:t xml:space="preserve"> </w:t>
      </w:r>
      <w:r w:rsidRPr="008D2BF8">
        <w:t>demonstrates the risk ratio of ORR by subgroup in the ITT population</w:t>
      </w:r>
      <w:r w:rsidR="00966C3F">
        <w:t>.</w:t>
      </w:r>
    </w:p>
    <w:p w14:paraId="724609C4" w14:textId="58574DA9" w:rsidR="00B4560A" w:rsidRDefault="00B4560A" w:rsidP="00B4560A">
      <w:r w:rsidRPr="008D2BF8">
        <w:t>In summary, the means of the subgroup analyses are approximately clustered around a risk ratio of 1 which is consistent with the primary endpoint result indicating no significant difference between ABP 215 and Avastin.</w:t>
      </w:r>
    </w:p>
    <w:p w14:paraId="5A1535FB" w14:textId="21C67CD4" w:rsidR="00A94DD1" w:rsidRDefault="00F47CCF" w:rsidP="00936FF6">
      <w:pPr>
        <w:pStyle w:val="FigureTitle"/>
      </w:pPr>
      <w:bookmarkStart w:id="54" w:name="_Ref54101010"/>
      <w:r>
        <w:t xml:space="preserve">Figure </w:t>
      </w:r>
      <w:r w:rsidR="00741986">
        <w:fldChar w:fldCharType="begin"/>
      </w:r>
      <w:r w:rsidR="00741986">
        <w:instrText xml:space="preserve"> SEQ Figure \* ARABIC </w:instrText>
      </w:r>
      <w:r w:rsidR="00741986">
        <w:fldChar w:fldCharType="separate"/>
      </w:r>
      <w:r w:rsidR="005938A4">
        <w:rPr>
          <w:noProof/>
        </w:rPr>
        <w:t>2</w:t>
      </w:r>
      <w:r w:rsidR="00741986">
        <w:rPr>
          <w:noProof/>
        </w:rPr>
        <w:fldChar w:fldCharType="end"/>
      </w:r>
      <w:r>
        <w:t xml:space="preserve">: </w:t>
      </w:r>
      <w:r w:rsidR="005669C2">
        <w:t xml:space="preserve">Study 265 </w:t>
      </w:r>
      <w:r w:rsidR="00A94DD1">
        <w:t xml:space="preserve">Forest plot of risk ratio of </w:t>
      </w:r>
      <w:r w:rsidR="005669C2">
        <w:t>overall response rate</w:t>
      </w:r>
      <w:r w:rsidR="00A94DD1">
        <w:t xml:space="preserve"> by </w:t>
      </w:r>
      <w:r w:rsidR="005669C2">
        <w:t>s</w:t>
      </w:r>
      <w:r w:rsidR="00A94DD1">
        <w:t>tudy subgroup (</w:t>
      </w:r>
      <w:r w:rsidR="005669C2">
        <w:t>Intent to treat population</w:t>
      </w:r>
      <w:r w:rsidR="00A94DD1">
        <w:t>)</w:t>
      </w:r>
      <w:bookmarkEnd w:id="54"/>
    </w:p>
    <w:p w14:paraId="15D35222" w14:textId="5ED83090" w:rsidR="00A70584" w:rsidRPr="007A422D" w:rsidRDefault="00A70584" w:rsidP="00936FF6">
      <w:r>
        <w:rPr>
          <w:noProof/>
          <w:lang w:eastAsia="en-AU"/>
        </w:rPr>
        <w:drawing>
          <wp:inline distT="0" distB="0" distL="0" distR="0" wp14:anchorId="45293F6B" wp14:editId="4C9C735E">
            <wp:extent cx="5180517" cy="2868930"/>
            <wp:effectExtent l="0" t="0" r="1270" b="7620"/>
            <wp:docPr id="8" name="Picture 8" descr="The relative risk 90% confidence interval shows the widest line (less reliable results at &quot;race group = non white&quot;, followed by &quot;weight loss =&gt; 5-10%&quot; and &quot;Region - North America'.&#10;&#10;Subgroups that shows treatment was favoured over the control include &quot;weight loss =&gt;: 5-10%&quot;, &quot;Region - western europe&quot; and &quot;ECOG = grade 0&quot;. &#10;&#10;Subgroups that shows control was favoured over treament includes &quot; Region - north america&quot;, &quot;ALK status = negative&quot; and &quot;region = asia pacific/other&quot;. &#10; " title="Forest plot of risk ratio of overall response rate by Intent To Treat Study sub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391" cy="2886582"/>
                    </a:xfrm>
                    <a:prstGeom prst="rect">
                      <a:avLst/>
                    </a:prstGeom>
                    <a:noFill/>
                    <a:ln>
                      <a:noFill/>
                    </a:ln>
                  </pic:spPr>
                </pic:pic>
              </a:graphicData>
            </a:graphic>
          </wp:inline>
        </w:drawing>
      </w:r>
    </w:p>
    <w:p w14:paraId="5F045286" w14:textId="79E4C3FF" w:rsidR="00B4560A" w:rsidRDefault="00B4560A" w:rsidP="00A80FF9">
      <w:pPr>
        <w:pStyle w:val="Heading4"/>
      </w:pPr>
      <w:r w:rsidRPr="002C77C2">
        <w:lastRenderedPageBreak/>
        <w:t>Safety</w:t>
      </w:r>
    </w:p>
    <w:p w14:paraId="43DED30B" w14:textId="2D808DE3" w:rsidR="00B4560A" w:rsidRDefault="00B4560A" w:rsidP="00B4560A">
      <w:r>
        <w:t xml:space="preserve">The safety profile of Avastin is well characterised given it has been on the market for over 10 years. The data presented by the </w:t>
      </w:r>
      <w:r w:rsidR="007637A9">
        <w:t>s</w:t>
      </w:r>
      <w:r>
        <w:t xml:space="preserve">ponsor relates to </w:t>
      </w:r>
      <w:r w:rsidR="005669C2">
        <w:t>S</w:t>
      </w:r>
      <w:r>
        <w:t>tud</w:t>
      </w:r>
      <w:r w:rsidR="005669C2">
        <w:t>y</w:t>
      </w:r>
      <w:r>
        <w:t xml:space="preserve"> 265 (the </w:t>
      </w:r>
      <w:r w:rsidR="006E7E1E">
        <w:t>P</w:t>
      </w:r>
      <w:r>
        <w:t xml:space="preserve">hase </w:t>
      </w:r>
      <w:r w:rsidR="006E7E1E">
        <w:t>III</w:t>
      </w:r>
      <w:r>
        <w:t xml:space="preserve"> trial in patients with metastatic NSCLC) and </w:t>
      </w:r>
      <w:r w:rsidR="005669C2">
        <w:t xml:space="preserve">Study </w:t>
      </w:r>
      <w:r>
        <w:t xml:space="preserve">216 (the </w:t>
      </w:r>
      <w:r w:rsidR="006E7E1E">
        <w:t>P</w:t>
      </w:r>
      <w:r>
        <w:t xml:space="preserve">hase </w:t>
      </w:r>
      <w:r w:rsidR="006E7E1E">
        <w:t>I</w:t>
      </w:r>
      <w:r>
        <w:t xml:space="preserve"> single dose pharmacokinetic study in healthy male volunteers). A total of 835 subjects received at least one dose of ABP 215 or bevacizumab (US</w:t>
      </w:r>
      <w:r w:rsidR="005669C2">
        <w:t>-</w:t>
      </w:r>
      <w:r>
        <w:t xml:space="preserve"> or EU</w:t>
      </w:r>
      <w:r w:rsidR="005669C2">
        <w:t>-sourced</w:t>
      </w:r>
      <w:r>
        <w:t>)</w:t>
      </w:r>
    </w:p>
    <w:p w14:paraId="2EDF97B9" w14:textId="7363ACB8" w:rsidR="00DE4A5C" w:rsidRDefault="00B4560A" w:rsidP="00A80FF9">
      <w:r>
        <w:t xml:space="preserve">The focus in this overview will be on the data from </w:t>
      </w:r>
      <w:r w:rsidR="00AF5718">
        <w:t>S</w:t>
      </w:r>
      <w:r>
        <w:t>tudy 265</w:t>
      </w:r>
      <w:r w:rsidR="00E13E54">
        <w:t xml:space="preserve"> (pages 11</w:t>
      </w:r>
      <w:r w:rsidR="00E76E29">
        <w:t xml:space="preserve"> to</w:t>
      </w:r>
      <w:r w:rsidR="00E13E54">
        <w:t>12 of the EMA assessment report</w:t>
      </w:r>
      <w:r w:rsidR="00E76E29">
        <w:t>.)</w:t>
      </w:r>
      <w:r w:rsidR="00E13E54" w:rsidRPr="00A80FF9">
        <w:rPr>
          <w:vertAlign w:val="superscript"/>
        </w:rPr>
        <w:fldChar w:fldCharType="begin"/>
      </w:r>
      <w:r w:rsidR="00E13E54" w:rsidRPr="00A80FF9">
        <w:rPr>
          <w:vertAlign w:val="superscript"/>
        </w:rPr>
        <w:instrText xml:space="preserve"> NOTEREF _Ref53752580 \h </w:instrText>
      </w:r>
      <w:r w:rsidR="00E13E54">
        <w:rPr>
          <w:vertAlign w:val="superscript"/>
        </w:rPr>
        <w:instrText xml:space="preserve"> \* MERGEFORMAT </w:instrText>
      </w:r>
      <w:r w:rsidR="00E13E54" w:rsidRPr="00A80FF9">
        <w:rPr>
          <w:vertAlign w:val="superscript"/>
        </w:rPr>
      </w:r>
      <w:r w:rsidR="00E13E54" w:rsidRPr="00A80FF9">
        <w:rPr>
          <w:vertAlign w:val="superscript"/>
        </w:rPr>
        <w:fldChar w:fldCharType="separate"/>
      </w:r>
      <w:r w:rsidR="005938A4">
        <w:rPr>
          <w:vertAlign w:val="superscript"/>
        </w:rPr>
        <w:t>5</w:t>
      </w:r>
      <w:r w:rsidR="00E13E54" w:rsidRPr="00A80FF9">
        <w:rPr>
          <w:vertAlign w:val="superscript"/>
        </w:rPr>
        <w:fldChar w:fldCharType="end"/>
      </w:r>
      <w:r w:rsidR="00E13E54">
        <w:t xml:space="preserve"> </w:t>
      </w:r>
      <w:r>
        <w:t>324 subjects in this study received at least one dose of ABP 215</w:t>
      </w:r>
      <w:r w:rsidR="00DE4A5C">
        <w:t>.</w:t>
      </w:r>
    </w:p>
    <w:p w14:paraId="4F870B98" w14:textId="37CFFF54" w:rsidR="00B4560A" w:rsidRPr="005F0AF5" w:rsidRDefault="00B4560A" w:rsidP="00943555">
      <w:pPr>
        <w:pStyle w:val="Heading5"/>
      </w:pPr>
      <w:r w:rsidRPr="00943555">
        <w:rPr>
          <w:rStyle w:val="Heading5Char"/>
          <w:rFonts w:eastAsia="Cambria"/>
        </w:rPr>
        <w:t>Exposure</w:t>
      </w:r>
    </w:p>
    <w:p w14:paraId="0C4B9670" w14:textId="7BAAD55E" w:rsidR="00862124" w:rsidRDefault="00DE4A5C" w:rsidP="00B4560A">
      <w:r>
        <w:fldChar w:fldCharType="begin"/>
      </w:r>
      <w:r>
        <w:instrText xml:space="preserve"> REF _Ref55814992 \h </w:instrText>
      </w:r>
      <w:r>
        <w:fldChar w:fldCharType="separate"/>
      </w:r>
      <w:r w:rsidR="005938A4">
        <w:t xml:space="preserve">Table </w:t>
      </w:r>
      <w:r w:rsidR="005938A4">
        <w:rPr>
          <w:noProof/>
        </w:rPr>
        <w:t>9</w:t>
      </w:r>
      <w:r>
        <w:fldChar w:fldCharType="end"/>
      </w:r>
      <w:r w:rsidR="00943555">
        <w:t xml:space="preserve"> </w:t>
      </w:r>
      <w:r w:rsidR="00B4560A">
        <w:t xml:space="preserve">summarises the subject exposure to ABP 215 and Avastin. This is based on the safety analysis population, the 633 </w:t>
      </w:r>
      <w:r w:rsidR="00966C3F">
        <w:t>subjects who received at least one</w:t>
      </w:r>
      <w:r w:rsidR="00B4560A">
        <w:t xml:space="preserve"> dose of ABP 215 or Avastin. It is slightly smaller than the ITT population of 642 subjects.</w:t>
      </w:r>
    </w:p>
    <w:p w14:paraId="34810AD6" w14:textId="7E309E1E" w:rsidR="00862124" w:rsidRDefault="00E13E54" w:rsidP="00A80FF9">
      <w:pPr>
        <w:pStyle w:val="TableTitle"/>
      </w:pPr>
      <w:bookmarkStart w:id="55" w:name="_Ref55814992"/>
      <w:bookmarkStart w:id="56" w:name="_Ref54101554"/>
      <w:r>
        <w:t xml:space="preserve">Table </w:t>
      </w:r>
      <w:r w:rsidR="00741986">
        <w:fldChar w:fldCharType="begin"/>
      </w:r>
      <w:r w:rsidR="00741986">
        <w:instrText xml:space="preserve"> SEQ Table \* ARABIC </w:instrText>
      </w:r>
      <w:r w:rsidR="00741986">
        <w:fldChar w:fldCharType="separate"/>
      </w:r>
      <w:r w:rsidR="005938A4">
        <w:rPr>
          <w:noProof/>
        </w:rPr>
        <w:t>9</w:t>
      </w:r>
      <w:r w:rsidR="00741986">
        <w:rPr>
          <w:noProof/>
        </w:rPr>
        <w:fldChar w:fldCharType="end"/>
      </w:r>
      <w:bookmarkEnd w:id="55"/>
      <w:r>
        <w:t xml:space="preserve">: </w:t>
      </w:r>
      <w:r w:rsidR="005805CF">
        <w:t xml:space="preserve">Study 265 </w:t>
      </w:r>
      <w:r w:rsidR="00862124">
        <w:t>Subject exposure to ABP</w:t>
      </w:r>
      <w:r w:rsidR="00B50DC8">
        <w:t xml:space="preserve"> </w:t>
      </w:r>
      <w:r w:rsidR="00862124">
        <w:t>215 and Avastin</w:t>
      </w:r>
      <w:bookmarkEnd w:id="56"/>
    </w:p>
    <w:p w14:paraId="1AF046E8" w14:textId="48CF2F79" w:rsidR="00B4560A" w:rsidRDefault="00A70584" w:rsidP="00B4560A">
      <w:pPr>
        <w:rPr>
          <w:b/>
          <w:bCs/>
        </w:rPr>
      </w:pPr>
      <w:r>
        <w:rPr>
          <w:b/>
          <w:bCs/>
          <w:noProof/>
          <w:lang w:eastAsia="en-AU"/>
        </w:rPr>
        <w:drawing>
          <wp:inline distT="0" distB="0" distL="0" distR="0" wp14:anchorId="6B90EF6C" wp14:editId="139661FA">
            <wp:extent cx="5400675" cy="5114925"/>
            <wp:effectExtent l="0" t="0" r="9525" b="9525"/>
            <wp:docPr id="11" name="Picture 11" descr="This shows for each of the treatment arms (ABP 215 and bevacizumab), the proportion of subjects receiving at least 1 dose of investigational product, total number of doses administered, cumulative total dose, and the percentage of patients each receiving 1 to 7 total number of doses administered. " title="Subject exposure to ABP 215 and Ava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5114925"/>
                    </a:xfrm>
                    <a:prstGeom prst="rect">
                      <a:avLst/>
                    </a:prstGeom>
                    <a:noFill/>
                    <a:ln>
                      <a:noFill/>
                    </a:ln>
                  </pic:spPr>
                </pic:pic>
              </a:graphicData>
            </a:graphic>
          </wp:inline>
        </w:drawing>
      </w:r>
    </w:p>
    <w:p w14:paraId="4F5D1D1B" w14:textId="19810CEF" w:rsidR="0029481D" w:rsidRDefault="0029481D" w:rsidP="00A80FF9">
      <w:pPr>
        <w:pStyle w:val="TableDescription"/>
      </w:pPr>
      <w:r>
        <w:t xml:space="preserve">Source: </w:t>
      </w:r>
      <w:r w:rsidR="005805CF">
        <w:t>P</w:t>
      </w:r>
      <w:r>
        <w:t>ages 11 to 12 of the Mvasi EPAR.</w:t>
      </w:r>
      <w:r w:rsidR="00966C3F" w:rsidRPr="00966C3F">
        <w:rPr>
          <w:vertAlign w:val="superscript"/>
        </w:rPr>
        <w:fldChar w:fldCharType="begin"/>
      </w:r>
      <w:r w:rsidR="00966C3F" w:rsidRPr="00966C3F">
        <w:rPr>
          <w:vertAlign w:val="superscript"/>
        </w:rPr>
        <w:instrText xml:space="preserve"> NOTEREF _Ref53752580 \h </w:instrText>
      </w:r>
      <w:r w:rsidR="00966C3F">
        <w:rPr>
          <w:vertAlign w:val="superscript"/>
        </w:rPr>
        <w:instrText xml:space="preserve"> \* MERGEFORMAT </w:instrText>
      </w:r>
      <w:r w:rsidR="00966C3F" w:rsidRPr="00966C3F">
        <w:rPr>
          <w:vertAlign w:val="superscript"/>
        </w:rPr>
      </w:r>
      <w:r w:rsidR="00966C3F" w:rsidRPr="00966C3F">
        <w:rPr>
          <w:vertAlign w:val="superscript"/>
        </w:rPr>
        <w:fldChar w:fldCharType="separate"/>
      </w:r>
      <w:r w:rsidR="005938A4">
        <w:rPr>
          <w:vertAlign w:val="superscript"/>
        </w:rPr>
        <w:t>5</w:t>
      </w:r>
      <w:r w:rsidR="00966C3F" w:rsidRPr="00966C3F">
        <w:rPr>
          <w:vertAlign w:val="superscript"/>
        </w:rPr>
        <w:fldChar w:fldCharType="end"/>
      </w:r>
    </w:p>
    <w:p w14:paraId="0EDCF904" w14:textId="5A99121A" w:rsidR="00B4560A" w:rsidRDefault="00B4560A" w:rsidP="00B4560A">
      <w:pPr>
        <w:rPr>
          <w:bCs/>
        </w:rPr>
      </w:pPr>
      <w:r w:rsidRPr="004A2F64">
        <w:rPr>
          <w:bCs/>
        </w:rPr>
        <w:t xml:space="preserve">The duration of </w:t>
      </w:r>
      <w:r>
        <w:rPr>
          <w:bCs/>
        </w:rPr>
        <w:t>treatment was</w:t>
      </w:r>
      <w:r w:rsidRPr="004A2F64">
        <w:rPr>
          <w:bCs/>
        </w:rPr>
        <w:t xml:space="preserve"> </w:t>
      </w:r>
      <w:r>
        <w:rPr>
          <w:bCs/>
        </w:rPr>
        <w:t xml:space="preserve">18 weeks in </w:t>
      </w:r>
      <w:r w:rsidR="00A91C72">
        <w:rPr>
          <w:bCs/>
        </w:rPr>
        <w:t>S</w:t>
      </w:r>
      <w:r>
        <w:rPr>
          <w:bCs/>
        </w:rPr>
        <w:t>tudy 265. However, only 59.3% of the subjects receiving ABP 215 and 65.4% of the subjects receiving Avastin completed treatment.</w:t>
      </w:r>
    </w:p>
    <w:p w14:paraId="4E49D3E9" w14:textId="0AAACF99" w:rsidR="00B4560A" w:rsidRPr="00D770E8" w:rsidRDefault="00B4560A" w:rsidP="00A80FF9">
      <w:pPr>
        <w:pStyle w:val="Heading5"/>
      </w:pPr>
      <w:r w:rsidRPr="00D770E8">
        <w:lastRenderedPageBreak/>
        <w:t>Treatment-emergent adverse events and discontinuation</w:t>
      </w:r>
      <w:r w:rsidR="005805CF">
        <w:t>s</w:t>
      </w:r>
    </w:p>
    <w:p w14:paraId="0E5A36B0" w14:textId="082E1AE7" w:rsidR="00093967" w:rsidRDefault="00B4560A" w:rsidP="00B4560A">
      <w:r>
        <w:t>Treatment-emergent adverse events (TEAE</w:t>
      </w:r>
      <w:r w:rsidR="005938A4">
        <w:t>s</w:t>
      </w:r>
      <w:r>
        <w:t xml:space="preserve">) were common, with 95.1% of the subjects in the ABP 215 group reporting a TEAE and 93.5% of the Avastin group </w:t>
      </w:r>
      <w:r w:rsidRPr="009640B6">
        <w:t xml:space="preserve">reporting </w:t>
      </w:r>
      <w:r>
        <w:t>a</w:t>
      </w:r>
      <w:r w:rsidRPr="009640B6">
        <w:t xml:space="preserve"> TEAE</w:t>
      </w:r>
      <w:r>
        <w:t xml:space="preserve">. </w:t>
      </w:r>
      <w:r w:rsidR="005F0AF5">
        <w:fldChar w:fldCharType="begin"/>
      </w:r>
      <w:r w:rsidR="005F0AF5">
        <w:instrText xml:space="preserve"> REF _Ref55850653 \h </w:instrText>
      </w:r>
      <w:r w:rsidR="005F0AF5">
        <w:fldChar w:fldCharType="separate"/>
      </w:r>
      <w:r w:rsidR="005938A4">
        <w:t xml:space="preserve">Table </w:t>
      </w:r>
      <w:r w:rsidR="005938A4">
        <w:rPr>
          <w:noProof/>
        </w:rPr>
        <w:t>10</w:t>
      </w:r>
      <w:r w:rsidR="005F0AF5">
        <w:fldChar w:fldCharType="end"/>
      </w:r>
      <w:r w:rsidR="005F0AF5">
        <w:t xml:space="preserve"> </w:t>
      </w:r>
      <w:r w:rsidR="00633C42">
        <w:t>s</w:t>
      </w:r>
      <w:r>
        <w:t>ummarises TEAEs</w:t>
      </w:r>
      <w:r w:rsidR="00633C42">
        <w:t xml:space="preserve"> which is detailed in page 68 of the EMA summary</w:t>
      </w:r>
      <w:r w:rsidR="00E76E29">
        <w:t>.</w:t>
      </w:r>
      <w:r w:rsidR="00966C3F" w:rsidRPr="00966C3F">
        <w:rPr>
          <w:vertAlign w:val="superscript"/>
        </w:rPr>
        <w:fldChar w:fldCharType="begin"/>
      </w:r>
      <w:r w:rsidR="00966C3F" w:rsidRPr="00966C3F">
        <w:rPr>
          <w:vertAlign w:val="superscript"/>
        </w:rPr>
        <w:instrText xml:space="preserve"> NOTEREF _Ref53752580 \h  \* MERGEFORMAT </w:instrText>
      </w:r>
      <w:r w:rsidR="00966C3F" w:rsidRPr="00966C3F">
        <w:rPr>
          <w:vertAlign w:val="superscript"/>
        </w:rPr>
      </w:r>
      <w:r w:rsidR="00966C3F" w:rsidRPr="00966C3F">
        <w:rPr>
          <w:vertAlign w:val="superscript"/>
        </w:rPr>
        <w:fldChar w:fldCharType="separate"/>
      </w:r>
      <w:r w:rsidR="005938A4">
        <w:rPr>
          <w:vertAlign w:val="superscript"/>
        </w:rPr>
        <w:t>5</w:t>
      </w:r>
      <w:r w:rsidR="00966C3F" w:rsidRPr="00966C3F">
        <w:rPr>
          <w:vertAlign w:val="superscript"/>
        </w:rPr>
        <w:fldChar w:fldCharType="end"/>
      </w:r>
    </w:p>
    <w:p w14:paraId="76785D69" w14:textId="28EAAC0E" w:rsidR="00BC5E93" w:rsidRDefault="00633C42" w:rsidP="00A80FF9">
      <w:pPr>
        <w:pStyle w:val="TableTitle"/>
      </w:pPr>
      <w:bookmarkStart w:id="57" w:name="_Ref55850653"/>
      <w:bookmarkStart w:id="58" w:name="_Ref54101850"/>
      <w:r>
        <w:t xml:space="preserve">Table </w:t>
      </w:r>
      <w:r w:rsidR="00741986">
        <w:fldChar w:fldCharType="begin"/>
      </w:r>
      <w:r w:rsidR="00741986">
        <w:instrText xml:space="preserve"> SEQ Table \* ARABIC </w:instrText>
      </w:r>
      <w:r w:rsidR="00741986">
        <w:fldChar w:fldCharType="separate"/>
      </w:r>
      <w:r w:rsidR="005938A4">
        <w:rPr>
          <w:noProof/>
        </w:rPr>
        <w:t>10</w:t>
      </w:r>
      <w:r w:rsidR="00741986">
        <w:rPr>
          <w:noProof/>
        </w:rPr>
        <w:fldChar w:fldCharType="end"/>
      </w:r>
      <w:bookmarkEnd w:id="57"/>
      <w:r>
        <w:t xml:space="preserve">: </w:t>
      </w:r>
      <w:r w:rsidR="005805CF">
        <w:t xml:space="preserve">Study 265 </w:t>
      </w:r>
      <w:r w:rsidR="00AE7435">
        <w:t>Summary of treatment emergent adverse events</w:t>
      </w:r>
      <w:r w:rsidR="00A461D2">
        <w:t xml:space="preserve">(Safety </w:t>
      </w:r>
      <w:r w:rsidR="005805CF">
        <w:t>a</w:t>
      </w:r>
      <w:r w:rsidR="00A461D2">
        <w:t xml:space="preserve">nalysis </w:t>
      </w:r>
      <w:r w:rsidR="005805CF">
        <w:t>p</w:t>
      </w:r>
      <w:r w:rsidR="00A461D2">
        <w:t>opulation)</w:t>
      </w:r>
      <w:bookmarkEnd w:id="58"/>
    </w:p>
    <w:tbl>
      <w:tblPr>
        <w:tblStyle w:val="TableTGAblue"/>
        <w:tblW w:w="0" w:type="auto"/>
        <w:tblLook w:val="04A0" w:firstRow="1" w:lastRow="0" w:firstColumn="1" w:lastColumn="0" w:noHBand="0" w:noVBand="1"/>
      </w:tblPr>
      <w:tblGrid>
        <w:gridCol w:w="2180"/>
        <w:gridCol w:w="2180"/>
        <w:gridCol w:w="2180"/>
        <w:gridCol w:w="2180"/>
      </w:tblGrid>
      <w:tr w:rsidR="00EC5105" w:rsidRPr="00EC5105" w14:paraId="0B1381BF" w14:textId="77777777" w:rsidTr="00B448F3">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6C25500E" w14:textId="6CA919CA" w:rsidR="00EC5105" w:rsidRPr="0029481D" w:rsidRDefault="00EC5105" w:rsidP="001E2D94">
            <w:pPr>
              <w:ind w:left="0" w:right="0"/>
              <w:jc w:val="center"/>
            </w:pPr>
            <w:r w:rsidRPr="0029481D">
              <w:t>Category</w:t>
            </w:r>
          </w:p>
        </w:tc>
        <w:tc>
          <w:tcPr>
            <w:tcW w:w="2180" w:type="dxa"/>
            <w:tcBorders>
              <w:top w:val="single" w:sz="4" w:space="0" w:color="auto"/>
              <w:left w:val="single" w:sz="4" w:space="0" w:color="auto"/>
              <w:bottom w:val="single" w:sz="4" w:space="0" w:color="auto"/>
              <w:right w:val="single" w:sz="4" w:space="0" w:color="auto"/>
            </w:tcBorders>
          </w:tcPr>
          <w:p w14:paraId="37B2CEFF" w14:textId="77777777" w:rsidR="00EC5105" w:rsidRPr="0029481D" w:rsidRDefault="00EC5105" w:rsidP="00EC5105">
            <w:pPr>
              <w:pStyle w:val="FigureTitle"/>
              <w:jc w:val="center"/>
              <w:rPr>
                <w:b/>
              </w:rPr>
            </w:pPr>
            <w:r w:rsidRPr="0029481D">
              <w:t>ABP 215</w:t>
            </w:r>
          </w:p>
          <w:p w14:paraId="61BBCCEC" w14:textId="77777777" w:rsidR="00EC5105" w:rsidRPr="0029481D" w:rsidRDefault="00EC5105" w:rsidP="00EC5105">
            <w:pPr>
              <w:pStyle w:val="FigureTitle"/>
              <w:jc w:val="center"/>
              <w:rPr>
                <w:b/>
              </w:rPr>
            </w:pPr>
            <w:r w:rsidRPr="0029481D">
              <w:t>(N = 324)</w:t>
            </w:r>
          </w:p>
          <w:p w14:paraId="6E7D1CB3" w14:textId="7CB17417" w:rsidR="00EC5105" w:rsidRPr="00AF5E5C" w:rsidRDefault="00EC5105" w:rsidP="001E2D94">
            <w:pPr>
              <w:ind w:left="0" w:right="0"/>
              <w:jc w:val="center"/>
            </w:pPr>
            <w:r w:rsidRPr="00AF5E5C">
              <w:t>N (%)</w:t>
            </w:r>
          </w:p>
        </w:tc>
        <w:tc>
          <w:tcPr>
            <w:tcW w:w="2180" w:type="dxa"/>
            <w:tcBorders>
              <w:top w:val="single" w:sz="4" w:space="0" w:color="auto"/>
              <w:left w:val="single" w:sz="4" w:space="0" w:color="auto"/>
              <w:bottom w:val="single" w:sz="4" w:space="0" w:color="auto"/>
              <w:right w:val="single" w:sz="4" w:space="0" w:color="auto"/>
            </w:tcBorders>
          </w:tcPr>
          <w:p w14:paraId="01879EE2" w14:textId="77777777" w:rsidR="00EC5105" w:rsidRPr="0029481D" w:rsidRDefault="00EC5105" w:rsidP="00EC5105">
            <w:pPr>
              <w:pStyle w:val="FigureTitle"/>
              <w:jc w:val="center"/>
              <w:rPr>
                <w:b/>
              </w:rPr>
            </w:pPr>
            <w:r w:rsidRPr="0029481D">
              <w:t>Bevacizumab</w:t>
            </w:r>
          </w:p>
          <w:p w14:paraId="4AE6EEF6" w14:textId="77777777" w:rsidR="00EC5105" w:rsidRPr="0029481D" w:rsidRDefault="00EC5105" w:rsidP="00EC5105">
            <w:pPr>
              <w:pStyle w:val="FigureTitle"/>
              <w:jc w:val="center"/>
              <w:rPr>
                <w:b/>
              </w:rPr>
            </w:pPr>
            <w:r w:rsidRPr="0029481D">
              <w:t>(N = 309)</w:t>
            </w:r>
          </w:p>
          <w:p w14:paraId="50C2E35B" w14:textId="186A2950" w:rsidR="00EC5105" w:rsidRPr="00AF5E5C" w:rsidRDefault="00EC5105" w:rsidP="001E2D94">
            <w:pPr>
              <w:ind w:left="0" w:right="0"/>
              <w:jc w:val="center"/>
            </w:pPr>
            <w:r w:rsidRPr="00AF5E5C">
              <w:t>N (%)</w:t>
            </w:r>
          </w:p>
        </w:tc>
        <w:tc>
          <w:tcPr>
            <w:tcW w:w="2180" w:type="dxa"/>
            <w:tcBorders>
              <w:top w:val="single" w:sz="4" w:space="0" w:color="auto"/>
              <w:left w:val="single" w:sz="4" w:space="0" w:color="auto"/>
              <w:bottom w:val="single" w:sz="4" w:space="0" w:color="auto"/>
              <w:right w:val="single" w:sz="4" w:space="0" w:color="auto"/>
            </w:tcBorders>
          </w:tcPr>
          <w:p w14:paraId="7BBD8906" w14:textId="77777777" w:rsidR="00EC5105" w:rsidRPr="0029481D" w:rsidRDefault="00EC5105" w:rsidP="00EC5105">
            <w:pPr>
              <w:pStyle w:val="FigureTitle"/>
              <w:jc w:val="center"/>
              <w:rPr>
                <w:b/>
              </w:rPr>
            </w:pPr>
            <w:r w:rsidRPr="0029481D">
              <w:t>Total</w:t>
            </w:r>
          </w:p>
          <w:p w14:paraId="313E94C1" w14:textId="77777777" w:rsidR="00EC5105" w:rsidRPr="0029481D" w:rsidRDefault="00EC5105" w:rsidP="00EC5105">
            <w:pPr>
              <w:pStyle w:val="FigureTitle"/>
              <w:jc w:val="center"/>
              <w:rPr>
                <w:b/>
              </w:rPr>
            </w:pPr>
            <w:r w:rsidRPr="0029481D">
              <w:t>(N = 633)</w:t>
            </w:r>
          </w:p>
          <w:p w14:paraId="5F98FC4A" w14:textId="48DD8768" w:rsidR="00EC5105" w:rsidRPr="00AF5E5C" w:rsidRDefault="00EC5105" w:rsidP="001E2D94">
            <w:pPr>
              <w:ind w:left="0" w:right="0"/>
              <w:jc w:val="center"/>
            </w:pPr>
            <w:r w:rsidRPr="00AF5E5C">
              <w:t>N (%)</w:t>
            </w:r>
          </w:p>
        </w:tc>
      </w:tr>
      <w:tr w:rsidR="00EC5105" w14:paraId="1F82AAE1" w14:textId="77777777" w:rsidTr="00B448F3">
        <w:tc>
          <w:tcPr>
            <w:tcW w:w="2180" w:type="dxa"/>
            <w:tcBorders>
              <w:top w:val="single" w:sz="4" w:space="0" w:color="auto"/>
            </w:tcBorders>
          </w:tcPr>
          <w:p w14:paraId="06652E38" w14:textId="2C6EA018" w:rsidR="00EC5105" w:rsidRDefault="00EC5105" w:rsidP="00EC5105">
            <w:pPr>
              <w:ind w:left="0" w:right="0"/>
            </w:pPr>
            <w:r>
              <w:t>Any TEAE</w:t>
            </w:r>
          </w:p>
        </w:tc>
        <w:tc>
          <w:tcPr>
            <w:tcW w:w="2180" w:type="dxa"/>
            <w:tcBorders>
              <w:top w:val="single" w:sz="4" w:space="0" w:color="auto"/>
            </w:tcBorders>
          </w:tcPr>
          <w:p w14:paraId="72AAC5CD" w14:textId="1A7DC4B2" w:rsidR="00EC5105" w:rsidRDefault="00EC5105" w:rsidP="00EC5105">
            <w:pPr>
              <w:ind w:left="0" w:right="0"/>
            </w:pPr>
            <w:r>
              <w:t>308 (95.1)</w:t>
            </w:r>
          </w:p>
        </w:tc>
        <w:tc>
          <w:tcPr>
            <w:tcW w:w="2180" w:type="dxa"/>
            <w:tcBorders>
              <w:top w:val="single" w:sz="4" w:space="0" w:color="auto"/>
            </w:tcBorders>
          </w:tcPr>
          <w:p w14:paraId="1C7330CD" w14:textId="0B009BA7" w:rsidR="00EC5105" w:rsidRDefault="00EC5105" w:rsidP="00EC5105">
            <w:pPr>
              <w:ind w:left="0" w:right="0"/>
            </w:pPr>
            <w:r>
              <w:t>289 (93.5)</w:t>
            </w:r>
          </w:p>
        </w:tc>
        <w:tc>
          <w:tcPr>
            <w:tcW w:w="2180" w:type="dxa"/>
            <w:tcBorders>
              <w:top w:val="single" w:sz="4" w:space="0" w:color="auto"/>
            </w:tcBorders>
          </w:tcPr>
          <w:p w14:paraId="0A23EE89" w14:textId="2105B7C8" w:rsidR="00EC5105" w:rsidRDefault="00EC5105" w:rsidP="00EC5105">
            <w:pPr>
              <w:ind w:left="0" w:right="0"/>
            </w:pPr>
            <w:r>
              <w:t>597 (94.3)</w:t>
            </w:r>
          </w:p>
        </w:tc>
      </w:tr>
      <w:tr w:rsidR="00EC5105" w14:paraId="7164F927" w14:textId="77777777" w:rsidTr="00B448F3">
        <w:tc>
          <w:tcPr>
            <w:tcW w:w="2180" w:type="dxa"/>
          </w:tcPr>
          <w:p w14:paraId="72E23A8C" w14:textId="2B007CD5" w:rsidR="00EC5105" w:rsidRDefault="00EC5105" w:rsidP="00EC5105">
            <w:pPr>
              <w:ind w:left="0" w:right="0"/>
            </w:pPr>
            <w:r>
              <w:t>Any Grade ≥ 3 TEAE</w:t>
            </w:r>
          </w:p>
        </w:tc>
        <w:tc>
          <w:tcPr>
            <w:tcW w:w="2180" w:type="dxa"/>
          </w:tcPr>
          <w:p w14:paraId="6BED11A1" w14:textId="65EF9FAD" w:rsidR="00EC5105" w:rsidRDefault="00EC5105" w:rsidP="00EC5105">
            <w:pPr>
              <w:ind w:left="0" w:right="0"/>
            </w:pPr>
            <w:r>
              <w:t>139 (42.9)</w:t>
            </w:r>
          </w:p>
        </w:tc>
        <w:tc>
          <w:tcPr>
            <w:tcW w:w="2180" w:type="dxa"/>
          </w:tcPr>
          <w:p w14:paraId="00CA489A" w14:textId="31600E77" w:rsidR="00EC5105" w:rsidRDefault="00EC5105" w:rsidP="00EC5105">
            <w:pPr>
              <w:ind w:left="0" w:right="0"/>
            </w:pPr>
            <w:r>
              <w:t>137 (44.3)</w:t>
            </w:r>
          </w:p>
        </w:tc>
        <w:tc>
          <w:tcPr>
            <w:tcW w:w="2180" w:type="dxa"/>
          </w:tcPr>
          <w:p w14:paraId="6B4FD9D7" w14:textId="73682807" w:rsidR="00EC5105" w:rsidRDefault="00EC5105" w:rsidP="00EC5105">
            <w:pPr>
              <w:ind w:left="0" w:right="0"/>
            </w:pPr>
            <w:r>
              <w:t>276 (43.6)</w:t>
            </w:r>
          </w:p>
        </w:tc>
      </w:tr>
      <w:tr w:rsidR="00EC5105" w14:paraId="27C4EDB5" w14:textId="77777777" w:rsidTr="00B448F3">
        <w:tc>
          <w:tcPr>
            <w:tcW w:w="2180" w:type="dxa"/>
          </w:tcPr>
          <w:p w14:paraId="7980635E" w14:textId="48DFFC44" w:rsidR="00EC5105" w:rsidRDefault="00EC5105" w:rsidP="001E2D94">
            <w:pPr>
              <w:ind w:left="0"/>
            </w:pPr>
            <w:r>
              <w:t>Any fatal TEAE</w:t>
            </w:r>
          </w:p>
        </w:tc>
        <w:tc>
          <w:tcPr>
            <w:tcW w:w="2180" w:type="dxa"/>
          </w:tcPr>
          <w:p w14:paraId="4D710974" w14:textId="34CDA6D6" w:rsidR="00EC5105" w:rsidRDefault="00EC5105" w:rsidP="001E2D94">
            <w:pPr>
              <w:ind w:left="0"/>
            </w:pPr>
            <w:r>
              <w:t>13 (4.0)</w:t>
            </w:r>
          </w:p>
        </w:tc>
        <w:tc>
          <w:tcPr>
            <w:tcW w:w="2180" w:type="dxa"/>
          </w:tcPr>
          <w:p w14:paraId="04848E2C" w14:textId="4D17B8EE" w:rsidR="00EC5105" w:rsidRDefault="00EC5105" w:rsidP="001E2D94">
            <w:pPr>
              <w:ind w:left="0"/>
            </w:pPr>
            <w:r>
              <w:t>11 (3.6)</w:t>
            </w:r>
          </w:p>
        </w:tc>
        <w:tc>
          <w:tcPr>
            <w:tcW w:w="2180" w:type="dxa"/>
          </w:tcPr>
          <w:p w14:paraId="6C4ED817" w14:textId="7DD49378" w:rsidR="00EC5105" w:rsidRDefault="00EC5105" w:rsidP="001E2D94">
            <w:pPr>
              <w:ind w:left="0"/>
            </w:pPr>
            <w:r>
              <w:t>24 (3.8)</w:t>
            </w:r>
          </w:p>
        </w:tc>
      </w:tr>
      <w:tr w:rsidR="00EC5105" w14:paraId="41F7509B" w14:textId="77777777" w:rsidTr="00B448F3">
        <w:tc>
          <w:tcPr>
            <w:tcW w:w="2180" w:type="dxa"/>
          </w:tcPr>
          <w:p w14:paraId="56C0A96B" w14:textId="47DC31EF" w:rsidR="00EC5105" w:rsidRDefault="00EC5105" w:rsidP="001E2D94">
            <w:pPr>
              <w:ind w:left="0"/>
            </w:pPr>
            <w:r>
              <w:t>Any serious TEAE</w:t>
            </w:r>
          </w:p>
        </w:tc>
        <w:tc>
          <w:tcPr>
            <w:tcW w:w="2180" w:type="dxa"/>
          </w:tcPr>
          <w:p w14:paraId="38305ECA" w14:textId="5086244D" w:rsidR="00EC5105" w:rsidRDefault="00EC5105" w:rsidP="001E2D94">
            <w:pPr>
              <w:ind w:left="0"/>
            </w:pPr>
            <w:r>
              <w:t>85 (26.2)</w:t>
            </w:r>
          </w:p>
        </w:tc>
        <w:tc>
          <w:tcPr>
            <w:tcW w:w="2180" w:type="dxa"/>
          </w:tcPr>
          <w:p w14:paraId="32B13AF5" w14:textId="221E6A2A" w:rsidR="00EC5105" w:rsidRDefault="00EC5105" w:rsidP="001E2D94">
            <w:pPr>
              <w:ind w:left="0"/>
            </w:pPr>
            <w:r>
              <w:t>71 (23.0)</w:t>
            </w:r>
          </w:p>
        </w:tc>
        <w:tc>
          <w:tcPr>
            <w:tcW w:w="2180" w:type="dxa"/>
          </w:tcPr>
          <w:p w14:paraId="542F9F18" w14:textId="5F2A5768" w:rsidR="00EC5105" w:rsidRDefault="00EC5105" w:rsidP="001E2D94">
            <w:pPr>
              <w:ind w:left="0"/>
            </w:pPr>
            <w:r>
              <w:t>156 (24.6)</w:t>
            </w:r>
          </w:p>
        </w:tc>
      </w:tr>
      <w:tr w:rsidR="00EC5105" w14:paraId="602F82B4" w14:textId="77777777" w:rsidTr="00B448F3">
        <w:tc>
          <w:tcPr>
            <w:tcW w:w="2180" w:type="dxa"/>
          </w:tcPr>
          <w:p w14:paraId="50096AF8" w14:textId="19B6298E" w:rsidR="00EC5105" w:rsidRPr="00EC5105" w:rsidRDefault="00EC5105" w:rsidP="001E2D94">
            <w:pPr>
              <w:ind w:left="0"/>
            </w:pPr>
            <w:r w:rsidRPr="001E2D94">
              <w:t>TEAE leading to discontinuation of IP</w:t>
            </w:r>
          </w:p>
        </w:tc>
        <w:tc>
          <w:tcPr>
            <w:tcW w:w="2180" w:type="dxa"/>
          </w:tcPr>
          <w:p w14:paraId="14598C61" w14:textId="452B7F88" w:rsidR="00EC5105" w:rsidRPr="00EC5105" w:rsidRDefault="00EC5105" w:rsidP="001E2D94">
            <w:pPr>
              <w:ind w:left="0"/>
            </w:pPr>
            <w:r w:rsidRPr="001E2D94">
              <w:t>61 (18.8)</w:t>
            </w:r>
          </w:p>
        </w:tc>
        <w:tc>
          <w:tcPr>
            <w:tcW w:w="2180" w:type="dxa"/>
          </w:tcPr>
          <w:p w14:paraId="4A6B2860" w14:textId="03DB8FB9" w:rsidR="00EC5105" w:rsidRPr="00EC5105" w:rsidRDefault="00EC5105" w:rsidP="001E2D94">
            <w:pPr>
              <w:ind w:left="0"/>
            </w:pPr>
            <w:r w:rsidRPr="001E2D94">
              <w:t>53 (17.2)</w:t>
            </w:r>
          </w:p>
        </w:tc>
        <w:tc>
          <w:tcPr>
            <w:tcW w:w="2180" w:type="dxa"/>
          </w:tcPr>
          <w:p w14:paraId="0BF8BB20" w14:textId="76681183" w:rsidR="00EC5105" w:rsidRPr="00EC5105" w:rsidRDefault="00EC5105" w:rsidP="001E2D94">
            <w:pPr>
              <w:ind w:left="0"/>
            </w:pPr>
            <w:r w:rsidRPr="001E2D94">
              <w:t>114 (18.0)</w:t>
            </w:r>
          </w:p>
        </w:tc>
      </w:tr>
      <w:tr w:rsidR="00EC5105" w14:paraId="6593CE8B" w14:textId="77777777" w:rsidTr="00B448F3">
        <w:tc>
          <w:tcPr>
            <w:tcW w:w="2180" w:type="dxa"/>
          </w:tcPr>
          <w:p w14:paraId="2AFCBD27" w14:textId="0508C2E9" w:rsidR="00EC5105" w:rsidRPr="001E2D94" w:rsidRDefault="00EC5105" w:rsidP="001E2D94">
            <w:pPr>
              <w:ind w:left="0"/>
            </w:pPr>
            <w:r w:rsidRPr="001E2D94">
              <w:t>TEAE le</w:t>
            </w:r>
            <w:r w:rsidRPr="00EC5105">
              <w:t>ading to discontinuation of any</w:t>
            </w:r>
            <w:r>
              <w:t xml:space="preserve"> </w:t>
            </w:r>
            <w:r w:rsidRPr="001E2D94">
              <w:t>component of chemotherapy</w:t>
            </w:r>
          </w:p>
        </w:tc>
        <w:tc>
          <w:tcPr>
            <w:tcW w:w="2180" w:type="dxa"/>
          </w:tcPr>
          <w:p w14:paraId="3CF14DAC" w14:textId="30C84AEA" w:rsidR="00EC5105" w:rsidRPr="00EC5105" w:rsidRDefault="00EC5105" w:rsidP="001E2D94">
            <w:pPr>
              <w:ind w:left="0"/>
            </w:pPr>
            <w:r w:rsidRPr="001E2D94">
              <w:t>68 (21.0)</w:t>
            </w:r>
          </w:p>
        </w:tc>
        <w:tc>
          <w:tcPr>
            <w:tcW w:w="2180" w:type="dxa"/>
          </w:tcPr>
          <w:p w14:paraId="103D846C" w14:textId="1925641B" w:rsidR="00EC5105" w:rsidRPr="00EC5105" w:rsidRDefault="00EC5105" w:rsidP="001E2D94">
            <w:pPr>
              <w:ind w:left="0"/>
            </w:pPr>
            <w:r w:rsidRPr="001E2D94">
              <w:t>52 (16.8)</w:t>
            </w:r>
          </w:p>
        </w:tc>
        <w:tc>
          <w:tcPr>
            <w:tcW w:w="2180" w:type="dxa"/>
          </w:tcPr>
          <w:p w14:paraId="230DDAE8" w14:textId="1174BB8A" w:rsidR="00EC5105" w:rsidRPr="00EC5105" w:rsidRDefault="00EC5105" w:rsidP="001E2D94">
            <w:pPr>
              <w:ind w:left="0"/>
            </w:pPr>
            <w:r w:rsidRPr="001E2D94">
              <w:t>120 (19.0)</w:t>
            </w:r>
          </w:p>
        </w:tc>
      </w:tr>
    </w:tbl>
    <w:p w14:paraId="7A7FCC7F" w14:textId="4F16BE2F" w:rsidR="00B4560A" w:rsidRDefault="00A461D2" w:rsidP="00DA4371">
      <w:pPr>
        <w:pStyle w:val="TableDescription"/>
      </w:pPr>
      <w:r>
        <w:t>Note: Only TEAEs are summarised. For each category, subjects are included only once, even if they experienced multiple events in that category.</w:t>
      </w:r>
    </w:p>
    <w:p w14:paraId="731C5819" w14:textId="03741B4D" w:rsidR="00B4560A" w:rsidRDefault="00B4560A" w:rsidP="00B4560A">
      <w:r>
        <w:t>18.8% of TEAEs led to the discontinuation of ABP 215 and 17.2% of TEAEs led to the discontinuation of bevacizumab. 42.9% of the T</w:t>
      </w:r>
      <w:r w:rsidR="006D626B">
        <w:t xml:space="preserve">EAEs in the ABP 215 group were </w:t>
      </w:r>
      <w:r w:rsidR="00093967">
        <w:t xml:space="preserve">of a </w:t>
      </w:r>
      <w:r w:rsidR="006D626B">
        <w:t>grade higher than or equal to</w:t>
      </w:r>
      <w:r>
        <w:t xml:space="preserve"> 3</w:t>
      </w:r>
      <w:r w:rsidR="00093967">
        <w:t xml:space="preserve">; </w:t>
      </w:r>
      <w:r>
        <w:t>and 44.3% of the TEAEs</w:t>
      </w:r>
      <w:r w:rsidR="006D626B">
        <w:t xml:space="preserve"> in the bevacizumab group </w:t>
      </w:r>
      <w:r w:rsidR="00093967">
        <w:t xml:space="preserve">were of a </w:t>
      </w:r>
      <w:r>
        <w:t xml:space="preserve">grade </w:t>
      </w:r>
      <w:r w:rsidR="006D626B">
        <w:t xml:space="preserve">higher than or equal to </w:t>
      </w:r>
      <w:r>
        <w:t>3</w:t>
      </w:r>
      <w:r w:rsidR="00093967">
        <w:t xml:space="preserve">. </w:t>
      </w:r>
      <w:r>
        <w:t xml:space="preserve">Common treatment-emergent adverse events (experienced by </w:t>
      </w:r>
      <w:r w:rsidR="00093967">
        <w:t xml:space="preserve">more than </w:t>
      </w:r>
      <w:r>
        <w:t>5% of subjects) are summarised</w:t>
      </w:r>
      <w:r w:rsidR="00093967">
        <w:t xml:space="preserve"> in page 69 of the EMA assessment report (</w:t>
      </w:r>
      <w:r w:rsidR="00C36A62">
        <w:fldChar w:fldCharType="begin"/>
      </w:r>
      <w:r w:rsidR="00C36A62">
        <w:instrText xml:space="preserve"> REF _Ref55851499 \h </w:instrText>
      </w:r>
      <w:r w:rsidR="00C36A62">
        <w:fldChar w:fldCharType="separate"/>
      </w:r>
      <w:r w:rsidR="005938A4">
        <w:t xml:space="preserve">Table </w:t>
      </w:r>
      <w:r w:rsidR="005938A4">
        <w:rPr>
          <w:noProof/>
        </w:rPr>
        <w:t>11</w:t>
      </w:r>
      <w:r w:rsidR="00C36A62">
        <w:fldChar w:fldCharType="end"/>
      </w:r>
      <w:r w:rsidR="00C36A62">
        <w:t>).</w:t>
      </w:r>
    </w:p>
    <w:p w14:paraId="15DB768F" w14:textId="591181BA" w:rsidR="006D626B" w:rsidRPr="00A461D2" w:rsidRDefault="00093967" w:rsidP="00A80FF9">
      <w:pPr>
        <w:pStyle w:val="TableTitle"/>
      </w:pPr>
      <w:bookmarkStart w:id="59" w:name="_Ref55851499"/>
      <w:bookmarkStart w:id="60" w:name="_Ref54102873"/>
      <w:r>
        <w:lastRenderedPageBreak/>
        <w:t xml:space="preserve">Table </w:t>
      </w:r>
      <w:r w:rsidR="00741986">
        <w:fldChar w:fldCharType="begin"/>
      </w:r>
      <w:r w:rsidR="00741986">
        <w:instrText xml:space="preserve"> SEQ Table \* ARABIC </w:instrText>
      </w:r>
      <w:r w:rsidR="00741986">
        <w:fldChar w:fldCharType="separate"/>
      </w:r>
      <w:r w:rsidR="005938A4">
        <w:rPr>
          <w:noProof/>
        </w:rPr>
        <w:t>11</w:t>
      </w:r>
      <w:r w:rsidR="00741986">
        <w:rPr>
          <w:noProof/>
        </w:rPr>
        <w:fldChar w:fldCharType="end"/>
      </w:r>
      <w:bookmarkEnd w:id="59"/>
      <w:r>
        <w:t xml:space="preserve">: </w:t>
      </w:r>
      <w:r w:rsidR="005805CF">
        <w:t xml:space="preserve">Study 265 </w:t>
      </w:r>
      <w:r w:rsidR="006D626B" w:rsidRPr="00A461D2">
        <w:t>Common treatment emergent adverse events experienced by 5% or greater of subjects</w:t>
      </w:r>
      <w:bookmarkEnd w:id="60"/>
    </w:p>
    <w:p w14:paraId="609B07AA" w14:textId="1447CC98" w:rsidR="00A461D2" w:rsidRDefault="00771FAC" w:rsidP="00936FF6">
      <w:r>
        <w:rPr>
          <w:noProof/>
          <w:lang w:eastAsia="en-AU"/>
        </w:rPr>
        <w:drawing>
          <wp:inline distT="0" distB="0" distL="0" distR="0" wp14:anchorId="7D411D27" wp14:editId="47234FA8">
            <wp:extent cx="5400675" cy="6219825"/>
            <wp:effectExtent l="0" t="0" r="9525" b="9525"/>
            <wp:docPr id="14" name="Picture 14" descr="This shows the porportion of patients in both treatment arms (ABP 215 and bevacuizumab) suffering from the top 31 adverse events. 93.5-95.1% of all patients suffered form any adverse event. The top 5 were alopecia, nausea, anaemia, neutropenia nad fatigue." title="Common treatment emergent adverse events experienced by 5% or greater of subjects in Study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inline>
        </w:drawing>
      </w:r>
    </w:p>
    <w:p w14:paraId="2180AA41" w14:textId="1FC7814E" w:rsidR="00E76E29" w:rsidRDefault="00E76E29" w:rsidP="00DA4371">
      <w:pPr>
        <w:pStyle w:val="TableDescription"/>
      </w:pPr>
      <w:r>
        <w:t>Source: EPAR for Mvasi.</w:t>
      </w:r>
      <w:r>
        <w:fldChar w:fldCharType="begin"/>
      </w:r>
      <w:r>
        <w:instrText xml:space="preserve"> NOTEREF _Ref54263280 \f \h  \* MERGEFORMAT </w:instrText>
      </w:r>
      <w:r>
        <w:fldChar w:fldCharType="separate"/>
      </w:r>
      <w:r w:rsidR="005938A4" w:rsidRPr="005938A4">
        <w:rPr>
          <w:rStyle w:val="FootnoteReference"/>
        </w:rPr>
        <w:t>5</w:t>
      </w:r>
      <w:r>
        <w:fldChar w:fldCharType="end"/>
      </w:r>
    </w:p>
    <w:p w14:paraId="1D73B28D" w14:textId="411B6A37" w:rsidR="00093967" w:rsidRDefault="00B4560A" w:rsidP="00B4560A">
      <w:r>
        <w:t xml:space="preserve">In addition, the US label for </w:t>
      </w:r>
      <w:r w:rsidR="00FF2F8F">
        <w:t>Mvasi</w:t>
      </w:r>
      <w:r>
        <w:t xml:space="preserve"> was reviewed to consider post-market data from Avastin prescribing. According to this, the m</w:t>
      </w:r>
      <w:r w:rsidRPr="007A422D">
        <w:t>ost common adverse reactions</w:t>
      </w:r>
      <w:r>
        <w:t xml:space="preserve"> (with an incidence</w:t>
      </w:r>
      <w:r w:rsidR="00093967">
        <w:t xml:space="preserve"> of at least </w:t>
      </w:r>
      <w:r w:rsidRPr="007A422D">
        <w:t>10% and at least twice the control arm rate)</w:t>
      </w:r>
      <w:r>
        <w:t xml:space="preserve"> to </w:t>
      </w:r>
      <w:r w:rsidR="00FF2F8F">
        <w:t>Mvasi</w:t>
      </w:r>
      <w:r w:rsidRPr="007A422D">
        <w:t xml:space="preserve"> are</w:t>
      </w:r>
      <w:r>
        <w:t>:</w:t>
      </w:r>
      <w:r w:rsidRPr="007A422D">
        <w:t xml:space="preserve"> epistaxis, headache, hypertension, rhinitis, proteinuria, taste alteration, dry skin, rectal ha</w:t>
      </w:r>
      <w:r>
        <w:t>e</w:t>
      </w:r>
      <w:r w:rsidRPr="007A422D">
        <w:t>morrhage, lacrimation disorder, back pain and exfoliative dermatitis</w:t>
      </w:r>
      <w:r w:rsidR="00E76E29">
        <w:t>.</w:t>
      </w:r>
      <w:r w:rsidR="003A1481">
        <w:rPr>
          <w:rStyle w:val="FootnoteReference"/>
        </w:rPr>
        <w:footnoteReference w:id="7"/>
      </w:r>
    </w:p>
    <w:p w14:paraId="3A159F40" w14:textId="53C68FDA" w:rsidR="005F0AF5" w:rsidRDefault="00093967" w:rsidP="00936FF6">
      <w:pPr>
        <w:keepNext/>
      </w:pPr>
      <w:r>
        <w:lastRenderedPageBreak/>
        <w:t>Supporting the above, t</w:t>
      </w:r>
      <w:r w:rsidR="00B4560A">
        <w:t xml:space="preserve">he FDA has </w:t>
      </w:r>
      <w:r w:rsidR="00E76E29">
        <w:t>the following</w:t>
      </w:r>
      <w:r w:rsidR="0099391C">
        <w:t xml:space="preserve"> </w:t>
      </w:r>
      <w:r w:rsidR="00B4560A">
        <w:t>boxed warning</w:t>
      </w:r>
      <w:r w:rsidR="003A1481">
        <w:rPr>
          <w:rStyle w:val="FootnoteReference"/>
        </w:rPr>
        <w:t xml:space="preserve"> </w:t>
      </w:r>
      <w:r w:rsidR="00B4560A">
        <w:t xml:space="preserve">for </w:t>
      </w:r>
      <w:r w:rsidR="00FF2F8F">
        <w:t>Mvasi</w:t>
      </w:r>
      <w:r w:rsidR="00B4560A">
        <w:t xml:space="preserve"> regarding gastrointestinal perforations, surgery and wound healing complications and haemorrhage</w:t>
      </w:r>
      <w:r w:rsidR="00E76E29">
        <w:t>:</w:t>
      </w:r>
    </w:p>
    <w:p w14:paraId="580B2681" w14:textId="77777777" w:rsidR="005F0AF5" w:rsidRDefault="005F0AF5" w:rsidP="008369D4">
      <w:pPr>
        <w:ind w:left="720"/>
      </w:pPr>
      <w:r>
        <w:t>‘WARNING: GASTROINTESTINAL PERFORATIONS, SURGERY AND WOUND HEALING COMPLICATIONS, and HEMORRHAGE</w:t>
      </w:r>
    </w:p>
    <w:p w14:paraId="3ED110BF" w14:textId="77777777" w:rsidR="005F0AF5" w:rsidRPr="008369D4" w:rsidRDefault="005F0AF5" w:rsidP="008369D4">
      <w:pPr>
        <w:ind w:left="720"/>
        <w:rPr>
          <w:i/>
        </w:rPr>
      </w:pPr>
      <w:r w:rsidRPr="008369D4">
        <w:rPr>
          <w:i/>
        </w:rPr>
        <w:t>See full prescribing information for complete boxed warning.</w:t>
      </w:r>
    </w:p>
    <w:p w14:paraId="757C4481" w14:textId="2B0C6616" w:rsidR="005F0AF5" w:rsidRDefault="005F0AF5" w:rsidP="008369D4">
      <w:pPr>
        <w:pStyle w:val="ListBullet"/>
        <w:ind w:left="1080"/>
      </w:pPr>
      <w:r>
        <w:t>Gastrointestinal Perforation: Occurs in up to 3.2% of bevacizumab product-treated patients. Discontinue Mvasi for gastrointestinal perforation. (5.1)</w:t>
      </w:r>
    </w:p>
    <w:p w14:paraId="3B5CEFE4" w14:textId="1B61079D" w:rsidR="005F0AF5" w:rsidRDefault="005F0AF5" w:rsidP="008369D4">
      <w:pPr>
        <w:pStyle w:val="ListBullet"/>
        <w:ind w:left="1080"/>
      </w:pPr>
      <w:r>
        <w:t>Surgery and Wound Healing Complications: Discontinue in patients with wound dehiscence. Discontinue at least 28 days prior to elective surgery. Do not initiate Mvasi for at least 28 days after surgery and until the surgical wound is fully healed. (5.3)</w:t>
      </w:r>
    </w:p>
    <w:p w14:paraId="582CE870" w14:textId="0389902A" w:rsidR="00FF05D4" w:rsidRDefault="005F0AF5" w:rsidP="008369D4">
      <w:pPr>
        <w:pStyle w:val="ListBullet"/>
        <w:ind w:left="1080"/>
      </w:pPr>
      <w:r>
        <w:t>Hemorrhage: Severe or fatal hemorrhage, hemoptysis, gastrointestinal bleeding, CNS hemorrhage, and vaginal bleeding are increased in bevacizumab product-treated patients. Do not administer Mvasi to patients with serious hemorrhage or recent hemoptysis. (5.4)’</w:t>
      </w:r>
    </w:p>
    <w:p w14:paraId="0DEAA8AA" w14:textId="33AEA690" w:rsidR="00B4560A" w:rsidRPr="00D770E8" w:rsidRDefault="00B4560A" w:rsidP="00A80FF9">
      <w:pPr>
        <w:pStyle w:val="Heading5"/>
      </w:pPr>
      <w:r w:rsidRPr="00D770E8">
        <w:t xml:space="preserve">Grade 5 </w:t>
      </w:r>
      <w:r w:rsidR="0090056C">
        <w:rPr>
          <w:lang w:eastAsia="ja-JP"/>
        </w:rPr>
        <w:t>t</w:t>
      </w:r>
      <w:r w:rsidR="00F4384D">
        <w:rPr>
          <w:lang w:eastAsia="ja-JP"/>
        </w:rPr>
        <w:t>reatment</w:t>
      </w:r>
      <w:r w:rsidR="0090056C">
        <w:rPr>
          <w:lang w:eastAsia="ja-JP"/>
        </w:rPr>
        <w:t>-e</w:t>
      </w:r>
      <w:r w:rsidR="00F4384D">
        <w:rPr>
          <w:lang w:eastAsia="ja-JP"/>
        </w:rPr>
        <w:t xml:space="preserve">mergent </w:t>
      </w:r>
      <w:r w:rsidR="0090056C">
        <w:rPr>
          <w:lang w:eastAsia="ja-JP"/>
        </w:rPr>
        <w:t>a</w:t>
      </w:r>
      <w:r w:rsidR="00F4384D">
        <w:rPr>
          <w:lang w:eastAsia="ja-JP"/>
        </w:rPr>
        <w:t xml:space="preserve">dverse </w:t>
      </w:r>
      <w:r w:rsidR="0090056C">
        <w:rPr>
          <w:lang w:eastAsia="ja-JP"/>
        </w:rPr>
        <w:t>e</w:t>
      </w:r>
      <w:r w:rsidR="00F4384D">
        <w:rPr>
          <w:lang w:eastAsia="ja-JP"/>
        </w:rPr>
        <w:t>vent</w:t>
      </w:r>
      <w:r w:rsidRPr="00D770E8">
        <w:t>s</w:t>
      </w:r>
    </w:p>
    <w:p w14:paraId="7E5530CF" w14:textId="0FE00EA0" w:rsidR="00B4560A" w:rsidRDefault="00B4560A" w:rsidP="00B4560A">
      <w:r>
        <w:t xml:space="preserve">There were 24 deaths in total in </w:t>
      </w:r>
      <w:r w:rsidR="00BA0ECC">
        <w:t>S</w:t>
      </w:r>
      <w:r>
        <w:t>tudy 265. The EMA evaluator considered the case narratives and summarised their findings</w:t>
      </w:r>
      <w:r w:rsidR="005B1896">
        <w:t xml:space="preserve"> in page 74 of the EMA assessment report</w:t>
      </w:r>
      <w:r w:rsidR="00D00D26">
        <w:t>:</w:t>
      </w:r>
      <w:r w:rsidR="005B1896" w:rsidRPr="00A80FF9">
        <w:rPr>
          <w:vertAlign w:val="superscript"/>
        </w:rPr>
        <w:fldChar w:fldCharType="begin"/>
      </w:r>
      <w:r w:rsidR="005B1896" w:rsidRPr="00A80FF9">
        <w:rPr>
          <w:vertAlign w:val="superscript"/>
        </w:rPr>
        <w:instrText xml:space="preserve"> NOTEREF _Ref53752580 \h </w:instrText>
      </w:r>
      <w:r w:rsidR="005B1896">
        <w:rPr>
          <w:vertAlign w:val="superscript"/>
        </w:rPr>
        <w:instrText xml:space="preserve"> \* MERGEFORMAT </w:instrText>
      </w:r>
      <w:r w:rsidR="005B1896" w:rsidRPr="00A80FF9">
        <w:rPr>
          <w:vertAlign w:val="superscript"/>
        </w:rPr>
      </w:r>
      <w:r w:rsidR="005B1896" w:rsidRPr="00A80FF9">
        <w:rPr>
          <w:vertAlign w:val="superscript"/>
        </w:rPr>
        <w:fldChar w:fldCharType="separate"/>
      </w:r>
      <w:r w:rsidR="005938A4">
        <w:rPr>
          <w:vertAlign w:val="superscript"/>
        </w:rPr>
        <w:t>5</w:t>
      </w:r>
      <w:r w:rsidR="005B1896" w:rsidRPr="00A80FF9">
        <w:rPr>
          <w:vertAlign w:val="superscript"/>
        </w:rPr>
        <w:fldChar w:fldCharType="end"/>
      </w:r>
    </w:p>
    <w:p w14:paraId="6303B7FE" w14:textId="74F8EAC3" w:rsidR="005C0873" w:rsidRDefault="00B4560A" w:rsidP="002F6056">
      <w:pPr>
        <w:pStyle w:val="ListBullet"/>
        <w:spacing w:before="60" w:after="60"/>
        <w:ind w:left="357" w:hanging="357"/>
      </w:pPr>
      <w:r w:rsidRPr="00C03F42">
        <w:t xml:space="preserve">4 fatal TEAEs were reported as related to the </w:t>
      </w:r>
      <w:r>
        <w:t>investigational product (</w:t>
      </w:r>
      <w:r w:rsidRPr="00C03F42">
        <w:t>IP</w:t>
      </w:r>
      <w:r>
        <w:t>)</w:t>
      </w:r>
      <w:r w:rsidRPr="00C03F42">
        <w:t xml:space="preserve"> - 2 in the ABP 215 group (Intestinal perforation and Rectal Haemorrhage) and 2 in the bevacizumab group (Haemoptysis and Bronchial fistula)</w:t>
      </w:r>
    </w:p>
    <w:p w14:paraId="725BEB2D" w14:textId="0C53204C" w:rsidR="005C0873" w:rsidRDefault="00B4560A" w:rsidP="002F6056">
      <w:pPr>
        <w:pStyle w:val="ListBullet"/>
        <w:spacing w:before="60" w:after="60"/>
        <w:ind w:left="357" w:hanging="357"/>
      </w:pPr>
      <w:r w:rsidRPr="00C03F42">
        <w:t>2 fatal TEAEs were reported as related to the IP, paclitaxel and carboplatin – 2 in the ABP 215 group (Rectal haemorrhage and Ischaemic cerebral infarction)</w:t>
      </w:r>
    </w:p>
    <w:p w14:paraId="27222B83" w14:textId="6C0AC339" w:rsidR="005C0873" w:rsidRDefault="00B4560A" w:rsidP="002F6056">
      <w:pPr>
        <w:pStyle w:val="ListBullet"/>
        <w:spacing w:before="60" w:after="60"/>
        <w:ind w:left="357" w:hanging="357"/>
      </w:pPr>
      <w:r w:rsidRPr="00C03F42">
        <w:t>1 fatal TEAE was reported as related to paclitaxel and carboplatin in the ABP 215 treatment group (thrombocytopenia)</w:t>
      </w:r>
    </w:p>
    <w:p w14:paraId="23D93247" w14:textId="07AC5D1C" w:rsidR="00B4560A" w:rsidRPr="00D770E8" w:rsidRDefault="00B4560A" w:rsidP="002F6056">
      <w:pPr>
        <w:pStyle w:val="ListBullet"/>
        <w:spacing w:before="60" w:after="60"/>
        <w:ind w:left="357" w:hanging="357"/>
      </w:pPr>
      <w:r w:rsidRPr="00C03F42">
        <w:t>The remaining 17 fatal TEAEs were reported as not related to the IP, paclitaxel or carboplatin</w:t>
      </w:r>
      <w:r w:rsidR="005C0873">
        <w:t xml:space="preserve"> a</w:t>
      </w:r>
      <w:r w:rsidRPr="00D770E8">
        <w:t>dverse events of special interest</w:t>
      </w:r>
      <w:r w:rsidR="005B1896">
        <w:t>.</w:t>
      </w:r>
    </w:p>
    <w:p w14:paraId="2B24FFA5" w14:textId="6E11DE19" w:rsidR="005C0873" w:rsidRDefault="00B4560A" w:rsidP="0099391C">
      <w:pPr>
        <w:rPr>
          <w:noProof/>
          <w:lang w:eastAsia="en-AU"/>
        </w:rPr>
      </w:pPr>
      <w:r>
        <w:rPr>
          <w:noProof/>
          <w:lang w:eastAsia="en-AU"/>
        </w:rPr>
        <w:t>The EMA report listed several adverse events of special interest</w:t>
      </w:r>
      <w:r w:rsidR="0090056C">
        <w:rPr>
          <w:noProof/>
          <w:lang w:eastAsia="en-AU"/>
        </w:rPr>
        <w:t xml:space="preserve"> (AESI)</w:t>
      </w:r>
      <w:r w:rsidR="005C0873">
        <w:rPr>
          <w:noProof/>
          <w:lang w:eastAsia="en-AU"/>
        </w:rPr>
        <w:t xml:space="preserve"> in pages 70 to 72</w:t>
      </w:r>
      <w:r w:rsidR="00D00D26">
        <w:rPr>
          <w:noProof/>
          <w:lang w:eastAsia="en-AU"/>
        </w:rPr>
        <w:t>.</w:t>
      </w:r>
      <w:r w:rsidR="005C0873" w:rsidRPr="00A80FF9">
        <w:rPr>
          <w:noProof/>
          <w:vertAlign w:val="superscript"/>
          <w:lang w:eastAsia="en-AU"/>
        </w:rPr>
        <w:fldChar w:fldCharType="begin"/>
      </w:r>
      <w:r w:rsidR="005C0873" w:rsidRPr="00A80FF9">
        <w:rPr>
          <w:noProof/>
          <w:vertAlign w:val="superscript"/>
          <w:lang w:eastAsia="en-AU"/>
        </w:rPr>
        <w:instrText xml:space="preserve"> NOTEREF _Ref53752580 \h </w:instrText>
      </w:r>
      <w:r w:rsidR="005C0873">
        <w:rPr>
          <w:noProof/>
          <w:vertAlign w:val="superscript"/>
          <w:lang w:eastAsia="en-AU"/>
        </w:rPr>
        <w:instrText xml:space="preserve"> \* MERGEFORMAT </w:instrText>
      </w:r>
      <w:r w:rsidR="005C0873" w:rsidRPr="00A80FF9">
        <w:rPr>
          <w:noProof/>
          <w:vertAlign w:val="superscript"/>
          <w:lang w:eastAsia="en-AU"/>
        </w:rPr>
      </w:r>
      <w:r w:rsidR="005C0873" w:rsidRPr="00A80FF9">
        <w:rPr>
          <w:noProof/>
          <w:vertAlign w:val="superscript"/>
          <w:lang w:eastAsia="en-AU"/>
        </w:rPr>
        <w:fldChar w:fldCharType="separate"/>
      </w:r>
      <w:r w:rsidR="005938A4">
        <w:rPr>
          <w:noProof/>
          <w:vertAlign w:val="superscript"/>
          <w:lang w:eastAsia="en-AU"/>
        </w:rPr>
        <w:t>5</w:t>
      </w:r>
      <w:r w:rsidR="005C0873" w:rsidRPr="00A80FF9">
        <w:rPr>
          <w:noProof/>
          <w:vertAlign w:val="superscript"/>
          <w:lang w:eastAsia="en-AU"/>
        </w:rPr>
        <w:fldChar w:fldCharType="end"/>
      </w:r>
      <w:r>
        <w:rPr>
          <w:noProof/>
          <w:lang w:eastAsia="en-AU"/>
        </w:rPr>
        <w:t xml:space="preserve"> These were identified based on the mechanism of action and the clinical data available in prescribing information for Avastin</w:t>
      </w:r>
      <w:r w:rsidR="005C0873">
        <w:rPr>
          <w:noProof/>
          <w:lang w:eastAsia="en-AU"/>
        </w:rPr>
        <w:t>.</w:t>
      </w:r>
      <w:r w:rsidR="00325037">
        <w:rPr>
          <w:noProof/>
          <w:lang w:eastAsia="en-AU"/>
        </w:rPr>
        <w:fldChar w:fldCharType="begin"/>
      </w:r>
      <w:r w:rsidR="00325037">
        <w:rPr>
          <w:noProof/>
          <w:lang w:eastAsia="en-AU"/>
        </w:rPr>
        <w:instrText xml:space="preserve"> REF _Ref54103978 \h </w:instrText>
      </w:r>
      <w:r w:rsidR="00325037">
        <w:rPr>
          <w:noProof/>
          <w:lang w:eastAsia="en-AU"/>
        </w:rPr>
      </w:r>
      <w:r w:rsidR="00325037">
        <w:rPr>
          <w:noProof/>
          <w:lang w:eastAsia="en-AU"/>
        </w:rPr>
        <w:fldChar w:fldCharType="separate"/>
      </w:r>
      <w:r w:rsidR="005938A4">
        <w:t xml:space="preserve">Table </w:t>
      </w:r>
      <w:r w:rsidR="005938A4">
        <w:rPr>
          <w:noProof/>
        </w:rPr>
        <w:t>12</w:t>
      </w:r>
      <w:r w:rsidR="00325037">
        <w:rPr>
          <w:noProof/>
          <w:lang w:eastAsia="en-AU"/>
        </w:rPr>
        <w:fldChar w:fldCharType="end"/>
      </w:r>
      <w:r w:rsidR="005C0873">
        <w:rPr>
          <w:noProof/>
          <w:lang w:eastAsia="en-AU"/>
        </w:rPr>
        <w:t xml:space="preserve"> </w:t>
      </w:r>
      <w:r>
        <w:rPr>
          <w:noProof/>
          <w:lang w:eastAsia="en-AU"/>
        </w:rPr>
        <w:t>summarises the incidence of AESIs.</w:t>
      </w:r>
      <w:r w:rsidRPr="00D87B40">
        <w:rPr>
          <w:noProof/>
          <w:lang w:eastAsia="en-AU"/>
        </w:rPr>
        <w:t xml:space="preserve"> </w:t>
      </w:r>
      <w:r>
        <w:rPr>
          <w:noProof/>
          <w:lang w:eastAsia="en-AU"/>
        </w:rPr>
        <w:t>It includes data</w:t>
      </w:r>
      <w:r w:rsidRPr="0007742D">
        <w:rPr>
          <w:noProof/>
          <w:lang w:eastAsia="en-AU"/>
        </w:rPr>
        <w:t xml:space="preserve"> based on the safety analysis population, the 633 s</w:t>
      </w:r>
      <w:r w:rsidR="000F0562">
        <w:rPr>
          <w:noProof/>
          <w:lang w:eastAsia="en-AU"/>
        </w:rPr>
        <w:t xml:space="preserve">ubjects who received at least one </w:t>
      </w:r>
      <w:r w:rsidRPr="0007742D">
        <w:rPr>
          <w:noProof/>
          <w:lang w:eastAsia="en-AU"/>
        </w:rPr>
        <w:t>dose of ABP 215 or Avastin. It is slightly smaller than the ITT</w:t>
      </w:r>
      <w:r w:rsidR="0090056C">
        <w:rPr>
          <w:noProof/>
          <w:lang w:eastAsia="en-AU"/>
        </w:rPr>
        <w:t> </w:t>
      </w:r>
      <w:r w:rsidRPr="0007742D">
        <w:rPr>
          <w:noProof/>
          <w:lang w:eastAsia="en-AU"/>
        </w:rPr>
        <w:t>population of 642 subjects.</w:t>
      </w:r>
    </w:p>
    <w:p w14:paraId="1D388732" w14:textId="1DFBE2A7" w:rsidR="000F0562" w:rsidRDefault="004B435F" w:rsidP="00A80FF9">
      <w:pPr>
        <w:pStyle w:val="TableTitle"/>
      </w:pPr>
      <w:bookmarkStart w:id="61" w:name="_Ref54103978"/>
      <w:r>
        <w:t xml:space="preserve">Table </w:t>
      </w:r>
      <w:r w:rsidR="00741986">
        <w:fldChar w:fldCharType="begin"/>
      </w:r>
      <w:r w:rsidR="00741986">
        <w:instrText xml:space="preserve"> SEQ Table \* ARABIC </w:instrText>
      </w:r>
      <w:r w:rsidR="00741986">
        <w:fldChar w:fldCharType="separate"/>
      </w:r>
      <w:r w:rsidR="005938A4">
        <w:rPr>
          <w:noProof/>
        </w:rPr>
        <w:t>12</w:t>
      </w:r>
      <w:r w:rsidR="00741986">
        <w:rPr>
          <w:noProof/>
        </w:rPr>
        <w:fldChar w:fldCharType="end"/>
      </w:r>
      <w:bookmarkEnd w:id="61"/>
      <w:r>
        <w:t xml:space="preserve">: Summary </w:t>
      </w:r>
      <w:r w:rsidR="000F0562">
        <w:t>of adverse events of special interest from EMA Report of Mvasi</w:t>
      </w:r>
    </w:p>
    <w:tbl>
      <w:tblPr>
        <w:tblStyle w:val="TableTGAblue"/>
        <w:tblW w:w="8755" w:type="dxa"/>
        <w:tblLook w:val="04A0" w:firstRow="1" w:lastRow="0" w:firstColumn="1" w:lastColumn="0" w:noHBand="0" w:noVBand="1"/>
      </w:tblPr>
      <w:tblGrid>
        <w:gridCol w:w="3652"/>
        <w:gridCol w:w="2552"/>
        <w:gridCol w:w="2551"/>
      </w:tblGrid>
      <w:tr w:rsidR="00771FAC" w14:paraId="65842371" w14:textId="77777777" w:rsidTr="001E2D94">
        <w:trPr>
          <w:cnfStyle w:val="100000000000" w:firstRow="1" w:lastRow="0" w:firstColumn="0" w:lastColumn="0" w:oddVBand="0" w:evenVBand="0" w:oddHBand="0" w:evenHBand="0" w:firstRowFirstColumn="0" w:firstRowLastColumn="0" w:lastRowFirstColumn="0" w:lastRowLastColumn="0"/>
        </w:trPr>
        <w:tc>
          <w:tcPr>
            <w:tcW w:w="3652" w:type="dxa"/>
            <w:tcBorders>
              <w:top w:val="single" w:sz="4" w:space="0" w:color="auto"/>
              <w:left w:val="single" w:sz="4" w:space="0" w:color="auto"/>
              <w:bottom w:val="single" w:sz="4" w:space="0" w:color="auto"/>
              <w:right w:val="single" w:sz="4" w:space="0" w:color="auto"/>
            </w:tcBorders>
          </w:tcPr>
          <w:p w14:paraId="5106CB94" w14:textId="446854CF" w:rsidR="00771FAC" w:rsidRPr="00203056" w:rsidRDefault="00203056" w:rsidP="00B448F3">
            <w:pPr>
              <w:ind w:left="0" w:right="0"/>
            </w:pPr>
            <w:r w:rsidRPr="00203056">
              <w:rPr>
                <w:noProof/>
              </w:rPr>
              <w:t>Adverse event of special interest</w:t>
            </w:r>
          </w:p>
        </w:tc>
        <w:tc>
          <w:tcPr>
            <w:tcW w:w="2552" w:type="dxa"/>
            <w:tcBorders>
              <w:top w:val="single" w:sz="4" w:space="0" w:color="auto"/>
              <w:left w:val="single" w:sz="4" w:space="0" w:color="auto"/>
              <w:bottom w:val="single" w:sz="4" w:space="0" w:color="auto"/>
              <w:right w:val="single" w:sz="4" w:space="0" w:color="auto"/>
            </w:tcBorders>
          </w:tcPr>
          <w:p w14:paraId="65760542" w14:textId="77777777" w:rsidR="00203056" w:rsidRPr="001E2D94" w:rsidRDefault="00203056" w:rsidP="0090056C">
            <w:pPr>
              <w:ind w:left="0"/>
              <w:rPr>
                <w:noProof/>
              </w:rPr>
            </w:pPr>
            <w:r w:rsidRPr="00203056">
              <w:rPr>
                <w:noProof/>
              </w:rPr>
              <w:t>Incidence of event in the safety analysis population exposed to Mvasi</w:t>
            </w:r>
          </w:p>
          <w:p w14:paraId="0CBCC137" w14:textId="62ED3DC6" w:rsidR="00771FAC" w:rsidRPr="00203056" w:rsidRDefault="00203056" w:rsidP="00203056">
            <w:pPr>
              <w:ind w:left="0" w:right="0"/>
            </w:pPr>
            <w:r w:rsidRPr="00203056">
              <w:rPr>
                <w:noProof/>
              </w:rPr>
              <w:t>N = 324</w:t>
            </w:r>
          </w:p>
        </w:tc>
        <w:tc>
          <w:tcPr>
            <w:tcW w:w="2551" w:type="dxa"/>
            <w:tcBorders>
              <w:top w:val="single" w:sz="4" w:space="0" w:color="auto"/>
              <w:left w:val="single" w:sz="4" w:space="0" w:color="auto"/>
              <w:bottom w:val="single" w:sz="4" w:space="0" w:color="auto"/>
              <w:right w:val="single" w:sz="4" w:space="0" w:color="auto"/>
            </w:tcBorders>
          </w:tcPr>
          <w:p w14:paraId="0D3D6A05" w14:textId="3B7C45AF" w:rsidR="00203056" w:rsidRPr="001E2D94" w:rsidRDefault="00203056" w:rsidP="00CB79EC">
            <w:pPr>
              <w:ind w:left="0"/>
              <w:rPr>
                <w:noProof/>
              </w:rPr>
            </w:pPr>
            <w:r w:rsidRPr="00203056">
              <w:rPr>
                <w:noProof/>
              </w:rPr>
              <w:t xml:space="preserve">Incidence of event in the safety analysis population exposed to </w:t>
            </w:r>
            <w:r w:rsidR="005F690B">
              <w:rPr>
                <w:noProof/>
              </w:rPr>
              <w:t>Avastin</w:t>
            </w:r>
          </w:p>
          <w:p w14:paraId="404D034B" w14:textId="298A295C" w:rsidR="00771FAC" w:rsidRPr="00203056" w:rsidRDefault="00203056" w:rsidP="00203056">
            <w:pPr>
              <w:ind w:left="0" w:right="0"/>
            </w:pPr>
            <w:r w:rsidRPr="00203056">
              <w:rPr>
                <w:noProof/>
              </w:rPr>
              <w:t xml:space="preserve">N = </w:t>
            </w:r>
            <w:r w:rsidR="008073BB">
              <w:rPr>
                <w:noProof/>
              </w:rPr>
              <w:t>309</w:t>
            </w:r>
          </w:p>
        </w:tc>
      </w:tr>
      <w:tr w:rsidR="00203056" w14:paraId="60515242" w14:textId="77777777" w:rsidTr="001E2D94">
        <w:tc>
          <w:tcPr>
            <w:tcW w:w="3652" w:type="dxa"/>
            <w:tcBorders>
              <w:top w:val="single" w:sz="4" w:space="0" w:color="auto"/>
            </w:tcBorders>
          </w:tcPr>
          <w:p w14:paraId="1950A608" w14:textId="6885CFDE" w:rsidR="00203056" w:rsidRDefault="00203056" w:rsidP="00203056">
            <w:pPr>
              <w:ind w:left="0" w:right="0"/>
            </w:pPr>
            <w:r w:rsidRPr="00081E3C">
              <w:rPr>
                <w:noProof/>
              </w:rPr>
              <w:t>Infusion reaction adverse events</w:t>
            </w:r>
          </w:p>
        </w:tc>
        <w:tc>
          <w:tcPr>
            <w:tcW w:w="2552" w:type="dxa"/>
            <w:tcBorders>
              <w:top w:val="single" w:sz="4" w:space="0" w:color="auto"/>
            </w:tcBorders>
          </w:tcPr>
          <w:p w14:paraId="45FE3DAC" w14:textId="7084589A" w:rsidR="00203056" w:rsidRDefault="00203056" w:rsidP="00203056">
            <w:pPr>
              <w:ind w:left="0" w:right="0"/>
            </w:pPr>
            <w:r>
              <w:rPr>
                <w:noProof/>
              </w:rPr>
              <w:t>133 (41%)</w:t>
            </w:r>
          </w:p>
        </w:tc>
        <w:tc>
          <w:tcPr>
            <w:tcW w:w="2551" w:type="dxa"/>
            <w:tcBorders>
              <w:top w:val="single" w:sz="4" w:space="0" w:color="auto"/>
            </w:tcBorders>
          </w:tcPr>
          <w:p w14:paraId="4590D53D" w14:textId="20480DCC" w:rsidR="00203056" w:rsidRDefault="00203056" w:rsidP="00203056">
            <w:pPr>
              <w:ind w:left="0" w:right="0"/>
            </w:pPr>
            <w:r>
              <w:rPr>
                <w:noProof/>
              </w:rPr>
              <w:t>125 (40.5%)</w:t>
            </w:r>
          </w:p>
        </w:tc>
      </w:tr>
      <w:tr w:rsidR="00203056" w14:paraId="792CD8F7" w14:textId="77777777" w:rsidTr="001E2D94">
        <w:tc>
          <w:tcPr>
            <w:tcW w:w="3652" w:type="dxa"/>
          </w:tcPr>
          <w:p w14:paraId="2ACDAAA9" w14:textId="23028F7E" w:rsidR="00203056" w:rsidRDefault="00203056" w:rsidP="00203056">
            <w:pPr>
              <w:ind w:left="0" w:right="0"/>
            </w:pPr>
            <w:r w:rsidRPr="00081E3C">
              <w:rPr>
                <w:noProof/>
              </w:rPr>
              <w:t>Peripheral sensory neuropathy adverse events</w:t>
            </w:r>
          </w:p>
        </w:tc>
        <w:tc>
          <w:tcPr>
            <w:tcW w:w="2552" w:type="dxa"/>
          </w:tcPr>
          <w:p w14:paraId="2F18D276" w14:textId="3447AD0A" w:rsidR="00203056" w:rsidRDefault="00203056" w:rsidP="00203056">
            <w:pPr>
              <w:ind w:left="0" w:right="0"/>
            </w:pPr>
            <w:r>
              <w:rPr>
                <w:noProof/>
              </w:rPr>
              <w:t>97 (29.9%)</w:t>
            </w:r>
          </w:p>
        </w:tc>
        <w:tc>
          <w:tcPr>
            <w:tcW w:w="2551" w:type="dxa"/>
          </w:tcPr>
          <w:p w14:paraId="664ED421" w14:textId="3CC6316C" w:rsidR="00203056" w:rsidRDefault="00203056" w:rsidP="00203056">
            <w:pPr>
              <w:ind w:left="0" w:right="0"/>
            </w:pPr>
            <w:r>
              <w:rPr>
                <w:noProof/>
              </w:rPr>
              <w:t>78 (25.2%)</w:t>
            </w:r>
          </w:p>
        </w:tc>
      </w:tr>
      <w:tr w:rsidR="00203056" w14:paraId="0EFADB23" w14:textId="77777777" w:rsidTr="00771FAC">
        <w:tc>
          <w:tcPr>
            <w:tcW w:w="3652" w:type="dxa"/>
          </w:tcPr>
          <w:p w14:paraId="18AFBE1F" w14:textId="0C078476" w:rsidR="00203056" w:rsidRPr="00081E3C" w:rsidRDefault="00203056" w:rsidP="001E2D94">
            <w:pPr>
              <w:ind w:left="0"/>
              <w:rPr>
                <w:noProof/>
              </w:rPr>
            </w:pPr>
            <w:r w:rsidRPr="00081E3C">
              <w:rPr>
                <w:noProof/>
              </w:rPr>
              <w:t>Neutrop</w:t>
            </w:r>
            <w:r w:rsidR="0090056C">
              <w:rPr>
                <w:noProof/>
              </w:rPr>
              <w:t>a</w:t>
            </w:r>
            <w:r w:rsidRPr="00081E3C">
              <w:rPr>
                <w:noProof/>
              </w:rPr>
              <w:t>enia and infection adverse events</w:t>
            </w:r>
          </w:p>
        </w:tc>
        <w:tc>
          <w:tcPr>
            <w:tcW w:w="2552" w:type="dxa"/>
          </w:tcPr>
          <w:p w14:paraId="291D6BDA" w14:textId="4DD6F9AE" w:rsidR="00203056" w:rsidRDefault="00203056" w:rsidP="001E2D94">
            <w:pPr>
              <w:ind w:left="0"/>
              <w:rPr>
                <w:noProof/>
              </w:rPr>
            </w:pPr>
            <w:r>
              <w:rPr>
                <w:noProof/>
              </w:rPr>
              <w:t>84 (25.9%)</w:t>
            </w:r>
          </w:p>
        </w:tc>
        <w:tc>
          <w:tcPr>
            <w:tcW w:w="2551" w:type="dxa"/>
          </w:tcPr>
          <w:p w14:paraId="68BF53B3" w14:textId="4B355995" w:rsidR="00203056" w:rsidRDefault="00203056" w:rsidP="001E2D94">
            <w:pPr>
              <w:ind w:left="0"/>
              <w:rPr>
                <w:noProof/>
              </w:rPr>
            </w:pPr>
            <w:r>
              <w:rPr>
                <w:noProof/>
              </w:rPr>
              <w:t>80 (25.9%)</w:t>
            </w:r>
          </w:p>
        </w:tc>
      </w:tr>
      <w:tr w:rsidR="00203056" w14:paraId="2ACFD0FF" w14:textId="77777777" w:rsidTr="00771FAC">
        <w:tc>
          <w:tcPr>
            <w:tcW w:w="3652" w:type="dxa"/>
          </w:tcPr>
          <w:p w14:paraId="62A5C597" w14:textId="58BA8D02" w:rsidR="00203056" w:rsidRPr="00081E3C" w:rsidRDefault="00203056" w:rsidP="001E2D94">
            <w:pPr>
              <w:ind w:left="0"/>
              <w:rPr>
                <w:noProof/>
              </w:rPr>
            </w:pPr>
            <w:r w:rsidRPr="00081E3C">
              <w:rPr>
                <w:noProof/>
              </w:rPr>
              <w:lastRenderedPageBreak/>
              <w:t>Thrombotic microangiopathy adverse events</w:t>
            </w:r>
          </w:p>
        </w:tc>
        <w:tc>
          <w:tcPr>
            <w:tcW w:w="2552" w:type="dxa"/>
          </w:tcPr>
          <w:p w14:paraId="0C9A1A92" w14:textId="07C06471" w:rsidR="00203056" w:rsidRDefault="00203056" w:rsidP="001E2D94">
            <w:pPr>
              <w:ind w:left="0"/>
              <w:rPr>
                <w:noProof/>
              </w:rPr>
            </w:pPr>
            <w:r>
              <w:rPr>
                <w:noProof/>
              </w:rPr>
              <w:t>76 (23.4%)</w:t>
            </w:r>
          </w:p>
        </w:tc>
        <w:tc>
          <w:tcPr>
            <w:tcW w:w="2551" w:type="dxa"/>
          </w:tcPr>
          <w:p w14:paraId="0EFA13A1" w14:textId="7AD9E6F0" w:rsidR="00203056" w:rsidRDefault="00203056" w:rsidP="001E2D94">
            <w:pPr>
              <w:ind w:left="0"/>
              <w:rPr>
                <w:noProof/>
              </w:rPr>
            </w:pPr>
            <w:r>
              <w:rPr>
                <w:noProof/>
              </w:rPr>
              <w:t>59 (19.1%)</w:t>
            </w:r>
          </w:p>
        </w:tc>
      </w:tr>
      <w:tr w:rsidR="00203056" w14:paraId="37D460F0" w14:textId="77777777" w:rsidTr="00771FAC">
        <w:tc>
          <w:tcPr>
            <w:tcW w:w="3652" w:type="dxa"/>
          </w:tcPr>
          <w:p w14:paraId="0D48A25D" w14:textId="147D859E" w:rsidR="00203056" w:rsidRPr="00081E3C" w:rsidRDefault="00203056" w:rsidP="001E2D94">
            <w:pPr>
              <w:ind w:left="0"/>
              <w:rPr>
                <w:noProof/>
              </w:rPr>
            </w:pPr>
            <w:r w:rsidRPr="00081E3C">
              <w:rPr>
                <w:noProof/>
              </w:rPr>
              <w:t>Haemorrhage adverse events</w:t>
            </w:r>
          </w:p>
        </w:tc>
        <w:tc>
          <w:tcPr>
            <w:tcW w:w="2552" w:type="dxa"/>
          </w:tcPr>
          <w:p w14:paraId="3689873A" w14:textId="2E7BBEC3" w:rsidR="00203056" w:rsidRDefault="00203056" w:rsidP="001E2D94">
            <w:pPr>
              <w:ind w:left="0"/>
              <w:rPr>
                <w:noProof/>
              </w:rPr>
            </w:pPr>
            <w:r>
              <w:rPr>
                <w:noProof/>
              </w:rPr>
              <w:t>72 (22.2%)</w:t>
            </w:r>
          </w:p>
        </w:tc>
        <w:tc>
          <w:tcPr>
            <w:tcW w:w="2551" w:type="dxa"/>
          </w:tcPr>
          <w:p w14:paraId="551593CF" w14:textId="5C5219CD" w:rsidR="00203056" w:rsidRDefault="00203056" w:rsidP="001E2D94">
            <w:pPr>
              <w:ind w:left="0"/>
              <w:rPr>
                <w:noProof/>
              </w:rPr>
            </w:pPr>
            <w:r>
              <w:rPr>
                <w:noProof/>
              </w:rPr>
              <w:t>66 (21.4%)</w:t>
            </w:r>
          </w:p>
        </w:tc>
      </w:tr>
      <w:tr w:rsidR="00203056" w14:paraId="613A33CA" w14:textId="77777777" w:rsidTr="00771FAC">
        <w:tc>
          <w:tcPr>
            <w:tcW w:w="3652" w:type="dxa"/>
          </w:tcPr>
          <w:p w14:paraId="4A625C1F" w14:textId="34617FA5" w:rsidR="00203056" w:rsidRPr="00081E3C" w:rsidRDefault="00203056" w:rsidP="001E2D94">
            <w:pPr>
              <w:ind w:left="0"/>
              <w:rPr>
                <w:noProof/>
              </w:rPr>
            </w:pPr>
            <w:r w:rsidRPr="00081E3C">
              <w:rPr>
                <w:noProof/>
              </w:rPr>
              <w:t>Pulmonary haemorrhage adverse events</w:t>
            </w:r>
          </w:p>
        </w:tc>
        <w:tc>
          <w:tcPr>
            <w:tcW w:w="2552" w:type="dxa"/>
          </w:tcPr>
          <w:p w14:paraId="3A74F3DF" w14:textId="347497DA" w:rsidR="00203056" w:rsidRDefault="00203056" w:rsidP="001E2D94">
            <w:pPr>
              <w:ind w:left="0"/>
              <w:rPr>
                <w:noProof/>
              </w:rPr>
            </w:pPr>
            <w:r>
              <w:rPr>
                <w:noProof/>
              </w:rPr>
              <w:t>14 (4.3%)</w:t>
            </w:r>
          </w:p>
        </w:tc>
        <w:tc>
          <w:tcPr>
            <w:tcW w:w="2551" w:type="dxa"/>
          </w:tcPr>
          <w:p w14:paraId="33BC7DFD" w14:textId="77F25A09" w:rsidR="00203056" w:rsidRDefault="00203056" w:rsidP="001E2D94">
            <w:pPr>
              <w:ind w:left="0"/>
              <w:rPr>
                <w:noProof/>
              </w:rPr>
            </w:pPr>
            <w:r>
              <w:rPr>
                <w:noProof/>
              </w:rPr>
              <w:t>10 (3.2%)</w:t>
            </w:r>
          </w:p>
        </w:tc>
      </w:tr>
      <w:tr w:rsidR="00203056" w14:paraId="044C2E74" w14:textId="77777777" w:rsidTr="00771FAC">
        <w:tc>
          <w:tcPr>
            <w:tcW w:w="3652" w:type="dxa"/>
          </w:tcPr>
          <w:p w14:paraId="1538749B" w14:textId="2775154A" w:rsidR="00203056" w:rsidRPr="00081E3C" w:rsidRDefault="00203056" w:rsidP="001E2D94">
            <w:pPr>
              <w:ind w:left="0"/>
              <w:rPr>
                <w:noProof/>
              </w:rPr>
            </w:pPr>
            <w:r w:rsidRPr="00081E3C">
              <w:rPr>
                <w:noProof/>
              </w:rPr>
              <w:t>Reversible posterior leukoencephalopathy syndrome adverse events</w:t>
            </w:r>
          </w:p>
        </w:tc>
        <w:tc>
          <w:tcPr>
            <w:tcW w:w="2552" w:type="dxa"/>
          </w:tcPr>
          <w:p w14:paraId="31DE23C5" w14:textId="51BE81D6" w:rsidR="00203056" w:rsidRDefault="00203056" w:rsidP="001E2D94">
            <w:pPr>
              <w:ind w:left="0"/>
              <w:rPr>
                <w:noProof/>
              </w:rPr>
            </w:pPr>
            <w:r>
              <w:rPr>
                <w:noProof/>
              </w:rPr>
              <w:t>16 (4.9%)</w:t>
            </w:r>
          </w:p>
        </w:tc>
        <w:tc>
          <w:tcPr>
            <w:tcW w:w="2551" w:type="dxa"/>
          </w:tcPr>
          <w:p w14:paraId="320EFEA8" w14:textId="1487D34D" w:rsidR="00203056" w:rsidRDefault="00203056" w:rsidP="001E2D94">
            <w:pPr>
              <w:ind w:left="0"/>
              <w:rPr>
                <w:noProof/>
              </w:rPr>
            </w:pPr>
            <w:r>
              <w:rPr>
                <w:noProof/>
              </w:rPr>
              <w:t>9 (2.9%)</w:t>
            </w:r>
          </w:p>
        </w:tc>
      </w:tr>
      <w:tr w:rsidR="00203056" w14:paraId="56F028CF" w14:textId="77777777" w:rsidTr="00771FAC">
        <w:tc>
          <w:tcPr>
            <w:tcW w:w="3652" w:type="dxa"/>
          </w:tcPr>
          <w:p w14:paraId="1A31A79C" w14:textId="39C1DB4F" w:rsidR="00203056" w:rsidRPr="00081E3C" w:rsidRDefault="00203056" w:rsidP="001E2D94">
            <w:pPr>
              <w:ind w:left="0"/>
              <w:rPr>
                <w:noProof/>
              </w:rPr>
            </w:pPr>
            <w:r w:rsidRPr="00081E3C">
              <w:rPr>
                <w:noProof/>
              </w:rPr>
              <w:t>Arterial thromboembolic adverse events</w:t>
            </w:r>
          </w:p>
        </w:tc>
        <w:tc>
          <w:tcPr>
            <w:tcW w:w="2552" w:type="dxa"/>
          </w:tcPr>
          <w:p w14:paraId="7DF7D46C" w14:textId="7C46525A" w:rsidR="00203056" w:rsidRDefault="00203056" w:rsidP="00A80FF9">
            <w:pPr>
              <w:ind w:left="0"/>
              <w:rPr>
                <w:noProof/>
              </w:rPr>
            </w:pPr>
            <w:r>
              <w:rPr>
                <w:noProof/>
              </w:rPr>
              <w:t>6 (1.9%)</w:t>
            </w:r>
          </w:p>
        </w:tc>
        <w:tc>
          <w:tcPr>
            <w:tcW w:w="2551" w:type="dxa"/>
          </w:tcPr>
          <w:p w14:paraId="279D41C0" w14:textId="77F85B81" w:rsidR="00203056" w:rsidRDefault="00203056" w:rsidP="001E2D94">
            <w:pPr>
              <w:ind w:left="0"/>
              <w:rPr>
                <w:noProof/>
              </w:rPr>
            </w:pPr>
            <w:r>
              <w:rPr>
                <w:noProof/>
              </w:rPr>
              <w:t>9 (2.9%)</w:t>
            </w:r>
          </w:p>
        </w:tc>
      </w:tr>
      <w:tr w:rsidR="00203056" w14:paraId="341B8F89" w14:textId="77777777" w:rsidTr="00771FAC">
        <w:tc>
          <w:tcPr>
            <w:tcW w:w="3652" w:type="dxa"/>
          </w:tcPr>
          <w:p w14:paraId="05913694" w14:textId="0DDB511D" w:rsidR="00203056" w:rsidRPr="00081E3C" w:rsidRDefault="00203056" w:rsidP="001E2D94">
            <w:pPr>
              <w:ind w:left="0"/>
              <w:rPr>
                <w:noProof/>
              </w:rPr>
            </w:pPr>
            <w:r w:rsidRPr="00081E3C">
              <w:rPr>
                <w:noProof/>
              </w:rPr>
              <w:t>Gastrointestinal perforation adverse events</w:t>
            </w:r>
          </w:p>
        </w:tc>
        <w:tc>
          <w:tcPr>
            <w:tcW w:w="2552" w:type="dxa"/>
          </w:tcPr>
          <w:p w14:paraId="2EE774FA" w14:textId="30D23F7B" w:rsidR="00203056" w:rsidRDefault="00203056" w:rsidP="00A80FF9">
            <w:pPr>
              <w:ind w:left="0"/>
              <w:rPr>
                <w:noProof/>
              </w:rPr>
            </w:pPr>
            <w:r>
              <w:rPr>
                <w:noProof/>
              </w:rPr>
              <w:t>3 (0.9%)</w:t>
            </w:r>
          </w:p>
        </w:tc>
        <w:tc>
          <w:tcPr>
            <w:tcW w:w="2551" w:type="dxa"/>
          </w:tcPr>
          <w:p w14:paraId="007F70EB" w14:textId="3214C4A0" w:rsidR="00203056" w:rsidRDefault="00203056" w:rsidP="001E2D94">
            <w:pPr>
              <w:ind w:left="0"/>
              <w:rPr>
                <w:noProof/>
              </w:rPr>
            </w:pPr>
            <w:r>
              <w:rPr>
                <w:noProof/>
              </w:rPr>
              <w:t>4 (1.3%)</w:t>
            </w:r>
          </w:p>
        </w:tc>
      </w:tr>
      <w:tr w:rsidR="00203056" w14:paraId="4E3AD09F" w14:textId="77777777" w:rsidTr="00771FAC">
        <w:tc>
          <w:tcPr>
            <w:tcW w:w="3652" w:type="dxa"/>
          </w:tcPr>
          <w:p w14:paraId="3ADFCA7E" w14:textId="1A7965E4" w:rsidR="00203056" w:rsidRPr="00081E3C" w:rsidRDefault="00203056" w:rsidP="001E2D94">
            <w:pPr>
              <w:ind w:left="0"/>
              <w:rPr>
                <w:noProof/>
              </w:rPr>
            </w:pPr>
            <w:r w:rsidRPr="00081E3C">
              <w:rPr>
                <w:noProof/>
              </w:rPr>
              <w:t>Congestive heart failure adverse events</w:t>
            </w:r>
          </w:p>
        </w:tc>
        <w:tc>
          <w:tcPr>
            <w:tcW w:w="2552" w:type="dxa"/>
          </w:tcPr>
          <w:p w14:paraId="366807FF" w14:textId="0CDA2409" w:rsidR="00203056" w:rsidRDefault="00203056" w:rsidP="00A80FF9">
            <w:pPr>
              <w:ind w:left="0"/>
              <w:rPr>
                <w:noProof/>
              </w:rPr>
            </w:pPr>
            <w:r>
              <w:rPr>
                <w:noProof/>
              </w:rPr>
              <w:t>2 (0.6%)</w:t>
            </w:r>
          </w:p>
        </w:tc>
        <w:tc>
          <w:tcPr>
            <w:tcW w:w="2551" w:type="dxa"/>
          </w:tcPr>
          <w:p w14:paraId="5007970E" w14:textId="33C956F3" w:rsidR="00203056" w:rsidRDefault="00203056" w:rsidP="001E2D94">
            <w:pPr>
              <w:ind w:left="0"/>
              <w:rPr>
                <w:noProof/>
              </w:rPr>
            </w:pPr>
            <w:r>
              <w:rPr>
                <w:noProof/>
              </w:rPr>
              <w:t>1 (0.3%)</w:t>
            </w:r>
          </w:p>
        </w:tc>
      </w:tr>
      <w:tr w:rsidR="00203056" w14:paraId="1468E6D4" w14:textId="77777777" w:rsidTr="00771FAC">
        <w:tc>
          <w:tcPr>
            <w:tcW w:w="3652" w:type="dxa"/>
          </w:tcPr>
          <w:p w14:paraId="4DB02D4C" w14:textId="512106B7" w:rsidR="00203056" w:rsidRPr="00081E3C" w:rsidRDefault="00203056" w:rsidP="001E2D94">
            <w:pPr>
              <w:ind w:left="0"/>
              <w:rPr>
                <w:noProof/>
              </w:rPr>
            </w:pPr>
            <w:r w:rsidRPr="00081E3C">
              <w:rPr>
                <w:noProof/>
              </w:rPr>
              <w:t>Non-gastrointestinal fistula formation adverse events</w:t>
            </w:r>
          </w:p>
        </w:tc>
        <w:tc>
          <w:tcPr>
            <w:tcW w:w="2552" w:type="dxa"/>
          </w:tcPr>
          <w:p w14:paraId="7AC6A103" w14:textId="7B0B846D" w:rsidR="00203056" w:rsidRDefault="00203056" w:rsidP="001E2D94">
            <w:pPr>
              <w:ind w:left="0"/>
              <w:rPr>
                <w:noProof/>
              </w:rPr>
            </w:pPr>
            <w:r>
              <w:rPr>
                <w:noProof/>
              </w:rPr>
              <w:t>2 (0.6%)</w:t>
            </w:r>
          </w:p>
        </w:tc>
        <w:tc>
          <w:tcPr>
            <w:tcW w:w="2551" w:type="dxa"/>
          </w:tcPr>
          <w:p w14:paraId="311BD937" w14:textId="03E443A9" w:rsidR="00203056" w:rsidRDefault="00203056" w:rsidP="001E2D94">
            <w:pPr>
              <w:ind w:left="0"/>
              <w:rPr>
                <w:noProof/>
              </w:rPr>
            </w:pPr>
            <w:r>
              <w:rPr>
                <w:noProof/>
              </w:rPr>
              <w:t>2 (0.6%)</w:t>
            </w:r>
          </w:p>
        </w:tc>
      </w:tr>
    </w:tbl>
    <w:p w14:paraId="19CF0B5B" w14:textId="1DCC2C33" w:rsidR="00B4560A" w:rsidRDefault="00B4560A" w:rsidP="00B4560A">
      <w:pPr>
        <w:rPr>
          <w:noProof/>
          <w:lang w:eastAsia="en-AU"/>
        </w:rPr>
      </w:pPr>
      <w:r>
        <w:rPr>
          <w:noProof/>
          <w:lang w:eastAsia="en-AU"/>
        </w:rPr>
        <w:t>In summary, there was no clinically meaningful</w:t>
      </w:r>
      <w:r w:rsidR="006F28F3">
        <w:rPr>
          <w:noProof/>
          <w:lang w:eastAsia="en-AU"/>
        </w:rPr>
        <w:t xml:space="preserve"> or </w:t>
      </w:r>
      <w:r>
        <w:rPr>
          <w:noProof/>
          <w:lang w:eastAsia="en-AU"/>
        </w:rPr>
        <w:t xml:space="preserve">relevant difference in AESIs between </w:t>
      </w:r>
      <w:r w:rsidR="00FF2F8F">
        <w:rPr>
          <w:noProof/>
          <w:lang w:eastAsia="en-AU"/>
        </w:rPr>
        <w:t>Mvasi</w:t>
      </w:r>
      <w:r>
        <w:rPr>
          <w:noProof/>
          <w:lang w:eastAsia="en-AU"/>
        </w:rPr>
        <w:t xml:space="preserve"> and Avastin.</w:t>
      </w:r>
    </w:p>
    <w:p w14:paraId="36F35755" w14:textId="77777777" w:rsidR="00B4560A" w:rsidRPr="00D770E8" w:rsidRDefault="00B4560A" w:rsidP="00A80FF9">
      <w:pPr>
        <w:pStyle w:val="Heading5"/>
        <w:rPr>
          <w:noProof/>
          <w:lang w:eastAsia="en-AU"/>
        </w:rPr>
      </w:pPr>
      <w:r w:rsidRPr="00D770E8">
        <w:rPr>
          <w:noProof/>
          <w:lang w:eastAsia="en-AU"/>
        </w:rPr>
        <w:t>Immunogenicity</w:t>
      </w:r>
    </w:p>
    <w:p w14:paraId="306A3757" w14:textId="165240CB" w:rsidR="00B4560A" w:rsidRDefault="00B4560A" w:rsidP="00B4560A">
      <w:pPr>
        <w:rPr>
          <w:noProof/>
          <w:lang w:eastAsia="en-AU"/>
        </w:rPr>
      </w:pPr>
      <w:r>
        <w:rPr>
          <w:noProof/>
          <w:lang w:eastAsia="en-AU"/>
        </w:rPr>
        <w:t xml:space="preserve">Study 265 assessed the incidence of immunogenicity which was found to be similar across the </w:t>
      </w:r>
      <w:r w:rsidR="006F28F3">
        <w:rPr>
          <w:noProof/>
          <w:lang w:eastAsia="en-AU"/>
        </w:rPr>
        <w:t>two</w:t>
      </w:r>
      <w:r>
        <w:rPr>
          <w:noProof/>
          <w:lang w:eastAsia="en-AU"/>
        </w:rPr>
        <w:t xml:space="preserve"> groups. P</w:t>
      </w:r>
      <w:r w:rsidRPr="00B1407C">
        <w:rPr>
          <w:noProof/>
          <w:lang w:eastAsia="en-AU"/>
        </w:rPr>
        <w:t xml:space="preserve">atients were sampled for </w:t>
      </w:r>
      <w:r>
        <w:rPr>
          <w:noProof/>
          <w:lang w:eastAsia="en-AU"/>
        </w:rPr>
        <w:t>antidrug antibodies (ADAs)</w:t>
      </w:r>
      <w:r w:rsidRPr="00B1407C">
        <w:rPr>
          <w:noProof/>
          <w:lang w:eastAsia="en-AU"/>
        </w:rPr>
        <w:t xml:space="preserve"> </w:t>
      </w:r>
      <w:r>
        <w:rPr>
          <w:noProof/>
          <w:lang w:eastAsia="en-AU"/>
        </w:rPr>
        <w:t>at</w:t>
      </w:r>
      <w:r w:rsidRPr="00B1407C">
        <w:rPr>
          <w:noProof/>
          <w:lang w:eastAsia="en-AU"/>
        </w:rPr>
        <w:t xml:space="preserve"> </w:t>
      </w:r>
      <w:r w:rsidR="0090056C">
        <w:rPr>
          <w:noProof/>
          <w:lang w:eastAsia="en-AU"/>
        </w:rPr>
        <w:t>B</w:t>
      </w:r>
      <w:r w:rsidRPr="00B1407C">
        <w:rPr>
          <w:noProof/>
          <w:lang w:eastAsia="en-AU"/>
        </w:rPr>
        <w:t xml:space="preserve">aseline, </w:t>
      </w:r>
      <w:r w:rsidR="0090056C">
        <w:rPr>
          <w:noProof/>
          <w:lang w:eastAsia="en-AU"/>
        </w:rPr>
        <w:t>W</w:t>
      </w:r>
      <w:r w:rsidRPr="00B1407C">
        <w:rPr>
          <w:noProof/>
          <w:lang w:eastAsia="en-AU"/>
        </w:rPr>
        <w:t>eek</w:t>
      </w:r>
      <w:r w:rsidR="0090056C">
        <w:rPr>
          <w:noProof/>
          <w:lang w:eastAsia="en-AU"/>
        </w:rPr>
        <w:t> </w:t>
      </w:r>
      <w:r w:rsidRPr="00B1407C">
        <w:rPr>
          <w:noProof/>
          <w:lang w:eastAsia="en-AU"/>
        </w:rPr>
        <w:t xml:space="preserve">7, </w:t>
      </w:r>
      <w:r w:rsidR="0090056C">
        <w:rPr>
          <w:noProof/>
          <w:lang w:eastAsia="en-AU"/>
        </w:rPr>
        <w:t>W</w:t>
      </w:r>
      <w:r w:rsidRPr="00B1407C">
        <w:rPr>
          <w:noProof/>
          <w:lang w:eastAsia="en-AU"/>
        </w:rPr>
        <w:t xml:space="preserve">eek 13 and </w:t>
      </w:r>
      <w:r w:rsidR="0090056C">
        <w:rPr>
          <w:noProof/>
          <w:lang w:eastAsia="en-AU"/>
        </w:rPr>
        <w:t>W</w:t>
      </w:r>
      <w:r w:rsidRPr="00B1407C">
        <w:rPr>
          <w:noProof/>
          <w:lang w:eastAsia="en-AU"/>
        </w:rPr>
        <w:t>eek 19</w:t>
      </w:r>
      <w:r>
        <w:rPr>
          <w:noProof/>
          <w:lang w:eastAsia="en-AU"/>
        </w:rPr>
        <w:t xml:space="preserve"> using a </w:t>
      </w:r>
      <w:r w:rsidRPr="00B1407C">
        <w:rPr>
          <w:noProof/>
          <w:lang w:eastAsia="en-AU"/>
        </w:rPr>
        <w:t>validated</w:t>
      </w:r>
      <w:r w:rsidR="006F28F3">
        <w:rPr>
          <w:noProof/>
          <w:lang w:eastAsia="en-AU"/>
        </w:rPr>
        <w:t xml:space="preserve">, two </w:t>
      </w:r>
      <w:r w:rsidRPr="00B1407C">
        <w:rPr>
          <w:noProof/>
          <w:lang w:eastAsia="en-AU"/>
        </w:rPr>
        <w:t>tiered immunoassay approach (screen</w:t>
      </w:r>
      <w:r>
        <w:rPr>
          <w:noProof/>
          <w:lang w:eastAsia="en-AU"/>
        </w:rPr>
        <w:t>ing assay and specificity assay</w:t>
      </w:r>
      <w:r w:rsidR="006F28F3">
        <w:rPr>
          <w:noProof/>
          <w:lang w:eastAsia="en-AU"/>
        </w:rPr>
        <w:t>)</w:t>
      </w:r>
      <w:r>
        <w:rPr>
          <w:noProof/>
          <w:lang w:eastAsia="en-AU"/>
        </w:rPr>
        <w:t>.</w:t>
      </w:r>
    </w:p>
    <w:p w14:paraId="75D9C7D0" w14:textId="070CAA98" w:rsidR="00B4560A" w:rsidRDefault="00B4560A" w:rsidP="00B4560A">
      <w:pPr>
        <w:rPr>
          <w:noProof/>
          <w:lang w:eastAsia="en-AU"/>
        </w:rPr>
      </w:pPr>
      <w:r>
        <w:rPr>
          <w:noProof/>
          <w:lang w:eastAsia="en-AU"/>
        </w:rPr>
        <w:t xml:space="preserve">There were no preexisting ADAs at </w:t>
      </w:r>
      <w:r w:rsidR="0090056C">
        <w:rPr>
          <w:noProof/>
          <w:lang w:eastAsia="en-AU"/>
        </w:rPr>
        <w:t>B</w:t>
      </w:r>
      <w:r>
        <w:rPr>
          <w:noProof/>
          <w:lang w:eastAsia="en-AU"/>
        </w:rPr>
        <w:t>aseline in either group.</w:t>
      </w:r>
      <w:r w:rsidRPr="00B1407C">
        <w:rPr>
          <w:noProof/>
          <w:lang w:eastAsia="en-AU"/>
        </w:rPr>
        <w:t xml:space="preserve"> </w:t>
      </w:r>
      <w:r>
        <w:rPr>
          <w:noProof/>
          <w:lang w:eastAsia="en-AU"/>
        </w:rPr>
        <w:t xml:space="preserve">In the ABP 215 group, 1.4% developed treatment-emergent ADAs. In the Avastin group, 2.5% developed treatment emergent ADAs. There was no apparent impact of </w:t>
      </w:r>
      <w:r w:rsidR="0090056C">
        <w:rPr>
          <w:noProof/>
          <w:lang w:eastAsia="en-AU"/>
        </w:rPr>
        <w:t>ADAs</w:t>
      </w:r>
      <w:r>
        <w:rPr>
          <w:noProof/>
          <w:lang w:eastAsia="en-AU"/>
        </w:rPr>
        <w:t xml:space="preserve"> on safety, activity or </w:t>
      </w:r>
      <w:r w:rsidR="0090056C">
        <w:rPr>
          <w:noProof/>
          <w:lang w:eastAsia="en-AU"/>
        </w:rPr>
        <w:t xml:space="preserve">PK </w:t>
      </w:r>
      <w:r>
        <w:rPr>
          <w:noProof/>
          <w:lang w:eastAsia="en-AU"/>
        </w:rPr>
        <w:t>endpoints detected.</w:t>
      </w:r>
    </w:p>
    <w:p w14:paraId="25270698" w14:textId="0BF93581" w:rsidR="00B4560A" w:rsidRPr="00D63FA5" w:rsidRDefault="00B4560A" w:rsidP="00B4560A">
      <w:pPr>
        <w:rPr>
          <w:noProof/>
          <w:lang w:eastAsia="en-AU"/>
        </w:rPr>
      </w:pPr>
      <w:r>
        <w:rPr>
          <w:noProof/>
          <w:lang w:eastAsia="en-AU"/>
        </w:rPr>
        <w:t>This is further evidence that there are no clinically meaningful differences berween ABP</w:t>
      </w:r>
      <w:r w:rsidR="0090056C">
        <w:rPr>
          <w:noProof/>
          <w:lang w:eastAsia="en-AU"/>
        </w:rPr>
        <w:t> </w:t>
      </w:r>
      <w:r>
        <w:rPr>
          <w:noProof/>
          <w:lang w:eastAsia="en-AU"/>
        </w:rPr>
        <w:t>215 and Avastin.</w:t>
      </w:r>
    </w:p>
    <w:p w14:paraId="727B0A18" w14:textId="567A74BE" w:rsidR="008E7846" w:rsidRDefault="00386150" w:rsidP="007B6132">
      <w:pPr>
        <w:pStyle w:val="Heading3"/>
        <w:rPr>
          <w:lang w:eastAsia="en-AU"/>
        </w:rPr>
      </w:pPr>
      <w:bookmarkStart w:id="62" w:name="_Toc57130860"/>
      <w:r>
        <w:rPr>
          <w:lang w:eastAsia="en-AU"/>
        </w:rPr>
        <w:t>Risk m</w:t>
      </w:r>
      <w:r w:rsidR="008E7846">
        <w:rPr>
          <w:lang w:eastAsia="en-AU"/>
        </w:rPr>
        <w:t xml:space="preserve">anagement </w:t>
      </w:r>
      <w:r>
        <w:rPr>
          <w:lang w:eastAsia="en-AU"/>
        </w:rPr>
        <w:t>p</w:t>
      </w:r>
      <w:r w:rsidR="008E7846">
        <w:rPr>
          <w:lang w:eastAsia="en-AU"/>
        </w:rPr>
        <w:t>lan</w:t>
      </w:r>
      <w:bookmarkEnd w:id="40"/>
      <w:bookmarkEnd w:id="62"/>
    </w:p>
    <w:p w14:paraId="0754FA30" w14:textId="26BAE921" w:rsidR="00735BC0" w:rsidRDefault="00A5487A" w:rsidP="00A5487A">
      <w:bookmarkStart w:id="63" w:name="_Toc247691531"/>
      <w:bookmarkStart w:id="64" w:name="_Toc314842515"/>
      <w:bookmarkStart w:id="65" w:name="_Toc196046505"/>
      <w:bookmarkStart w:id="66" w:name="_Toc196046949"/>
      <w:r>
        <w:t>The sponsor has submitted EU-risk management plan (RMP) version 0.3 (dated 29</w:t>
      </w:r>
      <w:r w:rsidR="0090056C">
        <w:t> </w:t>
      </w:r>
      <w:r>
        <w:t xml:space="preserve">September 2017; </w:t>
      </w:r>
      <w:r>
        <w:rPr>
          <w:lang w:eastAsia="en-AU"/>
        </w:rPr>
        <w:t>data lock point (</w:t>
      </w:r>
      <w:r>
        <w:t>DLP) 10 September 2015) and Australian specific Annex (ASA) version 2.0 (dated 8 December 2017) in support of this application. In response to TGA questions, the sponsor submitted an updated ASA (Version 3.0; dated 16</w:t>
      </w:r>
      <w:r w:rsidR="0090056C">
        <w:t> </w:t>
      </w:r>
      <w:r>
        <w:t>August 2018).</w:t>
      </w:r>
    </w:p>
    <w:p w14:paraId="3C19FA4C" w14:textId="5FF031B8" w:rsidR="00735BC0" w:rsidRDefault="00735BC0" w:rsidP="00735BC0">
      <w:bookmarkStart w:id="67" w:name="_Ref54104198"/>
      <w:r>
        <w:lastRenderedPageBreak/>
        <w:t>The summary of safety concerns and their associated risk monitoring and mitigation strategies</w:t>
      </w:r>
      <w:r w:rsidR="004B5364">
        <w:t>;</w:t>
      </w:r>
      <w:r w:rsidR="004B5364">
        <w:rPr>
          <w:rStyle w:val="FootnoteReference"/>
        </w:rPr>
        <w:footnoteReference w:id="8"/>
      </w:r>
      <w:r>
        <w:t xml:space="preserve"> are summarised in </w:t>
      </w:r>
      <w:r w:rsidR="00C36A62">
        <w:fldChar w:fldCharType="begin"/>
      </w:r>
      <w:r w:rsidR="00C36A62">
        <w:instrText xml:space="preserve"> REF _Ref55851245 \h </w:instrText>
      </w:r>
      <w:r w:rsidR="00C36A62">
        <w:fldChar w:fldCharType="separate"/>
      </w:r>
      <w:r w:rsidR="005938A4">
        <w:t xml:space="preserve">Table </w:t>
      </w:r>
      <w:r w:rsidR="005938A4">
        <w:rPr>
          <w:noProof/>
        </w:rPr>
        <w:t>13</w:t>
      </w:r>
      <w:r w:rsidR="00C36A62">
        <w:fldChar w:fldCharType="end"/>
      </w:r>
      <w:r w:rsidR="00C36A62">
        <w:t>.</w:t>
      </w:r>
    </w:p>
    <w:p w14:paraId="408E9803" w14:textId="619AB1A6" w:rsidR="00E03990" w:rsidRPr="00063D0D" w:rsidRDefault="006F28F3" w:rsidP="00A80FF9">
      <w:pPr>
        <w:pStyle w:val="TableTitle"/>
      </w:pPr>
      <w:bookmarkStart w:id="68" w:name="_Ref55851245"/>
      <w:bookmarkStart w:id="69" w:name="_Ref54181652"/>
      <w:r>
        <w:t xml:space="preserve">Table </w:t>
      </w:r>
      <w:r w:rsidR="00741986">
        <w:fldChar w:fldCharType="begin"/>
      </w:r>
      <w:r w:rsidR="00741986">
        <w:instrText xml:space="preserve"> SEQ Table \* ARABIC </w:instrText>
      </w:r>
      <w:r w:rsidR="00741986">
        <w:fldChar w:fldCharType="separate"/>
      </w:r>
      <w:r w:rsidR="005938A4">
        <w:rPr>
          <w:noProof/>
        </w:rPr>
        <w:t>13</w:t>
      </w:r>
      <w:r w:rsidR="00741986">
        <w:rPr>
          <w:noProof/>
        </w:rPr>
        <w:fldChar w:fldCharType="end"/>
      </w:r>
      <w:bookmarkEnd w:id="68"/>
      <w:r>
        <w:t xml:space="preserve">: </w:t>
      </w:r>
      <w:r w:rsidR="0090056C">
        <w:t xml:space="preserve">Summary </w:t>
      </w:r>
      <w:r w:rsidR="00E03990">
        <w:t>of safety concerns</w:t>
      </w:r>
      <w:bookmarkEnd w:id="67"/>
      <w:bookmarkEnd w:id="69"/>
    </w:p>
    <w:tbl>
      <w:tblPr>
        <w:tblStyle w:val="TableTGAblue"/>
        <w:tblW w:w="5000" w:type="pct"/>
        <w:tblLook w:val="04A0" w:firstRow="1" w:lastRow="0" w:firstColumn="1" w:lastColumn="0" w:noHBand="0" w:noVBand="1"/>
      </w:tblPr>
      <w:tblGrid>
        <w:gridCol w:w="1238"/>
        <w:gridCol w:w="2384"/>
        <w:gridCol w:w="1200"/>
        <w:gridCol w:w="1270"/>
        <w:gridCol w:w="1200"/>
        <w:gridCol w:w="1428"/>
      </w:tblGrid>
      <w:tr w:rsidR="00C9345A" w:rsidRPr="00A5487A" w14:paraId="49C93453" w14:textId="77777777" w:rsidTr="00866DBF">
        <w:trPr>
          <w:cnfStyle w:val="100000000000" w:firstRow="1" w:lastRow="0" w:firstColumn="0" w:lastColumn="0" w:oddVBand="0" w:evenVBand="0" w:oddHBand="0" w:evenHBand="0" w:firstRowFirstColumn="0" w:firstRowLastColumn="0" w:lastRowFirstColumn="0" w:lastRowLastColumn="0"/>
          <w:trHeight w:val="248"/>
        </w:trPr>
        <w:tc>
          <w:tcPr>
            <w:tcW w:w="2077" w:type="pct"/>
            <w:gridSpan w:val="2"/>
            <w:vMerge w:val="restart"/>
            <w:tcBorders>
              <w:top w:val="single" w:sz="4" w:space="0" w:color="auto"/>
              <w:left w:val="single" w:sz="4" w:space="0" w:color="auto"/>
              <w:right w:val="single" w:sz="4" w:space="0" w:color="auto"/>
            </w:tcBorders>
            <w:shd w:val="clear" w:color="auto" w:fill="0070C0"/>
          </w:tcPr>
          <w:p w14:paraId="671E07D7" w14:textId="12805B83" w:rsidR="00D631D8" w:rsidRPr="00A5487A" w:rsidRDefault="00D631D8" w:rsidP="00CB79EC">
            <w:pPr>
              <w:spacing w:before="60" w:afterLines="60" w:after="144" w:line="240" w:lineRule="auto"/>
              <w:ind w:left="0" w:right="0"/>
              <w:rPr>
                <w:sz w:val="20"/>
                <w:szCs w:val="20"/>
              </w:rPr>
            </w:pPr>
            <w:r w:rsidRPr="00A5487A">
              <w:rPr>
                <w:sz w:val="20"/>
                <w:szCs w:val="20"/>
              </w:rPr>
              <w:t>Summary of safety concerns</w:t>
            </w:r>
          </w:p>
        </w:tc>
        <w:tc>
          <w:tcPr>
            <w:tcW w:w="1416" w:type="pct"/>
            <w:gridSpan w:val="2"/>
            <w:tcBorders>
              <w:top w:val="single" w:sz="4" w:space="0" w:color="auto"/>
              <w:left w:val="single" w:sz="4" w:space="0" w:color="auto"/>
              <w:bottom w:val="single" w:sz="4" w:space="0" w:color="auto"/>
              <w:right w:val="single" w:sz="4" w:space="0" w:color="auto"/>
            </w:tcBorders>
            <w:shd w:val="clear" w:color="auto" w:fill="0070C0"/>
          </w:tcPr>
          <w:p w14:paraId="061FAB09" w14:textId="130DB298" w:rsidR="00D631D8" w:rsidRPr="00A5487A" w:rsidRDefault="00D631D8" w:rsidP="00CB79EC">
            <w:pPr>
              <w:spacing w:before="60" w:afterLines="60" w:after="144" w:line="240" w:lineRule="auto"/>
              <w:ind w:left="0" w:right="0"/>
              <w:rPr>
                <w:sz w:val="20"/>
                <w:szCs w:val="20"/>
              </w:rPr>
            </w:pPr>
            <w:r w:rsidRPr="00A5487A">
              <w:rPr>
                <w:sz w:val="20"/>
                <w:szCs w:val="20"/>
              </w:rPr>
              <w:t>Pharmacovigilance</w:t>
            </w:r>
          </w:p>
        </w:tc>
        <w:tc>
          <w:tcPr>
            <w:tcW w:w="1507" w:type="pct"/>
            <w:gridSpan w:val="2"/>
            <w:tcBorders>
              <w:top w:val="single" w:sz="4" w:space="0" w:color="auto"/>
              <w:left w:val="single" w:sz="4" w:space="0" w:color="auto"/>
              <w:right w:val="single" w:sz="4" w:space="0" w:color="auto"/>
            </w:tcBorders>
            <w:shd w:val="clear" w:color="auto" w:fill="0070C0"/>
          </w:tcPr>
          <w:p w14:paraId="07F12947" w14:textId="0E7A56CD" w:rsidR="00D631D8" w:rsidRPr="00A5487A" w:rsidRDefault="00D631D8" w:rsidP="00CB79EC">
            <w:pPr>
              <w:spacing w:before="60" w:afterLines="60" w:after="144" w:line="240" w:lineRule="auto"/>
              <w:ind w:left="0" w:right="0"/>
              <w:rPr>
                <w:sz w:val="20"/>
                <w:szCs w:val="20"/>
              </w:rPr>
            </w:pPr>
            <w:r w:rsidRPr="00A5487A">
              <w:rPr>
                <w:sz w:val="20"/>
                <w:szCs w:val="20"/>
              </w:rPr>
              <w:t xml:space="preserve">Risk </w:t>
            </w:r>
            <w:r w:rsidR="00AF5E5C" w:rsidRPr="00A5487A">
              <w:rPr>
                <w:sz w:val="20"/>
                <w:szCs w:val="20"/>
              </w:rPr>
              <w:t>m</w:t>
            </w:r>
            <w:r w:rsidRPr="00A5487A">
              <w:rPr>
                <w:sz w:val="20"/>
                <w:szCs w:val="20"/>
              </w:rPr>
              <w:t>inimisation</w:t>
            </w:r>
          </w:p>
        </w:tc>
      </w:tr>
      <w:tr w:rsidR="00ED147C" w:rsidRPr="00A5487A" w14:paraId="777A1FEE" w14:textId="77777777" w:rsidTr="00866DBF">
        <w:trPr>
          <w:trHeight w:val="247"/>
        </w:trPr>
        <w:tc>
          <w:tcPr>
            <w:tcW w:w="2077" w:type="pct"/>
            <w:gridSpan w:val="2"/>
            <w:vMerge/>
            <w:tcBorders>
              <w:left w:val="single" w:sz="4" w:space="0" w:color="auto"/>
              <w:bottom w:val="single" w:sz="4" w:space="0" w:color="auto"/>
              <w:right w:val="single" w:sz="4" w:space="0" w:color="auto"/>
            </w:tcBorders>
            <w:shd w:val="clear" w:color="auto" w:fill="0070C0"/>
          </w:tcPr>
          <w:p w14:paraId="623179F6" w14:textId="77777777" w:rsidR="00D631D8" w:rsidRPr="00A5487A" w:rsidRDefault="00D631D8" w:rsidP="00A5487A">
            <w:pPr>
              <w:spacing w:before="60" w:afterLines="60" w:after="144" w:line="240" w:lineRule="auto"/>
              <w:ind w:left="0" w:right="0"/>
              <w:jc w:val="center"/>
              <w:rPr>
                <w:sz w:val="20"/>
                <w:szCs w:val="20"/>
              </w:rPr>
            </w:pPr>
          </w:p>
        </w:tc>
        <w:tc>
          <w:tcPr>
            <w:tcW w:w="688" w:type="pct"/>
            <w:tcBorders>
              <w:top w:val="single" w:sz="4" w:space="0" w:color="auto"/>
              <w:left w:val="single" w:sz="4" w:space="0" w:color="auto"/>
              <w:bottom w:val="single" w:sz="4" w:space="0" w:color="auto"/>
              <w:right w:val="single" w:sz="4" w:space="0" w:color="auto"/>
            </w:tcBorders>
            <w:shd w:val="clear" w:color="auto" w:fill="0070C0"/>
          </w:tcPr>
          <w:p w14:paraId="5A8D4D22" w14:textId="02E7FFB5" w:rsidR="00D631D8" w:rsidRPr="00CB79EC" w:rsidRDefault="00D631D8" w:rsidP="00CB79EC">
            <w:pPr>
              <w:spacing w:before="60" w:afterLines="60" w:after="144" w:line="240" w:lineRule="auto"/>
              <w:ind w:left="0" w:right="0"/>
              <w:rPr>
                <w:color w:val="FFFFFF" w:themeColor="background1"/>
                <w:sz w:val="20"/>
                <w:szCs w:val="20"/>
              </w:rPr>
            </w:pPr>
            <w:r w:rsidRPr="00CB79EC">
              <w:rPr>
                <w:color w:val="FFFFFF" w:themeColor="background1"/>
                <w:sz w:val="20"/>
                <w:szCs w:val="20"/>
              </w:rPr>
              <w:t>Routine</w:t>
            </w:r>
          </w:p>
        </w:tc>
        <w:tc>
          <w:tcPr>
            <w:tcW w:w="728" w:type="pct"/>
            <w:tcBorders>
              <w:top w:val="single" w:sz="4" w:space="0" w:color="auto"/>
              <w:left w:val="single" w:sz="4" w:space="0" w:color="auto"/>
              <w:bottom w:val="single" w:sz="4" w:space="0" w:color="auto"/>
              <w:right w:val="single" w:sz="4" w:space="0" w:color="auto"/>
            </w:tcBorders>
            <w:shd w:val="clear" w:color="auto" w:fill="0070C0"/>
          </w:tcPr>
          <w:p w14:paraId="1F20BF17" w14:textId="32966E7C" w:rsidR="00D631D8" w:rsidRPr="00CB79EC" w:rsidRDefault="00D631D8" w:rsidP="00CB79EC">
            <w:pPr>
              <w:spacing w:before="60" w:afterLines="60" w:after="144" w:line="240" w:lineRule="auto"/>
              <w:ind w:left="0" w:right="0"/>
              <w:rPr>
                <w:sz w:val="20"/>
                <w:szCs w:val="20"/>
              </w:rPr>
            </w:pPr>
            <w:r w:rsidRPr="00CB79EC">
              <w:rPr>
                <w:color w:val="FFFFFF" w:themeColor="background1"/>
                <w:sz w:val="20"/>
                <w:szCs w:val="20"/>
              </w:rPr>
              <w:t>Additional</w:t>
            </w:r>
          </w:p>
        </w:tc>
        <w:tc>
          <w:tcPr>
            <w:tcW w:w="688" w:type="pct"/>
            <w:tcBorders>
              <w:left w:val="single" w:sz="4" w:space="0" w:color="auto"/>
              <w:bottom w:val="single" w:sz="4" w:space="0" w:color="auto"/>
              <w:right w:val="single" w:sz="4" w:space="0" w:color="auto"/>
            </w:tcBorders>
            <w:shd w:val="clear" w:color="auto" w:fill="0070C0"/>
          </w:tcPr>
          <w:p w14:paraId="3FE6DC11" w14:textId="644E5933" w:rsidR="00D631D8" w:rsidRPr="00CB79EC" w:rsidRDefault="00D631D8" w:rsidP="00CB79EC">
            <w:pPr>
              <w:spacing w:before="60" w:afterLines="60" w:after="144" w:line="240" w:lineRule="auto"/>
              <w:ind w:left="0" w:right="0"/>
              <w:rPr>
                <w:sz w:val="20"/>
                <w:szCs w:val="20"/>
              </w:rPr>
            </w:pPr>
            <w:r w:rsidRPr="00CB79EC">
              <w:rPr>
                <w:color w:val="FFFFFF" w:themeColor="background1"/>
                <w:sz w:val="20"/>
                <w:szCs w:val="20"/>
              </w:rPr>
              <w:t>Routine</w:t>
            </w:r>
          </w:p>
        </w:tc>
        <w:tc>
          <w:tcPr>
            <w:tcW w:w="819" w:type="pct"/>
            <w:tcBorders>
              <w:left w:val="single" w:sz="4" w:space="0" w:color="auto"/>
              <w:bottom w:val="single" w:sz="4" w:space="0" w:color="auto"/>
              <w:right w:val="single" w:sz="4" w:space="0" w:color="auto"/>
            </w:tcBorders>
            <w:shd w:val="clear" w:color="auto" w:fill="0070C0"/>
          </w:tcPr>
          <w:p w14:paraId="464F9E56" w14:textId="2722070E" w:rsidR="00D631D8" w:rsidRPr="00CB79EC" w:rsidRDefault="00D631D8" w:rsidP="00CB79EC">
            <w:pPr>
              <w:spacing w:before="60" w:afterLines="60" w:after="144" w:line="240" w:lineRule="auto"/>
              <w:ind w:left="0" w:right="0"/>
              <w:rPr>
                <w:sz w:val="20"/>
                <w:szCs w:val="20"/>
              </w:rPr>
            </w:pPr>
            <w:r w:rsidRPr="00CB79EC">
              <w:rPr>
                <w:color w:val="FFFFFF" w:themeColor="background1"/>
                <w:sz w:val="20"/>
                <w:szCs w:val="20"/>
              </w:rPr>
              <w:t>Additional</w:t>
            </w:r>
          </w:p>
        </w:tc>
      </w:tr>
      <w:tr w:rsidR="00866DBF" w:rsidRPr="00A5487A" w14:paraId="767F788A" w14:textId="77777777" w:rsidTr="00866DBF">
        <w:tc>
          <w:tcPr>
            <w:tcW w:w="710" w:type="pct"/>
            <w:vMerge w:val="restart"/>
            <w:tcBorders>
              <w:top w:val="single" w:sz="4" w:space="0" w:color="auto"/>
            </w:tcBorders>
          </w:tcPr>
          <w:p w14:paraId="46E94272" w14:textId="369530AB" w:rsidR="00866DBF" w:rsidRPr="00A5487A" w:rsidRDefault="00866DBF" w:rsidP="00A5487A">
            <w:pPr>
              <w:spacing w:before="60" w:afterLines="60" w:after="144" w:line="240" w:lineRule="auto"/>
              <w:ind w:left="0" w:right="0"/>
              <w:rPr>
                <w:sz w:val="20"/>
                <w:szCs w:val="20"/>
              </w:rPr>
            </w:pPr>
            <w:r w:rsidRPr="00A5487A">
              <w:rPr>
                <w:sz w:val="20"/>
                <w:szCs w:val="20"/>
              </w:rPr>
              <w:t xml:space="preserve">Important </w:t>
            </w:r>
            <w:r>
              <w:rPr>
                <w:sz w:val="20"/>
                <w:szCs w:val="20"/>
              </w:rPr>
              <w:t xml:space="preserve">identified </w:t>
            </w:r>
            <w:r w:rsidRPr="00A5487A">
              <w:rPr>
                <w:sz w:val="20"/>
                <w:szCs w:val="20"/>
              </w:rPr>
              <w:t>risks</w:t>
            </w:r>
          </w:p>
        </w:tc>
        <w:tc>
          <w:tcPr>
            <w:tcW w:w="1367" w:type="pct"/>
            <w:tcBorders>
              <w:top w:val="single" w:sz="4" w:space="0" w:color="auto"/>
            </w:tcBorders>
          </w:tcPr>
          <w:p w14:paraId="7DA6F7A3" w14:textId="2950C178" w:rsidR="00866DBF" w:rsidRPr="00A5487A" w:rsidRDefault="00866DBF" w:rsidP="00A5487A">
            <w:pPr>
              <w:spacing w:before="60" w:afterLines="60" w:after="144" w:line="240" w:lineRule="auto"/>
              <w:ind w:left="0" w:right="0"/>
              <w:rPr>
                <w:sz w:val="20"/>
                <w:szCs w:val="20"/>
              </w:rPr>
            </w:pPr>
            <w:r w:rsidRPr="00A5487A">
              <w:rPr>
                <w:sz w:val="20"/>
                <w:szCs w:val="20"/>
              </w:rPr>
              <w:t>Bleeding/haemorrhage</w:t>
            </w:r>
          </w:p>
        </w:tc>
        <w:tc>
          <w:tcPr>
            <w:tcW w:w="688" w:type="pct"/>
            <w:tcBorders>
              <w:top w:val="single" w:sz="4" w:space="0" w:color="auto"/>
            </w:tcBorders>
            <w:vAlign w:val="center"/>
          </w:tcPr>
          <w:p w14:paraId="74BA3E84" w14:textId="23F3A097"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tcBorders>
              <w:top w:val="single" w:sz="4" w:space="0" w:color="auto"/>
            </w:tcBorders>
            <w:vAlign w:val="center"/>
          </w:tcPr>
          <w:p w14:paraId="09771B75" w14:textId="54648830"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tcBorders>
              <w:top w:val="single" w:sz="4" w:space="0" w:color="auto"/>
            </w:tcBorders>
            <w:vAlign w:val="center"/>
          </w:tcPr>
          <w:p w14:paraId="5C00DBFF" w14:textId="2FC97048"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tcBorders>
              <w:top w:val="single" w:sz="4" w:space="0" w:color="auto"/>
            </w:tcBorders>
            <w:vAlign w:val="center"/>
          </w:tcPr>
          <w:p w14:paraId="39651911" w14:textId="5DE541A3"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0D788C91" w14:textId="77777777" w:rsidTr="00866DBF">
        <w:tc>
          <w:tcPr>
            <w:tcW w:w="710" w:type="pct"/>
            <w:vMerge/>
          </w:tcPr>
          <w:p w14:paraId="6EDAB625" w14:textId="7D202F6B"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578A99AF" w14:textId="1A1ADD15" w:rsidR="00866DBF" w:rsidRPr="00A5487A" w:rsidRDefault="00866DBF" w:rsidP="00A5487A">
            <w:pPr>
              <w:spacing w:before="60" w:afterLines="60" w:after="144" w:line="240" w:lineRule="auto"/>
              <w:ind w:left="0" w:right="0"/>
              <w:rPr>
                <w:sz w:val="20"/>
                <w:szCs w:val="20"/>
              </w:rPr>
            </w:pPr>
            <w:r w:rsidRPr="00A5487A">
              <w:rPr>
                <w:sz w:val="20"/>
                <w:szCs w:val="20"/>
              </w:rPr>
              <w:t>Pulmonary haemorrhage</w:t>
            </w:r>
          </w:p>
        </w:tc>
        <w:tc>
          <w:tcPr>
            <w:tcW w:w="688" w:type="pct"/>
            <w:vAlign w:val="center"/>
          </w:tcPr>
          <w:p w14:paraId="40256B0D" w14:textId="3F13EEFE"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7B36AC4E" w14:textId="7AC46BDF"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0948737" w14:textId="5C6B55E7"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7B7D3574" w14:textId="1CCB5D8E"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59013148" w14:textId="77777777" w:rsidTr="00866DBF">
        <w:tc>
          <w:tcPr>
            <w:tcW w:w="710" w:type="pct"/>
            <w:vMerge/>
          </w:tcPr>
          <w:p w14:paraId="64B56007" w14:textId="558DDAC9"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1D31E614" w14:textId="13A022DB" w:rsidR="00866DBF" w:rsidRPr="00A5487A" w:rsidRDefault="00866DBF" w:rsidP="00A5487A">
            <w:pPr>
              <w:spacing w:before="60" w:afterLines="60" w:after="144" w:line="240" w:lineRule="auto"/>
              <w:ind w:left="0" w:right="0"/>
              <w:rPr>
                <w:sz w:val="20"/>
                <w:szCs w:val="20"/>
              </w:rPr>
            </w:pPr>
            <w:r w:rsidRPr="00A5487A">
              <w:rPr>
                <w:sz w:val="20"/>
                <w:szCs w:val="20"/>
              </w:rPr>
              <w:t>Proteinuria</w:t>
            </w:r>
          </w:p>
        </w:tc>
        <w:tc>
          <w:tcPr>
            <w:tcW w:w="688" w:type="pct"/>
            <w:vAlign w:val="center"/>
          </w:tcPr>
          <w:p w14:paraId="6054C6F3" w14:textId="40D0D3DF"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1E545892" w14:textId="265CF033"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61CBED6C" w14:textId="5677945D"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24D6A192" w14:textId="4483AAB2"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614CEC9D" w14:textId="77777777" w:rsidTr="00866DBF">
        <w:tc>
          <w:tcPr>
            <w:tcW w:w="710" w:type="pct"/>
            <w:vMerge/>
          </w:tcPr>
          <w:p w14:paraId="1DCC8FCB" w14:textId="77777777" w:rsidR="00866DBF" w:rsidRPr="00A5487A" w:rsidRDefault="00866DBF" w:rsidP="00A5487A">
            <w:pPr>
              <w:spacing w:before="60" w:afterLines="60" w:after="144" w:line="240" w:lineRule="auto"/>
              <w:ind w:left="0" w:right="0"/>
              <w:rPr>
                <w:sz w:val="20"/>
                <w:szCs w:val="20"/>
              </w:rPr>
            </w:pPr>
          </w:p>
        </w:tc>
        <w:tc>
          <w:tcPr>
            <w:tcW w:w="1367" w:type="pct"/>
          </w:tcPr>
          <w:p w14:paraId="4BB52328" w14:textId="6328E2F9" w:rsidR="00866DBF" w:rsidRPr="00A5487A" w:rsidRDefault="00866DBF" w:rsidP="00A5487A">
            <w:pPr>
              <w:spacing w:before="60" w:afterLines="60" w:after="144" w:line="240" w:lineRule="auto"/>
              <w:ind w:left="0" w:right="0"/>
              <w:rPr>
                <w:sz w:val="20"/>
                <w:szCs w:val="20"/>
              </w:rPr>
            </w:pPr>
            <w:r w:rsidRPr="00A5487A">
              <w:rPr>
                <w:sz w:val="20"/>
                <w:szCs w:val="20"/>
              </w:rPr>
              <w:t>Arterial thromboembolic events</w:t>
            </w:r>
          </w:p>
        </w:tc>
        <w:tc>
          <w:tcPr>
            <w:tcW w:w="688" w:type="pct"/>
            <w:vAlign w:val="center"/>
          </w:tcPr>
          <w:p w14:paraId="0A03ECFF" w14:textId="0A38529F"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r w:rsidRPr="00A5487A">
              <w:rPr>
                <w:sz w:val="20"/>
                <w:szCs w:val="20"/>
              </w:rPr>
              <w:t>*</w:t>
            </w:r>
          </w:p>
        </w:tc>
        <w:tc>
          <w:tcPr>
            <w:tcW w:w="728" w:type="pct"/>
            <w:vAlign w:val="center"/>
          </w:tcPr>
          <w:p w14:paraId="7F128926" w14:textId="2DC65D14"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55EE6BB" w14:textId="2DED8E66"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05246BEC" w14:textId="0D7CB97F"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3FD120FF" w14:textId="77777777" w:rsidTr="00866DBF">
        <w:tc>
          <w:tcPr>
            <w:tcW w:w="710" w:type="pct"/>
            <w:vMerge/>
          </w:tcPr>
          <w:p w14:paraId="2EA8B0A3" w14:textId="77777777" w:rsidR="00866DBF" w:rsidRPr="00A5487A" w:rsidRDefault="00866DBF" w:rsidP="00A5487A">
            <w:pPr>
              <w:spacing w:before="60" w:afterLines="60" w:after="144" w:line="240" w:lineRule="auto"/>
              <w:ind w:left="0" w:right="0"/>
              <w:rPr>
                <w:sz w:val="20"/>
                <w:szCs w:val="20"/>
              </w:rPr>
            </w:pPr>
          </w:p>
        </w:tc>
        <w:tc>
          <w:tcPr>
            <w:tcW w:w="1367" w:type="pct"/>
          </w:tcPr>
          <w:p w14:paraId="188D260C" w14:textId="3FA265FB" w:rsidR="00866DBF" w:rsidRPr="00A5487A" w:rsidRDefault="00866DBF" w:rsidP="00A5487A">
            <w:pPr>
              <w:spacing w:before="60" w:afterLines="60" w:after="144" w:line="240" w:lineRule="auto"/>
              <w:ind w:left="0" w:right="0"/>
              <w:rPr>
                <w:sz w:val="20"/>
                <w:szCs w:val="20"/>
              </w:rPr>
            </w:pPr>
            <w:r w:rsidRPr="00A5487A">
              <w:rPr>
                <w:sz w:val="20"/>
                <w:szCs w:val="20"/>
              </w:rPr>
              <w:t>Hypertension</w:t>
            </w:r>
          </w:p>
        </w:tc>
        <w:tc>
          <w:tcPr>
            <w:tcW w:w="688" w:type="pct"/>
            <w:vAlign w:val="center"/>
          </w:tcPr>
          <w:p w14:paraId="53FDBE1D" w14:textId="04E4F9D5"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79F9631D" w14:textId="5F5118CC"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613630A" w14:textId="453141B2"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6F5C37AF" w14:textId="0DB21F9C"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62C13F82" w14:textId="77777777" w:rsidTr="00866DBF">
        <w:tc>
          <w:tcPr>
            <w:tcW w:w="710" w:type="pct"/>
            <w:vMerge/>
          </w:tcPr>
          <w:p w14:paraId="6E608E3F" w14:textId="3E0F4229"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093DF87B" w14:textId="542F2028" w:rsidR="00866DBF" w:rsidRPr="00A5487A" w:rsidRDefault="00866DBF" w:rsidP="00A5487A">
            <w:pPr>
              <w:spacing w:before="60" w:afterLines="60" w:after="144" w:line="240" w:lineRule="auto"/>
              <w:ind w:left="0" w:right="0"/>
              <w:rPr>
                <w:sz w:val="20"/>
                <w:szCs w:val="20"/>
              </w:rPr>
            </w:pPr>
            <w:r w:rsidRPr="00A5487A">
              <w:rPr>
                <w:sz w:val="20"/>
                <w:szCs w:val="20"/>
              </w:rPr>
              <w:t>Congestive heart failure</w:t>
            </w:r>
          </w:p>
        </w:tc>
        <w:tc>
          <w:tcPr>
            <w:tcW w:w="688" w:type="pct"/>
            <w:vAlign w:val="center"/>
          </w:tcPr>
          <w:p w14:paraId="0937FD1E" w14:textId="05736444"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r w:rsidRPr="00A5487A">
              <w:rPr>
                <w:sz w:val="20"/>
                <w:szCs w:val="20"/>
              </w:rPr>
              <w:t>*</w:t>
            </w:r>
          </w:p>
        </w:tc>
        <w:tc>
          <w:tcPr>
            <w:tcW w:w="728" w:type="pct"/>
            <w:vAlign w:val="center"/>
          </w:tcPr>
          <w:p w14:paraId="2972483F" w14:textId="36DA27D8"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1464D270" w14:textId="6A376A93"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204A7041" w14:textId="6B0072D3"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454A570E" w14:textId="77777777" w:rsidTr="00866DBF">
        <w:tc>
          <w:tcPr>
            <w:tcW w:w="710" w:type="pct"/>
            <w:vMerge/>
          </w:tcPr>
          <w:p w14:paraId="2AAE4C86" w14:textId="0010439C"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7BBA728A" w14:textId="2EF178E5" w:rsidR="00866DBF" w:rsidRPr="00A5487A" w:rsidRDefault="00866DBF" w:rsidP="00A5487A">
            <w:pPr>
              <w:spacing w:before="60" w:afterLines="60" w:after="144" w:line="240" w:lineRule="auto"/>
              <w:ind w:left="0" w:right="0"/>
              <w:rPr>
                <w:sz w:val="20"/>
                <w:szCs w:val="20"/>
              </w:rPr>
            </w:pPr>
            <w:r w:rsidRPr="00A5487A">
              <w:rPr>
                <w:sz w:val="20"/>
                <w:szCs w:val="20"/>
              </w:rPr>
              <w:t>Wound healing complications</w:t>
            </w:r>
          </w:p>
        </w:tc>
        <w:tc>
          <w:tcPr>
            <w:tcW w:w="688" w:type="pct"/>
            <w:vAlign w:val="center"/>
          </w:tcPr>
          <w:p w14:paraId="0B4624D2" w14:textId="0B41F84D"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3AC90B60" w14:textId="7CDF47F5"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5FD61059" w14:textId="1CD885BB"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4DC62370" w14:textId="398F16FF"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68835B38" w14:textId="77777777" w:rsidTr="00866DBF">
        <w:tc>
          <w:tcPr>
            <w:tcW w:w="710" w:type="pct"/>
            <w:vMerge/>
          </w:tcPr>
          <w:p w14:paraId="4FFA85FB" w14:textId="77777777" w:rsidR="00866DBF" w:rsidRPr="00A5487A" w:rsidRDefault="00866DBF" w:rsidP="00A5487A">
            <w:pPr>
              <w:spacing w:before="60" w:afterLines="60" w:after="144" w:line="240" w:lineRule="auto"/>
              <w:ind w:left="0" w:right="0"/>
              <w:rPr>
                <w:sz w:val="20"/>
                <w:szCs w:val="20"/>
              </w:rPr>
            </w:pPr>
          </w:p>
        </w:tc>
        <w:tc>
          <w:tcPr>
            <w:tcW w:w="1367" w:type="pct"/>
          </w:tcPr>
          <w:p w14:paraId="58F2DC7A" w14:textId="00B7C548" w:rsidR="00866DBF" w:rsidRPr="00A5487A" w:rsidRDefault="00866DBF" w:rsidP="00A5487A">
            <w:pPr>
              <w:spacing w:before="60" w:afterLines="60" w:after="144" w:line="240" w:lineRule="auto"/>
              <w:ind w:left="0" w:right="0"/>
              <w:rPr>
                <w:sz w:val="20"/>
                <w:szCs w:val="20"/>
              </w:rPr>
            </w:pPr>
            <w:r w:rsidRPr="00A5487A">
              <w:rPr>
                <w:sz w:val="20"/>
                <w:szCs w:val="20"/>
              </w:rPr>
              <w:t>Gastrointestinal perforations</w:t>
            </w:r>
          </w:p>
        </w:tc>
        <w:tc>
          <w:tcPr>
            <w:tcW w:w="688" w:type="pct"/>
            <w:vAlign w:val="center"/>
          </w:tcPr>
          <w:p w14:paraId="48F4E4C9" w14:textId="41721A17"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78011C8B" w14:textId="515FBBF2"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B884AFD" w14:textId="60BA19B7"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5DB0F3BC" w14:textId="5E796369"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7E8D77FF" w14:textId="77777777" w:rsidTr="00866DBF">
        <w:tc>
          <w:tcPr>
            <w:tcW w:w="710" w:type="pct"/>
            <w:vMerge/>
          </w:tcPr>
          <w:p w14:paraId="13403E65" w14:textId="77777777" w:rsidR="00866DBF" w:rsidRPr="00A5487A" w:rsidRDefault="00866DBF" w:rsidP="00A5487A">
            <w:pPr>
              <w:spacing w:before="60" w:afterLines="60" w:after="144" w:line="240" w:lineRule="auto"/>
              <w:ind w:left="0" w:right="0"/>
              <w:rPr>
                <w:sz w:val="20"/>
                <w:szCs w:val="20"/>
              </w:rPr>
            </w:pPr>
          </w:p>
        </w:tc>
        <w:tc>
          <w:tcPr>
            <w:tcW w:w="1367" w:type="pct"/>
          </w:tcPr>
          <w:p w14:paraId="22A670B3" w14:textId="06FE99EA" w:rsidR="00866DBF" w:rsidRPr="00A5487A" w:rsidRDefault="00866DBF" w:rsidP="00A5487A">
            <w:pPr>
              <w:spacing w:before="60" w:afterLines="60" w:after="144" w:line="240" w:lineRule="auto"/>
              <w:ind w:left="0" w:right="0"/>
              <w:rPr>
                <w:sz w:val="20"/>
                <w:szCs w:val="20"/>
              </w:rPr>
            </w:pPr>
            <w:r w:rsidRPr="00A5487A">
              <w:rPr>
                <w:sz w:val="20"/>
                <w:szCs w:val="20"/>
              </w:rPr>
              <w:t>Reversible posterior leukoencephalopathy syndrome</w:t>
            </w:r>
          </w:p>
        </w:tc>
        <w:tc>
          <w:tcPr>
            <w:tcW w:w="688" w:type="pct"/>
            <w:vAlign w:val="center"/>
          </w:tcPr>
          <w:p w14:paraId="1E9A507D" w14:textId="71E79C7E"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663E4BDB" w14:textId="5D6B7672"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04438DD3" w14:textId="7EABEA2C"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7EF0FFAC" w14:textId="2443965E"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6F0EEDA8" w14:textId="77777777" w:rsidTr="00866DBF">
        <w:tc>
          <w:tcPr>
            <w:tcW w:w="710" w:type="pct"/>
            <w:vMerge/>
          </w:tcPr>
          <w:p w14:paraId="72E9E76C" w14:textId="0AFE60F6"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12600443" w14:textId="7FA5F181" w:rsidR="00866DBF" w:rsidRPr="00A5487A" w:rsidRDefault="00866DBF" w:rsidP="00A5487A">
            <w:pPr>
              <w:spacing w:before="60" w:afterLines="60" w:after="144" w:line="240" w:lineRule="auto"/>
              <w:ind w:left="0" w:right="0"/>
              <w:rPr>
                <w:sz w:val="20"/>
                <w:szCs w:val="20"/>
              </w:rPr>
            </w:pPr>
            <w:r w:rsidRPr="00A5487A">
              <w:rPr>
                <w:sz w:val="20"/>
                <w:szCs w:val="20"/>
              </w:rPr>
              <w:t>Neutrop</w:t>
            </w:r>
            <w:r w:rsidR="0090056C">
              <w:rPr>
                <w:sz w:val="20"/>
                <w:szCs w:val="20"/>
              </w:rPr>
              <w:t>a</w:t>
            </w:r>
            <w:r w:rsidRPr="00A5487A">
              <w:rPr>
                <w:sz w:val="20"/>
                <w:szCs w:val="20"/>
              </w:rPr>
              <w:t>enia</w:t>
            </w:r>
          </w:p>
        </w:tc>
        <w:tc>
          <w:tcPr>
            <w:tcW w:w="688" w:type="pct"/>
            <w:vAlign w:val="center"/>
          </w:tcPr>
          <w:p w14:paraId="49F8DF89" w14:textId="4FEC5BB4"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089032B8" w14:textId="3986F423"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6B076E9F" w14:textId="0950C433"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1EF66F0C" w14:textId="7A839810"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735FDDA0" w14:textId="77777777" w:rsidTr="00866DBF">
        <w:tc>
          <w:tcPr>
            <w:tcW w:w="710" w:type="pct"/>
            <w:vMerge/>
          </w:tcPr>
          <w:p w14:paraId="2AC03F1E" w14:textId="66A3883C"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2C4229C2" w14:textId="13653973" w:rsidR="00866DBF" w:rsidRPr="00A5487A" w:rsidRDefault="00866DBF" w:rsidP="00A5487A">
            <w:pPr>
              <w:spacing w:before="60" w:afterLines="60" w:after="144" w:line="240" w:lineRule="auto"/>
              <w:ind w:left="0" w:right="0"/>
              <w:rPr>
                <w:sz w:val="20"/>
                <w:szCs w:val="20"/>
              </w:rPr>
            </w:pPr>
            <w:r w:rsidRPr="00A5487A">
              <w:rPr>
                <w:sz w:val="20"/>
                <w:szCs w:val="20"/>
              </w:rPr>
              <w:t>Venous thromboembolic events</w:t>
            </w:r>
          </w:p>
        </w:tc>
        <w:tc>
          <w:tcPr>
            <w:tcW w:w="688" w:type="pct"/>
            <w:vAlign w:val="center"/>
          </w:tcPr>
          <w:p w14:paraId="0387E786" w14:textId="256D9F37"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0148B260" w14:textId="7981CF21"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2CFF0486" w14:textId="03F41024"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5CEFB782" w14:textId="451BDEF7"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6CD81656" w14:textId="77777777" w:rsidTr="00866DBF">
        <w:tc>
          <w:tcPr>
            <w:tcW w:w="710" w:type="pct"/>
            <w:vMerge/>
          </w:tcPr>
          <w:p w14:paraId="3FC641E7" w14:textId="77777777" w:rsidR="00866DBF" w:rsidRPr="00A5487A" w:rsidRDefault="00866DBF" w:rsidP="00A5487A">
            <w:pPr>
              <w:spacing w:before="60" w:afterLines="60" w:after="144" w:line="240" w:lineRule="auto"/>
              <w:ind w:left="0" w:right="0"/>
              <w:rPr>
                <w:sz w:val="20"/>
                <w:szCs w:val="20"/>
              </w:rPr>
            </w:pPr>
          </w:p>
        </w:tc>
        <w:tc>
          <w:tcPr>
            <w:tcW w:w="1367" w:type="pct"/>
          </w:tcPr>
          <w:p w14:paraId="33DB21A5" w14:textId="2D59B8EF" w:rsidR="00866DBF" w:rsidRPr="00A5487A" w:rsidRDefault="00866DBF" w:rsidP="00A5487A">
            <w:pPr>
              <w:spacing w:before="60" w:afterLines="60" w:after="144" w:line="240" w:lineRule="auto"/>
              <w:ind w:left="0" w:right="0"/>
              <w:rPr>
                <w:sz w:val="20"/>
                <w:szCs w:val="20"/>
              </w:rPr>
            </w:pPr>
            <w:r w:rsidRPr="00A5487A">
              <w:rPr>
                <w:sz w:val="20"/>
                <w:szCs w:val="20"/>
              </w:rPr>
              <w:t>Fistula (other than gastrointestinal)</w:t>
            </w:r>
          </w:p>
        </w:tc>
        <w:tc>
          <w:tcPr>
            <w:tcW w:w="688" w:type="pct"/>
            <w:vAlign w:val="center"/>
          </w:tcPr>
          <w:p w14:paraId="795EC929" w14:textId="594571CF"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78A691E7" w14:textId="582C085C"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083C5513" w14:textId="2C499C6C"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29383864" w14:textId="1F029D66"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42C2D495" w14:textId="77777777" w:rsidTr="00866DBF">
        <w:tc>
          <w:tcPr>
            <w:tcW w:w="710" w:type="pct"/>
            <w:vMerge/>
          </w:tcPr>
          <w:p w14:paraId="03DF5069" w14:textId="2AAE482E"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291C8C82" w14:textId="66187F97" w:rsidR="00866DBF" w:rsidRPr="00A5487A" w:rsidRDefault="00866DBF" w:rsidP="00A5487A">
            <w:pPr>
              <w:spacing w:before="60" w:afterLines="60" w:after="144" w:line="240" w:lineRule="auto"/>
              <w:ind w:left="0" w:right="0"/>
              <w:rPr>
                <w:sz w:val="20"/>
                <w:szCs w:val="20"/>
              </w:rPr>
            </w:pPr>
            <w:r w:rsidRPr="00A5487A">
              <w:rPr>
                <w:sz w:val="20"/>
                <w:szCs w:val="20"/>
              </w:rPr>
              <w:t>Thrombotic microangiopathy</w:t>
            </w:r>
          </w:p>
        </w:tc>
        <w:tc>
          <w:tcPr>
            <w:tcW w:w="688" w:type="pct"/>
            <w:vAlign w:val="center"/>
          </w:tcPr>
          <w:p w14:paraId="677CF3AA" w14:textId="425D1471"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47473230" w14:textId="07E60A59"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21F13199" w14:textId="1F279CE6"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115D48E9" w14:textId="4DBAEF9B"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525694A5" w14:textId="77777777" w:rsidTr="00866DBF">
        <w:tc>
          <w:tcPr>
            <w:tcW w:w="710" w:type="pct"/>
            <w:vMerge/>
          </w:tcPr>
          <w:p w14:paraId="47622BF9" w14:textId="42980264"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1C3DD31D" w14:textId="54E3AABB" w:rsidR="00866DBF" w:rsidRPr="00A5487A" w:rsidRDefault="00866DBF" w:rsidP="00A5487A">
            <w:pPr>
              <w:spacing w:before="60" w:afterLines="60" w:after="144" w:line="240" w:lineRule="auto"/>
              <w:ind w:left="0" w:right="0"/>
              <w:rPr>
                <w:sz w:val="20"/>
                <w:szCs w:val="20"/>
              </w:rPr>
            </w:pPr>
            <w:r w:rsidRPr="00A5487A">
              <w:rPr>
                <w:sz w:val="20"/>
                <w:szCs w:val="20"/>
              </w:rPr>
              <w:t>Pulmonary hypertension</w:t>
            </w:r>
          </w:p>
        </w:tc>
        <w:tc>
          <w:tcPr>
            <w:tcW w:w="688" w:type="pct"/>
            <w:vAlign w:val="center"/>
          </w:tcPr>
          <w:p w14:paraId="5AB2C13D" w14:textId="1786F529"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0AD8C958" w14:textId="2F77F64B"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1392CFE4" w14:textId="28307144"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39B0E539" w14:textId="65760542"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79B414BC" w14:textId="77777777" w:rsidTr="00866DBF">
        <w:tc>
          <w:tcPr>
            <w:tcW w:w="710" w:type="pct"/>
            <w:vMerge/>
          </w:tcPr>
          <w:p w14:paraId="5E916F15" w14:textId="77777777" w:rsidR="00866DBF" w:rsidRPr="00A5487A" w:rsidRDefault="00866DBF" w:rsidP="00A5487A">
            <w:pPr>
              <w:spacing w:before="60" w:afterLines="60" w:after="144" w:line="240" w:lineRule="auto"/>
              <w:ind w:left="0" w:right="0"/>
              <w:rPr>
                <w:sz w:val="20"/>
                <w:szCs w:val="20"/>
              </w:rPr>
            </w:pPr>
          </w:p>
        </w:tc>
        <w:tc>
          <w:tcPr>
            <w:tcW w:w="1367" w:type="pct"/>
          </w:tcPr>
          <w:p w14:paraId="0C5F5D1C" w14:textId="3D19B0D5" w:rsidR="00866DBF" w:rsidRPr="00A5487A" w:rsidRDefault="00866DBF" w:rsidP="00A5487A">
            <w:pPr>
              <w:spacing w:before="60" w:afterLines="60" w:after="144" w:line="240" w:lineRule="auto"/>
              <w:ind w:left="0" w:right="0"/>
              <w:rPr>
                <w:sz w:val="20"/>
                <w:szCs w:val="20"/>
              </w:rPr>
            </w:pPr>
            <w:r w:rsidRPr="00A5487A">
              <w:rPr>
                <w:sz w:val="20"/>
                <w:szCs w:val="20"/>
              </w:rPr>
              <w:t>Ovarian failure</w:t>
            </w:r>
          </w:p>
        </w:tc>
        <w:tc>
          <w:tcPr>
            <w:tcW w:w="688" w:type="pct"/>
            <w:vAlign w:val="center"/>
          </w:tcPr>
          <w:p w14:paraId="2D596F46" w14:textId="7BB4A0B8"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4183C4E7" w14:textId="5B86BAB0"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01027E1C" w14:textId="5AB4D7EA"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7725A190" w14:textId="66CC0E03"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376D6095" w14:textId="77777777" w:rsidTr="00866DBF">
        <w:tc>
          <w:tcPr>
            <w:tcW w:w="710" w:type="pct"/>
            <w:vMerge/>
          </w:tcPr>
          <w:p w14:paraId="60EE7FEC" w14:textId="5CA088F9"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38AE5D92" w14:textId="1DA1C09C" w:rsidR="00866DBF" w:rsidRPr="00A5487A" w:rsidRDefault="00866DBF" w:rsidP="00A5487A">
            <w:pPr>
              <w:spacing w:before="60" w:afterLines="60" w:after="144" w:line="240" w:lineRule="auto"/>
              <w:ind w:left="0" w:right="0"/>
              <w:rPr>
                <w:sz w:val="20"/>
                <w:szCs w:val="20"/>
              </w:rPr>
            </w:pPr>
            <w:r w:rsidRPr="00A5487A">
              <w:rPr>
                <w:sz w:val="20"/>
                <w:szCs w:val="20"/>
              </w:rPr>
              <w:t>Hypersensitivity reactions/infusion reactions</w:t>
            </w:r>
          </w:p>
        </w:tc>
        <w:tc>
          <w:tcPr>
            <w:tcW w:w="688" w:type="pct"/>
            <w:vAlign w:val="center"/>
          </w:tcPr>
          <w:p w14:paraId="577D8A6F" w14:textId="3D427968"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144885E7" w14:textId="3A386F56"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C430D27" w14:textId="221406F1"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3D45BCEB" w14:textId="755B1713"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25497E92" w14:textId="77777777" w:rsidTr="00866DBF">
        <w:tc>
          <w:tcPr>
            <w:tcW w:w="710" w:type="pct"/>
            <w:vMerge/>
          </w:tcPr>
          <w:p w14:paraId="7A1F0C77" w14:textId="2702C822"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142E375B" w14:textId="6166E35B" w:rsidR="00866DBF" w:rsidRPr="00A5487A" w:rsidRDefault="00866DBF" w:rsidP="00A5487A">
            <w:pPr>
              <w:spacing w:before="60" w:afterLines="60" w:after="144" w:line="240" w:lineRule="auto"/>
              <w:ind w:left="0" w:right="0"/>
              <w:rPr>
                <w:sz w:val="20"/>
                <w:szCs w:val="20"/>
              </w:rPr>
            </w:pPr>
            <w:r w:rsidRPr="00A5487A">
              <w:rPr>
                <w:sz w:val="20"/>
                <w:szCs w:val="20"/>
              </w:rPr>
              <w:t>Gall bladder perforation</w:t>
            </w:r>
          </w:p>
        </w:tc>
        <w:tc>
          <w:tcPr>
            <w:tcW w:w="688" w:type="pct"/>
            <w:vAlign w:val="center"/>
          </w:tcPr>
          <w:p w14:paraId="3B885161" w14:textId="429137B4"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4C0E56EE" w14:textId="5812BB59"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33858075" w14:textId="61AA1FB2"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5D29BD21" w14:textId="568ECBC0"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542EC71B" w14:textId="77777777" w:rsidTr="00866DBF">
        <w:tc>
          <w:tcPr>
            <w:tcW w:w="710" w:type="pct"/>
            <w:vMerge/>
          </w:tcPr>
          <w:p w14:paraId="0F8969E1" w14:textId="77777777" w:rsidR="00866DBF" w:rsidRPr="00A5487A" w:rsidRDefault="00866DBF" w:rsidP="00A5487A">
            <w:pPr>
              <w:spacing w:before="60" w:afterLines="60" w:after="144" w:line="240" w:lineRule="auto"/>
              <w:ind w:left="0" w:right="0"/>
              <w:rPr>
                <w:sz w:val="20"/>
                <w:szCs w:val="20"/>
              </w:rPr>
            </w:pPr>
          </w:p>
        </w:tc>
        <w:tc>
          <w:tcPr>
            <w:tcW w:w="1367" w:type="pct"/>
          </w:tcPr>
          <w:p w14:paraId="25AF911D" w14:textId="432D0D39" w:rsidR="00866DBF" w:rsidRPr="00A5487A" w:rsidRDefault="00866DBF" w:rsidP="00A5487A">
            <w:pPr>
              <w:spacing w:before="60" w:afterLines="60" w:after="144" w:line="240" w:lineRule="auto"/>
              <w:ind w:left="0" w:right="0"/>
              <w:rPr>
                <w:sz w:val="20"/>
                <w:szCs w:val="20"/>
              </w:rPr>
            </w:pPr>
            <w:r w:rsidRPr="00A5487A">
              <w:rPr>
                <w:sz w:val="20"/>
                <w:szCs w:val="20"/>
              </w:rPr>
              <w:t>Peripheral sensory neuropathy</w:t>
            </w:r>
          </w:p>
        </w:tc>
        <w:tc>
          <w:tcPr>
            <w:tcW w:w="688" w:type="pct"/>
            <w:vAlign w:val="center"/>
          </w:tcPr>
          <w:p w14:paraId="5F2999EC" w14:textId="3F2B67A8"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5B5EDE19" w14:textId="7F3468E0"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50C37A47" w14:textId="18A85935"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617B59BE" w14:textId="0D72F53D"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2C13C8A8" w14:textId="77777777" w:rsidTr="00866DBF">
        <w:tc>
          <w:tcPr>
            <w:tcW w:w="710" w:type="pct"/>
            <w:vMerge/>
          </w:tcPr>
          <w:p w14:paraId="465AAA8F" w14:textId="30C490FA"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1F4DFC87" w14:textId="14E8219B" w:rsidR="00866DBF" w:rsidRPr="00A5487A" w:rsidRDefault="00866DBF" w:rsidP="00A5487A">
            <w:pPr>
              <w:spacing w:before="60" w:afterLines="60" w:after="144" w:line="240" w:lineRule="auto"/>
              <w:ind w:left="0" w:right="0"/>
              <w:rPr>
                <w:sz w:val="20"/>
                <w:szCs w:val="20"/>
              </w:rPr>
            </w:pPr>
            <w:r w:rsidRPr="00A5487A">
              <w:rPr>
                <w:sz w:val="20"/>
                <w:szCs w:val="20"/>
              </w:rPr>
              <w:t>Cardiac disorders (excluding congestive heart failure and arterial thromboembolic events)</w:t>
            </w:r>
          </w:p>
        </w:tc>
        <w:tc>
          <w:tcPr>
            <w:tcW w:w="688" w:type="pct"/>
            <w:vAlign w:val="center"/>
          </w:tcPr>
          <w:p w14:paraId="080D64BD" w14:textId="0E36D45E"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0DDD92F3" w14:textId="687DDE42"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0904D313" w14:textId="3FC46816"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085B27D5" w14:textId="6CD9F339"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7B607A3F" w14:textId="77777777" w:rsidTr="00866DBF">
        <w:tc>
          <w:tcPr>
            <w:tcW w:w="710" w:type="pct"/>
            <w:vMerge/>
          </w:tcPr>
          <w:p w14:paraId="0E05AA4E" w14:textId="49C1E9CB"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0A631A93" w14:textId="6DED93A0" w:rsidR="00866DBF" w:rsidRPr="00A5487A" w:rsidRDefault="00866DBF" w:rsidP="00A5487A">
            <w:pPr>
              <w:spacing w:before="60" w:afterLines="60" w:after="144" w:line="240" w:lineRule="auto"/>
              <w:ind w:left="0" w:right="0"/>
              <w:rPr>
                <w:sz w:val="20"/>
                <w:szCs w:val="20"/>
              </w:rPr>
            </w:pPr>
            <w:r w:rsidRPr="00A5487A">
              <w:rPr>
                <w:sz w:val="20"/>
                <w:szCs w:val="20"/>
              </w:rPr>
              <w:t>Osteonecrosis of the jaw</w:t>
            </w:r>
          </w:p>
        </w:tc>
        <w:tc>
          <w:tcPr>
            <w:tcW w:w="688" w:type="pct"/>
            <w:vAlign w:val="center"/>
          </w:tcPr>
          <w:p w14:paraId="69515E0D" w14:textId="0054CCBE"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r w:rsidRPr="00A5487A">
              <w:rPr>
                <w:sz w:val="20"/>
                <w:szCs w:val="20"/>
              </w:rPr>
              <w:t>*</w:t>
            </w:r>
          </w:p>
        </w:tc>
        <w:tc>
          <w:tcPr>
            <w:tcW w:w="728" w:type="pct"/>
            <w:vAlign w:val="center"/>
          </w:tcPr>
          <w:p w14:paraId="16FF41A3" w14:textId="503F5264"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1A99589" w14:textId="2848971B"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5985C196" w14:textId="03D9A155"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307AB6C4" w14:textId="77777777" w:rsidTr="00866DBF">
        <w:tc>
          <w:tcPr>
            <w:tcW w:w="710" w:type="pct"/>
            <w:vMerge/>
          </w:tcPr>
          <w:p w14:paraId="3F3EAC29" w14:textId="77777777" w:rsidR="00866DBF" w:rsidRPr="00A5487A" w:rsidRDefault="00866DBF" w:rsidP="00A5487A">
            <w:pPr>
              <w:spacing w:before="60" w:afterLines="60" w:after="144" w:line="240" w:lineRule="auto"/>
              <w:ind w:left="0" w:right="0"/>
              <w:rPr>
                <w:sz w:val="20"/>
                <w:szCs w:val="20"/>
              </w:rPr>
            </w:pPr>
          </w:p>
        </w:tc>
        <w:tc>
          <w:tcPr>
            <w:tcW w:w="1367" w:type="pct"/>
          </w:tcPr>
          <w:p w14:paraId="625F82AD" w14:textId="50BCAEB2" w:rsidR="00866DBF" w:rsidRPr="00A5487A" w:rsidRDefault="00866DBF" w:rsidP="00A5487A">
            <w:pPr>
              <w:spacing w:before="60" w:afterLines="60" w:after="144" w:line="240" w:lineRule="auto"/>
              <w:ind w:left="0" w:right="0"/>
              <w:rPr>
                <w:sz w:val="20"/>
                <w:szCs w:val="20"/>
              </w:rPr>
            </w:pPr>
            <w:r w:rsidRPr="00A5487A">
              <w:rPr>
                <w:sz w:val="20"/>
                <w:szCs w:val="20"/>
              </w:rPr>
              <w:t>Necrotising fasciitis</w:t>
            </w:r>
          </w:p>
        </w:tc>
        <w:tc>
          <w:tcPr>
            <w:tcW w:w="688" w:type="pct"/>
            <w:vAlign w:val="center"/>
          </w:tcPr>
          <w:p w14:paraId="0E82140B" w14:textId="4F0EE809"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05250244" w14:textId="09E876EB"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3C55D8FE" w14:textId="3626BA16"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77D48EE4" w14:textId="06BDB7FC"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794C1169" w14:textId="77777777" w:rsidTr="00866DBF">
        <w:tc>
          <w:tcPr>
            <w:tcW w:w="710" w:type="pct"/>
            <w:vMerge/>
          </w:tcPr>
          <w:p w14:paraId="605DA7A1" w14:textId="2F32FDC5"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bottom w:val="single" w:sz="4" w:space="0" w:color="auto"/>
            </w:tcBorders>
          </w:tcPr>
          <w:p w14:paraId="03F4AF5F" w14:textId="546EFF63" w:rsidR="00866DBF" w:rsidRPr="00A5487A" w:rsidRDefault="00866DBF" w:rsidP="00A5487A">
            <w:pPr>
              <w:spacing w:before="60" w:afterLines="60" w:after="144" w:line="240" w:lineRule="auto"/>
              <w:ind w:left="0" w:right="0"/>
              <w:rPr>
                <w:sz w:val="20"/>
                <w:szCs w:val="20"/>
              </w:rPr>
            </w:pPr>
            <w:r w:rsidRPr="00A5487A">
              <w:rPr>
                <w:sz w:val="20"/>
                <w:szCs w:val="20"/>
              </w:rPr>
              <w:t>Adverse events following off-label intravitreal use</w:t>
            </w:r>
          </w:p>
        </w:tc>
        <w:tc>
          <w:tcPr>
            <w:tcW w:w="688" w:type="pct"/>
            <w:vAlign w:val="center"/>
          </w:tcPr>
          <w:p w14:paraId="5AE32D5B" w14:textId="3747F7CB"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5CF887DB" w14:textId="5EF9F7E4"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327F3CE1" w14:textId="36A7DB2B"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4580CD2D" w14:textId="608FC554"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2ECCA142" w14:textId="77777777" w:rsidTr="00866DBF">
        <w:tc>
          <w:tcPr>
            <w:tcW w:w="710" w:type="pct"/>
            <w:vMerge/>
          </w:tcPr>
          <w:p w14:paraId="7644CFB8" w14:textId="36535EA8" w:rsidR="00866DBF" w:rsidRPr="00A5487A" w:rsidRDefault="00866DBF" w:rsidP="00A5487A">
            <w:pPr>
              <w:spacing w:before="60" w:afterLines="60" w:after="144" w:line="240" w:lineRule="auto"/>
              <w:ind w:left="0" w:right="0"/>
              <w:rPr>
                <w:sz w:val="20"/>
                <w:szCs w:val="20"/>
              </w:rPr>
            </w:pPr>
          </w:p>
        </w:tc>
        <w:tc>
          <w:tcPr>
            <w:tcW w:w="1367" w:type="pct"/>
            <w:tcBorders>
              <w:top w:val="single" w:sz="4" w:space="0" w:color="auto"/>
            </w:tcBorders>
          </w:tcPr>
          <w:p w14:paraId="48E1B94F" w14:textId="41484DC9" w:rsidR="00866DBF" w:rsidRPr="00A5487A" w:rsidRDefault="00866DBF" w:rsidP="00A5487A">
            <w:pPr>
              <w:spacing w:before="60" w:afterLines="60" w:after="144" w:line="240" w:lineRule="auto"/>
              <w:ind w:left="0" w:right="0"/>
              <w:rPr>
                <w:sz w:val="20"/>
                <w:szCs w:val="20"/>
              </w:rPr>
            </w:pPr>
            <w:r w:rsidRPr="00A5487A">
              <w:rPr>
                <w:sz w:val="20"/>
                <w:szCs w:val="20"/>
              </w:rPr>
              <w:t>Embryo-fetal development disturbance</w:t>
            </w:r>
          </w:p>
        </w:tc>
        <w:tc>
          <w:tcPr>
            <w:tcW w:w="688" w:type="pct"/>
            <w:vAlign w:val="center"/>
          </w:tcPr>
          <w:p w14:paraId="78906D3E" w14:textId="06921703"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168EE218" w14:textId="2D898C5B"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608807F1" w14:textId="10DA56BA"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028476C2" w14:textId="233DE4FB"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866DBF" w:rsidRPr="00A5487A" w14:paraId="2331B384" w14:textId="77777777" w:rsidTr="00866DBF">
        <w:tc>
          <w:tcPr>
            <w:tcW w:w="710" w:type="pct"/>
            <w:vMerge/>
          </w:tcPr>
          <w:p w14:paraId="7B531DF8" w14:textId="77777777" w:rsidR="00866DBF" w:rsidRPr="00A5487A" w:rsidRDefault="00866DBF" w:rsidP="00A5487A">
            <w:pPr>
              <w:spacing w:before="60" w:afterLines="60" w:after="144" w:line="240" w:lineRule="auto"/>
              <w:ind w:left="0" w:right="0"/>
              <w:rPr>
                <w:sz w:val="20"/>
                <w:szCs w:val="20"/>
              </w:rPr>
            </w:pPr>
          </w:p>
        </w:tc>
        <w:tc>
          <w:tcPr>
            <w:tcW w:w="1367" w:type="pct"/>
          </w:tcPr>
          <w:p w14:paraId="3EB19E64" w14:textId="0DDCE32D" w:rsidR="00866DBF" w:rsidRPr="00A5487A" w:rsidRDefault="00866DBF" w:rsidP="00A5487A">
            <w:pPr>
              <w:spacing w:before="60" w:afterLines="60" w:after="144" w:line="240" w:lineRule="auto"/>
              <w:ind w:left="0" w:right="0"/>
              <w:rPr>
                <w:sz w:val="20"/>
                <w:szCs w:val="20"/>
              </w:rPr>
            </w:pPr>
            <w:r w:rsidRPr="00A5487A">
              <w:rPr>
                <w:sz w:val="20"/>
                <w:szCs w:val="20"/>
              </w:rPr>
              <w:t>Osteonecrosis in children</w:t>
            </w:r>
          </w:p>
        </w:tc>
        <w:tc>
          <w:tcPr>
            <w:tcW w:w="688" w:type="pct"/>
            <w:vAlign w:val="center"/>
          </w:tcPr>
          <w:p w14:paraId="2CF5AFF0" w14:textId="188628A2"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3F16405D" w14:textId="6DD19236" w:rsidR="00866DBF" w:rsidRPr="00A5487A" w:rsidRDefault="00866DBF"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30BB0358" w14:textId="1BE306C6" w:rsidR="00866DBF" w:rsidRPr="00A5487A" w:rsidRDefault="00866DBF"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53B0080D" w14:textId="6F8795CB" w:rsidR="00866DBF" w:rsidRPr="00A5487A" w:rsidRDefault="00866DBF" w:rsidP="00A5487A">
            <w:pPr>
              <w:spacing w:before="60" w:afterLines="60" w:after="144" w:line="240" w:lineRule="auto"/>
              <w:ind w:left="0" w:right="0"/>
              <w:rPr>
                <w:sz w:val="20"/>
                <w:szCs w:val="20"/>
              </w:rPr>
            </w:pPr>
            <w:r w:rsidRPr="00A5487A">
              <w:rPr>
                <w:sz w:val="20"/>
                <w:szCs w:val="20"/>
              </w:rPr>
              <w:t>–</w:t>
            </w:r>
          </w:p>
        </w:tc>
      </w:tr>
      <w:tr w:rsidR="00612394" w:rsidRPr="00A5487A" w14:paraId="246FF893" w14:textId="77777777" w:rsidTr="00866DBF">
        <w:tc>
          <w:tcPr>
            <w:tcW w:w="710" w:type="pct"/>
          </w:tcPr>
          <w:p w14:paraId="6E6A8673" w14:textId="298C55F5" w:rsidR="00612394" w:rsidRPr="00A5487A" w:rsidRDefault="00866DBF" w:rsidP="00A5487A">
            <w:pPr>
              <w:spacing w:before="60" w:afterLines="60" w:after="144" w:line="240" w:lineRule="auto"/>
              <w:ind w:left="0" w:right="0"/>
              <w:rPr>
                <w:sz w:val="20"/>
                <w:szCs w:val="20"/>
              </w:rPr>
            </w:pPr>
            <w:r>
              <w:rPr>
                <w:sz w:val="20"/>
                <w:szCs w:val="20"/>
              </w:rPr>
              <w:t>Important potential risks</w:t>
            </w:r>
          </w:p>
        </w:tc>
        <w:tc>
          <w:tcPr>
            <w:tcW w:w="1367" w:type="pct"/>
          </w:tcPr>
          <w:p w14:paraId="07B4D7B3" w14:textId="1BC27D40" w:rsidR="00612394" w:rsidRPr="00A5487A" w:rsidRDefault="00612394" w:rsidP="00A5487A">
            <w:pPr>
              <w:spacing w:before="60" w:afterLines="60" w:after="144" w:line="240" w:lineRule="auto"/>
              <w:ind w:left="0" w:right="0"/>
              <w:rPr>
                <w:sz w:val="20"/>
                <w:szCs w:val="20"/>
              </w:rPr>
            </w:pPr>
            <w:r w:rsidRPr="00A5487A">
              <w:rPr>
                <w:sz w:val="20"/>
                <w:szCs w:val="20"/>
              </w:rPr>
              <w:t>None</w:t>
            </w:r>
          </w:p>
        </w:tc>
        <w:tc>
          <w:tcPr>
            <w:tcW w:w="688" w:type="pct"/>
            <w:vAlign w:val="center"/>
          </w:tcPr>
          <w:p w14:paraId="3FC3B37C" w14:textId="0F4BC869"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51C9847F" w14:textId="6954148C" w:rsidR="00612394" w:rsidRPr="00A5487A" w:rsidRDefault="00612394"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3AECDDEB" w14:textId="59A525BC"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2C0A5BC9" w14:textId="2FA58633" w:rsidR="00612394" w:rsidRPr="00A5487A" w:rsidRDefault="00612394" w:rsidP="00A5487A">
            <w:pPr>
              <w:spacing w:before="60" w:afterLines="60" w:after="144" w:line="240" w:lineRule="auto"/>
              <w:ind w:left="0" w:right="0"/>
              <w:rPr>
                <w:sz w:val="20"/>
                <w:szCs w:val="20"/>
              </w:rPr>
            </w:pPr>
            <w:r w:rsidRPr="00A5487A">
              <w:rPr>
                <w:sz w:val="20"/>
                <w:szCs w:val="20"/>
              </w:rPr>
              <w:t>–</w:t>
            </w:r>
          </w:p>
        </w:tc>
      </w:tr>
      <w:tr w:rsidR="00612394" w:rsidRPr="00A5487A" w14:paraId="341669A1" w14:textId="77777777" w:rsidTr="00866DBF">
        <w:tc>
          <w:tcPr>
            <w:tcW w:w="710" w:type="pct"/>
            <w:vMerge w:val="restart"/>
          </w:tcPr>
          <w:p w14:paraId="0D71AF1A" w14:textId="649DF997" w:rsidR="00612394" w:rsidRPr="00A5487A" w:rsidRDefault="00612394" w:rsidP="00A5487A">
            <w:pPr>
              <w:spacing w:before="60" w:afterLines="60" w:after="144" w:line="240" w:lineRule="auto"/>
              <w:ind w:left="0" w:right="0"/>
              <w:rPr>
                <w:sz w:val="20"/>
                <w:szCs w:val="20"/>
              </w:rPr>
            </w:pPr>
            <w:r w:rsidRPr="00A5487A">
              <w:rPr>
                <w:sz w:val="20"/>
                <w:szCs w:val="20"/>
              </w:rPr>
              <w:t>Missing information</w:t>
            </w:r>
          </w:p>
        </w:tc>
        <w:tc>
          <w:tcPr>
            <w:tcW w:w="1367" w:type="pct"/>
            <w:tcBorders>
              <w:top w:val="single" w:sz="4" w:space="0" w:color="auto"/>
              <w:bottom w:val="single" w:sz="4" w:space="0" w:color="auto"/>
            </w:tcBorders>
          </w:tcPr>
          <w:p w14:paraId="5D573895" w14:textId="74DD85A4" w:rsidR="00612394" w:rsidRPr="00A5487A" w:rsidRDefault="00612394" w:rsidP="00A5487A">
            <w:pPr>
              <w:spacing w:before="60" w:afterLines="60" w:after="144" w:line="240" w:lineRule="auto"/>
              <w:ind w:left="0" w:right="0"/>
              <w:rPr>
                <w:sz w:val="20"/>
                <w:szCs w:val="20"/>
              </w:rPr>
            </w:pPr>
            <w:r w:rsidRPr="00A5487A">
              <w:rPr>
                <w:sz w:val="20"/>
                <w:szCs w:val="20"/>
              </w:rPr>
              <w:t>Safety profile of the different treatment combinations in patients with non-squamous non-small cell lung cancer</w:t>
            </w:r>
          </w:p>
        </w:tc>
        <w:tc>
          <w:tcPr>
            <w:tcW w:w="688" w:type="pct"/>
            <w:vAlign w:val="center"/>
          </w:tcPr>
          <w:p w14:paraId="159C7BA0" w14:textId="4C334350"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7622988C" w14:textId="65AA388A" w:rsidR="00612394" w:rsidRPr="00A5487A" w:rsidRDefault="00612394"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3C7F396B" w14:textId="4E47F63A"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28432CB2" w14:textId="39BDDEB8" w:rsidR="00612394" w:rsidRPr="00A5487A" w:rsidRDefault="00612394" w:rsidP="00A5487A">
            <w:pPr>
              <w:spacing w:before="60" w:afterLines="60" w:after="144" w:line="240" w:lineRule="auto"/>
              <w:ind w:left="0" w:right="0"/>
              <w:rPr>
                <w:sz w:val="20"/>
                <w:szCs w:val="20"/>
              </w:rPr>
            </w:pPr>
            <w:r w:rsidRPr="00A5487A">
              <w:rPr>
                <w:sz w:val="20"/>
                <w:szCs w:val="20"/>
              </w:rPr>
              <w:t>–</w:t>
            </w:r>
          </w:p>
        </w:tc>
      </w:tr>
      <w:tr w:rsidR="00612394" w:rsidRPr="00A5487A" w14:paraId="2E18BD7E" w14:textId="77777777" w:rsidTr="00866DBF">
        <w:tc>
          <w:tcPr>
            <w:tcW w:w="710" w:type="pct"/>
            <w:vMerge/>
          </w:tcPr>
          <w:p w14:paraId="5ADF0B78" w14:textId="61FC31EB" w:rsidR="00612394" w:rsidRPr="00A5487A" w:rsidRDefault="00612394" w:rsidP="00A5487A">
            <w:pPr>
              <w:spacing w:before="60" w:afterLines="60" w:after="144" w:line="240" w:lineRule="auto"/>
              <w:ind w:left="0" w:right="0"/>
              <w:rPr>
                <w:sz w:val="20"/>
                <w:szCs w:val="20"/>
              </w:rPr>
            </w:pPr>
          </w:p>
        </w:tc>
        <w:tc>
          <w:tcPr>
            <w:tcW w:w="1367" w:type="pct"/>
            <w:tcBorders>
              <w:top w:val="single" w:sz="4" w:space="0" w:color="auto"/>
            </w:tcBorders>
          </w:tcPr>
          <w:p w14:paraId="39C7ED76" w14:textId="66C3E2CE" w:rsidR="00612394" w:rsidRPr="00A5487A" w:rsidRDefault="00612394" w:rsidP="00A5487A">
            <w:pPr>
              <w:spacing w:before="60" w:afterLines="60" w:after="144" w:line="240" w:lineRule="auto"/>
              <w:ind w:left="0" w:right="0"/>
              <w:rPr>
                <w:sz w:val="20"/>
                <w:szCs w:val="20"/>
              </w:rPr>
            </w:pPr>
            <w:r w:rsidRPr="00A5487A">
              <w:rPr>
                <w:sz w:val="20"/>
                <w:szCs w:val="20"/>
              </w:rPr>
              <w:t>Long-term effects of Mvasi when used in the paediatric population</w:t>
            </w:r>
          </w:p>
        </w:tc>
        <w:tc>
          <w:tcPr>
            <w:tcW w:w="688" w:type="pct"/>
            <w:vAlign w:val="center"/>
          </w:tcPr>
          <w:p w14:paraId="2F52C1DF" w14:textId="1694213D"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45ED8CCD" w14:textId="4BCBDB61" w:rsidR="00612394" w:rsidRPr="00A5487A" w:rsidRDefault="00612394"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74FBD91F" w14:textId="66ABF73F"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453F7282" w14:textId="6E391203" w:rsidR="00612394" w:rsidRPr="00A5487A" w:rsidRDefault="00612394" w:rsidP="00A5487A">
            <w:pPr>
              <w:spacing w:before="60" w:afterLines="60" w:after="144" w:line="240" w:lineRule="auto"/>
              <w:ind w:left="0" w:right="0"/>
              <w:rPr>
                <w:sz w:val="20"/>
                <w:szCs w:val="20"/>
              </w:rPr>
            </w:pPr>
            <w:r w:rsidRPr="00A5487A">
              <w:rPr>
                <w:sz w:val="20"/>
                <w:szCs w:val="20"/>
              </w:rPr>
              <w:t>–</w:t>
            </w:r>
          </w:p>
        </w:tc>
      </w:tr>
      <w:tr w:rsidR="00612394" w:rsidRPr="00A5487A" w14:paraId="74BFD6B4" w14:textId="77777777" w:rsidTr="00866DBF">
        <w:tc>
          <w:tcPr>
            <w:tcW w:w="710" w:type="pct"/>
            <w:vMerge/>
          </w:tcPr>
          <w:p w14:paraId="062A6391" w14:textId="77777777" w:rsidR="00612394" w:rsidRPr="00A5487A" w:rsidRDefault="00612394" w:rsidP="00A5487A">
            <w:pPr>
              <w:spacing w:before="60" w:afterLines="60" w:after="144" w:line="240" w:lineRule="auto"/>
              <w:ind w:left="0" w:right="0"/>
              <w:rPr>
                <w:sz w:val="20"/>
                <w:szCs w:val="20"/>
              </w:rPr>
            </w:pPr>
          </w:p>
        </w:tc>
        <w:tc>
          <w:tcPr>
            <w:tcW w:w="1367" w:type="pct"/>
          </w:tcPr>
          <w:p w14:paraId="233A6E85" w14:textId="31B809C5" w:rsidR="00612394" w:rsidRPr="00A5487A" w:rsidRDefault="00612394" w:rsidP="00A5487A">
            <w:pPr>
              <w:spacing w:before="60" w:afterLines="60" w:after="144" w:line="240" w:lineRule="auto"/>
              <w:ind w:left="0" w:right="0"/>
              <w:rPr>
                <w:sz w:val="20"/>
                <w:szCs w:val="20"/>
              </w:rPr>
            </w:pPr>
            <w:r w:rsidRPr="00A5487A">
              <w:rPr>
                <w:sz w:val="20"/>
                <w:szCs w:val="20"/>
              </w:rPr>
              <w:t>Safety and efficacy in patients with renal impairment</w:t>
            </w:r>
          </w:p>
        </w:tc>
        <w:tc>
          <w:tcPr>
            <w:tcW w:w="688" w:type="pct"/>
            <w:vAlign w:val="center"/>
          </w:tcPr>
          <w:p w14:paraId="272F8D92" w14:textId="1E74ED09"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13AEAAAD" w14:textId="06B63423" w:rsidR="00612394" w:rsidRPr="00A5487A" w:rsidRDefault="00612394"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01B47A71" w14:textId="16FAC93B"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2ED677D4" w14:textId="2E069DD9" w:rsidR="00612394" w:rsidRPr="00A5487A" w:rsidRDefault="00612394" w:rsidP="00A5487A">
            <w:pPr>
              <w:spacing w:before="60" w:afterLines="60" w:after="144" w:line="240" w:lineRule="auto"/>
              <w:ind w:left="0" w:right="0"/>
              <w:rPr>
                <w:sz w:val="20"/>
                <w:szCs w:val="20"/>
              </w:rPr>
            </w:pPr>
            <w:r w:rsidRPr="00A5487A">
              <w:rPr>
                <w:sz w:val="20"/>
                <w:szCs w:val="20"/>
              </w:rPr>
              <w:t>–</w:t>
            </w:r>
          </w:p>
        </w:tc>
      </w:tr>
      <w:tr w:rsidR="00612394" w:rsidRPr="00A5487A" w14:paraId="5F85F633" w14:textId="77777777" w:rsidTr="00866DBF">
        <w:tc>
          <w:tcPr>
            <w:tcW w:w="710" w:type="pct"/>
            <w:vMerge/>
          </w:tcPr>
          <w:p w14:paraId="3CBD2A00" w14:textId="77777777" w:rsidR="00612394" w:rsidRPr="00A5487A" w:rsidRDefault="00612394" w:rsidP="00A5487A">
            <w:pPr>
              <w:spacing w:before="60" w:afterLines="60" w:after="144" w:line="240" w:lineRule="auto"/>
              <w:ind w:left="0" w:right="0"/>
              <w:rPr>
                <w:sz w:val="20"/>
                <w:szCs w:val="20"/>
              </w:rPr>
            </w:pPr>
          </w:p>
        </w:tc>
        <w:tc>
          <w:tcPr>
            <w:tcW w:w="1367" w:type="pct"/>
          </w:tcPr>
          <w:p w14:paraId="40012162" w14:textId="7555BDFF" w:rsidR="00612394" w:rsidRPr="00A5487A" w:rsidRDefault="00612394" w:rsidP="00A5487A">
            <w:pPr>
              <w:spacing w:before="60" w:afterLines="60" w:after="144" w:line="240" w:lineRule="auto"/>
              <w:ind w:left="0" w:right="0"/>
              <w:rPr>
                <w:sz w:val="20"/>
                <w:szCs w:val="20"/>
              </w:rPr>
            </w:pPr>
            <w:r w:rsidRPr="00A5487A">
              <w:rPr>
                <w:sz w:val="20"/>
                <w:szCs w:val="20"/>
              </w:rPr>
              <w:t>Safety and efficacy in patients with hepatic impairment</w:t>
            </w:r>
          </w:p>
        </w:tc>
        <w:tc>
          <w:tcPr>
            <w:tcW w:w="688" w:type="pct"/>
            <w:vAlign w:val="center"/>
          </w:tcPr>
          <w:p w14:paraId="066A8F36" w14:textId="4EE25743"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728" w:type="pct"/>
            <w:vAlign w:val="center"/>
          </w:tcPr>
          <w:p w14:paraId="4104BF97" w14:textId="5C3A7F7A" w:rsidR="00612394" w:rsidRPr="00A5487A" w:rsidRDefault="00612394"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6E36EDCD" w14:textId="4B3958DD"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4C4DCB88" w14:textId="7213058D" w:rsidR="00612394" w:rsidRPr="00A5487A" w:rsidRDefault="00612394" w:rsidP="00A5487A">
            <w:pPr>
              <w:spacing w:before="60" w:afterLines="60" w:after="144" w:line="240" w:lineRule="auto"/>
              <w:ind w:left="0" w:right="0"/>
              <w:rPr>
                <w:sz w:val="20"/>
                <w:szCs w:val="20"/>
              </w:rPr>
            </w:pPr>
            <w:r w:rsidRPr="00A5487A">
              <w:rPr>
                <w:sz w:val="20"/>
                <w:szCs w:val="20"/>
              </w:rPr>
              <w:t>–</w:t>
            </w:r>
          </w:p>
        </w:tc>
      </w:tr>
      <w:tr w:rsidR="00612394" w:rsidRPr="00A5487A" w14:paraId="6E555E60" w14:textId="77777777" w:rsidTr="00866DBF">
        <w:tc>
          <w:tcPr>
            <w:tcW w:w="710" w:type="pct"/>
            <w:vMerge/>
          </w:tcPr>
          <w:p w14:paraId="27D938CD" w14:textId="77777777" w:rsidR="00612394" w:rsidRPr="00A5487A" w:rsidRDefault="00612394" w:rsidP="00A5487A">
            <w:pPr>
              <w:spacing w:before="60" w:afterLines="60" w:after="144" w:line="240" w:lineRule="auto"/>
              <w:ind w:left="0" w:right="0"/>
              <w:rPr>
                <w:sz w:val="20"/>
                <w:szCs w:val="20"/>
              </w:rPr>
            </w:pPr>
          </w:p>
        </w:tc>
        <w:tc>
          <w:tcPr>
            <w:tcW w:w="1367" w:type="pct"/>
          </w:tcPr>
          <w:p w14:paraId="5364DC73" w14:textId="12C7E1D2" w:rsidR="00612394" w:rsidRPr="00A5487A" w:rsidRDefault="00612394" w:rsidP="00A5487A">
            <w:pPr>
              <w:spacing w:before="60" w:afterLines="60" w:after="144" w:line="240" w:lineRule="auto"/>
              <w:ind w:left="0" w:right="0"/>
              <w:rPr>
                <w:sz w:val="20"/>
                <w:szCs w:val="20"/>
              </w:rPr>
            </w:pPr>
            <w:r w:rsidRPr="00A5487A">
              <w:rPr>
                <w:sz w:val="20"/>
                <w:szCs w:val="20"/>
              </w:rPr>
              <w:t>Use in lactating women</w:t>
            </w:r>
          </w:p>
        </w:tc>
        <w:tc>
          <w:tcPr>
            <w:tcW w:w="688" w:type="pct"/>
            <w:vAlign w:val="center"/>
          </w:tcPr>
          <w:p w14:paraId="5F6A08A8" w14:textId="5EC8E84F"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r w:rsidRPr="00A5487A">
              <w:rPr>
                <w:sz w:val="20"/>
                <w:szCs w:val="20"/>
              </w:rPr>
              <w:t>*</w:t>
            </w:r>
          </w:p>
        </w:tc>
        <w:tc>
          <w:tcPr>
            <w:tcW w:w="728" w:type="pct"/>
            <w:vAlign w:val="center"/>
          </w:tcPr>
          <w:p w14:paraId="01DB0FEB" w14:textId="5C8502BA" w:rsidR="00612394" w:rsidRPr="00A5487A" w:rsidRDefault="00612394" w:rsidP="00A5487A">
            <w:pPr>
              <w:spacing w:before="60" w:afterLines="60" w:after="144" w:line="240" w:lineRule="auto"/>
              <w:ind w:left="0" w:right="0"/>
              <w:rPr>
                <w:sz w:val="20"/>
                <w:szCs w:val="20"/>
              </w:rPr>
            </w:pPr>
            <w:r w:rsidRPr="00A5487A">
              <w:rPr>
                <w:sz w:val="20"/>
                <w:szCs w:val="20"/>
              </w:rPr>
              <w:t>–</w:t>
            </w:r>
          </w:p>
        </w:tc>
        <w:tc>
          <w:tcPr>
            <w:tcW w:w="688" w:type="pct"/>
            <w:vAlign w:val="center"/>
          </w:tcPr>
          <w:p w14:paraId="4BFE59A7" w14:textId="75C68637" w:rsidR="00612394" w:rsidRPr="00A5487A" w:rsidRDefault="00612394" w:rsidP="00A5487A">
            <w:pPr>
              <w:spacing w:before="60" w:afterLines="60" w:after="144" w:line="240" w:lineRule="auto"/>
              <w:ind w:left="0" w:right="0"/>
              <w:rPr>
                <w:sz w:val="20"/>
                <w:szCs w:val="20"/>
              </w:rPr>
            </w:pPr>
            <w:r w:rsidRPr="00A5487A">
              <w:rPr>
                <w:sz w:val="20"/>
                <w:szCs w:val="20"/>
              </w:rPr>
              <w:sym w:font="Wingdings" w:char="F0FC"/>
            </w:r>
          </w:p>
        </w:tc>
        <w:tc>
          <w:tcPr>
            <w:tcW w:w="819" w:type="pct"/>
            <w:vAlign w:val="center"/>
          </w:tcPr>
          <w:p w14:paraId="77C226BF" w14:textId="5C17D45B" w:rsidR="00612394" w:rsidRPr="00A5487A" w:rsidRDefault="00612394" w:rsidP="00A5487A">
            <w:pPr>
              <w:spacing w:before="60" w:afterLines="60" w:after="144" w:line="240" w:lineRule="auto"/>
              <w:ind w:left="0" w:right="0"/>
              <w:rPr>
                <w:sz w:val="20"/>
                <w:szCs w:val="20"/>
              </w:rPr>
            </w:pPr>
            <w:r w:rsidRPr="00A5487A">
              <w:rPr>
                <w:sz w:val="20"/>
                <w:szCs w:val="20"/>
              </w:rPr>
              <w:t>–</w:t>
            </w:r>
          </w:p>
        </w:tc>
      </w:tr>
    </w:tbl>
    <w:p w14:paraId="178F79AA" w14:textId="4BCB8F94" w:rsidR="00175DC6" w:rsidRPr="00A5487A" w:rsidRDefault="007B0BD9" w:rsidP="00A5487A">
      <w:pPr>
        <w:pStyle w:val="TableDescription"/>
      </w:pPr>
      <w:r>
        <w:t>* W</w:t>
      </w:r>
      <w:r w:rsidR="00175DC6" w:rsidRPr="00A5487A">
        <w:t>ith ta</w:t>
      </w:r>
      <w:r w:rsidR="00A5487A" w:rsidRPr="00A5487A">
        <w:t>rgeted follow up questionnaire.</w:t>
      </w:r>
    </w:p>
    <w:p w14:paraId="687CB9CB" w14:textId="304598E0" w:rsidR="00072278" w:rsidRDefault="00072278" w:rsidP="00A5487A">
      <w:r>
        <w:t>This summary of safety concerns is similar although not identical to the most recent one for Avastin which was completed in 2017</w:t>
      </w:r>
      <w:r w:rsidR="0097425F">
        <w:t xml:space="preserve"> by TGA</w:t>
      </w:r>
      <w:r w:rsidR="00D00D26">
        <w:t>.</w:t>
      </w:r>
      <w:r w:rsidR="0097425F" w:rsidRPr="0097425F">
        <w:rPr>
          <w:vertAlign w:val="superscript"/>
        </w:rPr>
        <w:fldChar w:fldCharType="begin"/>
      </w:r>
      <w:r w:rsidR="0097425F" w:rsidRPr="0097425F">
        <w:rPr>
          <w:vertAlign w:val="superscript"/>
        </w:rPr>
        <w:instrText xml:space="preserve"> NOTEREF _Ref54104319 \h </w:instrText>
      </w:r>
      <w:r w:rsidR="0097425F">
        <w:rPr>
          <w:vertAlign w:val="superscript"/>
        </w:rPr>
        <w:instrText xml:space="preserve"> \* MERGEFORMAT </w:instrText>
      </w:r>
      <w:r w:rsidR="0097425F" w:rsidRPr="0097425F">
        <w:rPr>
          <w:vertAlign w:val="superscript"/>
        </w:rPr>
      </w:r>
      <w:r w:rsidR="0097425F" w:rsidRPr="0097425F">
        <w:rPr>
          <w:vertAlign w:val="superscript"/>
        </w:rPr>
        <w:fldChar w:fldCharType="separate"/>
      </w:r>
      <w:r w:rsidR="005938A4">
        <w:rPr>
          <w:vertAlign w:val="superscript"/>
        </w:rPr>
        <w:t>9</w:t>
      </w:r>
      <w:r w:rsidR="0097425F" w:rsidRPr="0097425F">
        <w:rPr>
          <w:vertAlign w:val="superscript"/>
        </w:rPr>
        <w:fldChar w:fldCharType="end"/>
      </w:r>
    </w:p>
    <w:p w14:paraId="13F09BDB" w14:textId="6652E047" w:rsidR="00072278" w:rsidRDefault="00072278" w:rsidP="00CB089F">
      <w:r>
        <w:t>In addition, the RMP evaluator states</w:t>
      </w:r>
      <w:r w:rsidR="00843444">
        <w:t xml:space="preserve"> that</w:t>
      </w:r>
      <w:r>
        <w:t>:</w:t>
      </w:r>
    </w:p>
    <w:p w14:paraId="1097E4BF" w14:textId="298A8509" w:rsidR="00072278" w:rsidRDefault="004142A4" w:rsidP="004142A4">
      <w:pPr>
        <w:pStyle w:val="ListBullet"/>
      </w:pPr>
      <w:r>
        <w:t>N</w:t>
      </w:r>
      <w:r w:rsidR="00072278" w:rsidRPr="009956F3">
        <w:t xml:space="preserve">o additional pharmacovigilance activities are proposed. </w:t>
      </w:r>
      <w:r w:rsidR="00072278">
        <w:t>However, t</w:t>
      </w:r>
      <w:r w:rsidR="00072278" w:rsidRPr="009956F3">
        <w:t xml:space="preserve">he innovator </w:t>
      </w:r>
      <w:r w:rsidR="00072278">
        <w:t>has an ongoing biomarker investigation (reported on a yearly basis), the objective of which is i</w:t>
      </w:r>
      <w:r w:rsidR="00072278" w:rsidRPr="009956F3">
        <w:t xml:space="preserve">dentification and selection of a more targeted population of patients most likely to benefit from the combination of bevacizumab and paclitaxel in the treatment </w:t>
      </w:r>
      <w:r w:rsidR="00072278" w:rsidRPr="009956F3">
        <w:lastRenderedPageBreak/>
        <w:t>of first-line metastatic breast cancer.</w:t>
      </w:r>
      <w:r w:rsidR="00072278">
        <w:t xml:space="preserve"> In addition there is a long term study which will provide safety information regarding use of bevacizumab in the </w:t>
      </w:r>
      <w:r w:rsidR="00072278" w:rsidRPr="009956F3">
        <w:t>paediatric population after patients complete 5.5 years of follow up in Study BO20924</w:t>
      </w:r>
      <w:r w:rsidR="00CB089F">
        <w:t>.</w:t>
      </w:r>
      <w:bookmarkStart w:id="70" w:name="_Ref54104319"/>
      <w:r w:rsidR="00072278">
        <w:rPr>
          <w:rStyle w:val="FootnoteReference"/>
        </w:rPr>
        <w:footnoteReference w:id="9"/>
      </w:r>
      <w:bookmarkEnd w:id="70"/>
    </w:p>
    <w:p w14:paraId="2E2F321A" w14:textId="64B1C1BB" w:rsidR="00072278" w:rsidRDefault="00072278" w:rsidP="004142A4">
      <w:pPr>
        <w:pStyle w:val="ListBullet"/>
      </w:pPr>
      <w:r>
        <w:t>It is acceptable that no additional pharmacovigilance activities are proposed</w:t>
      </w:r>
      <w:r w:rsidR="00CB089F">
        <w:t>,</w:t>
      </w:r>
      <w:r>
        <w:t xml:space="preserve"> as any results of the innovator</w:t>
      </w:r>
      <w:r w:rsidR="00CB089F">
        <w:t xml:space="preserve">’s studies above will flow onto Mvasi </w:t>
      </w:r>
      <w:r>
        <w:t>if the results lead to changes to the PI</w:t>
      </w:r>
      <w:r w:rsidR="00CB089F">
        <w:t>.</w:t>
      </w:r>
    </w:p>
    <w:p w14:paraId="63A1EA8E" w14:textId="77777777" w:rsidR="00072278" w:rsidRDefault="00072278" w:rsidP="004142A4">
      <w:pPr>
        <w:pStyle w:val="ListBullet"/>
      </w:pPr>
      <w:r>
        <w:t>N</w:t>
      </w:r>
      <w:r w:rsidRPr="009956F3">
        <w:t xml:space="preserve">o additional risk minimisation activities </w:t>
      </w:r>
      <w:r>
        <w:t xml:space="preserve">are proposed </w:t>
      </w:r>
      <w:r w:rsidRPr="009956F3">
        <w:t xml:space="preserve">which is consistent with </w:t>
      </w:r>
      <w:r>
        <w:t xml:space="preserve">that of </w:t>
      </w:r>
      <w:r w:rsidRPr="009956F3">
        <w:t>the innovator.</w:t>
      </w:r>
    </w:p>
    <w:p w14:paraId="55B044FE" w14:textId="4971AA3B" w:rsidR="00072278" w:rsidRPr="00063D0D" w:rsidRDefault="00CB089F" w:rsidP="004142A4">
      <w:pPr>
        <w:pStyle w:val="ListBullet"/>
      </w:pPr>
      <w:r>
        <w:t xml:space="preserve">The innovator Avastin </w:t>
      </w:r>
      <w:r w:rsidR="00072278">
        <w:t>PI does have not a Black Triangle symbol as bevacizumab was approved before the scheme was introduced. Therefore, the generic version does not need to be included in the Black Triangle Scheme</w:t>
      </w:r>
      <w:r>
        <w:t>.</w:t>
      </w:r>
    </w:p>
    <w:p w14:paraId="32DB1F71" w14:textId="77777777" w:rsidR="008E7846" w:rsidRDefault="00AA0ED0" w:rsidP="008E7846">
      <w:pPr>
        <w:pStyle w:val="Heading3"/>
      </w:pPr>
      <w:bookmarkStart w:id="71" w:name="_Toc57130861"/>
      <w:r>
        <w:t>Risk-benefit a</w:t>
      </w:r>
      <w:r w:rsidR="008E7846">
        <w:t>nalysis</w:t>
      </w:r>
      <w:bookmarkEnd w:id="63"/>
      <w:bookmarkEnd w:id="64"/>
      <w:bookmarkEnd w:id="71"/>
    </w:p>
    <w:p w14:paraId="0DA9EBAF" w14:textId="51621D8E" w:rsidR="00821D77" w:rsidRDefault="00821D77" w:rsidP="00D23139">
      <w:pPr>
        <w:pStyle w:val="Heading4"/>
      </w:pPr>
      <w:r>
        <w:t>Delegate’s</w:t>
      </w:r>
      <w:r w:rsidR="00AF1664">
        <w:t xml:space="preserve"> considerations</w:t>
      </w:r>
    </w:p>
    <w:p w14:paraId="359F2DA0" w14:textId="77777777" w:rsidR="00AF1664" w:rsidRDefault="00AF1664" w:rsidP="00A80FF9">
      <w:pPr>
        <w:pStyle w:val="Heading5"/>
        <w:rPr>
          <w:noProof/>
        </w:rPr>
      </w:pPr>
      <w:r>
        <w:rPr>
          <w:noProof/>
        </w:rPr>
        <w:t>Extrapolation of indications for Mvasi</w:t>
      </w:r>
    </w:p>
    <w:p w14:paraId="202ED05F" w14:textId="1478D702" w:rsidR="00AF1664" w:rsidRDefault="00AF1664">
      <w:r>
        <w:t>Avastin is currently registered for 10 indications.</w:t>
      </w:r>
      <w:r w:rsidR="00ED147C">
        <w:t xml:space="preserve"> </w:t>
      </w:r>
      <w:r>
        <w:t>The clinical comparability study (Study</w:t>
      </w:r>
      <w:r w:rsidR="0090056C">
        <w:t> </w:t>
      </w:r>
      <w:r>
        <w:t>265) was performed in patients with NSCLC. Avastin is licensed for this indication in Australia (although not funded via the PBS).</w:t>
      </w:r>
    </w:p>
    <w:p w14:paraId="3EFC84EF" w14:textId="16682651" w:rsidR="00AF1664" w:rsidRDefault="00AF1664">
      <w:r>
        <w:t>Guidelines from the EMA</w:t>
      </w:r>
      <w:r w:rsidR="00D00D26">
        <w:t>;</w:t>
      </w:r>
      <w:r>
        <w:rPr>
          <w:rStyle w:val="FootnoteReference"/>
        </w:rPr>
        <w:footnoteReference w:id="10"/>
      </w:r>
      <w:r>
        <w:t xml:space="preserve"> and FDA allow for the possibility that a biosimilar could be approved for one or more of the indications for the reference biological medicine, given sufficient scientific justification, using a </w:t>
      </w:r>
      <w:r w:rsidR="004142A4">
        <w:t>‘</w:t>
      </w:r>
      <w:r>
        <w:t>totality-of-evidence approach</w:t>
      </w:r>
      <w:r w:rsidR="004142A4">
        <w:t>’</w:t>
      </w:r>
      <w:r>
        <w:t>. The guidelines discuss:</w:t>
      </w:r>
    </w:p>
    <w:p w14:paraId="7884960B" w14:textId="77777777" w:rsidR="00AF1664" w:rsidRPr="00AF1664" w:rsidRDefault="00AF1664" w:rsidP="00A80FF9">
      <w:pPr>
        <w:pStyle w:val="ListBullet"/>
      </w:pPr>
      <w:r w:rsidRPr="00AF1664">
        <w:t>Mechanism of action</w:t>
      </w:r>
    </w:p>
    <w:p w14:paraId="117D204E" w14:textId="77777777" w:rsidR="00AF1664" w:rsidRPr="007E457E" w:rsidRDefault="00AF1664" w:rsidP="00A80FF9">
      <w:pPr>
        <w:pStyle w:val="ListBullet"/>
      </w:pPr>
      <w:r w:rsidRPr="00AF1664">
        <w:t>PK and distribution</w:t>
      </w:r>
    </w:p>
    <w:p w14:paraId="084D1101" w14:textId="77777777" w:rsidR="00AF1664" w:rsidRPr="00E53A17" w:rsidRDefault="00AF1664" w:rsidP="00A80FF9">
      <w:pPr>
        <w:pStyle w:val="ListBullet"/>
      </w:pPr>
      <w:r w:rsidRPr="00E53A17">
        <w:t>Dose, route-of-administration</w:t>
      </w:r>
    </w:p>
    <w:p w14:paraId="0F91FD7A" w14:textId="77777777" w:rsidR="00AF1664" w:rsidRPr="00E53A17" w:rsidRDefault="00AF1664" w:rsidP="00A80FF9">
      <w:pPr>
        <w:pStyle w:val="ListBullet"/>
      </w:pPr>
      <w:r w:rsidRPr="00E53A17">
        <w:t>Immunogenicity</w:t>
      </w:r>
    </w:p>
    <w:p w14:paraId="6EB5E7F1" w14:textId="77777777" w:rsidR="00AF1664" w:rsidRPr="00BF1E18" w:rsidRDefault="00AF1664" w:rsidP="00A80FF9">
      <w:pPr>
        <w:pStyle w:val="ListBullet"/>
      </w:pPr>
      <w:r w:rsidRPr="00A51E47">
        <w:t>Toxicity</w:t>
      </w:r>
      <w:r w:rsidRPr="00BF1E18">
        <w:t>.</w:t>
      </w:r>
    </w:p>
    <w:p w14:paraId="54512C74" w14:textId="4E942B60" w:rsidR="00AF1664" w:rsidRDefault="00AF1664" w:rsidP="00AF1664">
      <w:r>
        <w:t>For Mvasi, the mechanism of action of bevacizumab is the same in all the indications.</w:t>
      </w:r>
      <w:r w:rsidR="00ED147C">
        <w:t xml:space="preserve"> </w:t>
      </w:r>
      <w:r>
        <w:t>It is a monoclonal antibody that inhibits the binding of vascular</w:t>
      </w:r>
      <w:r w:rsidRPr="00DE18FC">
        <w:t xml:space="preserve"> endothelial growth factor</w:t>
      </w:r>
      <w:r>
        <w:t xml:space="preserve"> to cell receptors on endothelial cells. Studies on the reference biological medicine (Avastin) show that the PK is the same for all indications. The dosage is the same for all the indications and it is administered by the same route (IV) in all indications. Data for the reference biological medicine (Avastin) show that bevacizumab has low immunogenicity across all indications. The available safety information for the reference biological medicine does not indicate that there are any significant differences in expected toxicities for each condition of use and patient population.</w:t>
      </w:r>
    </w:p>
    <w:p w14:paraId="49233C1A" w14:textId="77777777" w:rsidR="00AF1664" w:rsidRDefault="00AF1664" w:rsidP="00AF1664">
      <w:r>
        <w:t>Given this information, extrapolation of indications for Mvasi to all the indications of Avastin in Australia is appropriate.</w:t>
      </w:r>
    </w:p>
    <w:p w14:paraId="5C762EBF" w14:textId="3992C3FE" w:rsidR="00D23139" w:rsidRDefault="00D23139" w:rsidP="00D23139">
      <w:pPr>
        <w:pStyle w:val="Heading4"/>
      </w:pPr>
      <w:r w:rsidRPr="00D23139">
        <w:lastRenderedPageBreak/>
        <w:t>Proposed action</w:t>
      </w:r>
    </w:p>
    <w:p w14:paraId="7F1080ED" w14:textId="138A81A9" w:rsidR="00E52FEF" w:rsidRPr="00E52FEF" w:rsidRDefault="00E52FEF" w:rsidP="001E2D94">
      <w:r>
        <w:t>At present, t</w:t>
      </w:r>
      <w:r w:rsidRPr="00C05075">
        <w:t>h</w:t>
      </w:r>
      <w:r>
        <w:t xml:space="preserve">e proposed regulatory action </w:t>
      </w:r>
      <w:r w:rsidRPr="00C05075">
        <w:t>is approval</w:t>
      </w:r>
      <w:r>
        <w:t xml:space="preserve">. </w:t>
      </w:r>
      <w:r w:rsidR="00FF2F8F">
        <w:t>Mvasi</w:t>
      </w:r>
      <w:r>
        <w:t xml:space="preserve"> has already been approved in the USA, Europe and Canada as a biosimilar to Avastin. </w:t>
      </w:r>
      <w:r w:rsidR="0022184E">
        <w:t>T</w:t>
      </w:r>
      <w:r w:rsidRPr="00C05075">
        <w:t xml:space="preserve">he similarity of ABP 215 to the bevacizumab reference product </w:t>
      </w:r>
      <w:r>
        <w:t>has been</w:t>
      </w:r>
      <w:r w:rsidRPr="00C05075">
        <w:t xml:space="preserve"> demonstrated through comparability studies at the quality, nonclinical and clinical levels</w:t>
      </w:r>
      <w:r w:rsidR="00A46306">
        <w:t>. The benefit–</w:t>
      </w:r>
      <w:r w:rsidRPr="00C05075">
        <w:t xml:space="preserve">risk </w:t>
      </w:r>
      <w:r w:rsidR="00A46306">
        <w:t xml:space="preserve">balance </w:t>
      </w:r>
      <w:r w:rsidRPr="00C05075">
        <w:t xml:space="preserve">for </w:t>
      </w:r>
      <w:r w:rsidR="00FF2F8F">
        <w:t>Mvasi</w:t>
      </w:r>
      <w:r w:rsidRPr="00C05075">
        <w:t xml:space="preserve"> follows the benefit-risk balance for the reference product</w:t>
      </w:r>
      <w:r w:rsidR="0022184E">
        <w:t xml:space="preserve"> Avastin </w:t>
      </w:r>
      <w:r w:rsidRPr="00C05075">
        <w:t>and is positive</w:t>
      </w:r>
      <w:r>
        <w:t>.</w:t>
      </w:r>
    </w:p>
    <w:p w14:paraId="3A5B9931" w14:textId="442E0EB0" w:rsidR="004F28B1" w:rsidRPr="004F28B1" w:rsidRDefault="00E52FEF" w:rsidP="004F28B1">
      <w:pPr>
        <w:pStyle w:val="Heading4"/>
      </w:pPr>
      <w:r>
        <w:t>Q</w:t>
      </w:r>
      <w:r w:rsidR="007D53B6">
        <w:t>uestions for sponsor</w:t>
      </w:r>
    </w:p>
    <w:p w14:paraId="00149E7F" w14:textId="4F0605C6" w:rsidR="0022184E" w:rsidRPr="00253DF6" w:rsidRDefault="00FF2F8F" w:rsidP="00A80FF9">
      <w:pPr>
        <w:pStyle w:val="Numberbullet0"/>
        <w:numPr>
          <w:ilvl w:val="0"/>
          <w:numId w:val="37"/>
        </w:numPr>
        <w:rPr>
          <w:b/>
          <w:i/>
        </w:rPr>
      </w:pPr>
      <w:r w:rsidRPr="00253DF6">
        <w:rPr>
          <w:b/>
          <w:i/>
        </w:rPr>
        <w:t>Mvasi</w:t>
      </w:r>
      <w:r w:rsidR="00E52FEF" w:rsidRPr="00253DF6">
        <w:rPr>
          <w:b/>
          <w:i/>
        </w:rPr>
        <w:t xml:space="preserve"> has been approved for marketing in the USA, Europe and Canada. Has it been marketed yet in any country?</w:t>
      </w:r>
    </w:p>
    <w:p w14:paraId="4E144C56" w14:textId="38F9DCDA" w:rsidR="004F28B1" w:rsidRDefault="0022184E" w:rsidP="005938A4">
      <w:r>
        <w:t>Mvasi</w:t>
      </w:r>
      <w:r w:rsidR="004F28B1">
        <w:t xml:space="preserve"> has not been marketed in the USA, Europe and Canada.</w:t>
      </w:r>
    </w:p>
    <w:p w14:paraId="7B978527" w14:textId="77777777" w:rsidR="0022184E" w:rsidRPr="00253DF6" w:rsidRDefault="00E52FEF" w:rsidP="00A80FF9">
      <w:pPr>
        <w:pStyle w:val="Numberbullet0"/>
        <w:numPr>
          <w:ilvl w:val="0"/>
          <w:numId w:val="35"/>
        </w:numPr>
        <w:rPr>
          <w:b/>
          <w:i/>
        </w:rPr>
      </w:pPr>
      <w:r w:rsidRPr="00253DF6">
        <w:rPr>
          <w:b/>
          <w:i/>
        </w:rPr>
        <w:t xml:space="preserve">Is there any post-market safety data available for </w:t>
      </w:r>
      <w:r w:rsidR="00FF2F8F" w:rsidRPr="00253DF6">
        <w:rPr>
          <w:b/>
          <w:i/>
        </w:rPr>
        <w:t>Mvasi</w:t>
      </w:r>
      <w:r w:rsidRPr="00253DF6">
        <w:rPr>
          <w:b/>
          <w:i/>
        </w:rPr>
        <w:t>?</w:t>
      </w:r>
    </w:p>
    <w:p w14:paraId="43E96694" w14:textId="584F44A8" w:rsidR="004F28B1" w:rsidRPr="004F28B1" w:rsidRDefault="004F28B1" w:rsidP="005938A4">
      <w:r>
        <w:t xml:space="preserve">In accordance with the approved </w:t>
      </w:r>
      <w:r w:rsidRPr="00CB79EC">
        <w:rPr>
          <w:bCs/>
          <w:i/>
          <w:iCs/>
        </w:rPr>
        <w:t>Bevacizumab (</w:t>
      </w:r>
      <w:r w:rsidR="00D00D26" w:rsidRPr="00CB79EC">
        <w:rPr>
          <w:bCs/>
          <w:i/>
          <w:iCs/>
        </w:rPr>
        <w:t>Mvasi</w:t>
      </w:r>
      <w:r w:rsidRPr="00CB79EC">
        <w:rPr>
          <w:bCs/>
          <w:i/>
          <w:iCs/>
        </w:rPr>
        <w:t xml:space="preserve">) </w:t>
      </w:r>
      <w:r w:rsidR="009800D6">
        <w:rPr>
          <w:bCs/>
          <w:i/>
          <w:iCs/>
        </w:rPr>
        <w:t>periodic benefit risk evaluation report (</w:t>
      </w:r>
      <w:r w:rsidRPr="00CB79EC">
        <w:rPr>
          <w:bCs/>
          <w:i/>
          <w:iCs/>
        </w:rPr>
        <w:t>PBRER</w:t>
      </w:r>
      <w:r w:rsidR="009800D6">
        <w:rPr>
          <w:bCs/>
          <w:i/>
          <w:iCs/>
        </w:rPr>
        <w:t>)</w:t>
      </w:r>
      <w:r w:rsidRPr="00CB79EC">
        <w:rPr>
          <w:bCs/>
          <w:i/>
          <w:iCs/>
        </w:rPr>
        <w:t xml:space="preserve"> #1</w:t>
      </w:r>
      <w:r>
        <w:t>, dated 19</w:t>
      </w:r>
      <w:r w:rsidRPr="0022184E">
        <w:rPr>
          <w:sz w:val="14"/>
          <w:szCs w:val="14"/>
        </w:rPr>
        <w:t xml:space="preserve"> </w:t>
      </w:r>
      <w:r>
        <w:t xml:space="preserve">April 2018, </w:t>
      </w:r>
      <w:r w:rsidR="004142A4">
        <w:t>‘</w:t>
      </w:r>
      <w:r w:rsidR="00D00D26">
        <w:t>B</w:t>
      </w:r>
      <w:r>
        <w:t>evacizumab (</w:t>
      </w:r>
      <w:r w:rsidR="00D00D26">
        <w:t>Mvasi</w:t>
      </w:r>
      <w:r>
        <w:t>) has not been marketed or distributed in any country, and therefore, there was no interval or cumulative postauthorization exposure during the reporting period of this PBRER/PSUR</w:t>
      </w:r>
      <w:r w:rsidR="004142A4">
        <w:t>’</w:t>
      </w:r>
      <w:r>
        <w:t xml:space="preserve"> (</w:t>
      </w:r>
      <w:r w:rsidR="00D00D26">
        <w:t>that is,</w:t>
      </w:r>
      <w:r>
        <w:t xml:space="preserve"> until 25</w:t>
      </w:r>
      <w:r w:rsidRPr="0022184E">
        <w:rPr>
          <w:sz w:val="14"/>
          <w:szCs w:val="14"/>
        </w:rPr>
        <w:t xml:space="preserve"> </w:t>
      </w:r>
      <w:r>
        <w:t>February 2018)</w:t>
      </w:r>
      <w:r w:rsidR="00BA658D">
        <w:t xml:space="preserve"> </w:t>
      </w:r>
      <w:r>
        <w:t>Confirmation has been received from the Global Safety Officer on 22</w:t>
      </w:r>
      <w:r w:rsidRPr="004F28B1">
        <w:rPr>
          <w:sz w:val="14"/>
          <w:szCs w:val="14"/>
        </w:rPr>
        <w:t xml:space="preserve"> </w:t>
      </w:r>
      <w:r>
        <w:t xml:space="preserve">November 2018 of no post-marketing exposure (no sales) in the United States of America. Queries currently pending regarding presence of post-marketing safety data reports for </w:t>
      </w:r>
      <w:r w:rsidR="00E00506">
        <w:t>Mvasi</w:t>
      </w:r>
      <w:r>
        <w:t xml:space="preserve"> and any post-marketing exposure data in other territories (data anticipated in week ending 30</w:t>
      </w:r>
      <w:r w:rsidRPr="004F28B1">
        <w:rPr>
          <w:sz w:val="14"/>
          <w:szCs w:val="14"/>
        </w:rPr>
        <w:t xml:space="preserve"> </w:t>
      </w:r>
      <w:r>
        <w:t>November 2018).</w:t>
      </w:r>
    </w:p>
    <w:p w14:paraId="271490E4" w14:textId="7DFBA8B2" w:rsidR="0022184E" w:rsidRPr="00253DF6" w:rsidRDefault="00E52FEF" w:rsidP="00A80FF9">
      <w:pPr>
        <w:pStyle w:val="Numberbullet0"/>
        <w:numPr>
          <w:ilvl w:val="0"/>
          <w:numId w:val="35"/>
        </w:numPr>
        <w:rPr>
          <w:b/>
          <w:i/>
        </w:rPr>
      </w:pPr>
      <w:r w:rsidRPr="00253DF6">
        <w:rPr>
          <w:b/>
          <w:i/>
        </w:rPr>
        <w:t>Why was the ITT population used for the primary analysis of the primary endpoint instead of the PP population?</w:t>
      </w:r>
    </w:p>
    <w:p w14:paraId="1BF6FFFA" w14:textId="7ADD14C1" w:rsidR="0022184E" w:rsidRDefault="004F28B1" w:rsidP="005938A4">
      <w:r>
        <w:t>The intent-to-treat (ITT) population consisting of all randomi</w:t>
      </w:r>
      <w:r w:rsidR="009800D6">
        <w:t>s</w:t>
      </w:r>
      <w:r>
        <w:t xml:space="preserve">ed subjects was used for the primary analysis for Study 20120265 </w:t>
      </w:r>
      <w:r w:rsidR="009800D6">
        <w:t xml:space="preserve">(Study 265) </w:t>
      </w:r>
      <w:r>
        <w:t>based on a regulatory agency request due to concerns about missing data issue associated with the per-protocol population. The pre-protocol population was used for a sensitivity analysis to support the results from the primary analysis for Study 20120265.</w:t>
      </w:r>
    </w:p>
    <w:p w14:paraId="64AFE8E0" w14:textId="77777777" w:rsidR="0022184E" w:rsidRPr="00253DF6" w:rsidRDefault="00E52FEF" w:rsidP="00A80FF9">
      <w:pPr>
        <w:pStyle w:val="Numberbullet0"/>
        <w:rPr>
          <w:b/>
          <w:i/>
        </w:rPr>
      </w:pPr>
      <w:r w:rsidRPr="00253DF6">
        <w:rPr>
          <w:b/>
          <w:i/>
        </w:rPr>
        <w:t xml:space="preserve">In Canada, </w:t>
      </w:r>
      <w:r w:rsidR="00FF2F8F" w:rsidRPr="00253DF6">
        <w:rPr>
          <w:b/>
          <w:i/>
        </w:rPr>
        <w:t>Mvasi</w:t>
      </w:r>
      <w:r w:rsidRPr="00253DF6">
        <w:rPr>
          <w:b/>
          <w:i/>
        </w:rPr>
        <w:t xml:space="preserve"> was approved for some but not all the indications that Avastin is approved for. Why was this?</w:t>
      </w:r>
    </w:p>
    <w:p w14:paraId="72D6669F" w14:textId="406CC425" w:rsidR="0022184E" w:rsidRDefault="00E00506" w:rsidP="005938A4">
      <w:r>
        <w:t xml:space="preserve">The sponsor </w:t>
      </w:r>
      <w:r w:rsidR="004F28B1">
        <w:t>did not seek approval for certain indications for patent reasons.</w:t>
      </w:r>
    </w:p>
    <w:p w14:paraId="3C8476CB" w14:textId="6646595C" w:rsidR="004F28B1" w:rsidRPr="00253DF6" w:rsidRDefault="00FF2F8F" w:rsidP="00A80FF9">
      <w:pPr>
        <w:pStyle w:val="Numberbullet0"/>
        <w:rPr>
          <w:b/>
          <w:i/>
        </w:rPr>
      </w:pPr>
      <w:r w:rsidRPr="00253DF6">
        <w:rPr>
          <w:b/>
          <w:i/>
        </w:rPr>
        <w:t>Mvasi</w:t>
      </w:r>
      <w:r w:rsidR="00E52FEF" w:rsidRPr="00253DF6">
        <w:rPr>
          <w:b/>
          <w:i/>
        </w:rPr>
        <w:t xml:space="preserve"> is not approved in the USA for the treatment of ovarian, fallopian tube, or primary peritoneal cancer as this indication for Avastin is under an </w:t>
      </w:r>
      <w:r w:rsidR="004142A4" w:rsidRPr="00253DF6">
        <w:rPr>
          <w:b/>
          <w:i/>
        </w:rPr>
        <w:t>‘</w:t>
      </w:r>
      <w:r w:rsidR="00E52FEF" w:rsidRPr="00253DF6">
        <w:rPr>
          <w:b/>
          <w:i/>
        </w:rPr>
        <w:t>orphan drug exclusivity</w:t>
      </w:r>
      <w:r w:rsidR="004142A4" w:rsidRPr="00253DF6">
        <w:rPr>
          <w:b/>
          <w:i/>
        </w:rPr>
        <w:t>’</w:t>
      </w:r>
      <w:r w:rsidR="00E52FEF" w:rsidRPr="00253DF6">
        <w:rPr>
          <w:b/>
          <w:i/>
        </w:rPr>
        <w:t xml:space="preserve"> arrangement.</w:t>
      </w:r>
      <w:r w:rsidR="00ED147C">
        <w:rPr>
          <w:b/>
          <w:i/>
        </w:rPr>
        <w:t xml:space="preserve"> </w:t>
      </w:r>
      <w:r w:rsidR="00E52FEF" w:rsidRPr="00253DF6">
        <w:rPr>
          <w:b/>
          <w:i/>
        </w:rPr>
        <w:t>Could you please explain a bit more about what this means?</w:t>
      </w:r>
    </w:p>
    <w:p w14:paraId="29C08164" w14:textId="4EA8BA1B" w:rsidR="004F28B1" w:rsidRDefault="004F28B1" w:rsidP="005938A4">
      <w:r>
        <w:t xml:space="preserve">Orphan drug exclusivity (effective for </w:t>
      </w:r>
      <w:r w:rsidR="00D12771">
        <w:t>seven</w:t>
      </w:r>
      <w:r>
        <w:t xml:space="preserve"> years) is granted to drugs designated and approved to treat diseases or conditions affecting fewer than 200,000 in the US (or more than 200,000 and no hope of recovering costs). Orphan drug exclusivity for Avastin expires in following years:</w:t>
      </w:r>
    </w:p>
    <w:p w14:paraId="006B065D" w14:textId="0CA1CB9C" w:rsidR="007A16DD" w:rsidRDefault="00E00506" w:rsidP="005938A4">
      <w:pPr>
        <w:pStyle w:val="ListBullet"/>
      </w:pPr>
      <w:r>
        <w:t>13 June 2025</w:t>
      </w:r>
      <w:r w:rsidR="004F28B1">
        <w:t xml:space="preserve">: In combination with carboplatin and paclitaxel, followed by Avastin as a single agent, is indicated for the treatment of patients with </w:t>
      </w:r>
      <w:r w:rsidR="00BA658D">
        <w:t>S</w:t>
      </w:r>
      <w:r w:rsidR="004F28B1">
        <w:t>tage III or IV epithelial ovarian, fallopian tube, or primary peritoneal cancer following initial surgical resection</w:t>
      </w:r>
      <w:r w:rsidR="00BA658D">
        <w:t>.</w:t>
      </w:r>
    </w:p>
    <w:p w14:paraId="456C72B9" w14:textId="360CD360" w:rsidR="007A16DD" w:rsidRDefault="00E00506" w:rsidP="005938A4">
      <w:pPr>
        <w:pStyle w:val="ListBullet"/>
      </w:pPr>
      <w:r>
        <w:t>14 November 2021</w:t>
      </w:r>
      <w:r w:rsidR="004F28B1">
        <w:t xml:space="preserve">: In combination with paclitaxel, pegylated liposomal doxorubicin, or topotecan for treatment of patients with platinum-resistant, recurrent epithelial ovarian, fallopian tube, or primary peritoneal cancer who have received no more than </w:t>
      </w:r>
      <w:r w:rsidR="00BA658D">
        <w:t>two</w:t>
      </w:r>
      <w:r w:rsidR="004F28B1">
        <w:t xml:space="preserve"> prior chemotherapy regimens</w:t>
      </w:r>
      <w:r w:rsidR="00BA658D">
        <w:t>.</w:t>
      </w:r>
    </w:p>
    <w:p w14:paraId="7DF44D4A" w14:textId="4FF6A162" w:rsidR="004F28B1" w:rsidRPr="00AC423E" w:rsidRDefault="00E00506" w:rsidP="005938A4">
      <w:pPr>
        <w:pStyle w:val="ListBullet"/>
      </w:pPr>
      <w:r>
        <w:lastRenderedPageBreak/>
        <w:t>6 December 2023</w:t>
      </w:r>
      <w:r w:rsidR="004F28B1">
        <w:t>: Either in combination with carboplatin and paclitaxel or in combination with carboplatin and gemcitabine, followed by Avastin as a single agent, is indicated for the treatment of patients with platinum-sensitive recurrent epithelial ovarian, fallopian tube, or primary peritoneal cancer</w:t>
      </w:r>
      <w:r w:rsidR="00BA658D">
        <w:t>.</w:t>
      </w:r>
    </w:p>
    <w:p w14:paraId="7D1F3728" w14:textId="4FC22B9F" w:rsidR="008E7846" w:rsidRPr="002E238E" w:rsidRDefault="008E7846" w:rsidP="008E7846">
      <w:pPr>
        <w:pStyle w:val="Heading3"/>
      </w:pPr>
      <w:bookmarkStart w:id="72" w:name="_Toc247691532"/>
      <w:bookmarkStart w:id="73" w:name="_Toc314842516"/>
      <w:bookmarkStart w:id="74" w:name="_Toc57130862"/>
      <w:bookmarkEnd w:id="31"/>
      <w:bookmarkEnd w:id="65"/>
      <w:bookmarkEnd w:id="66"/>
      <w:r>
        <w:t>Outcome</w:t>
      </w:r>
      <w:bookmarkEnd w:id="72"/>
      <w:bookmarkEnd w:id="73"/>
      <w:bookmarkEnd w:id="74"/>
    </w:p>
    <w:p w14:paraId="3193ED26" w14:textId="5D56E08C" w:rsidR="007D53B6" w:rsidRDefault="007D53B6" w:rsidP="007D53B6">
      <w:bookmarkStart w:id="75" w:name="_Toc247691533"/>
      <w:bookmarkStart w:id="76" w:name="_Toc314842517"/>
      <w:r>
        <w:t xml:space="preserve">Based on a review of quality, safety and efficacy, </w:t>
      </w:r>
      <w:r w:rsidR="009800D6">
        <w:t xml:space="preserve">the </w:t>
      </w:r>
      <w:r>
        <w:t>TG</w:t>
      </w:r>
      <w:r w:rsidR="004E5EAE">
        <w:t xml:space="preserve">A approved the registration of </w:t>
      </w:r>
      <w:r w:rsidR="00FF2F8F">
        <w:t>M</w:t>
      </w:r>
      <w:r w:rsidR="00AD743F">
        <w:t>vasi (</w:t>
      </w:r>
      <w:r w:rsidR="005B2113">
        <w:rPr>
          <w:rFonts w:eastAsiaTheme="minorHAnsi" w:cs="Cambria"/>
        </w:rPr>
        <w:t>bevacizumab</w:t>
      </w:r>
      <w:r w:rsidR="00AD743F">
        <w:rPr>
          <w:rFonts w:eastAsiaTheme="minorHAnsi" w:cs="Cambria"/>
        </w:rPr>
        <w:t>)</w:t>
      </w:r>
      <w:r w:rsidR="005B2113">
        <w:t>,</w:t>
      </w:r>
      <w:r w:rsidR="004E5EAE" w:rsidRPr="004E5EAE">
        <w:rPr>
          <w:rFonts w:eastAsiaTheme="minorHAnsi" w:cs="Cambria"/>
        </w:rPr>
        <w:t xml:space="preserve"> </w:t>
      </w:r>
      <w:r w:rsidR="004E5EAE">
        <w:rPr>
          <w:rFonts w:eastAsiaTheme="minorHAnsi" w:cs="Cambria"/>
        </w:rPr>
        <w:t>100 mg/4 mL injection concentrated vial and 400 mg/16 mL injection concentrated vial</w:t>
      </w:r>
      <w:r>
        <w:t>, indicated for</w:t>
      </w:r>
      <w:r w:rsidR="004E5EAE">
        <w:t>:</w:t>
      </w:r>
    </w:p>
    <w:p w14:paraId="23DA0F43" w14:textId="77777777" w:rsidR="00F166FE" w:rsidRPr="00484F41" w:rsidRDefault="00F166FE" w:rsidP="00F166FE">
      <w:pPr>
        <w:ind w:left="720"/>
        <w:rPr>
          <w:b/>
          <w:i/>
          <w:lang w:eastAsia="en-AU"/>
        </w:rPr>
      </w:pPr>
      <w:r w:rsidRPr="00484F41">
        <w:rPr>
          <w:b/>
          <w:i/>
          <w:lang w:eastAsia="en-AU"/>
        </w:rPr>
        <w:t>Metastatic colorectal cancer</w:t>
      </w:r>
    </w:p>
    <w:p w14:paraId="7F883E99" w14:textId="77777777" w:rsidR="00F166FE" w:rsidRPr="00484F41" w:rsidRDefault="00F166FE" w:rsidP="00F166FE">
      <w:pPr>
        <w:ind w:left="720"/>
        <w:rPr>
          <w:i/>
          <w:lang w:eastAsia="en-AU"/>
        </w:rPr>
      </w:pPr>
      <w:r w:rsidRPr="00484F41">
        <w:rPr>
          <w:i/>
          <w:lang w:eastAsia="en-AU"/>
        </w:rPr>
        <w:t>Mvasi (bevacizumab) in combination with fluoropyrimidine-based chemotherapy is indicated for the treatment of patients with metastatic colorectal cancer.</w:t>
      </w:r>
    </w:p>
    <w:p w14:paraId="28D67BCE" w14:textId="77777777" w:rsidR="00F166FE" w:rsidRPr="00484F41" w:rsidRDefault="00F166FE" w:rsidP="00F166FE">
      <w:pPr>
        <w:ind w:left="720"/>
        <w:rPr>
          <w:b/>
          <w:i/>
          <w:lang w:eastAsia="en-AU"/>
        </w:rPr>
      </w:pPr>
      <w:r w:rsidRPr="00484F41">
        <w:rPr>
          <w:b/>
          <w:i/>
          <w:lang w:eastAsia="en-AU"/>
        </w:rPr>
        <w:t>Locally recurrent or metastatic breast cancer</w:t>
      </w:r>
    </w:p>
    <w:p w14:paraId="47584A01" w14:textId="77777777" w:rsidR="00F166FE" w:rsidRPr="00484F41" w:rsidRDefault="00F166FE" w:rsidP="00F166FE">
      <w:pPr>
        <w:ind w:left="720"/>
        <w:rPr>
          <w:i/>
          <w:lang w:eastAsia="en-AU"/>
        </w:rPr>
      </w:pPr>
      <w:r w:rsidRPr="00484F41">
        <w:rPr>
          <w:i/>
          <w:lang w:eastAsia="en-AU"/>
        </w:rPr>
        <w:t>Mvasi (bevacizumab) in combination with paclitaxel is indicated for the first-line treatment of metastatic breast cancer in patients in whom an anthracycline-based therapy is contraindicated. (see section 5.1 Pharmacodynamic properties, Clinical trials).</w:t>
      </w:r>
    </w:p>
    <w:p w14:paraId="211BDCBC" w14:textId="77777777" w:rsidR="00F166FE" w:rsidRPr="00484F41" w:rsidRDefault="00F166FE" w:rsidP="00F166FE">
      <w:pPr>
        <w:ind w:left="720"/>
        <w:rPr>
          <w:b/>
          <w:i/>
          <w:lang w:eastAsia="en-AU"/>
        </w:rPr>
      </w:pPr>
      <w:r w:rsidRPr="00484F41">
        <w:rPr>
          <w:b/>
          <w:i/>
          <w:lang w:eastAsia="en-AU"/>
        </w:rPr>
        <w:t>Advanced, metastatic or recurrent non-squamous non-small cell lung cancer (NSCLC)</w:t>
      </w:r>
    </w:p>
    <w:p w14:paraId="44EFE001" w14:textId="77777777" w:rsidR="00F166FE" w:rsidRPr="00484F41" w:rsidRDefault="00F166FE" w:rsidP="00F166FE">
      <w:pPr>
        <w:ind w:left="720"/>
        <w:rPr>
          <w:i/>
          <w:lang w:eastAsia="en-AU"/>
        </w:rPr>
      </w:pPr>
      <w:r w:rsidRPr="00484F41">
        <w:rPr>
          <w:i/>
          <w:lang w:eastAsia="en-AU"/>
        </w:rPr>
        <w:t>Mvasi (bevacizumab), in combination with carboplatin and paclitaxel, is indicated for first-line treatment of patients with unresectable advanced, metastatic or recurrent, non</w:t>
      </w:r>
      <w:r w:rsidRPr="00484F41">
        <w:rPr>
          <w:i/>
          <w:lang w:eastAsia="en-AU"/>
        </w:rPr>
        <w:noBreakHyphen/>
        <w:t>squamous, non-small cell lung cancer.</w:t>
      </w:r>
    </w:p>
    <w:p w14:paraId="417159AF" w14:textId="77777777" w:rsidR="00F166FE" w:rsidRPr="00484F41" w:rsidRDefault="00F166FE" w:rsidP="00F166FE">
      <w:pPr>
        <w:ind w:left="720"/>
        <w:rPr>
          <w:b/>
          <w:i/>
          <w:lang w:eastAsia="en-AU"/>
        </w:rPr>
      </w:pPr>
      <w:r w:rsidRPr="00484F41">
        <w:rPr>
          <w:b/>
          <w:i/>
          <w:lang w:eastAsia="en-AU"/>
        </w:rPr>
        <w:t>Advanced and/or metastatic renal cell cancer</w:t>
      </w:r>
    </w:p>
    <w:p w14:paraId="348A67D1" w14:textId="77777777" w:rsidR="00F166FE" w:rsidRPr="00484F41" w:rsidRDefault="00F166FE" w:rsidP="00F166FE">
      <w:pPr>
        <w:ind w:left="720"/>
        <w:rPr>
          <w:i/>
          <w:lang w:eastAsia="en-AU"/>
        </w:rPr>
      </w:pPr>
      <w:r w:rsidRPr="00484F41">
        <w:rPr>
          <w:i/>
          <w:lang w:eastAsia="en-AU"/>
        </w:rPr>
        <w:t>Mvasi (bevacizumab) in combination with interferon alfa-2a is indicated for treatment of patients with advanced and/or metastatic renal cell cancer.</w:t>
      </w:r>
    </w:p>
    <w:p w14:paraId="3CBD7D37" w14:textId="77777777" w:rsidR="00F166FE" w:rsidRPr="00484F41" w:rsidRDefault="00F166FE" w:rsidP="00F166FE">
      <w:pPr>
        <w:ind w:left="720"/>
        <w:rPr>
          <w:b/>
          <w:i/>
          <w:lang w:eastAsia="en-AU"/>
        </w:rPr>
      </w:pPr>
      <w:r w:rsidRPr="00484F41">
        <w:rPr>
          <w:b/>
          <w:i/>
          <w:lang w:eastAsia="en-AU"/>
        </w:rPr>
        <w:t>Grade IV glioma</w:t>
      </w:r>
    </w:p>
    <w:p w14:paraId="4C797AFA" w14:textId="77777777" w:rsidR="00F166FE" w:rsidRPr="00484F41" w:rsidRDefault="00F166FE" w:rsidP="00F166FE">
      <w:pPr>
        <w:ind w:left="720"/>
        <w:rPr>
          <w:i/>
          <w:lang w:eastAsia="en-AU"/>
        </w:rPr>
      </w:pPr>
      <w:r w:rsidRPr="00484F41">
        <w:rPr>
          <w:i/>
          <w:lang w:eastAsia="en-AU"/>
        </w:rPr>
        <w:t>Mvasi (bevacizumab) as a single agent, is indicated for the treatment of patients with Grade IV glioma after relapse or disease progression after standard therapy, including chemotherapy.</w:t>
      </w:r>
    </w:p>
    <w:p w14:paraId="6B6F940C" w14:textId="77777777" w:rsidR="00F166FE" w:rsidRPr="00484F41" w:rsidRDefault="00F166FE" w:rsidP="00F166FE">
      <w:pPr>
        <w:ind w:left="720"/>
        <w:rPr>
          <w:b/>
          <w:i/>
          <w:lang w:eastAsia="en-AU"/>
        </w:rPr>
      </w:pPr>
      <w:r w:rsidRPr="00484F41">
        <w:rPr>
          <w:b/>
          <w:i/>
          <w:lang w:eastAsia="en-AU"/>
        </w:rPr>
        <w:t>Epithelial ovarian, fallopian tube or primary peritoneal cancer</w:t>
      </w:r>
    </w:p>
    <w:p w14:paraId="328F7849" w14:textId="77777777" w:rsidR="00F166FE" w:rsidRPr="00484F41" w:rsidRDefault="00F166FE" w:rsidP="00F166FE">
      <w:pPr>
        <w:ind w:left="720"/>
        <w:rPr>
          <w:i/>
          <w:lang w:eastAsia="en-AU"/>
        </w:rPr>
      </w:pPr>
      <w:r w:rsidRPr="00484F41">
        <w:rPr>
          <w:i/>
          <w:lang w:eastAsia="en-AU"/>
        </w:rPr>
        <w:t xml:space="preserve">Mvasi (bevacizumab) in combination with carboplatin and paclitaxel, is indicated for first-line treatment of patients with advanced </w:t>
      </w:r>
      <w:r w:rsidRPr="00484F41">
        <w:rPr>
          <w:i/>
        </w:rPr>
        <w:t>(FIGO stages IIIB, IIIC and IV)</w:t>
      </w:r>
      <w:r w:rsidRPr="00484F41">
        <w:rPr>
          <w:i/>
          <w:lang w:eastAsia="en-AU"/>
        </w:rPr>
        <w:t xml:space="preserve"> epithelial ovarian, fallopian tube, or primary peritoneal cancer.</w:t>
      </w:r>
    </w:p>
    <w:p w14:paraId="45065FF6" w14:textId="77777777" w:rsidR="00F166FE" w:rsidRPr="00484F41" w:rsidRDefault="00F166FE" w:rsidP="00F166FE">
      <w:pPr>
        <w:ind w:left="720"/>
        <w:rPr>
          <w:b/>
          <w:i/>
          <w:lang w:eastAsia="en-AU"/>
        </w:rPr>
      </w:pPr>
      <w:r w:rsidRPr="00484F41">
        <w:rPr>
          <w:b/>
          <w:i/>
          <w:lang w:eastAsia="en-AU"/>
        </w:rPr>
        <w:t>Recurrent epithelial ovarian, fallopian tube or primary peritoneal cancer</w:t>
      </w:r>
    </w:p>
    <w:p w14:paraId="209C393C" w14:textId="77777777" w:rsidR="00F166FE" w:rsidRPr="00484F41" w:rsidRDefault="00F166FE" w:rsidP="00F166FE">
      <w:pPr>
        <w:ind w:left="720"/>
        <w:rPr>
          <w:i/>
          <w:lang w:eastAsia="en-AU"/>
        </w:rPr>
      </w:pPr>
      <w:r w:rsidRPr="00484F41">
        <w:rPr>
          <w:i/>
          <w:lang w:eastAsia="en-AU"/>
        </w:rPr>
        <w:t xml:space="preserve">Mvasi (bevacizumab), in combination with carboplatin and paclitaxel or in combination with carboplatin and gemcitabine, is indicated for the treatment of patients with first recurrence of platinum-sensitive, epithelial ovarian, fallopian tube, or primary peritoneal cancer who have not </w:t>
      </w:r>
      <w:r w:rsidRPr="00484F41">
        <w:rPr>
          <w:i/>
        </w:rPr>
        <w:t>received prior bevacizumab or other VEGF-targeted angiogenesis</w:t>
      </w:r>
      <w:r w:rsidRPr="00484F41">
        <w:rPr>
          <w:i/>
          <w:lang w:eastAsia="en-AU"/>
        </w:rPr>
        <w:t xml:space="preserve"> inhibitors.</w:t>
      </w:r>
    </w:p>
    <w:p w14:paraId="244C769C" w14:textId="77777777" w:rsidR="00F166FE" w:rsidRPr="00484F41" w:rsidRDefault="00F166FE" w:rsidP="00F166FE">
      <w:pPr>
        <w:ind w:left="720"/>
        <w:rPr>
          <w:i/>
          <w:lang w:eastAsia="en-AU"/>
        </w:rPr>
      </w:pPr>
      <w:r w:rsidRPr="00484F41">
        <w:rPr>
          <w:i/>
          <w:lang w:eastAsia="en-AU"/>
        </w:rPr>
        <w:t>Mvasi (bevacizumab) in combination with paclitaxel, topotecan or pegylated liposomal doxorubicin is indicated for the treatment of patients with recurrent, platinum-resistant epithelial ovarian, fallopian tube, or primary peritoneal cancer who have received no more than two prior chemotherapy regimens, and have not received any prior anti-angiogenic therapy including bevacizumab.</w:t>
      </w:r>
    </w:p>
    <w:p w14:paraId="246F00E9" w14:textId="77777777" w:rsidR="00F166FE" w:rsidRPr="00484F41" w:rsidRDefault="00F166FE" w:rsidP="002F6056">
      <w:pPr>
        <w:keepNext/>
        <w:ind w:left="720"/>
        <w:rPr>
          <w:b/>
          <w:i/>
          <w:lang w:eastAsia="en-AU"/>
        </w:rPr>
      </w:pPr>
      <w:r w:rsidRPr="00484F41">
        <w:rPr>
          <w:b/>
          <w:i/>
          <w:lang w:eastAsia="en-AU"/>
        </w:rPr>
        <w:lastRenderedPageBreak/>
        <w:t>Cervical cancer</w:t>
      </w:r>
    </w:p>
    <w:p w14:paraId="1DDE0EF6" w14:textId="49A281CC" w:rsidR="004E5EAE" w:rsidRPr="004E5EAE" w:rsidRDefault="00F166FE" w:rsidP="00A80FF9">
      <w:pPr>
        <w:spacing w:before="0" w:after="0" w:line="240" w:lineRule="auto"/>
        <w:ind w:left="720"/>
      </w:pPr>
      <w:r w:rsidRPr="00484F41">
        <w:rPr>
          <w:i/>
          <w:lang w:eastAsia="en-AU"/>
        </w:rPr>
        <w:t>Mvasi (bevacizumab) in combination with paclitaxel and cisplatin is indicated for the treatment of persistent, recurrent or metastatic carcinoma of the cervix. Mvasi (bevacizumab) in combination with paclitaxel and topotecan is an acceptable alternative where cisplatin is not tolerated or not indicated.</w:t>
      </w:r>
      <w:r w:rsidR="004142A4">
        <w:t>’’</w:t>
      </w:r>
    </w:p>
    <w:p w14:paraId="4FA35490" w14:textId="77777777" w:rsidR="00D23139" w:rsidRPr="00D23139" w:rsidRDefault="00D23139" w:rsidP="00D23139">
      <w:pPr>
        <w:pStyle w:val="Heading4"/>
      </w:pPr>
      <w:r w:rsidRPr="00D23139">
        <w:t>Specific conditions of registration applying to these goods</w:t>
      </w:r>
    </w:p>
    <w:p w14:paraId="78CA9BFC" w14:textId="2BC44452" w:rsidR="00F166FE" w:rsidRPr="00484F41" w:rsidRDefault="00F166FE" w:rsidP="00F166FE">
      <w:pPr>
        <w:pStyle w:val="ListBullet"/>
        <w:rPr>
          <w:lang w:eastAsia="en-AU"/>
        </w:rPr>
      </w:pPr>
      <w:r w:rsidRPr="00484F41">
        <w:rPr>
          <w:lang w:eastAsia="en-AU"/>
        </w:rPr>
        <w:t xml:space="preserve">The ABP 215 (bevacizumab biosimilar) European Union-Risk Management Plan (EU-RMP) (Version 0.3; dated 29 September 2017; </w:t>
      </w:r>
      <w:r w:rsidR="00A5487A">
        <w:rPr>
          <w:lang w:eastAsia="en-AU"/>
        </w:rPr>
        <w:t>DLP</w:t>
      </w:r>
      <w:r w:rsidRPr="00484F41">
        <w:rPr>
          <w:lang w:eastAsia="en-AU"/>
        </w:rPr>
        <w:t xml:space="preserve"> 10 September 2015), with</w:t>
      </w:r>
      <w:r w:rsidR="00A5487A">
        <w:rPr>
          <w:lang w:eastAsia="en-AU"/>
        </w:rPr>
        <w:t xml:space="preserve"> Mvasi ASA</w:t>
      </w:r>
      <w:r w:rsidRPr="00484F41">
        <w:rPr>
          <w:lang w:eastAsia="en-AU"/>
        </w:rPr>
        <w:t xml:space="preserve"> (Version 3.0; dated 16 August 2018), included with submission PM-2017-04616-1-4, and any subsequent revisions, as agreed with the TGA will be implemented in Australia.</w:t>
      </w:r>
    </w:p>
    <w:p w14:paraId="0FCF1AB2" w14:textId="77777777" w:rsidR="00F166FE" w:rsidRPr="00484F41" w:rsidRDefault="00F166FE" w:rsidP="00F166FE">
      <w:pPr>
        <w:pStyle w:val="ListBullet"/>
        <w:numPr>
          <w:ilvl w:val="0"/>
          <w:numId w:val="0"/>
        </w:numPr>
        <w:ind w:left="360"/>
        <w:rPr>
          <w:lang w:eastAsia="en-AU"/>
        </w:rPr>
      </w:pPr>
      <w:r w:rsidRPr="00484F41">
        <w:rPr>
          <w:lang w:eastAsia="en-AU"/>
        </w:rPr>
        <w:t>An obligatory component of risk management plans is routine pharmacovigilance. Routine pharmacovigilance includes the submission of periodic safety update reports (PSURs).</w:t>
      </w:r>
    </w:p>
    <w:p w14:paraId="173FD3CB" w14:textId="77777777" w:rsidR="00F166FE" w:rsidRPr="00484F41" w:rsidRDefault="00F166FE" w:rsidP="00F166FE">
      <w:pPr>
        <w:pStyle w:val="ListBullet"/>
        <w:numPr>
          <w:ilvl w:val="0"/>
          <w:numId w:val="0"/>
        </w:numPr>
        <w:ind w:left="360"/>
        <w:rPr>
          <w:lang w:eastAsia="en-AU"/>
        </w:rPr>
      </w:pPr>
      <w:r w:rsidRPr="00484F41">
        <w:rPr>
          <w:lang w:eastAsia="en-AU"/>
        </w:rPr>
        <w:t>Reports are to be provided in line with the current published list of EU reference dates and frequency of submission of PSURs until the period covered by such reports is not less than three years from the date of the approval letter.</w:t>
      </w:r>
    </w:p>
    <w:p w14:paraId="06ACBDE9" w14:textId="77777777" w:rsidR="00F166FE" w:rsidRPr="00484F41" w:rsidRDefault="00F166FE" w:rsidP="00F166FE">
      <w:pPr>
        <w:pStyle w:val="ListBullet"/>
        <w:numPr>
          <w:ilvl w:val="0"/>
          <w:numId w:val="0"/>
        </w:numPr>
        <w:ind w:left="360"/>
        <w:rPr>
          <w:lang w:eastAsia="en-AU"/>
        </w:rPr>
      </w:pPr>
      <w:r w:rsidRPr="00484F41">
        <w:rPr>
          <w:lang w:eastAsia="en-AU"/>
        </w:rPr>
        <w:t>The reports are to at least meet the requirements for PSURs as described in the European Medicines Agency’s Guideline on Good Pharmacovigilance Practices (GVP) Module VII 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BFE38BC" w14:textId="3EBB5A8E" w:rsidR="00F166FE" w:rsidRPr="00484F41" w:rsidRDefault="00F166FE" w:rsidP="00F166FE">
      <w:pPr>
        <w:pStyle w:val="ListBullet"/>
        <w:rPr>
          <w:lang w:eastAsia="en-AU"/>
        </w:rPr>
      </w:pPr>
      <w:r w:rsidRPr="00484F41">
        <w:rPr>
          <w:lang w:eastAsia="en-AU"/>
        </w:rPr>
        <w:t>Batch release testing and compliance with Certified Product Details (CPD)</w:t>
      </w:r>
      <w:r w:rsidR="00A35802">
        <w:rPr>
          <w:lang w:eastAsia="en-AU"/>
        </w:rPr>
        <w:t>;</w:t>
      </w:r>
      <w:r w:rsidR="00A35802">
        <w:rPr>
          <w:rStyle w:val="FootnoteReference"/>
          <w:lang w:eastAsia="en-AU"/>
        </w:rPr>
        <w:footnoteReference w:id="11"/>
      </w:r>
    </w:p>
    <w:p w14:paraId="52D35AC3" w14:textId="77777777" w:rsidR="00F166FE" w:rsidRPr="00484F41" w:rsidRDefault="00F166FE" w:rsidP="00F166FE">
      <w:pPr>
        <w:pStyle w:val="ListBullet2"/>
        <w:rPr>
          <w:lang w:eastAsia="en-AU"/>
        </w:rPr>
      </w:pPr>
      <w:r w:rsidRPr="00484F41">
        <w:rPr>
          <w:lang w:eastAsia="en-AU"/>
        </w:rPr>
        <w:t xml:space="preserve">It is a condition of registration that all batches of </w:t>
      </w:r>
      <w:r w:rsidRPr="00484F41">
        <w:t>Mvasi (bevacizumab)</w:t>
      </w:r>
      <w:r w:rsidRPr="00484F41">
        <w:rPr>
          <w:rFonts w:ascii="Cambria-Bold" w:hAnsi="Cambria-Bold" w:cs="Cambria-Bold"/>
          <w:b/>
          <w:bCs/>
          <w:lang w:eastAsia="en-AU"/>
        </w:rPr>
        <w:t xml:space="preserve"> </w:t>
      </w:r>
      <w:r w:rsidRPr="00484F41">
        <w:rPr>
          <w:lang w:eastAsia="en-AU"/>
        </w:rPr>
        <w:t xml:space="preserve">imported </w:t>
      </w:r>
      <w:r w:rsidRPr="00484F41">
        <w:rPr>
          <w:rFonts w:cs="Cambria"/>
          <w:lang w:eastAsia="en-AU"/>
        </w:rPr>
        <w:t>into/manufactured in Australia must comply with the product details and specifications approved during evaluation and detailed in the CPD.</w:t>
      </w:r>
    </w:p>
    <w:p w14:paraId="114DDC36" w14:textId="77777777" w:rsidR="00F166FE" w:rsidRPr="00484F41" w:rsidRDefault="00F166FE" w:rsidP="00F166FE">
      <w:pPr>
        <w:pStyle w:val="ListBullet2"/>
        <w:rPr>
          <w:lang w:eastAsia="en-AU"/>
        </w:rPr>
      </w:pPr>
      <w:r w:rsidRPr="00484F41">
        <w:rPr>
          <w:lang w:eastAsia="en-AU"/>
        </w:rPr>
        <w:t xml:space="preserve">It is a condition of registration that each batch of Mvasi (bevacizumab) imported into </w:t>
      </w:r>
      <w:r w:rsidRPr="00484F41">
        <w:rPr>
          <w:rFonts w:cs="Cambria"/>
          <w:lang w:eastAsia="en-AU"/>
        </w:rPr>
        <w:t>Australia is not released for sale until samples and/or the manufacturer’s release data have been assessed and endorsed for release by the TGA Laboratories branch. Outcomes of laboratory testing are published biannually in the TGA database of laboratory testing results http://www.tga.gov.au/ws-labs-index.</w:t>
      </w:r>
    </w:p>
    <w:p w14:paraId="7305B046" w14:textId="25351C76" w:rsidR="00F166FE" w:rsidRPr="00A5487A" w:rsidRDefault="00F166FE" w:rsidP="00F166FE">
      <w:pPr>
        <w:pStyle w:val="ListBullet2"/>
        <w:rPr>
          <w:lang w:eastAsia="en-AU"/>
        </w:rPr>
      </w:pPr>
      <w:r w:rsidRPr="00484F41">
        <w:rPr>
          <w:lang w:eastAsia="en-AU"/>
        </w:rPr>
        <w:t xml:space="preserve">The sponsor should be prepared to provide product samples, reference materials and </w:t>
      </w:r>
      <w:r w:rsidRPr="00484F41">
        <w:rPr>
          <w:rFonts w:cs="Cambria"/>
          <w:lang w:eastAsia="en-AU"/>
        </w:rPr>
        <w:t xml:space="preserve">documentary evidence as defined by the TGA Laboratories branch. The sponsor must contact </w:t>
      </w:r>
      <w:r w:rsidRPr="00A5487A">
        <w:rPr>
          <w:lang w:eastAsia="en-AU"/>
        </w:rPr>
        <w:t xml:space="preserve">Biochemistry.Testing@health.gov.au </w:t>
      </w:r>
      <w:r w:rsidRPr="00484F41">
        <w:rPr>
          <w:rFonts w:cs="Cambria"/>
          <w:lang w:eastAsia="en-AU"/>
        </w:rPr>
        <w:t xml:space="preserve">for specific material requirements related to the batch release testing/assessment of the product. More information on TGA testing of biological medicines is available at </w:t>
      </w:r>
      <w:r w:rsidR="009C0BFA">
        <w:rPr>
          <w:rFonts w:cs="Cambria"/>
          <w:lang w:eastAsia="en-AU"/>
        </w:rPr>
        <w:t>https://www.tga.gov.au/publica</w:t>
      </w:r>
      <w:r w:rsidRPr="00A5487A">
        <w:rPr>
          <w:rFonts w:cs="Cambria"/>
          <w:lang w:eastAsia="en-AU"/>
        </w:rPr>
        <w:t>tion/testingbiological-medicines.</w:t>
      </w:r>
    </w:p>
    <w:p w14:paraId="3C485129" w14:textId="77777777" w:rsidR="00F166FE" w:rsidRPr="00484F41" w:rsidRDefault="00F166FE" w:rsidP="00F166FE">
      <w:pPr>
        <w:pStyle w:val="ListBullet2"/>
        <w:numPr>
          <w:ilvl w:val="0"/>
          <w:numId w:val="0"/>
        </w:numPr>
        <w:ind w:left="850"/>
      </w:pPr>
      <w:r w:rsidRPr="00484F41">
        <w:lastRenderedPageBreak/>
        <w:t>This batch release condition will be reviewed and may be modified on the basis of actual batch quality and consistency. This condition remains in place until the sponsor is notified in writing of any variation.</w:t>
      </w:r>
    </w:p>
    <w:p w14:paraId="3D5E62BE" w14:textId="77777777" w:rsidR="00F166FE" w:rsidRPr="00484F41" w:rsidRDefault="00F166FE" w:rsidP="00F166FE">
      <w:pPr>
        <w:pStyle w:val="ListBullet"/>
        <w:rPr>
          <w:lang w:eastAsia="en-AU"/>
        </w:rPr>
      </w:pPr>
      <w:r w:rsidRPr="00484F41">
        <w:rPr>
          <w:lang w:eastAsia="en-AU"/>
        </w:rPr>
        <w:t>Certified Product Details</w:t>
      </w:r>
    </w:p>
    <w:p w14:paraId="68FEEC7C" w14:textId="77777777" w:rsidR="00F166FE" w:rsidRPr="00484F41" w:rsidRDefault="00F166FE" w:rsidP="00F166FE">
      <w:pPr>
        <w:pStyle w:val="ListBullet"/>
        <w:numPr>
          <w:ilvl w:val="0"/>
          <w:numId w:val="0"/>
        </w:numPr>
        <w:ind w:left="360"/>
        <w:rPr>
          <w:lang w:eastAsia="en-AU"/>
        </w:rPr>
      </w:pPr>
      <w:r w:rsidRPr="00484F41">
        <w:rPr>
          <w:lang w:eastAsia="en-AU"/>
        </w:rPr>
        <w:t xml:space="preserve">The CPD, as described in Guidance 7: Certified Product Details of the Australian Regulatory Guidelines for Prescription Medicines (ARGPM) </w:t>
      </w:r>
      <w:r w:rsidRPr="00A5487A">
        <w:rPr>
          <w:lang w:eastAsia="en-AU"/>
        </w:rPr>
        <w:t xml:space="preserve">(http://www.tga.gov.au/industry/pm-argpm-guidance-7.htm), in </w:t>
      </w:r>
      <w:r w:rsidRPr="00484F41">
        <w:rPr>
          <w:lang w:eastAsia="en-AU"/>
        </w:rPr>
        <w:t>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50DCC1F" w14:textId="7BDEBE76" w:rsidR="00CC6F51" w:rsidRPr="00B2097C" w:rsidRDefault="00F166FE" w:rsidP="00A80FF9">
      <w:pPr>
        <w:pStyle w:val="ListBullet"/>
      </w:pPr>
      <w:r w:rsidRPr="00484F41">
        <w:t>For all injectable products the Product Information (PI) must be included with the product as a package insert.</w:t>
      </w:r>
    </w:p>
    <w:p w14:paraId="7EF156A9" w14:textId="77777777" w:rsidR="008E7846" w:rsidRDefault="00A80B5B" w:rsidP="00D23139">
      <w:pPr>
        <w:pStyle w:val="Heading2"/>
      </w:pPr>
      <w:bookmarkStart w:id="77" w:name="_Toc57130863"/>
      <w:r>
        <w:t xml:space="preserve">Attachment 1. </w:t>
      </w:r>
      <w:r w:rsidR="008E7846">
        <w:t xml:space="preserve">Product </w:t>
      </w:r>
      <w:r w:rsidR="00AA0ED0">
        <w:t>I</w:t>
      </w:r>
      <w:r w:rsidR="008E7846">
        <w:t>nformation</w:t>
      </w:r>
      <w:bookmarkEnd w:id="75"/>
      <w:bookmarkEnd w:id="76"/>
      <w:bookmarkEnd w:id="77"/>
    </w:p>
    <w:p w14:paraId="74053D07" w14:textId="686F51B1" w:rsidR="00C80137" w:rsidRPr="001D043B" w:rsidRDefault="006136D7" w:rsidP="00A80FF9">
      <w:pPr>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r w:rsidRPr="002B3624">
        <w:t xml:space="preserve">The </w:t>
      </w:r>
      <w:r>
        <w:t>PI</w:t>
      </w:r>
      <w:r w:rsidRPr="002B3624">
        <w:t xml:space="preserve"> for </w:t>
      </w:r>
      <w:r w:rsidR="005C6014">
        <w:t>Mvasi</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9" w:history="1">
        <w:r w:rsidR="007C6B9B" w:rsidRPr="007C6B9B">
          <w:rPr>
            <w:rStyle w:val="Hyperlink"/>
          </w:rPr>
          <w:t>https://www.tga.gov.au/product-information-pi</w:t>
        </w:r>
      </w:hyperlink>
      <w:r w:rsidR="007C6B9B" w:rsidRPr="007C6B9B">
        <w:t>&gt;</w:t>
      </w:r>
      <w:r w:rsidR="00D776F7" w:rsidRPr="00C80137" w:rsidDel="00D776F7">
        <w:rPr>
          <w:b/>
        </w:rPr>
        <w:t xml:space="preserve">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7DFB200D" w14:textId="77777777" w:rsidTr="00A05FA4">
        <w:trPr>
          <w:trHeight w:hRule="exact" w:val="704"/>
        </w:trPr>
        <w:tc>
          <w:tcPr>
            <w:tcW w:w="9175" w:type="dxa"/>
          </w:tcPr>
          <w:p w14:paraId="08033454" w14:textId="77777777" w:rsidR="001C32CD" w:rsidRPr="00487162" w:rsidRDefault="001C32CD" w:rsidP="00A05FA4">
            <w:pPr>
              <w:pStyle w:val="TGASignoff"/>
            </w:pPr>
            <w:r w:rsidRPr="00487162">
              <w:lastRenderedPageBreak/>
              <w:t>Therapeutic Goods Administration</w:t>
            </w:r>
          </w:p>
        </w:tc>
      </w:tr>
      <w:tr w:rsidR="001C32CD" w:rsidRPr="004C239D" w14:paraId="47C9926F" w14:textId="77777777" w:rsidTr="00A05FA4">
        <w:trPr>
          <w:trHeight w:val="1221"/>
        </w:trPr>
        <w:tc>
          <w:tcPr>
            <w:tcW w:w="9175" w:type="dxa"/>
            <w:tcMar>
              <w:top w:w="28" w:type="dxa"/>
            </w:tcMar>
          </w:tcPr>
          <w:p w14:paraId="26099300" w14:textId="77777777" w:rsidR="001C32CD" w:rsidRPr="00487162" w:rsidRDefault="001C32CD" w:rsidP="00A05FA4">
            <w:pPr>
              <w:pStyle w:val="Address"/>
            </w:pPr>
            <w:r w:rsidRPr="00487162">
              <w:t>PO Box 100 Woden ACT 2606 Australia</w:t>
            </w:r>
          </w:p>
          <w:p w14:paraId="58593FA4" w14:textId="119DF1B5" w:rsidR="001C32CD" w:rsidRPr="00487162" w:rsidRDefault="001C32CD" w:rsidP="00A05FA4">
            <w:pPr>
              <w:pStyle w:val="Address"/>
            </w:pPr>
            <w:r w:rsidRPr="00487162">
              <w:t xml:space="preserve">Email: </w:t>
            </w:r>
            <w:hyperlink r:id="rId30" w:history="1">
              <w:r w:rsidRPr="004C239D">
                <w:rPr>
                  <w:rStyle w:val="Hyperlink"/>
                </w:rPr>
                <w:t>info@tga.gov.au</w:t>
              </w:r>
            </w:hyperlink>
            <w:r w:rsidR="00ED147C">
              <w:t xml:space="preserve"> </w:t>
            </w:r>
            <w:r w:rsidRPr="00487162">
              <w:t>Phone: 1800 020 653</w:t>
            </w:r>
            <w:r w:rsidR="00ED147C">
              <w:t xml:space="preserve"> </w:t>
            </w:r>
            <w:r w:rsidRPr="00487162">
              <w:t>Fax: 02 6232 8605</w:t>
            </w:r>
          </w:p>
          <w:p w14:paraId="72EB4BD8" w14:textId="734E70A3" w:rsidR="001C32CD" w:rsidRPr="004C239D" w:rsidRDefault="00741986"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14:paraId="1B0374A2" w14:textId="77777777"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3B058B" w16cid:durableId="234CE39E"/>
  <w16cid:commentId w16cid:paraId="1E2E067B" w16cid:durableId="234CE3C1"/>
  <w16cid:commentId w16cid:paraId="66174727" w16cid:durableId="234CEA77"/>
  <w16cid:commentId w16cid:paraId="6EF619AF" w16cid:durableId="234CE437"/>
  <w16cid:commentId w16cid:paraId="5D63FE7B" w16cid:durableId="234CE4B8"/>
  <w16cid:commentId w16cid:paraId="2E8549C6" w16cid:durableId="234CE669"/>
  <w16cid:commentId w16cid:paraId="7972A3F4" w16cid:durableId="234CE700"/>
  <w16cid:commentId w16cid:paraId="21ADC14E" w16cid:durableId="234CE724"/>
  <w16cid:commentId w16cid:paraId="44532E34" w16cid:durableId="234CE74E"/>
  <w16cid:commentId w16cid:paraId="0858033D" w16cid:durableId="234CE7C3"/>
  <w16cid:commentId w16cid:paraId="7B6ED03A" w16cid:durableId="234CE88C"/>
  <w16cid:commentId w16cid:paraId="78ABC865" w16cid:durableId="234CE7F0"/>
  <w16cid:commentId w16cid:paraId="07CA6722" w16cid:durableId="234CE8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454E4" w14:textId="77777777" w:rsidR="00936FF6" w:rsidRDefault="00936FF6" w:rsidP="00C40A36">
      <w:pPr>
        <w:spacing w:after="0"/>
      </w:pPr>
      <w:r>
        <w:separator/>
      </w:r>
    </w:p>
  </w:endnote>
  <w:endnote w:type="continuationSeparator" w:id="0">
    <w:p w14:paraId="0D2F3723" w14:textId="77777777" w:rsidR="00936FF6" w:rsidRDefault="00936FF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mbria-Bold">
    <w:altName w:val="Cambria"/>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36FF6" w:rsidRPr="00487162" w14:paraId="7BEAE6F6" w14:textId="77777777" w:rsidTr="00DB750B">
      <w:trPr>
        <w:trHeight w:val="269"/>
      </w:trPr>
      <w:tc>
        <w:tcPr>
          <w:tcW w:w="7371" w:type="dxa"/>
          <w:tcMar>
            <w:top w:w="142" w:type="dxa"/>
            <w:bottom w:w="0" w:type="dxa"/>
          </w:tcMar>
        </w:tcPr>
        <w:p w14:paraId="06813F1C" w14:textId="0F222902" w:rsidR="00936FF6" w:rsidRPr="00487162" w:rsidRDefault="00936FF6" w:rsidP="00825088">
          <w:pPr>
            <w:pStyle w:val="Footer"/>
          </w:pPr>
          <w:r w:rsidRPr="00487162">
            <w:t>AusPA</w:t>
          </w:r>
          <w:r>
            <w:t xml:space="preserve">R –Mvasi </w:t>
          </w:r>
          <w:r w:rsidRPr="00460036">
            <w:t xml:space="preserve">– </w:t>
          </w:r>
          <w:r>
            <w:t>Bevacizumab</w:t>
          </w:r>
          <w:r w:rsidRPr="00460036">
            <w:t xml:space="preserve"> </w:t>
          </w:r>
          <w:r>
            <w:t>– Amgen Australia Pty Ltd - PM-2017-04616-1-4</w:t>
          </w:r>
          <w:r>
            <w:br/>
            <w:t>FINAL – 23 November 2020</w:t>
          </w:r>
        </w:p>
      </w:tc>
      <w:tc>
        <w:tcPr>
          <w:tcW w:w="1490" w:type="dxa"/>
          <w:tcMar>
            <w:top w:w="142" w:type="dxa"/>
            <w:bottom w:w="0" w:type="dxa"/>
          </w:tcMar>
        </w:tcPr>
        <w:p w14:paraId="275ED3AA" w14:textId="228718CE" w:rsidR="00936FF6" w:rsidRPr="00487162" w:rsidRDefault="00936FF6" w:rsidP="00DB750B">
          <w:pPr>
            <w:pStyle w:val="Footer"/>
            <w:jc w:val="right"/>
          </w:pPr>
          <w:r w:rsidRPr="00487162">
            <w:t xml:space="preserve">Page </w:t>
          </w:r>
          <w:r>
            <w:fldChar w:fldCharType="begin"/>
          </w:r>
          <w:r>
            <w:instrText xml:space="preserve"> PAGE  \* Arabic </w:instrText>
          </w:r>
          <w:r>
            <w:fldChar w:fldCharType="separate"/>
          </w:r>
          <w:r w:rsidR="00741986">
            <w:rPr>
              <w:noProof/>
            </w:rPr>
            <w:t>3</w:t>
          </w:r>
          <w:r>
            <w:fldChar w:fldCharType="end"/>
          </w:r>
          <w:r w:rsidRPr="00487162">
            <w:t xml:space="preserve"> of </w:t>
          </w:r>
          <w:r w:rsidR="00741986">
            <w:fldChar w:fldCharType="begin"/>
          </w:r>
          <w:r w:rsidR="00741986">
            <w:instrText xml:space="preserve"> NUMPAGES  \* Arabic </w:instrText>
          </w:r>
          <w:r w:rsidR="00741986">
            <w:fldChar w:fldCharType="separate"/>
          </w:r>
          <w:r w:rsidR="00741986">
            <w:rPr>
              <w:noProof/>
            </w:rPr>
            <w:t>33</w:t>
          </w:r>
          <w:r w:rsidR="00741986">
            <w:rPr>
              <w:noProof/>
            </w:rPr>
            <w:fldChar w:fldCharType="end"/>
          </w:r>
        </w:p>
      </w:tc>
    </w:tr>
  </w:tbl>
  <w:p w14:paraId="7DAB7322" w14:textId="77777777" w:rsidR="00936FF6" w:rsidRDefault="00936FF6"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36FF6" w:rsidRPr="00487162" w14:paraId="1FFEB1E4" w14:textId="77777777" w:rsidTr="00E45619">
      <w:trPr>
        <w:trHeight w:val="269"/>
      </w:trPr>
      <w:tc>
        <w:tcPr>
          <w:tcW w:w="4519" w:type="dxa"/>
          <w:tcBorders>
            <w:top w:val="single" w:sz="4" w:space="0" w:color="auto"/>
          </w:tcBorders>
          <w:tcMar>
            <w:top w:w="142" w:type="dxa"/>
            <w:bottom w:w="0" w:type="dxa"/>
          </w:tcMar>
        </w:tcPr>
        <w:p w14:paraId="6C866C48" w14:textId="77777777" w:rsidR="00936FF6" w:rsidRPr="00487162" w:rsidRDefault="00936FF6" w:rsidP="00FE1DEE">
          <w:pPr>
            <w:pStyle w:val="Footer"/>
          </w:pPr>
          <w:r w:rsidRPr="00487162">
            <w:t>Document title, Part #, Section # - Section title</w:t>
          </w:r>
        </w:p>
        <w:p w14:paraId="7BF4F13A" w14:textId="77777777" w:rsidR="00936FF6" w:rsidRPr="00487162" w:rsidRDefault="00936FF6" w:rsidP="00FE1DEE">
          <w:pPr>
            <w:pStyle w:val="Footer"/>
          </w:pPr>
          <w:r w:rsidRPr="00487162">
            <w:t>V1.0 October 2010</w:t>
          </w:r>
        </w:p>
      </w:tc>
      <w:tc>
        <w:tcPr>
          <w:tcW w:w="4342" w:type="dxa"/>
          <w:tcBorders>
            <w:top w:val="single" w:sz="4" w:space="0" w:color="auto"/>
          </w:tcBorders>
          <w:tcMar>
            <w:top w:w="142" w:type="dxa"/>
            <w:bottom w:w="0" w:type="dxa"/>
          </w:tcMar>
        </w:tcPr>
        <w:p w14:paraId="7ED72DA3" w14:textId="77777777" w:rsidR="00936FF6" w:rsidRPr="00487162" w:rsidRDefault="00936FF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41986">
            <w:fldChar w:fldCharType="begin"/>
          </w:r>
          <w:r w:rsidR="00741986">
            <w:instrText xml:space="preserve"> NUMPAGES  </w:instrText>
          </w:r>
          <w:r w:rsidR="00741986">
            <w:fldChar w:fldCharType="separate"/>
          </w:r>
          <w:r>
            <w:rPr>
              <w:noProof/>
            </w:rPr>
            <w:t>2</w:t>
          </w:r>
          <w:r w:rsidR="00741986">
            <w:rPr>
              <w:noProof/>
            </w:rPr>
            <w:fldChar w:fldCharType="end"/>
          </w:r>
        </w:p>
      </w:tc>
    </w:tr>
  </w:tbl>
  <w:p w14:paraId="08FB2C0F" w14:textId="77777777" w:rsidR="00936FF6" w:rsidRDefault="00936F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BF830" w14:textId="77777777" w:rsidR="00936FF6" w:rsidRPr="001C32CD" w:rsidRDefault="00936FF6"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36FF6" w14:paraId="17561AF9" w14:textId="77777777" w:rsidTr="0010601F">
      <w:trPr>
        <w:trHeight w:val="108"/>
      </w:trPr>
      <w:tc>
        <w:tcPr>
          <w:tcW w:w="8875" w:type="dxa"/>
          <w:gridSpan w:val="2"/>
          <w:tcBorders>
            <w:bottom w:val="single" w:sz="4" w:space="0" w:color="auto"/>
          </w:tcBorders>
          <w:tcMar>
            <w:right w:w="284" w:type="dxa"/>
          </w:tcMar>
        </w:tcPr>
        <w:p w14:paraId="244D121C" w14:textId="77777777" w:rsidR="00936FF6" w:rsidRDefault="00936FF6" w:rsidP="006E08B3">
          <w:pPr>
            <w:pStyle w:val="Heading3"/>
          </w:pPr>
          <w:r>
            <w:t>Copyright</w:t>
          </w:r>
        </w:p>
        <w:p w14:paraId="3BBC7F15" w14:textId="77777777" w:rsidR="00936FF6" w:rsidRDefault="00936FF6" w:rsidP="006E08B3">
          <w:r>
            <w:rPr>
              <w:rFonts w:cs="Arial"/>
            </w:rPr>
            <w:t>©</w:t>
          </w:r>
          <w:r>
            <w:t xml:space="preserve"> Commonwealth of Australia [add year]</w:t>
          </w:r>
        </w:p>
        <w:p w14:paraId="49642A56" w14:textId="77777777" w:rsidR="00936FF6" w:rsidRDefault="00936FF6" w:rsidP="006E08B3"/>
        <w:p w14:paraId="22B8F9B0" w14:textId="77777777" w:rsidR="00936FF6" w:rsidRDefault="00936FF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D4FA39D" w14:textId="77777777" w:rsidR="00936FF6" w:rsidRDefault="00936FF6" w:rsidP="006E08B3"/>
        <w:p w14:paraId="63448D3C" w14:textId="77777777" w:rsidR="00936FF6" w:rsidRDefault="00936FF6" w:rsidP="006E08B3">
          <w:pPr>
            <w:pStyle w:val="Heading3"/>
          </w:pPr>
          <w:r>
            <w:t>Confidentiality</w:t>
          </w:r>
        </w:p>
        <w:p w14:paraId="57EB1069" w14:textId="77777777" w:rsidR="00936FF6" w:rsidRDefault="00936FF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FE16F46" w14:textId="77777777" w:rsidR="00936FF6" w:rsidRDefault="00936FF6" w:rsidP="006E08B3"/>
        <w:p w14:paraId="3676B62F" w14:textId="77777777" w:rsidR="00936FF6" w:rsidRDefault="00936FF6" w:rsidP="006E08B3">
          <w:r>
            <w:t>For submission made by individuals, all personal details, other than your name, will be removed from your submission before it is published on the TGA’s Internet site.</w:t>
          </w:r>
        </w:p>
        <w:p w14:paraId="0337F654" w14:textId="77777777" w:rsidR="00936FF6" w:rsidRDefault="00936FF6" w:rsidP="006E08B3"/>
        <w:p w14:paraId="14F1B269" w14:textId="77777777" w:rsidR="00936FF6" w:rsidRDefault="00936FF6" w:rsidP="006E08B3">
          <w:r>
            <w:t>In addition, a list of parties making submissions will be published. If you do not wish to be identified with your submission you must specifically request this in the space provided ib the submission coversheet.</w:t>
          </w:r>
        </w:p>
      </w:tc>
    </w:tr>
    <w:tr w:rsidR="00936FF6" w14:paraId="29218566" w14:textId="77777777" w:rsidTr="0010601F">
      <w:trPr>
        <w:trHeight w:val="417"/>
      </w:trPr>
      <w:tc>
        <w:tcPr>
          <w:tcW w:w="4519" w:type="dxa"/>
          <w:tcBorders>
            <w:top w:val="single" w:sz="4" w:space="0" w:color="auto"/>
          </w:tcBorders>
          <w:tcMar>
            <w:top w:w="142" w:type="dxa"/>
            <w:bottom w:w="0" w:type="dxa"/>
          </w:tcMar>
        </w:tcPr>
        <w:p w14:paraId="5D558F1B" w14:textId="77777777" w:rsidR="00936FF6" w:rsidRDefault="00936FF6" w:rsidP="006E08B3">
          <w:r>
            <w:t>Document title, Part #, Section # - Section title</w:t>
          </w:r>
        </w:p>
        <w:p w14:paraId="365FF80B" w14:textId="77777777" w:rsidR="00936FF6" w:rsidRDefault="00936FF6" w:rsidP="006E08B3">
          <w:r>
            <w:t>V1.0 October 2010</w:t>
          </w:r>
        </w:p>
      </w:tc>
      <w:tc>
        <w:tcPr>
          <w:tcW w:w="4356" w:type="dxa"/>
          <w:tcBorders>
            <w:top w:val="single" w:sz="4" w:space="0" w:color="auto"/>
          </w:tcBorders>
          <w:tcMar>
            <w:top w:w="142" w:type="dxa"/>
            <w:bottom w:w="0" w:type="dxa"/>
          </w:tcMar>
        </w:tcPr>
        <w:p w14:paraId="1ABB93CB" w14:textId="77777777" w:rsidR="00936FF6" w:rsidRDefault="00936FF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41986">
            <w:fldChar w:fldCharType="begin"/>
          </w:r>
          <w:r w:rsidR="00741986">
            <w:instrText xml:space="preserve"> NUMPAGES  \* Arabic </w:instrText>
          </w:r>
          <w:r w:rsidR="00741986">
            <w:fldChar w:fldCharType="separate"/>
          </w:r>
          <w:r>
            <w:rPr>
              <w:noProof/>
            </w:rPr>
            <w:t>2</w:t>
          </w:r>
          <w:r w:rsidR="00741986">
            <w:rPr>
              <w:noProof/>
            </w:rPr>
            <w:fldChar w:fldCharType="end"/>
          </w:r>
          <w:r>
            <w:t xml:space="preserve">  </w:t>
          </w:r>
        </w:p>
      </w:tc>
    </w:tr>
  </w:tbl>
  <w:p w14:paraId="06076BCE" w14:textId="77777777" w:rsidR="00936FF6" w:rsidRDefault="00936FF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1A151" w14:textId="77777777" w:rsidR="00936FF6" w:rsidRDefault="00936FF6" w:rsidP="00C40A36">
      <w:pPr>
        <w:spacing w:after="0"/>
      </w:pPr>
      <w:r>
        <w:separator/>
      </w:r>
    </w:p>
  </w:footnote>
  <w:footnote w:type="continuationSeparator" w:id="0">
    <w:p w14:paraId="65CFF841" w14:textId="77777777" w:rsidR="00936FF6" w:rsidRDefault="00936FF6" w:rsidP="00C40A36">
      <w:pPr>
        <w:spacing w:after="0"/>
      </w:pPr>
      <w:r>
        <w:continuationSeparator/>
      </w:r>
    </w:p>
  </w:footnote>
  <w:footnote w:id="1">
    <w:p w14:paraId="1A336680" w14:textId="77777777" w:rsidR="00936FF6" w:rsidRDefault="00936FF6">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06FE259" w14:textId="3BEC6EF9" w:rsidR="00936FF6" w:rsidRDefault="00936FF6" w:rsidP="00F33F71">
      <w:pPr>
        <w:pStyle w:val="FootnoteText"/>
      </w:pPr>
      <w:r>
        <w:rPr>
          <w:rStyle w:val="FootnoteReference"/>
        </w:rPr>
        <w:footnoteRef/>
      </w:r>
      <w:r>
        <w:t xml:space="preserve"> Avastin (bevacizumab</w:t>
      </w:r>
      <w:r w:rsidRPr="00250271">
        <w:t>)</w:t>
      </w:r>
      <w:r>
        <w:t xml:space="preserve"> 100 mg/4 mL and 400 mg/16 mL injection was first registered on the ARTG on 24 February 2005 (AUST R 99755 and 99757).</w:t>
      </w:r>
    </w:p>
  </w:footnote>
  <w:footnote w:id="3">
    <w:p w14:paraId="7762991A" w14:textId="65585D34" w:rsidR="00936FF6" w:rsidRPr="005233BF" w:rsidRDefault="00936FF6" w:rsidP="00F33F71">
      <w:pPr>
        <w:pStyle w:val="FootnoteText"/>
      </w:pPr>
      <w:r>
        <w:rPr>
          <w:rStyle w:val="FootnoteReference"/>
        </w:rPr>
        <w:footnoteRef/>
      </w:r>
      <w:r>
        <w:t xml:space="preserve"> </w:t>
      </w:r>
      <w:r>
        <w:rPr>
          <w:rStyle w:val="FootnoteTextChar"/>
        </w:rPr>
        <w:t xml:space="preserve">Goel, S. </w:t>
      </w:r>
      <w:r w:rsidRPr="008C1092">
        <w:rPr>
          <w:rStyle w:val="FootnoteTextChar"/>
        </w:rPr>
        <w:t>et al. Normalization of the vasc</w:t>
      </w:r>
      <w:r>
        <w:rPr>
          <w:rStyle w:val="FootnoteTextChar"/>
        </w:rPr>
        <w:t xml:space="preserve">ulature for treatment of cancer </w:t>
      </w:r>
      <w:r w:rsidRPr="008C1092">
        <w:rPr>
          <w:rStyle w:val="FootnoteTextChar"/>
        </w:rPr>
        <w:t xml:space="preserve">and other diseases. </w:t>
      </w:r>
      <w:r w:rsidRPr="005233BF">
        <w:rPr>
          <w:rStyle w:val="FootnoteTextChar"/>
          <w:i/>
        </w:rPr>
        <w:t>Physiol Rev</w:t>
      </w:r>
      <w:r w:rsidRPr="008C1092">
        <w:rPr>
          <w:rStyle w:val="FootnoteTextChar"/>
        </w:rPr>
        <w:t>. 2011;</w:t>
      </w:r>
      <w:r>
        <w:rPr>
          <w:rStyle w:val="FootnoteTextChar"/>
        </w:rPr>
        <w:t xml:space="preserve"> </w:t>
      </w:r>
      <w:r w:rsidRPr="008C1092">
        <w:rPr>
          <w:rStyle w:val="FootnoteTextChar"/>
        </w:rPr>
        <w:t>91:</w:t>
      </w:r>
      <w:r>
        <w:rPr>
          <w:rStyle w:val="FootnoteTextChar"/>
        </w:rPr>
        <w:t xml:space="preserve"> </w:t>
      </w:r>
      <w:r w:rsidRPr="008C1092">
        <w:rPr>
          <w:rStyle w:val="FootnoteTextChar"/>
        </w:rPr>
        <w:t>1071-1121.</w:t>
      </w:r>
    </w:p>
  </w:footnote>
  <w:footnote w:id="4">
    <w:p w14:paraId="60E0FBD6" w14:textId="1CC0194B" w:rsidR="00936FF6" w:rsidRDefault="00936FF6">
      <w:pPr>
        <w:pStyle w:val="FootnoteText"/>
      </w:pPr>
      <w:r>
        <w:rPr>
          <w:rStyle w:val="FootnoteReference"/>
        </w:rPr>
        <w:footnoteRef/>
      </w:r>
      <w:r>
        <w:t xml:space="preserve"> </w:t>
      </w:r>
      <w:r w:rsidRPr="005A7622">
        <w:t xml:space="preserve">RECIST is </w:t>
      </w:r>
      <w:r>
        <w:t>‘</w:t>
      </w:r>
      <w:r w:rsidRPr="005A7622">
        <w:t>Response evaluation criteria in solid tumours</w:t>
      </w:r>
      <w:r>
        <w:t>’</w:t>
      </w:r>
      <w:r w:rsidRPr="005A7622">
        <w:t xml:space="preserve"> - a set of published rules that define when tumours in cancer patients improve (</w:t>
      </w:r>
      <w:r>
        <w:t>‘</w:t>
      </w:r>
      <w:r w:rsidRPr="005A7622">
        <w:t>respond</w:t>
      </w:r>
      <w:r>
        <w:t>’</w:t>
      </w:r>
      <w:r w:rsidRPr="005A7622">
        <w:t>), stay the same (</w:t>
      </w:r>
      <w:r>
        <w:t>‘</w:t>
      </w:r>
      <w:r w:rsidRPr="005A7622">
        <w:t>stabili</w:t>
      </w:r>
      <w:r>
        <w:t>s</w:t>
      </w:r>
      <w:r w:rsidRPr="005A7622">
        <w:t>e</w:t>
      </w:r>
      <w:r>
        <w:t>’</w:t>
      </w:r>
      <w:r w:rsidRPr="005A7622">
        <w:t>), or worsen (</w:t>
      </w:r>
      <w:r>
        <w:t>‘</w:t>
      </w:r>
      <w:r w:rsidRPr="005A7622">
        <w:t>progress</w:t>
      </w:r>
      <w:r>
        <w:t>’</w:t>
      </w:r>
      <w:r w:rsidRPr="005A7622">
        <w:t>) during treatment.</w:t>
      </w:r>
    </w:p>
  </w:footnote>
  <w:footnote w:id="5">
    <w:p w14:paraId="6226F458" w14:textId="62475ABD" w:rsidR="00936FF6" w:rsidRDefault="00936FF6">
      <w:pPr>
        <w:pStyle w:val="FootnoteText"/>
      </w:pPr>
      <w:r>
        <w:rPr>
          <w:rStyle w:val="FootnoteReference"/>
        </w:rPr>
        <w:footnoteRef/>
      </w:r>
      <w:r>
        <w:t xml:space="preserve"> </w:t>
      </w:r>
      <w:r w:rsidRPr="00AC7EC4">
        <w:t>EMA, European Public Assessment Report (EPAR), Mvasi (bevacizumab), EMA/798844/2017, 9 November 2017. Available from the EMA website.</w:t>
      </w:r>
    </w:p>
  </w:footnote>
  <w:footnote w:id="6">
    <w:p w14:paraId="439B6C4B" w14:textId="61508760" w:rsidR="00936FF6" w:rsidRDefault="00936FF6">
      <w:pPr>
        <w:pStyle w:val="FootnoteText"/>
      </w:pPr>
      <w:r>
        <w:rPr>
          <w:rStyle w:val="FootnoteReference"/>
        </w:rPr>
        <w:footnoteRef/>
      </w:r>
      <w:r>
        <w:t xml:space="preserve"> </w:t>
      </w:r>
      <w:r w:rsidRPr="003072CA">
        <w:t>FDA, Center for Drug Evaluation and Research, summary review, Mvasi (bevacizumab-awwb), 14 September 2017. Available from the FDA website.</w:t>
      </w:r>
    </w:p>
  </w:footnote>
  <w:footnote w:id="7">
    <w:p w14:paraId="7B988F92" w14:textId="73FBEFBD" w:rsidR="00936FF6" w:rsidRPr="00DA4371" w:rsidRDefault="00936FF6" w:rsidP="00DA4371">
      <w:pPr>
        <w:rPr>
          <w:sz w:val="18"/>
          <w:szCs w:val="20"/>
        </w:rPr>
      </w:pPr>
      <w:r>
        <w:rPr>
          <w:rStyle w:val="FootnoteReference"/>
        </w:rPr>
        <w:footnoteRef/>
      </w:r>
      <w:r>
        <w:t xml:space="preserve"> </w:t>
      </w:r>
      <w:r w:rsidRPr="00DA4371">
        <w:rPr>
          <w:rStyle w:val="FootnoteTextChar"/>
        </w:rPr>
        <w:t>FDA Highlights of prescribing information for Mvasi(bevacizumab-awwb), solution for intravenous infusion, first approval 2017. Available from the FDA website.</w:t>
      </w:r>
      <w:r w:rsidRPr="003A1481">
        <w:rPr>
          <w:rStyle w:val="FootnoteTextChar"/>
        </w:rPr>
        <w:t xml:space="preserve"> </w:t>
      </w:r>
    </w:p>
  </w:footnote>
  <w:footnote w:id="8">
    <w:p w14:paraId="6C47A286" w14:textId="77777777" w:rsidR="00936FF6" w:rsidRDefault="00936FF6" w:rsidP="004B5364">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1332EB4A" w14:textId="77777777" w:rsidR="00936FF6" w:rsidRDefault="00936FF6" w:rsidP="004B5364">
      <w:pPr>
        <w:pStyle w:val="FootnoteText"/>
      </w:pPr>
      <w:r w:rsidRPr="007D53B6">
        <w:rPr>
          <w:i/>
        </w:rPr>
        <w:t>Routine pharmacovigilance</w:t>
      </w:r>
      <w:r>
        <w:t xml:space="preserve"> practices involve the following activities:</w:t>
      </w:r>
    </w:p>
    <w:p w14:paraId="23792C0F" w14:textId="77777777" w:rsidR="00936FF6" w:rsidRDefault="00936FF6" w:rsidP="004B5364">
      <w:pPr>
        <w:pStyle w:val="FootnoteText"/>
        <w:numPr>
          <w:ilvl w:val="0"/>
          <w:numId w:val="6"/>
        </w:numPr>
        <w:ind w:left="284" w:hanging="284"/>
      </w:pPr>
      <w:r>
        <w:t>All suspected adverse reactions that are reported to the personnel of the company are collected and collated in an accessible manner;</w:t>
      </w:r>
    </w:p>
    <w:p w14:paraId="7A9BFB6F" w14:textId="77777777" w:rsidR="00936FF6" w:rsidRDefault="00936FF6" w:rsidP="004B5364">
      <w:pPr>
        <w:pStyle w:val="FootnoteText"/>
        <w:numPr>
          <w:ilvl w:val="0"/>
          <w:numId w:val="6"/>
        </w:numPr>
        <w:ind w:left="284" w:hanging="284"/>
      </w:pPr>
      <w:r>
        <w:t>Reporting to regulatory authorities;</w:t>
      </w:r>
    </w:p>
    <w:p w14:paraId="4D09D62C" w14:textId="77777777" w:rsidR="00936FF6" w:rsidRDefault="00936FF6" w:rsidP="004B5364">
      <w:pPr>
        <w:pStyle w:val="FootnoteText"/>
        <w:numPr>
          <w:ilvl w:val="0"/>
          <w:numId w:val="6"/>
        </w:numPr>
        <w:ind w:left="284" w:hanging="284"/>
      </w:pPr>
      <w:r>
        <w:t>Continuous monitoring of the safety profiles of approved products including signal detection and updating of labelling;</w:t>
      </w:r>
    </w:p>
    <w:p w14:paraId="4A4D6290" w14:textId="77777777" w:rsidR="00936FF6" w:rsidRDefault="00936FF6" w:rsidP="004B5364">
      <w:pPr>
        <w:pStyle w:val="FootnoteText"/>
        <w:numPr>
          <w:ilvl w:val="0"/>
          <w:numId w:val="6"/>
        </w:numPr>
        <w:ind w:left="284" w:hanging="284"/>
      </w:pPr>
      <w:r>
        <w:t>Submission of PSURs;</w:t>
      </w:r>
    </w:p>
    <w:p w14:paraId="029D4C67" w14:textId="3CF97D6C" w:rsidR="00936FF6" w:rsidRDefault="00936FF6" w:rsidP="004B5364">
      <w:pPr>
        <w:pStyle w:val="FootnoteText"/>
        <w:numPr>
          <w:ilvl w:val="0"/>
          <w:numId w:val="6"/>
        </w:numPr>
        <w:ind w:left="284" w:hanging="284"/>
      </w:pPr>
      <w:r>
        <w:t>Meeting other local regulatory agency requirements.</w:t>
      </w:r>
    </w:p>
  </w:footnote>
  <w:footnote w:id="9">
    <w:p w14:paraId="31D42579" w14:textId="5B88054D" w:rsidR="00936FF6" w:rsidRPr="0097425F" w:rsidRDefault="00936FF6" w:rsidP="00072278">
      <w:pPr>
        <w:pStyle w:val="FootnoteText"/>
      </w:pPr>
      <w:r>
        <w:rPr>
          <w:rStyle w:val="FootnoteReference"/>
        </w:rPr>
        <w:footnoteRef/>
      </w:r>
      <w:r>
        <w:t xml:space="preserve"> </w:t>
      </w:r>
      <w:r w:rsidRPr="00253DF6">
        <w:t>Australian Public Assessment report (AusPAR) for bevacizumab (Avastin), May 2017, Available from the TGA website.</w:t>
      </w:r>
    </w:p>
  </w:footnote>
  <w:footnote w:id="10">
    <w:p w14:paraId="1F358FF0" w14:textId="1A643121" w:rsidR="00936FF6" w:rsidRDefault="00936FF6" w:rsidP="00AF1664">
      <w:pPr>
        <w:pStyle w:val="FootnoteText"/>
      </w:pPr>
      <w:r>
        <w:rPr>
          <w:rStyle w:val="FootnoteReference"/>
        </w:rPr>
        <w:footnoteRef/>
      </w:r>
      <w:r>
        <w:t xml:space="preserve"> </w:t>
      </w:r>
      <w:r w:rsidRPr="00253DF6">
        <w:t xml:space="preserve">European Medicines Agency (EMA), </w:t>
      </w:r>
      <w:r>
        <w:t>S</w:t>
      </w:r>
      <w:r w:rsidRPr="00253DF6">
        <w:t>cientific guideline on biosimilar medicinal products, CHMP/437/04 Rev.1, April 2015</w:t>
      </w:r>
    </w:p>
  </w:footnote>
  <w:footnote w:id="11">
    <w:p w14:paraId="348DCE42" w14:textId="0062D4B4" w:rsidR="00936FF6" w:rsidRDefault="00936FF6">
      <w:pPr>
        <w:pStyle w:val="FootnoteText"/>
      </w:pPr>
      <w:r>
        <w:rPr>
          <w:rStyle w:val="FootnoteReference"/>
        </w:rPr>
        <w:footnoteRef/>
      </w:r>
      <w:r>
        <w:t xml:space="preserve"> These batch testing conditions are those imposed at the time of approval, and have since been amended on 10 August 2020 to the following:</w:t>
      </w:r>
    </w:p>
    <w:p w14:paraId="1272C061" w14:textId="11FB913E" w:rsidR="00936FF6" w:rsidRDefault="00936FF6" w:rsidP="00A35802">
      <w:pPr>
        <w:pStyle w:val="FootnoteText"/>
      </w:pPr>
      <w:r>
        <w:t>Laboratory testing and compliance with Certified Product Details (CPD)</w:t>
      </w:r>
    </w:p>
    <w:p w14:paraId="574B1344" w14:textId="17A2AD15" w:rsidR="00936FF6" w:rsidRDefault="00936FF6" w:rsidP="00A35802">
      <w:pPr>
        <w:pStyle w:val="FootnoteText"/>
      </w:pPr>
      <w:r w:rsidRPr="00A35802">
        <w:t>-</w:t>
      </w:r>
      <w:r>
        <w:t xml:space="preserve"> All batches of ‘the Product/s’ supplied in Australia must comply with the product details and specifications approved during evaluation and detailed in the Certified Product Details (CPD).</w:t>
      </w:r>
    </w:p>
    <w:p w14:paraId="21B4E53B" w14:textId="000383F3" w:rsidR="00936FF6" w:rsidRDefault="00936FF6" w:rsidP="00A35802">
      <w:pPr>
        <w:pStyle w:val="FootnoteText"/>
      </w:pPr>
      <w:r>
        <w:t>- 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 index and periodically in testing reports on the TGA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B128E" w14:textId="77777777" w:rsidR="00936FF6" w:rsidRDefault="00936FF6"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938A" w14:textId="77777777" w:rsidR="00936FF6" w:rsidRDefault="00936FF6">
    <w:pPr>
      <w:rPr>
        <w:noProof/>
        <w:lang w:eastAsia="en-AU"/>
      </w:rPr>
    </w:pPr>
    <w:r w:rsidRPr="00347824">
      <w:rPr>
        <w:noProof/>
        <w:lang w:eastAsia="en-AU"/>
      </w:rPr>
      <w:drawing>
        <wp:anchor distT="0" distB="0" distL="114300" distR="114300" simplePos="0" relativeHeight="251660288" behindDoc="1" locked="0" layoutInCell="1" allowOverlap="1" wp14:anchorId="246A912D" wp14:editId="275033CE">
          <wp:simplePos x="0" y="0"/>
          <wp:positionH relativeFrom="column">
            <wp:posOffset>-1089660</wp:posOffset>
          </wp:positionH>
          <wp:positionV relativeFrom="paragraph">
            <wp:posOffset>-585470</wp:posOffset>
          </wp:positionV>
          <wp:extent cx="7572375" cy="10706100"/>
          <wp:effectExtent l="19050" t="0" r="0" b="0"/>
          <wp:wrapNone/>
          <wp:docPr id="1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504E9CE" w14:textId="77777777" w:rsidR="00936FF6" w:rsidRDefault="00936FF6" w:rsidP="00593AD1">
    <w:pPr>
      <w:pStyle w:val="HeaderNoLine"/>
    </w:pPr>
    <w:r>
      <w:rPr>
        <w:noProof/>
        <w:lang w:eastAsia="en-AU"/>
      </w:rPr>
      <w:drawing>
        <wp:inline distT="0" distB="0" distL="0" distR="0" wp14:anchorId="4AE0321D" wp14:editId="15EF58EE">
          <wp:extent cx="5400675" cy="7639050"/>
          <wp:effectExtent l="0" t="0" r="9525" b="0"/>
          <wp:docPr id="15" name="Picture 1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78A86" w14:textId="77777777" w:rsidR="00936FF6" w:rsidRDefault="00936F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E3E8" w14:textId="77777777" w:rsidR="00936FF6" w:rsidRDefault="00936FF6">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E36F8" w14:textId="77777777" w:rsidR="00936FF6" w:rsidRDefault="00936FF6">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44605" w14:textId="77777777" w:rsidR="00936FF6" w:rsidRDefault="00936F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77538" w14:textId="77777777" w:rsidR="00936FF6" w:rsidRDefault="00936FF6"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B7933" w14:textId="77777777" w:rsidR="00936FF6" w:rsidRDefault="00936FF6" w:rsidP="006E08B3">
    <w:r>
      <w:t>Therapeutic Goods Administration</w:t>
    </w:r>
  </w:p>
  <w:p w14:paraId="5EB54C54" w14:textId="77777777" w:rsidR="00936FF6" w:rsidRDefault="00936FF6"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69F58B"/>
    <w:multiLevelType w:val="hybridMultilevel"/>
    <w:tmpl w:val="DE4A27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F2829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DC5458"/>
    <w:multiLevelType w:val="hybridMultilevel"/>
    <w:tmpl w:val="153AB0EA"/>
    <w:lvl w:ilvl="0" w:tplc="D65413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02B416D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47B4808"/>
    <w:multiLevelType w:val="hybridMultilevel"/>
    <w:tmpl w:val="224E5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345164"/>
    <w:multiLevelType w:val="hybridMultilevel"/>
    <w:tmpl w:val="7D56A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516D96"/>
    <w:multiLevelType w:val="hybridMultilevel"/>
    <w:tmpl w:val="CDE435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A900F9"/>
    <w:multiLevelType w:val="hybridMultilevel"/>
    <w:tmpl w:val="8542AB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236648"/>
    <w:multiLevelType w:val="hybridMultilevel"/>
    <w:tmpl w:val="346C64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086FF0"/>
    <w:multiLevelType w:val="hybridMultilevel"/>
    <w:tmpl w:val="52445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877B6C"/>
    <w:multiLevelType w:val="hybridMultilevel"/>
    <w:tmpl w:val="0882C634"/>
    <w:lvl w:ilvl="0" w:tplc="124E8468">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244CF1"/>
    <w:multiLevelType w:val="hybridMultilevel"/>
    <w:tmpl w:val="DFFC7678"/>
    <w:lvl w:ilvl="0" w:tplc="784A43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BB6AFD"/>
    <w:multiLevelType w:val="hybridMultilevel"/>
    <w:tmpl w:val="AD040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64356B"/>
    <w:multiLevelType w:val="hybridMultilevel"/>
    <w:tmpl w:val="6FFA4D32"/>
    <w:lvl w:ilvl="0" w:tplc="9AF0850A">
      <w:start w:val="9"/>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5C6C0A"/>
    <w:multiLevelType w:val="hybridMultilevel"/>
    <w:tmpl w:val="0BAAD3D8"/>
    <w:lvl w:ilvl="0" w:tplc="784A43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4D5C06"/>
    <w:multiLevelType w:val="hybridMultilevel"/>
    <w:tmpl w:val="6CE041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A42C97"/>
    <w:multiLevelType w:val="hybridMultilevel"/>
    <w:tmpl w:val="8B407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A77F34"/>
    <w:multiLevelType w:val="hybridMultilevel"/>
    <w:tmpl w:val="172A22F8"/>
    <w:lvl w:ilvl="0" w:tplc="50E4C2A6">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E60AB1"/>
    <w:multiLevelType w:val="hybridMultilevel"/>
    <w:tmpl w:val="D6BCA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4C583D"/>
    <w:multiLevelType w:val="hybridMultilevel"/>
    <w:tmpl w:val="E6224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D671EE"/>
    <w:multiLevelType w:val="hybridMultilevel"/>
    <w:tmpl w:val="EB76D0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4474903"/>
    <w:multiLevelType w:val="hybridMultilevel"/>
    <w:tmpl w:val="26F02D52"/>
    <w:lvl w:ilvl="0" w:tplc="1DEC32C6">
      <w:start w:val="1"/>
      <w:numFmt w:val="bullet"/>
      <w:pStyle w:val="Table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B020CE8"/>
    <w:multiLevelType w:val="hybridMultilevel"/>
    <w:tmpl w:val="B752521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FD417C"/>
    <w:multiLevelType w:val="hybridMultilevel"/>
    <w:tmpl w:val="E5AA5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E93F10"/>
    <w:multiLevelType w:val="hybridMultilevel"/>
    <w:tmpl w:val="46EC5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98589F"/>
    <w:multiLevelType w:val="hybridMultilevel"/>
    <w:tmpl w:val="C2780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061C03"/>
    <w:multiLevelType w:val="hybridMultilevel"/>
    <w:tmpl w:val="A5ECD45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661891"/>
    <w:multiLevelType w:val="hybridMultilevel"/>
    <w:tmpl w:val="594651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5"/>
  </w:num>
  <w:num w:numId="4">
    <w:abstractNumId w:val="4"/>
  </w:num>
  <w:num w:numId="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7"/>
  </w:num>
  <w:num w:numId="7">
    <w:abstractNumId w:val="2"/>
  </w:num>
  <w:num w:numId="8">
    <w:abstractNumId w:val="18"/>
  </w:num>
  <w:num w:numId="9">
    <w:abstractNumId w:val="13"/>
  </w:num>
  <w:num w:numId="10">
    <w:abstractNumId w:val="7"/>
  </w:num>
  <w:num w:numId="11">
    <w:abstractNumId w:val="19"/>
  </w:num>
  <w:num w:numId="12">
    <w:abstractNumId w:val="28"/>
  </w:num>
  <w:num w:numId="13">
    <w:abstractNumId w:val="16"/>
  </w:num>
  <w:num w:numId="14">
    <w:abstractNumId w:val="25"/>
  </w:num>
  <w:num w:numId="15">
    <w:abstractNumId w:val="26"/>
  </w:num>
  <w:num w:numId="16">
    <w:abstractNumId w:val="9"/>
  </w:num>
  <w:num w:numId="17">
    <w:abstractNumId w:val="22"/>
  </w:num>
  <w:num w:numId="18">
    <w:abstractNumId w:val="11"/>
  </w:num>
  <w:num w:numId="19">
    <w:abstractNumId w:val="27"/>
  </w:num>
  <w:num w:numId="20">
    <w:abstractNumId w:val="29"/>
  </w:num>
  <w:num w:numId="21">
    <w:abstractNumId w:val="6"/>
  </w:num>
  <w:num w:numId="22">
    <w:abstractNumId w:val="31"/>
  </w:num>
  <w:num w:numId="23">
    <w:abstractNumId w:val="30"/>
  </w:num>
  <w:num w:numId="24">
    <w:abstractNumId w:val="8"/>
  </w:num>
  <w:num w:numId="25">
    <w:abstractNumId w:val="3"/>
  </w:num>
  <w:num w:numId="26">
    <w:abstractNumId w:val="10"/>
  </w:num>
  <w:num w:numId="27">
    <w:abstractNumId w:val="0"/>
  </w:num>
  <w:num w:numId="28">
    <w:abstractNumId w:val="24"/>
  </w:num>
  <w:num w:numId="29">
    <w:abstractNumId w:val="12"/>
  </w:num>
  <w:num w:numId="30">
    <w:abstractNumId w:val="21"/>
  </w:num>
  <w:num w:numId="31">
    <w:abstractNumId w:val="23"/>
  </w:num>
  <w:num w:numId="32">
    <w:abstractNumId w:val="20"/>
  </w:num>
  <w:num w:numId="33">
    <w:abstractNumId w:val="1"/>
  </w:num>
  <w:num w:numId="34">
    <w:abstractNumId w:val="15"/>
  </w:num>
  <w:num w:numId="35">
    <w:abstractNumId w:val="4"/>
    <w:lvlOverride w:ilvl="0">
      <w:startOverride w:val="2"/>
    </w:lvlOverride>
  </w:num>
  <w:num w:numId="36">
    <w:abstractNumId w:val="14"/>
  </w:num>
  <w:num w:numId="37">
    <w:abstractNumId w:val="4"/>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10A"/>
    <w:rsid w:val="00002031"/>
    <w:rsid w:val="00004734"/>
    <w:rsid w:val="00006B22"/>
    <w:rsid w:val="00006FAB"/>
    <w:rsid w:val="0000710A"/>
    <w:rsid w:val="00010EB8"/>
    <w:rsid w:val="0001276A"/>
    <w:rsid w:val="000129A0"/>
    <w:rsid w:val="000137E6"/>
    <w:rsid w:val="00014BDE"/>
    <w:rsid w:val="000246AE"/>
    <w:rsid w:val="00025C67"/>
    <w:rsid w:val="00026477"/>
    <w:rsid w:val="00033A8E"/>
    <w:rsid w:val="000363E9"/>
    <w:rsid w:val="00044772"/>
    <w:rsid w:val="0004541C"/>
    <w:rsid w:val="000466E6"/>
    <w:rsid w:val="00055032"/>
    <w:rsid w:val="0005559E"/>
    <w:rsid w:val="000604D6"/>
    <w:rsid w:val="00060AD3"/>
    <w:rsid w:val="00063CC0"/>
    <w:rsid w:val="00063FEC"/>
    <w:rsid w:val="00072278"/>
    <w:rsid w:val="000726B5"/>
    <w:rsid w:val="000734D8"/>
    <w:rsid w:val="00077775"/>
    <w:rsid w:val="000860ED"/>
    <w:rsid w:val="00090471"/>
    <w:rsid w:val="00093967"/>
    <w:rsid w:val="00096AA7"/>
    <w:rsid w:val="000A3AED"/>
    <w:rsid w:val="000A599E"/>
    <w:rsid w:val="000A64D2"/>
    <w:rsid w:val="000B3532"/>
    <w:rsid w:val="000B3A75"/>
    <w:rsid w:val="000B6ADE"/>
    <w:rsid w:val="000C00C2"/>
    <w:rsid w:val="000C533B"/>
    <w:rsid w:val="000C690F"/>
    <w:rsid w:val="000D1295"/>
    <w:rsid w:val="000D3696"/>
    <w:rsid w:val="000D391B"/>
    <w:rsid w:val="000D3D6D"/>
    <w:rsid w:val="000D4338"/>
    <w:rsid w:val="000D4BCC"/>
    <w:rsid w:val="000D4FC7"/>
    <w:rsid w:val="000D736E"/>
    <w:rsid w:val="000E127C"/>
    <w:rsid w:val="000E6196"/>
    <w:rsid w:val="000F0562"/>
    <w:rsid w:val="000F4869"/>
    <w:rsid w:val="000F5B42"/>
    <w:rsid w:val="000F6E6F"/>
    <w:rsid w:val="0010601F"/>
    <w:rsid w:val="0010788A"/>
    <w:rsid w:val="00107A31"/>
    <w:rsid w:val="00110EA5"/>
    <w:rsid w:val="00112F56"/>
    <w:rsid w:val="00115AD1"/>
    <w:rsid w:val="00116765"/>
    <w:rsid w:val="001178BA"/>
    <w:rsid w:val="00124ACD"/>
    <w:rsid w:val="00125318"/>
    <w:rsid w:val="001305A2"/>
    <w:rsid w:val="00133238"/>
    <w:rsid w:val="00133A1B"/>
    <w:rsid w:val="00134CEC"/>
    <w:rsid w:val="001362DA"/>
    <w:rsid w:val="0014197B"/>
    <w:rsid w:val="001447CD"/>
    <w:rsid w:val="001516B1"/>
    <w:rsid w:val="00154EBB"/>
    <w:rsid w:val="00156316"/>
    <w:rsid w:val="00161181"/>
    <w:rsid w:val="00162D14"/>
    <w:rsid w:val="00163780"/>
    <w:rsid w:val="00165389"/>
    <w:rsid w:val="00175DC6"/>
    <w:rsid w:val="0017693F"/>
    <w:rsid w:val="0018110E"/>
    <w:rsid w:val="00181684"/>
    <w:rsid w:val="001843C6"/>
    <w:rsid w:val="001850E0"/>
    <w:rsid w:val="0018771F"/>
    <w:rsid w:val="001A0051"/>
    <w:rsid w:val="001A03AF"/>
    <w:rsid w:val="001A2087"/>
    <w:rsid w:val="001A2158"/>
    <w:rsid w:val="001A525F"/>
    <w:rsid w:val="001B09F9"/>
    <w:rsid w:val="001B35E6"/>
    <w:rsid w:val="001B5C90"/>
    <w:rsid w:val="001B6448"/>
    <w:rsid w:val="001B7975"/>
    <w:rsid w:val="001C247D"/>
    <w:rsid w:val="001C32CD"/>
    <w:rsid w:val="001C3A20"/>
    <w:rsid w:val="001D2984"/>
    <w:rsid w:val="001D4641"/>
    <w:rsid w:val="001D53F1"/>
    <w:rsid w:val="001D5414"/>
    <w:rsid w:val="001D71D8"/>
    <w:rsid w:val="001E07CF"/>
    <w:rsid w:val="001E2D94"/>
    <w:rsid w:val="001E59F1"/>
    <w:rsid w:val="001E7016"/>
    <w:rsid w:val="001F2CEE"/>
    <w:rsid w:val="001F49EB"/>
    <w:rsid w:val="001F6CBA"/>
    <w:rsid w:val="001F78F8"/>
    <w:rsid w:val="00201D4E"/>
    <w:rsid w:val="00203056"/>
    <w:rsid w:val="00204706"/>
    <w:rsid w:val="002076C9"/>
    <w:rsid w:val="002100B6"/>
    <w:rsid w:val="00214659"/>
    <w:rsid w:val="00220B8A"/>
    <w:rsid w:val="0022184E"/>
    <w:rsid w:val="002257F3"/>
    <w:rsid w:val="002277A5"/>
    <w:rsid w:val="00227A5B"/>
    <w:rsid w:val="00233456"/>
    <w:rsid w:val="002339A5"/>
    <w:rsid w:val="00235E33"/>
    <w:rsid w:val="002369AC"/>
    <w:rsid w:val="002442C5"/>
    <w:rsid w:val="00250271"/>
    <w:rsid w:val="0025264C"/>
    <w:rsid w:val="00253DF6"/>
    <w:rsid w:val="00257848"/>
    <w:rsid w:val="002578E8"/>
    <w:rsid w:val="00261606"/>
    <w:rsid w:val="00263F30"/>
    <w:rsid w:val="0027084A"/>
    <w:rsid w:val="00271B45"/>
    <w:rsid w:val="00272706"/>
    <w:rsid w:val="0027464F"/>
    <w:rsid w:val="0027515A"/>
    <w:rsid w:val="002758A1"/>
    <w:rsid w:val="00280265"/>
    <w:rsid w:val="00282308"/>
    <w:rsid w:val="00285707"/>
    <w:rsid w:val="00285E3B"/>
    <w:rsid w:val="00286434"/>
    <w:rsid w:val="00286C59"/>
    <w:rsid w:val="00291957"/>
    <w:rsid w:val="00291FC9"/>
    <w:rsid w:val="002942D1"/>
    <w:rsid w:val="00294707"/>
    <w:rsid w:val="0029481D"/>
    <w:rsid w:val="0029501A"/>
    <w:rsid w:val="00296D57"/>
    <w:rsid w:val="002A3721"/>
    <w:rsid w:val="002A76F4"/>
    <w:rsid w:val="002B1638"/>
    <w:rsid w:val="002B3624"/>
    <w:rsid w:val="002B62F9"/>
    <w:rsid w:val="002C4BD4"/>
    <w:rsid w:val="002D0952"/>
    <w:rsid w:val="002D4DC3"/>
    <w:rsid w:val="002E40B3"/>
    <w:rsid w:val="002E4C9A"/>
    <w:rsid w:val="002F11F8"/>
    <w:rsid w:val="002F3F56"/>
    <w:rsid w:val="002F44B5"/>
    <w:rsid w:val="002F5122"/>
    <w:rsid w:val="002F6056"/>
    <w:rsid w:val="00300653"/>
    <w:rsid w:val="003044B1"/>
    <w:rsid w:val="00307209"/>
    <w:rsid w:val="003072CA"/>
    <w:rsid w:val="00311AC0"/>
    <w:rsid w:val="003124FD"/>
    <w:rsid w:val="003176FC"/>
    <w:rsid w:val="00323192"/>
    <w:rsid w:val="00325037"/>
    <w:rsid w:val="0032583B"/>
    <w:rsid w:val="00327883"/>
    <w:rsid w:val="00335504"/>
    <w:rsid w:val="00340C18"/>
    <w:rsid w:val="003442FD"/>
    <w:rsid w:val="00347824"/>
    <w:rsid w:val="00350567"/>
    <w:rsid w:val="003521E8"/>
    <w:rsid w:val="0036719A"/>
    <w:rsid w:val="00370CE3"/>
    <w:rsid w:val="003728F3"/>
    <w:rsid w:val="003735BC"/>
    <w:rsid w:val="0037496E"/>
    <w:rsid w:val="003775A7"/>
    <w:rsid w:val="003831E4"/>
    <w:rsid w:val="00383221"/>
    <w:rsid w:val="00383C66"/>
    <w:rsid w:val="00386150"/>
    <w:rsid w:val="003874CE"/>
    <w:rsid w:val="00390900"/>
    <w:rsid w:val="00391E8C"/>
    <w:rsid w:val="003A1481"/>
    <w:rsid w:val="003A64CF"/>
    <w:rsid w:val="003A7F6C"/>
    <w:rsid w:val="003B41C0"/>
    <w:rsid w:val="003B4720"/>
    <w:rsid w:val="003B4D60"/>
    <w:rsid w:val="003B7E39"/>
    <w:rsid w:val="003C58DC"/>
    <w:rsid w:val="003D1E62"/>
    <w:rsid w:val="003D43C6"/>
    <w:rsid w:val="003E0B99"/>
    <w:rsid w:val="003E2486"/>
    <w:rsid w:val="003E2A99"/>
    <w:rsid w:val="003E3208"/>
    <w:rsid w:val="003E3431"/>
    <w:rsid w:val="003F0B04"/>
    <w:rsid w:val="003F10DD"/>
    <w:rsid w:val="003F56D5"/>
    <w:rsid w:val="003F696B"/>
    <w:rsid w:val="0040134E"/>
    <w:rsid w:val="004142A4"/>
    <w:rsid w:val="004223A4"/>
    <w:rsid w:val="00425A6A"/>
    <w:rsid w:val="004334C7"/>
    <w:rsid w:val="00440A2D"/>
    <w:rsid w:val="00441C3F"/>
    <w:rsid w:val="00444D1A"/>
    <w:rsid w:val="00445450"/>
    <w:rsid w:val="00446F2A"/>
    <w:rsid w:val="0045186A"/>
    <w:rsid w:val="004564A7"/>
    <w:rsid w:val="00456765"/>
    <w:rsid w:val="00460036"/>
    <w:rsid w:val="004617BF"/>
    <w:rsid w:val="00463658"/>
    <w:rsid w:val="004637A0"/>
    <w:rsid w:val="00467BA1"/>
    <w:rsid w:val="004722CC"/>
    <w:rsid w:val="004773CE"/>
    <w:rsid w:val="00486167"/>
    <w:rsid w:val="00490483"/>
    <w:rsid w:val="004936E4"/>
    <w:rsid w:val="00494E60"/>
    <w:rsid w:val="004969C4"/>
    <w:rsid w:val="00497487"/>
    <w:rsid w:val="004A2771"/>
    <w:rsid w:val="004A6189"/>
    <w:rsid w:val="004A7390"/>
    <w:rsid w:val="004B4198"/>
    <w:rsid w:val="004B435F"/>
    <w:rsid w:val="004B48C0"/>
    <w:rsid w:val="004B5364"/>
    <w:rsid w:val="004B7B76"/>
    <w:rsid w:val="004C239D"/>
    <w:rsid w:val="004C2DCA"/>
    <w:rsid w:val="004C4FBE"/>
    <w:rsid w:val="004C61D2"/>
    <w:rsid w:val="004D5972"/>
    <w:rsid w:val="004E3B9F"/>
    <w:rsid w:val="004E5EAE"/>
    <w:rsid w:val="004E720E"/>
    <w:rsid w:val="004F0C4A"/>
    <w:rsid w:val="004F0F38"/>
    <w:rsid w:val="004F28B1"/>
    <w:rsid w:val="004F3B83"/>
    <w:rsid w:val="004F47D6"/>
    <w:rsid w:val="00500337"/>
    <w:rsid w:val="00501921"/>
    <w:rsid w:val="00505870"/>
    <w:rsid w:val="005104F7"/>
    <w:rsid w:val="00521DFC"/>
    <w:rsid w:val="005233BF"/>
    <w:rsid w:val="00523DFB"/>
    <w:rsid w:val="00530354"/>
    <w:rsid w:val="00531087"/>
    <w:rsid w:val="00532B20"/>
    <w:rsid w:val="0053625B"/>
    <w:rsid w:val="005434C6"/>
    <w:rsid w:val="00543B39"/>
    <w:rsid w:val="00546154"/>
    <w:rsid w:val="00547AAE"/>
    <w:rsid w:val="00550096"/>
    <w:rsid w:val="00555280"/>
    <w:rsid w:val="00557FF9"/>
    <w:rsid w:val="00561672"/>
    <w:rsid w:val="00562327"/>
    <w:rsid w:val="005623EC"/>
    <w:rsid w:val="00562F67"/>
    <w:rsid w:val="005669C2"/>
    <w:rsid w:val="005711D5"/>
    <w:rsid w:val="00572EB5"/>
    <w:rsid w:val="00576378"/>
    <w:rsid w:val="00577130"/>
    <w:rsid w:val="00577945"/>
    <w:rsid w:val="00577E38"/>
    <w:rsid w:val="005805CF"/>
    <w:rsid w:val="00585322"/>
    <w:rsid w:val="005857C6"/>
    <w:rsid w:val="00592F6E"/>
    <w:rsid w:val="005938A4"/>
    <w:rsid w:val="00593AD1"/>
    <w:rsid w:val="005A1E47"/>
    <w:rsid w:val="005A5498"/>
    <w:rsid w:val="005A68B6"/>
    <w:rsid w:val="005A7622"/>
    <w:rsid w:val="005B1896"/>
    <w:rsid w:val="005B1E7E"/>
    <w:rsid w:val="005B2113"/>
    <w:rsid w:val="005B35FF"/>
    <w:rsid w:val="005C0873"/>
    <w:rsid w:val="005C282C"/>
    <w:rsid w:val="005C5570"/>
    <w:rsid w:val="005C5B66"/>
    <w:rsid w:val="005C6014"/>
    <w:rsid w:val="005C79A4"/>
    <w:rsid w:val="005D3F37"/>
    <w:rsid w:val="005D5442"/>
    <w:rsid w:val="005E1C7F"/>
    <w:rsid w:val="005E5924"/>
    <w:rsid w:val="005F0AF5"/>
    <w:rsid w:val="005F690B"/>
    <w:rsid w:val="00603F32"/>
    <w:rsid w:val="006051A9"/>
    <w:rsid w:val="00605AD4"/>
    <w:rsid w:val="00612394"/>
    <w:rsid w:val="00612DC1"/>
    <w:rsid w:val="006136D7"/>
    <w:rsid w:val="00621028"/>
    <w:rsid w:val="00625A6E"/>
    <w:rsid w:val="00632398"/>
    <w:rsid w:val="00632936"/>
    <w:rsid w:val="00633C42"/>
    <w:rsid w:val="00636485"/>
    <w:rsid w:val="00637ED8"/>
    <w:rsid w:val="00640FC3"/>
    <w:rsid w:val="00642020"/>
    <w:rsid w:val="006430EE"/>
    <w:rsid w:val="0065337B"/>
    <w:rsid w:val="00653E20"/>
    <w:rsid w:val="0065419D"/>
    <w:rsid w:val="006566D8"/>
    <w:rsid w:val="006603BC"/>
    <w:rsid w:val="006604D8"/>
    <w:rsid w:val="00662791"/>
    <w:rsid w:val="00664A5B"/>
    <w:rsid w:val="0066735C"/>
    <w:rsid w:val="0066785F"/>
    <w:rsid w:val="00667C50"/>
    <w:rsid w:val="00670D66"/>
    <w:rsid w:val="006763D2"/>
    <w:rsid w:val="006768BF"/>
    <w:rsid w:val="00680C08"/>
    <w:rsid w:val="00690118"/>
    <w:rsid w:val="006916A0"/>
    <w:rsid w:val="006931B1"/>
    <w:rsid w:val="006A15C0"/>
    <w:rsid w:val="006A413B"/>
    <w:rsid w:val="006A4C3F"/>
    <w:rsid w:val="006A58A8"/>
    <w:rsid w:val="006C3E2A"/>
    <w:rsid w:val="006C642F"/>
    <w:rsid w:val="006D03E5"/>
    <w:rsid w:val="006D12F1"/>
    <w:rsid w:val="006D5D3E"/>
    <w:rsid w:val="006D626B"/>
    <w:rsid w:val="006E08B3"/>
    <w:rsid w:val="006E363F"/>
    <w:rsid w:val="006E68E5"/>
    <w:rsid w:val="006E7E1E"/>
    <w:rsid w:val="006F17AC"/>
    <w:rsid w:val="006F25B8"/>
    <w:rsid w:val="006F28F3"/>
    <w:rsid w:val="006F572E"/>
    <w:rsid w:val="007046D6"/>
    <w:rsid w:val="00705DB0"/>
    <w:rsid w:val="00707079"/>
    <w:rsid w:val="007116B8"/>
    <w:rsid w:val="007221C3"/>
    <w:rsid w:val="00722B57"/>
    <w:rsid w:val="00723160"/>
    <w:rsid w:val="00730F8A"/>
    <w:rsid w:val="007325FB"/>
    <w:rsid w:val="00735A8C"/>
    <w:rsid w:val="00735BC0"/>
    <w:rsid w:val="00741986"/>
    <w:rsid w:val="0074253D"/>
    <w:rsid w:val="0074429B"/>
    <w:rsid w:val="007615BC"/>
    <w:rsid w:val="00762988"/>
    <w:rsid w:val="00762F05"/>
    <w:rsid w:val="007637A9"/>
    <w:rsid w:val="007652FF"/>
    <w:rsid w:val="00766A26"/>
    <w:rsid w:val="00770CAC"/>
    <w:rsid w:val="00770EF1"/>
    <w:rsid w:val="00771FAC"/>
    <w:rsid w:val="00773EF7"/>
    <w:rsid w:val="00774E1D"/>
    <w:rsid w:val="007765D8"/>
    <w:rsid w:val="0077675A"/>
    <w:rsid w:val="00777F05"/>
    <w:rsid w:val="00780355"/>
    <w:rsid w:val="007819FD"/>
    <w:rsid w:val="00785717"/>
    <w:rsid w:val="00785721"/>
    <w:rsid w:val="00793A59"/>
    <w:rsid w:val="007A16DD"/>
    <w:rsid w:val="007A3196"/>
    <w:rsid w:val="007A46F5"/>
    <w:rsid w:val="007A6505"/>
    <w:rsid w:val="007B0BD9"/>
    <w:rsid w:val="007B37D3"/>
    <w:rsid w:val="007B4C1A"/>
    <w:rsid w:val="007B6132"/>
    <w:rsid w:val="007B6E9F"/>
    <w:rsid w:val="007C1216"/>
    <w:rsid w:val="007C1AF7"/>
    <w:rsid w:val="007C6B9B"/>
    <w:rsid w:val="007D31EF"/>
    <w:rsid w:val="007D3626"/>
    <w:rsid w:val="007D53B6"/>
    <w:rsid w:val="007E4517"/>
    <w:rsid w:val="007E457E"/>
    <w:rsid w:val="007E4C39"/>
    <w:rsid w:val="007E5119"/>
    <w:rsid w:val="007F4D18"/>
    <w:rsid w:val="007F5506"/>
    <w:rsid w:val="00801767"/>
    <w:rsid w:val="00803361"/>
    <w:rsid w:val="0080354F"/>
    <w:rsid w:val="00805D27"/>
    <w:rsid w:val="00806DCB"/>
    <w:rsid w:val="008073BB"/>
    <w:rsid w:val="0081105C"/>
    <w:rsid w:val="00821776"/>
    <w:rsid w:val="0082187E"/>
    <w:rsid w:val="00821D77"/>
    <w:rsid w:val="00825088"/>
    <w:rsid w:val="008321F5"/>
    <w:rsid w:val="00832369"/>
    <w:rsid w:val="00834660"/>
    <w:rsid w:val="008369D4"/>
    <w:rsid w:val="00836BC2"/>
    <w:rsid w:val="00843444"/>
    <w:rsid w:val="0085156D"/>
    <w:rsid w:val="00851720"/>
    <w:rsid w:val="00852B28"/>
    <w:rsid w:val="0085641B"/>
    <w:rsid w:val="00856F2D"/>
    <w:rsid w:val="00857136"/>
    <w:rsid w:val="008609CA"/>
    <w:rsid w:val="00862124"/>
    <w:rsid w:val="00866DBF"/>
    <w:rsid w:val="00875A6B"/>
    <w:rsid w:val="00876CA9"/>
    <w:rsid w:val="0087756F"/>
    <w:rsid w:val="008858F9"/>
    <w:rsid w:val="00885B11"/>
    <w:rsid w:val="00886D15"/>
    <w:rsid w:val="00887DD8"/>
    <w:rsid w:val="0089039C"/>
    <w:rsid w:val="00891BA9"/>
    <w:rsid w:val="00894239"/>
    <w:rsid w:val="00896018"/>
    <w:rsid w:val="008960DD"/>
    <w:rsid w:val="0089635C"/>
    <w:rsid w:val="008A19B3"/>
    <w:rsid w:val="008A2B9D"/>
    <w:rsid w:val="008A394A"/>
    <w:rsid w:val="008A3D9F"/>
    <w:rsid w:val="008A5E0B"/>
    <w:rsid w:val="008A65B8"/>
    <w:rsid w:val="008A6D59"/>
    <w:rsid w:val="008B4B03"/>
    <w:rsid w:val="008B5841"/>
    <w:rsid w:val="008B596F"/>
    <w:rsid w:val="008C1092"/>
    <w:rsid w:val="008C159F"/>
    <w:rsid w:val="008C1623"/>
    <w:rsid w:val="008C1850"/>
    <w:rsid w:val="008C23DD"/>
    <w:rsid w:val="008C51A9"/>
    <w:rsid w:val="008D376D"/>
    <w:rsid w:val="008E07BB"/>
    <w:rsid w:val="008E1AED"/>
    <w:rsid w:val="008E7846"/>
    <w:rsid w:val="008F02E5"/>
    <w:rsid w:val="008F1CCC"/>
    <w:rsid w:val="008F2133"/>
    <w:rsid w:val="008F2967"/>
    <w:rsid w:val="008F6943"/>
    <w:rsid w:val="0090056C"/>
    <w:rsid w:val="00902A21"/>
    <w:rsid w:val="009040E9"/>
    <w:rsid w:val="009060EA"/>
    <w:rsid w:val="0091523F"/>
    <w:rsid w:val="00920330"/>
    <w:rsid w:val="009219D7"/>
    <w:rsid w:val="00922D53"/>
    <w:rsid w:val="00923B70"/>
    <w:rsid w:val="00924482"/>
    <w:rsid w:val="00930237"/>
    <w:rsid w:val="00934992"/>
    <w:rsid w:val="00936FF6"/>
    <w:rsid w:val="00937C17"/>
    <w:rsid w:val="00940A89"/>
    <w:rsid w:val="00941F77"/>
    <w:rsid w:val="00943555"/>
    <w:rsid w:val="00946EA5"/>
    <w:rsid w:val="00956E4B"/>
    <w:rsid w:val="00960520"/>
    <w:rsid w:val="00961899"/>
    <w:rsid w:val="00963C08"/>
    <w:rsid w:val="00966C3F"/>
    <w:rsid w:val="0097425F"/>
    <w:rsid w:val="009752A5"/>
    <w:rsid w:val="009800D6"/>
    <w:rsid w:val="0098585A"/>
    <w:rsid w:val="00987A32"/>
    <w:rsid w:val="0099391C"/>
    <w:rsid w:val="009A2359"/>
    <w:rsid w:val="009A4CED"/>
    <w:rsid w:val="009A690D"/>
    <w:rsid w:val="009A73D8"/>
    <w:rsid w:val="009B1D12"/>
    <w:rsid w:val="009B2B95"/>
    <w:rsid w:val="009B416B"/>
    <w:rsid w:val="009C0BFA"/>
    <w:rsid w:val="009C2208"/>
    <w:rsid w:val="009C4BD5"/>
    <w:rsid w:val="009C618D"/>
    <w:rsid w:val="009D4E2F"/>
    <w:rsid w:val="009D7B77"/>
    <w:rsid w:val="009E0BB0"/>
    <w:rsid w:val="009E3C91"/>
    <w:rsid w:val="009E3FBB"/>
    <w:rsid w:val="009E6E79"/>
    <w:rsid w:val="009E792B"/>
    <w:rsid w:val="009F1B8B"/>
    <w:rsid w:val="009F4C97"/>
    <w:rsid w:val="009F4EE1"/>
    <w:rsid w:val="009F7353"/>
    <w:rsid w:val="009F7B48"/>
    <w:rsid w:val="00A04F85"/>
    <w:rsid w:val="00A05FA4"/>
    <w:rsid w:val="00A068EE"/>
    <w:rsid w:val="00A102E4"/>
    <w:rsid w:val="00A10947"/>
    <w:rsid w:val="00A1219C"/>
    <w:rsid w:val="00A12C42"/>
    <w:rsid w:val="00A14DF7"/>
    <w:rsid w:val="00A166D1"/>
    <w:rsid w:val="00A22D57"/>
    <w:rsid w:val="00A25C96"/>
    <w:rsid w:val="00A3246D"/>
    <w:rsid w:val="00A35802"/>
    <w:rsid w:val="00A36FA7"/>
    <w:rsid w:val="00A42627"/>
    <w:rsid w:val="00A44DDB"/>
    <w:rsid w:val="00A461D2"/>
    <w:rsid w:val="00A46306"/>
    <w:rsid w:val="00A475B7"/>
    <w:rsid w:val="00A47AF7"/>
    <w:rsid w:val="00A47C3E"/>
    <w:rsid w:val="00A50226"/>
    <w:rsid w:val="00A51E47"/>
    <w:rsid w:val="00A5487A"/>
    <w:rsid w:val="00A6057E"/>
    <w:rsid w:val="00A60BAD"/>
    <w:rsid w:val="00A70584"/>
    <w:rsid w:val="00A735C3"/>
    <w:rsid w:val="00A75AB6"/>
    <w:rsid w:val="00A77F87"/>
    <w:rsid w:val="00A806E1"/>
    <w:rsid w:val="00A80B5B"/>
    <w:rsid w:val="00A80FF9"/>
    <w:rsid w:val="00A81F9C"/>
    <w:rsid w:val="00A84E36"/>
    <w:rsid w:val="00A904F9"/>
    <w:rsid w:val="00A91C72"/>
    <w:rsid w:val="00A93F07"/>
    <w:rsid w:val="00A94DD1"/>
    <w:rsid w:val="00A964D1"/>
    <w:rsid w:val="00AA0ED0"/>
    <w:rsid w:val="00AA5359"/>
    <w:rsid w:val="00AB41EB"/>
    <w:rsid w:val="00AC2B40"/>
    <w:rsid w:val="00AC2BB2"/>
    <w:rsid w:val="00AC2C3C"/>
    <w:rsid w:val="00AC502A"/>
    <w:rsid w:val="00AC512D"/>
    <w:rsid w:val="00AC7888"/>
    <w:rsid w:val="00AC7EC4"/>
    <w:rsid w:val="00AD0083"/>
    <w:rsid w:val="00AD2281"/>
    <w:rsid w:val="00AD3935"/>
    <w:rsid w:val="00AD5813"/>
    <w:rsid w:val="00AD743F"/>
    <w:rsid w:val="00AE0358"/>
    <w:rsid w:val="00AE267D"/>
    <w:rsid w:val="00AE405C"/>
    <w:rsid w:val="00AE65EB"/>
    <w:rsid w:val="00AE67A7"/>
    <w:rsid w:val="00AE7426"/>
    <w:rsid w:val="00AE7435"/>
    <w:rsid w:val="00AF1664"/>
    <w:rsid w:val="00AF1D94"/>
    <w:rsid w:val="00AF315B"/>
    <w:rsid w:val="00AF5718"/>
    <w:rsid w:val="00AF5E5C"/>
    <w:rsid w:val="00AF60C5"/>
    <w:rsid w:val="00AF6BD6"/>
    <w:rsid w:val="00B009C6"/>
    <w:rsid w:val="00B01548"/>
    <w:rsid w:val="00B130C5"/>
    <w:rsid w:val="00B13EBD"/>
    <w:rsid w:val="00B2097C"/>
    <w:rsid w:val="00B20DFA"/>
    <w:rsid w:val="00B21D29"/>
    <w:rsid w:val="00B25034"/>
    <w:rsid w:val="00B33588"/>
    <w:rsid w:val="00B33863"/>
    <w:rsid w:val="00B34C0E"/>
    <w:rsid w:val="00B37D17"/>
    <w:rsid w:val="00B4175E"/>
    <w:rsid w:val="00B41C85"/>
    <w:rsid w:val="00B42F38"/>
    <w:rsid w:val="00B44759"/>
    <w:rsid w:val="00B448F3"/>
    <w:rsid w:val="00B44AF3"/>
    <w:rsid w:val="00B452CE"/>
    <w:rsid w:val="00B4560A"/>
    <w:rsid w:val="00B45B7B"/>
    <w:rsid w:val="00B50DC8"/>
    <w:rsid w:val="00B54C25"/>
    <w:rsid w:val="00B76B91"/>
    <w:rsid w:val="00B77EB1"/>
    <w:rsid w:val="00B811C6"/>
    <w:rsid w:val="00B855B0"/>
    <w:rsid w:val="00B92E08"/>
    <w:rsid w:val="00B94C85"/>
    <w:rsid w:val="00BA0ECC"/>
    <w:rsid w:val="00BA658D"/>
    <w:rsid w:val="00BA6769"/>
    <w:rsid w:val="00BC3EA8"/>
    <w:rsid w:val="00BC5E93"/>
    <w:rsid w:val="00BC622A"/>
    <w:rsid w:val="00BD3718"/>
    <w:rsid w:val="00BD42B7"/>
    <w:rsid w:val="00BE0A78"/>
    <w:rsid w:val="00BE3D8C"/>
    <w:rsid w:val="00BE79F0"/>
    <w:rsid w:val="00BF046D"/>
    <w:rsid w:val="00BF1190"/>
    <w:rsid w:val="00BF1E18"/>
    <w:rsid w:val="00BF3774"/>
    <w:rsid w:val="00BF5D04"/>
    <w:rsid w:val="00BF64E5"/>
    <w:rsid w:val="00C009AA"/>
    <w:rsid w:val="00C1164D"/>
    <w:rsid w:val="00C16861"/>
    <w:rsid w:val="00C346AB"/>
    <w:rsid w:val="00C36A62"/>
    <w:rsid w:val="00C36BCC"/>
    <w:rsid w:val="00C404A6"/>
    <w:rsid w:val="00C40A36"/>
    <w:rsid w:val="00C44419"/>
    <w:rsid w:val="00C44F69"/>
    <w:rsid w:val="00C45E7B"/>
    <w:rsid w:val="00C471B1"/>
    <w:rsid w:val="00C525A2"/>
    <w:rsid w:val="00C52E24"/>
    <w:rsid w:val="00C6316B"/>
    <w:rsid w:val="00C634A9"/>
    <w:rsid w:val="00C64586"/>
    <w:rsid w:val="00C70A36"/>
    <w:rsid w:val="00C70D53"/>
    <w:rsid w:val="00C73D0B"/>
    <w:rsid w:val="00C74897"/>
    <w:rsid w:val="00C74AD2"/>
    <w:rsid w:val="00C74F5C"/>
    <w:rsid w:val="00C772FF"/>
    <w:rsid w:val="00C80137"/>
    <w:rsid w:val="00C801AF"/>
    <w:rsid w:val="00C80256"/>
    <w:rsid w:val="00C90717"/>
    <w:rsid w:val="00C9345A"/>
    <w:rsid w:val="00C94CD4"/>
    <w:rsid w:val="00C9747E"/>
    <w:rsid w:val="00CB089F"/>
    <w:rsid w:val="00CB6BC0"/>
    <w:rsid w:val="00CB79EC"/>
    <w:rsid w:val="00CC1B7C"/>
    <w:rsid w:val="00CC36CC"/>
    <w:rsid w:val="00CC44BF"/>
    <w:rsid w:val="00CC46BC"/>
    <w:rsid w:val="00CC6024"/>
    <w:rsid w:val="00CC6F51"/>
    <w:rsid w:val="00CC727F"/>
    <w:rsid w:val="00CD7EC8"/>
    <w:rsid w:val="00CE5D3E"/>
    <w:rsid w:val="00CF15C3"/>
    <w:rsid w:val="00CF2B6F"/>
    <w:rsid w:val="00CF2F3E"/>
    <w:rsid w:val="00CF58B6"/>
    <w:rsid w:val="00CF5DAD"/>
    <w:rsid w:val="00D0062D"/>
    <w:rsid w:val="00D00D26"/>
    <w:rsid w:val="00D017ED"/>
    <w:rsid w:val="00D040D3"/>
    <w:rsid w:val="00D04C65"/>
    <w:rsid w:val="00D12771"/>
    <w:rsid w:val="00D153D8"/>
    <w:rsid w:val="00D201D2"/>
    <w:rsid w:val="00D20EC1"/>
    <w:rsid w:val="00D20FFD"/>
    <w:rsid w:val="00D224FE"/>
    <w:rsid w:val="00D23139"/>
    <w:rsid w:val="00D257E7"/>
    <w:rsid w:val="00D26F3A"/>
    <w:rsid w:val="00D40A19"/>
    <w:rsid w:val="00D425BB"/>
    <w:rsid w:val="00D44E20"/>
    <w:rsid w:val="00D453FA"/>
    <w:rsid w:val="00D50F33"/>
    <w:rsid w:val="00D631D8"/>
    <w:rsid w:val="00D6493E"/>
    <w:rsid w:val="00D675FD"/>
    <w:rsid w:val="00D7195D"/>
    <w:rsid w:val="00D7301E"/>
    <w:rsid w:val="00D776F7"/>
    <w:rsid w:val="00D83AE1"/>
    <w:rsid w:val="00D855D4"/>
    <w:rsid w:val="00D902C9"/>
    <w:rsid w:val="00D93466"/>
    <w:rsid w:val="00DA1124"/>
    <w:rsid w:val="00DA4371"/>
    <w:rsid w:val="00DA64CB"/>
    <w:rsid w:val="00DB06B8"/>
    <w:rsid w:val="00DB6124"/>
    <w:rsid w:val="00DB750B"/>
    <w:rsid w:val="00DB75B7"/>
    <w:rsid w:val="00DC0A2F"/>
    <w:rsid w:val="00DC1948"/>
    <w:rsid w:val="00DC6E02"/>
    <w:rsid w:val="00DD1EF8"/>
    <w:rsid w:val="00DD28CD"/>
    <w:rsid w:val="00DD5CEF"/>
    <w:rsid w:val="00DD6944"/>
    <w:rsid w:val="00DE02AE"/>
    <w:rsid w:val="00DE39D1"/>
    <w:rsid w:val="00DE4A5C"/>
    <w:rsid w:val="00DE7C9A"/>
    <w:rsid w:val="00DF1D7F"/>
    <w:rsid w:val="00DF4B51"/>
    <w:rsid w:val="00DF4BE4"/>
    <w:rsid w:val="00DF63EA"/>
    <w:rsid w:val="00DF7439"/>
    <w:rsid w:val="00E00506"/>
    <w:rsid w:val="00E02382"/>
    <w:rsid w:val="00E02FB4"/>
    <w:rsid w:val="00E03990"/>
    <w:rsid w:val="00E137A7"/>
    <w:rsid w:val="00E13E54"/>
    <w:rsid w:val="00E13FC7"/>
    <w:rsid w:val="00E20571"/>
    <w:rsid w:val="00E235F7"/>
    <w:rsid w:val="00E23659"/>
    <w:rsid w:val="00E239D4"/>
    <w:rsid w:val="00E2447E"/>
    <w:rsid w:val="00E2582D"/>
    <w:rsid w:val="00E26130"/>
    <w:rsid w:val="00E26918"/>
    <w:rsid w:val="00E40B22"/>
    <w:rsid w:val="00E44ED1"/>
    <w:rsid w:val="00E45619"/>
    <w:rsid w:val="00E4588F"/>
    <w:rsid w:val="00E4625C"/>
    <w:rsid w:val="00E46DA3"/>
    <w:rsid w:val="00E5134D"/>
    <w:rsid w:val="00E51BB1"/>
    <w:rsid w:val="00E52FEF"/>
    <w:rsid w:val="00E53A17"/>
    <w:rsid w:val="00E54377"/>
    <w:rsid w:val="00E55CB0"/>
    <w:rsid w:val="00E624A5"/>
    <w:rsid w:val="00E64BA4"/>
    <w:rsid w:val="00E7344E"/>
    <w:rsid w:val="00E76E29"/>
    <w:rsid w:val="00E82665"/>
    <w:rsid w:val="00E8486C"/>
    <w:rsid w:val="00E870FF"/>
    <w:rsid w:val="00E95941"/>
    <w:rsid w:val="00E96ED1"/>
    <w:rsid w:val="00EA25B8"/>
    <w:rsid w:val="00EA521F"/>
    <w:rsid w:val="00EB036B"/>
    <w:rsid w:val="00EB0798"/>
    <w:rsid w:val="00EB40AD"/>
    <w:rsid w:val="00EB586E"/>
    <w:rsid w:val="00EB5FC8"/>
    <w:rsid w:val="00EC463D"/>
    <w:rsid w:val="00EC5105"/>
    <w:rsid w:val="00EC7A85"/>
    <w:rsid w:val="00ED147C"/>
    <w:rsid w:val="00ED2634"/>
    <w:rsid w:val="00ED2922"/>
    <w:rsid w:val="00ED3CAD"/>
    <w:rsid w:val="00ED5A41"/>
    <w:rsid w:val="00ED6DD5"/>
    <w:rsid w:val="00EE1DE8"/>
    <w:rsid w:val="00EE27C2"/>
    <w:rsid w:val="00EE5E17"/>
    <w:rsid w:val="00EF4BAD"/>
    <w:rsid w:val="00EF59DC"/>
    <w:rsid w:val="00EF68E7"/>
    <w:rsid w:val="00F033EC"/>
    <w:rsid w:val="00F04F68"/>
    <w:rsid w:val="00F07E4C"/>
    <w:rsid w:val="00F12670"/>
    <w:rsid w:val="00F130A9"/>
    <w:rsid w:val="00F14B27"/>
    <w:rsid w:val="00F166FE"/>
    <w:rsid w:val="00F27C64"/>
    <w:rsid w:val="00F3148D"/>
    <w:rsid w:val="00F325C5"/>
    <w:rsid w:val="00F32FE0"/>
    <w:rsid w:val="00F33F71"/>
    <w:rsid w:val="00F35298"/>
    <w:rsid w:val="00F37127"/>
    <w:rsid w:val="00F4384D"/>
    <w:rsid w:val="00F45FA2"/>
    <w:rsid w:val="00F47333"/>
    <w:rsid w:val="00F47CCF"/>
    <w:rsid w:val="00F47E37"/>
    <w:rsid w:val="00F53C07"/>
    <w:rsid w:val="00F54B65"/>
    <w:rsid w:val="00F640B6"/>
    <w:rsid w:val="00F65D57"/>
    <w:rsid w:val="00F66DF2"/>
    <w:rsid w:val="00F80E40"/>
    <w:rsid w:val="00F82743"/>
    <w:rsid w:val="00F848D9"/>
    <w:rsid w:val="00F84C05"/>
    <w:rsid w:val="00F915B1"/>
    <w:rsid w:val="00F95D7B"/>
    <w:rsid w:val="00FA4155"/>
    <w:rsid w:val="00FA4EBB"/>
    <w:rsid w:val="00FA5069"/>
    <w:rsid w:val="00FA5B82"/>
    <w:rsid w:val="00FA639E"/>
    <w:rsid w:val="00FB1824"/>
    <w:rsid w:val="00FB2384"/>
    <w:rsid w:val="00FB3539"/>
    <w:rsid w:val="00FB4F43"/>
    <w:rsid w:val="00FC1FCA"/>
    <w:rsid w:val="00FC25E4"/>
    <w:rsid w:val="00FC4EF7"/>
    <w:rsid w:val="00FD0824"/>
    <w:rsid w:val="00FD119B"/>
    <w:rsid w:val="00FD1EDC"/>
    <w:rsid w:val="00FE1DEE"/>
    <w:rsid w:val="00FE5103"/>
    <w:rsid w:val="00FF05D4"/>
    <w:rsid w:val="00FF2126"/>
    <w:rsid w:val="00FF2C3D"/>
    <w:rsid w:val="00FF2F8F"/>
    <w:rsid w:val="00FF4E03"/>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5669FC"/>
  <w15:docId w15:val="{00574580-55FB-4FB3-91E0-716F8289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31D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E6E79"/>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E6E7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E6E7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07079"/>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E6E79"/>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E6E7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532B20"/>
    <w:pPr>
      <w:ind w:left="720"/>
      <w:contextualSpacing/>
    </w:pPr>
  </w:style>
  <w:style w:type="paragraph" w:customStyle="1" w:styleId="Bulletpoint">
    <w:name w:val="Bullet point"/>
    <w:basedOn w:val="Normal"/>
    <w:rsid w:val="009D4E2F"/>
    <w:pPr>
      <w:numPr>
        <w:numId w:val="13"/>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Tabledotpoints">
    <w:name w:val="Table dot points"/>
    <w:basedOn w:val="Tabletext"/>
    <w:qFormat/>
    <w:rsid w:val="00B4560A"/>
    <w:pPr>
      <w:numPr>
        <w:numId w:val="14"/>
      </w:numPr>
      <w:adjustRightInd w:val="0"/>
      <w:snapToGrid w:val="0"/>
      <w:spacing w:before="0" w:after="0" w:line="240" w:lineRule="auto"/>
      <w:ind w:left="176" w:hanging="176"/>
    </w:pPr>
    <w:rPr>
      <w:rFonts w:eastAsia="MS Mincho"/>
      <w:sz w:val="20"/>
      <w:szCs w:val="20"/>
      <w:lang w:val="en-US" w:eastAsia="ja-JP"/>
    </w:rPr>
  </w:style>
  <w:style w:type="character" w:customStyle="1" w:styleId="TabletextChar">
    <w:name w:val="Table text Char"/>
    <w:basedOn w:val="DefaultParagraphFont"/>
    <w:link w:val="Tabletext"/>
    <w:rsid w:val="00B4560A"/>
    <w:rPr>
      <w:rFonts w:ascii="Cambria" w:eastAsia="Cambria" w:hAnsi="Cambria" w:cs="Times New Roman"/>
      <w:sz w:val="19"/>
    </w:rPr>
  </w:style>
  <w:style w:type="paragraph" w:customStyle="1" w:styleId="mine">
    <w:name w:val="mine"/>
    <w:basedOn w:val="Normal"/>
    <w:qFormat/>
    <w:rsid w:val="00B4560A"/>
    <w:pPr>
      <w:widowControl w:val="0"/>
      <w:adjustRightInd w:val="0"/>
      <w:snapToGrid w:val="0"/>
      <w:spacing w:before="0" w:after="0" w:line="240" w:lineRule="auto"/>
      <w:contextualSpacing/>
    </w:pPr>
    <w:rPr>
      <w:rFonts w:asciiTheme="minorHAnsi" w:eastAsia="MS Mincho" w:hAnsiTheme="minorHAnsi" w:cstheme="minorBidi"/>
      <w:sz w:val="24"/>
      <w:szCs w:val="21"/>
      <w:lang w:eastAsia="en-AU"/>
    </w:rPr>
  </w:style>
  <w:style w:type="paragraph" w:customStyle="1" w:styleId="Standard">
    <w:name w:val="Standard"/>
    <w:basedOn w:val="Normal"/>
    <w:link w:val="StandardChar"/>
    <w:qFormat/>
    <w:rsid w:val="0007227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07227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072278"/>
    <w:pPr>
      <w:numPr>
        <w:numId w:val="25"/>
      </w:numPr>
      <w:spacing w:after="180"/>
      <w:ind w:left="426" w:hanging="284"/>
    </w:pPr>
    <w:rPr>
      <w:kern w:val="2"/>
    </w:rPr>
  </w:style>
  <w:style w:type="character" w:customStyle="1" w:styleId="BulletlistChar">
    <w:name w:val="Bullet list Char"/>
    <w:basedOn w:val="StandardChar"/>
    <w:link w:val="Bulletlist"/>
    <w:rsid w:val="00072278"/>
    <w:rPr>
      <w:rFonts w:ascii="Cambria" w:eastAsia="Times New Roman" w:hAnsi="Cambria" w:cs="Times New Roman"/>
      <w:snapToGrid w:val="0"/>
      <w:kern w:val="2"/>
      <w:sz w:val="23"/>
      <w:szCs w:val="24"/>
    </w:rPr>
  </w:style>
  <w:style w:type="paragraph" w:customStyle="1" w:styleId="Default">
    <w:name w:val="Default"/>
    <w:rsid w:val="004F28B1"/>
    <w:pPr>
      <w:autoSpaceDE w:val="0"/>
      <w:autoSpaceDN w:val="0"/>
      <w:adjustRightInd w:val="0"/>
      <w:spacing w:after="0" w:line="240" w:lineRule="auto"/>
    </w:pPr>
    <w:rPr>
      <w:rFonts w:ascii="Arial" w:hAnsi="Arial" w:cs="Arial"/>
      <w:color w:val="000000"/>
      <w:sz w:val="24"/>
      <w:szCs w:val="24"/>
    </w:rPr>
  </w:style>
  <w:style w:type="table" w:styleId="LightList-Accent3">
    <w:name w:val="Light List Accent 3"/>
    <w:basedOn w:val="TableNormal"/>
    <w:uiPriority w:val="61"/>
    <w:rsid w:val="008A65B8"/>
    <w:pPr>
      <w:spacing w:after="0" w:line="240" w:lineRule="auto"/>
    </w:pPr>
    <w:rPr>
      <w:rFonts w:eastAsiaTheme="minorEastAsia"/>
      <w:lang w:val="en-US"/>
    </w:r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3.xml"/><Relationship Id="rId42"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yperlink" Target="https://www.tga.gov.au/product-information-p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kapr\AppData\Local\Hewlett-Packard\HP%20TRIM\TEMP\HPTRIM.14860\D19-5975236%20%20AusPAR%20-%20template%20-%20streamlined(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BBAFFEE319E74AAB44729C7FD44D7C" ma:contentTypeVersion="13" ma:contentTypeDescription="Create a new document." ma:contentTypeScope="" ma:versionID="5d1a854517089f8dfa833288692cf628">
  <xsd:schema xmlns:xsd="http://www.w3.org/2001/XMLSchema" xmlns:xs="http://www.w3.org/2001/XMLSchema" xmlns:p="http://schemas.microsoft.com/office/2006/metadata/properties" xmlns:ns3="a087a36d-bed0-42f6-92c2-edc39e1bc269" xmlns:ns4="94fb1313-5eb1-45e6-89f0-d2ca20a85c5b" targetNamespace="http://schemas.microsoft.com/office/2006/metadata/properties" ma:root="true" ma:fieldsID="e691e81c23dfa1cc2ca0965971f752d7" ns3:_="" ns4:_="">
    <xsd:import namespace="a087a36d-bed0-42f6-92c2-edc39e1bc269"/>
    <xsd:import namespace="94fb1313-5eb1-45e6-89f0-d2ca20a85c5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7a36d-bed0-42f6-92c2-edc39e1bc2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fb1313-5eb1-45e6-89f0-d2ca20a85c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ad3a63-90ad-4a46-a3cb-757f4658e205" origin="userSelected">
  <element uid="ba0343df-3220-4244-9388-1298e2abc028" value=""/>
  <element uid="6d3ee3d4-0386-4b93-9e57-c14563358695" value=""/>
  <element uid="7349a702-6462-4442-88eb-c64cd513835c"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AAB2A-FF6E-45A2-9520-AD2032BE6BFB}">
  <ds:schemaRefs>
    <ds:schemaRef ds:uri="http://schemas.microsoft.com/sharepoint/v3/contenttype/forms"/>
  </ds:schemaRefs>
</ds:datastoreItem>
</file>

<file path=customXml/itemProps2.xml><?xml version="1.0" encoding="utf-8"?>
<ds:datastoreItem xmlns:ds="http://schemas.openxmlformats.org/officeDocument/2006/customXml" ds:itemID="{DABE6043-88AD-45CE-9206-529815F71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7a36d-bed0-42f6-92c2-edc39e1bc269"/>
    <ds:schemaRef ds:uri="94fb1313-5eb1-45e6-89f0-d2ca20a85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AC1284-1E90-4BCD-B5F3-C471BF4A6DB8}">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084D1FD-7F7B-4A8F-BCEC-379D537A4D2B}">
  <ds:schemaRefs>
    <ds:schemaRef ds:uri="http://purl.org/dc/elements/1.1/"/>
    <ds:schemaRef ds:uri="http://schemas.microsoft.com/office/2006/metadata/properties"/>
    <ds:schemaRef ds:uri="a087a36d-bed0-42f6-92c2-edc39e1bc26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4fb1313-5eb1-45e6-89f0-d2ca20a85c5b"/>
    <ds:schemaRef ds:uri="http://www.w3.org/XML/1998/namespace"/>
    <ds:schemaRef ds:uri="http://purl.org/dc/dcmitype/"/>
  </ds:schemaRefs>
</ds:datastoreItem>
</file>

<file path=customXml/itemProps5.xml><?xml version="1.0" encoding="utf-8"?>
<ds:datastoreItem xmlns:ds="http://schemas.openxmlformats.org/officeDocument/2006/customXml" ds:itemID="{2AFF171F-F937-4747-B1CF-DBE2F095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streamlined(3).DOTX</Template>
  <TotalTime>187</TotalTime>
  <Pages>33</Pages>
  <Words>8752</Words>
  <Characters>49887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58522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Bevacizumab</dc:title>
  <dc:subject>prescription medicine regulation</dc:subject>
  <dc:creator>Therapeutic Goods Administration</dc:creator>
  <cp:keywords/>
  <dc:description/>
  <cp:lastPrinted>2019-08-14T04:30:00Z</cp:lastPrinted>
  <dcterms:created xsi:type="dcterms:W3CDTF">2020-11-18T23:00:00Z</dcterms:created>
  <dcterms:modified xsi:type="dcterms:W3CDTF">2020-12-03T04:06:00Z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41ab4b9f-5c30-4371-80c4-40d2178a7bf7</vt:lpwstr>
  </property>
  <property fmtid="{D5CDD505-2E9C-101B-9397-08002B2CF9AE}" pid="3" name="bjSaver">
    <vt:lpwstr>sxTKbu8ST3z2i6dZd3j0KJLfigCAdOpm</vt:lpwstr>
  </property>
  <property fmtid="{D5CDD505-2E9C-101B-9397-08002B2CF9AE}" pid="4" name="bjDocumentLabelXML">
    <vt:lpwstr>&lt;?xml version="1.0" encoding="us-ascii"?&gt;&lt;sisl xmlns:xsi="http://www.w3.org/2001/XMLSchema-instance" xmlns:xsd="http://www.w3.org/2001/XMLSchema" sislVersion="0" policy="82ad3a63-90ad-4a46-a3cb-757f4658e205" origin="userSelected" xmlns="http://www.boldonj</vt:lpwstr>
  </property>
  <property fmtid="{D5CDD505-2E9C-101B-9397-08002B2CF9AE}" pid="5" name="bjDocumentLabelXML-0">
    <vt:lpwstr>ames.com/2008/01/sie/internal/label"&gt;&lt;element uid="ba0343df-3220-4244-9388-1298e2abc028" value="" /&gt;&lt;element uid="6d3ee3d4-0386-4b93-9e57-c14563358695" value="" /&gt;&lt;element uid="7349a702-6462-4442-88eb-c64cd513835c" value="" /&gt;&lt;/sisl&gt;</vt:lpwstr>
  </property>
  <property fmtid="{D5CDD505-2E9C-101B-9397-08002B2CF9AE}" pid="6" name="bjDocumentSecurityLabel">
    <vt:lpwstr>Confidential - Compliance</vt:lpwstr>
  </property>
  <property fmtid="{D5CDD505-2E9C-101B-9397-08002B2CF9AE}" pid="7" name="ContentTypeId">
    <vt:lpwstr>0x01010068BBAFFEE319E74AAB44729C7FD44D7C</vt:lpwstr>
  </property>
</Properties>
</file>