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CD20B63" w14:textId="77777777" w:rsidTr="00BF1190">
        <w:trPr>
          <w:trHeight w:val="1863"/>
        </w:trPr>
        <w:tc>
          <w:tcPr>
            <w:tcW w:w="3652" w:type="dxa"/>
            <w:tcBorders>
              <w:top w:val="nil"/>
              <w:left w:val="nil"/>
              <w:bottom w:val="nil"/>
              <w:right w:val="nil"/>
            </w:tcBorders>
          </w:tcPr>
          <w:p w14:paraId="6005E293" w14:textId="77777777" w:rsidR="008E7846" w:rsidRPr="00096AA7" w:rsidRDefault="00D73B22" w:rsidP="00096AA7">
            <w:pPr>
              <w:rPr>
                <w:rFonts w:ascii="Arial" w:hAnsi="Arial" w:cs="Arial"/>
                <w:b/>
                <w:color w:val="002C47"/>
                <w:sz w:val="36"/>
                <w:szCs w:val="36"/>
              </w:rPr>
            </w:pPr>
            <w:r>
              <w:rPr>
                <w:rFonts w:ascii="Arial" w:hAnsi="Arial" w:cs="Arial"/>
                <w:b/>
                <w:color w:val="002C47"/>
                <w:sz w:val="36"/>
                <w:szCs w:val="36"/>
              </w:rPr>
              <w:t>February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AB929ED" w14:textId="77777777" w:rsidTr="0032583B">
        <w:trPr>
          <w:trHeight w:val="868"/>
        </w:trPr>
        <w:tc>
          <w:tcPr>
            <w:tcW w:w="9079" w:type="dxa"/>
          </w:tcPr>
          <w:p w14:paraId="010BBF5E"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D73B22" w:rsidRPr="00D73B22">
              <w:rPr>
                <w:color w:val="FFFFFF" w:themeColor="background1"/>
              </w:rPr>
              <w:t>Bevacizumab</w:t>
            </w:r>
          </w:p>
        </w:tc>
      </w:tr>
      <w:tr w:rsidR="0032583B" w:rsidRPr="00B64760" w14:paraId="10A3DDE7" w14:textId="77777777" w:rsidTr="0032583B">
        <w:tc>
          <w:tcPr>
            <w:tcW w:w="9079" w:type="dxa"/>
          </w:tcPr>
          <w:p w14:paraId="6C8A4C74" w14:textId="77777777"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D73B22" w:rsidRPr="00D73B22">
              <w:rPr>
                <w:color w:val="FFFFFF" w:themeColor="background1"/>
              </w:rPr>
              <w:t>Zirabev</w:t>
            </w:r>
            <w:proofErr w:type="spellEnd"/>
          </w:p>
        </w:tc>
      </w:tr>
      <w:tr w:rsidR="0032583B" w:rsidRPr="00B64760" w14:paraId="6FF2DD0D" w14:textId="77777777" w:rsidTr="0032583B">
        <w:trPr>
          <w:trHeight w:val="486"/>
        </w:trPr>
        <w:tc>
          <w:tcPr>
            <w:tcW w:w="9079" w:type="dxa"/>
          </w:tcPr>
          <w:p w14:paraId="79849FC9" w14:textId="77777777" w:rsidR="0032583B" w:rsidRPr="008E7846" w:rsidRDefault="0032583B" w:rsidP="0032583B">
            <w:pPr>
              <w:pStyle w:val="Subtitle"/>
              <w:rPr>
                <w:color w:val="FFFFFF" w:themeColor="background1"/>
              </w:rPr>
            </w:pPr>
            <w:r w:rsidRPr="008E7846">
              <w:rPr>
                <w:color w:val="FFFFFF" w:themeColor="background1"/>
              </w:rPr>
              <w:t xml:space="preserve">Sponsor: </w:t>
            </w:r>
            <w:r w:rsidR="00D73B22" w:rsidRPr="00D73B22">
              <w:rPr>
                <w:color w:val="FFFFFF" w:themeColor="background1"/>
              </w:rPr>
              <w:t>Pfizer Australia Pty Ltd</w:t>
            </w:r>
          </w:p>
        </w:tc>
      </w:tr>
    </w:tbl>
    <w:p w14:paraId="53171F74" w14:textId="77777777" w:rsidR="008E7846" w:rsidRPr="0085156D" w:rsidRDefault="008E7846" w:rsidP="0085156D">
      <w:r w:rsidRPr="0085156D">
        <w:br w:type="page"/>
      </w:r>
    </w:p>
    <w:p w14:paraId="391E75FD" w14:textId="77777777" w:rsidR="008E7846" w:rsidRPr="001F6CBA" w:rsidRDefault="008E7846" w:rsidP="008E7846">
      <w:pPr>
        <w:pStyle w:val="NonTOCHeading2"/>
      </w:pPr>
      <w:r w:rsidRPr="001F6CBA">
        <w:lastRenderedPageBreak/>
        <w:t>About the Therapeutic Goods Administration (TGA)</w:t>
      </w:r>
    </w:p>
    <w:p w14:paraId="60A1445F"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5C8EC12"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2815362C"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50CC0256"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3D827A9A"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51A64C39" w14:textId="77777777" w:rsidR="008E7846" w:rsidRDefault="008E7846" w:rsidP="00875A6B">
      <w:pPr>
        <w:pStyle w:val="NonTOCHeading2"/>
      </w:pPr>
      <w:r>
        <w:t>About AusPARs</w:t>
      </w:r>
    </w:p>
    <w:p w14:paraId="73C6FE38"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413B08B" w14:textId="77777777" w:rsidR="008E7846" w:rsidRDefault="008E7846" w:rsidP="008E7846">
      <w:pPr>
        <w:pStyle w:val="ListBullet"/>
        <w:numPr>
          <w:ilvl w:val="0"/>
          <w:numId w:val="3"/>
        </w:numPr>
        <w:ind w:left="357" w:hanging="357"/>
      </w:pPr>
      <w:r>
        <w:t>AusPARs are prepared and published by the TGA.</w:t>
      </w:r>
    </w:p>
    <w:p w14:paraId="72688442"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2EA6C7EC"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F506A99"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5B163C75" w14:textId="77777777" w:rsidR="00924482" w:rsidRPr="00DF1D7F" w:rsidRDefault="00924482" w:rsidP="00F54B65">
      <w:pPr>
        <w:pStyle w:val="LegalSubheading"/>
        <w:spacing w:before="3120"/>
      </w:pPr>
      <w:r w:rsidRPr="00DF1D7F">
        <w:t>Copyright</w:t>
      </w:r>
    </w:p>
    <w:p w14:paraId="7F1A3C47" w14:textId="77777777" w:rsidR="00924482" w:rsidRDefault="00924482" w:rsidP="00924482">
      <w:pPr>
        <w:pStyle w:val="LegalCopy"/>
      </w:pPr>
      <w:r w:rsidRPr="00191B3B">
        <w:rPr>
          <w:rFonts w:cs="Arial"/>
          <w:lang w:val="en-GB"/>
        </w:rPr>
        <w:t>© Comm</w:t>
      </w:r>
      <w:r w:rsidR="00D73B22">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2C875F96"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06AD7A1" w14:textId="77777777" w:rsidR="0089635C" w:rsidRPr="0089635C" w:rsidRDefault="0089635C" w:rsidP="0010788A">
          <w:pPr>
            <w:pStyle w:val="Contents"/>
          </w:pPr>
          <w:r w:rsidRPr="0010788A">
            <w:t>Contents</w:t>
          </w:r>
        </w:p>
        <w:p w14:paraId="69BDDEA0" w14:textId="66E572B0" w:rsidR="008E374C"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3614737" w:history="1">
            <w:r w:rsidR="008E374C" w:rsidRPr="00DD7F52">
              <w:rPr>
                <w:rStyle w:val="Hyperlink"/>
                <w:noProof/>
              </w:rPr>
              <w:t>Common abbreviations</w:t>
            </w:r>
            <w:r w:rsidR="008E374C">
              <w:rPr>
                <w:noProof/>
                <w:webHidden/>
              </w:rPr>
              <w:tab/>
            </w:r>
            <w:r w:rsidR="008E374C">
              <w:rPr>
                <w:noProof/>
                <w:webHidden/>
              </w:rPr>
              <w:fldChar w:fldCharType="begin"/>
            </w:r>
            <w:r w:rsidR="008E374C">
              <w:rPr>
                <w:noProof/>
                <w:webHidden/>
              </w:rPr>
              <w:instrText xml:space="preserve"> PAGEREF _Toc33614737 \h </w:instrText>
            </w:r>
            <w:r w:rsidR="008E374C">
              <w:rPr>
                <w:noProof/>
                <w:webHidden/>
              </w:rPr>
            </w:r>
            <w:r w:rsidR="008E374C">
              <w:rPr>
                <w:noProof/>
                <w:webHidden/>
              </w:rPr>
              <w:fldChar w:fldCharType="separate"/>
            </w:r>
            <w:r w:rsidR="008E374C">
              <w:rPr>
                <w:noProof/>
                <w:webHidden/>
              </w:rPr>
              <w:t>4</w:t>
            </w:r>
            <w:r w:rsidR="008E374C">
              <w:rPr>
                <w:noProof/>
                <w:webHidden/>
              </w:rPr>
              <w:fldChar w:fldCharType="end"/>
            </w:r>
          </w:hyperlink>
        </w:p>
        <w:p w14:paraId="34128175" w14:textId="1E3343C2" w:rsidR="008E374C" w:rsidRDefault="00D97F65">
          <w:pPr>
            <w:pStyle w:val="TOC2"/>
            <w:rPr>
              <w:rFonts w:asciiTheme="minorHAnsi" w:eastAsiaTheme="minorEastAsia" w:hAnsiTheme="minorHAnsi" w:cstheme="minorBidi"/>
              <w:b w:val="0"/>
              <w:noProof/>
              <w:sz w:val="22"/>
              <w:lang w:eastAsia="en-AU"/>
            </w:rPr>
          </w:pPr>
          <w:hyperlink w:anchor="_Toc33614738" w:history="1">
            <w:r w:rsidR="008E374C" w:rsidRPr="00DD7F52">
              <w:rPr>
                <w:rStyle w:val="Hyperlink"/>
                <w:noProof/>
              </w:rPr>
              <w:t>I. Introduction to product submission</w:t>
            </w:r>
            <w:r w:rsidR="008E374C">
              <w:rPr>
                <w:noProof/>
                <w:webHidden/>
              </w:rPr>
              <w:tab/>
            </w:r>
            <w:r w:rsidR="008E374C">
              <w:rPr>
                <w:noProof/>
                <w:webHidden/>
              </w:rPr>
              <w:fldChar w:fldCharType="begin"/>
            </w:r>
            <w:r w:rsidR="008E374C">
              <w:rPr>
                <w:noProof/>
                <w:webHidden/>
              </w:rPr>
              <w:instrText xml:space="preserve"> PAGEREF _Toc33614738 \h </w:instrText>
            </w:r>
            <w:r w:rsidR="008E374C">
              <w:rPr>
                <w:noProof/>
                <w:webHidden/>
              </w:rPr>
            </w:r>
            <w:r w:rsidR="008E374C">
              <w:rPr>
                <w:noProof/>
                <w:webHidden/>
              </w:rPr>
              <w:fldChar w:fldCharType="separate"/>
            </w:r>
            <w:r w:rsidR="008E374C">
              <w:rPr>
                <w:noProof/>
                <w:webHidden/>
              </w:rPr>
              <w:t>6</w:t>
            </w:r>
            <w:r w:rsidR="008E374C">
              <w:rPr>
                <w:noProof/>
                <w:webHidden/>
              </w:rPr>
              <w:fldChar w:fldCharType="end"/>
            </w:r>
          </w:hyperlink>
        </w:p>
        <w:p w14:paraId="44FD3D78" w14:textId="55410AF1" w:rsidR="008E374C" w:rsidRDefault="00D97F65">
          <w:pPr>
            <w:pStyle w:val="TOC3"/>
            <w:rPr>
              <w:rFonts w:asciiTheme="minorHAnsi" w:eastAsiaTheme="minorEastAsia" w:hAnsiTheme="minorHAnsi" w:cstheme="minorBidi"/>
              <w:noProof/>
              <w:lang w:eastAsia="en-AU"/>
            </w:rPr>
          </w:pPr>
          <w:hyperlink w:anchor="_Toc33614739" w:history="1">
            <w:r w:rsidR="008E374C" w:rsidRPr="00DD7F52">
              <w:rPr>
                <w:rStyle w:val="Hyperlink"/>
                <w:noProof/>
                <w:lang w:eastAsia="en-AU"/>
              </w:rPr>
              <w:t>Submission details</w:t>
            </w:r>
            <w:r w:rsidR="008E374C">
              <w:rPr>
                <w:noProof/>
                <w:webHidden/>
              </w:rPr>
              <w:tab/>
            </w:r>
            <w:r w:rsidR="008E374C">
              <w:rPr>
                <w:noProof/>
                <w:webHidden/>
              </w:rPr>
              <w:fldChar w:fldCharType="begin"/>
            </w:r>
            <w:r w:rsidR="008E374C">
              <w:rPr>
                <w:noProof/>
                <w:webHidden/>
              </w:rPr>
              <w:instrText xml:space="preserve"> PAGEREF _Toc33614739 \h </w:instrText>
            </w:r>
            <w:r w:rsidR="008E374C">
              <w:rPr>
                <w:noProof/>
                <w:webHidden/>
              </w:rPr>
            </w:r>
            <w:r w:rsidR="008E374C">
              <w:rPr>
                <w:noProof/>
                <w:webHidden/>
              </w:rPr>
              <w:fldChar w:fldCharType="separate"/>
            </w:r>
            <w:r w:rsidR="008E374C">
              <w:rPr>
                <w:noProof/>
                <w:webHidden/>
              </w:rPr>
              <w:t>6</w:t>
            </w:r>
            <w:r w:rsidR="008E374C">
              <w:rPr>
                <w:noProof/>
                <w:webHidden/>
              </w:rPr>
              <w:fldChar w:fldCharType="end"/>
            </w:r>
          </w:hyperlink>
        </w:p>
        <w:p w14:paraId="422C07E0" w14:textId="7A1680C8" w:rsidR="008E374C" w:rsidRDefault="00D97F65">
          <w:pPr>
            <w:pStyle w:val="TOC3"/>
            <w:rPr>
              <w:rFonts w:asciiTheme="minorHAnsi" w:eastAsiaTheme="minorEastAsia" w:hAnsiTheme="minorHAnsi" w:cstheme="minorBidi"/>
              <w:noProof/>
              <w:lang w:eastAsia="en-AU"/>
            </w:rPr>
          </w:pPr>
          <w:hyperlink w:anchor="_Toc33614740" w:history="1">
            <w:r w:rsidR="008E374C" w:rsidRPr="00DD7F52">
              <w:rPr>
                <w:rStyle w:val="Hyperlink"/>
                <w:noProof/>
              </w:rPr>
              <w:t>Product background</w:t>
            </w:r>
            <w:r w:rsidR="008E374C">
              <w:rPr>
                <w:noProof/>
                <w:webHidden/>
              </w:rPr>
              <w:tab/>
            </w:r>
            <w:r w:rsidR="008E374C">
              <w:rPr>
                <w:noProof/>
                <w:webHidden/>
              </w:rPr>
              <w:fldChar w:fldCharType="begin"/>
            </w:r>
            <w:r w:rsidR="008E374C">
              <w:rPr>
                <w:noProof/>
                <w:webHidden/>
              </w:rPr>
              <w:instrText xml:space="preserve"> PAGEREF _Toc33614740 \h </w:instrText>
            </w:r>
            <w:r w:rsidR="008E374C">
              <w:rPr>
                <w:noProof/>
                <w:webHidden/>
              </w:rPr>
            </w:r>
            <w:r w:rsidR="008E374C">
              <w:rPr>
                <w:noProof/>
                <w:webHidden/>
              </w:rPr>
              <w:fldChar w:fldCharType="separate"/>
            </w:r>
            <w:r w:rsidR="008E374C">
              <w:rPr>
                <w:noProof/>
                <w:webHidden/>
              </w:rPr>
              <w:t>9</w:t>
            </w:r>
            <w:r w:rsidR="008E374C">
              <w:rPr>
                <w:noProof/>
                <w:webHidden/>
              </w:rPr>
              <w:fldChar w:fldCharType="end"/>
            </w:r>
          </w:hyperlink>
        </w:p>
        <w:p w14:paraId="2E36E9B4" w14:textId="6B5BC9C7" w:rsidR="008E374C" w:rsidRDefault="00D97F65">
          <w:pPr>
            <w:pStyle w:val="TOC3"/>
            <w:rPr>
              <w:rFonts w:asciiTheme="minorHAnsi" w:eastAsiaTheme="minorEastAsia" w:hAnsiTheme="minorHAnsi" w:cstheme="minorBidi"/>
              <w:noProof/>
              <w:lang w:eastAsia="en-AU"/>
            </w:rPr>
          </w:pPr>
          <w:hyperlink w:anchor="_Toc33614741" w:history="1">
            <w:r w:rsidR="008E374C" w:rsidRPr="00DD7F52">
              <w:rPr>
                <w:rStyle w:val="Hyperlink"/>
                <w:noProof/>
              </w:rPr>
              <w:t>Regulatory status</w:t>
            </w:r>
            <w:r w:rsidR="008E374C">
              <w:rPr>
                <w:noProof/>
                <w:webHidden/>
              </w:rPr>
              <w:tab/>
            </w:r>
            <w:r w:rsidR="008E374C">
              <w:rPr>
                <w:noProof/>
                <w:webHidden/>
              </w:rPr>
              <w:fldChar w:fldCharType="begin"/>
            </w:r>
            <w:r w:rsidR="008E374C">
              <w:rPr>
                <w:noProof/>
                <w:webHidden/>
              </w:rPr>
              <w:instrText xml:space="preserve"> PAGEREF _Toc33614741 \h </w:instrText>
            </w:r>
            <w:r w:rsidR="008E374C">
              <w:rPr>
                <w:noProof/>
                <w:webHidden/>
              </w:rPr>
            </w:r>
            <w:r w:rsidR="008E374C">
              <w:rPr>
                <w:noProof/>
                <w:webHidden/>
              </w:rPr>
              <w:fldChar w:fldCharType="separate"/>
            </w:r>
            <w:r w:rsidR="008E374C">
              <w:rPr>
                <w:noProof/>
                <w:webHidden/>
              </w:rPr>
              <w:t>10</w:t>
            </w:r>
            <w:r w:rsidR="008E374C">
              <w:rPr>
                <w:noProof/>
                <w:webHidden/>
              </w:rPr>
              <w:fldChar w:fldCharType="end"/>
            </w:r>
          </w:hyperlink>
        </w:p>
        <w:p w14:paraId="0BB06341" w14:textId="02BE6548" w:rsidR="008E374C" w:rsidRDefault="00D97F65">
          <w:pPr>
            <w:pStyle w:val="TOC3"/>
            <w:rPr>
              <w:rFonts w:asciiTheme="minorHAnsi" w:eastAsiaTheme="minorEastAsia" w:hAnsiTheme="minorHAnsi" w:cstheme="minorBidi"/>
              <w:noProof/>
              <w:lang w:eastAsia="en-AU"/>
            </w:rPr>
          </w:pPr>
          <w:hyperlink w:anchor="_Toc33614742" w:history="1">
            <w:r w:rsidR="008E374C" w:rsidRPr="00DD7F52">
              <w:rPr>
                <w:rStyle w:val="Hyperlink"/>
                <w:noProof/>
              </w:rPr>
              <w:t>Product Information</w:t>
            </w:r>
            <w:r w:rsidR="008E374C">
              <w:rPr>
                <w:noProof/>
                <w:webHidden/>
              </w:rPr>
              <w:tab/>
            </w:r>
            <w:r w:rsidR="008E374C">
              <w:rPr>
                <w:noProof/>
                <w:webHidden/>
              </w:rPr>
              <w:fldChar w:fldCharType="begin"/>
            </w:r>
            <w:r w:rsidR="008E374C">
              <w:rPr>
                <w:noProof/>
                <w:webHidden/>
              </w:rPr>
              <w:instrText xml:space="preserve"> PAGEREF _Toc33614742 \h </w:instrText>
            </w:r>
            <w:r w:rsidR="008E374C">
              <w:rPr>
                <w:noProof/>
                <w:webHidden/>
              </w:rPr>
            </w:r>
            <w:r w:rsidR="008E374C">
              <w:rPr>
                <w:noProof/>
                <w:webHidden/>
              </w:rPr>
              <w:fldChar w:fldCharType="separate"/>
            </w:r>
            <w:r w:rsidR="008E374C">
              <w:rPr>
                <w:noProof/>
                <w:webHidden/>
              </w:rPr>
              <w:t>11</w:t>
            </w:r>
            <w:r w:rsidR="008E374C">
              <w:rPr>
                <w:noProof/>
                <w:webHidden/>
              </w:rPr>
              <w:fldChar w:fldCharType="end"/>
            </w:r>
          </w:hyperlink>
        </w:p>
        <w:p w14:paraId="08DC6552" w14:textId="17AE6B7B" w:rsidR="008E374C" w:rsidRDefault="00D97F65">
          <w:pPr>
            <w:pStyle w:val="TOC2"/>
            <w:rPr>
              <w:rFonts w:asciiTheme="minorHAnsi" w:eastAsiaTheme="minorEastAsia" w:hAnsiTheme="minorHAnsi" w:cstheme="minorBidi"/>
              <w:b w:val="0"/>
              <w:noProof/>
              <w:sz w:val="22"/>
              <w:lang w:eastAsia="en-AU"/>
            </w:rPr>
          </w:pPr>
          <w:hyperlink w:anchor="_Toc33614743" w:history="1">
            <w:r w:rsidR="008E374C" w:rsidRPr="00DD7F52">
              <w:rPr>
                <w:rStyle w:val="Hyperlink"/>
                <w:noProof/>
              </w:rPr>
              <w:t>II. Registration timeline</w:t>
            </w:r>
            <w:r w:rsidR="008E374C">
              <w:rPr>
                <w:noProof/>
                <w:webHidden/>
              </w:rPr>
              <w:tab/>
            </w:r>
            <w:r w:rsidR="008E374C">
              <w:rPr>
                <w:noProof/>
                <w:webHidden/>
              </w:rPr>
              <w:fldChar w:fldCharType="begin"/>
            </w:r>
            <w:r w:rsidR="008E374C">
              <w:rPr>
                <w:noProof/>
                <w:webHidden/>
              </w:rPr>
              <w:instrText xml:space="preserve"> PAGEREF _Toc33614743 \h </w:instrText>
            </w:r>
            <w:r w:rsidR="008E374C">
              <w:rPr>
                <w:noProof/>
                <w:webHidden/>
              </w:rPr>
            </w:r>
            <w:r w:rsidR="008E374C">
              <w:rPr>
                <w:noProof/>
                <w:webHidden/>
              </w:rPr>
              <w:fldChar w:fldCharType="separate"/>
            </w:r>
            <w:r w:rsidR="008E374C">
              <w:rPr>
                <w:noProof/>
                <w:webHidden/>
              </w:rPr>
              <w:t>11</w:t>
            </w:r>
            <w:r w:rsidR="008E374C">
              <w:rPr>
                <w:noProof/>
                <w:webHidden/>
              </w:rPr>
              <w:fldChar w:fldCharType="end"/>
            </w:r>
          </w:hyperlink>
        </w:p>
        <w:p w14:paraId="0A27B0D1" w14:textId="2CE91195" w:rsidR="008E374C" w:rsidRDefault="00D97F65">
          <w:pPr>
            <w:pStyle w:val="TOC2"/>
            <w:rPr>
              <w:rFonts w:asciiTheme="minorHAnsi" w:eastAsiaTheme="minorEastAsia" w:hAnsiTheme="minorHAnsi" w:cstheme="minorBidi"/>
              <w:b w:val="0"/>
              <w:noProof/>
              <w:sz w:val="22"/>
              <w:lang w:eastAsia="en-AU"/>
            </w:rPr>
          </w:pPr>
          <w:hyperlink w:anchor="_Toc33614744" w:history="1">
            <w:r w:rsidR="008E374C" w:rsidRPr="00DD7F52">
              <w:rPr>
                <w:rStyle w:val="Hyperlink"/>
                <w:noProof/>
              </w:rPr>
              <w:t>III. Submission overview and risk/benefit assessment</w:t>
            </w:r>
            <w:r w:rsidR="008E374C">
              <w:rPr>
                <w:noProof/>
                <w:webHidden/>
              </w:rPr>
              <w:tab/>
            </w:r>
            <w:r w:rsidR="008E374C">
              <w:rPr>
                <w:noProof/>
                <w:webHidden/>
              </w:rPr>
              <w:fldChar w:fldCharType="begin"/>
            </w:r>
            <w:r w:rsidR="008E374C">
              <w:rPr>
                <w:noProof/>
                <w:webHidden/>
              </w:rPr>
              <w:instrText xml:space="preserve"> PAGEREF _Toc33614744 \h </w:instrText>
            </w:r>
            <w:r w:rsidR="008E374C">
              <w:rPr>
                <w:noProof/>
                <w:webHidden/>
              </w:rPr>
            </w:r>
            <w:r w:rsidR="008E374C">
              <w:rPr>
                <w:noProof/>
                <w:webHidden/>
              </w:rPr>
              <w:fldChar w:fldCharType="separate"/>
            </w:r>
            <w:r w:rsidR="008E374C">
              <w:rPr>
                <w:noProof/>
                <w:webHidden/>
              </w:rPr>
              <w:t>12</w:t>
            </w:r>
            <w:r w:rsidR="008E374C">
              <w:rPr>
                <w:noProof/>
                <w:webHidden/>
              </w:rPr>
              <w:fldChar w:fldCharType="end"/>
            </w:r>
          </w:hyperlink>
        </w:p>
        <w:p w14:paraId="2FB6F3FB" w14:textId="374D2A8F" w:rsidR="008E374C" w:rsidRDefault="00D97F65">
          <w:pPr>
            <w:pStyle w:val="TOC3"/>
            <w:rPr>
              <w:rFonts w:asciiTheme="minorHAnsi" w:eastAsiaTheme="minorEastAsia" w:hAnsiTheme="minorHAnsi" w:cstheme="minorBidi"/>
              <w:noProof/>
              <w:lang w:eastAsia="en-AU"/>
            </w:rPr>
          </w:pPr>
          <w:hyperlink w:anchor="_Toc33614745" w:history="1">
            <w:r w:rsidR="008E374C" w:rsidRPr="00DD7F52">
              <w:rPr>
                <w:rStyle w:val="Hyperlink"/>
                <w:noProof/>
              </w:rPr>
              <w:t>Quality</w:t>
            </w:r>
            <w:r w:rsidR="008E374C">
              <w:rPr>
                <w:noProof/>
                <w:webHidden/>
              </w:rPr>
              <w:tab/>
            </w:r>
            <w:r w:rsidR="008E374C">
              <w:rPr>
                <w:noProof/>
                <w:webHidden/>
              </w:rPr>
              <w:fldChar w:fldCharType="begin"/>
            </w:r>
            <w:r w:rsidR="008E374C">
              <w:rPr>
                <w:noProof/>
                <w:webHidden/>
              </w:rPr>
              <w:instrText xml:space="preserve"> PAGEREF _Toc33614745 \h </w:instrText>
            </w:r>
            <w:r w:rsidR="008E374C">
              <w:rPr>
                <w:noProof/>
                <w:webHidden/>
              </w:rPr>
            </w:r>
            <w:r w:rsidR="008E374C">
              <w:rPr>
                <w:noProof/>
                <w:webHidden/>
              </w:rPr>
              <w:fldChar w:fldCharType="separate"/>
            </w:r>
            <w:r w:rsidR="008E374C">
              <w:rPr>
                <w:noProof/>
                <w:webHidden/>
              </w:rPr>
              <w:t>12</w:t>
            </w:r>
            <w:r w:rsidR="008E374C">
              <w:rPr>
                <w:noProof/>
                <w:webHidden/>
              </w:rPr>
              <w:fldChar w:fldCharType="end"/>
            </w:r>
          </w:hyperlink>
        </w:p>
        <w:p w14:paraId="18BAA48D" w14:textId="3FB7D50D" w:rsidR="008E374C" w:rsidRDefault="00D97F65">
          <w:pPr>
            <w:pStyle w:val="TOC3"/>
            <w:rPr>
              <w:rFonts w:asciiTheme="minorHAnsi" w:eastAsiaTheme="minorEastAsia" w:hAnsiTheme="minorHAnsi" w:cstheme="minorBidi"/>
              <w:noProof/>
              <w:lang w:eastAsia="en-AU"/>
            </w:rPr>
          </w:pPr>
          <w:hyperlink w:anchor="_Toc33614746" w:history="1">
            <w:r w:rsidR="008E374C" w:rsidRPr="00DD7F52">
              <w:rPr>
                <w:rStyle w:val="Hyperlink"/>
                <w:noProof/>
              </w:rPr>
              <w:t>Nonclinical</w:t>
            </w:r>
            <w:r w:rsidR="008E374C">
              <w:rPr>
                <w:noProof/>
                <w:webHidden/>
              </w:rPr>
              <w:tab/>
            </w:r>
            <w:r w:rsidR="008E374C">
              <w:rPr>
                <w:noProof/>
                <w:webHidden/>
              </w:rPr>
              <w:fldChar w:fldCharType="begin"/>
            </w:r>
            <w:r w:rsidR="008E374C">
              <w:rPr>
                <w:noProof/>
                <w:webHidden/>
              </w:rPr>
              <w:instrText xml:space="preserve"> PAGEREF _Toc33614746 \h </w:instrText>
            </w:r>
            <w:r w:rsidR="008E374C">
              <w:rPr>
                <w:noProof/>
                <w:webHidden/>
              </w:rPr>
            </w:r>
            <w:r w:rsidR="008E374C">
              <w:rPr>
                <w:noProof/>
                <w:webHidden/>
              </w:rPr>
              <w:fldChar w:fldCharType="separate"/>
            </w:r>
            <w:r w:rsidR="008E374C">
              <w:rPr>
                <w:noProof/>
                <w:webHidden/>
              </w:rPr>
              <w:t>13</w:t>
            </w:r>
            <w:r w:rsidR="008E374C">
              <w:rPr>
                <w:noProof/>
                <w:webHidden/>
              </w:rPr>
              <w:fldChar w:fldCharType="end"/>
            </w:r>
          </w:hyperlink>
        </w:p>
        <w:p w14:paraId="4B4769D2" w14:textId="333CF225" w:rsidR="008E374C" w:rsidRDefault="00D97F65">
          <w:pPr>
            <w:pStyle w:val="TOC3"/>
            <w:rPr>
              <w:rFonts w:asciiTheme="minorHAnsi" w:eastAsiaTheme="minorEastAsia" w:hAnsiTheme="minorHAnsi" w:cstheme="minorBidi"/>
              <w:noProof/>
              <w:lang w:eastAsia="en-AU"/>
            </w:rPr>
          </w:pPr>
          <w:hyperlink w:anchor="_Toc33614747" w:history="1">
            <w:r w:rsidR="008E374C" w:rsidRPr="00DD7F52">
              <w:rPr>
                <w:rStyle w:val="Hyperlink"/>
                <w:noProof/>
              </w:rPr>
              <w:t>Clinical</w:t>
            </w:r>
            <w:r w:rsidR="008E374C">
              <w:rPr>
                <w:noProof/>
                <w:webHidden/>
              </w:rPr>
              <w:tab/>
            </w:r>
            <w:r w:rsidR="008E374C">
              <w:rPr>
                <w:noProof/>
                <w:webHidden/>
              </w:rPr>
              <w:fldChar w:fldCharType="begin"/>
            </w:r>
            <w:r w:rsidR="008E374C">
              <w:rPr>
                <w:noProof/>
                <w:webHidden/>
              </w:rPr>
              <w:instrText xml:space="preserve"> PAGEREF _Toc33614747 \h </w:instrText>
            </w:r>
            <w:r w:rsidR="008E374C">
              <w:rPr>
                <w:noProof/>
                <w:webHidden/>
              </w:rPr>
            </w:r>
            <w:r w:rsidR="008E374C">
              <w:rPr>
                <w:noProof/>
                <w:webHidden/>
              </w:rPr>
              <w:fldChar w:fldCharType="separate"/>
            </w:r>
            <w:r w:rsidR="008E374C">
              <w:rPr>
                <w:noProof/>
                <w:webHidden/>
              </w:rPr>
              <w:t>13</w:t>
            </w:r>
            <w:r w:rsidR="008E374C">
              <w:rPr>
                <w:noProof/>
                <w:webHidden/>
              </w:rPr>
              <w:fldChar w:fldCharType="end"/>
            </w:r>
          </w:hyperlink>
        </w:p>
        <w:p w14:paraId="0DB38AC3" w14:textId="0304EC91" w:rsidR="008E374C" w:rsidRDefault="00D97F65">
          <w:pPr>
            <w:pStyle w:val="TOC3"/>
            <w:rPr>
              <w:rFonts w:asciiTheme="minorHAnsi" w:eastAsiaTheme="minorEastAsia" w:hAnsiTheme="minorHAnsi" w:cstheme="minorBidi"/>
              <w:noProof/>
              <w:lang w:eastAsia="en-AU"/>
            </w:rPr>
          </w:pPr>
          <w:hyperlink w:anchor="_Toc33614748" w:history="1">
            <w:r w:rsidR="008E374C" w:rsidRPr="00DD7F52">
              <w:rPr>
                <w:rStyle w:val="Hyperlink"/>
                <w:noProof/>
              </w:rPr>
              <w:t>Efficacy</w:t>
            </w:r>
            <w:r w:rsidR="008E374C">
              <w:rPr>
                <w:noProof/>
                <w:webHidden/>
              </w:rPr>
              <w:tab/>
            </w:r>
            <w:r w:rsidR="008E374C">
              <w:rPr>
                <w:noProof/>
                <w:webHidden/>
              </w:rPr>
              <w:fldChar w:fldCharType="begin"/>
            </w:r>
            <w:r w:rsidR="008E374C">
              <w:rPr>
                <w:noProof/>
                <w:webHidden/>
              </w:rPr>
              <w:instrText xml:space="preserve"> PAGEREF _Toc33614748 \h </w:instrText>
            </w:r>
            <w:r w:rsidR="008E374C">
              <w:rPr>
                <w:noProof/>
                <w:webHidden/>
              </w:rPr>
            </w:r>
            <w:r w:rsidR="008E374C">
              <w:rPr>
                <w:noProof/>
                <w:webHidden/>
              </w:rPr>
              <w:fldChar w:fldCharType="separate"/>
            </w:r>
            <w:r w:rsidR="008E374C">
              <w:rPr>
                <w:noProof/>
                <w:webHidden/>
              </w:rPr>
              <w:t>15</w:t>
            </w:r>
            <w:r w:rsidR="008E374C">
              <w:rPr>
                <w:noProof/>
                <w:webHidden/>
              </w:rPr>
              <w:fldChar w:fldCharType="end"/>
            </w:r>
          </w:hyperlink>
        </w:p>
        <w:p w14:paraId="3BDF1CC7" w14:textId="36FCBC50" w:rsidR="008E374C" w:rsidRDefault="00D97F65">
          <w:pPr>
            <w:pStyle w:val="TOC3"/>
            <w:rPr>
              <w:rFonts w:asciiTheme="minorHAnsi" w:eastAsiaTheme="minorEastAsia" w:hAnsiTheme="minorHAnsi" w:cstheme="minorBidi"/>
              <w:noProof/>
              <w:lang w:eastAsia="en-AU"/>
            </w:rPr>
          </w:pPr>
          <w:hyperlink w:anchor="_Toc33614749" w:history="1">
            <w:r w:rsidR="008E374C" w:rsidRPr="00DD7F52">
              <w:rPr>
                <w:rStyle w:val="Hyperlink"/>
                <w:noProof/>
              </w:rPr>
              <w:t>Safety</w:t>
            </w:r>
            <w:r w:rsidR="008E374C">
              <w:rPr>
                <w:noProof/>
                <w:webHidden/>
              </w:rPr>
              <w:tab/>
            </w:r>
            <w:r w:rsidR="008E374C">
              <w:rPr>
                <w:noProof/>
                <w:webHidden/>
              </w:rPr>
              <w:fldChar w:fldCharType="begin"/>
            </w:r>
            <w:r w:rsidR="008E374C">
              <w:rPr>
                <w:noProof/>
                <w:webHidden/>
              </w:rPr>
              <w:instrText xml:space="preserve"> PAGEREF _Toc33614749 \h </w:instrText>
            </w:r>
            <w:r w:rsidR="008E374C">
              <w:rPr>
                <w:noProof/>
                <w:webHidden/>
              </w:rPr>
            </w:r>
            <w:r w:rsidR="008E374C">
              <w:rPr>
                <w:noProof/>
                <w:webHidden/>
              </w:rPr>
              <w:fldChar w:fldCharType="separate"/>
            </w:r>
            <w:r w:rsidR="008E374C">
              <w:rPr>
                <w:noProof/>
                <w:webHidden/>
              </w:rPr>
              <w:t>19</w:t>
            </w:r>
            <w:r w:rsidR="008E374C">
              <w:rPr>
                <w:noProof/>
                <w:webHidden/>
              </w:rPr>
              <w:fldChar w:fldCharType="end"/>
            </w:r>
          </w:hyperlink>
        </w:p>
        <w:p w14:paraId="795FD222" w14:textId="719BD6F6" w:rsidR="008E374C" w:rsidRDefault="00D97F65">
          <w:pPr>
            <w:pStyle w:val="TOC3"/>
            <w:rPr>
              <w:rFonts w:asciiTheme="minorHAnsi" w:eastAsiaTheme="minorEastAsia" w:hAnsiTheme="minorHAnsi" w:cstheme="minorBidi"/>
              <w:noProof/>
              <w:lang w:eastAsia="en-AU"/>
            </w:rPr>
          </w:pPr>
          <w:hyperlink w:anchor="_Toc33614750" w:history="1">
            <w:r w:rsidR="008E374C" w:rsidRPr="00DD7F52">
              <w:rPr>
                <w:rStyle w:val="Hyperlink"/>
                <w:noProof/>
                <w:lang w:eastAsia="en-AU"/>
              </w:rPr>
              <w:t>Risk management plan</w:t>
            </w:r>
            <w:r w:rsidR="008E374C">
              <w:rPr>
                <w:noProof/>
                <w:webHidden/>
              </w:rPr>
              <w:tab/>
            </w:r>
            <w:r w:rsidR="008E374C">
              <w:rPr>
                <w:noProof/>
                <w:webHidden/>
              </w:rPr>
              <w:fldChar w:fldCharType="begin"/>
            </w:r>
            <w:r w:rsidR="008E374C">
              <w:rPr>
                <w:noProof/>
                <w:webHidden/>
              </w:rPr>
              <w:instrText xml:space="preserve"> PAGEREF _Toc33614750 \h </w:instrText>
            </w:r>
            <w:r w:rsidR="008E374C">
              <w:rPr>
                <w:noProof/>
                <w:webHidden/>
              </w:rPr>
            </w:r>
            <w:r w:rsidR="008E374C">
              <w:rPr>
                <w:noProof/>
                <w:webHidden/>
              </w:rPr>
              <w:fldChar w:fldCharType="separate"/>
            </w:r>
            <w:r w:rsidR="008E374C">
              <w:rPr>
                <w:noProof/>
                <w:webHidden/>
              </w:rPr>
              <w:t>22</w:t>
            </w:r>
            <w:r w:rsidR="008E374C">
              <w:rPr>
                <w:noProof/>
                <w:webHidden/>
              </w:rPr>
              <w:fldChar w:fldCharType="end"/>
            </w:r>
          </w:hyperlink>
        </w:p>
        <w:p w14:paraId="6C0D6C5E" w14:textId="1D4637A0" w:rsidR="008E374C" w:rsidRDefault="00D97F65">
          <w:pPr>
            <w:pStyle w:val="TOC3"/>
            <w:rPr>
              <w:rFonts w:asciiTheme="minorHAnsi" w:eastAsiaTheme="minorEastAsia" w:hAnsiTheme="minorHAnsi" w:cstheme="minorBidi"/>
              <w:noProof/>
              <w:lang w:eastAsia="en-AU"/>
            </w:rPr>
          </w:pPr>
          <w:hyperlink w:anchor="_Toc33614751" w:history="1">
            <w:r w:rsidR="008E374C" w:rsidRPr="00DD7F52">
              <w:rPr>
                <w:rStyle w:val="Hyperlink"/>
                <w:noProof/>
              </w:rPr>
              <w:t>Risk-benefit analysis</w:t>
            </w:r>
            <w:r w:rsidR="008E374C">
              <w:rPr>
                <w:noProof/>
                <w:webHidden/>
              </w:rPr>
              <w:tab/>
            </w:r>
            <w:r w:rsidR="008E374C">
              <w:rPr>
                <w:noProof/>
                <w:webHidden/>
              </w:rPr>
              <w:fldChar w:fldCharType="begin"/>
            </w:r>
            <w:r w:rsidR="008E374C">
              <w:rPr>
                <w:noProof/>
                <w:webHidden/>
              </w:rPr>
              <w:instrText xml:space="preserve"> PAGEREF _Toc33614751 \h </w:instrText>
            </w:r>
            <w:r w:rsidR="008E374C">
              <w:rPr>
                <w:noProof/>
                <w:webHidden/>
              </w:rPr>
            </w:r>
            <w:r w:rsidR="008E374C">
              <w:rPr>
                <w:noProof/>
                <w:webHidden/>
              </w:rPr>
              <w:fldChar w:fldCharType="separate"/>
            </w:r>
            <w:r w:rsidR="008E374C">
              <w:rPr>
                <w:noProof/>
                <w:webHidden/>
              </w:rPr>
              <w:t>24</w:t>
            </w:r>
            <w:r w:rsidR="008E374C">
              <w:rPr>
                <w:noProof/>
                <w:webHidden/>
              </w:rPr>
              <w:fldChar w:fldCharType="end"/>
            </w:r>
          </w:hyperlink>
        </w:p>
        <w:p w14:paraId="5A034277" w14:textId="53C2BB4B" w:rsidR="008E374C" w:rsidRDefault="00D97F65">
          <w:pPr>
            <w:pStyle w:val="TOC3"/>
            <w:rPr>
              <w:rFonts w:asciiTheme="minorHAnsi" w:eastAsiaTheme="minorEastAsia" w:hAnsiTheme="minorHAnsi" w:cstheme="minorBidi"/>
              <w:noProof/>
              <w:lang w:eastAsia="en-AU"/>
            </w:rPr>
          </w:pPr>
          <w:hyperlink w:anchor="_Toc33614752" w:history="1">
            <w:r w:rsidR="008E374C" w:rsidRPr="00DD7F52">
              <w:rPr>
                <w:rStyle w:val="Hyperlink"/>
                <w:noProof/>
              </w:rPr>
              <w:t>Outcome</w:t>
            </w:r>
            <w:r w:rsidR="008E374C">
              <w:rPr>
                <w:noProof/>
                <w:webHidden/>
              </w:rPr>
              <w:tab/>
            </w:r>
            <w:r w:rsidR="008E374C">
              <w:rPr>
                <w:noProof/>
                <w:webHidden/>
              </w:rPr>
              <w:fldChar w:fldCharType="begin"/>
            </w:r>
            <w:r w:rsidR="008E374C">
              <w:rPr>
                <w:noProof/>
                <w:webHidden/>
              </w:rPr>
              <w:instrText xml:space="preserve"> PAGEREF _Toc33614752 \h </w:instrText>
            </w:r>
            <w:r w:rsidR="008E374C">
              <w:rPr>
                <w:noProof/>
                <w:webHidden/>
              </w:rPr>
            </w:r>
            <w:r w:rsidR="008E374C">
              <w:rPr>
                <w:noProof/>
                <w:webHidden/>
              </w:rPr>
              <w:fldChar w:fldCharType="separate"/>
            </w:r>
            <w:r w:rsidR="008E374C">
              <w:rPr>
                <w:noProof/>
                <w:webHidden/>
              </w:rPr>
              <w:t>26</w:t>
            </w:r>
            <w:r w:rsidR="008E374C">
              <w:rPr>
                <w:noProof/>
                <w:webHidden/>
              </w:rPr>
              <w:fldChar w:fldCharType="end"/>
            </w:r>
          </w:hyperlink>
        </w:p>
        <w:p w14:paraId="4A19B3DC" w14:textId="3ECEFDE6" w:rsidR="008E374C" w:rsidRDefault="00D97F65">
          <w:pPr>
            <w:pStyle w:val="TOC2"/>
            <w:rPr>
              <w:rFonts w:asciiTheme="minorHAnsi" w:eastAsiaTheme="minorEastAsia" w:hAnsiTheme="minorHAnsi" w:cstheme="minorBidi"/>
              <w:b w:val="0"/>
              <w:noProof/>
              <w:sz w:val="22"/>
              <w:lang w:eastAsia="en-AU"/>
            </w:rPr>
          </w:pPr>
          <w:hyperlink w:anchor="_Toc33614753" w:history="1">
            <w:r w:rsidR="008E374C" w:rsidRPr="00DD7F52">
              <w:rPr>
                <w:rStyle w:val="Hyperlink"/>
                <w:noProof/>
              </w:rPr>
              <w:t>Attachment 1. Product Information</w:t>
            </w:r>
            <w:r w:rsidR="008E374C">
              <w:rPr>
                <w:noProof/>
                <w:webHidden/>
              </w:rPr>
              <w:tab/>
            </w:r>
            <w:r w:rsidR="008E374C">
              <w:rPr>
                <w:noProof/>
                <w:webHidden/>
              </w:rPr>
              <w:fldChar w:fldCharType="begin"/>
            </w:r>
            <w:r w:rsidR="008E374C">
              <w:rPr>
                <w:noProof/>
                <w:webHidden/>
              </w:rPr>
              <w:instrText xml:space="preserve"> PAGEREF _Toc33614753 \h </w:instrText>
            </w:r>
            <w:r w:rsidR="008E374C">
              <w:rPr>
                <w:noProof/>
                <w:webHidden/>
              </w:rPr>
            </w:r>
            <w:r w:rsidR="008E374C">
              <w:rPr>
                <w:noProof/>
                <w:webHidden/>
              </w:rPr>
              <w:fldChar w:fldCharType="separate"/>
            </w:r>
            <w:r w:rsidR="008E374C">
              <w:rPr>
                <w:noProof/>
                <w:webHidden/>
              </w:rPr>
              <w:t>28</w:t>
            </w:r>
            <w:r w:rsidR="008E374C">
              <w:rPr>
                <w:noProof/>
                <w:webHidden/>
              </w:rPr>
              <w:fldChar w:fldCharType="end"/>
            </w:r>
          </w:hyperlink>
        </w:p>
        <w:p w14:paraId="2078209E" w14:textId="3571CC78" w:rsidR="003A7F6C" w:rsidRPr="00B811C6" w:rsidRDefault="00960520" w:rsidP="00B811C6">
          <w:pPr>
            <w:pStyle w:val="TOC2"/>
          </w:pPr>
          <w:r>
            <w:fldChar w:fldCharType="end"/>
          </w:r>
        </w:p>
      </w:sdtContent>
    </w:sdt>
    <w:bookmarkStart w:id="2" w:name="_Toc314842482" w:displacedByCustomXml="prev"/>
    <w:p w14:paraId="3B880C44" w14:textId="77777777" w:rsidR="00FD119B" w:rsidRDefault="00FD119B">
      <w:pPr>
        <w:spacing w:before="0" w:after="200" w:line="0" w:lineRule="auto"/>
      </w:pPr>
      <w:r>
        <w:br w:type="page"/>
      </w:r>
    </w:p>
    <w:p w14:paraId="6D4B4F63" w14:textId="77777777" w:rsidR="00C52E24" w:rsidRPr="00C52E24" w:rsidRDefault="00441C3F" w:rsidP="00521AB7">
      <w:pPr>
        <w:pStyle w:val="Heading2"/>
      </w:pPr>
      <w:bookmarkStart w:id="3" w:name="_Toc351716269"/>
      <w:bookmarkStart w:id="4" w:name="_Toc351718881"/>
      <w:bookmarkStart w:id="5" w:name="_Toc355338616"/>
      <w:bookmarkStart w:id="6" w:name="_Toc356306144"/>
      <w:bookmarkStart w:id="7" w:name="_Toc33614737"/>
      <w:r>
        <w:lastRenderedPageBreak/>
        <w:t>Common</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830"/>
      </w:tblGrid>
      <w:tr w:rsidR="000E637D" w:rsidRPr="00FD119B" w14:paraId="78D87C6A"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1996007D" w14:textId="77777777" w:rsidR="000E637D" w:rsidRPr="00FD119B" w:rsidRDefault="000E637D" w:rsidP="00521AB7">
            <w:pPr>
              <w:rPr>
                <w:lang w:eastAsia="en-US"/>
              </w:rPr>
            </w:pPr>
            <w:r w:rsidRPr="00FD119B">
              <w:rPr>
                <w:lang w:eastAsia="en-US"/>
              </w:rPr>
              <w:t>Abbreviation</w:t>
            </w:r>
          </w:p>
        </w:tc>
        <w:tc>
          <w:tcPr>
            <w:tcW w:w="6911" w:type="dxa"/>
          </w:tcPr>
          <w:p w14:paraId="2A9D8A89" w14:textId="77777777" w:rsidR="000E637D" w:rsidRPr="00FD119B" w:rsidRDefault="000E637D" w:rsidP="00521AB7">
            <w:pPr>
              <w:rPr>
                <w:lang w:eastAsia="en-US"/>
              </w:rPr>
            </w:pPr>
            <w:r w:rsidRPr="00FD119B">
              <w:rPr>
                <w:lang w:eastAsia="en-US"/>
              </w:rPr>
              <w:t>Meaning</w:t>
            </w:r>
          </w:p>
        </w:tc>
      </w:tr>
      <w:tr w:rsidR="000E637D" w:rsidRPr="00FD119B" w14:paraId="663559EC" w14:textId="77777777" w:rsidTr="00FD119B">
        <w:tc>
          <w:tcPr>
            <w:tcW w:w="1809" w:type="dxa"/>
          </w:tcPr>
          <w:p w14:paraId="2429D5C3" w14:textId="77777777" w:rsidR="000E637D" w:rsidRDefault="000E637D" w:rsidP="00521AB7">
            <w:r>
              <w:t>%CV</w:t>
            </w:r>
          </w:p>
        </w:tc>
        <w:tc>
          <w:tcPr>
            <w:tcW w:w="6911" w:type="dxa"/>
          </w:tcPr>
          <w:p w14:paraId="73FA5900" w14:textId="77777777" w:rsidR="000E637D" w:rsidRDefault="000E637D" w:rsidP="00F56525">
            <w:r>
              <w:t>Percent coefficient of variation</w:t>
            </w:r>
          </w:p>
        </w:tc>
      </w:tr>
      <w:tr w:rsidR="000E637D" w:rsidRPr="00FD119B" w14:paraId="179C54C1" w14:textId="77777777" w:rsidTr="00FD119B">
        <w:tc>
          <w:tcPr>
            <w:tcW w:w="1809" w:type="dxa"/>
          </w:tcPr>
          <w:p w14:paraId="4BD266EB" w14:textId="027AF307" w:rsidR="000E637D" w:rsidRDefault="000E637D" w:rsidP="00521AB7">
            <w:r>
              <w:t>ACM</w:t>
            </w:r>
          </w:p>
        </w:tc>
        <w:tc>
          <w:tcPr>
            <w:tcW w:w="6911" w:type="dxa"/>
          </w:tcPr>
          <w:p w14:paraId="61C32CD8" w14:textId="20E61324" w:rsidR="000E637D" w:rsidRDefault="000E637D" w:rsidP="00F56525">
            <w:r>
              <w:t>Advisory Committee on Medicines</w:t>
            </w:r>
          </w:p>
        </w:tc>
      </w:tr>
      <w:tr w:rsidR="000E637D" w:rsidRPr="00FD119B" w14:paraId="55F9162C" w14:textId="77777777" w:rsidTr="00FD119B">
        <w:tc>
          <w:tcPr>
            <w:tcW w:w="1809" w:type="dxa"/>
          </w:tcPr>
          <w:p w14:paraId="27C79591" w14:textId="77777777" w:rsidR="000E637D" w:rsidRDefault="000E637D" w:rsidP="00521AB7">
            <w:r>
              <w:t>ADA</w:t>
            </w:r>
          </w:p>
        </w:tc>
        <w:tc>
          <w:tcPr>
            <w:tcW w:w="6911" w:type="dxa"/>
          </w:tcPr>
          <w:p w14:paraId="2EC1A58E" w14:textId="77777777" w:rsidR="000E637D" w:rsidRDefault="000E637D" w:rsidP="000D4D5B">
            <w:r>
              <w:t>Antidrug antibody</w:t>
            </w:r>
          </w:p>
        </w:tc>
      </w:tr>
      <w:tr w:rsidR="000E637D" w:rsidRPr="00FD119B" w14:paraId="0B2E69DF" w14:textId="77777777" w:rsidTr="00FD119B">
        <w:tc>
          <w:tcPr>
            <w:tcW w:w="1809" w:type="dxa"/>
          </w:tcPr>
          <w:p w14:paraId="4FD46ACD" w14:textId="77777777" w:rsidR="000E637D" w:rsidRDefault="000E637D" w:rsidP="00521AB7">
            <w:r>
              <w:t>ADCC</w:t>
            </w:r>
          </w:p>
        </w:tc>
        <w:tc>
          <w:tcPr>
            <w:tcW w:w="6911" w:type="dxa"/>
          </w:tcPr>
          <w:p w14:paraId="23122BFE" w14:textId="77777777" w:rsidR="000E637D" w:rsidRDefault="000E637D" w:rsidP="000D4B50">
            <w:r>
              <w:t>A</w:t>
            </w:r>
            <w:r w:rsidRPr="000D4B50">
              <w:t>ntibody-dependent cell-mediated cytotoxicity</w:t>
            </w:r>
          </w:p>
        </w:tc>
      </w:tr>
      <w:tr w:rsidR="000E637D" w:rsidRPr="00FD119B" w14:paraId="68CCEC9C" w14:textId="77777777" w:rsidTr="00FD119B">
        <w:tc>
          <w:tcPr>
            <w:tcW w:w="1809" w:type="dxa"/>
          </w:tcPr>
          <w:p w14:paraId="0EA04524" w14:textId="77777777" w:rsidR="000E637D" w:rsidRDefault="000E637D" w:rsidP="00521AB7">
            <w:r>
              <w:t>AE</w:t>
            </w:r>
          </w:p>
        </w:tc>
        <w:tc>
          <w:tcPr>
            <w:tcW w:w="6911" w:type="dxa"/>
          </w:tcPr>
          <w:p w14:paraId="3589213D" w14:textId="77777777" w:rsidR="000E637D" w:rsidRDefault="000E637D" w:rsidP="00521AB7">
            <w:r>
              <w:t>Adverse event</w:t>
            </w:r>
          </w:p>
        </w:tc>
      </w:tr>
      <w:tr w:rsidR="000E637D" w:rsidRPr="00FD119B" w14:paraId="6E09FBAB" w14:textId="77777777" w:rsidTr="00FD119B">
        <w:tc>
          <w:tcPr>
            <w:tcW w:w="1809" w:type="dxa"/>
          </w:tcPr>
          <w:p w14:paraId="189E1981" w14:textId="77777777" w:rsidR="000E637D" w:rsidRDefault="000E637D" w:rsidP="00521AB7">
            <w:r>
              <w:t>ARTG</w:t>
            </w:r>
          </w:p>
        </w:tc>
        <w:tc>
          <w:tcPr>
            <w:tcW w:w="6911" w:type="dxa"/>
          </w:tcPr>
          <w:p w14:paraId="044534DF" w14:textId="77777777" w:rsidR="000E637D" w:rsidRDefault="000E637D" w:rsidP="00521AB7">
            <w:r w:rsidRPr="00940A89">
              <w:t>Australian Register</w:t>
            </w:r>
            <w:r>
              <w:t xml:space="preserve"> of Therapeutic Goods</w:t>
            </w:r>
          </w:p>
        </w:tc>
      </w:tr>
      <w:tr w:rsidR="000E637D" w:rsidRPr="00FD119B" w14:paraId="0B3A4D77" w14:textId="77777777" w:rsidTr="00FD119B">
        <w:tc>
          <w:tcPr>
            <w:tcW w:w="1809" w:type="dxa"/>
          </w:tcPr>
          <w:p w14:paraId="1008B2DB" w14:textId="77777777" w:rsidR="000E637D" w:rsidRDefault="000E637D" w:rsidP="00521AB7">
            <w:r>
              <w:t>ASA</w:t>
            </w:r>
          </w:p>
        </w:tc>
        <w:tc>
          <w:tcPr>
            <w:tcW w:w="6911" w:type="dxa"/>
          </w:tcPr>
          <w:p w14:paraId="38C2260B" w14:textId="63DD7BD4" w:rsidR="000E637D" w:rsidRDefault="000E637D" w:rsidP="00031EED">
            <w:r>
              <w:t xml:space="preserve">Australian </w:t>
            </w:r>
            <w:r w:rsidR="00031EED">
              <w:t xml:space="preserve">specific </w:t>
            </w:r>
            <w:r>
              <w:t>Annex</w:t>
            </w:r>
          </w:p>
        </w:tc>
      </w:tr>
      <w:tr w:rsidR="000E637D" w:rsidRPr="00FD119B" w14:paraId="3A045FC4" w14:textId="77777777" w:rsidTr="00FD119B">
        <w:tc>
          <w:tcPr>
            <w:tcW w:w="1809" w:type="dxa"/>
          </w:tcPr>
          <w:p w14:paraId="56BA7D0F" w14:textId="77777777" w:rsidR="000E637D" w:rsidRDefault="000E637D" w:rsidP="00521AB7">
            <w:r>
              <w:t>AU</w:t>
            </w:r>
          </w:p>
        </w:tc>
        <w:tc>
          <w:tcPr>
            <w:tcW w:w="6911" w:type="dxa"/>
          </w:tcPr>
          <w:p w14:paraId="4B5C9672" w14:textId="77777777" w:rsidR="000E637D" w:rsidRDefault="000E637D" w:rsidP="00521AB7">
            <w:r>
              <w:t>Australian</w:t>
            </w:r>
          </w:p>
        </w:tc>
      </w:tr>
      <w:tr w:rsidR="000E637D" w:rsidRPr="00FD119B" w14:paraId="3488C15F" w14:textId="77777777" w:rsidTr="00FD119B">
        <w:tc>
          <w:tcPr>
            <w:tcW w:w="1809" w:type="dxa"/>
          </w:tcPr>
          <w:p w14:paraId="54DABF90" w14:textId="77777777" w:rsidR="000E637D" w:rsidRDefault="000E637D" w:rsidP="00521AB7">
            <w:proofErr w:type="spellStart"/>
            <w:r>
              <w:t>AUC</w:t>
            </w:r>
            <w:r w:rsidRPr="00AD072A">
              <w:rPr>
                <w:sz w:val="20"/>
                <w:vertAlign w:val="subscript"/>
              </w:rPr>
              <w:t>t</w:t>
            </w:r>
            <w:proofErr w:type="spellEnd"/>
          </w:p>
        </w:tc>
        <w:tc>
          <w:tcPr>
            <w:tcW w:w="6911" w:type="dxa"/>
          </w:tcPr>
          <w:p w14:paraId="66F3DD96" w14:textId="77777777" w:rsidR="000E637D" w:rsidRDefault="000E637D" w:rsidP="00AD072A">
            <w:r>
              <w:t>Area under the concentration time curve from time zero to time t</w:t>
            </w:r>
          </w:p>
        </w:tc>
      </w:tr>
      <w:tr w:rsidR="000E637D" w:rsidRPr="00FD119B" w14:paraId="733467F0" w14:textId="77777777" w:rsidTr="00FD119B">
        <w:tc>
          <w:tcPr>
            <w:tcW w:w="1809" w:type="dxa"/>
          </w:tcPr>
          <w:p w14:paraId="7D6F3957" w14:textId="77777777" w:rsidR="000E637D" w:rsidRDefault="000E637D" w:rsidP="00521AB7">
            <w:r>
              <w:t>BMI</w:t>
            </w:r>
          </w:p>
        </w:tc>
        <w:tc>
          <w:tcPr>
            <w:tcW w:w="6911" w:type="dxa"/>
          </w:tcPr>
          <w:p w14:paraId="2EF7CB06" w14:textId="77777777" w:rsidR="000E637D" w:rsidRDefault="000E637D" w:rsidP="003F63AB">
            <w:r>
              <w:t>Body mass index</w:t>
            </w:r>
          </w:p>
        </w:tc>
      </w:tr>
      <w:tr w:rsidR="000E637D" w:rsidRPr="00FD119B" w14:paraId="0EC3DFFE" w14:textId="77777777" w:rsidTr="00FD119B">
        <w:tc>
          <w:tcPr>
            <w:tcW w:w="1809" w:type="dxa"/>
          </w:tcPr>
          <w:p w14:paraId="3C845C52" w14:textId="77777777" w:rsidR="000E637D" w:rsidRDefault="000E637D" w:rsidP="00521AB7">
            <w:r>
              <w:t>CDC</w:t>
            </w:r>
          </w:p>
        </w:tc>
        <w:tc>
          <w:tcPr>
            <w:tcW w:w="6911" w:type="dxa"/>
          </w:tcPr>
          <w:p w14:paraId="3CD692A0" w14:textId="77777777" w:rsidR="000E637D" w:rsidRDefault="000E637D" w:rsidP="000D4B50">
            <w:r>
              <w:t>C</w:t>
            </w:r>
            <w:r w:rsidRPr="00521AB7">
              <w:t>o</w:t>
            </w:r>
            <w:r>
              <w:t>mplement dependent cytotoxicity</w:t>
            </w:r>
          </w:p>
        </w:tc>
      </w:tr>
      <w:tr w:rsidR="000E637D" w:rsidRPr="00FD119B" w14:paraId="050AFEE7" w14:textId="77777777" w:rsidTr="00FD119B">
        <w:tc>
          <w:tcPr>
            <w:tcW w:w="1809" w:type="dxa"/>
          </w:tcPr>
          <w:p w14:paraId="0B74BAEA" w14:textId="77777777" w:rsidR="000E637D" w:rsidRDefault="000E637D" w:rsidP="00521AB7">
            <w:r>
              <w:t>CHMP</w:t>
            </w:r>
          </w:p>
        </w:tc>
        <w:tc>
          <w:tcPr>
            <w:tcW w:w="6911" w:type="dxa"/>
          </w:tcPr>
          <w:p w14:paraId="183359DC" w14:textId="7017A183" w:rsidR="000E637D" w:rsidRDefault="000E637D" w:rsidP="003F63AB">
            <w:r>
              <w:t>Committee for Medicinal Products for Human Use</w:t>
            </w:r>
            <w:r w:rsidR="00031EED">
              <w:t xml:space="preserve"> (EU)</w:t>
            </w:r>
          </w:p>
        </w:tc>
      </w:tr>
      <w:tr w:rsidR="000E637D" w:rsidRPr="00FD119B" w14:paraId="61CFA989" w14:textId="77777777" w:rsidTr="00FD119B">
        <w:tc>
          <w:tcPr>
            <w:tcW w:w="1809" w:type="dxa"/>
          </w:tcPr>
          <w:p w14:paraId="11E19D51" w14:textId="77777777" w:rsidR="000E637D" w:rsidRDefault="000E637D" w:rsidP="00521AB7">
            <w:r>
              <w:t>CI</w:t>
            </w:r>
          </w:p>
        </w:tc>
        <w:tc>
          <w:tcPr>
            <w:tcW w:w="6911" w:type="dxa"/>
          </w:tcPr>
          <w:p w14:paraId="175CE526" w14:textId="77777777" w:rsidR="000E637D" w:rsidRDefault="000E637D" w:rsidP="00F56525">
            <w:r>
              <w:t>Confidence intervals</w:t>
            </w:r>
          </w:p>
        </w:tc>
      </w:tr>
      <w:tr w:rsidR="000E637D" w:rsidRPr="00FD119B" w14:paraId="7997EF44" w14:textId="77777777" w:rsidTr="00FD119B">
        <w:tc>
          <w:tcPr>
            <w:tcW w:w="1809" w:type="dxa"/>
          </w:tcPr>
          <w:p w14:paraId="76A7D897" w14:textId="77777777" w:rsidR="000E637D" w:rsidRDefault="000E637D" w:rsidP="00521AB7">
            <w:proofErr w:type="spellStart"/>
            <w:r>
              <w:t>C</w:t>
            </w:r>
            <w:r w:rsidRPr="00AD072A">
              <w:rPr>
                <w:vertAlign w:val="subscript"/>
              </w:rPr>
              <w:t>max</w:t>
            </w:r>
            <w:proofErr w:type="spellEnd"/>
          </w:p>
        </w:tc>
        <w:tc>
          <w:tcPr>
            <w:tcW w:w="6911" w:type="dxa"/>
          </w:tcPr>
          <w:p w14:paraId="202D014F" w14:textId="77777777" w:rsidR="000E637D" w:rsidRDefault="000E637D" w:rsidP="00521AB7">
            <w:r>
              <w:t>Maximum plasma concentration</w:t>
            </w:r>
          </w:p>
        </w:tc>
      </w:tr>
      <w:tr w:rsidR="000E637D" w:rsidRPr="00FD119B" w14:paraId="6D0E7D1E" w14:textId="77777777" w:rsidTr="00FD119B">
        <w:tc>
          <w:tcPr>
            <w:tcW w:w="1809" w:type="dxa"/>
          </w:tcPr>
          <w:p w14:paraId="54C2ED0D" w14:textId="77777777" w:rsidR="000E637D" w:rsidRDefault="000E637D" w:rsidP="00521AB7">
            <w:r w:rsidRPr="00E135C7">
              <w:t>CPD</w:t>
            </w:r>
          </w:p>
        </w:tc>
        <w:tc>
          <w:tcPr>
            <w:tcW w:w="6911" w:type="dxa"/>
          </w:tcPr>
          <w:p w14:paraId="550CF48C" w14:textId="77777777" w:rsidR="000E637D" w:rsidRDefault="000E637D" w:rsidP="000E637D">
            <w:r w:rsidRPr="00E135C7">
              <w:t>Certified Product D</w:t>
            </w:r>
            <w:r>
              <w:t>etails</w:t>
            </w:r>
          </w:p>
        </w:tc>
      </w:tr>
      <w:tr w:rsidR="000E637D" w:rsidRPr="00FD119B" w14:paraId="67E3CAEE" w14:textId="77777777" w:rsidTr="00FD119B">
        <w:tc>
          <w:tcPr>
            <w:tcW w:w="1809" w:type="dxa"/>
          </w:tcPr>
          <w:p w14:paraId="5FE2D511" w14:textId="77777777" w:rsidR="000E637D" w:rsidRDefault="000E637D" w:rsidP="00521AB7">
            <w:r>
              <w:t>CR</w:t>
            </w:r>
          </w:p>
        </w:tc>
        <w:tc>
          <w:tcPr>
            <w:tcW w:w="6911" w:type="dxa"/>
          </w:tcPr>
          <w:p w14:paraId="1C14E00B" w14:textId="77777777" w:rsidR="000E637D" w:rsidRDefault="000E637D" w:rsidP="00684EDC">
            <w:r>
              <w:t>Complete response</w:t>
            </w:r>
          </w:p>
        </w:tc>
      </w:tr>
      <w:tr w:rsidR="000E637D" w:rsidRPr="00FD119B" w14:paraId="51B66235" w14:textId="77777777" w:rsidTr="00FD119B">
        <w:tc>
          <w:tcPr>
            <w:tcW w:w="1809" w:type="dxa"/>
          </w:tcPr>
          <w:p w14:paraId="28ECEA7F" w14:textId="77777777" w:rsidR="000E637D" w:rsidRDefault="000E637D" w:rsidP="00521AB7">
            <w:r>
              <w:t>DLP</w:t>
            </w:r>
          </w:p>
        </w:tc>
        <w:tc>
          <w:tcPr>
            <w:tcW w:w="6911" w:type="dxa"/>
          </w:tcPr>
          <w:p w14:paraId="23ECE267" w14:textId="77777777" w:rsidR="000E637D" w:rsidRDefault="000E637D" w:rsidP="00521AB7">
            <w:r>
              <w:t>Data lock point</w:t>
            </w:r>
          </w:p>
        </w:tc>
      </w:tr>
      <w:tr w:rsidR="000E637D" w:rsidRPr="00FD119B" w14:paraId="2582590D" w14:textId="77777777" w:rsidTr="00FD119B">
        <w:tc>
          <w:tcPr>
            <w:tcW w:w="1809" w:type="dxa"/>
          </w:tcPr>
          <w:p w14:paraId="5CE26E75" w14:textId="77777777" w:rsidR="000E637D" w:rsidRDefault="000E637D" w:rsidP="00521AB7">
            <w:r>
              <w:rPr>
                <w:rFonts w:eastAsiaTheme="minorHAnsi" w:cs="Cambria"/>
              </w:rPr>
              <w:t>DOR</w:t>
            </w:r>
          </w:p>
        </w:tc>
        <w:tc>
          <w:tcPr>
            <w:tcW w:w="6911" w:type="dxa"/>
          </w:tcPr>
          <w:p w14:paraId="75B46B39" w14:textId="77777777" w:rsidR="000E637D" w:rsidRDefault="000E637D" w:rsidP="003F63AB">
            <w:r>
              <w:rPr>
                <w:rFonts w:eastAsiaTheme="minorHAnsi" w:cs="Cambria"/>
              </w:rPr>
              <w:t>Duration of response</w:t>
            </w:r>
          </w:p>
        </w:tc>
      </w:tr>
      <w:tr w:rsidR="000E637D" w:rsidRPr="00FD119B" w14:paraId="21FCAB50" w14:textId="77777777" w:rsidTr="00FD119B">
        <w:tc>
          <w:tcPr>
            <w:tcW w:w="1809" w:type="dxa"/>
          </w:tcPr>
          <w:p w14:paraId="149F1E91" w14:textId="77777777" w:rsidR="000E637D" w:rsidRDefault="000E637D" w:rsidP="00521AB7">
            <w:r>
              <w:t>ECOG</w:t>
            </w:r>
          </w:p>
        </w:tc>
        <w:tc>
          <w:tcPr>
            <w:tcW w:w="6911" w:type="dxa"/>
          </w:tcPr>
          <w:p w14:paraId="37646829" w14:textId="77777777" w:rsidR="000E637D" w:rsidRDefault="000E637D" w:rsidP="00684EDC">
            <w:r w:rsidRPr="00684EDC">
              <w:t>Eas</w:t>
            </w:r>
            <w:r>
              <w:t>tern Cooperative Oncology Group</w:t>
            </w:r>
          </w:p>
        </w:tc>
      </w:tr>
      <w:tr w:rsidR="000E637D" w:rsidRPr="00FD119B" w14:paraId="61395322" w14:textId="77777777" w:rsidTr="00FD119B">
        <w:tc>
          <w:tcPr>
            <w:tcW w:w="1809" w:type="dxa"/>
          </w:tcPr>
          <w:p w14:paraId="7544DB4D" w14:textId="77777777" w:rsidR="000E637D" w:rsidRDefault="000E637D" w:rsidP="00521AB7">
            <w:r w:rsidRPr="000A7522">
              <w:t>EMA</w:t>
            </w:r>
          </w:p>
        </w:tc>
        <w:tc>
          <w:tcPr>
            <w:tcW w:w="6911" w:type="dxa"/>
          </w:tcPr>
          <w:p w14:paraId="6D9DFE7F" w14:textId="559C0CCF" w:rsidR="000E637D" w:rsidRDefault="000E637D" w:rsidP="000E637D">
            <w:r>
              <w:t>European Medicines Agency</w:t>
            </w:r>
            <w:r w:rsidR="00031EED">
              <w:t xml:space="preserve"> (EU)</w:t>
            </w:r>
          </w:p>
        </w:tc>
      </w:tr>
      <w:tr w:rsidR="000E637D" w:rsidRPr="00FD119B" w14:paraId="688F3251" w14:textId="77777777" w:rsidTr="00FD119B">
        <w:tc>
          <w:tcPr>
            <w:tcW w:w="1809" w:type="dxa"/>
          </w:tcPr>
          <w:p w14:paraId="6F372913" w14:textId="77777777" w:rsidR="000E637D" w:rsidRDefault="000E637D" w:rsidP="00521AB7">
            <w:r>
              <w:t>EU</w:t>
            </w:r>
          </w:p>
        </w:tc>
        <w:tc>
          <w:tcPr>
            <w:tcW w:w="6911" w:type="dxa"/>
          </w:tcPr>
          <w:p w14:paraId="322FA30F" w14:textId="77777777" w:rsidR="000E637D" w:rsidRDefault="000E637D" w:rsidP="00521AB7">
            <w:r>
              <w:t>European Union</w:t>
            </w:r>
          </w:p>
        </w:tc>
      </w:tr>
      <w:tr w:rsidR="000E637D" w:rsidRPr="00FD119B" w14:paraId="55744BF0" w14:textId="77777777" w:rsidTr="00FD119B">
        <w:tc>
          <w:tcPr>
            <w:tcW w:w="1809" w:type="dxa"/>
          </w:tcPr>
          <w:p w14:paraId="588A2C49" w14:textId="77777777" w:rsidR="000E637D" w:rsidRDefault="000E637D" w:rsidP="00521AB7">
            <w:r>
              <w:t>EU-RMP</w:t>
            </w:r>
          </w:p>
        </w:tc>
        <w:tc>
          <w:tcPr>
            <w:tcW w:w="6911" w:type="dxa"/>
          </w:tcPr>
          <w:p w14:paraId="47D1C4B6" w14:textId="688F8712" w:rsidR="000E637D" w:rsidRDefault="000E637D" w:rsidP="00380602">
            <w:r>
              <w:t>European Union-</w:t>
            </w:r>
            <w:r w:rsidR="00031EED">
              <w:t>risk management plan</w:t>
            </w:r>
          </w:p>
        </w:tc>
      </w:tr>
      <w:tr w:rsidR="000E637D" w:rsidRPr="00FD119B" w14:paraId="3113C1B1" w14:textId="77777777" w:rsidTr="00FD119B">
        <w:tc>
          <w:tcPr>
            <w:tcW w:w="1809" w:type="dxa"/>
          </w:tcPr>
          <w:p w14:paraId="69921D83" w14:textId="77777777" w:rsidR="000E637D" w:rsidRDefault="000E637D" w:rsidP="00521AB7">
            <w:r w:rsidRPr="000A7522">
              <w:t>FDA</w:t>
            </w:r>
          </w:p>
        </w:tc>
        <w:tc>
          <w:tcPr>
            <w:tcW w:w="6911" w:type="dxa"/>
          </w:tcPr>
          <w:p w14:paraId="258316F0" w14:textId="77777777" w:rsidR="000E637D" w:rsidRDefault="000E637D" w:rsidP="000E637D">
            <w:r>
              <w:t>Food and Drug Administration</w:t>
            </w:r>
          </w:p>
        </w:tc>
      </w:tr>
      <w:tr w:rsidR="000E637D" w:rsidRPr="00FD119B" w14:paraId="7102FAA4" w14:textId="77777777" w:rsidTr="00FD119B">
        <w:tc>
          <w:tcPr>
            <w:tcW w:w="1809" w:type="dxa"/>
          </w:tcPr>
          <w:p w14:paraId="5DFA683C" w14:textId="77777777" w:rsidR="000E637D" w:rsidRPr="00E135C7" w:rsidRDefault="000E637D" w:rsidP="00521AB7">
            <w:r>
              <w:t>GVP</w:t>
            </w:r>
          </w:p>
        </w:tc>
        <w:tc>
          <w:tcPr>
            <w:tcW w:w="6911" w:type="dxa"/>
          </w:tcPr>
          <w:p w14:paraId="6A7DA3D4" w14:textId="653DA8C2" w:rsidR="000E637D" w:rsidRPr="00E135C7" w:rsidRDefault="000E637D" w:rsidP="000E637D">
            <w:r>
              <w:t>Good P</w:t>
            </w:r>
            <w:r w:rsidRPr="00E135C7">
              <w:t>h</w:t>
            </w:r>
            <w:r>
              <w:t>armacovigilance Practice</w:t>
            </w:r>
            <w:r w:rsidR="00031EED">
              <w:t xml:space="preserve"> (USA)</w:t>
            </w:r>
          </w:p>
        </w:tc>
      </w:tr>
      <w:tr w:rsidR="000E637D" w:rsidRPr="00FD119B" w14:paraId="1D30344F" w14:textId="77777777" w:rsidTr="00FD119B">
        <w:tc>
          <w:tcPr>
            <w:tcW w:w="1809" w:type="dxa"/>
          </w:tcPr>
          <w:p w14:paraId="1A5664BC" w14:textId="77777777" w:rsidR="000E637D" w:rsidRDefault="000E637D" w:rsidP="00521AB7">
            <w:r>
              <w:rPr>
                <w:rFonts w:eastAsiaTheme="minorHAnsi" w:cs="Cambria"/>
              </w:rPr>
              <w:t>ITT</w:t>
            </w:r>
          </w:p>
        </w:tc>
        <w:tc>
          <w:tcPr>
            <w:tcW w:w="6911" w:type="dxa"/>
          </w:tcPr>
          <w:p w14:paraId="7F633D36" w14:textId="77777777" w:rsidR="000E637D" w:rsidRDefault="000E637D" w:rsidP="003F63AB">
            <w:r>
              <w:rPr>
                <w:rFonts w:eastAsiaTheme="minorHAnsi" w:cs="Cambria"/>
              </w:rPr>
              <w:t>Intent to treat</w:t>
            </w:r>
          </w:p>
        </w:tc>
      </w:tr>
      <w:tr w:rsidR="000E637D" w:rsidRPr="00FD119B" w14:paraId="39103DD7" w14:textId="77777777" w:rsidTr="00FD119B">
        <w:tc>
          <w:tcPr>
            <w:tcW w:w="1809" w:type="dxa"/>
          </w:tcPr>
          <w:p w14:paraId="5D537F8F" w14:textId="77777777" w:rsidR="000E637D" w:rsidRPr="00FD119B" w:rsidRDefault="000E637D" w:rsidP="00521AB7">
            <w:pPr>
              <w:rPr>
                <w:color w:val="auto"/>
                <w:lang w:eastAsia="en-US"/>
              </w:rPr>
            </w:pPr>
            <w:r>
              <w:rPr>
                <w:color w:val="auto"/>
                <w:lang w:eastAsia="en-US"/>
              </w:rPr>
              <w:lastRenderedPageBreak/>
              <w:t>IV</w:t>
            </w:r>
          </w:p>
        </w:tc>
        <w:tc>
          <w:tcPr>
            <w:tcW w:w="6911" w:type="dxa"/>
          </w:tcPr>
          <w:p w14:paraId="67516804" w14:textId="77777777" w:rsidR="000E637D" w:rsidRPr="00FD119B" w:rsidRDefault="000E637D" w:rsidP="00521AB7">
            <w:pPr>
              <w:rPr>
                <w:color w:val="auto"/>
                <w:lang w:eastAsia="en-US"/>
              </w:rPr>
            </w:pPr>
            <w:r>
              <w:rPr>
                <w:color w:val="auto"/>
                <w:lang w:eastAsia="en-US"/>
              </w:rPr>
              <w:t>Intravenous</w:t>
            </w:r>
          </w:p>
        </w:tc>
      </w:tr>
      <w:tr w:rsidR="000E637D" w:rsidRPr="00FD119B" w14:paraId="74C4A2F5" w14:textId="77777777" w:rsidTr="00FD119B">
        <w:tc>
          <w:tcPr>
            <w:tcW w:w="1809" w:type="dxa"/>
          </w:tcPr>
          <w:p w14:paraId="3F213985" w14:textId="77777777" w:rsidR="000E637D" w:rsidRDefault="000E637D" w:rsidP="00521AB7">
            <w:proofErr w:type="spellStart"/>
            <w:r>
              <w:t>mAb</w:t>
            </w:r>
            <w:proofErr w:type="spellEnd"/>
          </w:p>
        </w:tc>
        <w:tc>
          <w:tcPr>
            <w:tcW w:w="6911" w:type="dxa"/>
          </w:tcPr>
          <w:p w14:paraId="78A88A0A" w14:textId="77777777" w:rsidR="000E637D" w:rsidRDefault="000E637D" w:rsidP="00521AB7">
            <w:r>
              <w:t>Monoclonal antibody</w:t>
            </w:r>
          </w:p>
        </w:tc>
      </w:tr>
      <w:tr w:rsidR="000E637D" w:rsidRPr="00FD119B" w14:paraId="35DDFB79" w14:textId="77777777" w:rsidTr="00FD119B">
        <w:tc>
          <w:tcPr>
            <w:tcW w:w="1809" w:type="dxa"/>
          </w:tcPr>
          <w:p w14:paraId="36AC7EA0" w14:textId="77777777" w:rsidR="000E637D" w:rsidRDefault="000E637D" w:rsidP="00521AB7">
            <w:r w:rsidRPr="003F63AB">
              <w:t>NSCLC</w:t>
            </w:r>
          </w:p>
        </w:tc>
        <w:tc>
          <w:tcPr>
            <w:tcW w:w="6911" w:type="dxa"/>
          </w:tcPr>
          <w:p w14:paraId="12829014" w14:textId="77777777" w:rsidR="000E637D" w:rsidRDefault="000E637D" w:rsidP="003F63AB">
            <w:r>
              <w:t>Non-small cell lung cancer</w:t>
            </w:r>
          </w:p>
        </w:tc>
      </w:tr>
      <w:tr w:rsidR="000E637D" w:rsidRPr="00FD119B" w14:paraId="405755A5" w14:textId="77777777" w:rsidTr="00FD119B">
        <w:tc>
          <w:tcPr>
            <w:tcW w:w="1809" w:type="dxa"/>
          </w:tcPr>
          <w:p w14:paraId="2005313E" w14:textId="77777777" w:rsidR="000E637D" w:rsidRDefault="000E637D" w:rsidP="00521AB7">
            <w:r w:rsidRPr="000D4B50">
              <w:t>ORR</w:t>
            </w:r>
          </w:p>
        </w:tc>
        <w:tc>
          <w:tcPr>
            <w:tcW w:w="6911" w:type="dxa"/>
          </w:tcPr>
          <w:p w14:paraId="023EDAAA" w14:textId="77777777" w:rsidR="000E637D" w:rsidRDefault="000E637D" w:rsidP="000D4B50">
            <w:r>
              <w:t>Overall response rate</w:t>
            </w:r>
          </w:p>
        </w:tc>
      </w:tr>
      <w:tr w:rsidR="000E637D" w:rsidRPr="00FD119B" w14:paraId="0607561E" w14:textId="77777777" w:rsidTr="00FD119B">
        <w:tc>
          <w:tcPr>
            <w:tcW w:w="1809" w:type="dxa"/>
          </w:tcPr>
          <w:p w14:paraId="717D6306" w14:textId="77777777" w:rsidR="000E637D" w:rsidRDefault="000E637D" w:rsidP="00521AB7">
            <w:r w:rsidRPr="000A7522">
              <w:t>PBS</w:t>
            </w:r>
          </w:p>
        </w:tc>
        <w:tc>
          <w:tcPr>
            <w:tcW w:w="6911" w:type="dxa"/>
          </w:tcPr>
          <w:p w14:paraId="724CC3FB" w14:textId="77777777" w:rsidR="000E637D" w:rsidRDefault="000E637D" w:rsidP="00490766">
            <w:r>
              <w:t>Pharmaceutical Benefits Scheme</w:t>
            </w:r>
          </w:p>
        </w:tc>
      </w:tr>
      <w:tr w:rsidR="000E637D" w:rsidRPr="00FD119B" w14:paraId="12B0B183" w14:textId="77777777" w:rsidTr="00FD119B">
        <w:tc>
          <w:tcPr>
            <w:tcW w:w="1809" w:type="dxa"/>
          </w:tcPr>
          <w:p w14:paraId="627F7FF5" w14:textId="77777777" w:rsidR="000E637D" w:rsidRDefault="000E637D" w:rsidP="00521AB7">
            <w:r>
              <w:t>PF-06439535</w:t>
            </w:r>
          </w:p>
        </w:tc>
        <w:tc>
          <w:tcPr>
            <w:tcW w:w="6911" w:type="dxa"/>
          </w:tcPr>
          <w:p w14:paraId="505CC9A5" w14:textId="77777777" w:rsidR="000E637D" w:rsidRDefault="000E637D" w:rsidP="00521AB7">
            <w:r>
              <w:t>Bevacizumab (drug development name)</w:t>
            </w:r>
          </w:p>
        </w:tc>
      </w:tr>
      <w:tr w:rsidR="000E637D" w:rsidRPr="00FD119B" w14:paraId="3833DA6C" w14:textId="77777777" w:rsidTr="00FD119B">
        <w:tc>
          <w:tcPr>
            <w:tcW w:w="1809" w:type="dxa"/>
          </w:tcPr>
          <w:p w14:paraId="1F9697A7" w14:textId="77777777" w:rsidR="000E637D" w:rsidRDefault="000E637D" w:rsidP="00521AB7">
            <w:r>
              <w:rPr>
                <w:rFonts w:eastAsiaTheme="minorHAnsi" w:cs="Cambria"/>
              </w:rPr>
              <w:t>PFS</w:t>
            </w:r>
          </w:p>
        </w:tc>
        <w:tc>
          <w:tcPr>
            <w:tcW w:w="6911" w:type="dxa"/>
          </w:tcPr>
          <w:p w14:paraId="6F44A9D2" w14:textId="77777777" w:rsidR="000E637D" w:rsidRDefault="000E637D" w:rsidP="00684EDC">
            <w:r>
              <w:rPr>
                <w:rFonts w:eastAsiaTheme="minorHAnsi" w:cs="Cambria"/>
              </w:rPr>
              <w:t>Progression free survival</w:t>
            </w:r>
          </w:p>
        </w:tc>
      </w:tr>
      <w:tr w:rsidR="000E637D" w:rsidRPr="00FD119B" w14:paraId="4068FA87" w14:textId="77777777" w:rsidTr="00FD119B">
        <w:tc>
          <w:tcPr>
            <w:tcW w:w="1809" w:type="dxa"/>
          </w:tcPr>
          <w:p w14:paraId="384F21E6" w14:textId="77777777" w:rsidR="000E637D" w:rsidRDefault="000E637D" w:rsidP="00521AB7">
            <w:r w:rsidRPr="00940A89">
              <w:t>PI</w:t>
            </w:r>
          </w:p>
        </w:tc>
        <w:tc>
          <w:tcPr>
            <w:tcW w:w="6911" w:type="dxa"/>
          </w:tcPr>
          <w:p w14:paraId="4ED44507" w14:textId="77777777" w:rsidR="000E637D" w:rsidRDefault="000E637D" w:rsidP="00521AB7">
            <w:r>
              <w:t>Product Information</w:t>
            </w:r>
          </w:p>
        </w:tc>
      </w:tr>
      <w:tr w:rsidR="000E637D" w:rsidRPr="00FD119B" w14:paraId="21C9C908" w14:textId="77777777" w:rsidTr="00FD119B">
        <w:tc>
          <w:tcPr>
            <w:tcW w:w="1809" w:type="dxa"/>
          </w:tcPr>
          <w:p w14:paraId="165FF6D8" w14:textId="77777777" w:rsidR="000E637D" w:rsidRDefault="000E637D" w:rsidP="00521AB7">
            <w:r>
              <w:t>PK</w:t>
            </w:r>
          </w:p>
        </w:tc>
        <w:tc>
          <w:tcPr>
            <w:tcW w:w="6911" w:type="dxa"/>
          </w:tcPr>
          <w:p w14:paraId="7A8D8239" w14:textId="098017E9" w:rsidR="000E637D" w:rsidRDefault="000E637D" w:rsidP="000D4B50">
            <w:r>
              <w:t>P</w:t>
            </w:r>
            <w:r w:rsidRPr="00946671">
              <w:t>harmaco</w:t>
            </w:r>
            <w:r>
              <w:t>kinetic</w:t>
            </w:r>
            <w:r w:rsidR="00031EED">
              <w:t>(s)</w:t>
            </w:r>
          </w:p>
        </w:tc>
      </w:tr>
      <w:tr w:rsidR="000E637D" w:rsidRPr="00FD119B" w14:paraId="6AF12B15" w14:textId="77777777" w:rsidTr="00FD119B">
        <w:tc>
          <w:tcPr>
            <w:tcW w:w="1809" w:type="dxa"/>
          </w:tcPr>
          <w:p w14:paraId="5532095A" w14:textId="77777777" w:rsidR="000E637D" w:rsidRDefault="000E637D" w:rsidP="00521AB7">
            <w:r>
              <w:t>PP</w:t>
            </w:r>
          </w:p>
        </w:tc>
        <w:tc>
          <w:tcPr>
            <w:tcW w:w="6911" w:type="dxa"/>
          </w:tcPr>
          <w:p w14:paraId="7B9DAC8A" w14:textId="77777777" w:rsidR="000E637D" w:rsidRDefault="000E637D" w:rsidP="00684EDC">
            <w:r>
              <w:t>Per protocol</w:t>
            </w:r>
          </w:p>
        </w:tc>
      </w:tr>
      <w:tr w:rsidR="000E637D" w:rsidRPr="00FD119B" w14:paraId="521CAB11" w14:textId="77777777" w:rsidTr="00FD119B">
        <w:tc>
          <w:tcPr>
            <w:tcW w:w="1809" w:type="dxa"/>
          </w:tcPr>
          <w:p w14:paraId="410EB5B2" w14:textId="77777777" w:rsidR="000E637D" w:rsidRDefault="000E637D" w:rsidP="00521AB7">
            <w:r>
              <w:t>PR</w:t>
            </w:r>
          </w:p>
        </w:tc>
        <w:tc>
          <w:tcPr>
            <w:tcW w:w="6911" w:type="dxa"/>
          </w:tcPr>
          <w:p w14:paraId="6C5D4B3F" w14:textId="77777777" w:rsidR="000E637D" w:rsidRDefault="000E637D" w:rsidP="00521AB7">
            <w:r>
              <w:t>Partial response</w:t>
            </w:r>
          </w:p>
        </w:tc>
      </w:tr>
      <w:tr w:rsidR="000E637D" w:rsidRPr="00FD119B" w14:paraId="344AA677" w14:textId="77777777" w:rsidTr="00FD119B">
        <w:tc>
          <w:tcPr>
            <w:tcW w:w="1809" w:type="dxa"/>
          </w:tcPr>
          <w:p w14:paraId="30DB9CB2" w14:textId="77777777" w:rsidR="000E637D" w:rsidRDefault="000E637D" w:rsidP="00521AB7">
            <w:r>
              <w:t>PSUR</w:t>
            </w:r>
          </w:p>
        </w:tc>
        <w:tc>
          <w:tcPr>
            <w:tcW w:w="6911" w:type="dxa"/>
          </w:tcPr>
          <w:p w14:paraId="74171341" w14:textId="77777777" w:rsidR="000E637D" w:rsidRDefault="000E637D" w:rsidP="000E637D">
            <w:r>
              <w:t>Periodic safety update reports</w:t>
            </w:r>
          </w:p>
        </w:tc>
      </w:tr>
      <w:tr w:rsidR="000E637D" w:rsidRPr="00FD119B" w14:paraId="077E0A0A" w14:textId="77777777" w:rsidTr="00FD119B">
        <w:tc>
          <w:tcPr>
            <w:tcW w:w="1809" w:type="dxa"/>
          </w:tcPr>
          <w:p w14:paraId="2EE0F4D4" w14:textId="77777777" w:rsidR="000E637D" w:rsidRDefault="000E637D" w:rsidP="00521AB7">
            <w:r>
              <w:t>RD</w:t>
            </w:r>
          </w:p>
        </w:tc>
        <w:tc>
          <w:tcPr>
            <w:tcW w:w="6911" w:type="dxa"/>
          </w:tcPr>
          <w:p w14:paraId="071D3B71" w14:textId="77777777" w:rsidR="000E637D" w:rsidRDefault="000E637D" w:rsidP="003F63AB">
            <w:r>
              <w:t>Risk difference</w:t>
            </w:r>
          </w:p>
        </w:tc>
      </w:tr>
      <w:tr w:rsidR="00630ACA" w:rsidRPr="00FD119B" w14:paraId="6C609233" w14:textId="77777777" w:rsidTr="00FD119B">
        <w:tc>
          <w:tcPr>
            <w:tcW w:w="1809" w:type="dxa"/>
          </w:tcPr>
          <w:p w14:paraId="7D68C2F6" w14:textId="4AF491DF" w:rsidR="00630ACA" w:rsidRDefault="00630ACA" w:rsidP="00521AB7">
            <w:r>
              <w:t>RMP</w:t>
            </w:r>
          </w:p>
        </w:tc>
        <w:tc>
          <w:tcPr>
            <w:tcW w:w="6911" w:type="dxa"/>
          </w:tcPr>
          <w:p w14:paraId="370C4284" w14:textId="75B22ABE" w:rsidR="00630ACA" w:rsidRDefault="00630ACA" w:rsidP="003F63AB">
            <w:r>
              <w:t xml:space="preserve">Risk </w:t>
            </w:r>
            <w:r w:rsidR="00031EED">
              <w:t>m</w:t>
            </w:r>
            <w:r>
              <w:t xml:space="preserve">anagement </w:t>
            </w:r>
            <w:r w:rsidR="00031EED">
              <w:t>p</w:t>
            </w:r>
            <w:r>
              <w:t>lan</w:t>
            </w:r>
          </w:p>
        </w:tc>
      </w:tr>
      <w:tr w:rsidR="000E637D" w:rsidRPr="00FD119B" w14:paraId="75CAB6F5" w14:textId="77777777" w:rsidTr="00FD119B">
        <w:tc>
          <w:tcPr>
            <w:tcW w:w="1809" w:type="dxa"/>
          </w:tcPr>
          <w:p w14:paraId="0953C6A7" w14:textId="64575C93" w:rsidR="000E637D" w:rsidRDefault="000E637D" w:rsidP="00521AB7">
            <w:r>
              <w:t>SAE</w:t>
            </w:r>
          </w:p>
        </w:tc>
        <w:tc>
          <w:tcPr>
            <w:tcW w:w="6911" w:type="dxa"/>
          </w:tcPr>
          <w:p w14:paraId="6DF89DCD" w14:textId="1BE54610" w:rsidR="000E637D" w:rsidRDefault="000E637D" w:rsidP="000D4D5B">
            <w:r>
              <w:t>Serious adverse event</w:t>
            </w:r>
          </w:p>
        </w:tc>
      </w:tr>
      <w:tr w:rsidR="000E637D" w:rsidRPr="00FD119B" w14:paraId="706B3EED" w14:textId="77777777" w:rsidTr="00FD119B">
        <w:tc>
          <w:tcPr>
            <w:tcW w:w="1809" w:type="dxa"/>
          </w:tcPr>
          <w:p w14:paraId="7CD9CE02" w14:textId="77777777" w:rsidR="000E637D" w:rsidRDefault="000E637D" w:rsidP="00521AB7">
            <w:r>
              <w:t>TEAE</w:t>
            </w:r>
          </w:p>
        </w:tc>
        <w:tc>
          <w:tcPr>
            <w:tcW w:w="6911" w:type="dxa"/>
          </w:tcPr>
          <w:p w14:paraId="4AC1306A" w14:textId="4841C918" w:rsidR="000E637D" w:rsidRDefault="000E637D" w:rsidP="00684EDC">
            <w:r>
              <w:t>Treatment-emergent adverse event</w:t>
            </w:r>
          </w:p>
        </w:tc>
      </w:tr>
      <w:tr w:rsidR="000E637D" w:rsidRPr="00FD119B" w14:paraId="2E39135E" w14:textId="77777777" w:rsidTr="00FD119B">
        <w:tc>
          <w:tcPr>
            <w:tcW w:w="1809" w:type="dxa"/>
          </w:tcPr>
          <w:p w14:paraId="5D5A03EE" w14:textId="77777777" w:rsidR="000E637D" w:rsidRDefault="000E637D" w:rsidP="00521AB7">
            <w:r>
              <w:t>US(A)</w:t>
            </w:r>
          </w:p>
        </w:tc>
        <w:tc>
          <w:tcPr>
            <w:tcW w:w="6911" w:type="dxa"/>
          </w:tcPr>
          <w:p w14:paraId="6155A8C9" w14:textId="77777777" w:rsidR="000E637D" w:rsidRDefault="000E637D" w:rsidP="00521AB7">
            <w:r>
              <w:t>United States (of America)</w:t>
            </w:r>
          </w:p>
        </w:tc>
      </w:tr>
      <w:tr w:rsidR="000E637D" w:rsidRPr="00FD119B" w14:paraId="79EB81FA" w14:textId="77777777" w:rsidTr="00FD119B">
        <w:tc>
          <w:tcPr>
            <w:tcW w:w="1809" w:type="dxa"/>
          </w:tcPr>
          <w:p w14:paraId="5EA8C9A6" w14:textId="77777777" w:rsidR="000E637D" w:rsidRPr="00FD119B" w:rsidRDefault="000E637D" w:rsidP="00521AB7">
            <w:pPr>
              <w:rPr>
                <w:color w:val="auto"/>
                <w:lang w:eastAsia="en-US"/>
              </w:rPr>
            </w:pPr>
            <w:r>
              <w:t>VEGF-A</w:t>
            </w:r>
          </w:p>
        </w:tc>
        <w:tc>
          <w:tcPr>
            <w:tcW w:w="6911" w:type="dxa"/>
          </w:tcPr>
          <w:p w14:paraId="0C4CD09B" w14:textId="77777777" w:rsidR="000E637D" w:rsidRPr="00FD119B" w:rsidRDefault="000E637D" w:rsidP="00521AB7">
            <w:pPr>
              <w:rPr>
                <w:color w:val="auto"/>
                <w:lang w:eastAsia="en-US"/>
              </w:rPr>
            </w:pPr>
            <w:r>
              <w:t>Vascular endothelial growth factor-A</w:t>
            </w:r>
          </w:p>
        </w:tc>
      </w:tr>
    </w:tbl>
    <w:p w14:paraId="4655BEE8" w14:textId="77777777" w:rsidR="00FD119B" w:rsidRDefault="00FD119B" w:rsidP="00FD119B"/>
    <w:p w14:paraId="628992F6" w14:textId="77777777" w:rsidR="00FD119B" w:rsidRPr="00FD119B" w:rsidRDefault="00FD119B" w:rsidP="00FD119B">
      <w:pPr>
        <w:spacing w:before="0" w:after="200" w:line="0" w:lineRule="auto"/>
        <w:rPr>
          <w:b/>
          <w:i/>
          <w:sz w:val="24"/>
          <w:szCs w:val="24"/>
        </w:rPr>
      </w:pPr>
      <w:r w:rsidRPr="00FD119B">
        <w:rPr>
          <w:b/>
          <w:i/>
          <w:sz w:val="24"/>
          <w:szCs w:val="24"/>
        </w:rPr>
        <w:br w:type="page"/>
      </w:r>
    </w:p>
    <w:p w14:paraId="52D7C88C" w14:textId="77777777" w:rsidR="008E7846" w:rsidRDefault="00F53C07" w:rsidP="008E7846">
      <w:pPr>
        <w:pStyle w:val="Heading2"/>
      </w:pPr>
      <w:bookmarkStart w:id="8" w:name="_Toc33614738"/>
      <w:r>
        <w:lastRenderedPageBreak/>
        <w:t>I.</w:t>
      </w:r>
      <w:r w:rsidR="008E7846">
        <w:t xml:space="preserve"> Introduction to product submission</w:t>
      </w:r>
      <w:bookmarkEnd w:id="0"/>
      <w:bookmarkEnd w:id="2"/>
      <w:bookmarkEnd w:id="8"/>
    </w:p>
    <w:p w14:paraId="3B359341" w14:textId="77777777" w:rsidR="008E7846" w:rsidRDefault="008E7846" w:rsidP="008E7846">
      <w:pPr>
        <w:pStyle w:val="Heading3"/>
        <w:rPr>
          <w:lang w:eastAsia="en-AU"/>
        </w:rPr>
      </w:pPr>
      <w:bookmarkStart w:id="9" w:name="_Toc247691502"/>
      <w:bookmarkStart w:id="10" w:name="_Toc314842483"/>
      <w:bookmarkStart w:id="11" w:name="_Toc33614739"/>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53E7D021" w14:textId="77777777" w:rsidTr="003735BC">
        <w:tc>
          <w:tcPr>
            <w:tcW w:w="2907" w:type="dxa"/>
          </w:tcPr>
          <w:p w14:paraId="115EE9C6"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13B1D83" w14:textId="77777777" w:rsidR="008E7846" w:rsidRPr="003D1E62" w:rsidRDefault="00D73B22" w:rsidP="001B5C90">
            <w:r>
              <w:rPr>
                <w:rFonts w:cs="Calibri"/>
                <w:color w:val="000000"/>
              </w:rPr>
              <w:t>New biosimilar medicine</w:t>
            </w:r>
          </w:p>
        </w:tc>
      </w:tr>
      <w:tr w:rsidR="008E7846" w:rsidRPr="003D1E62" w14:paraId="0F7A606F" w14:textId="77777777" w:rsidTr="003735BC">
        <w:tc>
          <w:tcPr>
            <w:tcW w:w="2907" w:type="dxa"/>
          </w:tcPr>
          <w:p w14:paraId="7F285BE6" w14:textId="77777777" w:rsidR="008E7846" w:rsidRPr="003D1E62" w:rsidRDefault="008E7846" w:rsidP="003D1E62">
            <w:r w:rsidRPr="003D1E62">
              <w:rPr>
                <w:i/>
              </w:rPr>
              <w:t>Decision</w:t>
            </w:r>
            <w:r w:rsidRPr="003D1E62">
              <w:t>:</w:t>
            </w:r>
          </w:p>
        </w:tc>
        <w:tc>
          <w:tcPr>
            <w:tcW w:w="6307" w:type="dxa"/>
          </w:tcPr>
          <w:p w14:paraId="4A5A9106" w14:textId="77777777" w:rsidR="008E7846" w:rsidRPr="003D1E62" w:rsidRDefault="00D73B22" w:rsidP="00D73B22">
            <w:r>
              <w:t>Approved</w:t>
            </w:r>
          </w:p>
        </w:tc>
      </w:tr>
      <w:tr w:rsidR="00D73B22" w:rsidRPr="003D1E62" w14:paraId="35C7A2A2" w14:textId="77777777" w:rsidTr="003735BC">
        <w:tc>
          <w:tcPr>
            <w:tcW w:w="2907" w:type="dxa"/>
          </w:tcPr>
          <w:p w14:paraId="64D24037" w14:textId="77777777" w:rsidR="00D73B22" w:rsidRPr="003D1E62" w:rsidRDefault="00D73B22" w:rsidP="00D73B22">
            <w:pPr>
              <w:rPr>
                <w:i/>
              </w:rPr>
            </w:pPr>
            <w:r w:rsidRPr="003D1E62">
              <w:rPr>
                <w:i/>
              </w:rPr>
              <w:t xml:space="preserve">Date of </w:t>
            </w:r>
            <w:r>
              <w:rPr>
                <w:i/>
              </w:rPr>
              <w:t>d</w:t>
            </w:r>
            <w:r w:rsidRPr="003D1E62">
              <w:rPr>
                <w:i/>
              </w:rPr>
              <w:t>ecision:</w:t>
            </w:r>
          </w:p>
        </w:tc>
        <w:tc>
          <w:tcPr>
            <w:tcW w:w="6307" w:type="dxa"/>
          </w:tcPr>
          <w:p w14:paraId="70F6592A" w14:textId="77777777" w:rsidR="00D73B22" w:rsidRPr="0011079F" w:rsidRDefault="00D73B22" w:rsidP="00D73B22">
            <w:r w:rsidRPr="0011079F">
              <w:t>28 October 2019</w:t>
            </w:r>
          </w:p>
        </w:tc>
      </w:tr>
      <w:tr w:rsidR="00D73B22" w:rsidRPr="003D1E62" w14:paraId="0156A3CA" w14:textId="77777777" w:rsidTr="003735BC">
        <w:tc>
          <w:tcPr>
            <w:tcW w:w="2907" w:type="dxa"/>
          </w:tcPr>
          <w:p w14:paraId="46B6FCCA" w14:textId="77777777" w:rsidR="00D73B22" w:rsidRPr="00441C3F" w:rsidRDefault="00D73B22" w:rsidP="00D73B22">
            <w:pPr>
              <w:rPr>
                <w:i/>
              </w:rPr>
            </w:pPr>
            <w:r w:rsidRPr="00441C3F">
              <w:rPr>
                <w:i/>
              </w:rPr>
              <w:t>Date of entry onto ARTG</w:t>
            </w:r>
            <w:r>
              <w:rPr>
                <w:i/>
              </w:rPr>
              <w:t>:</w:t>
            </w:r>
          </w:p>
        </w:tc>
        <w:tc>
          <w:tcPr>
            <w:tcW w:w="6307" w:type="dxa"/>
          </w:tcPr>
          <w:p w14:paraId="750CA659" w14:textId="77777777" w:rsidR="00D73B22" w:rsidRPr="0011079F" w:rsidRDefault="00D73B22" w:rsidP="00D73B22">
            <w:r w:rsidRPr="0011079F">
              <w:t>21 November 2019</w:t>
            </w:r>
          </w:p>
        </w:tc>
      </w:tr>
      <w:tr w:rsidR="00D73B22" w:rsidRPr="003D1E62" w14:paraId="639FCDAD" w14:textId="77777777" w:rsidTr="003735BC">
        <w:tc>
          <w:tcPr>
            <w:tcW w:w="2907" w:type="dxa"/>
          </w:tcPr>
          <w:p w14:paraId="73D62ECF" w14:textId="77777777" w:rsidR="00D73B22" w:rsidRPr="00441C3F" w:rsidRDefault="00D73B22" w:rsidP="00D73B22">
            <w:pPr>
              <w:rPr>
                <w:i/>
              </w:rPr>
            </w:pPr>
            <w:r>
              <w:rPr>
                <w:i/>
              </w:rPr>
              <w:t>ARTG numbers:</w:t>
            </w:r>
          </w:p>
        </w:tc>
        <w:tc>
          <w:tcPr>
            <w:tcW w:w="6307" w:type="dxa"/>
          </w:tcPr>
          <w:p w14:paraId="7ACE9E67" w14:textId="77777777" w:rsidR="00D73B22" w:rsidRPr="0011079F" w:rsidRDefault="00D73B22" w:rsidP="00D73B22">
            <w:r w:rsidRPr="0011079F">
              <w:t>309320 and 309321</w:t>
            </w:r>
          </w:p>
        </w:tc>
      </w:tr>
      <w:tr w:rsidR="00D73B22" w:rsidRPr="003D1E62" w14:paraId="3DEAD41A" w14:textId="77777777" w:rsidTr="003735BC">
        <w:tc>
          <w:tcPr>
            <w:tcW w:w="2907" w:type="dxa"/>
          </w:tcPr>
          <w:p w14:paraId="04A25439" w14:textId="77777777" w:rsidR="00D73B22" w:rsidRDefault="00D73B22" w:rsidP="00D73B22">
            <w:pPr>
              <w:rPr>
                <w:i/>
              </w:rPr>
            </w:pPr>
            <w:r>
              <w:rPr>
                <w:rFonts w:ascii="Wingdings 3" w:hAnsi="Wingdings 3"/>
                <w:sz w:val="34"/>
                <w:szCs w:val="34"/>
                <w:lang w:eastAsia="en-AU"/>
              </w:rPr>
              <w:t></w:t>
            </w:r>
            <w:r w:rsidRPr="003735BC">
              <w:rPr>
                <w:i/>
              </w:rPr>
              <w:t>Black Triangle Scheme</w:t>
            </w:r>
          </w:p>
        </w:tc>
        <w:tc>
          <w:tcPr>
            <w:tcW w:w="6307" w:type="dxa"/>
          </w:tcPr>
          <w:p w14:paraId="6285B12C" w14:textId="77777777" w:rsidR="00D73B22" w:rsidRDefault="00D73B22" w:rsidP="00D73B22">
            <w:r w:rsidRPr="0011079F">
              <w:t>No</w:t>
            </w:r>
          </w:p>
        </w:tc>
      </w:tr>
      <w:tr w:rsidR="008E7846" w:rsidRPr="00487162" w14:paraId="0612CAA1" w14:textId="77777777" w:rsidTr="00BF1190">
        <w:tc>
          <w:tcPr>
            <w:tcW w:w="2907" w:type="dxa"/>
          </w:tcPr>
          <w:p w14:paraId="1690A07E" w14:textId="77777777" w:rsidR="008E7846" w:rsidRPr="00487162" w:rsidRDefault="001B5C90" w:rsidP="00E45619">
            <w:pPr>
              <w:rPr>
                <w:i/>
              </w:rPr>
            </w:pPr>
            <w:r>
              <w:rPr>
                <w:i/>
              </w:rPr>
              <w:t>Active in</w:t>
            </w:r>
            <w:r w:rsidR="00D73B22">
              <w:rPr>
                <w:i/>
              </w:rPr>
              <w:t>gredient</w:t>
            </w:r>
            <w:r>
              <w:rPr>
                <w:i/>
              </w:rPr>
              <w:t>:</w:t>
            </w:r>
          </w:p>
        </w:tc>
        <w:tc>
          <w:tcPr>
            <w:tcW w:w="6307" w:type="dxa"/>
          </w:tcPr>
          <w:p w14:paraId="4569C762" w14:textId="77777777" w:rsidR="008E7846" w:rsidRPr="00487162" w:rsidRDefault="00D73B22" w:rsidP="00E55CB0">
            <w:r w:rsidRPr="004201DF">
              <w:rPr>
                <w:rFonts w:cs="Calibri"/>
                <w:color w:val="000000"/>
              </w:rPr>
              <w:t>Bevacizumab</w:t>
            </w:r>
          </w:p>
        </w:tc>
      </w:tr>
      <w:tr w:rsidR="008E7846" w:rsidRPr="00487162" w14:paraId="5F999F3E" w14:textId="77777777" w:rsidTr="00BF1190">
        <w:tc>
          <w:tcPr>
            <w:tcW w:w="2907" w:type="dxa"/>
          </w:tcPr>
          <w:p w14:paraId="19F435AB" w14:textId="77777777" w:rsidR="008E7846" w:rsidRPr="00487162" w:rsidRDefault="008E7846" w:rsidP="001B5C90">
            <w:pPr>
              <w:rPr>
                <w:i/>
              </w:rPr>
            </w:pPr>
            <w:r w:rsidRPr="00487162">
              <w:rPr>
                <w:i/>
              </w:rPr>
              <w:t>Product</w:t>
            </w:r>
            <w:r w:rsidR="00D73B22">
              <w:rPr>
                <w:i/>
              </w:rPr>
              <w:t xml:space="preserve"> name</w:t>
            </w:r>
            <w:r w:rsidR="001B5C90">
              <w:rPr>
                <w:i/>
              </w:rPr>
              <w:t>:</w:t>
            </w:r>
          </w:p>
        </w:tc>
        <w:tc>
          <w:tcPr>
            <w:tcW w:w="6307" w:type="dxa"/>
          </w:tcPr>
          <w:p w14:paraId="48BB96EB" w14:textId="77777777" w:rsidR="008E7846" w:rsidRPr="00487162" w:rsidRDefault="00D73B22" w:rsidP="00E45619">
            <w:proofErr w:type="spellStart"/>
            <w:r w:rsidRPr="004201DF">
              <w:rPr>
                <w:rFonts w:cs="Calibri"/>
                <w:color w:val="000000"/>
              </w:rPr>
              <w:t>Zirabev</w:t>
            </w:r>
            <w:proofErr w:type="spellEnd"/>
          </w:p>
        </w:tc>
      </w:tr>
      <w:tr w:rsidR="008E7846" w:rsidRPr="00487162" w14:paraId="35E1200D" w14:textId="77777777" w:rsidTr="00BF1190">
        <w:tc>
          <w:tcPr>
            <w:tcW w:w="2907" w:type="dxa"/>
          </w:tcPr>
          <w:p w14:paraId="237F009E"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5A4760DF" w14:textId="77777777" w:rsidR="00D73B22" w:rsidRPr="004201DF" w:rsidRDefault="00D73B22" w:rsidP="00D73B22">
            <w:pPr>
              <w:rPr>
                <w:lang w:eastAsia="en-AU"/>
              </w:rPr>
            </w:pPr>
            <w:r w:rsidRPr="004201DF">
              <w:rPr>
                <w:lang w:eastAsia="en-AU"/>
              </w:rPr>
              <w:t>Pfizer Australia Pty Ltd</w:t>
            </w:r>
          </w:p>
          <w:p w14:paraId="7F5C430B" w14:textId="6C4D7873" w:rsidR="00D73B22" w:rsidRDefault="007813B1" w:rsidP="00D73B22">
            <w:pPr>
              <w:rPr>
                <w:lang w:eastAsia="en-AU"/>
              </w:rPr>
            </w:pPr>
            <w:r>
              <w:rPr>
                <w:lang w:eastAsia="en-AU"/>
              </w:rPr>
              <w:t xml:space="preserve">Level 17, </w:t>
            </w:r>
            <w:r w:rsidR="00D73B22" w:rsidRPr="004201DF">
              <w:rPr>
                <w:lang w:eastAsia="en-AU"/>
              </w:rPr>
              <w:t>151 Clarence Street</w:t>
            </w:r>
          </w:p>
          <w:p w14:paraId="1184FCC1" w14:textId="77777777" w:rsidR="008E7846" w:rsidRPr="00487162" w:rsidRDefault="00D73B22" w:rsidP="00D73B22">
            <w:r w:rsidRPr="004201DF">
              <w:rPr>
                <w:lang w:eastAsia="en-AU"/>
              </w:rPr>
              <w:t>Sydney NSW 2000</w:t>
            </w:r>
          </w:p>
        </w:tc>
      </w:tr>
      <w:tr w:rsidR="00D73B22" w:rsidRPr="00487162" w14:paraId="532DCE53" w14:textId="77777777" w:rsidTr="00BF1190">
        <w:tc>
          <w:tcPr>
            <w:tcW w:w="2907" w:type="dxa"/>
          </w:tcPr>
          <w:p w14:paraId="18976572" w14:textId="77777777" w:rsidR="00D73B22" w:rsidRPr="00487162" w:rsidRDefault="00D73B22" w:rsidP="00D73B22">
            <w:pPr>
              <w:rPr>
                <w:i/>
              </w:rPr>
            </w:pPr>
            <w:r>
              <w:rPr>
                <w:i/>
              </w:rPr>
              <w:t>Dose form:</w:t>
            </w:r>
          </w:p>
        </w:tc>
        <w:tc>
          <w:tcPr>
            <w:tcW w:w="6307" w:type="dxa"/>
          </w:tcPr>
          <w:p w14:paraId="031B8E46" w14:textId="77777777" w:rsidR="00D73B22" w:rsidRPr="003304DA" w:rsidRDefault="00D73B22" w:rsidP="00D73B22">
            <w:r w:rsidRPr="003304DA">
              <w:t>Concentrated solution for injection</w:t>
            </w:r>
          </w:p>
        </w:tc>
      </w:tr>
      <w:tr w:rsidR="00D73B22" w:rsidRPr="00487162" w14:paraId="54A4DA80" w14:textId="77777777" w:rsidTr="00BF1190">
        <w:tc>
          <w:tcPr>
            <w:tcW w:w="2907" w:type="dxa"/>
          </w:tcPr>
          <w:p w14:paraId="1F511728" w14:textId="77777777" w:rsidR="00D73B22" w:rsidRPr="00487162" w:rsidRDefault="00D73B22" w:rsidP="00D73B22">
            <w:pPr>
              <w:rPr>
                <w:i/>
              </w:rPr>
            </w:pPr>
            <w:r>
              <w:rPr>
                <w:i/>
              </w:rPr>
              <w:t>Strengths</w:t>
            </w:r>
            <w:r w:rsidRPr="00487162">
              <w:rPr>
                <w:i/>
              </w:rPr>
              <w:t xml:space="preserve">: </w:t>
            </w:r>
          </w:p>
        </w:tc>
        <w:tc>
          <w:tcPr>
            <w:tcW w:w="6307" w:type="dxa"/>
          </w:tcPr>
          <w:p w14:paraId="04F20B36" w14:textId="77777777" w:rsidR="00D73B22" w:rsidRDefault="00D73B22" w:rsidP="00D73B22">
            <w:r w:rsidRPr="003304DA">
              <w:t>100 mg/4 mL and 400 mg/16 mL</w:t>
            </w:r>
          </w:p>
        </w:tc>
      </w:tr>
      <w:tr w:rsidR="00D73B22" w:rsidRPr="00487162" w14:paraId="3F588A7A" w14:textId="77777777" w:rsidTr="00BF1190">
        <w:tc>
          <w:tcPr>
            <w:tcW w:w="2907" w:type="dxa"/>
          </w:tcPr>
          <w:p w14:paraId="535F5011" w14:textId="77777777" w:rsidR="00D73B22" w:rsidRPr="00487162" w:rsidRDefault="00D73B22" w:rsidP="00D73B22">
            <w:pPr>
              <w:rPr>
                <w:i/>
              </w:rPr>
            </w:pPr>
            <w:r>
              <w:rPr>
                <w:i/>
              </w:rPr>
              <w:t>Container</w:t>
            </w:r>
            <w:r w:rsidRPr="00487162">
              <w:rPr>
                <w:i/>
              </w:rPr>
              <w:t>:</w:t>
            </w:r>
          </w:p>
        </w:tc>
        <w:tc>
          <w:tcPr>
            <w:tcW w:w="6307" w:type="dxa"/>
          </w:tcPr>
          <w:p w14:paraId="0A8F87C7" w14:textId="77777777" w:rsidR="00D73B22" w:rsidRPr="00F47EC2" w:rsidRDefault="00D73B22" w:rsidP="00D73B22">
            <w:r w:rsidRPr="00F47EC2">
              <w:t>Vial</w:t>
            </w:r>
          </w:p>
        </w:tc>
      </w:tr>
      <w:tr w:rsidR="00D73B22" w:rsidRPr="00487162" w14:paraId="3D56A66A" w14:textId="77777777" w:rsidTr="00BF1190">
        <w:tc>
          <w:tcPr>
            <w:tcW w:w="2907" w:type="dxa"/>
          </w:tcPr>
          <w:p w14:paraId="42C5321A" w14:textId="77777777" w:rsidR="00D73B22" w:rsidRPr="00487162" w:rsidRDefault="00D73B22" w:rsidP="00D73B22">
            <w:pPr>
              <w:rPr>
                <w:i/>
              </w:rPr>
            </w:pPr>
            <w:r>
              <w:rPr>
                <w:i/>
              </w:rPr>
              <w:t>Pack size</w:t>
            </w:r>
            <w:r w:rsidRPr="00487162">
              <w:rPr>
                <w:i/>
              </w:rPr>
              <w:t>:</w:t>
            </w:r>
          </w:p>
        </w:tc>
        <w:tc>
          <w:tcPr>
            <w:tcW w:w="6307" w:type="dxa"/>
          </w:tcPr>
          <w:p w14:paraId="221FE9BC" w14:textId="77777777" w:rsidR="00D73B22" w:rsidRDefault="00D73B22" w:rsidP="00D73B22">
            <w:r w:rsidRPr="00F47EC2">
              <w:t>One</w:t>
            </w:r>
          </w:p>
        </w:tc>
      </w:tr>
      <w:tr w:rsidR="008E7846" w:rsidRPr="00487162" w14:paraId="6570FE12" w14:textId="77777777" w:rsidTr="00BF1190">
        <w:tc>
          <w:tcPr>
            <w:tcW w:w="2907" w:type="dxa"/>
          </w:tcPr>
          <w:p w14:paraId="403B1789"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602B33E" w14:textId="77777777" w:rsidR="00D73B22" w:rsidRPr="004201DF" w:rsidRDefault="00D73B22" w:rsidP="00D73B22">
            <w:pPr>
              <w:rPr>
                <w:b/>
                <w:i/>
              </w:rPr>
            </w:pPr>
            <w:r w:rsidRPr="004201DF">
              <w:rPr>
                <w:b/>
                <w:i/>
              </w:rPr>
              <w:t>Metastatic colorectal cancer</w:t>
            </w:r>
          </w:p>
          <w:p w14:paraId="20A32E83" w14:textId="77777777" w:rsidR="00D73B22" w:rsidRPr="004201DF" w:rsidRDefault="00D73B22" w:rsidP="00D73B22">
            <w:pPr>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w:t>
            </w:r>
            <w:proofErr w:type="spellStart"/>
            <w:r w:rsidRPr="004201DF">
              <w:rPr>
                <w:rFonts w:cs="TimesNewRomanPSMT"/>
                <w:i/>
              </w:rPr>
              <w:t>fluoropyrimidine</w:t>
            </w:r>
            <w:proofErr w:type="spellEnd"/>
            <w:r w:rsidRPr="004201DF">
              <w:rPr>
                <w:rFonts w:cs="TimesNewRomanPSMT"/>
                <w:i/>
              </w:rPr>
              <w:t>-based chemotherapy is indicated for the treatment of patients with metastatic colorectal cancer.</w:t>
            </w:r>
          </w:p>
          <w:p w14:paraId="2F3C1B07" w14:textId="77777777" w:rsidR="00D73B22" w:rsidRPr="004201DF" w:rsidRDefault="00D73B22" w:rsidP="00D73B22">
            <w:pPr>
              <w:rPr>
                <w:b/>
                <w:i/>
              </w:rPr>
            </w:pPr>
            <w:r w:rsidRPr="004201DF">
              <w:rPr>
                <w:b/>
                <w:i/>
              </w:rPr>
              <w:t>Locally recurrent or metastatic breast cancer</w:t>
            </w:r>
          </w:p>
          <w:p w14:paraId="2FE5A14D" w14:textId="77777777" w:rsidR="00D73B22" w:rsidRPr="004201DF" w:rsidRDefault="00D73B22" w:rsidP="00D73B22">
            <w:pPr>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paclitaxel is indicated for the first-line treatment of metastatic breast cancer in patients in whom an </w:t>
            </w:r>
            <w:proofErr w:type="spellStart"/>
            <w:r w:rsidRPr="004201DF">
              <w:rPr>
                <w:rFonts w:cs="TimesNewRomanPSMT"/>
                <w:i/>
              </w:rPr>
              <w:t>anthracycline</w:t>
            </w:r>
            <w:proofErr w:type="spellEnd"/>
            <w:r w:rsidRPr="004201DF">
              <w:rPr>
                <w:rFonts w:cs="TimesNewRomanPSMT"/>
                <w:i/>
              </w:rPr>
              <w:t xml:space="preserve">-based therapy is contraindicated. (see Section 5.1 </w:t>
            </w:r>
            <w:proofErr w:type="spellStart"/>
            <w:r w:rsidRPr="004201DF">
              <w:rPr>
                <w:rFonts w:cs="TimesNewRomanPSMT"/>
                <w:i/>
              </w:rPr>
              <w:t>Pharmacodynamic</w:t>
            </w:r>
            <w:proofErr w:type="spellEnd"/>
            <w:r w:rsidRPr="004201DF">
              <w:rPr>
                <w:rFonts w:cs="TimesNewRomanPSMT"/>
                <w:i/>
              </w:rPr>
              <w:t xml:space="preserve"> properties – Clinical trials).</w:t>
            </w:r>
          </w:p>
          <w:p w14:paraId="1769E4EF" w14:textId="77777777" w:rsidR="00D73B22" w:rsidRPr="004201DF" w:rsidRDefault="00D73B22" w:rsidP="00D73B22">
            <w:pPr>
              <w:rPr>
                <w:b/>
                <w:i/>
              </w:rPr>
            </w:pPr>
            <w:r w:rsidRPr="004201DF">
              <w:rPr>
                <w:b/>
                <w:i/>
              </w:rPr>
              <w:t>Advanced, metastatic or recurrent non-squamous non-small cell lung cancer (NSCLC)</w:t>
            </w:r>
          </w:p>
          <w:p w14:paraId="5480761F" w14:textId="0707686B" w:rsidR="00D73B22" w:rsidRPr="004201DF" w:rsidRDefault="00D73B22" w:rsidP="00D73B22">
            <w:pPr>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carboplatin and paclitaxel, is indicated for first-line treatment of patients with </w:t>
            </w:r>
            <w:proofErr w:type="spellStart"/>
            <w:r w:rsidRPr="004201DF">
              <w:rPr>
                <w:rFonts w:cs="TimesNewRomanPSMT"/>
                <w:i/>
              </w:rPr>
              <w:t>unresectable</w:t>
            </w:r>
            <w:proofErr w:type="spellEnd"/>
            <w:r w:rsidRPr="004201DF">
              <w:rPr>
                <w:rFonts w:cs="TimesNewRomanPSMT"/>
                <w:i/>
              </w:rPr>
              <w:t xml:space="preserve"> advanced, metastatic or recurrent, non</w:t>
            </w:r>
            <w:r w:rsidR="00B8172F">
              <w:rPr>
                <w:rFonts w:cs="TimesNewRomanPSMT"/>
                <w:i/>
              </w:rPr>
              <w:t>-</w:t>
            </w:r>
            <w:r w:rsidRPr="004201DF">
              <w:rPr>
                <w:rFonts w:cs="TimesNewRomanPSMT"/>
                <w:i/>
              </w:rPr>
              <w:t>squamous, non-small cell lung cancer.</w:t>
            </w:r>
          </w:p>
          <w:p w14:paraId="5F40602C" w14:textId="77777777" w:rsidR="00D73B22" w:rsidRPr="004201DF" w:rsidRDefault="00D73B22" w:rsidP="00D73B22">
            <w:pPr>
              <w:rPr>
                <w:b/>
                <w:i/>
              </w:rPr>
            </w:pPr>
            <w:r w:rsidRPr="004201DF">
              <w:rPr>
                <w:b/>
                <w:i/>
              </w:rPr>
              <w:t>Advanced and/or metastatic renal cell cancer</w:t>
            </w:r>
          </w:p>
          <w:p w14:paraId="43B65AD1" w14:textId="77777777" w:rsidR="00D73B22" w:rsidRPr="004201DF" w:rsidRDefault="00D73B22" w:rsidP="00D73B22">
            <w:pPr>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interferon alfa-2a is indicated for treatment of patients with advanced and/or </w:t>
            </w:r>
            <w:r w:rsidRPr="004201DF">
              <w:rPr>
                <w:rFonts w:cs="TimesNewRomanPSMT"/>
                <w:i/>
              </w:rPr>
              <w:lastRenderedPageBreak/>
              <w:t>metastatic renal cell cancer.</w:t>
            </w:r>
          </w:p>
          <w:p w14:paraId="45C6CDCE" w14:textId="77777777" w:rsidR="00D73B22" w:rsidRPr="004201DF" w:rsidRDefault="00D73B22" w:rsidP="00D73B22">
            <w:pPr>
              <w:rPr>
                <w:b/>
                <w:i/>
              </w:rPr>
            </w:pPr>
            <w:r w:rsidRPr="004201DF">
              <w:rPr>
                <w:b/>
                <w:i/>
              </w:rPr>
              <w:t>Grade IV glioma</w:t>
            </w:r>
          </w:p>
          <w:p w14:paraId="76D2356B" w14:textId="77777777" w:rsidR="00D73B22" w:rsidRPr="004201DF" w:rsidRDefault="00D73B22" w:rsidP="00D73B22">
            <w:pPr>
              <w:rPr>
                <w:rFonts w:cs="TimesNewRomanPSMT"/>
                <w:i/>
              </w:rPr>
            </w:pPr>
            <w:proofErr w:type="spellStart"/>
            <w:r w:rsidRPr="004201DF">
              <w:rPr>
                <w:rFonts w:cs="TimesNewRomanPSMT"/>
                <w:i/>
              </w:rPr>
              <w:t>Zirabev</w:t>
            </w:r>
            <w:proofErr w:type="spellEnd"/>
            <w:r w:rsidRPr="004201DF">
              <w:rPr>
                <w:rFonts w:cs="TimesNewRomanPSMT"/>
                <w:i/>
              </w:rPr>
              <w:t xml:space="preserve"> (bevacizumab) as a single agent, is indicated for the treatment of patients with Grade IV glioma after relapse or disease progression after standard therapy, including chemotherapy.</w:t>
            </w:r>
          </w:p>
          <w:p w14:paraId="7958450D" w14:textId="77777777" w:rsidR="00D73B22" w:rsidRPr="004201DF" w:rsidRDefault="00D73B22" w:rsidP="00D73B22">
            <w:pPr>
              <w:rPr>
                <w:b/>
                <w:i/>
              </w:rPr>
            </w:pPr>
            <w:r w:rsidRPr="004201DF">
              <w:rPr>
                <w:b/>
                <w:i/>
              </w:rPr>
              <w:t>Epithelial ovarian, fallopian tube or primary peritoneal cancer</w:t>
            </w:r>
          </w:p>
          <w:p w14:paraId="4A5DF53D" w14:textId="77777777" w:rsidR="00D73B22" w:rsidRPr="004201DF" w:rsidRDefault="00D73B22" w:rsidP="00D73B22">
            <w:pPr>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carboplatin and paclitaxel, is indicated for first-line treatment of patients with advanced (FIGO stages IIIB, IIIC and IV) epithelial ovarian, fallopian tube, or primary peritoneal cancer.</w:t>
            </w:r>
          </w:p>
          <w:p w14:paraId="11960632" w14:textId="77777777" w:rsidR="00D73B22" w:rsidRPr="004201DF" w:rsidRDefault="00D73B22" w:rsidP="00D73B22">
            <w:pPr>
              <w:rPr>
                <w:b/>
                <w:i/>
              </w:rPr>
            </w:pPr>
            <w:r w:rsidRPr="004201DF">
              <w:rPr>
                <w:b/>
                <w:i/>
              </w:rPr>
              <w:t>Recurrent epithelial ovarian, fallopian tube or primary peritoneal cancer</w:t>
            </w:r>
          </w:p>
          <w:p w14:paraId="43786842" w14:textId="77777777" w:rsidR="00D73B22" w:rsidRPr="004201DF" w:rsidRDefault="00D73B22" w:rsidP="00D73B22">
            <w:pPr>
              <w:rPr>
                <w:rFonts w:cs="TimesNewRomanPSMT"/>
                <w:i/>
              </w:rPr>
            </w:pPr>
            <w:proofErr w:type="spellStart"/>
            <w:r w:rsidRPr="004201DF">
              <w:rPr>
                <w:rFonts w:cs="TimesNewRomanPSMT"/>
                <w:i/>
              </w:rPr>
              <w:t>Z</w:t>
            </w:r>
            <w:r>
              <w:rPr>
                <w:rFonts w:cs="TimesNewRomanPSMT"/>
                <w:i/>
              </w:rPr>
              <w:t>irabev</w:t>
            </w:r>
            <w:proofErr w:type="spellEnd"/>
            <w:r w:rsidRPr="004201DF">
              <w:rPr>
                <w:rFonts w:cs="TimesNewRomanPSMT"/>
                <w:i/>
              </w:rPr>
              <w:t xml:space="preserve"> (bevacizumab), in combination with carboplatin and paclitaxel or in combination with carboplatin and gemcitabine, is indicated for the treatment of patients with first recurrence of </w:t>
            </w:r>
            <w:r w:rsidRPr="004201DF">
              <w:rPr>
                <w:i/>
              </w:rPr>
              <w:t>platinum-sensitive</w:t>
            </w:r>
            <w:r w:rsidRPr="004201DF">
              <w:rPr>
                <w:rFonts w:cs="TimesNewRomanPSMT"/>
                <w:i/>
              </w:rPr>
              <w:t>, epithelial ovarian, fallopian tube, or primary peritoneal cancer who have not received prior bevacizumab or other VEGF-targeted angiogenesis inhibitors.</w:t>
            </w:r>
          </w:p>
          <w:p w14:paraId="7D447960" w14:textId="1B5B74D4" w:rsidR="00D73B22" w:rsidRPr="004201DF" w:rsidRDefault="00D73B22" w:rsidP="00D73B22">
            <w:pPr>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paclitaxel, </w:t>
            </w:r>
            <w:proofErr w:type="spellStart"/>
            <w:r w:rsidRPr="004201DF">
              <w:rPr>
                <w:rFonts w:cs="TimesNewRomanPSMT"/>
                <w:i/>
              </w:rPr>
              <w:t>topotecan</w:t>
            </w:r>
            <w:proofErr w:type="spellEnd"/>
            <w:r w:rsidRPr="004201DF">
              <w:rPr>
                <w:rFonts w:cs="TimesNewRomanPSMT"/>
                <w:i/>
              </w:rPr>
              <w:t xml:space="preserve"> or </w:t>
            </w:r>
            <w:proofErr w:type="spellStart"/>
            <w:r w:rsidRPr="004201DF">
              <w:rPr>
                <w:rFonts w:cs="TimesNewRomanPSMT"/>
                <w:i/>
              </w:rPr>
              <w:t>pegylated</w:t>
            </w:r>
            <w:proofErr w:type="spellEnd"/>
            <w:r w:rsidRPr="004201DF">
              <w:rPr>
                <w:rFonts w:cs="TimesNewRomanPSMT"/>
                <w:i/>
              </w:rPr>
              <w:t xml:space="preserve"> liposomal doxorubicin is indicated for the treatment of patients with recurrent, </w:t>
            </w:r>
            <w:r w:rsidRPr="004201DF">
              <w:rPr>
                <w:i/>
              </w:rPr>
              <w:t>platinum</w:t>
            </w:r>
            <w:r w:rsidR="00011724">
              <w:rPr>
                <w:i/>
              </w:rPr>
              <w:t>-</w:t>
            </w:r>
            <w:r w:rsidRPr="004201DF">
              <w:rPr>
                <w:i/>
              </w:rPr>
              <w:t>resistant</w:t>
            </w:r>
            <w:r w:rsidRPr="004201DF">
              <w:rPr>
                <w:rFonts w:cs="TimesNewRomanPSMT"/>
                <w:i/>
              </w:rPr>
              <w:t xml:space="preserve"> epithelial ovarian, fallopian tube, or primary peritoneal cancer who have received no more than two prior chemotherapy regimens, and have not received any prior anti</w:t>
            </w:r>
            <w:r w:rsidR="00211E91">
              <w:rPr>
                <w:rFonts w:cs="TimesNewRomanPSMT"/>
                <w:i/>
              </w:rPr>
              <w:t>-</w:t>
            </w:r>
            <w:r w:rsidRPr="004201DF">
              <w:rPr>
                <w:rFonts w:cs="TimesNewRomanPSMT"/>
                <w:i/>
              </w:rPr>
              <w:t>angiogenic therapy including bevacizumab.</w:t>
            </w:r>
          </w:p>
          <w:p w14:paraId="46F14A11" w14:textId="77777777" w:rsidR="00D73B22" w:rsidRPr="004201DF" w:rsidRDefault="00D73B22" w:rsidP="00D73B22">
            <w:pPr>
              <w:rPr>
                <w:b/>
                <w:i/>
              </w:rPr>
            </w:pPr>
            <w:r w:rsidRPr="004201DF">
              <w:rPr>
                <w:b/>
                <w:i/>
              </w:rPr>
              <w:t>Cervical Cancer</w:t>
            </w:r>
          </w:p>
          <w:p w14:paraId="44D61F06" w14:textId="40D96877" w:rsidR="008E7846" w:rsidRPr="008A6DD8" w:rsidRDefault="00D73B22" w:rsidP="00E45619">
            <w:pPr>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paclitaxel and cisplatin is indicated for the treatment of persistent, recurrent or metastatic carcinoma of the cervix. </w:t>
            </w:r>
            <w:proofErr w:type="spellStart"/>
            <w:r w:rsidRPr="004201DF">
              <w:rPr>
                <w:rFonts w:cs="TimesNewRomanPSMT"/>
                <w:i/>
              </w:rPr>
              <w:t>Zirabev</w:t>
            </w:r>
            <w:proofErr w:type="spellEnd"/>
            <w:r w:rsidRPr="004201DF">
              <w:rPr>
                <w:rFonts w:cs="TimesNewRomanPSMT"/>
                <w:i/>
              </w:rPr>
              <w:t xml:space="preserve"> (bevacizumab) in combination with paclitaxel and </w:t>
            </w:r>
            <w:proofErr w:type="spellStart"/>
            <w:r w:rsidRPr="004201DF">
              <w:rPr>
                <w:rFonts w:cs="TimesNewRomanPSMT"/>
                <w:i/>
              </w:rPr>
              <w:t>topotecan</w:t>
            </w:r>
            <w:proofErr w:type="spellEnd"/>
            <w:r w:rsidRPr="004201DF">
              <w:rPr>
                <w:rFonts w:cs="TimesNewRomanPSMT"/>
                <w:i/>
              </w:rPr>
              <w:t xml:space="preserve"> is an acceptable alternative where cisplatin is not tolerated or not indicated.</w:t>
            </w:r>
          </w:p>
        </w:tc>
      </w:tr>
      <w:tr w:rsidR="00D73B22" w:rsidRPr="00487162" w14:paraId="7B308550" w14:textId="77777777" w:rsidTr="00BF1190">
        <w:tc>
          <w:tcPr>
            <w:tcW w:w="2907" w:type="dxa"/>
          </w:tcPr>
          <w:p w14:paraId="3ACFF106" w14:textId="77777777" w:rsidR="00D73B22" w:rsidRPr="00487162" w:rsidRDefault="00D73B22" w:rsidP="00D73B22">
            <w:pPr>
              <w:rPr>
                <w:i/>
              </w:rPr>
            </w:pPr>
            <w:r>
              <w:rPr>
                <w:i/>
              </w:rPr>
              <w:lastRenderedPageBreak/>
              <w:t>Route</w:t>
            </w:r>
            <w:r w:rsidRPr="00487162">
              <w:rPr>
                <w:i/>
              </w:rPr>
              <w:t xml:space="preserve"> of administration:</w:t>
            </w:r>
          </w:p>
        </w:tc>
        <w:tc>
          <w:tcPr>
            <w:tcW w:w="6307" w:type="dxa"/>
          </w:tcPr>
          <w:p w14:paraId="565E5004" w14:textId="77777777" w:rsidR="00D73B22" w:rsidRPr="00006BAA" w:rsidRDefault="00D73B22" w:rsidP="00D73B22">
            <w:pPr>
              <w:rPr>
                <w:highlight w:val="lightGray"/>
              </w:rPr>
            </w:pPr>
            <w:r w:rsidRPr="004201DF">
              <w:t>Intravenous (IV) infusion</w:t>
            </w:r>
          </w:p>
        </w:tc>
      </w:tr>
      <w:tr w:rsidR="00D73B22" w:rsidRPr="00487162" w14:paraId="086596D9" w14:textId="77777777" w:rsidTr="00BF1190">
        <w:tc>
          <w:tcPr>
            <w:tcW w:w="2907" w:type="dxa"/>
          </w:tcPr>
          <w:p w14:paraId="0F77426E" w14:textId="77777777" w:rsidR="00D73B22" w:rsidRPr="00487162" w:rsidRDefault="00D73B22" w:rsidP="00D73B22">
            <w:pPr>
              <w:rPr>
                <w:i/>
              </w:rPr>
            </w:pPr>
            <w:r w:rsidRPr="00487162">
              <w:rPr>
                <w:i/>
              </w:rPr>
              <w:t>Dosage:</w:t>
            </w:r>
          </w:p>
        </w:tc>
        <w:tc>
          <w:tcPr>
            <w:tcW w:w="6307" w:type="dxa"/>
          </w:tcPr>
          <w:p w14:paraId="6D3C2CE2" w14:textId="77777777" w:rsidR="00D73B22" w:rsidRPr="004201DF" w:rsidRDefault="00D73B22" w:rsidP="00D73B22">
            <w:pPr>
              <w:rPr>
                <w:b/>
                <w:szCs w:val="24"/>
                <w:lang w:val="en-US"/>
              </w:rPr>
            </w:pPr>
            <w:r w:rsidRPr="004201DF">
              <w:rPr>
                <w:b/>
                <w:szCs w:val="24"/>
                <w:lang w:val="en-US"/>
              </w:rPr>
              <w:t xml:space="preserve">Metastatic </w:t>
            </w:r>
            <w:r w:rsidRPr="005126DF">
              <w:rPr>
                <w:b/>
                <w:szCs w:val="24"/>
                <w:lang w:val="en-US"/>
              </w:rPr>
              <w:t>colorectal cancer</w:t>
            </w:r>
          </w:p>
          <w:p w14:paraId="3892B969" w14:textId="77777777" w:rsidR="00D73B22" w:rsidRPr="00FD161E" w:rsidRDefault="00D73B22" w:rsidP="00D73B22">
            <w:pPr>
              <w:rPr>
                <w:szCs w:val="24"/>
                <w:lang w:val="en-US"/>
              </w:rPr>
            </w:pPr>
            <w:r w:rsidRPr="00FD161E">
              <w:rPr>
                <w:szCs w:val="24"/>
                <w:lang w:val="en-US"/>
              </w:rPr>
              <w:t xml:space="preserve">The recommended dose of </w:t>
            </w:r>
            <w:proofErr w:type="spellStart"/>
            <w:r>
              <w:rPr>
                <w:szCs w:val="24"/>
                <w:lang w:val="en-US"/>
              </w:rPr>
              <w:t>Zirabev</w:t>
            </w:r>
            <w:proofErr w:type="spellEnd"/>
            <w:r w:rsidRPr="00FD161E">
              <w:rPr>
                <w:szCs w:val="24"/>
                <w:lang w:val="en-US"/>
              </w:rPr>
              <w:t>, administered as an IV infusion, is as follows;</w:t>
            </w:r>
          </w:p>
          <w:p w14:paraId="6FDFCCC7" w14:textId="77777777" w:rsidR="00D73B22" w:rsidRPr="004201DF" w:rsidRDefault="00D73B22" w:rsidP="00D73B22">
            <w:pPr>
              <w:rPr>
                <w:i/>
                <w:lang w:val="en-US"/>
              </w:rPr>
            </w:pPr>
            <w:r w:rsidRPr="004201DF">
              <w:rPr>
                <w:i/>
                <w:lang w:val="en-US"/>
              </w:rPr>
              <w:t>First-line treatment</w:t>
            </w:r>
          </w:p>
          <w:p w14:paraId="77BFF41D" w14:textId="77777777" w:rsidR="00D73B22" w:rsidRPr="0076067D" w:rsidRDefault="00D73B22" w:rsidP="00D73B22">
            <w:pPr>
              <w:rPr>
                <w:lang w:val="en-US"/>
              </w:rPr>
            </w:pPr>
            <w:r w:rsidRPr="00FD161E">
              <w:rPr>
                <w:lang w:val="en-US"/>
              </w:rPr>
              <w:t>5 mg/kg of body weight given once every 2 weeks or</w:t>
            </w:r>
            <w:r w:rsidRPr="001933FF">
              <w:rPr>
                <w:lang w:val="en-US"/>
              </w:rPr>
              <w:t xml:space="preserve"> </w:t>
            </w:r>
            <w:r w:rsidRPr="0076067D">
              <w:rPr>
                <w:lang w:val="en-US"/>
              </w:rPr>
              <w:t>7.5 mg/kg of body weight given once every 3 weeks</w:t>
            </w:r>
            <w:r>
              <w:rPr>
                <w:lang w:val="en-US"/>
              </w:rPr>
              <w:t>.</w:t>
            </w:r>
          </w:p>
          <w:p w14:paraId="1A04E643" w14:textId="77777777" w:rsidR="00D73B22" w:rsidRPr="004201DF" w:rsidRDefault="00D73B22" w:rsidP="00D73B22">
            <w:pPr>
              <w:rPr>
                <w:i/>
                <w:lang w:val="en-US"/>
              </w:rPr>
            </w:pPr>
            <w:r w:rsidRPr="004201DF">
              <w:rPr>
                <w:i/>
                <w:lang w:val="en-US"/>
              </w:rPr>
              <w:t>Second-line treatment</w:t>
            </w:r>
          </w:p>
          <w:p w14:paraId="49025734" w14:textId="77777777" w:rsidR="00D73B22" w:rsidRPr="004201DF" w:rsidRDefault="00D73B22" w:rsidP="00D73B22">
            <w:pPr>
              <w:rPr>
                <w:lang w:val="en-US"/>
              </w:rPr>
            </w:pPr>
            <w:r w:rsidRPr="004201DF">
              <w:rPr>
                <w:lang w:val="en-US"/>
              </w:rPr>
              <w:t>10 mg/kg of body weight given every 2 weeks or 15 mg/kg of body weight given once every 3 weeks.</w:t>
            </w:r>
          </w:p>
          <w:p w14:paraId="79D84EF0" w14:textId="77777777" w:rsidR="00D73B22" w:rsidRPr="00FD161E" w:rsidRDefault="00D73B22" w:rsidP="00D73B22">
            <w:pPr>
              <w:rPr>
                <w:szCs w:val="24"/>
                <w:lang w:val="en-US"/>
              </w:rPr>
            </w:pPr>
            <w:r w:rsidRPr="00FD161E">
              <w:rPr>
                <w:szCs w:val="24"/>
                <w:lang w:val="en-US"/>
              </w:rPr>
              <w:t xml:space="preserve">It is recommended that </w:t>
            </w:r>
            <w:proofErr w:type="spellStart"/>
            <w:r>
              <w:rPr>
                <w:szCs w:val="24"/>
                <w:lang w:val="en-US"/>
              </w:rPr>
              <w:t>Zirabev</w:t>
            </w:r>
            <w:proofErr w:type="spellEnd"/>
            <w:r>
              <w:rPr>
                <w:szCs w:val="24"/>
                <w:lang w:val="en-US"/>
              </w:rPr>
              <w:t xml:space="preserve"> </w:t>
            </w:r>
            <w:r w:rsidRPr="00FD161E">
              <w:rPr>
                <w:szCs w:val="24"/>
                <w:lang w:val="en-US"/>
              </w:rPr>
              <w:t>treatment be continued unti</w:t>
            </w:r>
            <w:r>
              <w:rPr>
                <w:szCs w:val="24"/>
                <w:lang w:val="en-US"/>
              </w:rPr>
              <w:t xml:space="preserve">l progression of the underlying </w:t>
            </w:r>
            <w:r w:rsidRPr="00FD161E">
              <w:rPr>
                <w:szCs w:val="24"/>
                <w:lang w:val="en-US"/>
              </w:rPr>
              <w:t>disease.</w:t>
            </w:r>
          </w:p>
          <w:p w14:paraId="7A594059" w14:textId="77777777" w:rsidR="00D73B22" w:rsidRPr="004201DF" w:rsidRDefault="00D73B22" w:rsidP="00D73B22">
            <w:pPr>
              <w:rPr>
                <w:b/>
                <w:szCs w:val="24"/>
                <w:lang w:val="en-US"/>
              </w:rPr>
            </w:pPr>
            <w:r w:rsidRPr="004201DF">
              <w:rPr>
                <w:b/>
                <w:szCs w:val="24"/>
                <w:lang w:val="en-US"/>
              </w:rPr>
              <w:lastRenderedPageBreak/>
              <w:t xml:space="preserve">Locally recurrent or metastatic </w:t>
            </w:r>
            <w:r w:rsidRPr="005126DF">
              <w:rPr>
                <w:b/>
                <w:szCs w:val="24"/>
                <w:lang w:val="en-US"/>
              </w:rPr>
              <w:t>breast cancer</w:t>
            </w:r>
          </w:p>
          <w:p w14:paraId="4D069D94" w14:textId="77777777" w:rsidR="00D73B22" w:rsidRPr="00FD161E" w:rsidRDefault="00D73B22" w:rsidP="00D73B22">
            <w:pPr>
              <w:rPr>
                <w:szCs w:val="24"/>
                <w:lang w:val="en-US"/>
              </w:rPr>
            </w:pPr>
            <w:r w:rsidRPr="00FD161E">
              <w:rPr>
                <w:szCs w:val="24"/>
                <w:lang w:val="en-US"/>
              </w:rPr>
              <w:t xml:space="preserve">The recommended dose of </w:t>
            </w:r>
            <w:proofErr w:type="spellStart"/>
            <w:r>
              <w:rPr>
                <w:szCs w:val="24"/>
                <w:lang w:val="en-US"/>
              </w:rPr>
              <w:t>Zirabev</w:t>
            </w:r>
            <w:proofErr w:type="spellEnd"/>
            <w:r w:rsidRPr="00FD161E">
              <w:rPr>
                <w:szCs w:val="24"/>
                <w:lang w:val="en-US"/>
              </w:rPr>
              <w:t xml:space="preserve"> is 10 mg/kg of body </w:t>
            </w:r>
            <w:r>
              <w:rPr>
                <w:szCs w:val="24"/>
                <w:lang w:val="en-US"/>
              </w:rPr>
              <w:t xml:space="preserve">weight given once every 2 weeks </w:t>
            </w:r>
            <w:r w:rsidRPr="00FD161E">
              <w:rPr>
                <w:szCs w:val="24"/>
                <w:lang w:val="en-US"/>
              </w:rPr>
              <w:t>or 15 mg/kg of body weight given once every 3 weeks as an IV infusion.</w:t>
            </w:r>
          </w:p>
          <w:p w14:paraId="11D80B5D" w14:textId="77777777" w:rsidR="00D73B22" w:rsidRPr="00FD161E" w:rsidRDefault="00D73B22" w:rsidP="00D73B22">
            <w:pPr>
              <w:rPr>
                <w:szCs w:val="24"/>
                <w:lang w:val="en-US"/>
              </w:rPr>
            </w:pPr>
            <w:r w:rsidRPr="00FD161E">
              <w:rPr>
                <w:szCs w:val="24"/>
                <w:lang w:val="en-US"/>
              </w:rPr>
              <w:t xml:space="preserve">It is recommended that </w:t>
            </w:r>
            <w:proofErr w:type="spellStart"/>
            <w:r>
              <w:rPr>
                <w:szCs w:val="24"/>
                <w:lang w:val="en-US"/>
              </w:rPr>
              <w:t>Zirabev</w:t>
            </w:r>
            <w:proofErr w:type="spellEnd"/>
            <w:r w:rsidRPr="00FD161E">
              <w:rPr>
                <w:szCs w:val="24"/>
                <w:lang w:val="en-US"/>
              </w:rPr>
              <w:t xml:space="preserve"> treatment be continued unti</w:t>
            </w:r>
            <w:r>
              <w:rPr>
                <w:szCs w:val="24"/>
                <w:lang w:val="en-US"/>
              </w:rPr>
              <w:t xml:space="preserve">l progression of the underlying </w:t>
            </w:r>
            <w:r w:rsidRPr="00FD161E">
              <w:rPr>
                <w:szCs w:val="24"/>
                <w:lang w:val="en-US"/>
              </w:rPr>
              <w:t>disease.</w:t>
            </w:r>
          </w:p>
          <w:p w14:paraId="2838A509" w14:textId="77777777" w:rsidR="00D73B22" w:rsidRPr="004201DF" w:rsidRDefault="00D73B22" w:rsidP="00D73B22">
            <w:pPr>
              <w:rPr>
                <w:b/>
                <w:szCs w:val="24"/>
                <w:lang w:val="en-US"/>
              </w:rPr>
            </w:pPr>
            <w:r w:rsidRPr="004201DF">
              <w:rPr>
                <w:b/>
                <w:szCs w:val="24"/>
                <w:lang w:val="en-US"/>
              </w:rPr>
              <w:t xml:space="preserve">Advanced, </w:t>
            </w:r>
            <w:r w:rsidRPr="005126DF">
              <w:rPr>
                <w:b/>
                <w:szCs w:val="24"/>
                <w:lang w:val="en-US"/>
              </w:rPr>
              <w:t>metastatic or recurrent non-squamous non-small cell lung cancer</w:t>
            </w:r>
          </w:p>
          <w:p w14:paraId="2020113B" w14:textId="77777777" w:rsidR="00D73B22" w:rsidRPr="00FD161E" w:rsidRDefault="00D73B22" w:rsidP="00D73B22">
            <w:pPr>
              <w:rPr>
                <w:szCs w:val="24"/>
                <w:lang w:val="en-US"/>
              </w:rPr>
            </w:pPr>
            <w:r w:rsidRPr="00FD161E">
              <w:rPr>
                <w:szCs w:val="24"/>
                <w:lang w:val="en-US"/>
              </w:rPr>
              <w:t xml:space="preserve">The recommended dose of </w:t>
            </w:r>
            <w:proofErr w:type="spellStart"/>
            <w:r>
              <w:rPr>
                <w:szCs w:val="24"/>
                <w:lang w:val="en-US"/>
              </w:rPr>
              <w:t>Zirabev</w:t>
            </w:r>
            <w:proofErr w:type="spellEnd"/>
            <w:r w:rsidRPr="00FD161E">
              <w:rPr>
                <w:szCs w:val="24"/>
                <w:lang w:val="en-US"/>
              </w:rPr>
              <w:t xml:space="preserve"> in combination with c</w:t>
            </w:r>
            <w:r>
              <w:rPr>
                <w:szCs w:val="24"/>
                <w:lang w:val="en-US"/>
              </w:rPr>
              <w:t xml:space="preserve">arboplatin and paclitaxel is 15 </w:t>
            </w:r>
            <w:r w:rsidRPr="00FD161E">
              <w:rPr>
                <w:szCs w:val="24"/>
                <w:lang w:val="en-US"/>
              </w:rPr>
              <w:t>mg/kg of body weight given once every 3 weeks as an IV infusion.</w:t>
            </w:r>
          </w:p>
          <w:p w14:paraId="0941B870" w14:textId="77777777" w:rsidR="00D73B22" w:rsidRPr="00FD161E" w:rsidRDefault="00D73B22" w:rsidP="00D73B22">
            <w:pPr>
              <w:rPr>
                <w:szCs w:val="24"/>
                <w:lang w:val="en-US"/>
              </w:rPr>
            </w:pPr>
            <w:proofErr w:type="spellStart"/>
            <w:r>
              <w:rPr>
                <w:szCs w:val="24"/>
                <w:lang w:val="en-US"/>
              </w:rPr>
              <w:t>Zirabev</w:t>
            </w:r>
            <w:proofErr w:type="spellEnd"/>
            <w:r>
              <w:rPr>
                <w:szCs w:val="24"/>
                <w:lang w:val="en-US"/>
              </w:rPr>
              <w:t xml:space="preserve"> </w:t>
            </w:r>
            <w:r w:rsidRPr="00FD161E">
              <w:rPr>
                <w:szCs w:val="24"/>
                <w:lang w:val="en-US"/>
              </w:rPr>
              <w:t>is administered in addition to carboplatin and paclitaxel for up to 6 cycles o</w:t>
            </w:r>
            <w:r>
              <w:rPr>
                <w:szCs w:val="24"/>
                <w:lang w:val="en-US"/>
              </w:rPr>
              <w:t xml:space="preserve">f </w:t>
            </w:r>
            <w:r w:rsidRPr="00FD161E">
              <w:rPr>
                <w:szCs w:val="24"/>
                <w:lang w:val="en-US"/>
              </w:rPr>
              <w:t xml:space="preserve">treatment followed by </w:t>
            </w:r>
            <w:proofErr w:type="spellStart"/>
            <w:r>
              <w:rPr>
                <w:szCs w:val="24"/>
                <w:lang w:val="en-US"/>
              </w:rPr>
              <w:t>Zirabev</w:t>
            </w:r>
            <w:proofErr w:type="spellEnd"/>
            <w:r w:rsidRPr="00FD161E">
              <w:rPr>
                <w:szCs w:val="24"/>
                <w:lang w:val="en-US"/>
              </w:rPr>
              <w:t xml:space="preserve"> as a single agent until disease progression.</w:t>
            </w:r>
          </w:p>
          <w:p w14:paraId="394D5669" w14:textId="77777777" w:rsidR="00D73B22" w:rsidRPr="004201DF" w:rsidRDefault="00D73B22" w:rsidP="00D73B22">
            <w:pPr>
              <w:rPr>
                <w:b/>
                <w:szCs w:val="24"/>
                <w:lang w:val="en-US"/>
              </w:rPr>
            </w:pPr>
            <w:r w:rsidRPr="004201DF">
              <w:rPr>
                <w:b/>
                <w:szCs w:val="24"/>
                <w:lang w:val="en-US"/>
              </w:rPr>
              <w:t xml:space="preserve">Advanced and/or metastatic </w:t>
            </w:r>
            <w:r w:rsidRPr="005126DF">
              <w:rPr>
                <w:b/>
                <w:szCs w:val="24"/>
                <w:lang w:val="en-US"/>
              </w:rPr>
              <w:t>renal cell cancer</w:t>
            </w:r>
          </w:p>
          <w:p w14:paraId="66F8DD0C" w14:textId="77777777" w:rsidR="00D73B22" w:rsidRPr="00FD161E" w:rsidRDefault="00D73B22" w:rsidP="00D73B22">
            <w:pPr>
              <w:rPr>
                <w:szCs w:val="24"/>
                <w:lang w:val="en-US"/>
              </w:rPr>
            </w:pPr>
            <w:r w:rsidRPr="00FD161E">
              <w:rPr>
                <w:szCs w:val="24"/>
                <w:lang w:val="en-US"/>
              </w:rPr>
              <w:t xml:space="preserve">The recommended dose of is </w:t>
            </w:r>
            <w:proofErr w:type="spellStart"/>
            <w:r>
              <w:rPr>
                <w:szCs w:val="24"/>
                <w:lang w:val="en-US"/>
              </w:rPr>
              <w:t>Zirabev</w:t>
            </w:r>
            <w:proofErr w:type="spellEnd"/>
            <w:r w:rsidRPr="00FD161E">
              <w:rPr>
                <w:szCs w:val="24"/>
                <w:lang w:val="en-US"/>
              </w:rPr>
              <w:t xml:space="preserve"> 10 mg/kg given once e</w:t>
            </w:r>
            <w:r>
              <w:rPr>
                <w:szCs w:val="24"/>
                <w:lang w:val="en-US"/>
              </w:rPr>
              <w:t xml:space="preserve">very 2 weeks as an IV infusion. </w:t>
            </w:r>
            <w:r w:rsidRPr="00FD161E">
              <w:rPr>
                <w:szCs w:val="24"/>
                <w:lang w:val="en-US"/>
              </w:rPr>
              <w:t xml:space="preserve">It is recommended that </w:t>
            </w:r>
            <w:proofErr w:type="spellStart"/>
            <w:r>
              <w:rPr>
                <w:szCs w:val="24"/>
                <w:lang w:val="en-US"/>
              </w:rPr>
              <w:t>Zirabev</w:t>
            </w:r>
            <w:proofErr w:type="spellEnd"/>
            <w:r w:rsidRPr="00FD161E">
              <w:rPr>
                <w:szCs w:val="24"/>
                <w:lang w:val="en-US"/>
              </w:rPr>
              <w:t xml:space="preserve"> treatment be continued unti</w:t>
            </w:r>
            <w:r>
              <w:rPr>
                <w:szCs w:val="24"/>
                <w:lang w:val="en-US"/>
              </w:rPr>
              <w:t xml:space="preserve">l progression of the underlying </w:t>
            </w:r>
            <w:r w:rsidRPr="00FD161E">
              <w:rPr>
                <w:szCs w:val="24"/>
                <w:lang w:val="en-US"/>
              </w:rPr>
              <w:t>disease.</w:t>
            </w:r>
          </w:p>
          <w:p w14:paraId="74450C91" w14:textId="77777777" w:rsidR="00D73B22" w:rsidRPr="00FD161E" w:rsidRDefault="00D73B22" w:rsidP="00D73B22">
            <w:pPr>
              <w:rPr>
                <w:szCs w:val="24"/>
                <w:lang w:val="en-US"/>
              </w:rPr>
            </w:pPr>
            <w:proofErr w:type="spellStart"/>
            <w:r>
              <w:rPr>
                <w:szCs w:val="24"/>
                <w:lang w:val="en-US"/>
              </w:rPr>
              <w:t>Zirabev</w:t>
            </w:r>
            <w:proofErr w:type="spellEnd"/>
            <w:r w:rsidRPr="00FD161E">
              <w:rPr>
                <w:szCs w:val="24"/>
                <w:lang w:val="en-US"/>
              </w:rPr>
              <w:t xml:space="preserve"> should be given in combinat</w:t>
            </w:r>
            <w:r>
              <w:rPr>
                <w:szCs w:val="24"/>
                <w:lang w:val="en-US"/>
              </w:rPr>
              <w:t>ion with IFN alfa-2a (</w:t>
            </w:r>
            <w:proofErr w:type="spellStart"/>
            <w:r>
              <w:rPr>
                <w:szCs w:val="24"/>
                <w:lang w:val="en-US"/>
              </w:rPr>
              <w:t>Roferon</w:t>
            </w:r>
            <w:proofErr w:type="spellEnd"/>
            <w:r>
              <w:rPr>
                <w:szCs w:val="24"/>
                <w:lang w:val="en-US"/>
              </w:rPr>
              <w:t xml:space="preserve">-A). The recommended </w:t>
            </w:r>
            <w:r w:rsidRPr="00FD161E">
              <w:rPr>
                <w:szCs w:val="24"/>
                <w:lang w:val="en-US"/>
              </w:rPr>
              <w:t xml:space="preserve">IFN alfa-2a dose is 9 MIU three times a week, however, if 9 MIU is not </w:t>
            </w:r>
            <w:r>
              <w:rPr>
                <w:szCs w:val="24"/>
                <w:lang w:val="en-US"/>
              </w:rPr>
              <w:t xml:space="preserve">tolerated, the dosage </w:t>
            </w:r>
            <w:r w:rsidRPr="00FD161E">
              <w:rPr>
                <w:szCs w:val="24"/>
                <w:lang w:val="en-US"/>
              </w:rPr>
              <w:t>may be reduced to 6 MIU and further to 3 MIU thre</w:t>
            </w:r>
            <w:r>
              <w:rPr>
                <w:szCs w:val="24"/>
                <w:lang w:val="en-US"/>
              </w:rPr>
              <w:t xml:space="preserve">e times a week (see Section 5.1 </w:t>
            </w:r>
            <w:proofErr w:type="spellStart"/>
            <w:r>
              <w:rPr>
                <w:szCs w:val="24"/>
                <w:lang w:val="en-US"/>
              </w:rPr>
              <w:t>Pharmacodynamic</w:t>
            </w:r>
            <w:proofErr w:type="spellEnd"/>
            <w:r>
              <w:rPr>
                <w:szCs w:val="24"/>
                <w:lang w:val="en-US"/>
              </w:rPr>
              <w:t xml:space="preserve"> properties; </w:t>
            </w:r>
            <w:r w:rsidRPr="00FD161E">
              <w:rPr>
                <w:szCs w:val="24"/>
                <w:lang w:val="en-US"/>
              </w:rPr>
              <w:t>Clinical trials). Please also</w:t>
            </w:r>
            <w:r>
              <w:rPr>
                <w:szCs w:val="24"/>
                <w:lang w:val="en-US"/>
              </w:rPr>
              <w:t xml:space="preserve"> refer to the </w:t>
            </w:r>
            <w:proofErr w:type="spellStart"/>
            <w:r>
              <w:rPr>
                <w:szCs w:val="24"/>
                <w:lang w:val="en-US"/>
              </w:rPr>
              <w:t>Roferon</w:t>
            </w:r>
            <w:proofErr w:type="spellEnd"/>
            <w:r>
              <w:rPr>
                <w:szCs w:val="24"/>
                <w:lang w:val="en-US"/>
              </w:rPr>
              <w:t xml:space="preserve">-A Product </w:t>
            </w:r>
            <w:r w:rsidRPr="00FD161E">
              <w:rPr>
                <w:szCs w:val="24"/>
                <w:lang w:val="en-US"/>
              </w:rPr>
              <w:t>Information.</w:t>
            </w:r>
          </w:p>
          <w:p w14:paraId="18001682" w14:textId="77777777" w:rsidR="00D73B22" w:rsidRPr="004201DF" w:rsidRDefault="00D73B22" w:rsidP="00D73B22">
            <w:pPr>
              <w:rPr>
                <w:b/>
                <w:szCs w:val="24"/>
                <w:lang w:val="en-US"/>
              </w:rPr>
            </w:pPr>
            <w:r w:rsidRPr="004201DF">
              <w:rPr>
                <w:b/>
                <w:szCs w:val="24"/>
                <w:lang w:val="en-US"/>
              </w:rPr>
              <w:t xml:space="preserve">Grade IV </w:t>
            </w:r>
            <w:r w:rsidRPr="005126DF">
              <w:rPr>
                <w:b/>
                <w:szCs w:val="24"/>
                <w:lang w:val="en-US"/>
              </w:rPr>
              <w:t>glioma</w:t>
            </w:r>
          </w:p>
          <w:p w14:paraId="566C2835" w14:textId="77777777" w:rsidR="00D73B22" w:rsidRPr="00FD161E" w:rsidRDefault="00D73B22" w:rsidP="00D73B22">
            <w:pPr>
              <w:rPr>
                <w:szCs w:val="24"/>
                <w:lang w:val="en-US"/>
              </w:rPr>
            </w:pPr>
            <w:r w:rsidRPr="00FD161E">
              <w:rPr>
                <w:szCs w:val="24"/>
                <w:lang w:val="en-US"/>
              </w:rPr>
              <w:t xml:space="preserve">The recommended dose of </w:t>
            </w:r>
            <w:proofErr w:type="spellStart"/>
            <w:r>
              <w:rPr>
                <w:szCs w:val="24"/>
                <w:lang w:val="en-US"/>
              </w:rPr>
              <w:t>Zirabev</w:t>
            </w:r>
            <w:proofErr w:type="spellEnd"/>
            <w:r w:rsidRPr="00FD161E">
              <w:rPr>
                <w:szCs w:val="24"/>
                <w:lang w:val="en-US"/>
              </w:rPr>
              <w:t xml:space="preserve"> is 10 mg/kg of body weight </w:t>
            </w:r>
            <w:r>
              <w:rPr>
                <w:szCs w:val="24"/>
                <w:lang w:val="en-US"/>
              </w:rPr>
              <w:t xml:space="preserve">given once every 2 weeks or </w:t>
            </w:r>
            <w:r w:rsidRPr="00FD161E">
              <w:rPr>
                <w:szCs w:val="24"/>
                <w:lang w:val="en-US"/>
              </w:rPr>
              <w:t>15 mg/kg of body weight given once every 3 weeks as an IV infusion.</w:t>
            </w:r>
          </w:p>
          <w:p w14:paraId="0E4F4ED3" w14:textId="77777777" w:rsidR="00D73B22" w:rsidRPr="00FD161E" w:rsidRDefault="00D73B22" w:rsidP="00D73B22">
            <w:pPr>
              <w:rPr>
                <w:szCs w:val="24"/>
                <w:lang w:val="en-US"/>
              </w:rPr>
            </w:pPr>
            <w:r w:rsidRPr="00FD161E">
              <w:rPr>
                <w:szCs w:val="24"/>
                <w:lang w:val="en-US"/>
              </w:rPr>
              <w:t xml:space="preserve">It is recommended that </w:t>
            </w:r>
            <w:proofErr w:type="spellStart"/>
            <w:r>
              <w:rPr>
                <w:szCs w:val="24"/>
                <w:lang w:val="en-US"/>
              </w:rPr>
              <w:t>Zirabev</w:t>
            </w:r>
            <w:proofErr w:type="spellEnd"/>
            <w:r w:rsidRPr="00FD161E">
              <w:rPr>
                <w:szCs w:val="24"/>
                <w:lang w:val="en-US"/>
              </w:rPr>
              <w:t xml:space="preserve"> treatment be continued unti</w:t>
            </w:r>
            <w:r>
              <w:rPr>
                <w:szCs w:val="24"/>
                <w:lang w:val="en-US"/>
              </w:rPr>
              <w:t xml:space="preserve">l progression of the underlying </w:t>
            </w:r>
            <w:r w:rsidRPr="00FD161E">
              <w:rPr>
                <w:szCs w:val="24"/>
                <w:lang w:val="en-US"/>
              </w:rPr>
              <w:t>disease.</w:t>
            </w:r>
          </w:p>
          <w:p w14:paraId="138FB8C4" w14:textId="77777777" w:rsidR="00D73B22" w:rsidRPr="004201DF" w:rsidRDefault="00D73B22" w:rsidP="00D73B22">
            <w:pPr>
              <w:rPr>
                <w:b/>
                <w:szCs w:val="24"/>
                <w:lang w:val="en-US"/>
              </w:rPr>
            </w:pPr>
            <w:r w:rsidRPr="004201DF">
              <w:rPr>
                <w:b/>
                <w:szCs w:val="24"/>
                <w:lang w:val="en-US"/>
              </w:rPr>
              <w:t xml:space="preserve">Epithelial </w:t>
            </w:r>
            <w:r w:rsidRPr="005126DF">
              <w:rPr>
                <w:b/>
                <w:szCs w:val="24"/>
                <w:lang w:val="en-US"/>
              </w:rPr>
              <w:t>ovarian, fallopian tube or primary peritoneal cancer</w:t>
            </w:r>
          </w:p>
          <w:p w14:paraId="0BAFEEF4" w14:textId="77777777" w:rsidR="00D73B22" w:rsidRPr="00FD161E" w:rsidRDefault="00D73B22" w:rsidP="00D73B22">
            <w:pPr>
              <w:rPr>
                <w:szCs w:val="24"/>
                <w:lang w:val="en-US"/>
              </w:rPr>
            </w:pPr>
            <w:r w:rsidRPr="00FD161E">
              <w:rPr>
                <w:szCs w:val="24"/>
                <w:lang w:val="en-US"/>
              </w:rPr>
              <w:t xml:space="preserve">The recommended dose of </w:t>
            </w:r>
            <w:proofErr w:type="spellStart"/>
            <w:r>
              <w:rPr>
                <w:szCs w:val="24"/>
                <w:lang w:val="en-US"/>
              </w:rPr>
              <w:t>Zirabev</w:t>
            </w:r>
            <w:proofErr w:type="spellEnd"/>
            <w:r w:rsidRPr="00FD161E">
              <w:rPr>
                <w:szCs w:val="24"/>
                <w:lang w:val="en-US"/>
              </w:rPr>
              <w:t xml:space="preserve"> administered as an IV infusion is as follows:</w:t>
            </w:r>
          </w:p>
          <w:p w14:paraId="776EBF82" w14:textId="77777777" w:rsidR="00D73B22" w:rsidRPr="004201DF" w:rsidRDefault="00D73B22" w:rsidP="00D73B22">
            <w:pPr>
              <w:rPr>
                <w:i/>
                <w:szCs w:val="24"/>
                <w:lang w:val="en-US"/>
              </w:rPr>
            </w:pPr>
            <w:r w:rsidRPr="004201DF">
              <w:rPr>
                <w:i/>
                <w:szCs w:val="24"/>
                <w:lang w:val="en-US"/>
              </w:rPr>
              <w:t>First line treatment</w:t>
            </w:r>
          </w:p>
          <w:p w14:paraId="6EB5D942" w14:textId="77777777" w:rsidR="00D73B22" w:rsidRPr="00FD161E" w:rsidRDefault="00D73B22" w:rsidP="00D73B22">
            <w:pPr>
              <w:rPr>
                <w:szCs w:val="24"/>
                <w:lang w:val="en-US"/>
              </w:rPr>
            </w:pPr>
            <w:r w:rsidRPr="00FD161E">
              <w:rPr>
                <w:szCs w:val="24"/>
                <w:lang w:val="en-US"/>
              </w:rPr>
              <w:t>15 mg/kg of body weight given once every 3 weeks in combination with carboplat</w:t>
            </w:r>
            <w:r>
              <w:rPr>
                <w:szCs w:val="24"/>
                <w:lang w:val="en-US"/>
              </w:rPr>
              <w:t xml:space="preserve">in and </w:t>
            </w:r>
            <w:r w:rsidRPr="00FD161E">
              <w:rPr>
                <w:szCs w:val="24"/>
                <w:lang w:val="en-US"/>
              </w:rPr>
              <w:t>paclitaxel for up to 6 cycles of treatment, followed by con</w:t>
            </w:r>
            <w:r>
              <w:rPr>
                <w:szCs w:val="24"/>
                <w:lang w:val="en-US"/>
              </w:rPr>
              <w:t xml:space="preserve">tinued use of </w:t>
            </w:r>
            <w:proofErr w:type="spellStart"/>
            <w:r>
              <w:rPr>
                <w:szCs w:val="24"/>
                <w:lang w:val="en-US"/>
              </w:rPr>
              <w:t>Zirabev</w:t>
            </w:r>
            <w:proofErr w:type="spellEnd"/>
            <w:r>
              <w:rPr>
                <w:szCs w:val="24"/>
                <w:lang w:val="en-US"/>
              </w:rPr>
              <w:t xml:space="preserve"> as single </w:t>
            </w:r>
            <w:r w:rsidRPr="00FD161E">
              <w:rPr>
                <w:szCs w:val="24"/>
                <w:lang w:val="en-US"/>
              </w:rPr>
              <w:t>agent.</w:t>
            </w:r>
          </w:p>
          <w:p w14:paraId="515C9CB5" w14:textId="77777777" w:rsidR="00D73B22" w:rsidRPr="00FD161E" w:rsidRDefault="00D73B22" w:rsidP="00D73B22">
            <w:pPr>
              <w:rPr>
                <w:szCs w:val="24"/>
                <w:lang w:val="en-US"/>
              </w:rPr>
            </w:pPr>
            <w:r w:rsidRPr="00FD161E">
              <w:rPr>
                <w:szCs w:val="24"/>
                <w:lang w:val="en-US"/>
              </w:rPr>
              <w:t xml:space="preserve">It is recommended that </w:t>
            </w:r>
            <w:proofErr w:type="spellStart"/>
            <w:r>
              <w:rPr>
                <w:szCs w:val="24"/>
                <w:lang w:val="en-US"/>
              </w:rPr>
              <w:t>Zirabev</w:t>
            </w:r>
            <w:proofErr w:type="spellEnd"/>
            <w:r w:rsidRPr="00FD161E">
              <w:rPr>
                <w:szCs w:val="24"/>
                <w:lang w:val="en-US"/>
              </w:rPr>
              <w:t xml:space="preserve"> treatment be continued for </w:t>
            </w:r>
            <w:r>
              <w:rPr>
                <w:szCs w:val="24"/>
                <w:lang w:val="en-US"/>
              </w:rPr>
              <w:t xml:space="preserve">a total of 15 months therapy or </w:t>
            </w:r>
            <w:r w:rsidRPr="00FD161E">
              <w:rPr>
                <w:szCs w:val="24"/>
                <w:lang w:val="en-US"/>
              </w:rPr>
              <w:t>until disease progression, whichever occurs earlier.</w:t>
            </w:r>
          </w:p>
          <w:p w14:paraId="68F49C99" w14:textId="77777777" w:rsidR="00D73B22" w:rsidRPr="004201DF" w:rsidRDefault="00D73B22" w:rsidP="00D73B22">
            <w:pPr>
              <w:rPr>
                <w:i/>
                <w:szCs w:val="24"/>
                <w:lang w:val="en-US"/>
              </w:rPr>
            </w:pPr>
            <w:r w:rsidRPr="004201DF">
              <w:rPr>
                <w:i/>
                <w:szCs w:val="24"/>
                <w:lang w:val="en-US"/>
              </w:rPr>
              <w:t>Treatment of recurrent disease</w:t>
            </w:r>
          </w:p>
          <w:p w14:paraId="0B28996A" w14:textId="77777777" w:rsidR="00D73B22" w:rsidRPr="004201DF" w:rsidRDefault="00D73B22" w:rsidP="00D73B22">
            <w:pPr>
              <w:pStyle w:val="ListParagraph"/>
              <w:numPr>
                <w:ilvl w:val="0"/>
                <w:numId w:val="29"/>
              </w:numPr>
              <w:rPr>
                <w:szCs w:val="24"/>
                <w:lang w:val="en-US"/>
              </w:rPr>
            </w:pPr>
            <w:r w:rsidRPr="004201DF">
              <w:rPr>
                <w:szCs w:val="24"/>
                <w:lang w:val="en-US"/>
              </w:rPr>
              <w:t xml:space="preserve">Platinum sensitive: 15 mg/kg of body weight given once every 3 weeks in combination with carboplatin and paclitaxel for 6 cycles (up to 8 cycles) followed by </w:t>
            </w:r>
            <w:r w:rsidRPr="004201DF">
              <w:rPr>
                <w:szCs w:val="24"/>
                <w:lang w:val="en-US"/>
              </w:rPr>
              <w:lastRenderedPageBreak/>
              <w:t xml:space="preserve">continued use of </w:t>
            </w:r>
            <w:proofErr w:type="spellStart"/>
            <w:r w:rsidRPr="004201DF">
              <w:rPr>
                <w:szCs w:val="24"/>
                <w:lang w:val="en-US"/>
              </w:rPr>
              <w:t>Zirabev</w:t>
            </w:r>
            <w:proofErr w:type="spellEnd"/>
            <w:r w:rsidRPr="004201DF">
              <w:rPr>
                <w:szCs w:val="24"/>
                <w:lang w:val="en-US"/>
              </w:rPr>
              <w:t xml:space="preserve"> as a single agent until disease progression. Alternatively, 15 mg/kg of body weight given once every 3 weeks in combination with carboplatin and gemcitabine for 6 cycles (up to 10 cycles), followed by continued use of </w:t>
            </w:r>
            <w:proofErr w:type="spellStart"/>
            <w:r w:rsidRPr="004201DF">
              <w:rPr>
                <w:szCs w:val="24"/>
                <w:lang w:val="en-US"/>
              </w:rPr>
              <w:t>Zirabev</w:t>
            </w:r>
            <w:proofErr w:type="spellEnd"/>
            <w:r w:rsidRPr="004201DF">
              <w:rPr>
                <w:szCs w:val="24"/>
                <w:lang w:val="en-US"/>
              </w:rPr>
              <w:t xml:space="preserve"> as single agent until disease progression.</w:t>
            </w:r>
          </w:p>
          <w:p w14:paraId="2F922657" w14:textId="77777777" w:rsidR="00D73B22" w:rsidRPr="004201DF" w:rsidRDefault="00D73B22" w:rsidP="00D73B22">
            <w:pPr>
              <w:pStyle w:val="ListParagraph"/>
              <w:numPr>
                <w:ilvl w:val="0"/>
                <w:numId w:val="29"/>
              </w:numPr>
              <w:rPr>
                <w:szCs w:val="24"/>
                <w:lang w:val="en-US"/>
              </w:rPr>
            </w:pPr>
            <w:r w:rsidRPr="004201DF">
              <w:rPr>
                <w:szCs w:val="24"/>
                <w:lang w:val="en-US"/>
              </w:rPr>
              <w:t xml:space="preserve">Platinum resistant: 10 mg/kg body weight given once every 2 weeks when administered in combination with one of the following agents – paclitaxel or </w:t>
            </w:r>
            <w:proofErr w:type="spellStart"/>
            <w:r w:rsidRPr="004201DF">
              <w:rPr>
                <w:szCs w:val="24"/>
                <w:lang w:val="en-US"/>
              </w:rPr>
              <w:t>topotecan</w:t>
            </w:r>
            <w:proofErr w:type="spellEnd"/>
            <w:r w:rsidRPr="004201DF">
              <w:rPr>
                <w:szCs w:val="24"/>
                <w:lang w:val="en-US"/>
              </w:rPr>
              <w:t xml:space="preserve"> (given weekly) or </w:t>
            </w:r>
            <w:proofErr w:type="spellStart"/>
            <w:r w:rsidRPr="004201DF">
              <w:rPr>
                <w:szCs w:val="24"/>
                <w:lang w:val="en-US"/>
              </w:rPr>
              <w:t>pegylated</w:t>
            </w:r>
            <w:proofErr w:type="spellEnd"/>
            <w:r w:rsidRPr="004201DF">
              <w:rPr>
                <w:szCs w:val="24"/>
                <w:lang w:val="en-US"/>
              </w:rPr>
              <w:t xml:space="preserve"> liposomal doxorubicin. Alternatively, 15 mg/kg every 3 weeks when administered in combination with </w:t>
            </w:r>
            <w:proofErr w:type="spellStart"/>
            <w:r w:rsidRPr="004201DF">
              <w:rPr>
                <w:szCs w:val="24"/>
                <w:lang w:val="en-US"/>
              </w:rPr>
              <w:t>topotecan</w:t>
            </w:r>
            <w:proofErr w:type="spellEnd"/>
            <w:r w:rsidRPr="004201DF">
              <w:rPr>
                <w:szCs w:val="24"/>
                <w:lang w:val="en-US"/>
              </w:rPr>
              <w:t xml:space="preserve"> given on days 1-5, every 3 weeks. (See Section 5.1 </w:t>
            </w:r>
            <w:proofErr w:type="spellStart"/>
            <w:r w:rsidRPr="004201DF">
              <w:rPr>
                <w:szCs w:val="24"/>
                <w:lang w:val="en-US"/>
              </w:rPr>
              <w:t>Pharmacodynamic</w:t>
            </w:r>
            <w:proofErr w:type="spellEnd"/>
            <w:r w:rsidRPr="004201DF">
              <w:rPr>
                <w:szCs w:val="24"/>
                <w:lang w:val="en-US"/>
              </w:rPr>
              <w:t xml:space="preserve"> properties – Clinical trials Study MO22224 for descriptions of the chemotherapy regimens).</w:t>
            </w:r>
          </w:p>
          <w:p w14:paraId="14D59F3D" w14:textId="77777777" w:rsidR="00D73B22" w:rsidRPr="00FD161E" w:rsidRDefault="00D73B22" w:rsidP="00D73B22">
            <w:pPr>
              <w:rPr>
                <w:szCs w:val="24"/>
                <w:lang w:val="en-US"/>
              </w:rPr>
            </w:pPr>
            <w:r w:rsidRPr="00FD161E">
              <w:rPr>
                <w:szCs w:val="24"/>
                <w:lang w:val="en-US"/>
              </w:rPr>
              <w:t>It is recommended that treatment be continued until disease progression.</w:t>
            </w:r>
          </w:p>
          <w:p w14:paraId="624AB383" w14:textId="77777777" w:rsidR="00D73B22" w:rsidRPr="004201DF" w:rsidRDefault="00D73B22" w:rsidP="00D73B22">
            <w:pPr>
              <w:rPr>
                <w:b/>
                <w:szCs w:val="24"/>
                <w:lang w:val="en-US"/>
              </w:rPr>
            </w:pPr>
            <w:r w:rsidRPr="004201DF">
              <w:rPr>
                <w:b/>
                <w:szCs w:val="24"/>
                <w:lang w:val="en-US"/>
              </w:rPr>
              <w:t xml:space="preserve">Cervical </w:t>
            </w:r>
            <w:r w:rsidRPr="005126DF">
              <w:rPr>
                <w:b/>
                <w:szCs w:val="24"/>
                <w:lang w:val="en-US"/>
              </w:rPr>
              <w:t>cancer</w:t>
            </w:r>
          </w:p>
          <w:p w14:paraId="66D585F3" w14:textId="77777777" w:rsidR="00D73B22" w:rsidRPr="00FD161E" w:rsidRDefault="00D73B22" w:rsidP="00D73B22">
            <w:pPr>
              <w:rPr>
                <w:szCs w:val="24"/>
                <w:lang w:val="en-US"/>
              </w:rPr>
            </w:pPr>
            <w:proofErr w:type="spellStart"/>
            <w:r>
              <w:rPr>
                <w:szCs w:val="24"/>
                <w:lang w:val="en-US"/>
              </w:rPr>
              <w:t>Zirabev</w:t>
            </w:r>
            <w:proofErr w:type="spellEnd"/>
            <w:r w:rsidRPr="00FD161E">
              <w:rPr>
                <w:szCs w:val="24"/>
                <w:lang w:val="en-US"/>
              </w:rPr>
              <w:t xml:space="preserve"> is administered in combination with paclitaxel and ci</w:t>
            </w:r>
            <w:r>
              <w:rPr>
                <w:szCs w:val="24"/>
                <w:lang w:val="en-US"/>
              </w:rPr>
              <w:t xml:space="preserve">splatin or, if cisplatin is not </w:t>
            </w:r>
            <w:r w:rsidRPr="00FD161E">
              <w:rPr>
                <w:szCs w:val="24"/>
                <w:lang w:val="en-US"/>
              </w:rPr>
              <w:t xml:space="preserve">tolerated or not indicated, paclitaxel and </w:t>
            </w:r>
            <w:proofErr w:type="spellStart"/>
            <w:r w:rsidRPr="00FD161E">
              <w:rPr>
                <w:szCs w:val="24"/>
                <w:lang w:val="en-US"/>
              </w:rPr>
              <w:t>topotecan</w:t>
            </w:r>
            <w:proofErr w:type="spellEnd"/>
            <w:r w:rsidRPr="00FD161E">
              <w:rPr>
                <w:szCs w:val="24"/>
                <w:lang w:val="en-US"/>
              </w:rPr>
              <w:t xml:space="preserve"> (</w:t>
            </w:r>
            <w:r>
              <w:rPr>
                <w:szCs w:val="24"/>
                <w:lang w:val="en-US"/>
              </w:rPr>
              <w:t xml:space="preserve">see Section 5.1 </w:t>
            </w:r>
            <w:proofErr w:type="spellStart"/>
            <w:r>
              <w:rPr>
                <w:szCs w:val="24"/>
                <w:lang w:val="en-US"/>
              </w:rPr>
              <w:t>Pharmacodynamic</w:t>
            </w:r>
            <w:proofErr w:type="spellEnd"/>
            <w:r>
              <w:rPr>
                <w:szCs w:val="24"/>
                <w:lang w:val="en-US"/>
              </w:rPr>
              <w:t xml:space="preserve"> </w:t>
            </w:r>
            <w:r w:rsidRPr="00FD161E">
              <w:rPr>
                <w:szCs w:val="24"/>
                <w:lang w:val="en-US"/>
              </w:rPr>
              <w:t>properties – Clinical trials, study GOG-0240 for further details on the chemotherapy regimens).</w:t>
            </w:r>
          </w:p>
          <w:p w14:paraId="2880A18E" w14:textId="77777777" w:rsidR="00D73B22" w:rsidRPr="00FD161E" w:rsidRDefault="00D73B22" w:rsidP="00D73B22">
            <w:pPr>
              <w:rPr>
                <w:szCs w:val="24"/>
                <w:lang w:val="en-US"/>
              </w:rPr>
            </w:pPr>
            <w:r w:rsidRPr="00FD161E">
              <w:rPr>
                <w:szCs w:val="24"/>
                <w:lang w:val="en-US"/>
              </w:rPr>
              <w:t xml:space="preserve">The recommended dose of </w:t>
            </w:r>
            <w:proofErr w:type="spellStart"/>
            <w:r>
              <w:rPr>
                <w:szCs w:val="24"/>
                <w:lang w:val="en-US"/>
              </w:rPr>
              <w:t>Zirabev</w:t>
            </w:r>
            <w:proofErr w:type="spellEnd"/>
            <w:r w:rsidRPr="00FD161E">
              <w:rPr>
                <w:szCs w:val="24"/>
                <w:lang w:val="en-US"/>
              </w:rPr>
              <w:t xml:space="preserve"> is 15 mg/kg of body wei</w:t>
            </w:r>
            <w:r>
              <w:rPr>
                <w:szCs w:val="24"/>
                <w:lang w:val="en-US"/>
              </w:rPr>
              <w:t xml:space="preserve">ght given once every 3 weeks as </w:t>
            </w:r>
            <w:r w:rsidRPr="00FD161E">
              <w:rPr>
                <w:szCs w:val="24"/>
                <w:lang w:val="en-US"/>
              </w:rPr>
              <w:t>an IV infusion.</w:t>
            </w:r>
          </w:p>
          <w:p w14:paraId="69C29C1A" w14:textId="77777777" w:rsidR="00D73B22" w:rsidRDefault="00D73B22" w:rsidP="00D73B22">
            <w:pPr>
              <w:rPr>
                <w:szCs w:val="24"/>
                <w:lang w:val="en-US"/>
              </w:rPr>
            </w:pPr>
            <w:r w:rsidRPr="00FD161E">
              <w:rPr>
                <w:szCs w:val="24"/>
                <w:lang w:val="en-US"/>
              </w:rPr>
              <w:t xml:space="preserve">It is recommended that </w:t>
            </w:r>
            <w:proofErr w:type="spellStart"/>
            <w:r>
              <w:rPr>
                <w:szCs w:val="24"/>
                <w:lang w:val="en-US"/>
              </w:rPr>
              <w:t>Zirabev</w:t>
            </w:r>
            <w:proofErr w:type="spellEnd"/>
            <w:r w:rsidRPr="00FD161E">
              <w:rPr>
                <w:szCs w:val="24"/>
                <w:lang w:val="en-US"/>
              </w:rPr>
              <w:t xml:space="preserve"> treatment be continued unti</w:t>
            </w:r>
            <w:r>
              <w:rPr>
                <w:szCs w:val="24"/>
                <w:lang w:val="en-US"/>
              </w:rPr>
              <w:t xml:space="preserve">l progression of the underlying </w:t>
            </w:r>
            <w:r w:rsidRPr="00FD161E">
              <w:rPr>
                <w:szCs w:val="24"/>
                <w:lang w:val="en-US"/>
              </w:rPr>
              <w:t>disease.</w:t>
            </w:r>
          </w:p>
          <w:p w14:paraId="69EB7147" w14:textId="77777777" w:rsidR="00D73B22" w:rsidRPr="004201DF" w:rsidRDefault="00D73B22" w:rsidP="00D73B22">
            <w:pPr>
              <w:rPr>
                <w:szCs w:val="24"/>
                <w:lang w:val="en-US"/>
              </w:rPr>
            </w:pPr>
            <w:r>
              <w:rPr>
                <w:szCs w:val="24"/>
                <w:lang w:val="en-US"/>
              </w:rPr>
              <w:t>For further information refer to the Product Information.</w:t>
            </w:r>
          </w:p>
        </w:tc>
      </w:tr>
    </w:tbl>
    <w:p w14:paraId="3C58C572" w14:textId="77777777" w:rsidR="008E7846" w:rsidRDefault="008E7846" w:rsidP="008E7846">
      <w:pPr>
        <w:pStyle w:val="Heading3"/>
      </w:pPr>
      <w:bookmarkStart w:id="12" w:name="_Toc247691503"/>
      <w:bookmarkStart w:id="13" w:name="_Toc314842484"/>
      <w:bookmarkStart w:id="14" w:name="_Toc33614740"/>
      <w:r>
        <w:lastRenderedPageBreak/>
        <w:t>Product background</w:t>
      </w:r>
      <w:bookmarkEnd w:id="12"/>
      <w:bookmarkEnd w:id="13"/>
      <w:bookmarkEnd w:id="14"/>
    </w:p>
    <w:p w14:paraId="349B6C40" w14:textId="77777777" w:rsidR="008E7846" w:rsidRDefault="00940A89" w:rsidP="009D6BC2">
      <w:r w:rsidRPr="00940A89">
        <w:t xml:space="preserve">This AusPAR describes the application by </w:t>
      </w:r>
      <w:r w:rsidR="009D6BC2" w:rsidRPr="004201DF">
        <w:rPr>
          <w:lang w:eastAsia="en-AU"/>
        </w:rPr>
        <w:t>Pfizer Australia Pty Ltd</w:t>
      </w:r>
      <w:r w:rsidR="009D6BC2" w:rsidRPr="00940A89">
        <w:t xml:space="preserve"> </w:t>
      </w:r>
      <w:r w:rsidR="009D6BC2">
        <w:t>(</w:t>
      </w:r>
      <w:r w:rsidRPr="00940A89">
        <w:t>the sponsor</w:t>
      </w:r>
      <w:r w:rsidR="009D6BC2">
        <w:t>)</w:t>
      </w:r>
      <w:r w:rsidRPr="00940A89">
        <w:t xml:space="preserve"> to register </w:t>
      </w:r>
      <w:proofErr w:type="spellStart"/>
      <w:r w:rsidR="009D6BC2">
        <w:t>Zirabev</w:t>
      </w:r>
      <w:proofErr w:type="spellEnd"/>
      <w:r w:rsidR="009D6BC2">
        <w:t xml:space="preserve"> (bevacizumab) 100 mg/4 mL and 400 mg/16 mL concentrated solution for injection for infusion</w:t>
      </w:r>
      <w:r w:rsidR="009D6BC2" w:rsidRPr="00940A89">
        <w:t xml:space="preserve"> </w:t>
      </w:r>
      <w:r w:rsidRPr="00940A89">
        <w:t xml:space="preserve">for the following </w:t>
      </w:r>
      <w:r w:rsidR="009D6BC2">
        <w:t>proposed indications:</w:t>
      </w:r>
    </w:p>
    <w:p w14:paraId="499491D1" w14:textId="77777777" w:rsidR="009D6BC2" w:rsidRPr="008A6DD8" w:rsidRDefault="009D6BC2" w:rsidP="00951CFE">
      <w:pPr>
        <w:ind w:left="720"/>
        <w:rPr>
          <w:b/>
          <w:i/>
        </w:rPr>
      </w:pPr>
      <w:r w:rsidRPr="008A6DD8">
        <w:rPr>
          <w:b/>
          <w:i/>
        </w:rPr>
        <w:t>Metastatic Colorectal Cancer</w:t>
      </w:r>
    </w:p>
    <w:p w14:paraId="63AACC1A" w14:textId="77777777" w:rsidR="009D6BC2" w:rsidRPr="00951CFE" w:rsidRDefault="00521AB7" w:rsidP="00951CFE">
      <w:pPr>
        <w:ind w:left="720"/>
        <w:rPr>
          <w:i/>
        </w:rPr>
      </w:pPr>
      <w:proofErr w:type="spellStart"/>
      <w:r>
        <w:rPr>
          <w:i/>
        </w:rPr>
        <w:t>Zirabev</w:t>
      </w:r>
      <w:proofErr w:type="spellEnd"/>
      <w:r w:rsidR="009D6BC2" w:rsidRPr="00951CFE">
        <w:rPr>
          <w:i/>
        </w:rPr>
        <w:t xml:space="preserve"> (bevacizumab) in combination with </w:t>
      </w:r>
      <w:proofErr w:type="spellStart"/>
      <w:r w:rsidR="009D6BC2" w:rsidRPr="00951CFE">
        <w:rPr>
          <w:i/>
        </w:rPr>
        <w:t>fluoropyrimidine</w:t>
      </w:r>
      <w:proofErr w:type="spellEnd"/>
      <w:r w:rsidR="009D6BC2" w:rsidRPr="00951CFE">
        <w:rPr>
          <w:i/>
        </w:rPr>
        <w:t>-based chemotherapy is indicated for the treatment of patients with metastatic colorectal cancer.</w:t>
      </w:r>
    </w:p>
    <w:p w14:paraId="2A64DEBC" w14:textId="77777777" w:rsidR="009D6BC2" w:rsidRPr="008A6DD8" w:rsidRDefault="009D6BC2" w:rsidP="00951CFE">
      <w:pPr>
        <w:ind w:left="720"/>
        <w:rPr>
          <w:b/>
          <w:i/>
        </w:rPr>
      </w:pPr>
      <w:r w:rsidRPr="008A6DD8">
        <w:rPr>
          <w:b/>
          <w:i/>
        </w:rPr>
        <w:t>Locally recurrent or metastatic Breast Cancer</w:t>
      </w:r>
    </w:p>
    <w:p w14:paraId="7AC18B3D" w14:textId="77777777" w:rsidR="009D6BC2" w:rsidRPr="00951CFE" w:rsidRDefault="00521AB7" w:rsidP="00951CFE">
      <w:pPr>
        <w:ind w:left="720"/>
        <w:rPr>
          <w:i/>
        </w:rPr>
      </w:pPr>
      <w:proofErr w:type="spellStart"/>
      <w:r>
        <w:rPr>
          <w:i/>
        </w:rPr>
        <w:t>Zirabev</w:t>
      </w:r>
      <w:proofErr w:type="spellEnd"/>
      <w:r w:rsidR="009D6BC2" w:rsidRPr="00951CFE">
        <w:rPr>
          <w:i/>
        </w:rPr>
        <w:t xml:space="preserve"> (bevacizumab) in combination with paclitaxel is indicated for the first-line treatment of metastatic breast cancer in patients in whom an </w:t>
      </w:r>
      <w:proofErr w:type="spellStart"/>
      <w:r w:rsidR="009D6BC2" w:rsidRPr="00951CFE">
        <w:rPr>
          <w:i/>
        </w:rPr>
        <w:t>anthracycline</w:t>
      </w:r>
      <w:proofErr w:type="spellEnd"/>
      <w:r w:rsidR="009D6BC2" w:rsidRPr="00951CFE">
        <w:rPr>
          <w:i/>
        </w:rPr>
        <w:t>-based therapy is contraindicated.</w:t>
      </w:r>
    </w:p>
    <w:p w14:paraId="6E07A529" w14:textId="77777777" w:rsidR="009D6BC2" w:rsidRPr="008A6DD8" w:rsidRDefault="009D6BC2" w:rsidP="00951CFE">
      <w:pPr>
        <w:ind w:left="720"/>
        <w:rPr>
          <w:b/>
          <w:i/>
        </w:rPr>
      </w:pPr>
      <w:r w:rsidRPr="008A6DD8">
        <w:rPr>
          <w:b/>
          <w:i/>
        </w:rPr>
        <w:t>Advanced, metastatic or recurrent non-squamous Non-Small Cell Lung Cancer (NSCLC)</w:t>
      </w:r>
    </w:p>
    <w:p w14:paraId="3657F56E" w14:textId="0F340AC5" w:rsidR="009D6BC2" w:rsidRPr="00951CFE" w:rsidRDefault="00521AB7" w:rsidP="00951CFE">
      <w:pPr>
        <w:ind w:left="720"/>
        <w:rPr>
          <w:i/>
        </w:rPr>
      </w:pPr>
      <w:proofErr w:type="spellStart"/>
      <w:r>
        <w:rPr>
          <w:i/>
        </w:rPr>
        <w:t>Zirabev</w:t>
      </w:r>
      <w:proofErr w:type="spellEnd"/>
      <w:r w:rsidR="009D6BC2" w:rsidRPr="00951CFE">
        <w:rPr>
          <w:i/>
        </w:rPr>
        <w:t xml:space="preserve"> (bevacizumab), in combination with carboplatin and paclitaxel, is indicated for first-line treatment of patients with </w:t>
      </w:r>
      <w:proofErr w:type="spellStart"/>
      <w:r w:rsidR="009D6BC2" w:rsidRPr="00951CFE">
        <w:rPr>
          <w:i/>
        </w:rPr>
        <w:t>unresectable</w:t>
      </w:r>
      <w:proofErr w:type="spellEnd"/>
      <w:r w:rsidR="009D6BC2" w:rsidRPr="00951CFE">
        <w:rPr>
          <w:i/>
        </w:rPr>
        <w:t xml:space="preserve"> advanced, metastatic or recurrent, non</w:t>
      </w:r>
      <w:r w:rsidR="00714699">
        <w:rPr>
          <w:i/>
        </w:rPr>
        <w:t>-</w:t>
      </w:r>
      <w:r w:rsidR="009D6BC2" w:rsidRPr="00951CFE">
        <w:rPr>
          <w:i/>
        </w:rPr>
        <w:t>squamous, non-small cell lung cancer.</w:t>
      </w:r>
    </w:p>
    <w:p w14:paraId="676F4736" w14:textId="77777777" w:rsidR="009D6BC2" w:rsidRPr="008A6DD8" w:rsidRDefault="009D6BC2" w:rsidP="00951CFE">
      <w:pPr>
        <w:ind w:left="720"/>
        <w:rPr>
          <w:b/>
          <w:i/>
        </w:rPr>
      </w:pPr>
      <w:r w:rsidRPr="008A6DD8">
        <w:rPr>
          <w:b/>
          <w:i/>
        </w:rPr>
        <w:lastRenderedPageBreak/>
        <w:t>Advanced and/or metastatic Renal Cell Cancer</w:t>
      </w:r>
    </w:p>
    <w:p w14:paraId="330BE30C" w14:textId="77777777" w:rsidR="009D6BC2" w:rsidRPr="00951CFE" w:rsidRDefault="00521AB7" w:rsidP="00951CFE">
      <w:pPr>
        <w:ind w:left="720"/>
        <w:rPr>
          <w:i/>
        </w:rPr>
      </w:pPr>
      <w:proofErr w:type="spellStart"/>
      <w:r>
        <w:rPr>
          <w:i/>
        </w:rPr>
        <w:t>Zirabev</w:t>
      </w:r>
      <w:proofErr w:type="spellEnd"/>
      <w:r w:rsidR="009D6BC2" w:rsidRPr="00951CFE">
        <w:rPr>
          <w:i/>
        </w:rPr>
        <w:t xml:space="preserve"> (bevacizumab) in combination with interferon alfa-2a is indicated for treatment of patients with advanced and/or metastatic renal cell cancer.</w:t>
      </w:r>
    </w:p>
    <w:p w14:paraId="6A120392" w14:textId="77777777" w:rsidR="009D6BC2" w:rsidRPr="008A6DD8" w:rsidRDefault="009D6BC2" w:rsidP="00951CFE">
      <w:pPr>
        <w:ind w:left="720"/>
        <w:rPr>
          <w:b/>
          <w:i/>
        </w:rPr>
      </w:pPr>
      <w:r w:rsidRPr="008A6DD8">
        <w:rPr>
          <w:b/>
          <w:i/>
        </w:rPr>
        <w:t>Grade IV Glioma</w:t>
      </w:r>
    </w:p>
    <w:p w14:paraId="501FEB6E" w14:textId="77777777" w:rsidR="009D6BC2" w:rsidRPr="00951CFE" w:rsidRDefault="00521AB7" w:rsidP="00951CFE">
      <w:pPr>
        <w:ind w:left="720"/>
        <w:rPr>
          <w:i/>
        </w:rPr>
      </w:pPr>
      <w:proofErr w:type="spellStart"/>
      <w:r>
        <w:rPr>
          <w:i/>
        </w:rPr>
        <w:t>Zirabev</w:t>
      </w:r>
      <w:proofErr w:type="spellEnd"/>
      <w:r w:rsidR="009D6BC2" w:rsidRPr="00951CFE">
        <w:rPr>
          <w:i/>
        </w:rPr>
        <w:t xml:space="preserve"> (bevacizumab) as a single agent, is indicated for the treatment of patients with Grade IV glioma after relapse or disease progression after standard therapy, including chemotherapy.</w:t>
      </w:r>
    </w:p>
    <w:p w14:paraId="7397AA4F" w14:textId="77777777" w:rsidR="009D6BC2" w:rsidRPr="008A6DD8" w:rsidRDefault="009D6BC2" w:rsidP="00951CFE">
      <w:pPr>
        <w:ind w:left="720"/>
        <w:rPr>
          <w:b/>
          <w:i/>
        </w:rPr>
      </w:pPr>
      <w:r w:rsidRPr="008A6DD8">
        <w:rPr>
          <w:b/>
          <w:i/>
        </w:rPr>
        <w:t>Epithelial Ovarian, Fallopian Tube or Primary Peritoneal Cancer</w:t>
      </w:r>
    </w:p>
    <w:p w14:paraId="1C6D8041" w14:textId="77777777" w:rsidR="009D6BC2" w:rsidRPr="00951CFE" w:rsidRDefault="00521AB7" w:rsidP="00951CFE">
      <w:pPr>
        <w:ind w:left="720"/>
        <w:rPr>
          <w:i/>
        </w:rPr>
      </w:pPr>
      <w:proofErr w:type="spellStart"/>
      <w:r>
        <w:rPr>
          <w:i/>
        </w:rPr>
        <w:t>Zirabev</w:t>
      </w:r>
      <w:proofErr w:type="spellEnd"/>
      <w:r w:rsidR="009D6BC2" w:rsidRPr="00951CFE">
        <w:rPr>
          <w:i/>
        </w:rPr>
        <w:t xml:space="preserve"> (bevacizumab) in combination with carboplatin and paclitaxel, is indicated for first-line treatment of patients with advanced (FIGO stages IIIB, IIIC and IV) epithelial ovarian, fallopian tube, or primary peritoneal cancer.</w:t>
      </w:r>
    </w:p>
    <w:p w14:paraId="2FDDF24A" w14:textId="77777777" w:rsidR="009D6BC2" w:rsidRPr="008A6DD8" w:rsidRDefault="009D6BC2" w:rsidP="00951CFE">
      <w:pPr>
        <w:ind w:left="720"/>
        <w:rPr>
          <w:b/>
          <w:i/>
        </w:rPr>
      </w:pPr>
      <w:r w:rsidRPr="008A6DD8">
        <w:rPr>
          <w:b/>
          <w:i/>
        </w:rPr>
        <w:t>Recurrent Epithelial Ovarian, Fallopian Tube or Primary Peritoneal Cancer</w:t>
      </w:r>
    </w:p>
    <w:p w14:paraId="70A4CEF5" w14:textId="77777777" w:rsidR="009D6BC2" w:rsidRPr="00951CFE" w:rsidRDefault="00521AB7" w:rsidP="00951CFE">
      <w:pPr>
        <w:ind w:left="720"/>
        <w:rPr>
          <w:i/>
        </w:rPr>
      </w:pPr>
      <w:proofErr w:type="spellStart"/>
      <w:r>
        <w:rPr>
          <w:i/>
        </w:rPr>
        <w:t>Zirabev</w:t>
      </w:r>
      <w:proofErr w:type="spellEnd"/>
      <w:r w:rsidR="009D6BC2" w:rsidRPr="00951CFE">
        <w:rPr>
          <w:i/>
        </w:rPr>
        <w:t xml:space="preserve"> (bevacizumab), in combination with carboplatin and paclitaxel or in combination with carboplatin and gemcitabine, is indicated for the treatment of patients with first recurrence of platinum-sensitive, epithelial ovarian, fallopian tube, or primary peritoneal cancer who have not received prior bevacizumab or other VEGF-targeted angiogenesis inhibitors.</w:t>
      </w:r>
    </w:p>
    <w:p w14:paraId="7DA4712E" w14:textId="77777777" w:rsidR="009D6BC2" w:rsidRPr="00951CFE" w:rsidRDefault="00521AB7" w:rsidP="00951CFE">
      <w:pPr>
        <w:ind w:left="720"/>
        <w:rPr>
          <w:i/>
        </w:rPr>
      </w:pPr>
      <w:proofErr w:type="spellStart"/>
      <w:r>
        <w:rPr>
          <w:i/>
        </w:rPr>
        <w:t>Zirabev</w:t>
      </w:r>
      <w:proofErr w:type="spellEnd"/>
      <w:r w:rsidR="009D6BC2" w:rsidRPr="00951CFE">
        <w:rPr>
          <w:i/>
        </w:rPr>
        <w:t xml:space="preserve"> (bevacizumab) in combination with paclitaxel, </w:t>
      </w:r>
      <w:proofErr w:type="spellStart"/>
      <w:r w:rsidR="009D6BC2" w:rsidRPr="00951CFE">
        <w:rPr>
          <w:i/>
        </w:rPr>
        <w:t>topotecan</w:t>
      </w:r>
      <w:proofErr w:type="spellEnd"/>
      <w:r w:rsidR="009D6BC2" w:rsidRPr="00951CFE">
        <w:rPr>
          <w:i/>
        </w:rPr>
        <w:t xml:space="preserve"> or </w:t>
      </w:r>
      <w:proofErr w:type="spellStart"/>
      <w:r w:rsidR="009D6BC2" w:rsidRPr="00951CFE">
        <w:rPr>
          <w:i/>
        </w:rPr>
        <w:t>pegylated</w:t>
      </w:r>
      <w:proofErr w:type="spellEnd"/>
      <w:r w:rsidR="009D6BC2" w:rsidRPr="00951CFE">
        <w:rPr>
          <w:i/>
        </w:rPr>
        <w:t xml:space="preserve"> liposomal doxorubicin is indicated for the treatment of patients with recurrent, platinum-resistant epithelial ovarian, fallopian tube, or primary peritoneal cancer who have received no more than two prior chemotherapy regimens, and have not received any prior anti-angiogenic therapy including bevacizumab.</w:t>
      </w:r>
    </w:p>
    <w:p w14:paraId="2896EC5F" w14:textId="77777777" w:rsidR="009D6BC2" w:rsidRPr="008A6DD8" w:rsidRDefault="009D6BC2" w:rsidP="00951CFE">
      <w:pPr>
        <w:ind w:left="720"/>
        <w:rPr>
          <w:b/>
          <w:i/>
        </w:rPr>
      </w:pPr>
      <w:r w:rsidRPr="008A6DD8">
        <w:rPr>
          <w:b/>
          <w:i/>
        </w:rPr>
        <w:t>Cervical Cancer</w:t>
      </w:r>
    </w:p>
    <w:p w14:paraId="40F6B953" w14:textId="77777777" w:rsidR="009D6BC2" w:rsidRPr="00951CFE" w:rsidRDefault="00521AB7" w:rsidP="00951CFE">
      <w:pPr>
        <w:ind w:left="720"/>
        <w:rPr>
          <w:i/>
        </w:rPr>
      </w:pPr>
      <w:proofErr w:type="spellStart"/>
      <w:r>
        <w:rPr>
          <w:i/>
        </w:rPr>
        <w:t>Zirabev</w:t>
      </w:r>
      <w:proofErr w:type="spellEnd"/>
      <w:r w:rsidR="009D6BC2" w:rsidRPr="00951CFE">
        <w:rPr>
          <w:i/>
        </w:rPr>
        <w:t xml:space="preserve"> (bevacizumab) in combination with paclitaxel and cisplatin is indicated for the treatment of persistent, recurrent or metastatic carcinoma of the cervix. </w:t>
      </w:r>
      <w:proofErr w:type="spellStart"/>
      <w:r>
        <w:rPr>
          <w:i/>
        </w:rPr>
        <w:t>Zirabev</w:t>
      </w:r>
      <w:proofErr w:type="spellEnd"/>
      <w:r w:rsidR="009D6BC2" w:rsidRPr="00951CFE">
        <w:rPr>
          <w:i/>
        </w:rPr>
        <w:t xml:space="preserve"> (bevacizumab) in combination with paclitaxel and </w:t>
      </w:r>
      <w:proofErr w:type="spellStart"/>
      <w:r w:rsidR="009D6BC2" w:rsidRPr="00951CFE">
        <w:rPr>
          <w:i/>
        </w:rPr>
        <w:t>topotecan</w:t>
      </w:r>
      <w:proofErr w:type="spellEnd"/>
      <w:r w:rsidR="009D6BC2" w:rsidRPr="00951CFE">
        <w:rPr>
          <w:i/>
        </w:rPr>
        <w:t xml:space="preserve"> is an acceptable alternative where cisplatin is not tolerated or not indicated.</w:t>
      </w:r>
    </w:p>
    <w:p w14:paraId="54308390" w14:textId="7BFD4CFB" w:rsidR="009D6BC2" w:rsidRDefault="009D6BC2" w:rsidP="009D6BC2">
      <w:proofErr w:type="spellStart"/>
      <w:r>
        <w:t>Zirabev</w:t>
      </w:r>
      <w:proofErr w:type="spellEnd"/>
      <w:r>
        <w:t xml:space="preserve"> has been developed as a biosimilar medicine to the reference product </w:t>
      </w:r>
      <w:proofErr w:type="spellStart"/>
      <w:r>
        <w:t>Avastin</w:t>
      </w:r>
      <w:proofErr w:type="spellEnd"/>
      <w:r>
        <w:t xml:space="preserve"> (bevacizumab). </w:t>
      </w:r>
      <w:proofErr w:type="spellStart"/>
      <w:r w:rsidR="008A6DD8">
        <w:t>Avastin</w:t>
      </w:r>
      <w:proofErr w:type="spellEnd"/>
      <w:r w:rsidR="008A6DD8">
        <w:t xml:space="preserve"> (b</w:t>
      </w:r>
      <w:r>
        <w:t>evacizumab</w:t>
      </w:r>
      <w:r w:rsidR="008A6DD8">
        <w:t>)</w:t>
      </w:r>
      <w:r>
        <w:t xml:space="preserve"> was first approved in Australia in 2005</w:t>
      </w:r>
      <w:r w:rsidR="008A6DD8">
        <w:t xml:space="preserve"> </w:t>
      </w:r>
      <w:r>
        <w:t xml:space="preserve">for </w:t>
      </w:r>
      <w:r w:rsidR="00521AB7">
        <w:t xml:space="preserve">the treatment of </w:t>
      </w:r>
      <w:r>
        <w:t xml:space="preserve">metastatic colon cancer. </w:t>
      </w:r>
      <w:r w:rsidR="008A6DD8">
        <w:t>Bevacizumab</w:t>
      </w:r>
      <w:r>
        <w:t xml:space="preserve"> is a recombinant humanised monoclonal antibody that binds to and neutralises the activity of vascular endothelial growth factor-A (VEGF-A), preventing angiogenesis, which </w:t>
      </w:r>
      <w:r w:rsidR="00951CFE">
        <w:t>in turn prevents tumour growth.</w:t>
      </w:r>
    </w:p>
    <w:p w14:paraId="6434000E" w14:textId="735F0141" w:rsidR="00940A89" w:rsidRDefault="00951CFE" w:rsidP="009D6BC2">
      <w:r>
        <w:t>The s</w:t>
      </w:r>
      <w:r w:rsidR="009D6BC2">
        <w:t xml:space="preserve">ponsor </w:t>
      </w:r>
      <w:r w:rsidR="008A6DD8">
        <w:t>requested</w:t>
      </w:r>
      <w:r w:rsidR="009D6BC2">
        <w:t xml:space="preserve"> extrapolation to all the currently approved indications of </w:t>
      </w:r>
      <w:proofErr w:type="spellStart"/>
      <w:r w:rsidR="009D6BC2">
        <w:t>Avastin</w:t>
      </w:r>
      <w:proofErr w:type="spellEnd"/>
      <w:r w:rsidR="009D6BC2">
        <w:t xml:space="preserve"> in A</w:t>
      </w:r>
      <w:r>
        <w:t>ustralia</w:t>
      </w:r>
      <w:r w:rsidR="008A6DD8">
        <w:t xml:space="preserve"> at the time of submission</w:t>
      </w:r>
      <w:r>
        <w:t xml:space="preserve">, </w:t>
      </w:r>
      <w:r w:rsidR="00031EED">
        <w:t xml:space="preserve">as listed </w:t>
      </w:r>
      <w:r>
        <w:t>above.</w:t>
      </w:r>
    </w:p>
    <w:p w14:paraId="39F303A2" w14:textId="77777777" w:rsidR="008E7846" w:rsidRPr="003F31A2" w:rsidRDefault="00386150" w:rsidP="008E7846">
      <w:pPr>
        <w:pStyle w:val="Heading3"/>
      </w:pPr>
      <w:bookmarkStart w:id="15" w:name="_Toc314842485"/>
      <w:bookmarkStart w:id="16" w:name="_Toc247691504"/>
      <w:bookmarkStart w:id="17" w:name="_Toc33614741"/>
      <w:r>
        <w:t>Regulatory s</w:t>
      </w:r>
      <w:r w:rsidR="008E7846">
        <w:t>tatus</w:t>
      </w:r>
      <w:bookmarkEnd w:id="15"/>
      <w:bookmarkEnd w:id="16"/>
      <w:bookmarkEnd w:id="17"/>
    </w:p>
    <w:p w14:paraId="3ADF42EE" w14:textId="77777777" w:rsidR="00940A89" w:rsidRDefault="00951CFE" w:rsidP="00940A89">
      <w:bookmarkStart w:id="18" w:name="_Toc247691505"/>
      <w:bookmarkStart w:id="19" w:name="_Toc314842486"/>
      <w:proofErr w:type="spellStart"/>
      <w:r>
        <w:t>Zirabev</w:t>
      </w:r>
      <w:proofErr w:type="spellEnd"/>
      <w:r>
        <w:t xml:space="preserve"> (bevacizumab) is a new biosimilar medicine for Australian regulatory purposes. The reference product </w:t>
      </w:r>
      <w:proofErr w:type="spellStart"/>
      <w:r>
        <w:t>Avastin</w:t>
      </w:r>
      <w:proofErr w:type="spellEnd"/>
      <w:r>
        <w:t xml:space="preserve"> (bevacizumab) </w:t>
      </w:r>
      <w:r w:rsidR="00940A89" w:rsidRPr="00940A89">
        <w:t>received initial registration on the Australian Register</w:t>
      </w:r>
      <w:r>
        <w:t xml:space="preserve"> of Therapeutic Goods (ARTG) on 24 February 2005.</w:t>
      </w:r>
    </w:p>
    <w:p w14:paraId="22177F93" w14:textId="77777777" w:rsidR="00940A89" w:rsidRDefault="00940A89" w:rsidP="00940A89">
      <w:r w:rsidRPr="00940A89">
        <w:t>At the time the TGA considered this application, a similar</w:t>
      </w:r>
      <w:r w:rsidR="00AE6402">
        <w:t xml:space="preserve"> application had been approved in the European Union (EU), United States of America </w:t>
      </w:r>
      <w:r w:rsidR="008C0DE5">
        <w:t xml:space="preserve">(USA) and </w:t>
      </w:r>
      <w:r w:rsidR="00AE6402">
        <w:t>Canada</w:t>
      </w:r>
      <w:r w:rsidR="00521AB7">
        <w:t>,</w:t>
      </w:r>
      <w:r w:rsidR="00AE6402">
        <w:t xml:space="preserve"> </w:t>
      </w:r>
      <w:r w:rsidR="008C0DE5">
        <w:t xml:space="preserve">and was under consideration in Switzerland </w:t>
      </w:r>
      <w:r w:rsidR="00AE6402">
        <w:t>(</w:t>
      </w:r>
      <w:r w:rsidR="00AE6402">
        <w:fldChar w:fldCharType="begin"/>
      </w:r>
      <w:r w:rsidR="00AE6402">
        <w:instrText xml:space="preserve"> REF _Ref31369119 \h </w:instrText>
      </w:r>
      <w:r w:rsidR="00AE6402">
        <w:fldChar w:fldCharType="separate"/>
      </w:r>
      <w:r w:rsidR="00AE6402">
        <w:t xml:space="preserve">Table </w:t>
      </w:r>
      <w:r w:rsidR="00AE6402">
        <w:rPr>
          <w:noProof/>
        </w:rPr>
        <w:t>1</w:t>
      </w:r>
      <w:r w:rsidR="00AE6402">
        <w:fldChar w:fldCharType="end"/>
      </w:r>
      <w:r w:rsidR="00AE6402">
        <w:t>)</w:t>
      </w:r>
      <w:r>
        <w:t>.</w:t>
      </w:r>
    </w:p>
    <w:p w14:paraId="7A85FF71" w14:textId="11BA0228" w:rsidR="00951CFE" w:rsidRPr="00951CFE" w:rsidRDefault="00951CFE" w:rsidP="00951CFE">
      <w:pPr>
        <w:pStyle w:val="TableTitle"/>
      </w:pPr>
      <w:bookmarkStart w:id="20" w:name="_Ref31369119"/>
      <w:r>
        <w:lastRenderedPageBreak/>
        <w:t xml:space="preserve">Table </w:t>
      </w:r>
      <w:r w:rsidR="00D97F65">
        <w:fldChar w:fldCharType="begin"/>
      </w:r>
      <w:r w:rsidR="00D97F65">
        <w:instrText xml:space="preserve"> SEQ Table \* ARABIC </w:instrText>
      </w:r>
      <w:r w:rsidR="00D97F65">
        <w:fldChar w:fldCharType="separate"/>
      </w:r>
      <w:r w:rsidR="00380602">
        <w:rPr>
          <w:noProof/>
        </w:rPr>
        <w:t>1</w:t>
      </w:r>
      <w:r w:rsidR="00D97F65">
        <w:rPr>
          <w:noProof/>
        </w:rPr>
        <w:fldChar w:fldCharType="end"/>
      </w:r>
      <w:bookmarkEnd w:id="20"/>
      <w:r>
        <w:t xml:space="preserve">: International regulatory status of </w:t>
      </w:r>
      <w:proofErr w:type="spellStart"/>
      <w:r>
        <w:t>Zirabev</w:t>
      </w:r>
      <w:proofErr w:type="spellEnd"/>
      <w:r>
        <w:t xml:space="preserve"> as of September 2019</w:t>
      </w:r>
    </w:p>
    <w:tbl>
      <w:tblPr>
        <w:tblStyle w:val="TableTGAblue"/>
        <w:tblW w:w="0" w:type="auto"/>
        <w:tblLayout w:type="fixed"/>
        <w:tblLook w:val="04A0" w:firstRow="1" w:lastRow="0" w:firstColumn="1" w:lastColumn="0" w:noHBand="0" w:noVBand="1"/>
      </w:tblPr>
      <w:tblGrid>
        <w:gridCol w:w="1240"/>
        <w:gridCol w:w="2528"/>
        <w:gridCol w:w="4099"/>
      </w:tblGrid>
      <w:tr w:rsidR="007443C8" w:rsidRPr="00AE6402" w14:paraId="456F1D03" w14:textId="77777777" w:rsidTr="007443C8">
        <w:trPr>
          <w:cnfStyle w:val="100000000000" w:firstRow="1" w:lastRow="0" w:firstColumn="0" w:lastColumn="0" w:oddVBand="0" w:evenVBand="0" w:oddHBand="0" w:evenHBand="0" w:firstRowFirstColumn="0" w:firstRowLastColumn="0" w:lastRowFirstColumn="0" w:lastRowLastColumn="0"/>
        </w:trPr>
        <w:tc>
          <w:tcPr>
            <w:tcW w:w="1240" w:type="dxa"/>
          </w:tcPr>
          <w:p w14:paraId="01A5987A" w14:textId="77777777" w:rsidR="007443C8" w:rsidRPr="00AE6402" w:rsidRDefault="007443C8" w:rsidP="00AE6402">
            <w:pPr>
              <w:ind w:left="0" w:right="0"/>
              <w:rPr>
                <w:sz w:val="20"/>
                <w:szCs w:val="20"/>
              </w:rPr>
            </w:pPr>
            <w:r w:rsidRPr="00AE6402">
              <w:rPr>
                <w:sz w:val="20"/>
                <w:szCs w:val="20"/>
              </w:rPr>
              <w:t>Region</w:t>
            </w:r>
          </w:p>
        </w:tc>
        <w:tc>
          <w:tcPr>
            <w:tcW w:w="2528" w:type="dxa"/>
          </w:tcPr>
          <w:p w14:paraId="02277395" w14:textId="77777777" w:rsidR="007443C8" w:rsidRPr="00AE6402" w:rsidRDefault="007443C8" w:rsidP="00AE6402">
            <w:pPr>
              <w:ind w:left="0" w:right="0"/>
              <w:rPr>
                <w:sz w:val="20"/>
                <w:szCs w:val="20"/>
              </w:rPr>
            </w:pPr>
            <w:r w:rsidRPr="00AE6402">
              <w:rPr>
                <w:sz w:val="20"/>
                <w:szCs w:val="20"/>
              </w:rPr>
              <w:t>Status</w:t>
            </w:r>
          </w:p>
        </w:tc>
        <w:tc>
          <w:tcPr>
            <w:tcW w:w="4099" w:type="dxa"/>
          </w:tcPr>
          <w:p w14:paraId="3E89BEF2" w14:textId="77777777" w:rsidR="007443C8" w:rsidRPr="00AE6402" w:rsidRDefault="007443C8" w:rsidP="00AE6402">
            <w:pPr>
              <w:ind w:left="0" w:right="0"/>
              <w:rPr>
                <w:sz w:val="20"/>
                <w:szCs w:val="20"/>
              </w:rPr>
            </w:pPr>
            <w:r w:rsidRPr="00AE6402">
              <w:rPr>
                <w:sz w:val="20"/>
                <w:szCs w:val="20"/>
              </w:rPr>
              <w:t>Summary of approved indications</w:t>
            </w:r>
          </w:p>
        </w:tc>
      </w:tr>
      <w:tr w:rsidR="007443C8" w:rsidRPr="00AE6402" w14:paraId="01CA1311" w14:textId="77777777" w:rsidTr="007443C8">
        <w:tc>
          <w:tcPr>
            <w:tcW w:w="1240" w:type="dxa"/>
          </w:tcPr>
          <w:p w14:paraId="52B8D76D" w14:textId="77777777" w:rsidR="007443C8" w:rsidRPr="00AE6402" w:rsidRDefault="007443C8" w:rsidP="00AE6402">
            <w:pPr>
              <w:ind w:left="0" w:right="0"/>
              <w:rPr>
                <w:sz w:val="20"/>
                <w:szCs w:val="20"/>
              </w:rPr>
            </w:pPr>
            <w:r w:rsidRPr="00AE6402">
              <w:rPr>
                <w:sz w:val="20"/>
                <w:szCs w:val="20"/>
              </w:rPr>
              <w:t>EU</w:t>
            </w:r>
          </w:p>
        </w:tc>
        <w:tc>
          <w:tcPr>
            <w:tcW w:w="2528" w:type="dxa"/>
          </w:tcPr>
          <w:p w14:paraId="1EF7808E" w14:textId="77777777" w:rsidR="007443C8" w:rsidRPr="00AE6402" w:rsidRDefault="007443C8" w:rsidP="00AE6402">
            <w:pPr>
              <w:ind w:left="0" w:right="0"/>
              <w:rPr>
                <w:sz w:val="20"/>
                <w:szCs w:val="20"/>
              </w:rPr>
            </w:pPr>
            <w:r w:rsidRPr="00AE6402">
              <w:rPr>
                <w:sz w:val="20"/>
                <w:szCs w:val="20"/>
              </w:rPr>
              <w:t>Approved with marketing authorisation valid in the EU from 14 February 2019</w:t>
            </w:r>
          </w:p>
        </w:tc>
        <w:tc>
          <w:tcPr>
            <w:tcW w:w="4099" w:type="dxa"/>
          </w:tcPr>
          <w:p w14:paraId="180B9D4F" w14:textId="77777777" w:rsidR="007443C8" w:rsidRPr="00AE6402" w:rsidRDefault="007443C8" w:rsidP="00AE6402">
            <w:pPr>
              <w:pStyle w:val="ListBullet"/>
              <w:ind w:left="357" w:right="0" w:hanging="357"/>
              <w:rPr>
                <w:sz w:val="20"/>
                <w:szCs w:val="20"/>
              </w:rPr>
            </w:pPr>
            <w:r w:rsidRPr="00AE6402">
              <w:rPr>
                <w:sz w:val="20"/>
                <w:szCs w:val="20"/>
              </w:rPr>
              <w:t>Metastatic cancer of colon/rectum</w:t>
            </w:r>
          </w:p>
          <w:p w14:paraId="109E8B63" w14:textId="77777777" w:rsidR="007443C8" w:rsidRPr="00AE6402" w:rsidRDefault="007443C8" w:rsidP="00AE6402">
            <w:pPr>
              <w:pStyle w:val="ListBullet"/>
              <w:ind w:left="357" w:right="0" w:hanging="357"/>
              <w:rPr>
                <w:sz w:val="20"/>
                <w:szCs w:val="20"/>
              </w:rPr>
            </w:pPr>
            <w:r w:rsidRPr="00AE6402">
              <w:rPr>
                <w:sz w:val="20"/>
                <w:szCs w:val="20"/>
              </w:rPr>
              <w:t>Metastatic breast cancer</w:t>
            </w:r>
          </w:p>
          <w:p w14:paraId="2D560479" w14:textId="77777777" w:rsidR="007443C8" w:rsidRPr="00AE6402" w:rsidRDefault="007443C8" w:rsidP="00AE6402">
            <w:pPr>
              <w:pStyle w:val="ListBullet"/>
              <w:ind w:left="357" w:right="0" w:hanging="357"/>
              <w:rPr>
                <w:sz w:val="20"/>
                <w:szCs w:val="20"/>
              </w:rPr>
            </w:pPr>
            <w:r w:rsidRPr="00AE6402">
              <w:rPr>
                <w:sz w:val="20"/>
                <w:szCs w:val="20"/>
              </w:rPr>
              <w:t>Advanced, metastatic or recurrent non-small cell lung cancer</w:t>
            </w:r>
          </w:p>
          <w:p w14:paraId="57F64F93" w14:textId="77777777" w:rsidR="007443C8" w:rsidRPr="00AE6402" w:rsidRDefault="007443C8" w:rsidP="00AE6402">
            <w:pPr>
              <w:pStyle w:val="ListBullet"/>
              <w:ind w:left="357" w:right="0" w:hanging="357"/>
              <w:rPr>
                <w:sz w:val="20"/>
                <w:szCs w:val="20"/>
              </w:rPr>
            </w:pPr>
            <w:r w:rsidRPr="00AE6402">
              <w:rPr>
                <w:sz w:val="20"/>
                <w:szCs w:val="20"/>
              </w:rPr>
              <w:t>Advanced/metastatic renal cell cancer</w:t>
            </w:r>
          </w:p>
          <w:p w14:paraId="1F57AE65" w14:textId="77777777" w:rsidR="007443C8" w:rsidRPr="00AE6402" w:rsidRDefault="007443C8" w:rsidP="00AE6402">
            <w:pPr>
              <w:pStyle w:val="ListBullet"/>
              <w:ind w:left="357" w:right="0" w:hanging="357"/>
              <w:rPr>
                <w:sz w:val="20"/>
                <w:szCs w:val="20"/>
              </w:rPr>
            </w:pPr>
            <w:r w:rsidRPr="00AE6402">
              <w:rPr>
                <w:sz w:val="20"/>
                <w:szCs w:val="20"/>
              </w:rPr>
              <w:t>Persistent, recurrent or metastatic carcinoma of the cervix</w:t>
            </w:r>
          </w:p>
        </w:tc>
      </w:tr>
      <w:tr w:rsidR="007443C8" w:rsidRPr="00AE6402" w14:paraId="09FFD31B" w14:textId="77777777" w:rsidTr="007443C8">
        <w:tc>
          <w:tcPr>
            <w:tcW w:w="1240" w:type="dxa"/>
          </w:tcPr>
          <w:p w14:paraId="404A1365" w14:textId="77777777" w:rsidR="007443C8" w:rsidRPr="00AE6402" w:rsidRDefault="007443C8" w:rsidP="00AE6402">
            <w:pPr>
              <w:ind w:left="0" w:right="0"/>
              <w:rPr>
                <w:sz w:val="20"/>
                <w:szCs w:val="20"/>
              </w:rPr>
            </w:pPr>
            <w:r w:rsidRPr="00AE6402">
              <w:rPr>
                <w:sz w:val="20"/>
                <w:szCs w:val="20"/>
              </w:rPr>
              <w:t>USA</w:t>
            </w:r>
          </w:p>
        </w:tc>
        <w:tc>
          <w:tcPr>
            <w:tcW w:w="2528" w:type="dxa"/>
          </w:tcPr>
          <w:p w14:paraId="737EFA18" w14:textId="77777777" w:rsidR="007443C8" w:rsidRPr="00AE6402" w:rsidRDefault="007443C8" w:rsidP="00AE6402">
            <w:pPr>
              <w:ind w:left="0" w:right="0"/>
              <w:rPr>
                <w:sz w:val="20"/>
                <w:szCs w:val="20"/>
              </w:rPr>
            </w:pPr>
            <w:r w:rsidRPr="00AE6402">
              <w:rPr>
                <w:sz w:val="20"/>
                <w:szCs w:val="20"/>
              </w:rPr>
              <w:t>Approved 27 June 2019</w:t>
            </w:r>
          </w:p>
        </w:tc>
        <w:tc>
          <w:tcPr>
            <w:tcW w:w="4099" w:type="dxa"/>
          </w:tcPr>
          <w:p w14:paraId="694D691F" w14:textId="77777777" w:rsidR="007443C8" w:rsidRPr="00AE6402" w:rsidRDefault="007443C8" w:rsidP="00AE6402">
            <w:pPr>
              <w:pStyle w:val="ListBullet"/>
              <w:ind w:left="357" w:right="0" w:hanging="357"/>
              <w:rPr>
                <w:sz w:val="20"/>
                <w:szCs w:val="20"/>
              </w:rPr>
            </w:pPr>
            <w:r w:rsidRPr="00AE6402">
              <w:rPr>
                <w:sz w:val="20"/>
                <w:szCs w:val="20"/>
              </w:rPr>
              <w:t>Metastatic colorectal cancer (not adjuvant)</w:t>
            </w:r>
          </w:p>
          <w:p w14:paraId="59C6B495" w14:textId="77777777" w:rsidR="007443C8" w:rsidRPr="00AE6402" w:rsidRDefault="007443C8" w:rsidP="00AE6402">
            <w:pPr>
              <w:pStyle w:val="ListBullet"/>
              <w:ind w:left="357" w:right="0" w:hanging="357"/>
              <w:rPr>
                <w:sz w:val="20"/>
                <w:szCs w:val="20"/>
              </w:rPr>
            </w:pPr>
            <w:r w:rsidRPr="00AE6402">
              <w:rPr>
                <w:sz w:val="20"/>
                <w:szCs w:val="20"/>
              </w:rPr>
              <w:t>Locally advanced or metastatic non-small cell lung cancer</w:t>
            </w:r>
          </w:p>
          <w:p w14:paraId="370AAEAB" w14:textId="77777777" w:rsidR="007443C8" w:rsidRPr="00AE6402" w:rsidRDefault="007443C8" w:rsidP="00AE6402">
            <w:pPr>
              <w:pStyle w:val="ListBullet"/>
              <w:ind w:left="357" w:right="0" w:hanging="357"/>
              <w:rPr>
                <w:sz w:val="20"/>
                <w:szCs w:val="20"/>
              </w:rPr>
            </w:pPr>
            <w:r w:rsidRPr="00AE6402">
              <w:rPr>
                <w:sz w:val="20"/>
                <w:szCs w:val="20"/>
              </w:rPr>
              <w:t>Recurrent glioblastoma</w:t>
            </w:r>
          </w:p>
          <w:p w14:paraId="2FDB973C" w14:textId="77777777" w:rsidR="007443C8" w:rsidRPr="00AE6402" w:rsidRDefault="007443C8" w:rsidP="00AE6402">
            <w:pPr>
              <w:pStyle w:val="ListBullet"/>
              <w:ind w:left="357" w:right="0" w:hanging="357"/>
              <w:rPr>
                <w:sz w:val="20"/>
                <w:szCs w:val="20"/>
              </w:rPr>
            </w:pPr>
            <w:r w:rsidRPr="00AE6402">
              <w:rPr>
                <w:sz w:val="20"/>
                <w:szCs w:val="20"/>
              </w:rPr>
              <w:t>Metastatic renal cell carcinoma</w:t>
            </w:r>
          </w:p>
          <w:p w14:paraId="1645ACB8" w14:textId="77777777" w:rsidR="007443C8" w:rsidRPr="00AE6402" w:rsidRDefault="007443C8" w:rsidP="00AE6402">
            <w:pPr>
              <w:pStyle w:val="ListBullet"/>
              <w:ind w:left="357" w:right="0" w:hanging="357"/>
              <w:rPr>
                <w:sz w:val="20"/>
                <w:szCs w:val="20"/>
              </w:rPr>
            </w:pPr>
            <w:r w:rsidRPr="00AE6402">
              <w:rPr>
                <w:sz w:val="20"/>
                <w:szCs w:val="20"/>
              </w:rPr>
              <w:t>Persistent, recurrent or metastatic carcinoma of the cervix</w:t>
            </w:r>
          </w:p>
        </w:tc>
      </w:tr>
      <w:tr w:rsidR="007443C8" w:rsidRPr="00AE6402" w14:paraId="24B9D135" w14:textId="77777777" w:rsidTr="007443C8">
        <w:tc>
          <w:tcPr>
            <w:tcW w:w="1240" w:type="dxa"/>
          </w:tcPr>
          <w:p w14:paraId="3652787E" w14:textId="77777777" w:rsidR="007443C8" w:rsidRPr="00AE6402" w:rsidRDefault="007443C8" w:rsidP="00AE6402">
            <w:pPr>
              <w:ind w:left="0" w:right="0"/>
              <w:rPr>
                <w:sz w:val="20"/>
                <w:szCs w:val="20"/>
              </w:rPr>
            </w:pPr>
            <w:r w:rsidRPr="00AE6402">
              <w:rPr>
                <w:sz w:val="20"/>
                <w:szCs w:val="20"/>
              </w:rPr>
              <w:t>Canada</w:t>
            </w:r>
          </w:p>
        </w:tc>
        <w:tc>
          <w:tcPr>
            <w:tcW w:w="2528" w:type="dxa"/>
          </w:tcPr>
          <w:p w14:paraId="214D644D" w14:textId="77777777" w:rsidR="007443C8" w:rsidRPr="00AE6402" w:rsidRDefault="007443C8" w:rsidP="00AE6402">
            <w:pPr>
              <w:ind w:left="0" w:right="0"/>
              <w:rPr>
                <w:sz w:val="20"/>
                <w:szCs w:val="20"/>
              </w:rPr>
            </w:pPr>
            <w:r w:rsidRPr="00AE6402">
              <w:rPr>
                <w:sz w:val="20"/>
                <w:szCs w:val="20"/>
              </w:rPr>
              <w:t>Approved 14 June 2019</w:t>
            </w:r>
          </w:p>
        </w:tc>
        <w:tc>
          <w:tcPr>
            <w:tcW w:w="4099" w:type="dxa"/>
          </w:tcPr>
          <w:p w14:paraId="310D9DF6" w14:textId="77777777" w:rsidR="007443C8" w:rsidRPr="00AE6402" w:rsidRDefault="007443C8" w:rsidP="00AE6402">
            <w:pPr>
              <w:pStyle w:val="ListBullet"/>
              <w:ind w:left="357" w:right="0" w:hanging="357"/>
              <w:rPr>
                <w:sz w:val="20"/>
                <w:szCs w:val="20"/>
              </w:rPr>
            </w:pPr>
            <w:r w:rsidRPr="00AE6402">
              <w:rPr>
                <w:sz w:val="20"/>
                <w:szCs w:val="20"/>
              </w:rPr>
              <w:t>Metastatic colorectal cancer</w:t>
            </w:r>
          </w:p>
          <w:p w14:paraId="7271C4D9" w14:textId="77777777" w:rsidR="007443C8" w:rsidRPr="00AE6402" w:rsidRDefault="007443C8" w:rsidP="00AE6402">
            <w:pPr>
              <w:pStyle w:val="ListBullet"/>
              <w:ind w:left="357" w:right="0" w:hanging="357"/>
              <w:rPr>
                <w:sz w:val="20"/>
                <w:szCs w:val="20"/>
              </w:rPr>
            </w:pPr>
            <w:r w:rsidRPr="00AE6402">
              <w:rPr>
                <w:sz w:val="20"/>
                <w:szCs w:val="20"/>
              </w:rPr>
              <w:t>Locally advanced, metastatic or recurrent non-small cell lung cancer</w:t>
            </w:r>
          </w:p>
          <w:p w14:paraId="1199BAE9" w14:textId="77777777" w:rsidR="007443C8" w:rsidRPr="00AE6402" w:rsidRDefault="007443C8" w:rsidP="00AE6402">
            <w:pPr>
              <w:pStyle w:val="ListBullet"/>
              <w:ind w:left="357" w:right="0" w:hanging="357"/>
              <w:rPr>
                <w:sz w:val="20"/>
                <w:szCs w:val="20"/>
              </w:rPr>
            </w:pPr>
            <w:r w:rsidRPr="00AE6402">
              <w:rPr>
                <w:sz w:val="20"/>
                <w:szCs w:val="20"/>
              </w:rPr>
              <w:t>Platinum-resistant recurrent epithelial ovarian, fallopian tube and primary peritoneal cancer</w:t>
            </w:r>
          </w:p>
          <w:p w14:paraId="51A43CB5" w14:textId="77777777" w:rsidR="007443C8" w:rsidRPr="00AE6402" w:rsidRDefault="007443C8" w:rsidP="00AE6402">
            <w:pPr>
              <w:pStyle w:val="ListBullet"/>
              <w:ind w:left="357" w:right="0" w:hanging="357"/>
              <w:rPr>
                <w:sz w:val="20"/>
                <w:szCs w:val="20"/>
              </w:rPr>
            </w:pPr>
            <w:r w:rsidRPr="00AE6402">
              <w:rPr>
                <w:sz w:val="20"/>
                <w:szCs w:val="20"/>
              </w:rPr>
              <w:t>Glioblastoma after relapse or disease progression</w:t>
            </w:r>
          </w:p>
        </w:tc>
      </w:tr>
      <w:tr w:rsidR="007443C8" w:rsidRPr="00AE6402" w14:paraId="05B0E519" w14:textId="77777777" w:rsidTr="007443C8">
        <w:tc>
          <w:tcPr>
            <w:tcW w:w="1240" w:type="dxa"/>
          </w:tcPr>
          <w:p w14:paraId="079BB5D9" w14:textId="77777777" w:rsidR="007443C8" w:rsidRPr="008C0DE5" w:rsidRDefault="007443C8" w:rsidP="008C0DE5">
            <w:pPr>
              <w:ind w:left="0" w:right="0"/>
              <w:rPr>
                <w:sz w:val="20"/>
                <w:szCs w:val="20"/>
              </w:rPr>
            </w:pPr>
            <w:r w:rsidRPr="008C0DE5">
              <w:rPr>
                <w:sz w:val="20"/>
                <w:szCs w:val="20"/>
              </w:rPr>
              <w:t>Switzerland</w:t>
            </w:r>
          </w:p>
        </w:tc>
        <w:tc>
          <w:tcPr>
            <w:tcW w:w="2528" w:type="dxa"/>
          </w:tcPr>
          <w:p w14:paraId="2BA96700" w14:textId="2D664465" w:rsidR="007443C8" w:rsidRPr="008C0DE5" w:rsidRDefault="007443C8" w:rsidP="008C0DE5">
            <w:pPr>
              <w:ind w:left="0" w:right="0"/>
              <w:rPr>
                <w:sz w:val="20"/>
                <w:szCs w:val="20"/>
              </w:rPr>
            </w:pPr>
            <w:r w:rsidRPr="008C0DE5">
              <w:rPr>
                <w:sz w:val="20"/>
                <w:szCs w:val="20"/>
              </w:rPr>
              <w:t>Under consideration</w:t>
            </w:r>
          </w:p>
        </w:tc>
        <w:tc>
          <w:tcPr>
            <w:tcW w:w="4099" w:type="dxa"/>
          </w:tcPr>
          <w:p w14:paraId="1CE12E10" w14:textId="77777777" w:rsidR="007443C8" w:rsidRPr="008C0DE5" w:rsidRDefault="007443C8" w:rsidP="008C0DE5">
            <w:pPr>
              <w:ind w:left="0" w:right="0"/>
              <w:rPr>
                <w:sz w:val="20"/>
                <w:szCs w:val="20"/>
              </w:rPr>
            </w:pPr>
            <w:r w:rsidRPr="008C0DE5">
              <w:rPr>
                <w:sz w:val="20"/>
                <w:szCs w:val="20"/>
              </w:rPr>
              <w:t>Under consideration</w:t>
            </w:r>
          </w:p>
        </w:tc>
      </w:tr>
    </w:tbl>
    <w:p w14:paraId="4AF14E28" w14:textId="59544E67" w:rsidR="008E7846" w:rsidRDefault="008E7846" w:rsidP="00940A89">
      <w:pPr>
        <w:pStyle w:val="Heading3"/>
      </w:pPr>
      <w:bookmarkStart w:id="21" w:name="_Toc33614742"/>
      <w:r>
        <w:t>Product Information</w:t>
      </w:r>
      <w:bookmarkEnd w:id="18"/>
      <w:bookmarkEnd w:id="19"/>
      <w:bookmarkEnd w:id="21"/>
    </w:p>
    <w:p w14:paraId="2650430D"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7029207D" w14:textId="77777777" w:rsidR="00500337" w:rsidRDefault="008C0DE5" w:rsidP="00500337">
      <w:pPr>
        <w:pStyle w:val="Heading2"/>
      </w:pPr>
      <w:bookmarkStart w:id="24" w:name="_Toc504480011"/>
      <w:bookmarkStart w:id="25" w:name="_Toc33614743"/>
      <w:r>
        <w:t>II. Registration time</w:t>
      </w:r>
      <w:r w:rsidR="00500337">
        <w:t>line</w:t>
      </w:r>
      <w:bookmarkEnd w:id="24"/>
      <w:bookmarkEnd w:id="25"/>
    </w:p>
    <w:p w14:paraId="74D04249" w14:textId="1D156C49" w:rsidR="00500337" w:rsidRDefault="008A6DD8" w:rsidP="00500337">
      <w:r>
        <w:fldChar w:fldCharType="begin"/>
      </w:r>
      <w:r>
        <w:instrText xml:space="preserve"> REF _Ref31608111 \h </w:instrText>
      </w:r>
      <w:r>
        <w:fldChar w:fldCharType="separate"/>
      </w:r>
      <w:r>
        <w:t xml:space="preserve">Table </w:t>
      </w:r>
      <w:r>
        <w:rPr>
          <w:noProof/>
        </w:rPr>
        <w:t>2</w:t>
      </w:r>
      <w:r>
        <w:fldChar w:fldCharType="end"/>
      </w:r>
      <w:r>
        <w:t xml:space="preserve"> </w:t>
      </w:r>
      <w:r w:rsidR="00500337">
        <w:t>captures the key steps and dates for this application and which are detailed and discussed in this AusPAR.</w:t>
      </w:r>
    </w:p>
    <w:p w14:paraId="748BD37E" w14:textId="6D217168" w:rsidR="00500337" w:rsidRPr="00377BD4" w:rsidRDefault="00521AB7" w:rsidP="00D97F65">
      <w:pPr>
        <w:pStyle w:val="TableTitle"/>
        <w:pageBreakBefore/>
      </w:pPr>
      <w:bookmarkStart w:id="26" w:name="_Ref31608111"/>
      <w:r>
        <w:lastRenderedPageBreak/>
        <w:t xml:space="preserve">Table </w:t>
      </w:r>
      <w:r w:rsidR="00D97F65">
        <w:fldChar w:fldCharType="begin"/>
      </w:r>
      <w:r w:rsidR="00D97F65">
        <w:instrText xml:space="preserve"> SEQ Table \*</w:instrText>
      </w:r>
      <w:r w:rsidR="00D97F65">
        <w:instrText xml:space="preserve"> ARABIC </w:instrText>
      </w:r>
      <w:r w:rsidR="00D97F65">
        <w:fldChar w:fldCharType="separate"/>
      </w:r>
      <w:r w:rsidR="00380602">
        <w:rPr>
          <w:noProof/>
        </w:rPr>
        <w:t>2</w:t>
      </w:r>
      <w:r w:rsidR="00D97F65">
        <w:rPr>
          <w:noProof/>
        </w:rPr>
        <w:fldChar w:fldCharType="end"/>
      </w:r>
      <w:bookmarkEnd w:id="26"/>
      <w:r>
        <w:t xml:space="preserve">: </w:t>
      </w:r>
      <w:r w:rsidR="006A58A8" w:rsidRPr="006A58A8">
        <w:t xml:space="preserve">Timeline for Submission </w:t>
      </w:r>
      <w:r w:rsidR="00D73B22" w:rsidRPr="00D73B22">
        <w:t>PM-2018-03842-1-4</w:t>
      </w:r>
    </w:p>
    <w:tbl>
      <w:tblPr>
        <w:tblStyle w:val="TableTGAblue"/>
        <w:tblW w:w="0" w:type="auto"/>
        <w:tblLook w:val="04A0" w:firstRow="1" w:lastRow="0" w:firstColumn="1" w:lastColumn="0" w:noHBand="0" w:noVBand="1"/>
      </w:tblPr>
      <w:tblGrid>
        <w:gridCol w:w="4360"/>
        <w:gridCol w:w="4360"/>
      </w:tblGrid>
      <w:tr w:rsidR="00500337" w14:paraId="7EA4841D"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333D750C" w14:textId="77777777" w:rsidR="00500337" w:rsidRDefault="00500337" w:rsidP="00500337">
            <w:pPr>
              <w:ind w:left="0" w:right="0"/>
            </w:pPr>
            <w:r>
              <w:t>Description</w:t>
            </w:r>
          </w:p>
        </w:tc>
        <w:tc>
          <w:tcPr>
            <w:tcW w:w="4360" w:type="dxa"/>
          </w:tcPr>
          <w:p w14:paraId="57C012F7" w14:textId="77777777" w:rsidR="00500337" w:rsidRDefault="00500337" w:rsidP="00500337">
            <w:pPr>
              <w:ind w:left="0" w:right="0"/>
            </w:pPr>
            <w:r>
              <w:t>Date</w:t>
            </w:r>
          </w:p>
        </w:tc>
      </w:tr>
      <w:tr w:rsidR="00D73B22" w14:paraId="5E398E93" w14:textId="77777777" w:rsidTr="00500337">
        <w:tc>
          <w:tcPr>
            <w:tcW w:w="4360" w:type="dxa"/>
          </w:tcPr>
          <w:p w14:paraId="086D4C71" w14:textId="77777777" w:rsidR="00D73B22" w:rsidRDefault="00D73B22" w:rsidP="00D73B22">
            <w:pPr>
              <w:ind w:left="0" w:right="0"/>
            </w:pPr>
            <w:r>
              <w:t>Submission dossier accepted and first round evaluation commenced</w:t>
            </w:r>
          </w:p>
        </w:tc>
        <w:tc>
          <w:tcPr>
            <w:tcW w:w="4360" w:type="dxa"/>
          </w:tcPr>
          <w:p w14:paraId="641A40EC" w14:textId="77777777" w:rsidR="00D73B22" w:rsidRPr="00252C17" w:rsidRDefault="00D73B22" w:rsidP="00D73B22">
            <w:r w:rsidRPr="00252C17">
              <w:t>31 October 2018</w:t>
            </w:r>
          </w:p>
        </w:tc>
      </w:tr>
      <w:tr w:rsidR="00D73B22" w14:paraId="796497B8" w14:textId="77777777" w:rsidTr="00500337">
        <w:tc>
          <w:tcPr>
            <w:tcW w:w="4360" w:type="dxa"/>
          </w:tcPr>
          <w:p w14:paraId="611F8C5F" w14:textId="77777777" w:rsidR="00D73B22" w:rsidRDefault="00D73B22" w:rsidP="00D73B22">
            <w:pPr>
              <w:ind w:left="0" w:right="0"/>
            </w:pPr>
            <w:r>
              <w:t>First round evaluation completed</w:t>
            </w:r>
          </w:p>
        </w:tc>
        <w:tc>
          <w:tcPr>
            <w:tcW w:w="4360" w:type="dxa"/>
          </w:tcPr>
          <w:p w14:paraId="1258F2BA" w14:textId="77777777" w:rsidR="00D73B22" w:rsidRPr="00252C17" w:rsidRDefault="00D73B22" w:rsidP="00D73B22">
            <w:r w:rsidRPr="00252C17">
              <w:t>5 April 2019</w:t>
            </w:r>
          </w:p>
        </w:tc>
      </w:tr>
      <w:tr w:rsidR="00D73B22" w14:paraId="6DDE54C2" w14:textId="77777777" w:rsidTr="00500337">
        <w:tc>
          <w:tcPr>
            <w:tcW w:w="4360" w:type="dxa"/>
          </w:tcPr>
          <w:p w14:paraId="231D58FE" w14:textId="77777777" w:rsidR="00D73B22" w:rsidRDefault="00D73B22" w:rsidP="00D73B22">
            <w:pPr>
              <w:ind w:left="0" w:right="0"/>
            </w:pPr>
            <w:r>
              <w:t>Sponsor provides responses on questions raised in first round evaluation</w:t>
            </w:r>
          </w:p>
        </w:tc>
        <w:tc>
          <w:tcPr>
            <w:tcW w:w="4360" w:type="dxa"/>
          </w:tcPr>
          <w:p w14:paraId="37EBD886" w14:textId="77777777" w:rsidR="00D73B22" w:rsidRPr="00252C17" w:rsidRDefault="00D73B22" w:rsidP="00D73B22">
            <w:r w:rsidRPr="00252C17">
              <w:t>31 May 2019</w:t>
            </w:r>
          </w:p>
        </w:tc>
      </w:tr>
      <w:tr w:rsidR="00D73B22" w14:paraId="6998C403" w14:textId="77777777" w:rsidTr="00500337">
        <w:tc>
          <w:tcPr>
            <w:tcW w:w="4360" w:type="dxa"/>
          </w:tcPr>
          <w:p w14:paraId="05668CA4" w14:textId="77777777" w:rsidR="00D73B22" w:rsidRDefault="00D73B22" w:rsidP="00D73B22">
            <w:pPr>
              <w:ind w:left="0" w:right="0"/>
            </w:pPr>
            <w:r>
              <w:t>Second round evaluation completed</w:t>
            </w:r>
          </w:p>
        </w:tc>
        <w:tc>
          <w:tcPr>
            <w:tcW w:w="4360" w:type="dxa"/>
          </w:tcPr>
          <w:p w14:paraId="4A2E3449" w14:textId="77777777" w:rsidR="00D73B22" w:rsidRPr="00252C17" w:rsidRDefault="00D73B22" w:rsidP="00D73B22">
            <w:r w:rsidRPr="00252C17">
              <w:t>22 July 2019</w:t>
            </w:r>
          </w:p>
        </w:tc>
      </w:tr>
      <w:tr w:rsidR="00D73B22" w14:paraId="6D5B0DFE" w14:textId="77777777" w:rsidTr="00500337">
        <w:tc>
          <w:tcPr>
            <w:tcW w:w="4360" w:type="dxa"/>
          </w:tcPr>
          <w:p w14:paraId="24A48BB8" w14:textId="77777777" w:rsidR="00D73B22" w:rsidRDefault="00D73B22" w:rsidP="00D73B22">
            <w:pPr>
              <w:ind w:left="0" w:right="0"/>
            </w:pPr>
            <w:r>
              <w:t>Delegate’s Overall benefit-risk assessment</w:t>
            </w:r>
          </w:p>
        </w:tc>
        <w:tc>
          <w:tcPr>
            <w:tcW w:w="4360" w:type="dxa"/>
          </w:tcPr>
          <w:p w14:paraId="5790E982" w14:textId="77777777" w:rsidR="00D73B22" w:rsidRPr="00252C17" w:rsidRDefault="00D73B22" w:rsidP="00D73B22">
            <w:r w:rsidRPr="00252C17">
              <w:t>11 September 2019</w:t>
            </w:r>
          </w:p>
        </w:tc>
      </w:tr>
      <w:tr w:rsidR="00D73B22" w14:paraId="619FBBDE" w14:textId="77777777" w:rsidTr="00500337">
        <w:tc>
          <w:tcPr>
            <w:tcW w:w="4360" w:type="dxa"/>
          </w:tcPr>
          <w:p w14:paraId="5934CD72" w14:textId="77777777" w:rsidR="00D73B22" w:rsidRDefault="00D73B22" w:rsidP="00D73B22">
            <w:pPr>
              <w:ind w:left="0" w:right="0"/>
            </w:pPr>
            <w:r>
              <w:t>Sponsor’s pre-Advisory Committee response</w:t>
            </w:r>
          </w:p>
        </w:tc>
        <w:tc>
          <w:tcPr>
            <w:tcW w:w="4360" w:type="dxa"/>
          </w:tcPr>
          <w:p w14:paraId="59BA7823" w14:textId="77777777" w:rsidR="00D73B22" w:rsidRPr="00252C17" w:rsidRDefault="00D73B22" w:rsidP="00D73B22">
            <w:r w:rsidRPr="00252C17">
              <w:t>Not applicable</w:t>
            </w:r>
          </w:p>
        </w:tc>
      </w:tr>
      <w:tr w:rsidR="00D73B22" w14:paraId="1F47ECFE" w14:textId="77777777" w:rsidTr="00500337">
        <w:tc>
          <w:tcPr>
            <w:tcW w:w="4360" w:type="dxa"/>
          </w:tcPr>
          <w:p w14:paraId="47F715BB" w14:textId="77777777" w:rsidR="00D73B22" w:rsidRDefault="00D73B22" w:rsidP="00D73B22">
            <w:pPr>
              <w:ind w:left="0" w:right="0"/>
            </w:pPr>
            <w:r>
              <w:t>Advisory Committee meeting</w:t>
            </w:r>
          </w:p>
        </w:tc>
        <w:tc>
          <w:tcPr>
            <w:tcW w:w="4360" w:type="dxa"/>
          </w:tcPr>
          <w:p w14:paraId="6D0977DB" w14:textId="77777777" w:rsidR="00D73B22" w:rsidRPr="00252C17" w:rsidRDefault="00D73B22" w:rsidP="00D73B22">
            <w:r w:rsidRPr="00252C17">
              <w:t>Not applicable</w:t>
            </w:r>
          </w:p>
        </w:tc>
      </w:tr>
      <w:tr w:rsidR="00D73B22" w14:paraId="5D286753" w14:textId="77777777" w:rsidTr="00500337">
        <w:tc>
          <w:tcPr>
            <w:tcW w:w="4360" w:type="dxa"/>
          </w:tcPr>
          <w:p w14:paraId="255B9D6C" w14:textId="77777777" w:rsidR="00D73B22" w:rsidRDefault="00D73B22" w:rsidP="00D73B22">
            <w:pPr>
              <w:ind w:left="0" w:right="0"/>
            </w:pPr>
            <w:r>
              <w:t>Registration decision (Outcome)</w:t>
            </w:r>
          </w:p>
        </w:tc>
        <w:tc>
          <w:tcPr>
            <w:tcW w:w="4360" w:type="dxa"/>
          </w:tcPr>
          <w:p w14:paraId="46B30735" w14:textId="77777777" w:rsidR="00D73B22" w:rsidRPr="00252C17" w:rsidRDefault="00D73B22" w:rsidP="00D73B22">
            <w:r w:rsidRPr="00252C17">
              <w:t>28 October 2019</w:t>
            </w:r>
          </w:p>
        </w:tc>
      </w:tr>
      <w:tr w:rsidR="00D73B22" w14:paraId="3791B8C8" w14:textId="77777777" w:rsidTr="00500337">
        <w:tc>
          <w:tcPr>
            <w:tcW w:w="4360" w:type="dxa"/>
          </w:tcPr>
          <w:p w14:paraId="7210CAA5" w14:textId="64CF0003" w:rsidR="00D73B22" w:rsidRDefault="00D73B22" w:rsidP="00D73B22">
            <w:pPr>
              <w:ind w:left="0" w:right="0"/>
            </w:pPr>
            <w:r>
              <w:t xml:space="preserve">Completion of administrative activities and registration on </w:t>
            </w:r>
            <w:r w:rsidR="00106469">
              <w:t xml:space="preserve">the </w:t>
            </w:r>
            <w:r>
              <w:t>ARTG</w:t>
            </w:r>
          </w:p>
        </w:tc>
        <w:tc>
          <w:tcPr>
            <w:tcW w:w="4360" w:type="dxa"/>
          </w:tcPr>
          <w:p w14:paraId="093B0093" w14:textId="77777777" w:rsidR="00D73B22" w:rsidRPr="00252C17" w:rsidRDefault="00D73B22" w:rsidP="00D73B22">
            <w:r w:rsidRPr="00252C17">
              <w:t>21 November 2019</w:t>
            </w:r>
          </w:p>
        </w:tc>
      </w:tr>
      <w:tr w:rsidR="00D73B22" w14:paraId="7D1FE464" w14:textId="77777777" w:rsidTr="00500337">
        <w:tc>
          <w:tcPr>
            <w:tcW w:w="4360" w:type="dxa"/>
          </w:tcPr>
          <w:p w14:paraId="6C6A9F07" w14:textId="77777777" w:rsidR="00D73B22" w:rsidRDefault="00D73B22" w:rsidP="00D73B22">
            <w:pPr>
              <w:ind w:left="0" w:right="0"/>
            </w:pPr>
            <w:r>
              <w:t>Number of working days from submission dossier acceptance to registration decision*</w:t>
            </w:r>
          </w:p>
        </w:tc>
        <w:tc>
          <w:tcPr>
            <w:tcW w:w="4360" w:type="dxa"/>
          </w:tcPr>
          <w:p w14:paraId="5163CF98" w14:textId="77777777" w:rsidR="00D73B22" w:rsidRDefault="00D73B22" w:rsidP="00D73B22">
            <w:r w:rsidRPr="00252C17">
              <w:t>211</w:t>
            </w:r>
          </w:p>
        </w:tc>
      </w:tr>
    </w:tbl>
    <w:p w14:paraId="4B89B8ED"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7D884BD0" w14:textId="77777777" w:rsidR="008E7846" w:rsidRPr="00792A32" w:rsidRDefault="00456765" w:rsidP="008E7846">
      <w:pPr>
        <w:pStyle w:val="Heading2"/>
      </w:pPr>
      <w:bookmarkStart w:id="27" w:name="_Toc196046504"/>
      <w:bookmarkStart w:id="28" w:name="_Toc247691527"/>
      <w:bookmarkStart w:id="29" w:name="_Toc314842510"/>
      <w:bookmarkStart w:id="30" w:name="_Toc33614744"/>
      <w:bookmarkStart w:id="31" w:name="_Toc163441390"/>
      <w:bookmarkEnd w:id="1"/>
      <w:bookmarkEnd w:id="22"/>
      <w:bookmarkEnd w:id="23"/>
      <w:r>
        <w:t>I</w:t>
      </w:r>
      <w:r w:rsidR="00DA64CB">
        <w:t>I</w:t>
      </w:r>
      <w:r w:rsidR="008E7846">
        <w:t xml:space="preserve">I. </w:t>
      </w:r>
      <w:r w:rsidR="00D73B22">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70D16418"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521AB7">
        <w:t>s.</w:t>
      </w:r>
    </w:p>
    <w:p w14:paraId="2BF9DE89" w14:textId="77777777" w:rsidR="008E7846" w:rsidRDefault="008E7846" w:rsidP="008E7846">
      <w:pPr>
        <w:pStyle w:val="Heading3"/>
      </w:pPr>
      <w:bookmarkStart w:id="33" w:name="_Toc314842511"/>
      <w:bookmarkStart w:id="34" w:name="_Toc33614745"/>
      <w:r>
        <w:t>Quality</w:t>
      </w:r>
      <w:bookmarkEnd w:id="32"/>
      <w:bookmarkEnd w:id="33"/>
      <w:bookmarkEnd w:id="34"/>
    </w:p>
    <w:p w14:paraId="2BDB0450" w14:textId="77777777" w:rsidR="008C0DE5" w:rsidRDefault="008C0DE5" w:rsidP="008C0DE5">
      <w:r>
        <w:t xml:space="preserve">The quality evaluator discusses </w:t>
      </w:r>
      <w:proofErr w:type="spellStart"/>
      <w:r>
        <w:t>biosimilarity</w:t>
      </w:r>
      <w:proofErr w:type="spellEnd"/>
      <w:r>
        <w:t xml:space="preserve"> in their summary of evaluation, </w:t>
      </w:r>
      <w:r w:rsidR="00521AB7">
        <w:t>which included the following points</w:t>
      </w:r>
      <w:r>
        <w:t>:</w:t>
      </w:r>
    </w:p>
    <w:p w14:paraId="0C41430A" w14:textId="221C8689" w:rsidR="008C0DE5" w:rsidRDefault="008C0DE5" w:rsidP="008C0DE5">
      <w:pPr>
        <w:pStyle w:val="ListBullet"/>
      </w:pPr>
      <w:r>
        <w:t xml:space="preserve">During the development of </w:t>
      </w:r>
      <w:proofErr w:type="spellStart"/>
      <w:r>
        <w:t>Zirabev</w:t>
      </w:r>
      <w:proofErr w:type="spellEnd"/>
      <w:r w:rsidR="00106469">
        <w:t xml:space="preserve"> bevacizumab</w:t>
      </w:r>
      <w:r>
        <w:t xml:space="preserve">, EU and US batches of </w:t>
      </w:r>
      <w:proofErr w:type="spellStart"/>
      <w:r>
        <w:t>Avastin</w:t>
      </w:r>
      <w:proofErr w:type="spellEnd"/>
      <w:r w:rsidR="00106469">
        <w:t> bevacizumab</w:t>
      </w:r>
      <w:r>
        <w:t xml:space="preserve"> were used as the main reference product to demonstrate </w:t>
      </w:r>
      <w:proofErr w:type="spellStart"/>
      <w:r>
        <w:t>biosimilar</w:t>
      </w:r>
      <w:r w:rsidR="000D4B50">
        <w:t>ity</w:t>
      </w:r>
      <w:proofErr w:type="spellEnd"/>
      <w:r w:rsidR="000D4B50">
        <w:t xml:space="preserve"> in terms of quality and non</w:t>
      </w:r>
      <w:r>
        <w:t xml:space="preserve">clinical comparability exercise. </w:t>
      </w:r>
      <w:r w:rsidR="00521AB7">
        <w:t>An a</w:t>
      </w:r>
      <w:r>
        <w:t xml:space="preserve">dditional bridging comparability study was performed between the EU/US and </w:t>
      </w:r>
      <w:r w:rsidR="00521AB7">
        <w:t>Australian (</w:t>
      </w:r>
      <w:r>
        <w:t>AU</w:t>
      </w:r>
      <w:r w:rsidR="00521AB7">
        <w:t>)</w:t>
      </w:r>
      <w:r>
        <w:t xml:space="preserve"> </w:t>
      </w:r>
      <w:proofErr w:type="spellStart"/>
      <w:r>
        <w:t>Avastin</w:t>
      </w:r>
      <w:proofErr w:type="spellEnd"/>
      <w:r>
        <w:t xml:space="preserve"> to present EU/US </w:t>
      </w:r>
      <w:proofErr w:type="spellStart"/>
      <w:r>
        <w:t>Avastin</w:t>
      </w:r>
      <w:proofErr w:type="spellEnd"/>
      <w:r>
        <w:t xml:space="preserve"> as representative of the Australian registered innovator product.</w:t>
      </w:r>
    </w:p>
    <w:p w14:paraId="3EB57F2B" w14:textId="77777777" w:rsidR="008C0DE5" w:rsidRDefault="008C0DE5" w:rsidP="008C0DE5">
      <w:pPr>
        <w:pStyle w:val="ListBullet"/>
      </w:pPr>
      <w:r>
        <w:t xml:space="preserve">Extensive characterisation studies involving comparison of primary, secondary and tertiary structures, physicochemical properties and biological activities showed that </w:t>
      </w:r>
      <w:proofErr w:type="spellStart"/>
      <w:r>
        <w:t>Zirabev</w:t>
      </w:r>
      <w:proofErr w:type="spellEnd"/>
      <w:r>
        <w:t xml:space="preserve"> and EU/US </w:t>
      </w:r>
      <w:proofErr w:type="spellStart"/>
      <w:r>
        <w:t>Avastin</w:t>
      </w:r>
      <w:proofErr w:type="spellEnd"/>
      <w:r>
        <w:t xml:space="preserve"> are generally similar. However, several differences have been noted as highlighted below:</w:t>
      </w:r>
    </w:p>
    <w:p w14:paraId="53DC78B9" w14:textId="77777777" w:rsidR="008C0DE5" w:rsidRDefault="008C0DE5" w:rsidP="008C0DE5">
      <w:pPr>
        <w:pStyle w:val="ListBullet2"/>
      </w:pPr>
      <w:r>
        <w:lastRenderedPageBreak/>
        <w:t>Elevated levels</w:t>
      </w:r>
      <w:r w:rsidR="00521AB7">
        <w:t xml:space="preserve"> of H chain C-terminal lysine; </w:t>
      </w:r>
      <w:r>
        <w:t xml:space="preserve">the C-terminal region of a </w:t>
      </w:r>
      <w:r w:rsidR="00521AB7">
        <w:t>monoclonal antibody (</w:t>
      </w:r>
      <w:proofErr w:type="spellStart"/>
      <w:r>
        <w:t>mAb</w:t>
      </w:r>
      <w:proofErr w:type="spellEnd"/>
      <w:r w:rsidR="00521AB7">
        <w:t>)</w:t>
      </w:r>
      <w:r>
        <w:t xml:space="preserve"> is not involved in target antigen binding, therefore no impact on biological activity</w:t>
      </w:r>
      <w:r w:rsidR="00521AB7">
        <w:t>.</w:t>
      </w:r>
    </w:p>
    <w:p w14:paraId="4C1044D2" w14:textId="77777777" w:rsidR="008C0DE5" w:rsidRDefault="008C0DE5" w:rsidP="000D4B50">
      <w:pPr>
        <w:pStyle w:val="ListBullet2"/>
      </w:pPr>
      <w:r>
        <w:t xml:space="preserve">Minor differences in the abundance of some </w:t>
      </w:r>
      <w:r w:rsidR="00521AB7">
        <w:t xml:space="preserve">low-level N-linked </w:t>
      </w:r>
      <w:proofErr w:type="spellStart"/>
      <w:r w:rsidR="00521AB7">
        <w:t>glycoforms</w:t>
      </w:r>
      <w:proofErr w:type="spellEnd"/>
      <w:r w:rsidR="00521AB7">
        <w:t xml:space="preserve">; </w:t>
      </w:r>
      <w:r>
        <w:t xml:space="preserve">bevacizumab </w:t>
      </w:r>
      <w:r w:rsidR="00521AB7" w:rsidRPr="00521AB7">
        <w:t xml:space="preserve">complement dependent cytotoxicity </w:t>
      </w:r>
      <w:r w:rsidR="00521AB7">
        <w:t>(</w:t>
      </w:r>
      <w:r>
        <w:t>CDC</w:t>
      </w:r>
      <w:r w:rsidR="00521AB7">
        <w:t>)</w:t>
      </w:r>
      <w:r>
        <w:t>/</w:t>
      </w:r>
      <w:r w:rsidR="000D4B50" w:rsidRPr="000D4B50">
        <w:t xml:space="preserve"> antibody-dependent cell-mediated cytotoxicity </w:t>
      </w:r>
      <w:r w:rsidR="000D4B50">
        <w:t>(</w:t>
      </w:r>
      <w:r>
        <w:t>ADCC</w:t>
      </w:r>
      <w:r w:rsidR="000D4B50">
        <w:t>)</w:t>
      </w:r>
      <w:r>
        <w:t xml:space="preserve"> activity is not relevant and therefore these differences are not expected to be clinically relevant</w:t>
      </w:r>
      <w:r w:rsidR="00521AB7">
        <w:t>.</w:t>
      </w:r>
    </w:p>
    <w:p w14:paraId="272D108C" w14:textId="77777777" w:rsidR="008C0DE5" w:rsidRDefault="008C0DE5" w:rsidP="008C0DE5">
      <w:pPr>
        <w:pStyle w:val="ListBullet2"/>
      </w:pPr>
      <w:r>
        <w:t>Elevated basic species levels (charge isoforms) due to C-terminal lysine (see above)</w:t>
      </w:r>
      <w:r w:rsidR="00521AB7">
        <w:t>.</w:t>
      </w:r>
    </w:p>
    <w:p w14:paraId="06E07FB0" w14:textId="05F2EC7E" w:rsidR="008C0DE5" w:rsidRDefault="008C0DE5" w:rsidP="008C0DE5">
      <w:pPr>
        <w:pStyle w:val="ListBullet2"/>
      </w:pPr>
      <w:r>
        <w:t>Lower lev</w:t>
      </w:r>
      <w:r w:rsidR="00521AB7">
        <w:t xml:space="preserve">els of fragments; </w:t>
      </w:r>
      <w:r>
        <w:t>this is clinically desirable and therefore, this quantitative difference is not meaningful</w:t>
      </w:r>
      <w:r w:rsidR="008A6DD8">
        <w:t>.</w:t>
      </w:r>
    </w:p>
    <w:p w14:paraId="6D8F3895" w14:textId="77777777" w:rsidR="008C0DE5" w:rsidRDefault="000D4B50" w:rsidP="008C0DE5">
      <w:pPr>
        <w:pStyle w:val="ListBullet"/>
      </w:pPr>
      <w:r>
        <w:t>Overall, the s</w:t>
      </w:r>
      <w:r w:rsidR="008C0DE5">
        <w:t xml:space="preserve">ponsor has demonstrated that </w:t>
      </w:r>
      <w:proofErr w:type="spellStart"/>
      <w:r w:rsidR="008C0DE5">
        <w:t>Zirabev</w:t>
      </w:r>
      <w:proofErr w:type="spellEnd"/>
      <w:r w:rsidR="008C0DE5">
        <w:t xml:space="preserve"> is comparable to </w:t>
      </w:r>
      <w:proofErr w:type="spellStart"/>
      <w:r w:rsidR="008C0DE5">
        <w:t>Avastin</w:t>
      </w:r>
      <w:proofErr w:type="spellEnd"/>
      <w:r w:rsidR="008C0DE5">
        <w:t xml:space="preserve"> in terms of structure, species, functi</w:t>
      </w:r>
      <w:r>
        <w:t>on and degradation profile (that is,</w:t>
      </w:r>
      <w:r w:rsidR="008C0DE5">
        <w:t xml:space="preserve"> </w:t>
      </w:r>
      <w:proofErr w:type="spellStart"/>
      <w:r w:rsidR="008C0DE5">
        <w:t>physicochemically</w:t>
      </w:r>
      <w:proofErr w:type="spellEnd"/>
      <w:r w:rsidR="008C0DE5">
        <w:t xml:space="preserve"> and biologically).</w:t>
      </w:r>
    </w:p>
    <w:p w14:paraId="2A7AAE6E" w14:textId="77777777" w:rsidR="008C0DE5" w:rsidRDefault="008C0DE5" w:rsidP="008C0DE5">
      <w:r>
        <w:t xml:space="preserve">To summarise, the quality evaluator has no objections on quality grounds to the approval of </w:t>
      </w:r>
      <w:proofErr w:type="spellStart"/>
      <w:r>
        <w:t>Zirabev</w:t>
      </w:r>
      <w:proofErr w:type="spellEnd"/>
      <w:r>
        <w:t>. In their summary, the quality evaluator states:</w:t>
      </w:r>
    </w:p>
    <w:p w14:paraId="3F828701" w14:textId="77777777" w:rsidR="008C0DE5" w:rsidRDefault="008C0DE5" w:rsidP="008C0DE5">
      <w:pPr>
        <w:pStyle w:val="ListBullet"/>
      </w:pPr>
      <w:r>
        <w:t xml:space="preserve">There are no objections on quality grounds to the approval of </w:t>
      </w:r>
      <w:proofErr w:type="spellStart"/>
      <w:r>
        <w:t>Zirabev</w:t>
      </w:r>
      <w:proofErr w:type="spellEnd"/>
      <w:r>
        <w:t xml:space="preserve"> (bevacizumab) 100 mg/4 mL and 400 mg/16 mL concentrated solution for injection for infusion.</w:t>
      </w:r>
    </w:p>
    <w:p w14:paraId="0D82116D" w14:textId="1DD5BBEB" w:rsidR="00E45619" w:rsidRDefault="008C0DE5" w:rsidP="008C0DE5">
      <w:pPr>
        <w:pStyle w:val="ListBullet"/>
      </w:pPr>
      <w:r>
        <w:t xml:space="preserve">The active substance of </w:t>
      </w:r>
      <w:proofErr w:type="spellStart"/>
      <w:r>
        <w:t>Zirabev</w:t>
      </w:r>
      <w:proofErr w:type="spellEnd"/>
      <w:r>
        <w:t xml:space="preserve"> (bevacizumab) has been developed as a similar biological medicinal product (biosimilar) to that of the currently registered reference product </w:t>
      </w:r>
      <w:proofErr w:type="spellStart"/>
      <w:r>
        <w:t>Avastin</w:t>
      </w:r>
      <w:proofErr w:type="spellEnd"/>
      <w:r w:rsidR="0061455C">
        <w:t xml:space="preserve"> (bevacizumab)</w:t>
      </w:r>
      <w:r>
        <w:t>.</w:t>
      </w:r>
    </w:p>
    <w:p w14:paraId="51E330D4" w14:textId="77777777" w:rsidR="008E7846" w:rsidRDefault="008E7846" w:rsidP="008E7846">
      <w:pPr>
        <w:pStyle w:val="Heading3"/>
      </w:pPr>
      <w:bookmarkStart w:id="35" w:name="_Toc314842512"/>
      <w:bookmarkStart w:id="36" w:name="_Toc33614746"/>
      <w:r>
        <w:t>Nonclinical</w:t>
      </w:r>
      <w:bookmarkEnd w:id="35"/>
      <w:bookmarkEnd w:id="36"/>
    </w:p>
    <w:p w14:paraId="13D511A1" w14:textId="77777777" w:rsidR="008C0DE5" w:rsidRDefault="008C0DE5" w:rsidP="008C0DE5">
      <w:r>
        <w:t xml:space="preserve">The scope of the nonclinical data was </w:t>
      </w:r>
      <w:r w:rsidRPr="00851850">
        <w:t xml:space="preserve">pharmacokinetic and repeat-dose toxicity studies with </w:t>
      </w:r>
      <w:proofErr w:type="spellStart"/>
      <w:r>
        <w:t>Zirabev</w:t>
      </w:r>
      <w:proofErr w:type="spellEnd"/>
      <w:r>
        <w:t xml:space="preserve"> and </w:t>
      </w:r>
      <w:proofErr w:type="spellStart"/>
      <w:r>
        <w:t>Avastin</w:t>
      </w:r>
      <w:proofErr w:type="spellEnd"/>
      <w:r w:rsidRPr="00851850">
        <w:t xml:space="preserve">. Comparative </w:t>
      </w:r>
      <w:r w:rsidRPr="00851850">
        <w:rPr>
          <w:i/>
          <w:iCs/>
        </w:rPr>
        <w:t xml:space="preserve">in vitro </w:t>
      </w:r>
      <w:r w:rsidRPr="00851850">
        <w:t xml:space="preserve">pharmacology studies were contained in </w:t>
      </w:r>
      <w:r>
        <w:t>quality dossier</w:t>
      </w:r>
      <w:r w:rsidRPr="00851850">
        <w:t xml:space="preserve"> and evaluated in the </w:t>
      </w:r>
      <w:r>
        <w:t>quality evaluation report</w:t>
      </w:r>
      <w:r w:rsidRPr="00851850">
        <w:t>.</w:t>
      </w:r>
    </w:p>
    <w:p w14:paraId="70121471" w14:textId="77777777" w:rsidR="008C0DE5" w:rsidRPr="00946671" w:rsidRDefault="008C0DE5" w:rsidP="008C0DE5">
      <w:r>
        <w:t>The summary, conclusions and recommendation by the nonclinical evaluator included the following information:</w:t>
      </w:r>
    </w:p>
    <w:p w14:paraId="00A733C8" w14:textId="6A43473F" w:rsidR="008C0DE5" w:rsidRPr="00946671" w:rsidRDefault="008C0DE5" w:rsidP="008C0DE5">
      <w:pPr>
        <w:pStyle w:val="ListBullet"/>
      </w:pPr>
      <w:r w:rsidRPr="00946671">
        <w:t>No meaning</w:t>
      </w:r>
      <w:r>
        <w:t xml:space="preserve">ful differences between </w:t>
      </w:r>
      <w:proofErr w:type="spellStart"/>
      <w:r>
        <w:t>Zirabev</w:t>
      </w:r>
      <w:proofErr w:type="spellEnd"/>
      <w:r>
        <w:t xml:space="preserve"> </w:t>
      </w:r>
      <w:r w:rsidR="0061455C">
        <w:t xml:space="preserve">bevacizumab </w:t>
      </w:r>
      <w:r>
        <w:t xml:space="preserve">and </w:t>
      </w:r>
      <w:proofErr w:type="spellStart"/>
      <w:r>
        <w:t>Avastin</w:t>
      </w:r>
      <w:proofErr w:type="spellEnd"/>
      <w:r>
        <w:t xml:space="preserve"> </w:t>
      </w:r>
      <w:r w:rsidR="0061455C">
        <w:t xml:space="preserve">bevacizumab </w:t>
      </w:r>
      <w:r w:rsidRPr="00946671">
        <w:t>were observed in the comparative pharmaco</w:t>
      </w:r>
      <w:r>
        <w:t xml:space="preserve">kinetic </w:t>
      </w:r>
      <w:r w:rsidR="000D4B50">
        <w:t xml:space="preserve">(PK) </w:t>
      </w:r>
      <w:r>
        <w:t>and the toxicity study.</w:t>
      </w:r>
    </w:p>
    <w:p w14:paraId="297A3588" w14:textId="77777777" w:rsidR="008C0DE5" w:rsidRPr="00946671" w:rsidRDefault="008C0DE5" w:rsidP="008C0DE5">
      <w:pPr>
        <w:pStyle w:val="ListBullet"/>
      </w:pPr>
      <w:r w:rsidRPr="00946671">
        <w:t>There are no nonclinical objections to the appro</w:t>
      </w:r>
      <w:r>
        <w:t xml:space="preserve">val of </w:t>
      </w:r>
      <w:proofErr w:type="spellStart"/>
      <w:r>
        <w:t>Zirabev</w:t>
      </w:r>
      <w:proofErr w:type="spellEnd"/>
      <w:r w:rsidRPr="00946671">
        <w:t xml:space="preserve"> provided that the </w:t>
      </w:r>
      <w:r>
        <w:t>quality</w:t>
      </w:r>
      <w:r w:rsidRPr="00946671">
        <w:t xml:space="preserve"> evaluato</w:t>
      </w:r>
      <w:r>
        <w:t xml:space="preserve">r finds that EU-sourced </w:t>
      </w:r>
      <w:proofErr w:type="spellStart"/>
      <w:r>
        <w:t>Avastin</w:t>
      </w:r>
      <w:proofErr w:type="spellEnd"/>
      <w:r w:rsidRPr="00946671">
        <w:t xml:space="preserve"> used in </w:t>
      </w:r>
      <w:r>
        <w:t>the</w:t>
      </w:r>
      <w:r w:rsidRPr="00946671">
        <w:t xml:space="preserve"> nonclinical investigations to be comparable to the Australian product, and </w:t>
      </w:r>
      <w:r w:rsidRPr="00946671">
        <w:rPr>
          <w:i/>
          <w:iCs/>
        </w:rPr>
        <w:t xml:space="preserve">in vitro </w:t>
      </w:r>
      <w:r w:rsidRPr="00946671">
        <w:t>pharmacology studies demonstrate</w:t>
      </w:r>
      <w:r>
        <w:t xml:space="preserve">d comparability between </w:t>
      </w:r>
      <w:proofErr w:type="spellStart"/>
      <w:r>
        <w:t>Zirabev</w:t>
      </w:r>
      <w:proofErr w:type="spellEnd"/>
      <w:r w:rsidRPr="00946671">
        <w:t xml:space="preserve"> and </w:t>
      </w:r>
      <w:proofErr w:type="spellStart"/>
      <w:r w:rsidRPr="00946671">
        <w:t>Av</w:t>
      </w:r>
      <w:r>
        <w:t>astin</w:t>
      </w:r>
      <w:proofErr w:type="spellEnd"/>
      <w:r>
        <w:t>.</w:t>
      </w:r>
    </w:p>
    <w:p w14:paraId="50646CE3" w14:textId="77777777" w:rsidR="008E7846" w:rsidRDefault="008C0DE5" w:rsidP="008E7846">
      <w:pPr>
        <w:pStyle w:val="ListBullet"/>
      </w:pPr>
      <w:r w:rsidRPr="00946671">
        <w:t>Statements in the dr</w:t>
      </w:r>
      <w:r w:rsidR="00920F41">
        <w:t xml:space="preserve">aft </w:t>
      </w:r>
      <w:r w:rsidR="000D4B50">
        <w:t>PI</w:t>
      </w:r>
      <w:r w:rsidR="00920F41">
        <w:t xml:space="preserve"> </w:t>
      </w:r>
      <w:proofErr w:type="spellStart"/>
      <w:r w:rsidR="00920F41">
        <w:t>Zirabev</w:t>
      </w:r>
      <w:proofErr w:type="spellEnd"/>
      <w:r w:rsidRPr="00946671">
        <w:t xml:space="preserve"> that pertain to nonclinical data are consistent with those for the app</w:t>
      </w:r>
      <w:r w:rsidR="00920F41">
        <w:t xml:space="preserve">roved Australian PI for </w:t>
      </w:r>
      <w:proofErr w:type="spellStart"/>
      <w:r w:rsidR="00920F41">
        <w:t>Avastin</w:t>
      </w:r>
      <w:proofErr w:type="spellEnd"/>
      <w:r w:rsidRPr="00946671">
        <w:t xml:space="preserve"> and are therefore acceptable </w:t>
      </w:r>
      <w:r w:rsidR="00920F41">
        <w:t>from a nonclinical perspective.</w:t>
      </w:r>
    </w:p>
    <w:p w14:paraId="37B21493" w14:textId="77777777" w:rsidR="008E7846" w:rsidRDefault="008E7846" w:rsidP="008E7846">
      <w:pPr>
        <w:pStyle w:val="Heading3"/>
      </w:pPr>
      <w:bookmarkStart w:id="37" w:name="_Toc247691530"/>
      <w:bookmarkStart w:id="38" w:name="_Toc314842513"/>
      <w:bookmarkStart w:id="39" w:name="_Toc33614747"/>
      <w:r>
        <w:t>Clinical</w:t>
      </w:r>
      <w:bookmarkEnd w:id="37"/>
      <w:bookmarkEnd w:id="38"/>
      <w:bookmarkEnd w:id="39"/>
    </w:p>
    <w:p w14:paraId="45CC0DF0" w14:textId="77777777" w:rsidR="00920F41" w:rsidRDefault="00920F41" w:rsidP="000D4B50">
      <w:bookmarkStart w:id="40" w:name="_Toc314842514"/>
      <w:r>
        <w:t>There are 3 clinical studies included in the Australian dossier to consider which are summarised briefly below</w:t>
      </w:r>
      <w:r w:rsidR="000D4B50">
        <w:t xml:space="preserve"> in </w:t>
      </w:r>
      <w:r w:rsidR="000D4B50">
        <w:fldChar w:fldCharType="begin"/>
      </w:r>
      <w:r w:rsidR="000D4B50">
        <w:instrText xml:space="preserve"> REF _Ref31375278 \h </w:instrText>
      </w:r>
      <w:r w:rsidR="000D4B50">
        <w:fldChar w:fldCharType="separate"/>
      </w:r>
      <w:r w:rsidR="000D4B50">
        <w:t xml:space="preserve">Table </w:t>
      </w:r>
      <w:r w:rsidR="000D4B50">
        <w:rPr>
          <w:noProof/>
        </w:rPr>
        <w:t>3</w:t>
      </w:r>
      <w:r w:rsidR="000D4B50">
        <w:fldChar w:fldCharType="end"/>
      </w:r>
      <w:r>
        <w:t>.</w:t>
      </w:r>
    </w:p>
    <w:p w14:paraId="403F956A" w14:textId="1684052F" w:rsidR="000D4B50" w:rsidRPr="00165D8F" w:rsidRDefault="000D4B50" w:rsidP="000D4B50">
      <w:pPr>
        <w:pStyle w:val="TableTitle"/>
      </w:pPr>
      <w:bookmarkStart w:id="41" w:name="_Ref31375278"/>
      <w:r>
        <w:lastRenderedPageBreak/>
        <w:t xml:space="preserve">Table </w:t>
      </w:r>
      <w:r w:rsidR="00D97F65">
        <w:fldChar w:fldCharType="begin"/>
      </w:r>
      <w:r w:rsidR="00D97F65">
        <w:instrText xml:space="preserve"> SEQ Table \* ARABIC </w:instrText>
      </w:r>
      <w:r w:rsidR="00D97F65">
        <w:fldChar w:fldCharType="separate"/>
      </w:r>
      <w:r w:rsidR="00380602">
        <w:rPr>
          <w:noProof/>
        </w:rPr>
        <w:t>3</w:t>
      </w:r>
      <w:r w:rsidR="00D97F65">
        <w:rPr>
          <w:noProof/>
        </w:rPr>
        <w:fldChar w:fldCharType="end"/>
      </w:r>
      <w:bookmarkEnd w:id="41"/>
      <w:r>
        <w:t>: Clinical studies included in the Australian dossier</w:t>
      </w:r>
    </w:p>
    <w:tbl>
      <w:tblPr>
        <w:tblStyle w:val="TableTGAblue"/>
        <w:tblW w:w="9390" w:type="dxa"/>
        <w:tblLook w:val="04A0" w:firstRow="1" w:lastRow="0" w:firstColumn="1" w:lastColumn="0" w:noHBand="0" w:noVBand="1"/>
      </w:tblPr>
      <w:tblGrid>
        <w:gridCol w:w="2235"/>
        <w:gridCol w:w="1701"/>
        <w:gridCol w:w="2126"/>
        <w:gridCol w:w="3328"/>
      </w:tblGrid>
      <w:tr w:rsidR="00920F41" w:rsidRPr="000D4B50" w14:paraId="70224A68" w14:textId="77777777" w:rsidTr="000D4B50">
        <w:trPr>
          <w:cnfStyle w:val="100000000000" w:firstRow="1" w:lastRow="0" w:firstColumn="0" w:lastColumn="0" w:oddVBand="0" w:evenVBand="0" w:oddHBand="0" w:evenHBand="0" w:firstRowFirstColumn="0" w:firstRowLastColumn="0" w:lastRowFirstColumn="0" w:lastRowLastColumn="0"/>
        </w:trPr>
        <w:tc>
          <w:tcPr>
            <w:tcW w:w="2235" w:type="dxa"/>
          </w:tcPr>
          <w:p w14:paraId="6253EC8E" w14:textId="77777777" w:rsidR="00920F41" w:rsidRPr="000D4B50" w:rsidRDefault="00920F41" w:rsidP="000D4B50">
            <w:pPr>
              <w:ind w:left="0" w:right="0"/>
              <w:rPr>
                <w:sz w:val="20"/>
                <w:szCs w:val="20"/>
              </w:rPr>
            </w:pPr>
            <w:r w:rsidRPr="000D4B50">
              <w:rPr>
                <w:sz w:val="20"/>
                <w:szCs w:val="20"/>
              </w:rPr>
              <w:t>Study number and design</w:t>
            </w:r>
          </w:p>
        </w:tc>
        <w:tc>
          <w:tcPr>
            <w:tcW w:w="1701" w:type="dxa"/>
          </w:tcPr>
          <w:p w14:paraId="48A6F6C0" w14:textId="77777777" w:rsidR="00920F41" w:rsidRPr="000D4B50" w:rsidRDefault="00920F41" w:rsidP="000D4B50">
            <w:pPr>
              <w:ind w:left="0" w:right="0"/>
              <w:rPr>
                <w:sz w:val="20"/>
                <w:szCs w:val="20"/>
              </w:rPr>
            </w:pPr>
            <w:r w:rsidRPr="000D4B50">
              <w:rPr>
                <w:sz w:val="20"/>
                <w:szCs w:val="20"/>
              </w:rPr>
              <w:t>Study population</w:t>
            </w:r>
          </w:p>
        </w:tc>
        <w:tc>
          <w:tcPr>
            <w:tcW w:w="2126" w:type="dxa"/>
          </w:tcPr>
          <w:p w14:paraId="4855048F" w14:textId="77777777" w:rsidR="00920F41" w:rsidRPr="000D4B50" w:rsidRDefault="00920F41" w:rsidP="000D4B50">
            <w:pPr>
              <w:ind w:left="0" w:right="0"/>
              <w:rPr>
                <w:sz w:val="20"/>
                <w:szCs w:val="20"/>
              </w:rPr>
            </w:pPr>
            <w:r w:rsidRPr="000D4B50">
              <w:rPr>
                <w:sz w:val="20"/>
                <w:szCs w:val="20"/>
              </w:rPr>
              <w:t>Primary objective</w:t>
            </w:r>
          </w:p>
          <w:p w14:paraId="009CAF81" w14:textId="77777777" w:rsidR="00920F41" w:rsidRPr="000D4B50" w:rsidRDefault="00920F41" w:rsidP="000D4B50">
            <w:pPr>
              <w:ind w:left="0" w:right="0"/>
              <w:rPr>
                <w:sz w:val="20"/>
                <w:szCs w:val="20"/>
              </w:rPr>
            </w:pPr>
          </w:p>
        </w:tc>
        <w:tc>
          <w:tcPr>
            <w:tcW w:w="3328" w:type="dxa"/>
          </w:tcPr>
          <w:p w14:paraId="16059B44" w14:textId="77777777" w:rsidR="00920F41" w:rsidRPr="000D4B50" w:rsidRDefault="00920F41" w:rsidP="000D4B50">
            <w:pPr>
              <w:ind w:left="0" w:right="0"/>
              <w:rPr>
                <w:sz w:val="20"/>
                <w:szCs w:val="20"/>
              </w:rPr>
            </w:pPr>
            <w:r w:rsidRPr="000D4B50">
              <w:rPr>
                <w:sz w:val="20"/>
                <w:szCs w:val="20"/>
              </w:rPr>
              <w:t>Secondary objectives</w:t>
            </w:r>
          </w:p>
        </w:tc>
      </w:tr>
      <w:tr w:rsidR="00920F41" w:rsidRPr="000D4B50" w14:paraId="22B3F1A6" w14:textId="77777777" w:rsidTr="008E374C">
        <w:tc>
          <w:tcPr>
            <w:tcW w:w="2235" w:type="dxa"/>
          </w:tcPr>
          <w:p w14:paraId="6E8D60CA" w14:textId="77777777" w:rsidR="00920F41" w:rsidRPr="000D4B50" w:rsidRDefault="00920F41" w:rsidP="008E374C">
            <w:pPr>
              <w:ind w:left="0" w:right="0"/>
              <w:rPr>
                <w:sz w:val="20"/>
                <w:szCs w:val="20"/>
              </w:rPr>
            </w:pPr>
            <w:r w:rsidRPr="000D4B50">
              <w:rPr>
                <w:b/>
                <w:sz w:val="20"/>
                <w:szCs w:val="20"/>
              </w:rPr>
              <w:t>B7391002</w:t>
            </w:r>
            <w:r w:rsidR="000D4B50">
              <w:rPr>
                <w:sz w:val="20"/>
                <w:szCs w:val="20"/>
              </w:rPr>
              <w:t xml:space="preserve"> Phase I</w:t>
            </w:r>
            <w:r w:rsidRPr="000D4B50">
              <w:rPr>
                <w:sz w:val="20"/>
                <w:szCs w:val="20"/>
              </w:rPr>
              <w:t xml:space="preserve"> single</w:t>
            </w:r>
            <w:r w:rsidR="000D4B50">
              <w:rPr>
                <w:sz w:val="20"/>
                <w:szCs w:val="20"/>
              </w:rPr>
              <w:t xml:space="preserve"> </w:t>
            </w:r>
            <w:r w:rsidRPr="000D4B50">
              <w:rPr>
                <w:sz w:val="20"/>
                <w:szCs w:val="20"/>
              </w:rPr>
              <w:t>dose, single arm, open label study</w:t>
            </w:r>
          </w:p>
        </w:tc>
        <w:tc>
          <w:tcPr>
            <w:tcW w:w="1701" w:type="dxa"/>
          </w:tcPr>
          <w:p w14:paraId="40C72848" w14:textId="77777777" w:rsidR="00920F41" w:rsidRPr="000D4B50" w:rsidRDefault="00920F41" w:rsidP="008E374C">
            <w:pPr>
              <w:ind w:left="0" w:right="0"/>
              <w:rPr>
                <w:sz w:val="20"/>
                <w:szCs w:val="20"/>
              </w:rPr>
            </w:pPr>
            <w:r w:rsidRPr="000D4B50">
              <w:rPr>
                <w:sz w:val="20"/>
                <w:szCs w:val="20"/>
              </w:rPr>
              <w:t>21 healthy male volunteers</w:t>
            </w:r>
          </w:p>
        </w:tc>
        <w:tc>
          <w:tcPr>
            <w:tcW w:w="2126" w:type="dxa"/>
          </w:tcPr>
          <w:p w14:paraId="33613896" w14:textId="77777777" w:rsidR="00920F41" w:rsidRPr="008E374C" w:rsidRDefault="00920F41" w:rsidP="008E374C">
            <w:pPr>
              <w:pStyle w:val="ListBullet"/>
              <w:ind w:left="357" w:right="0" w:hanging="357"/>
              <w:rPr>
                <w:sz w:val="20"/>
                <w:szCs w:val="20"/>
              </w:rPr>
            </w:pPr>
            <w:r w:rsidRPr="008E374C">
              <w:rPr>
                <w:sz w:val="20"/>
                <w:szCs w:val="20"/>
              </w:rPr>
              <w:t>To assess inter subject variability in single dose PK of bevacizumab-EU</w:t>
            </w:r>
          </w:p>
        </w:tc>
        <w:tc>
          <w:tcPr>
            <w:tcW w:w="3328" w:type="dxa"/>
          </w:tcPr>
          <w:p w14:paraId="33C49195" w14:textId="77777777" w:rsidR="00920F41" w:rsidRPr="008E374C" w:rsidRDefault="00920F41" w:rsidP="008E374C">
            <w:pPr>
              <w:pStyle w:val="ListBullet"/>
              <w:ind w:left="357" w:right="0" w:hanging="357"/>
              <w:rPr>
                <w:sz w:val="20"/>
                <w:szCs w:val="20"/>
              </w:rPr>
            </w:pPr>
            <w:r w:rsidRPr="008E374C">
              <w:rPr>
                <w:sz w:val="20"/>
                <w:szCs w:val="20"/>
              </w:rPr>
              <w:t>Assess single dose safety and tolerability of bevacizumab-EU</w:t>
            </w:r>
            <w:r w:rsidR="000D4B50" w:rsidRPr="008E374C">
              <w:rPr>
                <w:sz w:val="20"/>
                <w:szCs w:val="20"/>
              </w:rPr>
              <w:t>.</w:t>
            </w:r>
          </w:p>
          <w:p w14:paraId="1711D8B9" w14:textId="77777777" w:rsidR="00920F41" w:rsidRPr="008E374C" w:rsidRDefault="00920F41" w:rsidP="008E374C">
            <w:pPr>
              <w:pStyle w:val="ListBullet"/>
              <w:ind w:left="357" w:right="0" w:hanging="357"/>
              <w:rPr>
                <w:sz w:val="20"/>
                <w:szCs w:val="20"/>
              </w:rPr>
            </w:pPr>
            <w:r w:rsidRPr="008E374C">
              <w:rPr>
                <w:sz w:val="20"/>
                <w:szCs w:val="20"/>
              </w:rPr>
              <w:t>Assess PK of bevacizumab-EU after a single dose</w:t>
            </w:r>
          </w:p>
        </w:tc>
      </w:tr>
      <w:tr w:rsidR="00920F41" w:rsidRPr="000D4B50" w14:paraId="4D30354A" w14:textId="77777777" w:rsidTr="008E374C">
        <w:tc>
          <w:tcPr>
            <w:tcW w:w="2235" w:type="dxa"/>
          </w:tcPr>
          <w:p w14:paraId="6C4A28DF" w14:textId="77777777" w:rsidR="00920F41" w:rsidRPr="000D4B50" w:rsidRDefault="00920F41" w:rsidP="008E374C">
            <w:pPr>
              <w:ind w:left="0" w:right="0"/>
              <w:rPr>
                <w:sz w:val="20"/>
                <w:szCs w:val="20"/>
              </w:rPr>
            </w:pPr>
            <w:r w:rsidRPr="000D4B50">
              <w:rPr>
                <w:b/>
                <w:sz w:val="20"/>
                <w:szCs w:val="20"/>
              </w:rPr>
              <w:t>B7391001</w:t>
            </w:r>
            <w:r w:rsidR="000D4B50">
              <w:rPr>
                <w:sz w:val="20"/>
                <w:szCs w:val="20"/>
              </w:rPr>
              <w:t xml:space="preserve"> Phase I double blinded, randomised, 3 arm parallel comparative </w:t>
            </w:r>
            <w:r w:rsidRPr="000D4B50">
              <w:rPr>
                <w:sz w:val="20"/>
                <w:szCs w:val="20"/>
              </w:rPr>
              <w:t>study</w:t>
            </w:r>
          </w:p>
        </w:tc>
        <w:tc>
          <w:tcPr>
            <w:tcW w:w="1701" w:type="dxa"/>
          </w:tcPr>
          <w:p w14:paraId="740EDC5C" w14:textId="77777777" w:rsidR="00920F41" w:rsidRPr="000D4B50" w:rsidRDefault="00920F41" w:rsidP="008E374C">
            <w:pPr>
              <w:ind w:left="0" w:right="0"/>
              <w:rPr>
                <w:sz w:val="20"/>
                <w:szCs w:val="20"/>
              </w:rPr>
            </w:pPr>
            <w:r w:rsidRPr="000D4B50">
              <w:rPr>
                <w:sz w:val="20"/>
                <w:szCs w:val="20"/>
              </w:rPr>
              <w:t>102 healthy male volunteers</w:t>
            </w:r>
          </w:p>
        </w:tc>
        <w:tc>
          <w:tcPr>
            <w:tcW w:w="2126" w:type="dxa"/>
          </w:tcPr>
          <w:p w14:paraId="79289E3E" w14:textId="77777777" w:rsidR="00920F41" w:rsidRPr="008E374C" w:rsidRDefault="00920F41" w:rsidP="008E374C">
            <w:pPr>
              <w:pStyle w:val="ListBullet"/>
              <w:ind w:left="357" w:right="0" w:hanging="357"/>
              <w:rPr>
                <w:sz w:val="20"/>
                <w:szCs w:val="20"/>
              </w:rPr>
            </w:pPr>
            <w:r w:rsidRPr="008E374C">
              <w:rPr>
                <w:sz w:val="20"/>
                <w:szCs w:val="20"/>
              </w:rPr>
              <w:t xml:space="preserve">Compare the PK between </w:t>
            </w:r>
            <w:proofErr w:type="spellStart"/>
            <w:r w:rsidRPr="008E374C">
              <w:rPr>
                <w:sz w:val="20"/>
                <w:szCs w:val="20"/>
              </w:rPr>
              <w:t>Zirabev</w:t>
            </w:r>
            <w:proofErr w:type="spellEnd"/>
            <w:r w:rsidRPr="008E374C">
              <w:rPr>
                <w:sz w:val="20"/>
                <w:szCs w:val="20"/>
              </w:rPr>
              <w:t xml:space="preserve"> to bevacizumab-EU</w:t>
            </w:r>
            <w:r w:rsidR="000D4B50" w:rsidRPr="008E374C">
              <w:rPr>
                <w:sz w:val="20"/>
                <w:szCs w:val="20"/>
              </w:rPr>
              <w:t>.</w:t>
            </w:r>
          </w:p>
          <w:p w14:paraId="264BB539" w14:textId="77777777" w:rsidR="00920F41" w:rsidRPr="008E374C" w:rsidRDefault="00920F41" w:rsidP="008E374C">
            <w:pPr>
              <w:pStyle w:val="ListBullet"/>
              <w:ind w:left="357" w:right="0" w:hanging="357"/>
              <w:rPr>
                <w:sz w:val="20"/>
                <w:szCs w:val="20"/>
              </w:rPr>
            </w:pPr>
            <w:r w:rsidRPr="008E374C">
              <w:rPr>
                <w:sz w:val="20"/>
                <w:szCs w:val="20"/>
              </w:rPr>
              <w:t xml:space="preserve">Compare the PK between </w:t>
            </w:r>
            <w:proofErr w:type="spellStart"/>
            <w:r w:rsidRPr="008E374C">
              <w:rPr>
                <w:sz w:val="20"/>
                <w:szCs w:val="20"/>
              </w:rPr>
              <w:t>Zirabev</w:t>
            </w:r>
            <w:proofErr w:type="spellEnd"/>
            <w:r w:rsidRPr="008E374C">
              <w:rPr>
                <w:sz w:val="20"/>
                <w:szCs w:val="20"/>
              </w:rPr>
              <w:t xml:space="preserve"> to bevacizumab-US</w:t>
            </w:r>
          </w:p>
        </w:tc>
        <w:tc>
          <w:tcPr>
            <w:tcW w:w="3328" w:type="dxa"/>
          </w:tcPr>
          <w:p w14:paraId="4174198F" w14:textId="77777777" w:rsidR="00920F41" w:rsidRPr="008E374C" w:rsidRDefault="00920F41" w:rsidP="008E374C">
            <w:pPr>
              <w:pStyle w:val="ListBullet"/>
              <w:ind w:left="357" w:right="0" w:hanging="357"/>
              <w:rPr>
                <w:sz w:val="20"/>
                <w:szCs w:val="20"/>
              </w:rPr>
            </w:pPr>
            <w:r w:rsidRPr="008E374C">
              <w:rPr>
                <w:sz w:val="20"/>
                <w:szCs w:val="20"/>
              </w:rPr>
              <w:t>Compare the PK of bevacizumab-EU to bevacizumab-US</w:t>
            </w:r>
            <w:r w:rsidR="000D4B50" w:rsidRPr="008E374C">
              <w:rPr>
                <w:sz w:val="20"/>
                <w:szCs w:val="20"/>
              </w:rPr>
              <w:t>.</w:t>
            </w:r>
          </w:p>
          <w:p w14:paraId="1E05523A" w14:textId="0EEACD60" w:rsidR="00920F41" w:rsidRPr="008E374C" w:rsidRDefault="00920F41" w:rsidP="008E374C">
            <w:pPr>
              <w:pStyle w:val="ListBullet"/>
              <w:ind w:left="357" w:right="0" w:hanging="357"/>
              <w:rPr>
                <w:sz w:val="20"/>
                <w:szCs w:val="20"/>
              </w:rPr>
            </w:pPr>
            <w:r w:rsidRPr="008E374C">
              <w:rPr>
                <w:sz w:val="20"/>
                <w:szCs w:val="20"/>
              </w:rPr>
              <w:t xml:space="preserve">Evaluate the single dose safety, tolerability and immunogenicity of </w:t>
            </w:r>
            <w:proofErr w:type="spellStart"/>
            <w:r w:rsidRPr="008E374C">
              <w:rPr>
                <w:sz w:val="20"/>
                <w:szCs w:val="20"/>
              </w:rPr>
              <w:t>Zirabev</w:t>
            </w:r>
            <w:proofErr w:type="spellEnd"/>
            <w:r w:rsidR="008E374C">
              <w:rPr>
                <w:sz w:val="20"/>
                <w:szCs w:val="20"/>
              </w:rPr>
              <w:t>.</w:t>
            </w:r>
          </w:p>
        </w:tc>
      </w:tr>
      <w:tr w:rsidR="00920F41" w:rsidRPr="000D4B50" w14:paraId="53F2F446" w14:textId="77777777" w:rsidTr="008E374C">
        <w:tc>
          <w:tcPr>
            <w:tcW w:w="2235" w:type="dxa"/>
          </w:tcPr>
          <w:p w14:paraId="4D7936E4" w14:textId="77777777" w:rsidR="00920F41" w:rsidRPr="000D4B50" w:rsidRDefault="00920F41" w:rsidP="008E374C">
            <w:pPr>
              <w:ind w:left="0" w:right="0"/>
              <w:rPr>
                <w:sz w:val="20"/>
                <w:szCs w:val="20"/>
              </w:rPr>
            </w:pPr>
            <w:r w:rsidRPr="000D4B50">
              <w:rPr>
                <w:b/>
                <w:sz w:val="20"/>
                <w:szCs w:val="20"/>
              </w:rPr>
              <w:t>B7391003</w:t>
            </w:r>
            <w:r w:rsidR="000D4B50">
              <w:rPr>
                <w:sz w:val="20"/>
                <w:szCs w:val="20"/>
              </w:rPr>
              <w:t xml:space="preserve"> Phase III</w:t>
            </w:r>
            <w:r w:rsidRPr="000D4B50">
              <w:rPr>
                <w:sz w:val="20"/>
                <w:szCs w:val="20"/>
              </w:rPr>
              <w:t xml:space="preserve"> double blind, randomised, parallel group clinical study</w:t>
            </w:r>
          </w:p>
        </w:tc>
        <w:tc>
          <w:tcPr>
            <w:tcW w:w="1701" w:type="dxa"/>
          </w:tcPr>
          <w:p w14:paraId="3E3BAEF5" w14:textId="77777777" w:rsidR="00920F41" w:rsidRPr="000D4B50" w:rsidRDefault="00920F41" w:rsidP="008E374C">
            <w:pPr>
              <w:ind w:left="0" w:right="0"/>
              <w:rPr>
                <w:sz w:val="20"/>
                <w:szCs w:val="20"/>
              </w:rPr>
            </w:pPr>
            <w:r w:rsidRPr="000D4B50">
              <w:rPr>
                <w:sz w:val="20"/>
                <w:szCs w:val="20"/>
              </w:rPr>
              <w:t>719 adult patients with advanced non-squa</w:t>
            </w:r>
            <w:r w:rsidR="000D4B50">
              <w:rPr>
                <w:sz w:val="20"/>
                <w:szCs w:val="20"/>
              </w:rPr>
              <w:t>mous non-small cell lung cancer</w:t>
            </w:r>
          </w:p>
        </w:tc>
        <w:tc>
          <w:tcPr>
            <w:tcW w:w="2126" w:type="dxa"/>
          </w:tcPr>
          <w:p w14:paraId="12B3B696" w14:textId="77777777" w:rsidR="00920F41" w:rsidRPr="008E374C" w:rsidRDefault="00920F41" w:rsidP="008E374C">
            <w:pPr>
              <w:pStyle w:val="ListBullet"/>
              <w:ind w:left="357" w:right="0" w:hanging="357"/>
              <w:rPr>
                <w:sz w:val="20"/>
                <w:szCs w:val="20"/>
              </w:rPr>
            </w:pPr>
            <w:r w:rsidRPr="008E374C">
              <w:rPr>
                <w:sz w:val="20"/>
                <w:szCs w:val="20"/>
              </w:rPr>
              <w:t xml:space="preserve">Compare </w:t>
            </w:r>
            <w:r w:rsidR="000D4B50" w:rsidRPr="008E374C">
              <w:rPr>
                <w:sz w:val="20"/>
                <w:szCs w:val="20"/>
              </w:rPr>
              <w:t>overall response rate (</w:t>
            </w:r>
            <w:r w:rsidRPr="008E374C">
              <w:rPr>
                <w:sz w:val="20"/>
                <w:szCs w:val="20"/>
              </w:rPr>
              <w:t>ORR</w:t>
            </w:r>
            <w:r w:rsidR="000D4B50" w:rsidRPr="008E374C">
              <w:rPr>
                <w:sz w:val="20"/>
                <w:szCs w:val="20"/>
              </w:rPr>
              <w:t>)</w:t>
            </w:r>
            <w:r w:rsidRPr="008E374C">
              <w:rPr>
                <w:sz w:val="20"/>
                <w:szCs w:val="20"/>
              </w:rPr>
              <w:t xml:space="preserve"> following treatment with </w:t>
            </w:r>
            <w:proofErr w:type="spellStart"/>
            <w:r w:rsidRPr="008E374C">
              <w:rPr>
                <w:sz w:val="20"/>
                <w:szCs w:val="20"/>
              </w:rPr>
              <w:t>Zirabev</w:t>
            </w:r>
            <w:proofErr w:type="spellEnd"/>
            <w:r w:rsidRPr="008E374C">
              <w:rPr>
                <w:sz w:val="20"/>
                <w:szCs w:val="20"/>
              </w:rPr>
              <w:t xml:space="preserve"> plus paclitaxel and carboplatin to bevacizumab-EU plus paclitaxel and carboplatin</w:t>
            </w:r>
          </w:p>
        </w:tc>
        <w:tc>
          <w:tcPr>
            <w:tcW w:w="3328" w:type="dxa"/>
          </w:tcPr>
          <w:p w14:paraId="13705A35" w14:textId="77777777" w:rsidR="00920F41" w:rsidRPr="008E374C" w:rsidRDefault="00920F41" w:rsidP="008E374C">
            <w:pPr>
              <w:pStyle w:val="ListBullet"/>
              <w:ind w:left="357" w:right="0" w:hanging="357"/>
              <w:rPr>
                <w:sz w:val="20"/>
                <w:szCs w:val="20"/>
              </w:rPr>
            </w:pPr>
            <w:r w:rsidRPr="008E374C">
              <w:rPr>
                <w:sz w:val="20"/>
                <w:szCs w:val="20"/>
              </w:rPr>
              <w:t xml:space="preserve">Evaluate the safety of </w:t>
            </w:r>
            <w:proofErr w:type="spellStart"/>
            <w:r w:rsidRPr="008E374C">
              <w:rPr>
                <w:sz w:val="20"/>
                <w:szCs w:val="20"/>
              </w:rPr>
              <w:t>Zirabev</w:t>
            </w:r>
            <w:proofErr w:type="spellEnd"/>
            <w:r w:rsidRPr="008E374C">
              <w:rPr>
                <w:sz w:val="20"/>
                <w:szCs w:val="20"/>
              </w:rPr>
              <w:t xml:space="preserve"> plus paclitaxel and carboplatin</w:t>
            </w:r>
          </w:p>
          <w:p w14:paraId="58416231" w14:textId="77777777" w:rsidR="00920F41" w:rsidRPr="008E374C" w:rsidRDefault="00920F41" w:rsidP="008E374C">
            <w:pPr>
              <w:pStyle w:val="ListBullet"/>
              <w:ind w:left="357" w:right="0" w:hanging="357"/>
              <w:rPr>
                <w:sz w:val="20"/>
                <w:szCs w:val="20"/>
              </w:rPr>
            </w:pPr>
            <w:r w:rsidRPr="008E374C">
              <w:rPr>
                <w:sz w:val="20"/>
                <w:szCs w:val="20"/>
              </w:rPr>
              <w:t>Evaluate secondary measures of tumour control</w:t>
            </w:r>
          </w:p>
          <w:p w14:paraId="5F60E1D1" w14:textId="77777777" w:rsidR="00920F41" w:rsidRPr="008E374C" w:rsidRDefault="00920F41" w:rsidP="008E374C">
            <w:pPr>
              <w:pStyle w:val="ListBullet"/>
              <w:ind w:left="357" w:right="0" w:hanging="357"/>
              <w:rPr>
                <w:sz w:val="20"/>
                <w:szCs w:val="20"/>
              </w:rPr>
            </w:pPr>
            <w:r w:rsidRPr="008E374C">
              <w:rPr>
                <w:sz w:val="20"/>
                <w:szCs w:val="20"/>
              </w:rPr>
              <w:t xml:space="preserve">Evaluate the population PK of </w:t>
            </w:r>
            <w:proofErr w:type="spellStart"/>
            <w:r w:rsidRPr="008E374C">
              <w:rPr>
                <w:sz w:val="20"/>
                <w:szCs w:val="20"/>
              </w:rPr>
              <w:t>Zirabev</w:t>
            </w:r>
            <w:proofErr w:type="spellEnd"/>
            <w:r w:rsidRPr="008E374C">
              <w:rPr>
                <w:sz w:val="20"/>
                <w:szCs w:val="20"/>
              </w:rPr>
              <w:t xml:space="preserve"> and bevacizumab-EU</w:t>
            </w:r>
          </w:p>
          <w:p w14:paraId="22C3FDF9" w14:textId="77777777" w:rsidR="00920F41" w:rsidRPr="008E374C" w:rsidRDefault="00920F41" w:rsidP="008E374C">
            <w:pPr>
              <w:pStyle w:val="ListBullet"/>
              <w:ind w:left="357" w:right="0" w:hanging="357"/>
              <w:rPr>
                <w:sz w:val="20"/>
                <w:szCs w:val="20"/>
              </w:rPr>
            </w:pPr>
            <w:r w:rsidRPr="008E374C">
              <w:rPr>
                <w:sz w:val="20"/>
                <w:szCs w:val="20"/>
              </w:rPr>
              <w:t xml:space="preserve">Evaluate the immunogenicity of </w:t>
            </w:r>
            <w:proofErr w:type="spellStart"/>
            <w:r w:rsidRPr="008E374C">
              <w:rPr>
                <w:sz w:val="20"/>
                <w:szCs w:val="20"/>
              </w:rPr>
              <w:t>Zirabev</w:t>
            </w:r>
            <w:proofErr w:type="spellEnd"/>
            <w:r w:rsidRPr="008E374C">
              <w:rPr>
                <w:sz w:val="20"/>
                <w:szCs w:val="20"/>
              </w:rPr>
              <w:t xml:space="preserve"> and bevacizumab-EU</w:t>
            </w:r>
          </w:p>
        </w:tc>
      </w:tr>
    </w:tbl>
    <w:p w14:paraId="2A9211D3" w14:textId="77777777" w:rsidR="00920F41" w:rsidRDefault="000D4B50" w:rsidP="000D4B50">
      <w:pPr>
        <w:pStyle w:val="Heading4"/>
      </w:pPr>
      <w:r>
        <w:t>Pharmacokinetics</w:t>
      </w:r>
    </w:p>
    <w:p w14:paraId="40C290D0" w14:textId="77777777" w:rsidR="00920F41" w:rsidRDefault="00920F41" w:rsidP="00920F41">
      <w:r>
        <w:t xml:space="preserve">There are 2 studies in the PK program for </w:t>
      </w:r>
      <w:proofErr w:type="spellStart"/>
      <w:r>
        <w:t>Zi</w:t>
      </w:r>
      <w:r w:rsidR="000D4B50">
        <w:t>rabev</w:t>
      </w:r>
      <w:proofErr w:type="spellEnd"/>
      <w:r w:rsidR="000D4B50">
        <w:t>.</w:t>
      </w:r>
    </w:p>
    <w:p w14:paraId="033A4825" w14:textId="77777777" w:rsidR="00920F41" w:rsidRPr="000D4B50" w:rsidRDefault="00920F41" w:rsidP="000D4B50">
      <w:pPr>
        <w:pStyle w:val="Heading5"/>
      </w:pPr>
      <w:r w:rsidRPr="000D4B50">
        <w:t>Study B7391002</w:t>
      </w:r>
    </w:p>
    <w:p w14:paraId="6DEE58FA" w14:textId="77777777" w:rsidR="00920F41" w:rsidRDefault="00AD072A" w:rsidP="00920F41">
      <w:r w:rsidRPr="00AD072A">
        <w:t>Study B7391002</w:t>
      </w:r>
      <w:r>
        <w:t xml:space="preserve"> </w:t>
      </w:r>
      <w:r w:rsidR="000D4B50">
        <w:t>was a Phase I</w:t>
      </w:r>
      <w:r w:rsidR="00920F41">
        <w:t>, sing</w:t>
      </w:r>
      <w:r w:rsidR="000D4B50">
        <w:t>le dose, single arm open label PK</w:t>
      </w:r>
      <w:r w:rsidR="00920F41">
        <w:t xml:space="preserve"> variability study conducted at 1 centre in Belgium from 8 April 2013 to 1 August 2013. 21 healthy male volunteers received a single dose (5</w:t>
      </w:r>
      <w:r w:rsidR="000D4B50">
        <w:t xml:space="preserve"> </w:t>
      </w:r>
      <w:r w:rsidR="00920F41">
        <w:t>m</w:t>
      </w:r>
      <w:r w:rsidR="000D4B50">
        <w:t xml:space="preserve">g/kg) of bevacizumab-EU as a 90 </w:t>
      </w:r>
      <w:r w:rsidR="00920F41">
        <w:t>minute IV infusion.</w:t>
      </w:r>
    </w:p>
    <w:p w14:paraId="6BD86F19" w14:textId="77777777" w:rsidR="00920F41" w:rsidRDefault="000D4B50" w:rsidP="00AD072A">
      <w:r>
        <w:t>In S</w:t>
      </w:r>
      <w:r w:rsidR="00920F41">
        <w:t xml:space="preserve">tudy B7391002, the mean </w:t>
      </w:r>
      <w:r>
        <w:t>maximum plasma concentration (</w:t>
      </w:r>
      <w:proofErr w:type="spellStart"/>
      <w:r w:rsidR="00920F41">
        <w:t>C</w:t>
      </w:r>
      <w:r w:rsidR="00920F41" w:rsidRPr="003D6674">
        <w:rPr>
          <w:vertAlign w:val="subscript"/>
        </w:rPr>
        <w:t>max</w:t>
      </w:r>
      <w:proofErr w:type="spellEnd"/>
      <w:r>
        <w:t xml:space="preserve">) was </w:t>
      </w:r>
      <w:r w:rsidR="00920F41">
        <w:t xml:space="preserve">117 </w:t>
      </w:r>
      <w:r>
        <w:t>µg/</w:t>
      </w:r>
      <w:proofErr w:type="spellStart"/>
      <w:r>
        <w:t>mL.</w:t>
      </w:r>
      <w:proofErr w:type="spellEnd"/>
      <w:r>
        <w:t xml:space="preserve"> T</w:t>
      </w:r>
      <w:r w:rsidR="00AD072A">
        <w:t>he mean area</w:t>
      </w:r>
      <w:r w:rsidR="00920F41">
        <w:t xml:space="preserve"> under the </w:t>
      </w:r>
      <w:r w:rsidR="00AD072A">
        <w:t xml:space="preserve">concentration time </w:t>
      </w:r>
      <w:r w:rsidR="00920F41">
        <w:t>curve from time zero to time t (</w:t>
      </w:r>
      <w:proofErr w:type="spellStart"/>
      <w:r w:rsidR="00920F41">
        <w:t>AUC</w:t>
      </w:r>
      <w:r w:rsidR="00920F41" w:rsidRPr="00AD072A">
        <w:rPr>
          <w:sz w:val="20"/>
          <w:vertAlign w:val="subscript"/>
        </w:rPr>
        <w:t>t</w:t>
      </w:r>
      <w:proofErr w:type="spellEnd"/>
      <w:r w:rsidR="00AD072A">
        <w:t>) was 43020 µg*hour/</w:t>
      </w:r>
      <w:proofErr w:type="spellStart"/>
      <w:r w:rsidR="00AD072A">
        <w:t>mL.</w:t>
      </w:r>
      <w:proofErr w:type="spellEnd"/>
    </w:p>
    <w:p w14:paraId="692B01CC" w14:textId="77777777" w:rsidR="00920F41" w:rsidRDefault="00920F41" w:rsidP="00920F41">
      <w:r>
        <w:t>The PK of bevacizumab-EU following a single IV dose of 5</w:t>
      </w:r>
      <w:r w:rsidR="00AD072A">
        <w:t xml:space="preserve"> </w:t>
      </w:r>
      <w:r>
        <w:t>mg/kg showed relatively low variability, and appeared to be generally safe and well tole</w:t>
      </w:r>
      <w:r w:rsidR="00AD072A">
        <w:t>rated in healthy male subjects.</w:t>
      </w:r>
    </w:p>
    <w:p w14:paraId="31F0E8B8" w14:textId="77777777" w:rsidR="00920F41" w:rsidRPr="000D4B50" w:rsidRDefault="00920F41" w:rsidP="000D4B50">
      <w:pPr>
        <w:pStyle w:val="Heading5"/>
      </w:pPr>
      <w:r w:rsidRPr="000D4B50">
        <w:t>Study B7391001</w:t>
      </w:r>
    </w:p>
    <w:p w14:paraId="021CAD1E" w14:textId="463EC4C6" w:rsidR="00920F41" w:rsidRDefault="00AD072A" w:rsidP="00920F41">
      <w:r w:rsidRPr="00AD072A">
        <w:t>Study B7391001</w:t>
      </w:r>
      <w:r>
        <w:t xml:space="preserve"> was a Phase I, double </w:t>
      </w:r>
      <w:r w:rsidR="00920F41">
        <w:t>blinded, randomised, 3 armed parallel comparative study conducted at 1 centre in the US from 24 January 2014 to 5 August 2014. 102 healthy male volunteers (aged 21 to 55 years old) were randomised to receive a single dose (5</w:t>
      </w:r>
      <w:r w:rsidR="0061455C">
        <w:t> </w:t>
      </w:r>
      <w:r w:rsidR="00920F41">
        <w:t xml:space="preserve">mg/kg) of </w:t>
      </w:r>
      <w:proofErr w:type="spellStart"/>
      <w:r w:rsidR="0061455C">
        <w:t>Avastin</w:t>
      </w:r>
      <w:proofErr w:type="spellEnd"/>
      <w:r w:rsidR="0061455C">
        <w:t xml:space="preserve"> </w:t>
      </w:r>
      <w:r w:rsidR="00920F41">
        <w:t xml:space="preserve">bevacizumab-EU, </w:t>
      </w:r>
      <w:proofErr w:type="spellStart"/>
      <w:r w:rsidR="0061455C">
        <w:t>Avastin</w:t>
      </w:r>
      <w:proofErr w:type="spellEnd"/>
      <w:r w:rsidR="0061455C">
        <w:t xml:space="preserve"> </w:t>
      </w:r>
      <w:r w:rsidR="00920F41">
        <w:t xml:space="preserve">bevacizumab-US or </w:t>
      </w:r>
      <w:proofErr w:type="spellStart"/>
      <w:r w:rsidR="00920F41">
        <w:t>Zirabev</w:t>
      </w:r>
      <w:proofErr w:type="spellEnd"/>
      <w:r w:rsidR="00920F41">
        <w:t xml:space="preserve"> </w:t>
      </w:r>
      <w:r w:rsidR="0061455C">
        <w:t xml:space="preserve">bevacizumab </w:t>
      </w:r>
      <w:r w:rsidR="00920F41">
        <w:t xml:space="preserve">as a 90 minute </w:t>
      </w:r>
      <w:r>
        <w:t>IV</w:t>
      </w:r>
      <w:r w:rsidR="00920F41">
        <w:t xml:space="preserve"> infusion.</w:t>
      </w:r>
    </w:p>
    <w:p w14:paraId="212A1C4F" w14:textId="77777777" w:rsidR="00920F41" w:rsidRDefault="00F56525" w:rsidP="00920F41">
      <w:r>
        <w:fldChar w:fldCharType="begin"/>
      </w:r>
      <w:r>
        <w:instrText xml:space="preserve"> REF _Ref31376416 \h </w:instrText>
      </w:r>
      <w:r>
        <w:fldChar w:fldCharType="separate"/>
      </w:r>
      <w:r>
        <w:t xml:space="preserve">Table </w:t>
      </w:r>
      <w:r>
        <w:rPr>
          <w:noProof/>
        </w:rPr>
        <w:t>4</w:t>
      </w:r>
      <w:r>
        <w:fldChar w:fldCharType="end"/>
      </w:r>
      <w:r>
        <w:t xml:space="preserve"> </w:t>
      </w:r>
      <w:r w:rsidR="00920F41">
        <w:t>below summari</w:t>
      </w:r>
      <w:r>
        <w:t>s</w:t>
      </w:r>
      <w:r w:rsidR="00920F41">
        <w:t>es the PK data.</w:t>
      </w:r>
    </w:p>
    <w:p w14:paraId="678CD652" w14:textId="26596AD9" w:rsidR="00AD072A" w:rsidRDefault="00AD072A" w:rsidP="00AD072A">
      <w:pPr>
        <w:pStyle w:val="TableTitle"/>
      </w:pPr>
      <w:bookmarkStart w:id="42" w:name="_Ref31376416"/>
      <w:r>
        <w:lastRenderedPageBreak/>
        <w:t xml:space="preserve">Table </w:t>
      </w:r>
      <w:r w:rsidR="00D97F65">
        <w:fldChar w:fldCharType="begin"/>
      </w:r>
      <w:r w:rsidR="00D97F65">
        <w:instrText xml:space="preserve"> SEQ Table \* ARAB</w:instrText>
      </w:r>
      <w:r w:rsidR="00D97F65">
        <w:instrText xml:space="preserve">IC </w:instrText>
      </w:r>
      <w:r w:rsidR="00D97F65">
        <w:fldChar w:fldCharType="separate"/>
      </w:r>
      <w:r w:rsidR="00380602">
        <w:rPr>
          <w:noProof/>
        </w:rPr>
        <w:t>4</w:t>
      </w:r>
      <w:r w:rsidR="00D97F65">
        <w:rPr>
          <w:noProof/>
        </w:rPr>
        <w:fldChar w:fldCharType="end"/>
      </w:r>
      <w:bookmarkEnd w:id="42"/>
      <w:r>
        <w:t xml:space="preserve">: Pharmacokinetic data from </w:t>
      </w:r>
      <w:r w:rsidRPr="00AD072A">
        <w:t>Study B7391001</w:t>
      </w:r>
    </w:p>
    <w:tbl>
      <w:tblPr>
        <w:tblStyle w:val="TableTGAblue"/>
        <w:tblW w:w="0" w:type="auto"/>
        <w:tblLook w:val="04A0" w:firstRow="1" w:lastRow="0" w:firstColumn="1" w:lastColumn="0" w:noHBand="0" w:noVBand="1"/>
      </w:tblPr>
      <w:tblGrid>
        <w:gridCol w:w="856"/>
        <w:gridCol w:w="1435"/>
        <w:gridCol w:w="1735"/>
        <w:gridCol w:w="1732"/>
        <w:gridCol w:w="2962"/>
      </w:tblGrid>
      <w:tr w:rsidR="0061455C" w:rsidRPr="00F56525" w14:paraId="325EA155" w14:textId="77777777" w:rsidTr="00AD072A">
        <w:trPr>
          <w:cnfStyle w:val="100000000000" w:firstRow="1" w:lastRow="0" w:firstColumn="0" w:lastColumn="0" w:oddVBand="0" w:evenVBand="0" w:oddHBand="0" w:evenHBand="0" w:firstRowFirstColumn="0" w:firstRowLastColumn="0" w:lastRowFirstColumn="0" w:lastRowLastColumn="0"/>
        </w:trPr>
        <w:tc>
          <w:tcPr>
            <w:tcW w:w="0" w:type="auto"/>
          </w:tcPr>
          <w:p w14:paraId="2106ED8B" w14:textId="77777777" w:rsidR="00920F41" w:rsidRPr="00F56525" w:rsidRDefault="00920F41" w:rsidP="00F56525">
            <w:pPr>
              <w:ind w:left="0" w:right="0"/>
              <w:rPr>
                <w:sz w:val="20"/>
                <w:szCs w:val="20"/>
              </w:rPr>
            </w:pPr>
          </w:p>
        </w:tc>
        <w:tc>
          <w:tcPr>
            <w:tcW w:w="0" w:type="auto"/>
          </w:tcPr>
          <w:p w14:paraId="21D3BA99" w14:textId="77777777" w:rsidR="00920F41" w:rsidRPr="00F56525" w:rsidRDefault="00920F41" w:rsidP="00F56525">
            <w:pPr>
              <w:ind w:left="0" w:right="0"/>
              <w:rPr>
                <w:sz w:val="20"/>
                <w:szCs w:val="20"/>
              </w:rPr>
            </w:pPr>
            <w:proofErr w:type="spellStart"/>
            <w:r w:rsidRPr="00F56525">
              <w:rPr>
                <w:sz w:val="20"/>
                <w:szCs w:val="20"/>
              </w:rPr>
              <w:t>Zirabev</w:t>
            </w:r>
            <w:proofErr w:type="spellEnd"/>
          </w:p>
        </w:tc>
        <w:tc>
          <w:tcPr>
            <w:tcW w:w="0" w:type="auto"/>
          </w:tcPr>
          <w:p w14:paraId="52AA55E6" w14:textId="6B7F9D84" w:rsidR="00920F41" w:rsidRPr="00F56525" w:rsidRDefault="0061455C" w:rsidP="00F56525">
            <w:pPr>
              <w:ind w:left="0" w:right="0"/>
              <w:rPr>
                <w:sz w:val="20"/>
                <w:szCs w:val="20"/>
              </w:rPr>
            </w:pPr>
            <w:proofErr w:type="spellStart"/>
            <w:r>
              <w:rPr>
                <w:sz w:val="20"/>
                <w:szCs w:val="20"/>
              </w:rPr>
              <w:t>Avastin</w:t>
            </w:r>
            <w:proofErr w:type="spellEnd"/>
            <w:r>
              <w:rPr>
                <w:sz w:val="20"/>
                <w:szCs w:val="20"/>
              </w:rPr>
              <w:t xml:space="preserve"> b</w:t>
            </w:r>
            <w:r w:rsidR="00920F41" w:rsidRPr="00F56525">
              <w:rPr>
                <w:sz w:val="20"/>
                <w:szCs w:val="20"/>
              </w:rPr>
              <w:t>evacizumab-EU</w:t>
            </w:r>
          </w:p>
        </w:tc>
        <w:tc>
          <w:tcPr>
            <w:tcW w:w="0" w:type="auto"/>
          </w:tcPr>
          <w:p w14:paraId="6BAE3BFB" w14:textId="2B6EC5E5" w:rsidR="00920F41" w:rsidRPr="00F56525" w:rsidRDefault="0061455C" w:rsidP="00F56525">
            <w:pPr>
              <w:ind w:left="0" w:right="0"/>
              <w:rPr>
                <w:sz w:val="20"/>
                <w:szCs w:val="20"/>
              </w:rPr>
            </w:pPr>
            <w:proofErr w:type="spellStart"/>
            <w:r>
              <w:rPr>
                <w:sz w:val="20"/>
                <w:szCs w:val="20"/>
              </w:rPr>
              <w:t>Avastin</w:t>
            </w:r>
            <w:proofErr w:type="spellEnd"/>
            <w:r>
              <w:rPr>
                <w:sz w:val="20"/>
                <w:szCs w:val="20"/>
              </w:rPr>
              <w:t xml:space="preserve"> b</w:t>
            </w:r>
            <w:r w:rsidR="00920F41" w:rsidRPr="00F56525">
              <w:rPr>
                <w:sz w:val="20"/>
                <w:szCs w:val="20"/>
              </w:rPr>
              <w:t>evacizumab-US</w:t>
            </w:r>
          </w:p>
        </w:tc>
        <w:tc>
          <w:tcPr>
            <w:tcW w:w="0" w:type="auto"/>
          </w:tcPr>
          <w:p w14:paraId="16400DD0" w14:textId="285A0E92" w:rsidR="00920F41" w:rsidRPr="00F56525" w:rsidRDefault="00920F41" w:rsidP="00F56525">
            <w:pPr>
              <w:ind w:left="0" w:right="0"/>
              <w:rPr>
                <w:sz w:val="20"/>
                <w:szCs w:val="20"/>
              </w:rPr>
            </w:pPr>
            <w:r w:rsidRPr="00F56525">
              <w:rPr>
                <w:sz w:val="20"/>
                <w:szCs w:val="20"/>
              </w:rPr>
              <w:t xml:space="preserve">90% confidence interval for ratio between </w:t>
            </w:r>
            <w:proofErr w:type="spellStart"/>
            <w:r w:rsidRPr="00F56525">
              <w:rPr>
                <w:sz w:val="20"/>
                <w:szCs w:val="20"/>
              </w:rPr>
              <w:t>Zirabev</w:t>
            </w:r>
            <w:proofErr w:type="spellEnd"/>
            <w:r w:rsidRPr="00F56525">
              <w:rPr>
                <w:sz w:val="20"/>
                <w:szCs w:val="20"/>
              </w:rPr>
              <w:t xml:space="preserve"> and </w:t>
            </w:r>
            <w:proofErr w:type="spellStart"/>
            <w:r w:rsidR="0061455C">
              <w:rPr>
                <w:sz w:val="20"/>
                <w:szCs w:val="20"/>
              </w:rPr>
              <w:t>Avastin</w:t>
            </w:r>
            <w:proofErr w:type="spellEnd"/>
            <w:r w:rsidR="0061455C">
              <w:rPr>
                <w:sz w:val="20"/>
                <w:szCs w:val="20"/>
              </w:rPr>
              <w:t xml:space="preserve"> b</w:t>
            </w:r>
            <w:r w:rsidRPr="00F56525">
              <w:rPr>
                <w:sz w:val="20"/>
                <w:szCs w:val="20"/>
              </w:rPr>
              <w:t>evacizumab-EU</w:t>
            </w:r>
          </w:p>
        </w:tc>
      </w:tr>
      <w:tr w:rsidR="0061455C" w:rsidRPr="00F56525" w14:paraId="092364A8" w14:textId="77777777" w:rsidTr="00AD072A">
        <w:tc>
          <w:tcPr>
            <w:tcW w:w="0" w:type="auto"/>
          </w:tcPr>
          <w:p w14:paraId="735FF944" w14:textId="77777777" w:rsidR="00920F41" w:rsidRPr="00F56525" w:rsidRDefault="00920F41" w:rsidP="00F56525">
            <w:pPr>
              <w:ind w:left="0" w:right="0"/>
              <w:rPr>
                <w:sz w:val="20"/>
                <w:szCs w:val="20"/>
              </w:rPr>
            </w:pPr>
            <w:r w:rsidRPr="00F56525">
              <w:rPr>
                <w:sz w:val="20"/>
                <w:szCs w:val="20"/>
              </w:rPr>
              <w:t xml:space="preserve">Mean </w:t>
            </w:r>
            <w:proofErr w:type="spellStart"/>
            <w:r w:rsidRPr="00F56525">
              <w:rPr>
                <w:sz w:val="20"/>
                <w:szCs w:val="20"/>
              </w:rPr>
              <w:t>C</w:t>
            </w:r>
            <w:r w:rsidRPr="00F56525">
              <w:rPr>
                <w:sz w:val="20"/>
                <w:szCs w:val="20"/>
                <w:vertAlign w:val="subscript"/>
              </w:rPr>
              <w:t>max</w:t>
            </w:r>
            <w:proofErr w:type="spellEnd"/>
          </w:p>
        </w:tc>
        <w:tc>
          <w:tcPr>
            <w:tcW w:w="0" w:type="auto"/>
          </w:tcPr>
          <w:p w14:paraId="43EA992B" w14:textId="77777777" w:rsidR="00920F41" w:rsidRPr="00F56525" w:rsidRDefault="00920F41" w:rsidP="00F56525">
            <w:pPr>
              <w:ind w:left="0" w:right="0"/>
              <w:rPr>
                <w:sz w:val="20"/>
                <w:szCs w:val="20"/>
              </w:rPr>
            </w:pPr>
            <w:r w:rsidRPr="00F56525">
              <w:rPr>
                <w:sz w:val="20"/>
                <w:szCs w:val="20"/>
              </w:rPr>
              <w:t xml:space="preserve">143 </w:t>
            </w:r>
            <w:r w:rsidR="00F56525">
              <w:rPr>
                <w:sz w:val="20"/>
                <w:szCs w:val="20"/>
              </w:rPr>
              <w:t>µg</w:t>
            </w:r>
            <w:r w:rsidRPr="00F56525">
              <w:rPr>
                <w:sz w:val="20"/>
                <w:szCs w:val="20"/>
              </w:rPr>
              <w:t>/mL</w:t>
            </w:r>
          </w:p>
        </w:tc>
        <w:tc>
          <w:tcPr>
            <w:tcW w:w="0" w:type="auto"/>
          </w:tcPr>
          <w:p w14:paraId="1A02DD04" w14:textId="77777777" w:rsidR="00920F41" w:rsidRPr="00F56525" w:rsidRDefault="00920F41" w:rsidP="00F56525">
            <w:pPr>
              <w:ind w:left="0" w:right="0"/>
              <w:rPr>
                <w:sz w:val="20"/>
                <w:szCs w:val="20"/>
              </w:rPr>
            </w:pPr>
            <w:r w:rsidRPr="00F56525">
              <w:rPr>
                <w:sz w:val="20"/>
                <w:szCs w:val="20"/>
              </w:rPr>
              <w:t xml:space="preserve">137 </w:t>
            </w:r>
            <w:r w:rsidR="00F56525">
              <w:rPr>
                <w:sz w:val="20"/>
                <w:szCs w:val="20"/>
              </w:rPr>
              <w:t>µg</w:t>
            </w:r>
            <w:r w:rsidRPr="00F56525">
              <w:rPr>
                <w:sz w:val="20"/>
                <w:szCs w:val="20"/>
              </w:rPr>
              <w:t>/mL</w:t>
            </w:r>
          </w:p>
        </w:tc>
        <w:tc>
          <w:tcPr>
            <w:tcW w:w="0" w:type="auto"/>
          </w:tcPr>
          <w:p w14:paraId="7AE5A67C" w14:textId="77777777" w:rsidR="00920F41" w:rsidRPr="00F56525" w:rsidRDefault="00920F41" w:rsidP="00F56525">
            <w:pPr>
              <w:ind w:left="0" w:right="0"/>
              <w:rPr>
                <w:sz w:val="20"/>
                <w:szCs w:val="20"/>
              </w:rPr>
            </w:pPr>
            <w:r w:rsidRPr="00F56525">
              <w:rPr>
                <w:sz w:val="20"/>
                <w:szCs w:val="20"/>
              </w:rPr>
              <w:t xml:space="preserve">130 </w:t>
            </w:r>
            <w:r w:rsidR="00F56525">
              <w:rPr>
                <w:sz w:val="20"/>
                <w:szCs w:val="20"/>
              </w:rPr>
              <w:t>µg</w:t>
            </w:r>
            <w:r w:rsidRPr="00F56525">
              <w:rPr>
                <w:sz w:val="20"/>
                <w:szCs w:val="20"/>
              </w:rPr>
              <w:t>/mL</w:t>
            </w:r>
          </w:p>
        </w:tc>
        <w:tc>
          <w:tcPr>
            <w:tcW w:w="0" w:type="auto"/>
          </w:tcPr>
          <w:p w14:paraId="5730E08D" w14:textId="2AB18271" w:rsidR="00920F41" w:rsidRPr="00F56525" w:rsidRDefault="00920F41" w:rsidP="00F56525">
            <w:pPr>
              <w:ind w:left="0" w:right="0"/>
              <w:rPr>
                <w:sz w:val="20"/>
                <w:szCs w:val="20"/>
              </w:rPr>
            </w:pPr>
            <w:r w:rsidRPr="00F56525">
              <w:rPr>
                <w:sz w:val="20"/>
                <w:szCs w:val="20"/>
              </w:rPr>
              <w:t>98.36</w:t>
            </w:r>
            <w:r w:rsidR="0061455C">
              <w:rPr>
                <w:sz w:val="20"/>
                <w:szCs w:val="20"/>
              </w:rPr>
              <w:t xml:space="preserve">, </w:t>
            </w:r>
            <w:r w:rsidRPr="00F56525">
              <w:rPr>
                <w:sz w:val="20"/>
                <w:szCs w:val="20"/>
              </w:rPr>
              <w:t>110.84</w:t>
            </w:r>
          </w:p>
        </w:tc>
      </w:tr>
      <w:tr w:rsidR="0061455C" w:rsidRPr="00F56525" w14:paraId="65AD3CBA" w14:textId="77777777" w:rsidTr="00AD072A">
        <w:tc>
          <w:tcPr>
            <w:tcW w:w="0" w:type="auto"/>
          </w:tcPr>
          <w:p w14:paraId="2DD935EF" w14:textId="77777777" w:rsidR="00920F41" w:rsidRPr="00F56525" w:rsidRDefault="00920F41" w:rsidP="00F56525">
            <w:pPr>
              <w:ind w:left="0" w:right="0"/>
              <w:rPr>
                <w:sz w:val="20"/>
                <w:szCs w:val="20"/>
                <w:vertAlign w:val="subscript"/>
              </w:rPr>
            </w:pPr>
            <w:r w:rsidRPr="00F56525">
              <w:rPr>
                <w:sz w:val="20"/>
                <w:szCs w:val="20"/>
              </w:rPr>
              <w:t xml:space="preserve">Mean </w:t>
            </w:r>
            <w:proofErr w:type="spellStart"/>
            <w:r w:rsidRPr="00F56525">
              <w:rPr>
                <w:sz w:val="20"/>
                <w:szCs w:val="20"/>
              </w:rPr>
              <w:t>AUC</w:t>
            </w:r>
            <w:r w:rsidRPr="00F56525">
              <w:rPr>
                <w:sz w:val="20"/>
                <w:szCs w:val="20"/>
                <w:vertAlign w:val="subscript"/>
              </w:rPr>
              <w:t>inf</w:t>
            </w:r>
            <w:proofErr w:type="spellEnd"/>
          </w:p>
        </w:tc>
        <w:tc>
          <w:tcPr>
            <w:tcW w:w="0" w:type="auto"/>
          </w:tcPr>
          <w:p w14:paraId="00F6CE72" w14:textId="77777777" w:rsidR="00920F41" w:rsidRPr="00F56525" w:rsidRDefault="00920F41" w:rsidP="00F56525">
            <w:pPr>
              <w:ind w:left="0" w:right="0"/>
              <w:rPr>
                <w:sz w:val="20"/>
                <w:szCs w:val="20"/>
              </w:rPr>
            </w:pPr>
            <w:r w:rsidRPr="00F56525">
              <w:rPr>
                <w:sz w:val="20"/>
                <w:szCs w:val="20"/>
              </w:rPr>
              <w:t xml:space="preserve">43080 </w:t>
            </w:r>
            <w:r w:rsidR="00F56525">
              <w:rPr>
                <w:sz w:val="20"/>
                <w:szCs w:val="20"/>
              </w:rPr>
              <w:t>µg</w:t>
            </w:r>
            <w:r w:rsidRPr="00F56525">
              <w:rPr>
                <w:sz w:val="20"/>
                <w:szCs w:val="20"/>
              </w:rPr>
              <w:t>*hour/mL</w:t>
            </w:r>
          </w:p>
        </w:tc>
        <w:tc>
          <w:tcPr>
            <w:tcW w:w="0" w:type="auto"/>
          </w:tcPr>
          <w:p w14:paraId="175A9CDF" w14:textId="77777777" w:rsidR="00920F41" w:rsidRPr="00F56525" w:rsidRDefault="00920F41" w:rsidP="00F56525">
            <w:pPr>
              <w:ind w:left="0" w:right="0"/>
              <w:rPr>
                <w:sz w:val="20"/>
                <w:szCs w:val="20"/>
              </w:rPr>
            </w:pPr>
            <w:r w:rsidRPr="00F56525">
              <w:rPr>
                <w:sz w:val="20"/>
                <w:szCs w:val="20"/>
              </w:rPr>
              <w:t xml:space="preserve">43830 </w:t>
            </w:r>
            <w:r w:rsidR="00F56525">
              <w:rPr>
                <w:sz w:val="20"/>
                <w:szCs w:val="20"/>
              </w:rPr>
              <w:t>µg</w:t>
            </w:r>
            <w:r w:rsidRPr="00F56525">
              <w:rPr>
                <w:sz w:val="20"/>
                <w:szCs w:val="20"/>
              </w:rPr>
              <w:t>*hour/mL</w:t>
            </w:r>
          </w:p>
        </w:tc>
        <w:tc>
          <w:tcPr>
            <w:tcW w:w="0" w:type="auto"/>
          </w:tcPr>
          <w:p w14:paraId="0A40C5FF" w14:textId="77777777" w:rsidR="00920F41" w:rsidRPr="00F56525" w:rsidRDefault="00920F41" w:rsidP="00F56525">
            <w:pPr>
              <w:ind w:left="0" w:right="0"/>
              <w:rPr>
                <w:sz w:val="20"/>
                <w:szCs w:val="20"/>
              </w:rPr>
            </w:pPr>
            <w:r w:rsidRPr="00F56525">
              <w:rPr>
                <w:sz w:val="20"/>
                <w:szCs w:val="20"/>
              </w:rPr>
              <w:t xml:space="preserve">41450 </w:t>
            </w:r>
            <w:r w:rsidR="00F56525">
              <w:rPr>
                <w:sz w:val="20"/>
                <w:szCs w:val="20"/>
              </w:rPr>
              <w:t>µg</w:t>
            </w:r>
            <w:r w:rsidRPr="00F56525">
              <w:rPr>
                <w:sz w:val="20"/>
                <w:szCs w:val="20"/>
              </w:rPr>
              <w:t>*hour/mL</w:t>
            </w:r>
          </w:p>
        </w:tc>
        <w:tc>
          <w:tcPr>
            <w:tcW w:w="0" w:type="auto"/>
          </w:tcPr>
          <w:p w14:paraId="71F88257" w14:textId="584B6F16" w:rsidR="00920F41" w:rsidRPr="00F56525" w:rsidRDefault="00920F41" w:rsidP="00F56525">
            <w:pPr>
              <w:ind w:left="0" w:right="0"/>
              <w:rPr>
                <w:sz w:val="20"/>
                <w:szCs w:val="20"/>
              </w:rPr>
            </w:pPr>
            <w:r w:rsidRPr="00F56525">
              <w:rPr>
                <w:sz w:val="20"/>
                <w:szCs w:val="20"/>
              </w:rPr>
              <w:t>92.16</w:t>
            </w:r>
            <w:r w:rsidR="0061455C">
              <w:rPr>
                <w:sz w:val="20"/>
                <w:szCs w:val="20"/>
              </w:rPr>
              <w:t xml:space="preserve">, </w:t>
            </w:r>
            <w:r w:rsidRPr="00F56525">
              <w:rPr>
                <w:sz w:val="20"/>
                <w:szCs w:val="20"/>
              </w:rPr>
              <w:t>105.44</w:t>
            </w:r>
          </w:p>
        </w:tc>
      </w:tr>
    </w:tbl>
    <w:p w14:paraId="41FF8A34" w14:textId="77777777" w:rsidR="00920F41" w:rsidRDefault="00920F41" w:rsidP="00F56525">
      <w:r>
        <w:t xml:space="preserve">The mean concentration-time profiles, the mean </w:t>
      </w:r>
      <w:proofErr w:type="spellStart"/>
      <w:r>
        <w:t>C</w:t>
      </w:r>
      <w:r w:rsidRPr="003A7A56">
        <w:rPr>
          <w:vertAlign w:val="subscript"/>
        </w:rPr>
        <w:t>max</w:t>
      </w:r>
      <w:proofErr w:type="spellEnd"/>
      <w:r>
        <w:t xml:space="preserve"> and </w:t>
      </w:r>
      <w:proofErr w:type="spellStart"/>
      <w:r>
        <w:t>AUC</w:t>
      </w:r>
      <w:r>
        <w:rPr>
          <w:sz w:val="20"/>
          <w:vertAlign w:val="subscript"/>
        </w:rPr>
        <w:t>inf</w:t>
      </w:r>
      <w:proofErr w:type="spellEnd"/>
      <w:r>
        <w:t xml:space="preserve"> were consistent across the three drugs. In addition, the inter-subject variability for each of the PK parameters was similar across the three study drugs, with percent coefficient </w:t>
      </w:r>
      <w:r w:rsidR="00F56525">
        <w:t xml:space="preserve">of variation (%CV) values of 14 to 15%, 12 to 16% and 13 to </w:t>
      </w:r>
      <w:r>
        <w:t xml:space="preserve">19% for </w:t>
      </w:r>
      <w:proofErr w:type="spellStart"/>
      <w:r>
        <w:t>C</w:t>
      </w:r>
      <w:r w:rsidRPr="003A7A56">
        <w:rPr>
          <w:vertAlign w:val="subscript"/>
        </w:rPr>
        <w:t>max</w:t>
      </w:r>
      <w:proofErr w:type="spellEnd"/>
      <w:r>
        <w:t>, AUC</w:t>
      </w:r>
      <w:r w:rsidRPr="00861521">
        <w:rPr>
          <w:vertAlign w:val="subscript"/>
        </w:rPr>
        <w:t>T</w:t>
      </w:r>
      <w:r>
        <w:t xml:space="preserve"> and </w:t>
      </w:r>
      <w:proofErr w:type="spellStart"/>
      <w:r>
        <w:t>AUC</w:t>
      </w:r>
      <w:r>
        <w:rPr>
          <w:sz w:val="20"/>
          <w:vertAlign w:val="subscript"/>
        </w:rPr>
        <w:t>inf</w:t>
      </w:r>
      <w:proofErr w:type="spellEnd"/>
      <w:r w:rsidR="00F56525">
        <w:t xml:space="preserve"> respectively.</w:t>
      </w:r>
    </w:p>
    <w:p w14:paraId="0365D68B" w14:textId="77777777" w:rsidR="00920F41" w:rsidRDefault="00920F41" w:rsidP="00F56525">
      <w:r>
        <w:t xml:space="preserve">The PK similarity comparisons of </w:t>
      </w:r>
      <w:proofErr w:type="spellStart"/>
      <w:r>
        <w:t>Zirabev</w:t>
      </w:r>
      <w:proofErr w:type="spellEnd"/>
      <w:r>
        <w:t xml:space="preserve"> to bevacizumab-EU and bevacizumab-US demon</w:t>
      </w:r>
      <w:r w:rsidR="00F56525">
        <w:t xml:space="preserve">strated bioequivalent results; </w:t>
      </w:r>
      <w:r>
        <w:t xml:space="preserve">the 90% confidence intervals (CIs) for the test to reference ratios of PK parameters were within </w:t>
      </w:r>
      <w:r w:rsidR="00F56525">
        <w:t xml:space="preserve">the bioequivalence window of 80 to </w:t>
      </w:r>
      <w:r>
        <w:t xml:space="preserve">125%. These results are consistent with </w:t>
      </w:r>
      <w:proofErr w:type="spellStart"/>
      <w:r>
        <w:t>Zirabev</w:t>
      </w:r>
      <w:proofErr w:type="spellEnd"/>
      <w:r>
        <w:t xml:space="preserve"> being </w:t>
      </w:r>
      <w:proofErr w:type="spellStart"/>
      <w:r>
        <w:t>pharmacokinetically</w:t>
      </w:r>
      <w:proofErr w:type="spellEnd"/>
      <w:r>
        <w:t xml:space="preserve"> equivalent to both reference products.</w:t>
      </w:r>
    </w:p>
    <w:p w14:paraId="74E44A51" w14:textId="77777777" w:rsidR="00920F41" w:rsidRDefault="00920F41" w:rsidP="00920F41">
      <w:pPr>
        <w:pStyle w:val="Heading3"/>
      </w:pPr>
      <w:bookmarkStart w:id="43" w:name="_Toc33614748"/>
      <w:r>
        <w:t>Efficacy</w:t>
      </w:r>
      <w:bookmarkEnd w:id="43"/>
    </w:p>
    <w:p w14:paraId="7503EBA0" w14:textId="77777777" w:rsidR="00920F41" w:rsidRPr="00F56525" w:rsidRDefault="00920F41" w:rsidP="00F56525">
      <w:pPr>
        <w:pStyle w:val="Heading4"/>
      </w:pPr>
      <w:r w:rsidRPr="00F56525">
        <w:t>Clini</w:t>
      </w:r>
      <w:r w:rsidR="00F56525" w:rsidRPr="00F56525">
        <w:t>cal comparability study</w:t>
      </w:r>
    </w:p>
    <w:p w14:paraId="3273500A" w14:textId="77777777" w:rsidR="00920F41" w:rsidRDefault="00920F41" w:rsidP="00F56525">
      <w:pPr>
        <w:pStyle w:val="Heading5"/>
      </w:pPr>
      <w:r w:rsidRPr="00F4274B">
        <w:t>Design</w:t>
      </w:r>
    </w:p>
    <w:p w14:paraId="0CD24D4D" w14:textId="77777777" w:rsidR="00F56525" w:rsidRDefault="00F56525" w:rsidP="00F56525">
      <w:r>
        <w:t xml:space="preserve">The design of Study B7391003 is outlined in </w:t>
      </w:r>
      <w:r>
        <w:fldChar w:fldCharType="begin"/>
      </w:r>
      <w:r>
        <w:instrText xml:space="preserve"> REF _Ref31376968 \h </w:instrText>
      </w:r>
      <w:r>
        <w:fldChar w:fldCharType="separate"/>
      </w:r>
      <w:r>
        <w:t xml:space="preserve">Table </w:t>
      </w:r>
      <w:r>
        <w:rPr>
          <w:noProof/>
        </w:rPr>
        <w:t>5</w:t>
      </w:r>
      <w:r>
        <w:fldChar w:fldCharType="end"/>
      </w:r>
      <w:r>
        <w:t>.</w:t>
      </w:r>
    </w:p>
    <w:p w14:paraId="7AEC4941" w14:textId="479BCCC9" w:rsidR="00F56525" w:rsidRPr="00F56525" w:rsidRDefault="00F56525" w:rsidP="00F56525">
      <w:pPr>
        <w:pStyle w:val="TableTitle"/>
      </w:pPr>
      <w:bookmarkStart w:id="44" w:name="_Ref31376968"/>
      <w:r>
        <w:lastRenderedPageBreak/>
        <w:t xml:space="preserve">Table </w:t>
      </w:r>
      <w:r w:rsidR="00D97F65">
        <w:fldChar w:fldCharType="begin"/>
      </w:r>
      <w:r w:rsidR="00D97F65">
        <w:instrText xml:space="preserve"> SEQ Table \* ARABIC </w:instrText>
      </w:r>
      <w:r w:rsidR="00D97F65">
        <w:fldChar w:fldCharType="separate"/>
      </w:r>
      <w:r w:rsidR="00380602">
        <w:rPr>
          <w:noProof/>
        </w:rPr>
        <w:t>5</w:t>
      </w:r>
      <w:r w:rsidR="00D97F65">
        <w:rPr>
          <w:noProof/>
        </w:rPr>
        <w:fldChar w:fldCharType="end"/>
      </w:r>
      <w:bookmarkEnd w:id="44"/>
      <w:r>
        <w:t>: Design of Study B7391003</w:t>
      </w:r>
    </w:p>
    <w:p w14:paraId="55C32AFD" w14:textId="77777777" w:rsidR="00920F41" w:rsidRDefault="00F56525" w:rsidP="00920F41">
      <w:pPr>
        <w:autoSpaceDE w:val="0"/>
        <w:autoSpaceDN w:val="0"/>
        <w:adjustRightInd w:val="0"/>
        <w:spacing w:before="0" w:after="0" w:line="240" w:lineRule="auto"/>
      </w:pPr>
      <w:r>
        <w:rPr>
          <w:noProof/>
          <w:lang w:eastAsia="en-AU"/>
        </w:rPr>
        <w:drawing>
          <wp:inline distT="0" distB="0" distL="0" distR="0" wp14:anchorId="239EA016" wp14:editId="177023BE">
            <wp:extent cx="5400040" cy="8188960"/>
            <wp:effectExtent l="0" t="0" r="0" b="2540"/>
            <wp:docPr id="2" name="Picture 2" descr="Design of Study B739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8188960"/>
                    </a:xfrm>
                    <a:prstGeom prst="rect">
                      <a:avLst/>
                    </a:prstGeom>
                  </pic:spPr>
                </pic:pic>
              </a:graphicData>
            </a:graphic>
          </wp:inline>
        </w:drawing>
      </w:r>
    </w:p>
    <w:p w14:paraId="3B5506CC" w14:textId="77777777" w:rsidR="00920F41" w:rsidRPr="0090088A" w:rsidRDefault="003F63AB" w:rsidP="00F56525">
      <w:pPr>
        <w:pStyle w:val="Heading5"/>
        <w:rPr>
          <w:rFonts w:eastAsiaTheme="minorHAnsi"/>
        </w:rPr>
      </w:pPr>
      <w:r>
        <w:rPr>
          <w:rFonts w:eastAsiaTheme="minorHAnsi"/>
        </w:rPr>
        <w:lastRenderedPageBreak/>
        <w:t>Equivalence m</w:t>
      </w:r>
      <w:r w:rsidR="00920F41" w:rsidRPr="0090088A">
        <w:rPr>
          <w:rFonts w:eastAsiaTheme="minorHAnsi"/>
        </w:rPr>
        <w:t>argin</w:t>
      </w:r>
    </w:p>
    <w:p w14:paraId="47F2A69C" w14:textId="24CDE041" w:rsidR="00920F41" w:rsidRDefault="00920F41" w:rsidP="003F63AB">
      <w:r>
        <w:t>The equivalence margin chosen for the study was based on prior advice received from the</w:t>
      </w:r>
      <w:r w:rsidR="003F63AB">
        <w:t xml:space="preserve"> </w:t>
      </w:r>
      <w:r w:rsidR="0061455C">
        <w:t xml:space="preserve">EU </w:t>
      </w:r>
      <w:r>
        <w:t>Committee for Medicinal Products for Human Use (CHMP) regarding trial design and</w:t>
      </w:r>
      <w:r w:rsidR="003F63AB">
        <w:t xml:space="preserve"> efficacy. The CHMP indicated ‘</w:t>
      </w:r>
      <w:r>
        <w:t>it is considered feasible to pl</w:t>
      </w:r>
      <w:r w:rsidR="003F63AB">
        <w:t xml:space="preserve">an the trial based on operating </w:t>
      </w:r>
      <w:r>
        <w:t>characteristics foreseeing a margin of ±</w:t>
      </w:r>
      <w:r w:rsidR="003F63AB">
        <w:t xml:space="preserve"> 12 to </w:t>
      </w:r>
      <w:r>
        <w:t>13% points on the risk difference (RD) scale. Conduct of the trial based on such operating chara</w:t>
      </w:r>
      <w:r w:rsidR="003F63AB">
        <w:t>cteristics would be supported.’</w:t>
      </w:r>
    </w:p>
    <w:p w14:paraId="42EE9B18" w14:textId="77777777" w:rsidR="00920F41" w:rsidRPr="0090088A" w:rsidRDefault="00920F41" w:rsidP="00F56525">
      <w:pPr>
        <w:pStyle w:val="Heading5"/>
        <w:rPr>
          <w:rFonts w:eastAsiaTheme="minorHAnsi"/>
        </w:rPr>
      </w:pPr>
      <w:r w:rsidRPr="0090088A">
        <w:rPr>
          <w:rFonts w:eastAsiaTheme="minorHAnsi"/>
        </w:rPr>
        <w:t xml:space="preserve">Inclusion and </w:t>
      </w:r>
      <w:r w:rsidR="003F63AB" w:rsidRPr="0090088A">
        <w:rPr>
          <w:rFonts w:eastAsiaTheme="minorHAnsi"/>
        </w:rPr>
        <w:t>exclusion criteria</w:t>
      </w:r>
    </w:p>
    <w:p w14:paraId="56C0BB30" w14:textId="77777777" w:rsidR="00920F41" w:rsidRDefault="00920F41" w:rsidP="003F63AB">
      <w:r>
        <w:t>The inclusion and exclusion criteria used in this study were in line with those according to</w:t>
      </w:r>
      <w:r w:rsidR="003F63AB">
        <w:t xml:space="preserve"> </w:t>
      </w:r>
      <w:r>
        <w:t xml:space="preserve">the </w:t>
      </w:r>
      <w:proofErr w:type="spellStart"/>
      <w:r>
        <w:t>Avastin</w:t>
      </w:r>
      <w:proofErr w:type="spellEnd"/>
      <w:r>
        <w:t xml:space="preserve"> labe</w:t>
      </w:r>
      <w:r w:rsidR="003F63AB">
        <w:t>lling, and considered adequate.</w:t>
      </w:r>
    </w:p>
    <w:p w14:paraId="3ADA079D" w14:textId="77777777" w:rsidR="00920F41" w:rsidRPr="0090088A" w:rsidRDefault="00920F41" w:rsidP="00F56525">
      <w:pPr>
        <w:pStyle w:val="Heading5"/>
        <w:rPr>
          <w:rFonts w:eastAsiaTheme="minorHAnsi"/>
        </w:rPr>
      </w:pPr>
      <w:r w:rsidRPr="0090088A">
        <w:rPr>
          <w:rFonts w:eastAsiaTheme="minorHAnsi"/>
        </w:rPr>
        <w:t>Disposition</w:t>
      </w:r>
    </w:p>
    <w:p w14:paraId="5962F072" w14:textId="0920E58C" w:rsidR="00920F41" w:rsidRDefault="00920F41" w:rsidP="003F63AB">
      <w:r>
        <w:t xml:space="preserve">Of the 719 patients randomised, 358 patients were randomised to the </w:t>
      </w:r>
      <w:proofErr w:type="spellStart"/>
      <w:r>
        <w:t>Zirabev</w:t>
      </w:r>
      <w:proofErr w:type="spellEnd"/>
      <w:r>
        <w:t xml:space="preserve"> group</w:t>
      </w:r>
      <w:r w:rsidR="003F63AB">
        <w:t xml:space="preserve"> </w:t>
      </w:r>
      <w:r>
        <w:t xml:space="preserve">and 361 patients to the </w:t>
      </w:r>
      <w:proofErr w:type="spellStart"/>
      <w:r w:rsidR="0061455C">
        <w:t>Avastin</w:t>
      </w:r>
      <w:proofErr w:type="spellEnd"/>
      <w:r w:rsidR="0061455C">
        <w:t xml:space="preserve"> </w:t>
      </w:r>
      <w:r>
        <w:t xml:space="preserve">bevacizumab-EU group. </w:t>
      </w:r>
      <w:r w:rsidR="003F63AB">
        <w:fldChar w:fldCharType="begin"/>
      </w:r>
      <w:r w:rsidR="003F63AB">
        <w:instrText xml:space="preserve"> REF _Ref31377167 \h </w:instrText>
      </w:r>
      <w:r w:rsidR="003F63AB">
        <w:fldChar w:fldCharType="separate"/>
      </w:r>
      <w:r w:rsidR="003F63AB">
        <w:t xml:space="preserve">Table </w:t>
      </w:r>
      <w:r w:rsidR="003F63AB">
        <w:rPr>
          <w:noProof/>
        </w:rPr>
        <w:t>6</w:t>
      </w:r>
      <w:r w:rsidR="003F63AB">
        <w:fldChar w:fldCharType="end"/>
      </w:r>
      <w:r w:rsidR="003F63AB">
        <w:t xml:space="preserve"> below summarises the patient </w:t>
      </w:r>
      <w:r>
        <w:t>disposition.</w:t>
      </w:r>
    </w:p>
    <w:p w14:paraId="43AF1A28" w14:textId="03A9BBCF" w:rsidR="00920F41" w:rsidRDefault="003F63AB" w:rsidP="003F63AB">
      <w:pPr>
        <w:pStyle w:val="TableTitle"/>
      </w:pPr>
      <w:bookmarkStart w:id="45" w:name="_Ref31377167"/>
      <w:r>
        <w:t xml:space="preserve">Table </w:t>
      </w:r>
      <w:r w:rsidR="00D97F65">
        <w:fldChar w:fldCharType="begin"/>
      </w:r>
      <w:r w:rsidR="00D97F65">
        <w:instrText xml:space="preserve"> SEQ Table \* ARABIC </w:instrText>
      </w:r>
      <w:r w:rsidR="00D97F65">
        <w:fldChar w:fldCharType="separate"/>
      </w:r>
      <w:r w:rsidR="00380602">
        <w:rPr>
          <w:noProof/>
        </w:rPr>
        <w:t>6</w:t>
      </w:r>
      <w:r w:rsidR="00D97F65">
        <w:rPr>
          <w:noProof/>
        </w:rPr>
        <w:fldChar w:fldCharType="end"/>
      </w:r>
      <w:bookmarkEnd w:id="45"/>
      <w:r>
        <w:t>: Study B7391003 patient disposition</w:t>
      </w:r>
    </w:p>
    <w:p w14:paraId="2F8B5B15" w14:textId="77777777" w:rsidR="00920F41" w:rsidRDefault="00920F41" w:rsidP="00920F41">
      <w:pPr>
        <w:autoSpaceDE w:val="0"/>
        <w:autoSpaceDN w:val="0"/>
        <w:adjustRightInd w:val="0"/>
        <w:spacing w:before="0" w:after="0" w:line="240" w:lineRule="auto"/>
        <w:rPr>
          <w:rFonts w:eastAsiaTheme="minorHAnsi" w:cs="Cambria"/>
        </w:rPr>
      </w:pPr>
      <w:bookmarkStart w:id="46" w:name="_GoBack"/>
      <w:r w:rsidRPr="0090088A">
        <w:rPr>
          <w:rFonts w:eastAsiaTheme="minorHAnsi" w:cs="Cambria"/>
          <w:noProof/>
          <w:lang w:eastAsia="en-AU"/>
        </w:rPr>
        <w:drawing>
          <wp:inline distT="0" distB="0" distL="0" distR="0" wp14:anchorId="2E3EE5CB" wp14:editId="3E025ED5">
            <wp:extent cx="5400040" cy="3166351"/>
            <wp:effectExtent l="0" t="0" r="0" b="0"/>
            <wp:docPr id="1" name="Picture 1" descr="Study B7391003 patient dis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3166351"/>
                    </a:xfrm>
                    <a:prstGeom prst="rect">
                      <a:avLst/>
                    </a:prstGeom>
                    <a:noFill/>
                    <a:ln>
                      <a:noFill/>
                    </a:ln>
                  </pic:spPr>
                </pic:pic>
              </a:graphicData>
            </a:graphic>
          </wp:inline>
        </w:drawing>
      </w:r>
      <w:bookmarkEnd w:id="46"/>
    </w:p>
    <w:p w14:paraId="1031F359" w14:textId="44AF5140" w:rsidR="00920F41" w:rsidRDefault="003F63AB" w:rsidP="003F63AB">
      <w:pPr>
        <w:pStyle w:val="TableDescription"/>
      </w:pPr>
      <w:r>
        <w:t xml:space="preserve">PF-06439535 = </w:t>
      </w:r>
      <w:proofErr w:type="spellStart"/>
      <w:r w:rsidR="0061455C">
        <w:t>Zirabev</w:t>
      </w:r>
      <w:proofErr w:type="spellEnd"/>
      <w:r w:rsidR="0061455C">
        <w:t xml:space="preserve">/sponsor’s investigational </w:t>
      </w:r>
      <w:r>
        <w:t>bevacizumab</w:t>
      </w:r>
    </w:p>
    <w:p w14:paraId="67515214" w14:textId="77777777" w:rsidR="00920F41" w:rsidRPr="0090088A" w:rsidRDefault="00920F41" w:rsidP="00F56525">
      <w:pPr>
        <w:pStyle w:val="Heading5"/>
        <w:rPr>
          <w:rFonts w:eastAsiaTheme="minorHAnsi"/>
        </w:rPr>
      </w:pPr>
      <w:r w:rsidRPr="0090088A">
        <w:rPr>
          <w:rFonts w:eastAsiaTheme="minorHAnsi"/>
        </w:rPr>
        <w:t>Baseline characteristics</w:t>
      </w:r>
    </w:p>
    <w:p w14:paraId="35C6C4AC" w14:textId="77777777" w:rsidR="00920F41" w:rsidRDefault="00920F41" w:rsidP="003F63AB">
      <w:r>
        <w:t>The demographic and baseline characteristics were approximately balanced across the</w:t>
      </w:r>
      <w:r w:rsidR="003F63AB">
        <w:t xml:space="preserve"> </w:t>
      </w:r>
      <w:r>
        <w:t xml:space="preserve">two arms, including age, race, ethnicity, </w:t>
      </w:r>
      <w:r w:rsidR="003F63AB">
        <w:t>body mass index (</w:t>
      </w:r>
      <w:r>
        <w:t>BMI</w:t>
      </w:r>
      <w:r w:rsidR="003F63AB">
        <w:t>)</w:t>
      </w:r>
      <w:r>
        <w:t xml:space="preserve"> and fertility</w:t>
      </w:r>
      <w:r w:rsidR="003F63AB">
        <w:t xml:space="preserve"> potential. There were more men </w:t>
      </w:r>
      <w:r>
        <w:t>(n</w:t>
      </w:r>
      <w:r w:rsidR="003F63AB">
        <w:t xml:space="preserve"> </w:t>
      </w:r>
      <w:r>
        <w:t>=</w:t>
      </w:r>
      <w:r w:rsidR="003F63AB">
        <w:t xml:space="preserve"> </w:t>
      </w:r>
      <w:r>
        <w:t>467) than women (n</w:t>
      </w:r>
      <w:r w:rsidR="003F63AB">
        <w:t xml:space="preserve"> </w:t>
      </w:r>
      <w:r>
        <w:t>=</w:t>
      </w:r>
      <w:r w:rsidR="003F63AB">
        <w:t xml:space="preserve"> </w:t>
      </w:r>
      <w:r>
        <w:t>252) in both arms, likely reflecti</w:t>
      </w:r>
      <w:r w:rsidR="003F63AB">
        <w:t xml:space="preserve">ng the higher burden of disease </w:t>
      </w:r>
      <w:r>
        <w:t>experienced by men with respec</w:t>
      </w:r>
      <w:r w:rsidR="003F63AB">
        <w:t>t to NSCLC.</w:t>
      </w:r>
    </w:p>
    <w:p w14:paraId="2573DA8B" w14:textId="77777777" w:rsidR="00920F41" w:rsidRPr="003F63AB" w:rsidRDefault="00920F41" w:rsidP="003F63AB">
      <w:pPr>
        <w:pStyle w:val="Heading5"/>
        <w:rPr>
          <w:rFonts w:eastAsiaTheme="minorHAnsi"/>
        </w:rPr>
      </w:pPr>
      <w:r w:rsidRPr="0090088A">
        <w:rPr>
          <w:rFonts w:eastAsiaTheme="minorHAnsi"/>
        </w:rPr>
        <w:t>Primary endpoint results</w:t>
      </w:r>
    </w:p>
    <w:p w14:paraId="6893DB17" w14:textId="77777777" w:rsidR="00920F41" w:rsidRPr="0090088A" w:rsidRDefault="003F63AB" w:rsidP="00F56525">
      <w:pPr>
        <w:pStyle w:val="Heading6"/>
        <w:rPr>
          <w:rFonts w:eastAsiaTheme="minorHAnsi"/>
        </w:rPr>
      </w:pPr>
      <w:r>
        <w:rPr>
          <w:rFonts w:eastAsiaTheme="minorHAnsi"/>
        </w:rPr>
        <w:t>Overall response rate</w:t>
      </w:r>
    </w:p>
    <w:p w14:paraId="0B48DDF8" w14:textId="13F9C4C2" w:rsidR="00920F41" w:rsidRDefault="003F63AB" w:rsidP="003F63AB">
      <w:r>
        <w:t>Using the intent</w:t>
      </w:r>
      <w:r w:rsidR="00920F41">
        <w:t xml:space="preserve"> to treat (ITT) population, the ORR wa</w:t>
      </w:r>
      <w:r>
        <w:t xml:space="preserve">s similar between both groups; </w:t>
      </w:r>
      <w:r w:rsidR="00920F41">
        <w:t xml:space="preserve">45.3% in the </w:t>
      </w:r>
      <w:proofErr w:type="spellStart"/>
      <w:r w:rsidR="00920F41">
        <w:t>Zirabev</w:t>
      </w:r>
      <w:proofErr w:type="spellEnd"/>
      <w:r w:rsidR="00920F41">
        <w:t xml:space="preserve"> group and 44.6% in the </w:t>
      </w:r>
      <w:proofErr w:type="spellStart"/>
      <w:r w:rsidR="0061455C">
        <w:t>Avastin</w:t>
      </w:r>
      <w:proofErr w:type="spellEnd"/>
      <w:r w:rsidR="0061455C">
        <w:t xml:space="preserve"> </w:t>
      </w:r>
      <w:r w:rsidR="00920F41">
        <w:t>bevacizumab-EU group</w:t>
      </w:r>
      <w:r>
        <w:t>, and met the pre</w:t>
      </w:r>
      <w:r>
        <w:noBreakHyphen/>
      </w:r>
      <w:r w:rsidR="00920F41">
        <w:t>specif</w:t>
      </w:r>
      <w:r>
        <w:t xml:space="preserve">ied equivalence margin of (-13% to </w:t>
      </w:r>
      <w:r w:rsidR="00920F41">
        <w:t xml:space="preserve">13%). </w:t>
      </w:r>
      <w:r>
        <w:t xml:space="preserve">The analysis of ORR provided an </w:t>
      </w:r>
      <w:proofErr w:type="spellStart"/>
      <w:r w:rsidR="00920F41">
        <w:t>unstratified</w:t>
      </w:r>
      <w:proofErr w:type="spellEnd"/>
      <w:r w:rsidR="00920F41">
        <w:t xml:space="preserve"> </w:t>
      </w:r>
      <w:r>
        <w:t>risk ratio of 1.0146 (</w:t>
      </w:r>
      <w:proofErr w:type="spellStart"/>
      <w:r>
        <w:t>Zirabev</w:t>
      </w:r>
      <w:proofErr w:type="spellEnd"/>
      <w:r>
        <w:t xml:space="preserve"> versus bevacizumab-EU) with a 95% CI of 0.8628 to </w:t>
      </w:r>
      <w:r w:rsidR="00920F41">
        <w:t xml:space="preserve">1.1933 and an </w:t>
      </w:r>
      <w:proofErr w:type="spellStart"/>
      <w:r w:rsidR="00920F41">
        <w:t>unstratified</w:t>
      </w:r>
      <w:proofErr w:type="spellEnd"/>
      <w:r w:rsidR="00920F41">
        <w:t xml:space="preserve"> risk </w:t>
      </w:r>
      <w:r>
        <w:t>difference of 0.6531 (</w:t>
      </w:r>
      <w:proofErr w:type="spellStart"/>
      <w:r>
        <w:t>Zirabev</w:t>
      </w:r>
      <w:proofErr w:type="spellEnd"/>
      <w:r>
        <w:t xml:space="preserve"> versus</w:t>
      </w:r>
      <w:r w:rsidR="00920F41">
        <w:t xml:space="preserve"> bevaciz</w:t>
      </w:r>
      <w:r>
        <w:t xml:space="preserve">umab-EU) with a 95% CI of -6.6% to </w:t>
      </w:r>
      <w:r w:rsidR="00920F41">
        <w:t>7.9%.</w:t>
      </w:r>
    </w:p>
    <w:p w14:paraId="05783A0E" w14:textId="77777777" w:rsidR="00920F41" w:rsidRDefault="00920F41" w:rsidP="003F63AB">
      <w:r>
        <w:lastRenderedPageBreak/>
        <w:t xml:space="preserve">Complete responses </w:t>
      </w:r>
      <w:r w:rsidR="00684EDC">
        <w:t xml:space="preserve">(CR) </w:t>
      </w:r>
      <w:r>
        <w:t>were uncommon, but occurred in small numbers in both</w:t>
      </w:r>
      <w:r w:rsidR="003F63AB">
        <w:t xml:space="preserve"> </w:t>
      </w:r>
      <w:r>
        <w:t xml:space="preserve">treatment arms: 9 in the </w:t>
      </w:r>
      <w:proofErr w:type="spellStart"/>
      <w:r>
        <w:t>Zirabev</w:t>
      </w:r>
      <w:proofErr w:type="spellEnd"/>
      <w:r>
        <w:t xml:space="preserve"> group, and 4 in the bevacizumab-EU group.</w:t>
      </w:r>
      <w:r w:rsidR="003F63AB">
        <w:t xml:space="preserve"> Partial </w:t>
      </w:r>
      <w:r>
        <w:t xml:space="preserve">responses </w:t>
      </w:r>
      <w:r w:rsidR="00684EDC">
        <w:t xml:space="preserve">(PR) </w:t>
      </w:r>
      <w:r>
        <w:t xml:space="preserve">and disease progression were well balanced </w:t>
      </w:r>
      <w:r w:rsidR="003F63AB">
        <w:t xml:space="preserve">between the two treatment arms. </w:t>
      </w:r>
      <w:r>
        <w:t>Responses were assessed radiologically at Week 1</w:t>
      </w:r>
      <w:r w:rsidR="003F63AB">
        <w:t>9 of the study and subsequently confirmed by Week 25.</w:t>
      </w:r>
    </w:p>
    <w:p w14:paraId="7057DF15" w14:textId="77777777" w:rsidR="00920F41" w:rsidRPr="003F63AB" w:rsidRDefault="00920F41" w:rsidP="003F63AB">
      <w:pPr>
        <w:pStyle w:val="Heading5"/>
        <w:rPr>
          <w:rFonts w:eastAsiaTheme="minorHAnsi"/>
        </w:rPr>
      </w:pPr>
      <w:r w:rsidRPr="00E53811">
        <w:rPr>
          <w:rFonts w:eastAsiaTheme="minorHAnsi"/>
        </w:rPr>
        <w:t>Secondary endpoint results</w:t>
      </w:r>
    </w:p>
    <w:p w14:paraId="76162B13" w14:textId="77777777" w:rsidR="00920F41" w:rsidRPr="00AF68F5" w:rsidRDefault="003F63AB" w:rsidP="00F56525">
      <w:pPr>
        <w:pStyle w:val="Heading6"/>
        <w:rPr>
          <w:rFonts w:eastAsiaTheme="minorHAnsi"/>
        </w:rPr>
      </w:pPr>
      <w:r>
        <w:rPr>
          <w:rFonts w:eastAsiaTheme="minorHAnsi"/>
        </w:rPr>
        <w:t>Duration of response</w:t>
      </w:r>
    </w:p>
    <w:p w14:paraId="4B7F813F" w14:textId="6FFE0DA8" w:rsidR="00920F41" w:rsidRDefault="00920F41" w:rsidP="00684EDC">
      <w:r>
        <w:t xml:space="preserve">As detailed above in the ORR section, the percentage of all patients who achieved objective response (CR or PR) in the ITT population was comparable between the two treatment groups. Using a Cox proportional hazards model with region, gender and smoking history as stratification factors, the hazard ratio when comparing </w:t>
      </w:r>
      <w:r w:rsidR="003F63AB">
        <w:t>duration of response (</w:t>
      </w:r>
      <w:r>
        <w:t>DOR</w:t>
      </w:r>
      <w:r w:rsidR="003F63AB">
        <w:t>)</w:t>
      </w:r>
      <w:r w:rsidR="00684EDC">
        <w:t xml:space="preserve"> between the </w:t>
      </w:r>
      <w:proofErr w:type="spellStart"/>
      <w:r w:rsidR="00684EDC">
        <w:t>Zirabev</w:t>
      </w:r>
      <w:proofErr w:type="spellEnd"/>
      <w:r w:rsidR="00684EDC">
        <w:t xml:space="preserve"> and </w:t>
      </w:r>
      <w:proofErr w:type="spellStart"/>
      <w:r w:rsidR="0061455C">
        <w:t>Avastin</w:t>
      </w:r>
      <w:proofErr w:type="spellEnd"/>
      <w:r w:rsidR="0061455C">
        <w:t xml:space="preserve"> </w:t>
      </w:r>
      <w:r>
        <w:t>bevacizumab-EU groups was 0.790, with a 95% CI of 0.6-1.03</w:t>
      </w:r>
      <w:r w:rsidR="00684EDC">
        <w:t xml:space="preserve">9. The stratified log-rank test resulted in a 2 sided p </w:t>
      </w:r>
      <w:r>
        <w:t>value of 0.0906, indicating no stati</w:t>
      </w:r>
      <w:r w:rsidR="00684EDC">
        <w:t xml:space="preserve">stically significant difference </w:t>
      </w:r>
      <w:r>
        <w:t>with respect to DOR between the two treatment groups.</w:t>
      </w:r>
    </w:p>
    <w:p w14:paraId="758E25C6" w14:textId="77777777" w:rsidR="00920F41" w:rsidRPr="00AF68F5" w:rsidRDefault="00684EDC" w:rsidP="00F56525">
      <w:pPr>
        <w:pStyle w:val="Heading6"/>
        <w:rPr>
          <w:rFonts w:eastAsiaTheme="minorHAnsi"/>
        </w:rPr>
      </w:pPr>
      <w:r>
        <w:rPr>
          <w:rFonts w:eastAsiaTheme="minorHAnsi"/>
        </w:rPr>
        <w:t>Progression free survival</w:t>
      </w:r>
      <w:r w:rsidR="00920F41" w:rsidRPr="00AF68F5">
        <w:rPr>
          <w:rFonts w:eastAsiaTheme="minorHAnsi"/>
        </w:rPr>
        <w:t xml:space="preserve"> rate</w:t>
      </w:r>
    </w:p>
    <w:p w14:paraId="694C1F9A" w14:textId="005ED54E" w:rsidR="00920F41" w:rsidRDefault="00920F41" w:rsidP="00684EDC">
      <w:r>
        <w:t xml:space="preserve">The </w:t>
      </w:r>
      <w:r w:rsidR="00684EDC">
        <w:t>p</w:t>
      </w:r>
      <w:r w:rsidR="00684EDC" w:rsidRPr="00684EDC">
        <w:t xml:space="preserve">rogression free survival </w:t>
      </w:r>
      <w:r w:rsidR="00684EDC">
        <w:t>(</w:t>
      </w:r>
      <w:r>
        <w:t>PFS</w:t>
      </w:r>
      <w:r w:rsidR="00684EDC">
        <w:t>)</w:t>
      </w:r>
      <w:r>
        <w:t xml:space="preserve"> in the ITT population was comparable between t</w:t>
      </w:r>
      <w:r w:rsidR="00684EDC">
        <w:t xml:space="preserve">he two treatment groups; there </w:t>
      </w:r>
      <w:r>
        <w:t xml:space="preserve">were 63.7% and 70.6% of patients who had objective </w:t>
      </w:r>
      <w:r w:rsidR="00684EDC">
        <w:t xml:space="preserve">progression or had died without </w:t>
      </w:r>
      <w:r>
        <w:t xml:space="preserve">objective progression in the </w:t>
      </w:r>
      <w:proofErr w:type="spellStart"/>
      <w:r>
        <w:t>Zirabev</w:t>
      </w:r>
      <w:proofErr w:type="spellEnd"/>
      <w:r>
        <w:t xml:space="preserve"> group and </w:t>
      </w:r>
      <w:proofErr w:type="spellStart"/>
      <w:r w:rsidR="0061455C">
        <w:t>Avastin</w:t>
      </w:r>
      <w:proofErr w:type="spellEnd"/>
      <w:r w:rsidR="0061455C">
        <w:t xml:space="preserve"> </w:t>
      </w:r>
      <w:r>
        <w:t>be</w:t>
      </w:r>
      <w:r w:rsidR="00684EDC">
        <w:t xml:space="preserve">vacizumab-EU group respectively </w:t>
      </w:r>
      <w:r>
        <w:t>at one year. The probability of being progression fr</w:t>
      </w:r>
      <w:r w:rsidR="00684EDC">
        <w:t xml:space="preserve">ee at Week 55 was 32.3% (95% CI 26.9 to </w:t>
      </w:r>
      <w:r>
        <w:t xml:space="preserve">37.8%) in the </w:t>
      </w:r>
      <w:proofErr w:type="spellStart"/>
      <w:r>
        <w:t>Zirab</w:t>
      </w:r>
      <w:r w:rsidR="00684EDC">
        <w:t>ev</w:t>
      </w:r>
      <w:proofErr w:type="spellEnd"/>
      <w:r w:rsidR="00684EDC">
        <w:t xml:space="preserve"> group and 30.5% (95% CI 25.3 to </w:t>
      </w:r>
      <w:r>
        <w:t xml:space="preserve">35.8%) in the bevacizumab-EU group. Using a Cox proportional hazards model with region, gender and smoking history as strata, the hazard ratio when comparing PFS between </w:t>
      </w:r>
      <w:proofErr w:type="spellStart"/>
      <w:r>
        <w:t>Zirabev</w:t>
      </w:r>
      <w:proofErr w:type="spellEnd"/>
      <w:r>
        <w:t xml:space="preserve"> and bevacizumab-EU groups wa</w:t>
      </w:r>
      <w:r w:rsidR="00684EDC">
        <w:t xml:space="preserve">s 0.930, with a 95% CI of 0.776 to </w:t>
      </w:r>
      <w:r>
        <w:t>1.114. The stratifie</w:t>
      </w:r>
      <w:r w:rsidR="00684EDC">
        <w:t xml:space="preserve">d log-rank test resulted in a 2 </w:t>
      </w:r>
      <w:r>
        <w:t>sided p-value of 0.4388, indicating no statistically significant difference between the two treatment groups.</w:t>
      </w:r>
    </w:p>
    <w:p w14:paraId="28654EC2" w14:textId="77777777" w:rsidR="00920F41" w:rsidRPr="00AF68F5" w:rsidRDefault="00684EDC" w:rsidP="00F56525">
      <w:pPr>
        <w:pStyle w:val="Heading6"/>
        <w:rPr>
          <w:rFonts w:eastAsiaTheme="minorHAnsi"/>
        </w:rPr>
      </w:pPr>
      <w:r>
        <w:rPr>
          <w:rFonts w:eastAsiaTheme="minorHAnsi"/>
        </w:rPr>
        <w:t xml:space="preserve">1 </w:t>
      </w:r>
      <w:r w:rsidR="00920F41" w:rsidRPr="00AF68F5">
        <w:rPr>
          <w:rFonts w:eastAsiaTheme="minorHAnsi"/>
        </w:rPr>
        <w:t xml:space="preserve">year </w:t>
      </w:r>
      <w:r w:rsidRPr="00AF68F5">
        <w:rPr>
          <w:rFonts w:eastAsiaTheme="minorHAnsi"/>
        </w:rPr>
        <w:t>survival rate</w:t>
      </w:r>
    </w:p>
    <w:p w14:paraId="518B2CF6" w14:textId="5A71D590" w:rsidR="00920F41" w:rsidRDefault="00920F41" w:rsidP="00684EDC">
      <w:r>
        <w:t>The percentage of patients who died due to all causes in the ITT population was</w:t>
      </w:r>
      <w:r w:rsidR="00684EDC">
        <w:t xml:space="preserve"> </w:t>
      </w:r>
      <w:r>
        <w:t>comparable between the two groups. There were 40.2% and 41.3% of patients wh</w:t>
      </w:r>
      <w:r w:rsidR="00684EDC">
        <w:t xml:space="preserve">o died </w:t>
      </w:r>
      <w:r>
        <w:t xml:space="preserve">at 1 year in the </w:t>
      </w:r>
      <w:proofErr w:type="spellStart"/>
      <w:r>
        <w:t>Zirabev</w:t>
      </w:r>
      <w:proofErr w:type="spellEnd"/>
      <w:r>
        <w:t xml:space="preserve"> and </w:t>
      </w:r>
      <w:proofErr w:type="spellStart"/>
      <w:r w:rsidR="0061455C">
        <w:t>Avastin</w:t>
      </w:r>
      <w:proofErr w:type="spellEnd"/>
      <w:r w:rsidR="0061455C">
        <w:t xml:space="preserve"> </w:t>
      </w:r>
      <w:r>
        <w:t>bevacizumab-EU groups respectively. Using a Cox</w:t>
      </w:r>
      <w:r w:rsidR="0061455C">
        <w:t> </w:t>
      </w:r>
      <w:r>
        <w:t>proportional hazards model with region, gender and smokin</w:t>
      </w:r>
      <w:r w:rsidR="00684EDC">
        <w:t xml:space="preserve">g history as strata, the hazard </w:t>
      </w:r>
      <w:r>
        <w:t xml:space="preserve">ratio when comparing OS between the </w:t>
      </w:r>
      <w:proofErr w:type="spellStart"/>
      <w:r>
        <w:t>Zirabe</w:t>
      </w:r>
      <w:r w:rsidR="00684EDC">
        <w:t>v</w:t>
      </w:r>
      <w:proofErr w:type="spellEnd"/>
      <w:r w:rsidR="00684EDC">
        <w:t xml:space="preserve"> and bevacizumab-EU groups was </w:t>
      </w:r>
      <w:r>
        <w:t>0.918, wi</w:t>
      </w:r>
      <w:r w:rsidR="00684EDC">
        <w:t xml:space="preserve">th a 95% CI of 0.729 to </w:t>
      </w:r>
      <w:r>
        <w:t>1.157. The stratifie</w:t>
      </w:r>
      <w:r w:rsidR="00684EDC">
        <w:t xml:space="preserve">d log-rank test resulted in a 2 </w:t>
      </w:r>
      <w:r>
        <w:t>sided p</w:t>
      </w:r>
      <w:r w:rsidR="0061455C">
        <w:noBreakHyphen/>
      </w:r>
      <w:r>
        <w:t>value of 0.4726, indicating no statistically signifi</w:t>
      </w:r>
      <w:r w:rsidR="00684EDC">
        <w:t>cant difference between the two treatment groups.</w:t>
      </w:r>
    </w:p>
    <w:p w14:paraId="6348B3F4" w14:textId="77777777" w:rsidR="00920F41" w:rsidRDefault="00684EDC" w:rsidP="00684EDC">
      <w:r>
        <w:t xml:space="preserve">Note that </w:t>
      </w:r>
      <w:r w:rsidR="00920F41">
        <w:t>all secondary endpoint analyses were also performed in the per pro</w:t>
      </w:r>
      <w:r>
        <w:t xml:space="preserve">tocol (PP) </w:t>
      </w:r>
      <w:r w:rsidR="00920F41">
        <w:t>population, and all analyses were consistent with</w:t>
      </w:r>
      <w:r>
        <w:t xml:space="preserve"> results in the ITT population.</w:t>
      </w:r>
    </w:p>
    <w:p w14:paraId="772C88A1" w14:textId="77777777" w:rsidR="00920F41" w:rsidRPr="0064480A" w:rsidRDefault="00920F41" w:rsidP="00F56525">
      <w:pPr>
        <w:pStyle w:val="Heading5"/>
        <w:rPr>
          <w:rFonts w:eastAsiaTheme="minorHAnsi"/>
        </w:rPr>
      </w:pPr>
      <w:r w:rsidRPr="0064480A">
        <w:rPr>
          <w:rFonts w:eastAsiaTheme="minorHAnsi"/>
        </w:rPr>
        <w:t>Subgroup analysis</w:t>
      </w:r>
    </w:p>
    <w:p w14:paraId="02828566" w14:textId="4D667FA9" w:rsidR="00920F41" w:rsidRDefault="00920F41" w:rsidP="00684EDC">
      <w:r>
        <w:t>Subgroup analysis revealed no marked differences in ORR between the two treatment</w:t>
      </w:r>
      <w:r w:rsidR="00684EDC">
        <w:t xml:space="preserve"> </w:t>
      </w:r>
      <w:r>
        <w:t>arms when the PP population was stratified by variables includi</w:t>
      </w:r>
      <w:r w:rsidR="00684EDC">
        <w:t xml:space="preserve">ng smoking history, </w:t>
      </w:r>
      <w:r>
        <w:t>gender, geographical location, race, prior cancer treat</w:t>
      </w:r>
      <w:r w:rsidR="00684EDC">
        <w:t xml:space="preserve">ments and </w:t>
      </w:r>
      <w:r w:rsidR="00684EDC" w:rsidRPr="00684EDC">
        <w:t xml:space="preserve">Eastern Cooperative Oncology Group </w:t>
      </w:r>
      <w:r w:rsidR="00684EDC">
        <w:t xml:space="preserve">(ECOG) </w:t>
      </w:r>
      <w:r w:rsidR="0061455C">
        <w:t xml:space="preserve">performance </w:t>
      </w:r>
      <w:r w:rsidR="00684EDC">
        <w:t xml:space="preserve">status. However, </w:t>
      </w:r>
      <w:r>
        <w:t>results from subgroup analysis are</w:t>
      </w:r>
      <w:r w:rsidR="00684EDC">
        <w:t xml:space="preserve"> not statistically significant.</w:t>
      </w:r>
    </w:p>
    <w:p w14:paraId="644445BC" w14:textId="77777777" w:rsidR="00920F41" w:rsidRPr="00AF68F5" w:rsidRDefault="00920F41" w:rsidP="00F56525">
      <w:pPr>
        <w:pStyle w:val="Heading5"/>
        <w:rPr>
          <w:rFonts w:eastAsiaTheme="minorHAnsi"/>
        </w:rPr>
      </w:pPr>
      <w:r w:rsidRPr="00AF68F5">
        <w:rPr>
          <w:rFonts w:eastAsiaTheme="minorHAnsi"/>
        </w:rPr>
        <w:t>Summary of clinical efficacy data</w:t>
      </w:r>
    </w:p>
    <w:p w14:paraId="2A343988" w14:textId="703C5C12" w:rsidR="00920F41" w:rsidRPr="0090088A" w:rsidRDefault="00920F41" w:rsidP="00684EDC">
      <w:r>
        <w:t>The resul</w:t>
      </w:r>
      <w:r w:rsidR="00684EDC">
        <w:t>ts of the 2 PK studies and the Phase III</w:t>
      </w:r>
      <w:r>
        <w:t xml:space="preserve"> clinical comparability study support </w:t>
      </w:r>
      <w:proofErr w:type="spellStart"/>
      <w:r>
        <w:t>biosimilarity</w:t>
      </w:r>
      <w:proofErr w:type="spellEnd"/>
      <w:r>
        <w:t xml:space="preserve"> between </w:t>
      </w:r>
      <w:proofErr w:type="spellStart"/>
      <w:r>
        <w:t>Zirabev</w:t>
      </w:r>
      <w:proofErr w:type="spellEnd"/>
      <w:r>
        <w:t xml:space="preserve"> and </w:t>
      </w:r>
      <w:proofErr w:type="spellStart"/>
      <w:r w:rsidR="0061455C">
        <w:t>Avastin</w:t>
      </w:r>
      <w:proofErr w:type="spellEnd"/>
      <w:r w:rsidR="0061455C">
        <w:t xml:space="preserve"> </w:t>
      </w:r>
      <w:r>
        <w:t>bevacizumab-EU.</w:t>
      </w:r>
    </w:p>
    <w:p w14:paraId="308FE708" w14:textId="77777777" w:rsidR="00920F41" w:rsidRPr="00684EDC" w:rsidRDefault="00920F41" w:rsidP="00684EDC">
      <w:pPr>
        <w:pStyle w:val="Heading3"/>
      </w:pPr>
      <w:bookmarkStart w:id="47" w:name="_Toc33614749"/>
      <w:r w:rsidRPr="00684EDC">
        <w:lastRenderedPageBreak/>
        <w:t>Safety</w:t>
      </w:r>
      <w:bookmarkEnd w:id="47"/>
    </w:p>
    <w:p w14:paraId="1B9EE278" w14:textId="77777777" w:rsidR="00920F41" w:rsidRDefault="00920F41" w:rsidP="00684EDC">
      <w:r>
        <w:t xml:space="preserve">Comparative safety data of </w:t>
      </w:r>
      <w:proofErr w:type="spellStart"/>
      <w:r>
        <w:t>Zirabev</w:t>
      </w:r>
      <w:proofErr w:type="spellEnd"/>
      <w:r w:rsidR="00684EDC">
        <w:t xml:space="preserve"> was derived from two studies; Study </w:t>
      </w:r>
      <w:r>
        <w:t xml:space="preserve">B7391001 and </w:t>
      </w:r>
      <w:r w:rsidR="00684EDC">
        <w:t xml:space="preserve">Study </w:t>
      </w:r>
      <w:r>
        <w:t>B7391003.</w:t>
      </w:r>
    </w:p>
    <w:p w14:paraId="3962D0CA" w14:textId="77777777" w:rsidR="00920F41" w:rsidRDefault="00920F41" w:rsidP="00684EDC">
      <w:r>
        <w:t>The safety population consists of a total of 815 subjects:</w:t>
      </w:r>
    </w:p>
    <w:p w14:paraId="1EF09BE5" w14:textId="77777777" w:rsidR="00920F41" w:rsidRDefault="00920F41" w:rsidP="00684EDC">
      <w:pPr>
        <w:pStyle w:val="ListBullet"/>
      </w:pPr>
      <w:r>
        <w:t xml:space="preserve">101 subjects from </w:t>
      </w:r>
      <w:r w:rsidR="00684EDC">
        <w:t>Study B739100;</w:t>
      </w:r>
    </w:p>
    <w:p w14:paraId="0F9950C0" w14:textId="77777777" w:rsidR="00920F41" w:rsidRPr="00943B92" w:rsidRDefault="00920F41" w:rsidP="00684EDC">
      <w:pPr>
        <w:pStyle w:val="ListBullet"/>
      </w:pPr>
      <w:r w:rsidRPr="00943B92">
        <w:t xml:space="preserve">714 subjects from </w:t>
      </w:r>
      <w:r w:rsidR="00684EDC">
        <w:t xml:space="preserve">Study </w:t>
      </w:r>
      <w:r w:rsidRPr="00943B92">
        <w:t>B7391003</w:t>
      </w:r>
      <w:r w:rsidR="00684EDC">
        <w:t>.</w:t>
      </w:r>
    </w:p>
    <w:p w14:paraId="07BB7DD7" w14:textId="77777777" w:rsidR="00920F41" w:rsidRPr="00943B92" w:rsidRDefault="00920F41" w:rsidP="00684EDC">
      <w:pPr>
        <w:pStyle w:val="Heading4"/>
      </w:pPr>
      <w:r w:rsidRPr="00943B92">
        <w:t>Patient exposure</w:t>
      </w:r>
    </w:p>
    <w:p w14:paraId="3ED75B66" w14:textId="77777777" w:rsidR="00920F41" w:rsidRPr="00035597" w:rsidRDefault="00684EDC" w:rsidP="00684EDC">
      <w:pPr>
        <w:pStyle w:val="Heading5"/>
      </w:pPr>
      <w:r>
        <w:t xml:space="preserve">Study </w:t>
      </w:r>
      <w:r w:rsidR="00920F41" w:rsidRPr="00035597">
        <w:t>B7391001</w:t>
      </w:r>
    </w:p>
    <w:p w14:paraId="66DA3E08" w14:textId="71650764" w:rsidR="00920F41" w:rsidRPr="00BF6B43" w:rsidRDefault="00920F41" w:rsidP="00684EDC">
      <w:r>
        <w:t>102 subjects were randomised to one of three arms to receive a single IV dose of 5</w:t>
      </w:r>
      <w:r w:rsidR="00684EDC">
        <w:t xml:space="preserve"> </w:t>
      </w:r>
      <w:r>
        <w:t xml:space="preserve">mg/kg of either </w:t>
      </w:r>
      <w:proofErr w:type="spellStart"/>
      <w:r>
        <w:t>Zirabev</w:t>
      </w:r>
      <w:proofErr w:type="spellEnd"/>
      <w:r>
        <w:t xml:space="preserve"> (n</w:t>
      </w:r>
      <w:r w:rsidR="00684EDC">
        <w:t xml:space="preserve"> </w:t>
      </w:r>
      <w:r>
        <w:t>=</w:t>
      </w:r>
      <w:r w:rsidR="00684EDC">
        <w:t xml:space="preserve"> </w:t>
      </w:r>
      <w:r>
        <w:t xml:space="preserve">33), </w:t>
      </w:r>
      <w:proofErr w:type="spellStart"/>
      <w:r w:rsidR="0061455C">
        <w:t>Avastin</w:t>
      </w:r>
      <w:proofErr w:type="spellEnd"/>
      <w:r w:rsidR="0061455C">
        <w:t xml:space="preserve"> </w:t>
      </w:r>
      <w:r>
        <w:t>bevacizumab-EU (n</w:t>
      </w:r>
      <w:r w:rsidR="00684EDC">
        <w:t xml:space="preserve"> </w:t>
      </w:r>
      <w:r>
        <w:t>=</w:t>
      </w:r>
      <w:r w:rsidR="00684EDC">
        <w:t xml:space="preserve"> </w:t>
      </w:r>
      <w:r>
        <w:t xml:space="preserve">36) or </w:t>
      </w:r>
      <w:proofErr w:type="spellStart"/>
      <w:r w:rsidR="0061455C">
        <w:t>Avastin</w:t>
      </w:r>
      <w:proofErr w:type="spellEnd"/>
      <w:r w:rsidR="0061455C">
        <w:t xml:space="preserve"> </w:t>
      </w:r>
      <w:r>
        <w:t>bevacizumab-US (n</w:t>
      </w:r>
      <w:r w:rsidR="0061455C">
        <w:t> </w:t>
      </w:r>
      <w:r>
        <w:t>=</w:t>
      </w:r>
      <w:r w:rsidR="00684EDC">
        <w:t xml:space="preserve"> </w:t>
      </w:r>
      <w:r>
        <w:t>33). 1 subject did not receive a dose.</w:t>
      </w:r>
    </w:p>
    <w:p w14:paraId="5D8A9AE9" w14:textId="77777777" w:rsidR="00920F41" w:rsidRPr="00035597" w:rsidRDefault="00684EDC" w:rsidP="00684EDC">
      <w:pPr>
        <w:pStyle w:val="Heading5"/>
      </w:pPr>
      <w:r>
        <w:t xml:space="preserve">Study </w:t>
      </w:r>
      <w:r w:rsidR="00920F41" w:rsidRPr="00035597">
        <w:t>B7391003</w:t>
      </w:r>
    </w:p>
    <w:p w14:paraId="2965CCF7" w14:textId="77777777" w:rsidR="00920F41" w:rsidRDefault="00920F41" w:rsidP="00684EDC">
      <w:r>
        <w:t>719 patients were randomised in a 1:1 ratio to receive an IV dose of 15</w:t>
      </w:r>
      <w:r w:rsidR="00684EDC">
        <w:t xml:space="preserve"> </w:t>
      </w:r>
      <w:r>
        <w:t xml:space="preserve">mg/kg of </w:t>
      </w:r>
      <w:proofErr w:type="spellStart"/>
      <w:r>
        <w:t>Zirabev</w:t>
      </w:r>
      <w:proofErr w:type="spellEnd"/>
      <w:r>
        <w:t xml:space="preserve"> plus paclitaxel and carboplatin (n</w:t>
      </w:r>
      <w:r w:rsidR="00684EDC">
        <w:t xml:space="preserve"> </w:t>
      </w:r>
      <w:r>
        <w:t>=</w:t>
      </w:r>
      <w:r w:rsidR="00684EDC">
        <w:t xml:space="preserve"> </w:t>
      </w:r>
      <w:r>
        <w:t xml:space="preserve">358) or </w:t>
      </w:r>
      <w:r w:rsidRPr="00752DEA">
        <w:t>bevacizumab-EU plus p</w:t>
      </w:r>
      <w:r>
        <w:t>aclitaxel and carboplatin (n</w:t>
      </w:r>
      <w:r w:rsidR="00684EDC">
        <w:t xml:space="preserve"> </w:t>
      </w:r>
      <w:r>
        <w:t>=</w:t>
      </w:r>
      <w:r w:rsidR="00684EDC">
        <w:t xml:space="preserve"> </w:t>
      </w:r>
      <w:r>
        <w:t>361</w:t>
      </w:r>
      <w:r w:rsidRPr="00752DEA">
        <w:t>)</w:t>
      </w:r>
      <w:r>
        <w:t xml:space="preserve"> for at least four and no more than 6 cycles, followed by the assigned b</w:t>
      </w:r>
      <w:r w:rsidR="00684EDC">
        <w:t>linded bevacizumab monotherapy.</w:t>
      </w:r>
    </w:p>
    <w:p w14:paraId="4174DDEC" w14:textId="77777777" w:rsidR="00920F41" w:rsidRPr="00943B92" w:rsidRDefault="00684EDC" w:rsidP="00684EDC">
      <w:pPr>
        <w:pStyle w:val="Heading4"/>
      </w:pPr>
      <w:r>
        <w:t>Adverse events</w:t>
      </w:r>
    </w:p>
    <w:p w14:paraId="3B72776F" w14:textId="77777777" w:rsidR="00920F41" w:rsidRPr="00240BAF" w:rsidRDefault="00684EDC" w:rsidP="00684EDC">
      <w:pPr>
        <w:pStyle w:val="Heading5"/>
      </w:pPr>
      <w:r>
        <w:t xml:space="preserve">Study </w:t>
      </w:r>
      <w:r w:rsidR="00920F41" w:rsidRPr="00035597">
        <w:t>B7391001</w:t>
      </w:r>
    </w:p>
    <w:p w14:paraId="315CA8DA" w14:textId="77777777" w:rsidR="00920F41" w:rsidRDefault="00920F41" w:rsidP="00F15972">
      <w:r>
        <w:t>Of 101 healthy volunteers that received the study drug, 55 subje</w:t>
      </w:r>
      <w:r w:rsidR="00684EDC">
        <w:t xml:space="preserve">cts (54.5%) experienced an </w:t>
      </w:r>
      <w:r w:rsidR="00F15972">
        <w:t>adverse event (</w:t>
      </w:r>
      <w:r w:rsidR="00684EDC">
        <w:t>AE</w:t>
      </w:r>
      <w:r w:rsidR="00F15972">
        <w:t>)</w:t>
      </w:r>
      <w:r w:rsidR="00684EDC">
        <w:t xml:space="preserve">; </w:t>
      </w:r>
      <w:r>
        <w:t>the majority being Grade 1 or 2. The most common treatment-emergent adverse events (TEAEs) were upper respiratory tract infection, headache, dyspepsia, myalgia a</w:t>
      </w:r>
      <w:r w:rsidR="00F15972">
        <w:t>nd diarrhoea. There was only 1 G</w:t>
      </w:r>
      <w:r>
        <w:t xml:space="preserve">rade 3 or 4 </w:t>
      </w:r>
      <w:r w:rsidR="00F15972">
        <w:t>AE and no Grade 5 events.</w:t>
      </w:r>
    </w:p>
    <w:p w14:paraId="4AC690A1" w14:textId="5371E56E" w:rsidR="00920F41" w:rsidRDefault="00920F41" w:rsidP="00F15972">
      <w:r>
        <w:t xml:space="preserve">Twenty subjects (19.8%) experienced 31 </w:t>
      </w:r>
      <w:r w:rsidR="00F15972">
        <w:t>treatment</w:t>
      </w:r>
      <w:r w:rsidR="008A6DD8">
        <w:t xml:space="preserve">-related AEs; </w:t>
      </w:r>
      <w:r>
        <w:t>the majority being Grade</w:t>
      </w:r>
      <w:r w:rsidR="0061455C">
        <w:t> </w:t>
      </w:r>
      <w:r>
        <w:t>1 or Grade 2. The most common treatment related AEs were dyspepsia and macular rash.</w:t>
      </w:r>
    </w:p>
    <w:p w14:paraId="3EA75DBC" w14:textId="77777777" w:rsidR="00920F41" w:rsidRPr="00035597" w:rsidRDefault="00F15972" w:rsidP="00F15972">
      <w:pPr>
        <w:pStyle w:val="Heading5"/>
      </w:pPr>
      <w:r>
        <w:t xml:space="preserve">Study </w:t>
      </w:r>
      <w:r w:rsidR="00920F41" w:rsidRPr="00035597">
        <w:t>B7391003</w:t>
      </w:r>
    </w:p>
    <w:p w14:paraId="35C3C8B1" w14:textId="77777777" w:rsidR="00920F41" w:rsidRDefault="00920F41" w:rsidP="00F15972">
      <w:r>
        <w:t xml:space="preserve">355 subjects received </w:t>
      </w:r>
      <w:proofErr w:type="spellStart"/>
      <w:r>
        <w:t>Zirabev</w:t>
      </w:r>
      <w:proofErr w:type="spellEnd"/>
      <w:r>
        <w:t>, with 344 subjects (97%) experiencing an AE.</w:t>
      </w:r>
    </w:p>
    <w:p w14:paraId="32F70E83" w14:textId="040397C6" w:rsidR="00920F41" w:rsidRDefault="00920F41" w:rsidP="00F15972">
      <w:r>
        <w:t xml:space="preserve">358 subjects received </w:t>
      </w:r>
      <w:proofErr w:type="spellStart"/>
      <w:r w:rsidR="0061455C">
        <w:t>Avastin</w:t>
      </w:r>
      <w:proofErr w:type="spellEnd"/>
      <w:r w:rsidR="0061455C">
        <w:t xml:space="preserve"> </w:t>
      </w:r>
      <w:r>
        <w:t>Bevacizumab-EU, with 347 subjects (97%) experiencing an AE.</w:t>
      </w:r>
    </w:p>
    <w:p w14:paraId="4AF473C2" w14:textId="2B406459" w:rsidR="00920F41" w:rsidRDefault="008A6DD8" w:rsidP="00F15972">
      <w:r>
        <w:fldChar w:fldCharType="begin"/>
      </w:r>
      <w:r>
        <w:instrText xml:space="preserve"> REF _Ref31608281 \h </w:instrText>
      </w:r>
      <w:r>
        <w:fldChar w:fldCharType="separate"/>
      </w:r>
      <w:r>
        <w:t xml:space="preserve">Table </w:t>
      </w:r>
      <w:r>
        <w:rPr>
          <w:noProof/>
        </w:rPr>
        <w:t>7</w:t>
      </w:r>
      <w:r>
        <w:fldChar w:fldCharType="end"/>
      </w:r>
      <w:r>
        <w:t xml:space="preserve">, </w:t>
      </w:r>
      <w:r w:rsidR="00920F41">
        <w:t>below</w:t>
      </w:r>
      <w:r>
        <w:t>,</w:t>
      </w:r>
      <w:r w:rsidR="00920F41">
        <w:t xml:space="preserve"> further c</w:t>
      </w:r>
      <w:r w:rsidR="00F15972">
        <w:t>haracterises some of these AEs.</w:t>
      </w:r>
    </w:p>
    <w:p w14:paraId="1F09ADD9" w14:textId="59C11F74" w:rsidR="00920F41" w:rsidRDefault="00F15972" w:rsidP="00F15972">
      <w:pPr>
        <w:pStyle w:val="TableTitle"/>
      </w:pPr>
      <w:bookmarkStart w:id="48" w:name="_Ref31608281"/>
      <w:r>
        <w:t xml:space="preserve">Table </w:t>
      </w:r>
      <w:r w:rsidR="00D97F65">
        <w:fldChar w:fldCharType="begin"/>
      </w:r>
      <w:r w:rsidR="00D97F65">
        <w:instrText xml:space="preserve"> SEQ Table \* ARABIC </w:instrText>
      </w:r>
      <w:r w:rsidR="00D97F65">
        <w:fldChar w:fldCharType="separate"/>
      </w:r>
      <w:r w:rsidR="00380602">
        <w:rPr>
          <w:noProof/>
        </w:rPr>
        <w:t>7</w:t>
      </w:r>
      <w:r w:rsidR="00D97F65">
        <w:rPr>
          <w:noProof/>
        </w:rPr>
        <w:fldChar w:fldCharType="end"/>
      </w:r>
      <w:bookmarkEnd w:id="48"/>
      <w:r>
        <w:t xml:space="preserve">: Study </w:t>
      </w:r>
      <w:r w:rsidRPr="00F15972">
        <w:t>B7391003</w:t>
      </w:r>
      <w:r>
        <w:t xml:space="preserve"> adverse events</w:t>
      </w:r>
    </w:p>
    <w:tbl>
      <w:tblPr>
        <w:tblStyle w:val="TableTGAblue"/>
        <w:tblW w:w="8570" w:type="dxa"/>
        <w:tblLook w:val="04A0" w:firstRow="1" w:lastRow="0" w:firstColumn="1" w:lastColumn="0" w:noHBand="0" w:noVBand="1"/>
      </w:tblPr>
      <w:tblGrid>
        <w:gridCol w:w="4548"/>
        <w:gridCol w:w="1784"/>
        <w:gridCol w:w="2238"/>
      </w:tblGrid>
      <w:tr w:rsidR="00920F41" w:rsidRPr="00F15972" w14:paraId="2527E0E4" w14:textId="77777777" w:rsidTr="008A6DD8">
        <w:trPr>
          <w:cnfStyle w:val="100000000000" w:firstRow="1" w:lastRow="0" w:firstColumn="0" w:lastColumn="0" w:oddVBand="0" w:evenVBand="0" w:oddHBand="0" w:evenHBand="0" w:firstRowFirstColumn="0" w:firstRowLastColumn="0" w:lastRowFirstColumn="0" w:lastRowLastColumn="0"/>
          <w:trHeight w:val="718"/>
        </w:trPr>
        <w:tc>
          <w:tcPr>
            <w:tcW w:w="0" w:type="auto"/>
          </w:tcPr>
          <w:p w14:paraId="515F258A" w14:textId="77777777" w:rsidR="00920F41" w:rsidRPr="00F15972" w:rsidRDefault="00920F41" w:rsidP="00F15972">
            <w:pPr>
              <w:ind w:left="0" w:right="0"/>
              <w:rPr>
                <w:sz w:val="20"/>
                <w:szCs w:val="20"/>
              </w:rPr>
            </w:pPr>
          </w:p>
        </w:tc>
        <w:tc>
          <w:tcPr>
            <w:tcW w:w="0" w:type="auto"/>
          </w:tcPr>
          <w:p w14:paraId="4A2FF274" w14:textId="77777777" w:rsidR="00920F41" w:rsidRPr="00F15972" w:rsidRDefault="00920F41" w:rsidP="00F15972">
            <w:pPr>
              <w:ind w:left="0" w:right="0"/>
              <w:rPr>
                <w:sz w:val="20"/>
                <w:szCs w:val="20"/>
              </w:rPr>
            </w:pPr>
            <w:proofErr w:type="spellStart"/>
            <w:r w:rsidRPr="00F15972">
              <w:rPr>
                <w:sz w:val="20"/>
                <w:szCs w:val="20"/>
              </w:rPr>
              <w:t>Zirabev</w:t>
            </w:r>
            <w:proofErr w:type="spellEnd"/>
            <w:r w:rsidRPr="00F15972">
              <w:rPr>
                <w:sz w:val="20"/>
                <w:szCs w:val="20"/>
              </w:rPr>
              <w:t xml:space="preserve"> group (n</w:t>
            </w:r>
            <w:r w:rsidR="00F15972">
              <w:rPr>
                <w:sz w:val="20"/>
                <w:szCs w:val="20"/>
              </w:rPr>
              <w:t> </w:t>
            </w:r>
            <w:r w:rsidRPr="00F15972">
              <w:rPr>
                <w:sz w:val="20"/>
                <w:szCs w:val="20"/>
              </w:rPr>
              <w:t>=</w:t>
            </w:r>
            <w:r w:rsidR="00F15972">
              <w:rPr>
                <w:sz w:val="20"/>
                <w:szCs w:val="20"/>
              </w:rPr>
              <w:t> </w:t>
            </w:r>
            <w:r w:rsidRPr="00F15972">
              <w:rPr>
                <w:sz w:val="20"/>
                <w:szCs w:val="20"/>
              </w:rPr>
              <w:t>355)</w:t>
            </w:r>
          </w:p>
        </w:tc>
        <w:tc>
          <w:tcPr>
            <w:tcW w:w="0" w:type="auto"/>
          </w:tcPr>
          <w:p w14:paraId="2C752562" w14:textId="77777777" w:rsidR="00920F41" w:rsidRPr="00F15972" w:rsidRDefault="00920F41" w:rsidP="00F15972">
            <w:pPr>
              <w:ind w:left="0" w:right="0"/>
              <w:rPr>
                <w:sz w:val="20"/>
                <w:szCs w:val="20"/>
              </w:rPr>
            </w:pPr>
            <w:r w:rsidRPr="00F15972">
              <w:rPr>
                <w:sz w:val="20"/>
                <w:szCs w:val="20"/>
              </w:rPr>
              <w:t>Bevacizumab group (n</w:t>
            </w:r>
            <w:r w:rsidR="00F15972">
              <w:rPr>
                <w:sz w:val="20"/>
                <w:szCs w:val="20"/>
              </w:rPr>
              <w:t> </w:t>
            </w:r>
            <w:r w:rsidRPr="00F15972">
              <w:rPr>
                <w:sz w:val="20"/>
                <w:szCs w:val="20"/>
              </w:rPr>
              <w:t>=</w:t>
            </w:r>
            <w:r w:rsidR="00F15972">
              <w:rPr>
                <w:sz w:val="20"/>
                <w:szCs w:val="20"/>
              </w:rPr>
              <w:t> </w:t>
            </w:r>
            <w:r w:rsidRPr="00F15972">
              <w:rPr>
                <w:sz w:val="20"/>
                <w:szCs w:val="20"/>
              </w:rPr>
              <w:t>358)</w:t>
            </w:r>
          </w:p>
        </w:tc>
      </w:tr>
      <w:tr w:rsidR="00920F41" w:rsidRPr="00F15972" w14:paraId="561C5B20" w14:textId="77777777" w:rsidTr="008A6DD8">
        <w:trPr>
          <w:trHeight w:val="486"/>
        </w:trPr>
        <w:tc>
          <w:tcPr>
            <w:tcW w:w="0" w:type="auto"/>
          </w:tcPr>
          <w:p w14:paraId="05EB5ED4" w14:textId="77777777" w:rsidR="00920F41" w:rsidRPr="00F15972" w:rsidRDefault="00920F41" w:rsidP="00F15972">
            <w:pPr>
              <w:ind w:left="0" w:right="0"/>
              <w:rPr>
                <w:sz w:val="20"/>
                <w:szCs w:val="20"/>
              </w:rPr>
            </w:pPr>
            <w:r w:rsidRPr="00F15972">
              <w:rPr>
                <w:sz w:val="20"/>
                <w:szCs w:val="20"/>
              </w:rPr>
              <w:t>Subjects with adverse events</w:t>
            </w:r>
          </w:p>
        </w:tc>
        <w:tc>
          <w:tcPr>
            <w:tcW w:w="0" w:type="auto"/>
          </w:tcPr>
          <w:p w14:paraId="31A18FE2" w14:textId="77777777" w:rsidR="00920F41" w:rsidRPr="00F15972" w:rsidRDefault="00920F41" w:rsidP="00F15972">
            <w:pPr>
              <w:ind w:left="0" w:right="0"/>
              <w:rPr>
                <w:sz w:val="20"/>
                <w:szCs w:val="20"/>
              </w:rPr>
            </w:pPr>
            <w:r w:rsidRPr="00F15972">
              <w:rPr>
                <w:sz w:val="20"/>
                <w:szCs w:val="20"/>
              </w:rPr>
              <w:t>344 (97%)</w:t>
            </w:r>
          </w:p>
        </w:tc>
        <w:tc>
          <w:tcPr>
            <w:tcW w:w="0" w:type="auto"/>
          </w:tcPr>
          <w:p w14:paraId="1E1992AB" w14:textId="77777777" w:rsidR="00920F41" w:rsidRPr="00F15972" w:rsidRDefault="00920F41" w:rsidP="00F15972">
            <w:pPr>
              <w:ind w:left="0" w:right="0"/>
              <w:rPr>
                <w:sz w:val="20"/>
                <w:szCs w:val="20"/>
              </w:rPr>
            </w:pPr>
            <w:r w:rsidRPr="00F15972">
              <w:rPr>
                <w:sz w:val="20"/>
                <w:szCs w:val="20"/>
              </w:rPr>
              <w:t>347 (97%)</w:t>
            </w:r>
          </w:p>
        </w:tc>
      </w:tr>
      <w:tr w:rsidR="00920F41" w:rsidRPr="00F15972" w14:paraId="54098481" w14:textId="77777777" w:rsidTr="008A6DD8">
        <w:trPr>
          <w:trHeight w:val="474"/>
        </w:trPr>
        <w:tc>
          <w:tcPr>
            <w:tcW w:w="0" w:type="auto"/>
          </w:tcPr>
          <w:p w14:paraId="18E0AC86" w14:textId="77777777" w:rsidR="00920F41" w:rsidRPr="00F15972" w:rsidRDefault="00920F41" w:rsidP="00F15972">
            <w:pPr>
              <w:ind w:left="0" w:right="0"/>
              <w:rPr>
                <w:sz w:val="20"/>
                <w:szCs w:val="20"/>
              </w:rPr>
            </w:pPr>
            <w:r w:rsidRPr="00F15972">
              <w:rPr>
                <w:sz w:val="20"/>
                <w:szCs w:val="20"/>
              </w:rPr>
              <w:t>Subjects with serious adverse events</w:t>
            </w:r>
          </w:p>
        </w:tc>
        <w:tc>
          <w:tcPr>
            <w:tcW w:w="0" w:type="auto"/>
          </w:tcPr>
          <w:p w14:paraId="7E47589B" w14:textId="77777777" w:rsidR="00920F41" w:rsidRPr="00F15972" w:rsidRDefault="00920F41" w:rsidP="00F15972">
            <w:pPr>
              <w:ind w:left="0" w:right="0"/>
              <w:rPr>
                <w:sz w:val="20"/>
                <w:szCs w:val="20"/>
              </w:rPr>
            </w:pPr>
            <w:r w:rsidRPr="00F15972">
              <w:rPr>
                <w:sz w:val="20"/>
                <w:szCs w:val="20"/>
              </w:rPr>
              <w:t>81 (22.8%)</w:t>
            </w:r>
          </w:p>
        </w:tc>
        <w:tc>
          <w:tcPr>
            <w:tcW w:w="0" w:type="auto"/>
          </w:tcPr>
          <w:p w14:paraId="121F40E6" w14:textId="77777777" w:rsidR="00920F41" w:rsidRPr="00F15972" w:rsidRDefault="00920F41" w:rsidP="00F15972">
            <w:pPr>
              <w:ind w:left="0" w:right="0"/>
              <w:rPr>
                <w:sz w:val="20"/>
                <w:szCs w:val="20"/>
              </w:rPr>
            </w:pPr>
            <w:r w:rsidRPr="00F15972">
              <w:rPr>
                <w:sz w:val="20"/>
                <w:szCs w:val="20"/>
              </w:rPr>
              <w:t>80 (22.3%)</w:t>
            </w:r>
          </w:p>
        </w:tc>
      </w:tr>
      <w:tr w:rsidR="00920F41" w:rsidRPr="00F15972" w14:paraId="78B2F1AF" w14:textId="77777777" w:rsidTr="008A6DD8">
        <w:trPr>
          <w:trHeight w:val="474"/>
        </w:trPr>
        <w:tc>
          <w:tcPr>
            <w:tcW w:w="0" w:type="auto"/>
          </w:tcPr>
          <w:p w14:paraId="0C2D379C" w14:textId="77777777" w:rsidR="00920F41" w:rsidRPr="00F15972" w:rsidRDefault="00920F41" w:rsidP="00F15972">
            <w:pPr>
              <w:ind w:left="0" w:right="0"/>
              <w:rPr>
                <w:sz w:val="20"/>
                <w:szCs w:val="20"/>
              </w:rPr>
            </w:pPr>
            <w:r w:rsidRPr="00F15972">
              <w:rPr>
                <w:sz w:val="20"/>
                <w:szCs w:val="20"/>
              </w:rPr>
              <w:t>Subjects with Grade 3 or 4 adverse events</w:t>
            </w:r>
          </w:p>
        </w:tc>
        <w:tc>
          <w:tcPr>
            <w:tcW w:w="0" w:type="auto"/>
          </w:tcPr>
          <w:p w14:paraId="3DBB20FB" w14:textId="77777777" w:rsidR="00920F41" w:rsidRPr="00F15972" w:rsidRDefault="00920F41" w:rsidP="00F15972">
            <w:pPr>
              <w:ind w:left="0" w:right="0"/>
              <w:rPr>
                <w:sz w:val="20"/>
                <w:szCs w:val="20"/>
              </w:rPr>
            </w:pPr>
            <w:r w:rsidRPr="00F15972">
              <w:rPr>
                <w:sz w:val="20"/>
                <w:szCs w:val="20"/>
              </w:rPr>
              <w:t>159 (44.8%)</w:t>
            </w:r>
          </w:p>
        </w:tc>
        <w:tc>
          <w:tcPr>
            <w:tcW w:w="0" w:type="auto"/>
          </w:tcPr>
          <w:p w14:paraId="4EED17B2" w14:textId="77777777" w:rsidR="00920F41" w:rsidRPr="00F15972" w:rsidRDefault="00920F41" w:rsidP="00F15972">
            <w:pPr>
              <w:ind w:left="0" w:right="0"/>
              <w:rPr>
                <w:sz w:val="20"/>
                <w:szCs w:val="20"/>
              </w:rPr>
            </w:pPr>
            <w:r w:rsidRPr="00F15972">
              <w:rPr>
                <w:sz w:val="20"/>
                <w:szCs w:val="20"/>
              </w:rPr>
              <w:t>159 (44.4%)</w:t>
            </w:r>
          </w:p>
        </w:tc>
      </w:tr>
      <w:tr w:rsidR="00920F41" w:rsidRPr="00F15972" w14:paraId="1FFBDBA7" w14:textId="77777777" w:rsidTr="008A6DD8">
        <w:trPr>
          <w:trHeight w:val="486"/>
        </w:trPr>
        <w:tc>
          <w:tcPr>
            <w:tcW w:w="0" w:type="auto"/>
          </w:tcPr>
          <w:p w14:paraId="03EEC79B" w14:textId="77777777" w:rsidR="00920F41" w:rsidRPr="00F15972" w:rsidRDefault="00920F41" w:rsidP="00F15972">
            <w:pPr>
              <w:ind w:left="0" w:right="0"/>
              <w:rPr>
                <w:sz w:val="20"/>
                <w:szCs w:val="20"/>
              </w:rPr>
            </w:pPr>
            <w:r w:rsidRPr="00F15972">
              <w:rPr>
                <w:sz w:val="20"/>
                <w:szCs w:val="20"/>
              </w:rPr>
              <w:t>Subjects with Grade 5 adverse events</w:t>
            </w:r>
          </w:p>
        </w:tc>
        <w:tc>
          <w:tcPr>
            <w:tcW w:w="0" w:type="auto"/>
          </w:tcPr>
          <w:p w14:paraId="7A6C30B0" w14:textId="77777777" w:rsidR="00920F41" w:rsidRPr="00F15972" w:rsidRDefault="00920F41" w:rsidP="00F15972">
            <w:pPr>
              <w:ind w:left="0" w:right="0"/>
              <w:rPr>
                <w:sz w:val="20"/>
                <w:szCs w:val="20"/>
              </w:rPr>
            </w:pPr>
            <w:r w:rsidRPr="00F15972">
              <w:rPr>
                <w:sz w:val="20"/>
                <w:szCs w:val="20"/>
              </w:rPr>
              <w:t>21 (5.9%)</w:t>
            </w:r>
          </w:p>
        </w:tc>
        <w:tc>
          <w:tcPr>
            <w:tcW w:w="0" w:type="auto"/>
          </w:tcPr>
          <w:p w14:paraId="2394D6A9" w14:textId="77777777" w:rsidR="00920F41" w:rsidRPr="00F15972" w:rsidRDefault="00920F41" w:rsidP="00F15972">
            <w:pPr>
              <w:ind w:left="0" w:right="0"/>
              <w:rPr>
                <w:sz w:val="20"/>
                <w:szCs w:val="20"/>
              </w:rPr>
            </w:pPr>
            <w:r w:rsidRPr="00F15972">
              <w:rPr>
                <w:sz w:val="20"/>
                <w:szCs w:val="20"/>
              </w:rPr>
              <w:t>24 (6.7%)</w:t>
            </w:r>
          </w:p>
        </w:tc>
      </w:tr>
      <w:tr w:rsidR="00920F41" w:rsidRPr="00F15972" w14:paraId="5B7581EE" w14:textId="77777777" w:rsidTr="008A6DD8">
        <w:trPr>
          <w:trHeight w:val="718"/>
        </w:trPr>
        <w:tc>
          <w:tcPr>
            <w:tcW w:w="0" w:type="auto"/>
          </w:tcPr>
          <w:p w14:paraId="1C26495F" w14:textId="77777777" w:rsidR="00920F41" w:rsidRPr="00F15972" w:rsidRDefault="00920F41" w:rsidP="00F15972">
            <w:pPr>
              <w:ind w:left="0" w:right="0"/>
              <w:rPr>
                <w:sz w:val="20"/>
                <w:szCs w:val="20"/>
              </w:rPr>
            </w:pPr>
            <w:r w:rsidRPr="00F15972">
              <w:rPr>
                <w:sz w:val="20"/>
                <w:szCs w:val="20"/>
              </w:rPr>
              <w:lastRenderedPageBreak/>
              <w:t>Subjects who discontinued ANY treatment due to adverse events</w:t>
            </w:r>
          </w:p>
        </w:tc>
        <w:tc>
          <w:tcPr>
            <w:tcW w:w="0" w:type="auto"/>
          </w:tcPr>
          <w:p w14:paraId="03D981BB" w14:textId="77777777" w:rsidR="00920F41" w:rsidRPr="00F15972" w:rsidRDefault="00920F41" w:rsidP="00F15972">
            <w:pPr>
              <w:ind w:left="0" w:right="0"/>
              <w:rPr>
                <w:sz w:val="20"/>
                <w:szCs w:val="20"/>
              </w:rPr>
            </w:pPr>
            <w:r w:rsidRPr="00F15972">
              <w:rPr>
                <w:sz w:val="20"/>
                <w:szCs w:val="20"/>
              </w:rPr>
              <w:t>85 (23.9%)</w:t>
            </w:r>
          </w:p>
        </w:tc>
        <w:tc>
          <w:tcPr>
            <w:tcW w:w="0" w:type="auto"/>
          </w:tcPr>
          <w:p w14:paraId="4A528999" w14:textId="77777777" w:rsidR="00920F41" w:rsidRPr="00F15972" w:rsidRDefault="00920F41" w:rsidP="00F15972">
            <w:pPr>
              <w:ind w:left="0" w:right="0"/>
              <w:rPr>
                <w:sz w:val="20"/>
                <w:szCs w:val="20"/>
              </w:rPr>
            </w:pPr>
            <w:r w:rsidRPr="00F15972">
              <w:rPr>
                <w:sz w:val="20"/>
                <w:szCs w:val="20"/>
              </w:rPr>
              <w:t>86 (24%)</w:t>
            </w:r>
          </w:p>
        </w:tc>
      </w:tr>
      <w:tr w:rsidR="00920F41" w:rsidRPr="00F15972" w14:paraId="5A559F36" w14:textId="77777777" w:rsidTr="008A6DD8">
        <w:trPr>
          <w:trHeight w:val="718"/>
        </w:trPr>
        <w:tc>
          <w:tcPr>
            <w:tcW w:w="0" w:type="auto"/>
          </w:tcPr>
          <w:p w14:paraId="46066F03" w14:textId="77777777" w:rsidR="00920F41" w:rsidRPr="00F15972" w:rsidRDefault="00920F41" w:rsidP="00F15972">
            <w:pPr>
              <w:ind w:left="0" w:right="0"/>
              <w:rPr>
                <w:sz w:val="20"/>
                <w:szCs w:val="20"/>
              </w:rPr>
            </w:pPr>
            <w:r w:rsidRPr="00F15972">
              <w:rPr>
                <w:sz w:val="20"/>
                <w:szCs w:val="20"/>
              </w:rPr>
              <w:t>Subjects who discontinued bevacizumab ONLY due to adverse events</w:t>
            </w:r>
          </w:p>
        </w:tc>
        <w:tc>
          <w:tcPr>
            <w:tcW w:w="0" w:type="auto"/>
          </w:tcPr>
          <w:p w14:paraId="7FDDA0F9" w14:textId="77777777" w:rsidR="00920F41" w:rsidRPr="00F15972" w:rsidRDefault="00920F41" w:rsidP="00F15972">
            <w:pPr>
              <w:ind w:left="0" w:right="0"/>
              <w:rPr>
                <w:sz w:val="20"/>
                <w:szCs w:val="20"/>
              </w:rPr>
            </w:pPr>
            <w:r w:rsidRPr="00F15972">
              <w:rPr>
                <w:sz w:val="20"/>
                <w:szCs w:val="20"/>
              </w:rPr>
              <w:t>37 (10.4%)</w:t>
            </w:r>
          </w:p>
        </w:tc>
        <w:tc>
          <w:tcPr>
            <w:tcW w:w="0" w:type="auto"/>
          </w:tcPr>
          <w:p w14:paraId="74757D52" w14:textId="77777777" w:rsidR="00920F41" w:rsidRPr="00F15972" w:rsidRDefault="00920F41" w:rsidP="00F15972">
            <w:pPr>
              <w:ind w:left="0" w:right="0"/>
              <w:rPr>
                <w:sz w:val="20"/>
                <w:szCs w:val="20"/>
              </w:rPr>
            </w:pPr>
            <w:r w:rsidRPr="00F15972">
              <w:rPr>
                <w:sz w:val="20"/>
                <w:szCs w:val="20"/>
              </w:rPr>
              <w:t>29 (8.1%)</w:t>
            </w:r>
          </w:p>
        </w:tc>
      </w:tr>
      <w:tr w:rsidR="00920F41" w:rsidRPr="00F15972" w14:paraId="377DD8DB" w14:textId="77777777" w:rsidTr="008A6DD8">
        <w:trPr>
          <w:trHeight w:val="718"/>
        </w:trPr>
        <w:tc>
          <w:tcPr>
            <w:tcW w:w="0" w:type="auto"/>
          </w:tcPr>
          <w:p w14:paraId="21C9AE2A" w14:textId="77777777" w:rsidR="00920F41" w:rsidRPr="00F15972" w:rsidRDefault="00920F41" w:rsidP="00F15972">
            <w:pPr>
              <w:ind w:left="0" w:right="0"/>
              <w:rPr>
                <w:sz w:val="20"/>
                <w:szCs w:val="20"/>
              </w:rPr>
            </w:pPr>
            <w:r w:rsidRPr="00F15972">
              <w:rPr>
                <w:sz w:val="20"/>
                <w:szCs w:val="20"/>
              </w:rPr>
              <w:t>Subjects who discontinued bevacizumab and chemotherapy due to adverse events</w:t>
            </w:r>
          </w:p>
        </w:tc>
        <w:tc>
          <w:tcPr>
            <w:tcW w:w="0" w:type="auto"/>
          </w:tcPr>
          <w:p w14:paraId="512B490A" w14:textId="77777777" w:rsidR="00920F41" w:rsidRPr="00F15972" w:rsidRDefault="00920F41" w:rsidP="00F15972">
            <w:pPr>
              <w:ind w:left="0" w:right="0"/>
              <w:rPr>
                <w:sz w:val="20"/>
                <w:szCs w:val="20"/>
              </w:rPr>
            </w:pPr>
            <w:r w:rsidRPr="00F15972">
              <w:rPr>
                <w:sz w:val="20"/>
                <w:szCs w:val="20"/>
              </w:rPr>
              <w:t>30 (8.4%)</w:t>
            </w:r>
          </w:p>
        </w:tc>
        <w:tc>
          <w:tcPr>
            <w:tcW w:w="0" w:type="auto"/>
          </w:tcPr>
          <w:p w14:paraId="049DDEED" w14:textId="77777777" w:rsidR="00920F41" w:rsidRPr="00F15972" w:rsidRDefault="00920F41" w:rsidP="00F15972">
            <w:pPr>
              <w:ind w:left="0" w:right="0"/>
              <w:rPr>
                <w:sz w:val="20"/>
                <w:szCs w:val="20"/>
              </w:rPr>
            </w:pPr>
            <w:r w:rsidRPr="00F15972">
              <w:rPr>
                <w:sz w:val="20"/>
                <w:szCs w:val="20"/>
              </w:rPr>
              <w:t>28 (7.8%)</w:t>
            </w:r>
          </w:p>
        </w:tc>
      </w:tr>
      <w:tr w:rsidR="00920F41" w:rsidRPr="00F15972" w14:paraId="348D1835" w14:textId="77777777" w:rsidTr="008A6DD8">
        <w:trPr>
          <w:trHeight w:val="718"/>
        </w:trPr>
        <w:tc>
          <w:tcPr>
            <w:tcW w:w="0" w:type="auto"/>
          </w:tcPr>
          <w:p w14:paraId="71F50A38" w14:textId="77777777" w:rsidR="00920F41" w:rsidRPr="00F15972" w:rsidRDefault="00920F41" w:rsidP="00F15972">
            <w:pPr>
              <w:ind w:left="0" w:right="0"/>
              <w:rPr>
                <w:sz w:val="20"/>
                <w:szCs w:val="20"/>
              </w:rPr>
            </w:pPr>
            <w:r w:rsidRPr="00F15972">
              <w:rPr>
                <w:sz w:val="20"/>
                <w:szCs w:val="20"/>
              </w:rPr>
              <w:t>Subjects with dose reduction of bevacizumab ONLY due to adverse events</w:t>
            </w:r>
          </w:p>
        </w:tc>
        <w:tc>
          <w:tcPr>
            <w:tcW w:w="0" w:type="auto"/>
          </w:tcPr>
          <w:p w14:paraId="6095FD2E" w14:textId="77777777" w:rsidR="00920F41" w:rsidRPr="00F15972" w:rsidRDefault="00920F41" w:rsidP="00F15972">
            <w:pPr>
              <w:ind w:left="0" w:right="0"/>
              <w:rPr>
                <w:sz w:val="20"/>
                <w:szCs w:val="20"/>
              </w:rPr>
            </w:pPr>
            <w:r w:rsidRPr="00F15972">
              <w:rPr>
                <w:sz w:val="20"/>
                <w:szCs w:val="20"/>
              </w:rPr>
              <w:t>0</w:t>
            </w:r>
          </w:p>
        </w:tc>
        <w:tc>
          <w:tcPr>
            <w:tcW w:w="0" w:type="auto"/>
          </w:tcPr>
          <w:p w14:paraId="751EAAD8" w14:textId="77777777" w:rsidR="00920F41" w:rsidRPr="00F15972" w:rsidRDefault="00920F41" w:rsidP="00F15972">
            <w:pPr>
              <w:ind w:left="0" w:right="0"/>
              <w:rPr>
                <w:sz w:val="20"/>
                <w:szCs w:val="20"/>
              </w:rPr>
            </w:pPr>
            <w:r w:rsidRPr="00F15972">
              <w:rPr>
                <w:sz w:val="20"/>
                <w:szCs w:val="20"/>
              </w:rPr>
              <w:t>0</w:t>
            </w:r>
          </w:p>
        </w:tc>
      </w:tr>
    </w:tbl>
    <w:p w14:paraId="23E666EC" w14:textId="4988D0D7" w:rsidR="00920F41" w:rsidRDefault="00920F41" w:rsidP="000D4D5B">
      <w:r>
        <w:t xml:space="preserve">As expected, the incidence of </w:t>
      </w:r>
      <w:r w:rsidR="00F15972">
        <w:t>AEs</w:t>
      </w:r>
      <w:r>
        <w:t xml:space="preserve"> was high, and comparable between both groups. Serious adverse events </w:t>
      </w:r>
      <w:r w:rsidR="000D4D5B">
        <w:t xml:space="preserve">(SAEs) </w:t>
      </w:r>
      <w:r>
        <w:t xml:space="preserve">were similar in both groups at 22.8% and 22.3% in the </w:t>
      </w:r>
      <w:proofErr w:type="spellStart"/>
      <w:r>
        <w:t>Zirabev</w:t>
      </w:r>
      <w:proofErr w:type="spellEnd"/>
      <w:r>
        <w:t xml:space="preserve"> and </w:t>
      </w:r>
      <w:proofErr w:type="spellStart"/>
      <w:r w:rsidR="00D43527">
        <w:t>Avastin</w:t>
      </w:r>
      <w:proofErr w:type="spellEnd"/>
      <w:r w:rsidR="00D43527">
        <w:t xml:space="preserve"> </w:t>
      </w:r>
      <w:r>
        <w:t xml:space="preserve">bevacizumab-EU arms respectively. Treatment discontinuation due to adverse events was similar in both groups, at 23.9% and 24% in the </w:t>
      </w:r>
      <w:proofErr w:type="spellStart"/>
      <w:r>
        <w:t>Zirabev</w:t>
      </w:r>
      <w:proofErr w:type="spellEnd"/>
      <w:r>
        <w:t xml:space="preserve"> and bevacizumab-EU arms respectively.</w:t>
      </w:r>
    </w:p>
    <w:p w14:paraId="59073204" w14:textId="77777777" w:rsidR="00920F41" w:rsidRDefault="00920F41" w:rsidP="000D4D5B">
      <w:r>
        <w:t xml:space="preserve">The most commonly reported adverse events were alopecia, anaemia, fatigue, nausea, </w:t>
      </w:r>
      <w:proofErr w:type="spellStart"/>
      <w:r>
        <w:t>neutropaenia</w:t>
      </w:r>
      <w:proofErr w:type="spellEnd"/>
      <w:r>
        <w:t xml:space="preserve">, </w:t>
      </w:r>
      <w:proofErr w:type="spellStart"/>
      <w:r>
        <w:t>thrombocytopaenia</w:t>
      </w:r>
      <w:proofErr w:type="spellEnd"/>
      <w:r>
        <w:t xml:space="preserve"> and hypertension, with the majority of these b</w:t>
      </w:r>
      <w:r w:rsidR="00F15972">
        <w:t>eing Grade 1 or Grade 2 events.</w:t>
      </w:r>
    </w:p>
    <w:p w14:paraId="0416ABD5" w14:textId="77777777" w:rsidR="00920F41" w:rsidRDefault="00920F41" w:rsidP="000D4D5B">
      <w:r>
        <w:t>A total of 343 (48%) of subjects experienced a Grade</w:t>
      </w:r>
      <w:r w:rsidR="00F15972">
        <w:t xml:space="preserve"> 3 or higher TEAE; </w:t>
      </w:r>
      <w:r>
        <w:t xml:space="preserve">both the </w:t>
      </w:r>
      <w:proofErr w:type="spellStart"/>
      <w:r>
        <w:t>Zirabev</w:t>
      </w:r>
      <w:proofErr w:type="spellEnd"/>
      <w:r>
        <w:t xml:space="preserve"> and bevacizumab-EU arms had an incidence of 48%. The most frequently reported were hypertension (9.3% and 8.7% in the </w:t>
      </w:r>
      <w:proofErr w:type="spellStart"/>
      <w:r>
        <w:t>Zirabev</w:t>
      </w:r>
      <w:proofErr w:type="spellEnd"/>
      <w:r>
        <w:t xml:space="preserve"> and bevacizumab-EU arms respectively), </w:t>
      </w:r>
      <w:proofErr w:type="spellStart"/>
      <w:r>
        <w:t>neutropaenia</w:t>
      </w:r>
      <w:proofErr w:type="spellEnd"/>
      <w:r>
        <w:t xml:space="preserve"> (7.3% and 8.9% in the </w:t>
      </w:r>
      <w:proofErr w:type="spellStart"/>
      <w:r>
        <w:t>Zirabev</w:t>
      </w:r>
      <w:proofErr w:type="spellEnd"/>
      <w:r>
        <w:t xml:space="preserve"> and bevacizumab-EU arms respectively) and anaemia (5.3% and 5.0% in the </w:t>
      </w:r>
      <w:proofErr w:type="spellStart"/>
      <w:r>
        <w:t>Zirabev</w:t>
      </w:r>
      <w:proofErr w:type="spellEnd"/>
      <w:r>
        <w:t xml:space="preserve"> and bevacizumab-EU arms respectively).</w:t>
      </w:r>
    </w:p>
    <w:p w14:paraId="74CABED3" w14:textId="77777777" w:rsidR="00920F41" w:rsidRDefault="00920F41" w:rsidP="000D4D5B">
      <w:r>
        <w:t xml:space="preserve">Bevacizumab related TEAEs were AEs considered to be related to bevacizumab with or without causal relationship to chemotherapy in accordance with the investigator’s assessment. The most frequently reported bevacizumab-related TEAE was hypertension, with 45 (12.6%) of patients in the </w:t>
      </w:r>
      <w:proofErr w:type="spellStart"/>
      <w:r>
        <w:t>Zirabev</w:t>
      </w:r>
      <w:proofErr w:type="spellEnd"/>
      <w:r>
        <w:t xml:space="preserve"> group and 40 (11.2%) of patients in the bevacizu</w:t>
      </w:r>
      <w:r w:rsidR="00F15972">
        <w:t>mab-EU group experiencing this.</w:t>
      </w:r>
    </w:p>
    <w:p w14:paraId="2107AA8D" w14:textId="77777777" w:rsidR="00920F41" w:rsidRPr="003A6205" w:rsidRDefault="00920F41" w:rsidP="00684EDC">
      <w:pPr>
        <w:pStyle w:val="Heading4"/>
      </w:pPr>
      <w:r w:rsidRPr="003A6205">
        <w:t>Treatment-</w:t>
      </w:r>
      <w:r w:rsidR="000D4D5B" w:rsidRPr="003A6205">
        <w:t xml:space="preserve">emergent adverse event </w:t>
      </w:r>
      <w:r w:rsidRPr="003A6205">
        <w:t>of special interest</w:t>
      </w:r>
      <w:r w:rsidR="000D4D5B">
        <w:t xml:space="preserve"> in S</w:t>
      </w:r>
      <w:r>
        <w:t xml:space="preserve">tudy </w:t>
      </w:r>
      <w:r w:rsidRPr="00594F9D">
        <w:t>B7391003</w:t>
      </w:r>
    </w:p>
    <w:p w14:paraId="3E26AD7A" w14:textId="77777777" w:rsidR="00920F41" w:rsidRPr="001E6CF0" w:rsidRDefault="00920F41" w:rsidP="000D4D5B">
      <w:r>
        <w:t>TEAEs of special interest were selected based on the established safety profile of bevacizumab</w:t>
      </w:r>
      <w:r w:rsidR="000D4D5B">
        <w:t xml:space="preserve"> as reported in the </w:t>
      </w:r>
      <w:proofErr w:type="spellStart"/>
      <w:r w:rsidR="000D4D5B">
        <w:t>Avastin</w:t>
      </w:r>
      <w:proofErr w:type="spellEnd"/>
      <w:r w:rsidR="000D4D5B">
        <w:t xml:space="preserve"> PI.</w:t>
      </w:r>
    </w:p>
    <w:p w14:paraId="6CD9FB62" w14:textId="77777777" w:rsidR="00920F41" w:rsidRDefault="000D4D5B" w:rsidP="000D4D5B">
      <w:r>
        <w:t xml:space="preserve">TEAEs of special interest in Study B7391003 are shown in </w:t>
      </w:r>
      <w:r>
        <w:fldChar w:fldCharType="begin"/>
      </w:r>
      <w:r>
        <w:instrText xml:space="preserve"> REF _Ref31379363 \h </w:instrText>
      </w:r>
      <w:r>
        <w:fldChar w:fldCharType="separate"/>
      </w:r>
      <w:r>
        <w:t xml:space="preserve">Table </w:t>
      </w:r>
      <w:r>
        <w:rPr>
          <w:noProof/>
        </w:rPr>
        <w:t>8</w:t>
      </w:r>
      <w:r>
        <w:fldChar w:fldCharType="end"/>
      </w:r>
      <w:r>
        <w:t>.</w:t>
      </w:r>
    </w:p>
    <w:p w14:paraId="018DC52F" w14:textId="0F318E86" w:rsidR="000D4D5B" w:rsidRDefault="000D4D5B" w:rsidP="000D4D5B">
      <w:pPr>
        <w:pStyle w:val="TableTitle"/>
      </w:pPr>
      <w:bookmarkStart w:id="49" w:name="_Ref31379363"/>
      <w:r>
        <w:t xml:space="preserve">Table </w:t>
      </w:r>
      <w:r w:rsidR="00D97F65">
        <w:fldChar w:fldCharType="begin"/>
      </w:r>
      <w:r w:rsidR="00D97F65">
        <w:instrText xml:space="preserve"> SEQ Table \* ARABIC </w:instrText>
      </w:r>
      <w:r w:rsidR="00D97F65">
        <w:fldChar w:fldCharType="separate"/>
      </w:r>
      <w:r w:rsidR="00380602">
        <w:rPr>
          <w:noProof/>
        </w:rPr>
        <w:t>8</w:t>
      </w:r>
      <w:r w:rsidR="00D97F65">
        <w:rPr>
          <w:noProof/>
        </w:rPr>
        <w:fldChar w:fldCharType="end"/>
      </w:r>
      <w:bookmarkEnd w:id="49"/>
      <w:r>
        <w:t>: Treatment emergent adverse events of special interest in Study B7391003</w:t>
      </w:r>
    </w:p>
    <w:tbl>
      <w:tblPr>
        <w:tblStyle w:val="TableTGAblue"/>
        <w:tblW w:w="0" w:type="auto"/>
        <w:tblLook w:val="04A0" w:firstRow="1" w:lastRow="0" w:firstColumn="1" w:lastColumn="0" w:noHBand="0" w:noVBand="1"/>
      </w:tblPr>
      <w:tblGrid>
        <w:gridCol w:w="2211"/>
        <w:gridCol w:w="1586"/>
        <w:gridCol w:w="1689"/>
        <w:gridCol w:w="1607"/>
        <w:gridCol w:w="1379"/>
      </w:tblGrid>
      <w:tr w:rsidR="00920F41" w:rsidRPr="000D4D5B" w14:paraId="5404A778" w14:textId="77777777" w:rsidTr="008A6DD8">
        <w:trPr>
          <w:cnfStyle w:val="100000000000" w:firstRow="1" w:lastRow="0" w:firstColumn="0" w:lastColumn="0" w:oddVBand="0" w:evenVBand="0" w:oddHBand="0" w:evenHBand="0" w:firstRowFirstColumn="0" w:firstRowLastColumn="0" w:lastRowFirstColumn="0" w:lastRowLastColumn="0"/>
        </w:trPr>
        <w:tc>
          <w:tcPr>
            <w:tcW w:w="2211" w:type="dxa"/>
          </w:tcPr>
          <w:p w14:paraId="36D242D0" w14:textId="77777777" w:rsidR="00920F41" w:rsidRPr="000D4D5B" w:rsidRDefault="00920F41" w:rsidP="000D4D5B">
            <w:pPr>
              <w:ind w:left="0" w:right="0"/>
              <w:rPr>
                <w:sz w:val="20"/>
                <w:szCs w:val="20"/>
                <w:u w:val="single"/>
              </w:rPr>
            </w:pPr>
          </w:p>
        </w:tc>
        <w:tc>
          <w:tcPr>
            <w:tcW w:w="1586" w:type="dxa"/>
          </w:tcPr>
          <w:p w14:paraId="3B59FBE2" w14:textId="77777777" w:rsidR="00920F41" w:rsidRPr="000D4D5B" w:rsidRDefault="00920F41" w:rsidP="000D4D5B">
            <w:pPr>
              <w:ind w:left="0" w:right="0"/>
              <w:rPr>
                <w:sz w:val="20"/>
                <w:szCs w:val="20"/>
              </w:rPr>
            </w:pPr>
            <w:proofErr w:type="spellStart"/>
            <w:r w:rsidRPr="000D4D5B">
              <w:rPr>
                <w:sz w:val="20"/>
                <w:szCs w:val="20"/>
              </w:rPr>
              <w:t>Zirabev</w:t>
            </w:r>
            <w:proofErr w:type="spellEnd"/>
            <w:r w:rsidRPr="000D4D5B">
              <w:rPr>
                <w:sz w:val="20"/>
                <w:szCs w:val="20"/>
              </w:rPr>
              <w:t xml:space="preserve"> (n</w:t>
            </w:r>
            <w:r w:rsidR="000D4D5B">
              <w:rPr>
                <w:sz w:val="20"/>
                <w:szCs w:val="20"/>
              </w:rPr>
              <w:t> </w:t>
            </w:r>
            <w:r w:rsidRPr="000D4D5B">
              <w:rPr>
                <w:sz w:val="20"/>
                <w:szCs w:val="20"/>
              </w:rPr>
              <w:t>=</w:t>
            </w:r>
            <w:r w:rsidR="000D4D5B">
              <w:rPr>
                <w:sz w:val="20"/>
                <w:szCs w:val="20"/>
              </w:rPr>
              <w:t> </w:t>
            </w:r>
            <w:r w:rsidRPr="000D4D5B">
              <w:rPr>
                <w:sz w:val="20"/>
                <w:szCs w:val="20"/>
              </w:rPr>
              <w:t>356)</w:t>
            </w:r>
          </w:p>
        </w:tc>
        <w:tc>
          <w:tcPr>
            <w:tcW w:w="1689" w:type="dxa"/>
          </w:tcPr>
          <w:p w14:paraId="0620D5A3" w14:textId="20C0ACA9" w:rsidR="00920F41" w:rsidRPr="000D4D5B" w:rsidRDefault="00D43527" w:rsidP="000D4D5B">
            <w:pPr>
              <w:ind w:left="0" w:right="0"/>
              <w:rPr>
                <w:sz w:val="20"/>
                <w:szCs w:val="20"/>
              </w:rPr>
            </w:pPr>
            <w:proofErr w:type="spellStart"/>
            <w:r>
              <w:rPr>
                <w:sz w:val="20"/>
                <w:szCs w:val="20"/>
              </w:rPr>
              <w:t>Avastin</w:t>
            </w:r>
            <w:proofErr w:type="spellEnd"/>
            <w:r>
              <w:rPr>
                <w:sz w:val="20"/>
                <w:szCs w:val="20"/>
              </w:rPr>
              <w:t xml:space="preserve"> </w:t>
            </w:r>
            <w:r w:rsidR="00920F41" w:rsidRPr="000D4D5B">
              <w:rPr>
                <w:sz w:val="20"/>
                <w:szCs w:val="20"/>
              </w:rPr>
              <w:t>Bevacizumab-EU (n</w:t>
            </w:r>
            <w:r w:rsidR="000D4D5B">
              <w:rPr>
                <w:sz w:val="20"/>
                <w:szCs w:val="20"/>
              </w:rPr>
              <w:t> </w:t>
            </w:r>
            <w:r w:rsidR="00920F41" w:rsidRPr="000D4D5B">
              <w:rPr>
                <w:sz w:val="20"/>
                <w:szCs w:val="20"/>
              </w:rPr>
              <w:t>=</w:t>
            </w:r>
            <w:r w:rsidR="000D4D5B">
              <w:rPr>
                <w:sz w:val="20"/>
                <w:szCs w:val="20"/>
              </w:rPr>
              <w:t> </w:t>
            </w:r>
            <w:r w:rsidR="00920F41" w:rsidRPr="000D4D5B">
              <w:rPr>
                <w:sz w:val="20"/>
                <w:szCs w:val="20"/>
              </w:rPr>
              <w:t>358)</w:t>
            </w:r>
          </w:p>
        </w:tc>
        <w:tc>
          <w:tcPr>
            <w:tcW w:w="1607" w:type="dxa"/>
          </w:tcPr>
          <w:p w14:paraId="34B07B19" w14:textId="77777777" w:rsidR="00920F41" w:rsidRPr="000D4D5B" w:rsidRDefault="00920F41" w:rsidP="000D4D5B">
            <w:pPr>
              <w:ind w:left="0" w:right="0"/>
              <w:rPr>
                <w:sz w:val="20"/>
                <w:szCs w:val="20"/>
              </w:rPr>
            </w:pPr>
            <w:r w:rsidRPr="000D4D5B">
              <w:rPr>
                <w:sz w:val="20"/>
                <w:szCs w:val="20"/>
              </w:rPr>
              <w:t>Risk difference</w:t>
            </w:r>
          </w:p>
        </w:tc>
        <w:tc>
          <w:tcPr>
            <w:tcW w:w="1379" w:type="dxa"/>
          </w:tcPr>
          <w:p w14:paraId="716F405A" w14:textId="77777777" w:rsidR="00920F41" w:rsidRPr="000D4D5B" w:rsidRDefault="00920F41" w:rsidP="000D4D5B">
            <w:pPr>
              <w:ind w:left="0" w:right="0"/>
              <w:rPr>
                <w:sz w:val="20"/>
                <w:szCs w:val="20"/>
              </w:rPr>
            </w:pPr>
            <w:r w:rsidRPr="000D4D5B">
              <w:rPr>
                <w:sz w:val="20"/>
                <w:szCs w:val="20"/>
              </w:rPr>
              <w:t>95% Confidence Interval</w:t>
            </w:r>
          </w:p>
        </w:tc>
      </w:tr>
      <w:tr w:rsidR="00920F41" w:rsidRPr="000D4D5B" w14:paraId="6C79F170" w14:textId="77777777" w:rsidTr="008A6DD8">
        <w:tc>
          <w:tcPr>
            <w:tcW w:w="2211" w:type="dxa"/>
          </w:tcPr>
          <w:p w14:paraId="51997A4A" w14:textId="77777777" w:rsidR="00920F41" w:rsidRPr="000D4D5B" w:rsidRDefault="00920F41" w:rsidP="000D4D5B">
            <w:pPr>
              <w:ind w:left="0" w:right="0"/>
              <w:rPr>
                <w:sz w:val="20"/>
                <w:szCs w:val="20"/>
              </w:rPr>
            </w:pPr>
            <w:r w:rsidRPr="000D4D5B">
              <w:rPr>
                <w:sz w:val="20"/>
                <w:szCs w:val="20"/>
              </w:rPr>
              <w:t>Arterial thromboembolism</w:t>
            </w:r>
          </w:p>
        </w:tc>
        <w:tc>
          <w:tcPr>
            <w:tcW w:w="1586" w:type="dxa"/>
          </w:tcPr>
          <w:p w14:paraId="07F53E9B" w14:textId="77777777" w:rsidR="00920F41" w:rsidRPr="000D4D5B" w:rsidRDefault="00920F41" w:rsidP="000D4D5B">
            <w:pPr>
              <w:ind w:left="0" w:right="0"/>
              <w:rPr>
                <w:sz w:val="20"/>
                <w:szCs w:val="20"/>
              </w:rPr>
            </w:pPr>
            <w:r w:rsidRPr="000D4D5B">
              <w:rPr>
                <w:sz w:val="20"/>
                <w:szCs w:val="20"/>
              </w:rPr>
              <w:t>8</w:t>
            </w:r>
          </w:p>
        </w:tc>
        <w:tc>
          <w:tcPr>
            <w:tcW w:w="1689" w:type="dxa"/>
          </w:tcPr>
          <w:p w14:paraId="666F6BFD" w14:textId="77777777" w:rsidR="00920F41" w:rsidRPr="000D4D5B" w:rsidRDefault="00920F41" w:rsidP="000D4D5B">
            <w:pPr>
              <w:ind w:left="0" w:right="0"/>
              <w:rPr>
                <w:sz w:val="20"/>
                <w:szCs w:val="20"/>
              </w:rPr>
            </w:pPr>
            <w:r w:rsidRPr="000D4D5B">
              <w:rPr>
                <w:sz w:val="20"/>
                <w:szCs w:val="20"/>
              </w:rPr>
              <w:t>7</w:t>
            </w:r>
          </w:p>
        </w:tc>
        <w:tc>
          <w:tcPr>
            <w:tcW w:w="1607" w:type="dxa"/>
          </w:tcPr>
          <w:p w14:paraId="5B8EC524" w14:textId="77777777" w:rsidR="00920F41" w:rsidRPr="000D4D5B" w:rsidRDefault="00920F41" w:rsidP="000D4D5B">
            <w:pPr>
              <w:ind w:left="0" w:right="0"/>
              <w:rPr>
                <w:sz w:val="20"/>
                <w:szCs w:val="20"/>
              </w:rPr>
            </w:pPr>
            <w:r w:rsidRPr="000D4D5B">
              <w:rPr>
                <w:sz w:val="20"/>
                <w:szCs w:val="20"/>
              </w:rPr>
              <w:t>0.292</w:t>
            </w:r>
          </w:p>
        </w:tc>
        <w:tc>
          <w:tcPr>
            <w:tcW w:w="1379" w:type="dxa"/>
          </w:tcPr>
          <w:p w14:paraId="0F2DD611" w14:textId="77777777" w:rsidR="00920F41" w:rsidRPr="000D4D5B" w:rsidRDefault="00920F41" w:rsidP="000D4D5B">
            <w:pPr>
              <w:ind w:left="0" w:right="0"/>
              <w:rPr>
                <w:sz w:val="20"/>
                <w:szCs w:val="20"/>
              </w:rPr>
            </w:pPr>
            <w:r w:rsidRPr="000D4D5B">
              <w:rPr>
                <w:sz w:val="20"/>
                <w:szCs w:val="20"/>
              </w:rPr>
              <w:t>-2.009 to 2.640</w:t>
            </w:r>
          </w:p>
        </w:tc>
      </w:tr>
      <w:tr w:rsidR="00920F41" w:rsidRPr="000D4D5B" w14:paraId="6601FBBF" w14:textId="77777777" w:rsidTr="008A6DD8">
        <w:tc>
          <w:tcPr>
            <w:tcW w:w="2211" w:type="dxa"/>
          </w:tcPr>
          <w:p w14:paraId="1D30366C" w14:textId="77777777" w:rsidR="00920F41" w:rsidRPr="000D4D5B" w:rsidRDefault="00920F41" w:rsidP="000D4D5B">
            <w:pPr>
              <w:ind w:left="0" w:right="0"/>
              <w:rPr>
                <w:sz w:val="20"/>
                <w:szCs w:val="20"/>
              </w:rPr>
            </w:pPr>
            <w:r w:rsidRPr="000D4D5B">
              <w:rPr>
                <w:sz w:val="20"/>
                <w:szCs w:val="20"/>
              </w:rPr>
              <w:t>Bleeding/haemorrhage</w:t>
            </w:r>
          </w:p>
        </w:tc>
        <w:tc>
          <w:tcPr>
            <w:tcW w:w="1586" w:type="dxa"/>
          </w:tcPr>
          <w:p w14:paraId="5DA493E4" w14:textId="77777777" w:rsidR="00920F41" w:rsidRPr="000D4D5B" w:rsidRDefault="00920F41" w:rsidP="000D4D5B">
            <w:pPr>
              <w:ind w:left="0" w:right="0"/>
              <w:rPr>
                <w:sz w:val="20"/>
                <w:szCs w:val="20"/>
              </w:rPr>
            </w:pPr>
            <w:r w:rsidRPr="000D4D5B">
              <w:rPr>
                <w:sz w:val="20"/>
                <w:szCs w:val="20"/>
              </w:rPr>
              <w:t>83</w:t>
            </w:r>
          </w:p>
        </w:tc>
        <w:tc>
          <w:tcPr>
            <w:tcW w:w="1689" w:type="dxa"/>
          </w:tcPr>
          <w:p w14:paraId="0DCA76AF" w14:textId="77777777" w:rsidR="00920F41" w:rsidRPr="000D4D5B" w:rsidRDefault="00920F41" w:rsidP="000D4D5B">
            <w:pPr>
              <w:ind w:left="0" w:right="0"/>
              <w:rPr>
                <w:sz w:val="20"/>
                <w:szCs w:val="20"/>
              </w:rPr>
            </w:pPr>
            <w:r w:rsidRPr="000D4D5B">
              <w:rPr>
                <w:sz w:val="20"/>
                <w:szCs w:val="20"/>
              </w:rPr>
              <w:t>69</w:t>
            </w:r>
          </w:p>
        </w:tc>
        <w:tc>
          <w:tcPr>
            <w:tcW w:w="1607" w:type="dxa"/>
          </w:tcPr>
          <w:p w14:paraId="2B37DDC9" w14:textId="77777777" w:rsidR="00920F41" w:rsidRPr="000D4D5B" w:rsidRDefault="00920F41" w:rsidP="000D4D5B">
            <w:pPr>
              <w:ind w:left="0" w:right="0"/>
              <w:rPr>
                <w:sz w:val="20"/>
                <w:szCs w:val="20"/>
              </w:rPr>
            </w:pPr>
            <w:r w:rsidRPr="000D4D5B">
              <w:rPr>
                <w:sz w:val="20"/>
                <w:szCs w:val="20"/>
              </w:rPr>
              <w:t>4.041</w:t>
            </w:r>
          </w:p>
        </w:tc>
        <w:tc>
          <w:tcPr>
            <w:tcW w:w="1379" w:type="dxa"/>
          </w:tcPr>
          <w:p w14:paraId="19442311" w14:textId="77777777" w:rsidR="00920F41" w:rsidRPr="000D4D5B" w:rsidRDefault="00920F41" w:rsidP="000D4D5B">
            <w:pPr>
              <w:ind w:left="0" w:right="0"/>
              <w:rPr>
                <w:sz w:val="20"/>
                <w:szCs w:val="20"/>
              </w:rPr>
            </w:pPr>
            <w:r w:rsidRPr="000D4D5B">
              <w:rPr>
                <w:sz w:val="20"/>
                <w:szCs w:val="20"/>
              </w:rPr>
              <w:t>-1.985 to 10.082</w:t>
            </w:r>
          </w:p>
        </w:tc>
      </w:tr>
      <w:tr w:rsidR="00920F41" w:rsidRPr="000D4D5B" w14:paraId="16449327" w14:textId="77777777" w:rsidTr="007443C8">
        <w:trPr>
          <w:cantSplit/>
        </w:trPr>
        <w:tc>
          <w:tcPr>
            <w:tcW w:w="2211" w:type="dxa"/>
          </w:tcPr>
          <w:p w14:paraId="7523AD8B" w14:textId="77777777" w:rsidR="00920F41" w:rsidRPr="000D4D5B" w:rsidRDefault="00920F41" w:rsidP="000D4D5B">
            <w:pPr>
              <w:ind w:left="0" w:right="0"/>
              <w:rPr>
                <w:sz w:val="20"/>
                <w:szCs w:val="20"/>
              </w:rPr>
            </w:pPr>
            <w:r w:rsidRPr="000D4D5B">
              <w:rPr>
                <w:sz w:val="20"/>
                <w:szCs w:val="20"/>
              </w:rPr>
              <w:lastRenderedPageBreak/>
              <w:t>Cardiac disorders</w:t>
            </w:r>
          </w:p>
        </w:tc>
        <w:tc>
          <w:tcPr>
            <w:tcW w:w="1586" w:type="dxa"/>
          </w:tcPr>
          <w:p w14:paraId="74C5A18F" w14:textId="77777777" w:rsidR="00920F41" w:rsidRPr="000D4D5B" w:rsidRDefault="00920F41" w:rsidP="000D4D5B">
            <w:pPr>
              <w:ind w:left="0" w:right="0"/>
              <w:rPr>
                <w:sz w:val="20"/>
                <w:szCs w:val="20"/>
              </w:rPr>
            </w:pPr>
            <w:r w:rsidRPr="000D4D5B">
              <w:rPr>
                <w:sz w:val="20"/>
                <w:szCs w:val="20"/>
              </w:rPr>
              <w:t>29</w:t>
            </w:r>
          </w:p>
        </w:tc>
        <w:tc>
          <w:tcPr>
            <w:tcW w:w="1689" w:type="dxa"/>
          </w:tcPr>
          <w:p w14:paraId="5CD3D2B9" w14:textId="77777777" w:rsidR="00920F41" w:rsidRPr="000D4D5B" w:rsidRDefault="00920F41" w:rsidP="000D4D5B">
            <w:pPr>
              <w:ind w:left="0" w:right="0"/>
              <w:rPr>
                <w:sz w:val="20"/>
                <w:szCs w:val="20"/>
              </w:rPr>
            </w:pPr>
            <w:r w:rsidRPr="000D4D5B">
              <w:rPr>
                <w:sz w:val="20"/>
                <w:szCs w:val="20"/>
              </w:rPr>
              <w:t>29</w:t>
            </w:r>
          </w:p>
        </w:tc>
        <w:tc>
          <w:tcPr>
            <w:tcW w:w="1607" w:type="dxa"/>
          </w:tcPr>
          <w:p w14:paraId="4547F313" w14:textId="77777777" w:rsidR="00920F41" w:rsidRPr="000D4D5B" w:rsidRDefault="00920F41" w:rsidP="000D4D5B">
            <w:pPr>
              <w:ind w:left="0" w:right="0"/>
              <w:rPr>
                <w:sz w:val="20"/>
                <w:szCs w:val="20"/>
              </w:rPr>
            </w:pPr>
            <w:r w:rsidRPr="000D4D5B">
              <w:rPr>
                <w:sz w:val="20"/>
                <w:szCs w:val="20"/>
              </w:rPr>
              <w:t>0.046</w:t>
            </w:r>
          </w:p>
        </w:tc>
        <w:tc>
          <w:tcPr>
            <w:tcW w:w="1379" w:type="dxa"/>
          </w:tcPr>
          <w:p w14:paraId="74450102" w14:textId="77777777" w:rsidR="00920F41" w:rsidRPr="000D4D5B" w:rsidRDefault="00920F41" w:rsidP="000D4D5B">
            <w:pPr>
              <w:ind w:left="0" w:right="0"/>
              <w:rPr>
                <w:sz w:val="20"/>
                <w:szCs w:val="20"/>
              </w:rPr>
            </w:pPr>
            <w:r w:rsidRPr="000D4D5B">
              <w:rPr>
                <w:sz w:val="20"/>
                <w:szCs w:val="20"/>
              </w:rPr>
              <w:t>-4.053 to 4.152</w:t>
            </w:r>
          </w:p>
        </w:tc>
      </w:tr>
      <w:tr w:rsidR="00920F41" w:rsidRPr="000D4D5B" w14:paraId="21477E55" w14:textId="77777777" w:rsidTr="008A6DD8">
        <w:tc>
          <w:tcPr>
            <w:tcW w:w="2211" w:type="dxa"/>
          </w:tcPr>
          <w:p w14:paraId="5FCE0885" w14:textId="5CF9E77A" w:rsidR="00920F41" w:rsidRPr="000D4D5B" w:rsidRDefault="008A6DD8" w:rsidP="000D4D5B">
            <w:pPr>
              <w:ind w:left="0" w:right="0"/>
              <w:rPr>
                <w:sz w:val="20"/>
                <w:szCs w:val="20"/>
              </w:rPr>
            </w:pPr>
            <w:r>
              <w:rPr>
                <w:sz w:val="20"/>
                <w:szCs w:val="20"/>
              </w:rPr>
              <w:t>Hypertension (G</w:t>
            </w:r>
            <w:r w:rsidR="00920F41" w:rsidRPr="000D4D5B">
              <w:rPr>
                <w:sz w:val="20"/>
                <w:szCs w:val="20"/>
              </w:rPr>
              <w:t>rade 3 or higher)</w:t>
            </w:r>
          </w:p>
        </w:tc>
        <w:tc>
          <w:tcPr>
            <w:tcW w:w="1586" w:type="dxa"/>
          </w:tcPr>
          <w:p w14:paraId="7E29CFD9" w14:textId="77777777" w:rsidR="00920F41" w:rsidRPr="000D4D5B" w:rsidRDefault="00920F41" w:rsidP="000D4D5B">
            <w:pPr>
              <w:ind w:left="0" w:right="0"/>
              <w:rPr>
                <w:sz w:val="20"/>
                <w:szCs w:val="20"/>
              </w:rPr>
            </w:pPr>
            <w:r w:rsidRPr="000D4D5B">
              <w:rPr>
                <w:sz w:val="20"/>
                <w:szCs w:val="20"/>
              </w:rPr>
              <w:t>34</w:t>
            </w:r>
          </w:p>
        </w:tc>
        <w:tc>
          <w:tcPr>
            <w:tcW w:w="1689" w:type="dxa"/>
          </w:tcPr>
          <w:p w14:paraId="2517A980" w14:textId="77777777" w:rsidR="00920F41" w:rsidRPr="000D4D5B" w:rsidRDefault="00920F41" w:rsidP="000D4D5B">
            <w:pPr>
              <w:ind w:left="0" w:right="0"/>
              <w:rPr>
                <w:sz w:val="20"/>
                <w:szCs w:val="20"/>
              </w:rPr>
            </w:pPr>
            <w:r w:rsidRPr="000D4D5B">
              <w:rPr>
                <w:sz w:val="20"/>
                <w:szCs w:val="20"/>
              </w:rPr>
              <w:t>32</w:t>
            </w:r>
          </w:p>
        </w:tc>
        <w:tc>
          <w:tcPr>
            <w:tcW w:w="1607" w:type="dxa"/>
          </w:tcPr>
          <w:p w14:paraId="17CE5C1C" w14:textId="77777777" w:rsidR="00920F41" w:rsidRPr="000D4D5B" w:rsidRDefault="00920F41" w:rsidP="000D4D5B">
            <w:pPr>
              <w:ind w:left="0" w:right="0"/>
              <w:rPr>
                <w:sz w:val="20"/>
                <w:szCs w:val="20"/>
              </w:rPr>
            </w:pPr>
            <w:r w:rsidRPr="000D4D5B">
              <w:rPr>
                <w:sz w:val="20"/>
                <w:szCs w:val="20"/>
              </w:rPr>
              <w:t>0.612</w:t>
            </w:r>
          </w:p>
        </w:tc>
        <w:tc>
          <w:tcPr>
            <w:tcW w:w="1379" w:type="dxa"/>
          </w:tcPr>
          <w:p w14:paraId="62B05205" w14:textId="77777777" w:rsidR="00920F41" w:rsidRPr="000D4D5B" w:rsidRDefault="00920F41" w:rsidP="000D4D5B">
            <w:pPr>
              <w:ind w:left="0" w:right="0"/>
              <w:rPr>
                <w:sz w:val="20"/>
                <w:szCs w:val="20"/>
              </w:rPr>
            </w:pPr>
            <w:r w:rsidRPr="000D4D5B">
              <w:rPr>
                <w:sz w:val="20"/>
                <w:szCs w:val="20"/>
              </w:rPr>
              <w:t>-3.711 to 4.949</w:t>
            </w:r>
          </w:p>
        </w:tc>
      </w:tr>
      <w:tr w:rsidR="00920F41" w:rsidRPr="000D4D5B" w14:paraId="3BE77AA4" w14:textId="77777777" w:rsidTr="008A6DD8">
        <w:tc>
          <w:tcPr>
            <w:tcW w:w="2211" w:type="dxa"/>
          </w:tcPr>
          <w:p w14:paraId="4EC647AA" w14:textId="77777777" w:rsidR="00920F41" w:rsidRPr="000D4D5B" w:rsidRDefault="00920F41" w:rsidP="000D4D5B">
            <w:pPr>
              <w:ind w:left="0" w:right="0"/>
              <w:rPr>
                <w:sz w:val="20"/>
                <w:szCs w:val="20"/>
              </w:rPr>
            </w:pPr>
            <w:r w:rsidRPr="000D4D5B">
              <w:rPr>
                <w:sz w:val="20"/>
                <w:szCs w:val="20"/>
              </w:rPr>
              <w:t>Venous thromboembolism</w:t>
            </w:r>
          </w:p>
        </w:tc>
        <w:tc>
          <w:tcPr>
            <w:tcW w:w="1586" w:type="dxa"/>
          </w:tcPr>
          <w:p w14:paraId="27B814DC" w14:textId="77777777" w:rsidR="00920F41" w:rsidRPr="000D4D5B" w:rsidRDefault="00920F41" w:rsidP="000D4D5B">
            <w:pPr>
              <w:ind w:left="0" w:right="0"/>
              <w:rPr>
                <w:sz w:val="20"/>
                <w:szCs w:val="20"/>
              </w:rPr>
            </w:pPr>
            <w:r w:rsidRPr="000D4D5B">
              <w:rPr>
                <w:sz w:val="20"/>
                <w:szCs w:val="20"/>
              </w:rPr>
              <w:t>13</w:t>
            </w:r>
          </w:p>
        </w:tc>
        <w:tc>
          <w:tcPr>
            <w:tcW w:w="1689" w:type="dxa"/>
          </w:tcPr>
          <w:p w14:paraId="5C04F611" w14:textId="77777777" w:rsidR="00920F41" w:rsidRPr="000D4D5B" w:rsidRDefault="00920F41" w:rsidP="000D4D5B">
            <w:pPr>
              <w:ind w:left="0" w:right="0"/>
              <w:rPr>
                <w:sz w:val="20"/>
                <w:szCs w:val="20"/>
              </w:rPr>
            </w:pPr>
            <w:r w:rsidRPr="000D4D5B">
              <w:rPr>
                <w:sz w:val="20"/>
                <w:szCs w:val="20"/>
              </w:rPr>
              <w:t>11</w:t>
            </w:r>
          </w:p>
        </w:tc>
        <w:tc>
          <w:tcPr>
            <w:tcW w:w="1607" w:type="dxa"/>
          </w:tcPr>
          <w:p w14:paraId="4560C237" w14:textId="77777777" w:rsidR="00920F41" w:rsidRPr="000D4D5B" w:rsidRDefault="00920F41" w:rsidP="000D4D5B">
            <w:pPr>
              <w:ind w:left="0" w:right="0"/>
              <w:rPr>
                <w:sz w:val="20"/>
                <w:szCs w:val="20"/>
              </w:rPr>
            </w:pPr>
            <w:r w:rsidRPr="000D4D5B">
              <w:rPr>
                <w:sz w:val="20"/>
                <w:szCs w:val="20"/>
              </w:rPr>
              <w:t>0.579</w:t>
            </w:r>
          </w:p>
        </w:tc>
        <w:tc>
          <w:tcPr>
            <w:tcW w:w="1379" w:type="dxa"/>
          </w:tcPr>
          <w:p w14:paraId="2C07A23B" w14:textId="77777777" w:rsidR="00920F41" w:rsidRPr="000D4D5B" w:rsidRDefault="00920F41" w:rsidP="000D4D5B">
            <w:pPr>
              <w:ind w:left="0" w:right="0"/>
              <w:rPr>
                <w:sz w:val="20"/>
                <w:szCs w:val="20"/>
              </w:rPr>
            </w:pPr>
            <w:r w:rsidRPr="000D4D5B">
              <w:rPr>
                <w:sz w:val="20"/>
                <w:szCs w:val="20"/>
              </w:rPr>
              <w:t>-2.195 to 3.424</w:t>
            </w:r>
          </w:p>
        </w:tc>
      </w:tr>
      <w:tr w:rsidR="00920F41" w:rsidRPr="000D4D5B" w14:paraId="6A84B392" w14:textId="77777777" w:rsidTr="008A6DD8">
        <w:tc>
          <w:tcPr>
            <w:tcW w:w="2211" w:type="dxa"/>
          </w:tcPr>
          <w:p w14:paraId="3A58AAD0" w14:textId="77777777" w:rsidR="00920F41" w:rsidRPr="000D4D5B" w:rsidRDefault="00920F41" w:rsidP="000D4D5B">
            <w:pPr>
              <w:ind w:left="0" w:right="0"/>
              <w:rPr>
                <w:sz w:val="20"/>
                <w:szCs w:val="20"/>
              </w:rPr>
            </w:pPr>
            <w:r w:rsidRPr="000D4D5B">
              <w:rPr>
                <w:sz w:val="20"/>
                <w:szCs w:val="20"/>
              </w:rPr>
              <w:t>Gastrointestinal perforations</w:t>
            </w:r>
          </w:p>
        </w:tc>
        <w:tc>
          <w:tcPr>
            <w:tcW w:w="1586" w:type="dxa"/>
          </w:tcPr>
          <w:p w14:paraId="769DC11B" w14:textId="77777777" w:rsidR="00920F41" w:rsidRPr="000D4D5B" w:rsidRDefault="00920F41" w:rsidP="000D4D5B">
            <w:pPr>
              <w:ind w:left="0" w:right="0"/>
              <w:rPr>
                <w:sz w:val="20"/>
                <w:szCs w:val="20"/>
              </w:rPr>
            </w:pPr>
            <w:r w:rsidRPr="000D4D5B">
              <w:rPr>
                <w:sz w:val="20"/>
                <w:szCs w:val="20"/>
              </w:rPr>
              <w:t>0</w:t>
            </w:r>
          </w:p>
        </w:tc>
        <w:tc>
          <w:tcPr>
            <w:tcW w:w="1689" w:type="dxa"/>
          </w:tcPr>
          <w:p w14:paraId="1D0616F5" w14:textId="77777777" w:rsidR="00920F41" w:rsidRPr="000D4D5B" w:rsidRDefault="00920F41" w:rsidP="000D4D5B">
            <w:pPr>
              <w:ind w:left="0" w:right="0"/>
              <w:rPr>
                <w:sz w:val="20"/>
                <w:szCs w:val="20"/>
              </w:rPr>
            </w:pPr>
            <w:r w:rsidRPr="000D4D5B">
              <w:rPr>
                <w:sz w:val="20"/>
                <w:szCs w:val="20"/>
              </w:rPr>
              <w:t>3</w:t>
            </w:r>
          </w:p>
        </w:tc>
        <w:tc>
          <w:tcPr>
            <w:tcW w:w="1607" w:type="dxa"/>
          </w:tcPr>
          <w:p w14:paraId="0DAB6915" w14:textId="77777777" w:rsidR="00920F41" w:rsidRPr="000D4D5B" w:rsidRDefault="00920F41" w:rsidP="000D4D5B">
            <w:pPr>
              <w:ind w:left="0" w:right="0"/>
              <w:rPr>
                <w:sz w:val="20"/>
                <w:szCs w:val="20"/>
              </w:rPr>
            </w:pPr>
            <w:r w:rsidRPr="000D4D5B">
              <w:rPr>
                <w:sz w:val="20"/>
                <w:szCs w:val="20"/>
              </w:rPr>
              <w:t>Not reported</w:t>
            </w:r>
          </w:p>
        </w:tc>
        <w:tc>
          <w:tcPr>
            <w:tcW w:w="1379" w:type="dxa"/>
          </w:tcPr>
          <w:p w14:paraId="03EB0753" w14:textId="77777777" w:rsidR="00920F41" w:rsidRPr="000D4D5B" w:rsidRDefault="00920F41" w:rsidP="000D4D5B">
            <w:pPr>
              <w:ind w:left="0" w:right="0"/>
              <w:rPr>
                <w:sz w:val="20"/>
                <w:szCs w:val="20"/>
              </w:rPr>
            </w:pPr>
            <w:r w:rsidRPr="000D4D5B">
              <w:rPr>
                <w:sz w:val="20"/>
                <w:szCs w:val="20"/>
              </w:rPr>
              <w:t>Not reported</w:t>
            </w:r>
          </w:p>
        </w:tc>
      </w:tr>
      <w:tr w:rsidR="00920F41" w:rsidRPr="000D4D5B" w14:paraId="24F5C071" w14:textId="77777777" w:rsidTr="008A6DD8">
        <w:tc>
          <w:tcPr>
            <w:tcW w:w="2211" w:type="dxa"/>
          </w:tcPr>
          <w:p w14:paraId="7FE9DF9F" w14:textId="77777777" w:rsidR="00920F41" w:rsidRPr="000D4D5B" w:rsidRDefault="00920F41" w:rsidP="000D4D5B">
            <w:pPr>
              <w:ind w:left="0" w:right="0"/>
              <w:rPr>
                <w:sz w:val="20"/>
                <w:szCs w:val="20"/>
              </w:rPr>
            </w:pPr>
            <w:r w:rsidRPr="000D4D5B">
              <w:rPr>
                <w:sz w:val="20"/>
                <w:szCs w:val="20"/>
              </w:rPr>
              <w:t>Wound healing complications</w:t>
            </w:r>
          </w:p>
        </w:tc>
        <w:tc>
          <w:tcPr>
            <w:tcW w:w="1586" w:type="dxa"/>
          </w:tcPr>
          <w:p w14:paraId="4A34D311" w14:textId="77777777" w:rsidR="00920F41" w:rsidRPr="000D4D5B" w:rsidRDefault="00920F41" w:rsidP="000D4D5B">
            <w:pPr>
              <w:ind w:left="0" w:right="0"/>
              <w:rPr>
                <w:sz w:val="20"/>
                <w:szCs w:val="20"/>
              </w:rPr>
            </w:pPr>
            <w:r w:rsidRPr="000D4D5B">
              <w:rPr>
                <w:sz w:val="20"/>
                <w:szCs w:val="20"/>
              </w:rPr>
              <w:t>1</w:t>
            </w:r>
          </w:p>
        </w:tc>
        <w:tc>
          <w:tcPr>
            <w:tcW w:w="1689" w:type="dxa"/>
          </w:tcPr>
          <w:p w14:paraId="67921A33" w14:textId="77777777" w:rsidR="00920F41" w:rsidRPr="000D4D5B" w:rsidRDefault="00920F41" w:rsidP="000D4D5B">
            <w:pPr>
              <w:ind w:left="0" w:right="0"/>
              <w:rPr>
                <w:sz w:val="20"/>
                <w:szCs w:val="20"/>
              </w:rPr>
            </w:pPr>
            <w:r w:rsidRPr="000D4D5B">
              <w:rPr>
                <w:sz w:val="20"/>
                <w:szCs w:val="20"/>
              </w:rPr>
              <w:t>0</w:t>
            </w:r>
          </w:p>
        </w:tc>
        <w:tc>
          <w:tcPr>
            <w:tcW w:w="1607" w:type="dxa"/>
          </w:tcPr>
          <w:p w14:paraId="6B040D5C" w14:textId="77777777" w:rsidR="00920F41" w:rsidRPr="000D4D5B" w:rsidRDefault="00920F41" w:rsidP="000D4D5B">
            <w:pPr>
              <w:ind w:left="0" w:right="0"/>
              <w:rPr>
                <w:sz w:val="20"/>
                <w:szCs w:val="20"/>
              </w:rPr>
            </w:pPr>
            <w:r w:rsidRPr="000D4D5B">
              <w:rPr>
                <w:sz w:val="20"/>
                <w:szCs w:val="20"/>
              </w:rPr>
              <w:t>Not reported</w:t>
            </w:r>
          </w:p>
        </w:tc>
        <w:tc>
          <w:tcPr>
            <w:tcW w:w="1379" w:type="dxa"/>
          </w:tcPr>
          <w:p w14:paraId="158185C6" w14:textId="77777777" w:rsidR="00920F41" w:rsidRPr="000D4D5B" w:rsidRDefault="00920F41" w:rsidP="000D4D5B">
            <w:pPr>
              <w:ind w:left="0" w:right="0"/>
              <w:rPr>
                <w:sz w:val="20"/>
                <w:szCs w:val="20"/>
              </w:rPr>
            </w:pPr>
            <w:r w:rsidRPr="000D4D5B">
              <w:rPr>
                <w:sz w:val="20"/>
                <w:szCs w:val="20"/>
              </w:rPr>
              <w:t>Not reported</w:t>
            </w:r>
          </w:p>
        </w:tc>
      </w:tr>
      <w:tr w:rsidR="00920F41" w:rsidRPr="000D4D5B" w14:paraId="0EF75FE4" w14:textId="77777777" w:rsidTr="008A6DD8">
        <w:tc>
          <w:tcPr>
            <w:tcW w:w="2211" w:type="dxa"/>
          </w:tcPr>
          <w:p w14:paraId="02E47BC8" w14:textId="77777777" w:rsidR="00920F41" w:rsidRPr="000D4D5B" w:rsidRDefault="00920F41" w:rsidP="000D4D5B">
            <w:pPr>
              <w:ind w:left="0" w:right="0"/>
              <w:rPr>
                <w:sz w:val="20"/>
                <w:szCs w:val="20"/>
              </w:rPr>
            </w:pPr>
            <w:r w:rsidRPr="000D4D5B">
              <w:rPr>
                <w:sz w:val="20"/>
                <w:szCs w:val="20"/>
              </w:rPr>
              <w:t>Posterior reversible encephalopathy syndrome</w:t>
            </w:r>
          </w:p>
        </w:tc>
        <w:tc>
          <w:tcPr>
            <w:tcW w:w="1586" w:type="dxa"/>
          </w:tcPr>
          <w:p w14:paraId="126D5B23" w14:textId="77777777" w:rsidR="00920F41" w:rsidRPr="000D4D5B" w:rsidRDefault="00920F41" w:rsidP="000D4D5B">
            <w:pPr>
              <w:ind w:left="0" w:right="0"/>
              <w:rPr>
                <w:sz w:val="20"/>
                <w:szCs w:val="20"/>
              </w:rPr>
            </w:pPr>
            <w:r w:rsidRPr="000D4D5B">
              <w:rPr>
                <w:sz w:val="20"/>
                <w:szCs w:val="20"/>
              </w:rPr>
              <w:t>0</w:t>
            </w:r>
          </w:p>
        </w:tc>
        <w:tc>
          <w:tcPr>
            <w:tcW w:w="1689" w:type="dxa"/>
          </w:tcPr>
          <w:p w14:paraId="084DF908" w14:textId="77777777" w:rsidR="00920F41" w:rsidRPr="000D4D5B" w:rsidRDefault="00920F41" w:rsidP="000D4D5B">
            <w:pPr>
              <w:ind w:left="0" w:right="0"/>
              <w:rPr>
                <w:sz w:val="20"/>
                <w:szCs w:val="20"/>
              </w:rPr>
            </w:pPr>
            <w:r w:rsidRPr="000D4D5B">
              <w:rPr>
                <w:sz w:val="20"/>
                <w:szCs w:val="20"/>
              </w:rPr>
              <w:t>0</w:t>
            </w:r>
          </w:p>
        </w:tc>
        <w:tc>
          <w:tcPr>
            <w:tcW w:w="1607" w:type="dxa"/>
          </w:tcPr>
          <w:p w14:paraId="32574B93" w14:textId="77777777" w:rsidR="00920F41" w:rsidRPr="000D4D5B" w:rsidRDefault="00920F41" w:rsidP="000D4D5B">
            <w:pPr>
              <w:ind w:left="0" w:right="0"/>
              <w:rPr>
                <w:sz w:val="20"/>
                <w:szCs w:val="20"/>
              </w:rPr>
            </w:pPr>
            <w:r w:rsidRPr="000D4D5B">
              <w:rPr>
                <w:sz w:val="20"/>
                <w:szCs w:val="20"/>
              </w:rPr>
              <w:t>Not reported</w:t>
            </w:r>
          </w:p>
        </w:tc>
        <w:tc>
          <w:tcPr>
            <w:tcW w:w="1379" w:type="dxa"/>
          </w:tcPr>
          <w:p w14:paraId="59FB0B8F" w14:textId="77777777" w:rsidR="00920F41" w:rsidRPr="000D4D5B" w:rsidRDefault="00920F41" w:rsidP="000D4D5B">
            <w:pPr>
              <w:ind w:left="0" w:right="0"/>
              <w:rPr>
                <w:sz w:val="20"/>
                <w:szCs w:val="20"/>
              </w:rPr>
            </w:pPr>
            <w:r w:rsidRPr="000D4D5B">
              <w:rPr>
                <w:sz w:val="20"/>
                <w:szCs w:val="20"/>
              </w:rPr>
              <w:t>Not reported</w:t>
            </w:r>
          </w:p>
        </w:tc>
      </w:tr>
      <w:tr w:rsidR="00920F41" w:rsidRPr="000D4D5B" w14:paraId="5A9C4575" w14:textId="77777777" w:rsidTr="008A6DD8">
        <w:tc>
          <w:tcPr>
            <w:tcW w:w="2211" w:type="dxa"/>
          </w:tcPr>
          <w:p w14:paraId="432679BB" w14:textId="77777777" w:rsidR="00920F41" w:rsidRPr="000D4D5B" w:rsidRDefault="00920F41" w:rsidP="000D4D5B">
            <w:pPr>
              <w:ind w:left="0" w:right="0"/>
              <w:rPr>
                <w:sz w:val="20"/>
                <w:szCs w:val="20"/>
              </w:rPr>
            </w:pPr>
            <w:r w:rsidRPr="000D4D5B">
              <w:rPr>
                <w:sz w:val="20"/>
                <w:szCs w:val="20"/>
              </w:rPr>
              <w:t>Proteinuria/</w:t>
            </w:r>
            <w:r w:rsidR="000D4D5B" w:rsidRPr="000D4D5B">
              <w:rPr>
                <w:sz w:val="20"/>
                <w:szCs w:val="20"/>
              </w:rPr>
              <w:t>nephrotic syndrome</w:t>
            </w:r>
          </w:p>
        </w:tc>
        <w:tc>
          <w:tcPr>
            <w:tcW w:w="1586" w:type="dxa"/>
          </w:tcPr>
          <w:p w14:paraId="3618D4D9" w14:textId="77777777" w:rsidR="00920F41" w:rsidRPr="000D4D5B" w:rsidRDefault="00920F41" w:rsidP="000D4D5B">
            <w:pPr>
              <w:ind w:left="0" w:right="0"/>
              <w:rPr>
                <w:sz w:val="20"/>
                <w:szCs w:val="20"/>
              </w:rPr>
            </w:pPr>
            <w:r w:rsidRPr="000D4D5B">
              <w:rPr>
                <w:sz w:val="20"/>
                <w:szCs w:val="20"/>
              </w:rPr>
              <w:t>28</w:t>
            </w:r>
          </w:p>
        </w:tc>
        <w:tc>
          <w:tcPr>
            <w:tcW w:w="1689" w:type="dxa"/>
          </w:tcPr>
          <w:p w14:paraId="71AA6178" w14:textId="77777777" w:rsidR="00920F41" w:rsidRPr="000D4D5B" w:rsidRDefault="00920F41" w:rsidP="000D4D5B">
            <w:pPr>
              <w:ind w:left="0" w:right="0"/>
              <w:rPr>
                <w:sz w:val="20"/>
                <w:szCs w:val="20"/>
              </w:rPr>
            </w:pPr>
            <w:r w:rsidRPr="000D4D5B">
              <w:rPr>
                <w:sz w:val="20"/>
                <w:szCs w:val="20"/>
              </w:rPr>
              <w:t>34</w:t>
            </w:r>
          </w:p>
        </w:tc>
        <w:tc>
          <w:tcPr>
            <w:tcW w:w="1607" w:type="dxa"/>
          </w:tcPr>
          <w:p w14:paraId="306A343A" w14:textId="77777777" w:rsidR="00920F41" w:rsidRPr="000D4D5B" w:rsidRDefault="00920F41" w:rsidP="000D4D5B">
            <w:pPr>
              <w:ind w:left="0" w:right="0"/>
              <w:rPr>
                <w:sz w:val="20"/>
                <w:szCs w:val="20"/>
              </w:rPr>
            </w:pPr>
            <w:r w:rsidRPr="000D4D5B">
              <w:rPr>
                <w:sz w:val="20"/>
                <w:szCs w:val="20"/>
              </w:rPr>
              <w:t>-1.632</w:t>
            </w:r>
          </w:p>
        </w:tc>
        <w:tc>
          <w:tcPr>
            <w:tcW w:w="1379" w:type="dxa"/>
          </w:tcPr>
          <w:p w14:paraId="756263D1" w14:textId="77777777" w:rsidR="00920F41" w:rsidRPr="000D4D5B" w:rsidRDefault="00920F41" w:rsidP="000D4D5B">
            <w:pPr>
              <w:ind w:left="0" w:right="0"/>
              <w:rPr>
                <w:sz w:val="20"/>
                <w:szCs w:val="20"/>
              </w:rPr>
            </w:pPr>
            <w:r w:rsidRPr="000D4D5B">
              <w:rPr>
                <w:sz w:val="20"/>
                <w:szCs w:val="20"/>
              </w:rPr>
              <w:t>-5.862 to 2.566</w:t>
            </w:r>
          </w:p>
        </w:tc>
      </w:tr>
    </w:tbl>
    <w:p w14:paraId="75B1CFE1" w14:textId="3C346E31" w:rsidR="00920F41" w:rsidRPr="00FC7752" w:rsidRDefault="00920F41" w:rsidP="00684EDC">
      <w:pPr>
        <w:pStyle w:val="Heading4"/>
      </w:pPr>
      <w:r w:rsidRPr="00FC7752">
        <w:t xml:space="preserve">Serious </w:t>
      </w:r>
      <w:r w:rsidR="000D4D5B" w:rsidRPr="00FC7752">
        <w:t>adverse events</w:t>
      </w:r>
      <w:r w:rsidR="000D4D5B">
        <w:t xml:space="preserve"> in S</w:t>
      </w:r>
      <w:r>
        <w:t xml:space="preserve">tudy </w:t>
      </w:r>
      <w:r w:rsidRPr="00594F9D">
        <w:t>B7391003</w:t>
      </w:r>
    </w:p>
    <w:p w14:paraId="4180EB17" w14:textId="77777777" w:rsidR="00920F41" w:rsidRDefault="00920F41" w:rsidP="00920F41">
      <w:r>
        <w:t xml:space="preserve">The most common </w:t>
      </w:r>
      <w:r w:rsidR="000D4D5B">
        <w:t>SAEs</w:t>
      </w:r>
      <w:r>
        <w:t xml:space="preserve"> were very similar in both treatment arms in this study</w:t>
      </w:r>
      <w:r w:rsidR="000D4D5B">
        <w:t xml:space="preserve"> (</w:t>
      </w:r>
      <w:r w:rsidR="000D4D5B">
        <w:fldChar w:fldCharType="begin"/>
      </w:r>
      <w:r w:rsidR="000D4D5B">
        <w:instrText xml:space="preserve"> REF _Ref31379636 \h </w:instrText>
      </w:r>
      <w:r w:rsidR="000D4D5B">
        <w:fldChar w:fldCharType="separate"/>
      </w:r>
      <w:r w:rsidR="000D4D5B">
        <w:t xml:space="preserve">Table </w:t>
      </w:r>
      <w:r w:rsidR="000D4D5B">
        <w:rPr>
          <w:noProof/>
        </w:rPr>
        <w:t>9</w:t>
      </w:r>
      <w:r w:rsidR="000D4D5B">
        <w:fldChar w:fldCharType="end"/>
      </w:r>
      <w:r w:rsidR="000D4D5B">
        <w:t>)</w:t>
      </w:r>
      <w:r>
        <w:t>.</w:t>
      </w:r>
    </w:p>
    <w:p w14:paraId="09C7B10B" w14:textId="6DE349CA" w:rsidR="00920F41" w:rsidRDefault="000D4D5B" w:rsidP="000D4D5B">
      <w:pPr>
        <w:pStyle w:val="TableTitle"/>
      </w:pPr>
      <w:bookmarkStart w:id="50" w:name="_Ref31379636"/>
      <w:r>
        <w:t xml:space="preserve">Table </w:t>
      </w:r>
      <w:r w:rsidR="00D97F65">
        <w:fldChar w:fldCharType="begin"/>
      </w:r>
      <w:r w:rsidR="00D97F65">
        <w:instrText xml:space="preserve"> SEQ Table \* ARABIC </w:instrText>
      </w:r>
      <w:r w:rsidR="00D97F65">
        <w:fldChar w:fldCharType="separate"/>
      </w:r>
      <w:r w:rsidR="00380602">
        <w:rPr>
          <w:noProof/>
        </w:rPr>
        <w:t>9</w:t>
      </w:r>
      <w:r w:rsidR="00D97F65">
        <w:rPr>
          <w:noProof/>
        </w:rPr>
        <w:fldChar w:fldCharType="end"/>
      </w:r>
      <w:bookmarkEnd w:id="50"/>
      <w:r>
        <w:t xml:space="preserve">: Serious adverse events in Study </w:t>
      </w:r>
      <w:r w:rsidRPr="00594F9D">
        <w:t>B7391003</w:t>
      </w:r>
    </w:p>
    <w:tbl>
      <w:tblPr>
        <w:tblStyle w:val="TableTGAblue"/>
        <w:tblW w:w="0" w:type="auto"/>
        <w:tblLook w:val="04A0" w:firstRow="1" w:lastRow="0" w:firstColumn="1" w:lastColumn="0" w:noHBand="0" w:noVBand="1"/>
      </w:tblPr>
      <w:tblGrid>
        <w:gridCol w:w="2046"/>
        <w:gridCol w:w="1812"/>
        <w:gridCol w:w="3373"/>
      </w:tblGrid>
      <w:tr w:rsidR="00920F41" w:rsidRPr="000D4D5B" w14:paraId="2679CF4D" w14:textId="77777777" w:rsidTr="000D4D5B">
        <w:trPr>
          <w:cnfStyle w:val="100000000000" w:firstRow="1" w:lastRow="0" w:firstColumn="0" w:lastColumn="0" w:oddVBand="0" w:evenVBand="0" w:oddHBand="0" w:evenHBand="0" w:firstRowFirstColumn="0" w:firstRowLastColumn="0" w:lastRowFirstColumn="0" w:lastRowLastColumn="0"/>
        </w:trPr>
        <w:tc>
          <w:tcPr>
            <w:tcW w:w="0" w:type="auto"/>
          </w:tcPr>
          <w:p w14:paraId="4CDFA4BF" w14:textId="77777777" w:rsidR="00920F41" w:rsidRPr="000D4D5B" w:rsidRDefault="00920F41" w:rsidP="000D4D5B">
            <w:pPr>
              <w:ind w:left="0" w:right="0"/>
              <w:rPr>
                <w:sz w:val="20"/>
              </w:rPr>
            </w:pPr>
          </w:p>
        </w:tc>
        <w:tc>
          <w:tcPr>
            <w:tcW w:w="0" w:type="auto"/>
          </w:tcPr>
          <w:p w14:paraId="3AC0249B" w14:textId="77777777" w:rsidR="00920F41" w:rsidRPr="000D4D5B" w:rsidRDefault="00920F41" w:rsidP="000D4D5B">
            <w:pPr>
              <w:ind w:left="0" w:right="0"/>
              <w:rPr>
                <w:sz w:val="20"/>
              </w:rPr>
            </w:pPr>
            <w:proofErr w:type="spellStart"/>
            <w:r w:rsidRPr="000D4D5B">
              <w:rPr>
                <w:sz w:val="20"/>
              </w:rPr>
              <w:t>Zirabev</w:t>
            </w:r>
            <w:proofErr w:type="spellEnd"/>
            <w:r w:rsidRPr="000D4D5B">
              <w:rPr>
                <w:sz w:val="20"/>
              </w:rPr>
              <w:t xml:space="preserve"> (n</w:t>
            </w:r>
            <w:r w:rsidR="000D4D5B">
              <w:rPr>
                <w:sz w:val="20"/>
              </w:rPr>
              <w:t xml:space="preserve"> </w:t>
            </w:r>
            <w:r w:rsidRPr="000D4D5B">
              <w:rPr>
                <w:sz w:val="20"/>
              </w:rPr>
              <w:t>=</w:t>
            </w:r>
            <w:r w:rsidR="000D4D5B">
              <w:rPr>
                <w:sz w:val="20"/>
              </w:rPr>
              <w:t xml:space="preserve"> </w:t>
            </w:r>
            <w:r w:rsidRPr="000D4D5B">
              <w:rPr>
                <w:sz w:val="20"/>
              </w:rPr>
              <w:t>356)</w:t>
            </w:r>
          </w:p>
        </w:tc>
        <w:tc>
          <w:tcPr>
            <w:tcW w:w="0" w:type="auto"/>
          </w:tcPr>
          <w:p w14:paraId="78491364" w14:textId="485ED9B3" w:rsidR="00920F41" w:rsidRPr="000D4D5B" w:rsidRDefault="00D43527" w:rsidP="000D4D5B">
            <w:pPr>
              <w:ind w:left="0" w:right="0"/>
              <w:rPr>
                <w:sz w:val="20"/>
              </w:rPr>
            </w:pPr>
            <w:proofErr w:type="spellStart"/>
            <w:r>
              <w:rPr>
                <w:sz w:val="20"/>
              </w:rPr>
              <w:t>Avastin</w:t>
            </w:r>
            <w:proofErr w:type="spellEnd"/>
            <w:r>
              <w:rPr>
                <w:sz w:val="20"/>
              </w:rPr>
              <w:t xml:space="preserve"> b</w:t>
            </w:r>
            <w:r w:rsidR="000D4D5B">
              <w:rPr>
                <w:sz w:val="20"/>
              </w:rPr>
              <w:t xml:space="preserve">evacizumab-EU </w:t>
            </w:r>
            <w:r w:rsidR="00920F41" w:rsidRPr="000D4D5B">
              <w:rPr>
                <w:sz w:val="20"/>
              </w:rPr>
              <w:t>(n</w:t>
            </w:r>
            <w:r w:rsidR="000D4D5B">
              <w:rPr>
                <w:sz w:val="20"/>
              </w:rPr>
              <w:t xml:space="preserve"> </w:t>
            </w:r>
            <w:r w:rsidR="00920F41" w:rsidRPr="000D4D5B">
              <w:rPr>
                <w:sz w:val="20"/>
              </w:rPr>
              <w:t>=</w:t>
            </w:r>
            <w:r w:rsidR="000D4D5B">
              <w:rPr>
                <w:sz w:val="20"/>
              </w:rPr>
              <w:t xml:space="preserve"> </w:t>
            </w:r>
            <w:r w:rsidR="00920F41" w:rsidRPr="000D4D5B">
              <w:rPr>
                <w:sz w:val="20"/>
              </w:rPr>
              <w:t>358)</w:t>
            </w:r>
          </w:p>
        </w:tc>
      </w:tr>
      <w:tr w:rsidR="00920F41" w:rsidRPr="000D4D5B" w14:paraId="0F0BF34E" w14:textId="77777777" w:rsidTr="000D4D5B">
        <w:tc>
          <w:tcPr>
            <w:tcW w:w="0" w:type="auto"/>
          </w:tcPr>
          <w:p w14:paraId="2A128D13" w14:textId="77777777" w:rsidR="00920F41" w:rsidRPr="000D4D5B" w:rsidRDefault="00920F41" w:rsidP="000D4D5B">
            <w:pPr>
              <w:ind w:left="0" w:right="0"/>
              <w:rPr>
                <w:sz w:val="20"/>
              </w:rPr>
            </w:pPr>
            <w:r w:rsidRPr="000D4D5B">
              <w:rPr>
                <w:sz w:val="20"/>
              </w:rPr>
              <w:t>Pneumonia</w:t>
            </w:r>
          </w:p>
        </w:tc>
        <w:tc>
          <w:tcPr>
            <w:tcW w:w="0" w:type="auto"/>
          </w:tcPr>
          <w:p w14:paraId="24BACC0C" w14:textId="77777777" w:rsidR="00920F41" w:rsidRPr="000D4D5B" w:rsidRDefault="00920F41" w:rsidP="000D4D5B">
            <w:pPr>
              <w:ind w:left="0" w:right="0"/>
              <w:rPr>
                <w:sz w:val="20"/>
              </w:rPr>
            </w:pPr>
            <w:r w:rsidRPr="000D4D5B">
              <w:rPr>
                <w:sz w:val="20"/>
              </w:rPr>
              <w:t>8 (2.2%)</w:t>
            </w:r>
          </w:p>
        </w:tc>
        <w:tc>
          <w:tcPr>
            <w:tcW w:w="0" w:type="auto"/>
          </w:tcPr>
          <w:p w14:paraId="2D32C067" w14:textId="77777777" w:rsidR="00920F41" w:rsidRPr="000D4D5B" w:rsidRDefault="00920F41" w:rsidP="000D4D5B">
            <w:pPr>
              <w:ind w:left="0" w:right="0"/>
              <w:rPr>
                <w:sz w:val="20"/>
              </w:rPr>
            </w:pPr>
            <w:r w:rsidRPr="000D4D5B">
              <w:rPr>
                <w:sz w:val="20"/>
              </w:rPr>
              <w:t>6 (1.7%)</w:t>
            </w:r>
          </w:p>
        </w:tc>
      </w:tr>
      <w:tr w:rsidR="00920F41" w:rsidRPr="000D4D5B" w14:paraId="240AEC78" w14:textId="77777777" w:rsidTr="000D4D5B">
        <w:tc>
          <w:tcPr>
            <w:tcW w:w="0" w:type="auto"/>
          </w:tcPr>
          <w:p w14:paraId="5881C08A" w14:textId="77777777" w:rsidR="00920F41" w:rsidRPr="000D4D5B" w:rsidRDefault="00920F41" w:rsidP="000D4D5B">
            <w:pPr>
              <w:ind w:left="0" w:right="0"/>
              <w:rPr>
                <w:sz w:val="20"/>
              </w:rPr>
            </w:pPr>
            <w:r w:rsidRPr="000D4D5B">
              <w:rPr>
                <w:sz w:val="20"/>
              </w:rPr>
              <w:t xml:space="preserve">Febrile </w:t>
            </w:r>
            <w:proofErr w:type="spellStart"/>
            <w:r w:rsidRPr="000D4D5B">
              <w:rPr>
                <w:sz w:val="20"/>
              </w:rPr>
              <w:t>neutropaenia</w:t>
            </w:r>
            <w:proofErr w:type="spellEnd"/>
          </w:p>
        </w:tc>
        <w:tc>
          <w:tcPr>
            <w:tcW w:w="0" w:type="auto"/>
          </w:tcPr>
          <w:p w14:paraId="04C459BC" w14:textId="77777777" w:rsidR="00920F41" w:rsidRPr="000D4D5B" w:rsidRDefault="00920F41" w:rsidP="000D4D5B">
            <w:pPr>
              <w:ind w:left="0" w:right="0"/>
              <w:rPr>
                <w:sz w:val="20"/>
              </w:rPr>
            </w:pPr>
            <w:r w:rsidRPr="000D4D5B">
              <w:rPr>
                <w:sz w:val="20"/>
              </w:rPr>
              <w:t>5 (1.4%)</w:t>
            </w:r>
          </w:p>
        </w:tc>
        <w:tc>
          <w:tcPr>
            <w:tcW w:w="0" w:type="auto"/>
          </w:tcPr>
          <w:p w14:paraId="7BB32E7A" w14:textId="77777777" w:rsidR="00920F41" w:rsidRPr="000D4D5B" w:rsidRDefault="00920F41" w:rsidP="000D4D5B">
            <w:pPr>
              <w:ind w:left="0" w:right="0"/>
              <w:rPr>
                <w:sz w:val="20"/>
              </w:rPr>
            </w:pPr>
            <w:r w:rsidRPr="000D4D5B">
              <w:rPr>
                <w:sz w:val="20"/>
              </w:rPr>
              <w:t>7 (2%)</w:t>
            </w:r>
          </w:p>
        </w:tc>
      </w:tr>
      <w:tr w:rsidR="00920F41" w:rsidRPr="000D4D5B" w14:paraId="66A3E4A6" w14:textId="77777777" w:rsidTr="000D4D5B">
        <w:tc>
          <w:tcPr>
            <w:tcW w:w="0" w:type="auto"/>
          </w:tcPr>
          <w:p w14:paraId="521E6BAB" w14:textId="77777777" w:rsidR="00920F41" w:rsidRPr="000D4D5B" w:rsidRDefault="00920F41" w:rsidP="000D4D5B">
            <w:pPr>
              <w:ind w:left="0" w:right="0"/>
              <w:rPr>
                <w:sz w:val="20"/>
              </w:rPr>
            </w:pPr>
            <w:proofErr w:type="spellStart"/>
            <w:r w:rsidRPr="000D4D5B">
              <w:rPr>
                <w:sz w:val="20"/>
              </w:rPr>
              <w:t>Neutropaenia</w:t>
            </w:r>
            <w:proofErr w:type="spellEnd"/>
          </w:p>
        </w:tc>
        <w:tc>
          <w:tcPr>
            <w:tcW w:w="0" w:type="auto"/>
          </w:tcPr>
          <w:p w14:paraId="7415622C" w14:textId="77777777" w:rsidR="00920F41" w:rsidRPr="000D4D5B" w:rsidRDefault="00920F41" w:rsidP="000D4D5B">
            <w:pPr>
              <w:ind w:left="0" w:right="0"/>
              <w:rPr>
                <w:sz w:val="20"/>
              </w:rPr>
            </w:pPr>
            <w:r w:rsidRPr="000D4D5B">
              <w:rPr>
                <w:sz w:val="20"/>
              </w:rPr>
              <w:t>4 (1.1%)</w:t>
            </w:r>
          </w:p>
        </w:tc>
        <w:tc>
          <w:tcPr>
            <w:tcW w:w="0" w:type="auto"/>
          </w:tcPr>
          <w:p w14:paraId="73643721" w14:textId="77777777" w:rsidR="00920F41" w:rsidRPr="000D4D5B" w:rsidRDefault="00920F41" w:rsidP="000D4D5B">
            <w:pPr>
              <w:ind w:left="0" w:right="0"/>
              <w:rPr>
                <w:sz w:val="20"/>
              </w:rPr>
            </w:pPr>
            <w:r w:rsidRPr="000D4D5B">
              <w:rPr>
                <w:sz w:val="20"/>
              </w:rPr>
              <w:t>6 (1.7%)</w:t>
            </w:r>
          </w:p>
        </w:tc>
      </w:tr>
      <w:tr w:rsidR="00920F41" w:rsidRPr="000D4D5B" w14:paraId="46E412D7" w14:textId="77777777" w:rsidTr="000D4D5B">
        <w:tc>
          <w:tcPr>
            <w:tcW w:w="0" w:type="auto"/>
          </w:tcPr>
          <w:p w14:paraId="3887914B" w14:textId="77777777" w:rsidR="00920F41" w:rsidRPr="000D4D5B" w:rsidRDefault="00920F41" w:rsidP="000D4D5B">
            <w:pPr>
              <w:ind w:left="0" w:right="0"/>
              <w:rPr>
                <w:sz w:val="20"/>
              </w:rPr>
            </w:pPr>
            <w:r w:rsidRPr="000D4D5B">
              <w:rPr>
                <w:sz w:val="20"/>
              </w:rPr>
              <w:t>Disease progression</w:t>
            </w:r>
          </w:p>
        </w:tc>
        <w:tc>
          <w:tcPr>
            <w:tcW w:w="0" w:type="auto"/>
          </w:tcPr>
          <w:p w14:paraId="43DDADAF" w14:textId="77777777" w:rsidR="00920F41" w:rsidRPr="000D4D5B" w:rsidRDefault="00920F41" w:rsidP="000D4D5B">
            <w:pPr>
              <w:ind w:left="0" w:right="0"/>
              <w:rPr>
                <w:sz w:val="20"/>
              </w:rPr>
            </w:pPr>
            <w:r w:rsidRPr="000D4D5B">
              <w:rPr>
                <w:sz w:val="20"/>
              </w:rPr>
              <w:t>4 (1.1%)</w:t>
            </w:r>
          </w:p>
        </w:tc>
        <w:tc>
          <w:tcPr>
            <w:tcW w:w="0" w:type="auto"/>
          </w:tcPr>
          <w:p w14:paraId="2A5CD856" w14:textId="77777777" w:rsidR="00920F41" w:rsidRPr="000D4D5B" w:rsidRDefault="00920F41" w:rsidP="000D4D5B">
            <w:pPr>
              <w:ind w:left="0" w:right="0"/>
              <w:rPr>
                <w:sz w:val="20"/>
              </w:rPr>
            </w:pPr>
            <w:r w:rsidRPr="000D4D5B">
              <w:rPr>
                <w:sz w:val="20"/>
              </w:rPr>
              <w:t>5 (1.4%)</w:t>
            </w:r>
          </w:p>
        </w:tc>
      </w:tr>
      <w:tr w:rsidR="00920F41" w:rsidRPr="000D4D5B" w14:paraId="21FEA037" w14:textId="77777777" w:rsidTr="000D4D5B">
        <w:tc>
          <w:tcPr>
            <w:tcW w:w="0" w:type="auto"/>
          </w:tcPr>
          <w:p w14:paraId="36B39367" w14:textId="77777777" w:rsidR="00920F41" w:rsidRPr="000D4D5B" w:rsidRDefault="00920F41" w:rsidP="000D4D5B">
            <w:pPr>
              <w:ind w:left="0" w:right="0"/>
              <w:rPr>
                <w:sz w:val="20"/>
              </w:rPr>
            </w:pPr>
            <w:r w:rsidRPr="000D4D5B">
              <w:rPr>
                <w:sz w:val="20"/>
              </w:rPr>
              <w:t>Pulmonary embolism</w:t>
            </w:r>
          </w:p>
        </w:tc>
        <w:tc>
          <w:tcPr>
            <w:tcW w:w="0" w:type="auto"/>
          </w:tcPr>
          <w:p w14:paraId="222AB355" w14:textId="77777777" w:rsidR="00920F41" w:rsidRPr="000D4D5B" w:rsidRDefault="00920F41" w:rsidP="000D4D5B">
            <w:pPr>
              <w:ind w:left="0" w:right="0"/>
              <w:rPr>
                <w:sz w:val="20"/>
              </w:rPr>
            </w:pPr>
            <w:r w:rsidRPr="000D4D5B">
              <w:rPr>
                <w:sz w:val="20"/>
              </w:rPr>
              <w:t>7 (2%)</w:t>
            </w:r>
          </w:p>
        </w:tc>
        <w:tc>
          <w:tcPr>
            <w:tcW w:w="0" w:type="auto"/>
          </w:tcPr>
          <w:p w14:paraId="5B2E8058" w14:textId="77777777" w:rsidR="00920F41" w:rsidRPr="000D4D5B" w:rsidRDefault="00920F41" w:rsidP="000D4D5B">
            <w:pPr>
              <w:ind w:left="0" w:right="0"/>
              <w:rPr>
                <w:sz w:val="20"/>
              </w:rPr>
            </w:pPr>
            <w:r w:rsidRPr="000D4D5B">
              <w:rPr>
                <w:sz w:val="20"/>
              </w:rPr>
              <w:t>2 (0.6%)</w:t>
            </w:r>
          </w:p>
        </w:tc>
      </w:tr>
      <w:tr w:rsidR="00920F41" w:rsidRPr="000D4D5B" w14:paraId="11D0A507" w14:textId="77777777" w:rsidTr="000D4D5B">
        <w:tc>
          <w:tcPr>
            <w:tcW w:w="0" w:type="auto"/>
          </w:tcPr>
          <w:p w14:paraId="40551534" w14:textId="77777777" w:rsidR="00920F41" w:rsidRPr="000D4D5B" w:rsidRDefault="00920F41" w:rsidP="000D4D5B">
            <w:pPr>
              <w:ind w:left="0" w:right="0"/>
              <w:rPr>
                <w:sz w:val="20"/>
              </w:rPr>
            </w:pPr>
            <w:r w:rsidRPr="000D4D5B">
              <w:rPr>
                <w:sz w:val="20"/>
              </w:rPr>
              <w:t>Anaemia</w:t>
            </w:r>
          </w:p>
        </w:tc>
        <w:tc>
          <w:tcPr>
            <w:tcW w:w="0" w:type="auto"/>
          </w:tcPr>
          <w:p w14:paraId="1B1B40B6" w14:textId="77777777" w:rsidR="00920F41" w:rsidRPr="000D4D5B" w:rsidRDefault="00920F41" w:rsidP="000D4D5B">
            <w:pPr>
              <w:ind w:left="0" w:right="0"/>
              <w:rPr>
                <w:sz w:val="20"/>
              </w:rPr>
            </w:pPr>
            <w:r w:rsidRPr="000D4D5B">
              <w:rPr>
                <w:sz w:val="20"/>
              </w:rPr>
              <w:t>2 (0.6%)</w:t>
            </w:r>
          </w:p>
        </w:tc>
        <w:tc>
          <w:tcPr>
            <w:tcW w:w="0" w:type="auto"/>
          </w:tcPr>
          <w:p w14:paraId="7F8E5144" w14:textId="77777777" w:rsidR="00920F41" w:rsidRPr="000D4D5B" w:rsidRDefault="00920F41" w:rsidP="000D4D5B">
            <w:pPr>
              <w:ind w:left="0" w:right="0"/>
              <w:rPr>
                <w:sz w:val="20"/>
              </w:rPr>
            </w:pPr>
            <w:r w:rsidRPr="000D4D5B">
              <w:rPr>
                <w:sz w:val="20"/>
              </w:rPr>
              <w:t>5 (1.4%)</w:t>
            </w:r>
          </w:p>
        </w:tc>
      </w:tr>
    </w:tbl>
    <w:p w14:paraId="0C57B2D2" w14:textId="77777777" w:rsidR="00920F41" w:rsidRPr="009C2493" w:rsidRDefault="000D4D5B" w:rsidP="00684EDC">
      <w:pPr>
        <w:pStyle w:val="Heading4"/>
      </w:pPr>
      <w:r>
        <w:t>Grade 5 adverse events</w:t>
      </w:r>
      <w:r w:rsidR="00920F41" w:rsidRPr="009C2493">
        <w:t xml:space="preserve"> (deaths)</w:t>
      </w:r>
    </w:p>
    <w:p w14:paraId="1B73DB63" w14:textId="228C4253" w:rsidR="00920F41" w:rsidRPr="00DD3C11" w:rsidRDefault="00920F41" w:rsidP="000D4D5B">
      <w:r>
        <w:t xml:space="preserve">There were a similar proportion of deaths occurring in the safety reporting period (during treatment and up to 28 days after the last dose) in the </w:t>
      </w:r>
      <w:proofErr w:type="spellStart"/>
      <w:r>
        <w:t>Zirabev</w:t>
      </w:r>
      <w:proofErr w:type="spellEnd"/>
      <w:r>
        <w:t xml:space="preserve"> and </w:t>
      </w:r>
      <w:proofErr w:type="spellStart"/>
      <w:r w:rsidR="00D43527">
        <w:t>Avastin</w:t>
      </w:r>
      <w:proofErr w:type="spellEnd"/>
      <w:r w:rsidR="00D43527">
        <w:t xml:space="preserve"> </w:t>
      </w:r>
      <w:r>
        <w:t xml:space="preserve">bevacizumab-EU groups, 5.9% and 6.7% respectively. The majority of deaths were due to disease progression, but there were 6 deaths (acute myocardial infarction, pneumonia, haemoptysis, pulmonary haemorrhage, haemorrhage and death) in the </w:t>
      </w:r>
      <w:proofErr w:type="spellStart"/>
      <w:r>
        <w:t>Zirabev</w:t>
      </w:r>
      <w:proofErr w:type="spellEnd"/>
      <w:r>
        <w:t xml:space="preserve"> group and 1 death (pulmonary haemorrhage) in the bevacizumab-EU group from study treatment </w:t>
      </w:r>
      <w:r>
        <w:lastRenderedPageBreak/>
        <w:t>toxicity, which was defined as deaths related to blinded bevacizumab therapy with or without causal relationship to chemotherapy</w:t>
      </w:r>
      <w:r w:rsidR="000D4D5B">
        <w:t>.</w:t>
      </w:r>
    </w:p>
    <w:p w14:paraId="46B4282D" w14:textId="77777777" w:rsidR="00920F41" w:rsidRPr="002C079D" w:rsidRDefault="000D4D5B" w:rsidP="00684EDC">
      <w:pPr>
        <w:pStyle w:val="Heading4"/>
      </w:pPr>
      <w:r>
        <w:t>Immunogenicity</w:t>
      </w:r>
    </w:p>
    <w:p w14:paraId="08761D91" w14:textId="77777777" w:rsidR="00920F41" w:rsidRDefault="000D4D5B" w:rsidP="000D4D5B">
      <w:r>
        <w:t>In S</w:t>
      </w:r>
      <w:r w:rsidR="00920F41">
        <w:t>tudy B7391003, antidrug antibodies (ADAs) were assessed prior to any treatment, as well as post treatment. Comparable results were demonstrated</w:t>
      </w:r>
      <w:r>
        <w:t xml:space="preserve"> between both treatment groups.</w:t>
      </w:r>
    </w:p>
    <w:p w14:paraId="365907A3" w14:textId="77777777" w:rsidR="00920F41" w:rsidRDefault="000D4D5B" w:rsidP="000D4D5B">
      <w:pPr>
        <w:rPr>
          <w:b/>
        </w:rPr>
      </w:pPr>
      <w:r>
        <w:t>At B</w:t>
      </w:r>
      <w:r w:rsidR="00920F41">
        <w:t xml:space="preserve">aseline, in the safety population, both the </w:t>
      </w:r>
      <w:proofErr w:type="spellStart"/>
      <w:r w:rsidR="00920F41">
        <w:t>Zirabev</w:t>
      </w:r>
      <w:proofErr w:type="spellEnd"/>
      <w:r w:rsidR="00920F41">
        <w:t xml:space="preserve"> and bevacizumab-EU g</w:t>
      </w:r>
      <w:r>
        <w:t xml:space="preserve">roups had a low level of ADAs; </w:t>
      </w:r>
      <w:r w:rsidR="00920F41">
        <w:t xml:space="preserve">both less than 1%. This increased slightly to 1.4% and 1.5% in the bevacizumab-EU and </w:t>
      </w:r>
      <w:proofErr w:type="spellStart"/>
      <w:r w:rsidR="00920F41">
        <w:t>Zirabev</w:t>
      </w:r>
      <w:proofErr w:type="spellEnd"/>
      <w:r w:rsidR="00920F41">
        <w:t xml:space="preserve"> groups respectively, post treatment.</w:t>
      </w:r>
    </w:p>
    <w:p w14:paraId="1086C864" w14:textId="77777777" w:rsidR="00920F41" w:rsidRPr="00721693" w:rsidRDefault="00920F41" w:rsidP="00684EDC">
      <w:pPr>
        <w:pStyle w:val="Heading4"/>
      </w:pPr>
      <w:r>
        <w:t>Laboratory findings</w:t>
      </w:r>
    </w:p>
    <w:p w14:paraId="1DC26571" w14:textId="77777777" w:rsidR="00920F41" w:rsidRDefault="00920F41" w:rsidP="00684EDC">
      <w:pPr>
        <w:pStyle w:val="Heading5"/>
      </w:pPr>
      <w:r w:rsidRPr="003D509B">
        <w:t>Haematology</w:t>
      </w:r>
    </w:p>
    <w:p w14:paraId="45BA73F8" w14:textId="24547440" w:rsidR="00920F41" w:rsidRDefault="00920F41" w:rsidP="000D4D5B">
      <w:r>
        <w:t xml:space="preserve">Grade 3 </w:t>
      </w:r>
      <w:proofErr w:type="spellStart"/>
      <w:r>
        <w:t>thrombocytopaenia</w:t>
      </w:r>
      <w:proofErr w:type="spellEnd"/>
      <w:r>
        <w:t xml:space="preserve"> (with respect to shift from </w:t>
      </w:r>
      <w:r w:rsidR="00D43527">
        <w:t>B</w:t>
      </w:r>
      <w:r>
        <w:t xml:space="preserve">aseline) occurred in 2.9% of subjects in the </w:t>
      </w:r>
      <w:proofErr w:type="spellStart"/>
      <w:r>
        <w:t>Zirabev</w:t>
      </w:r>
      <w:proofErr w:type="spellEnd"/>
      <w:r>
        <w:t xml:space="preserve"> and </w:t>
      </w:r>
      <w:proofErr w:type="spellStart"/>
      <w:r w:rsidR="00D43527">
        <w:t>Avastin</w:t>
      </w:r>
      <w:proofErr w:type="spellEnd"/>
      <w:r w:rsidR="00D43527">
        <w:t xml:space="preserve"> </w:t>
      </w:r>
      <w:r>
        <w:t xml:space="preserve">bevacizumab-EU arms respectively. Grade 4 </w:t>
      </w:r>
      <w:proofErr w:type="spellStart"/>
      <w:r>
        <w:t>thrombocytopaenia</w:t>
      </w:r>
      <w:proofErr w:type="spellEnd"/>
      <w:r>
        <w:t xml:space="preserve"> occurred in 2.1% and 4% of subjects</w:t>
      </w:r>
      <w:r w:rsidRPr="00CA50E0">
        <w:t xml:space="preserve"> </w:t>
      </w:r>
      <w:r>
        <w:t xml:space="preserve">in the </w:t>
      </w:r>
      <w:proofErr w:type="spellStart"/>
      <w:r>
        <w:t>Zirabev</w:t>
      </w:r>
      <w:proofErr w:type="spellEnd"/>
      <w:r>
        <w:t xml:space="preserve"> and bevacizumab</w:t>
      </w:r>
      <w:r w:rsidR="00D43527">
        <w:noBreakHyphen/>
      </w:r>
      <w:r>
        <w:t>EU arms respectively.</w:t>
      </w:r>
    </w:p>
    <w:p w14:paraId="1CFFDBB8" w14:textId="77777777" w:rsidR="00920F41" w:rsidRDefault="00920F41" w:rsidP="000D4D5B">
      <w:r>
        <w:t xml:space="preserve">5% of subjects in the </w:t>
      </w:r>
      <w:proofErr w:type="spellStart"/>
      <w:r>
        <w:t>Zirabev</w:t>
      </w:r>
      <w:proofErr w:type="spellEnd"/>
      <w:r>
        <w:t xml:space="preserve"> arm experienced Grade 3 </w:t>
      </w:r>
      <w:proofErr w:type="spellStart"/>
      <w:r>
        <w:t>neutropaenia</w:t>
      </w:r>
      <w:proofErr w:type="spellEnd"/>
      <w:r>
        <w:t xml:space="preserve">, compared to 5.5% of subjects in the bevacizumab-EU arm. Grade 4 </w:t>
      </w:r>
      <w:proofErr w:type="spellStart"/>
      <w:r>
        <w:t>neutropaenia</w:t>
      </w:r>
      <w:proofErr w:type="spellEnd"/>
      <w:r>
        <w:t xml:space="preserve"> was experienced by 3.5% of patients in the </w:t>
      </w:r>
      <w:proofErr w:type="spellStart"/>
      <w:r>
        <w:t>Zirabev</w:t>
      </w:r>
      <w:proofErr w:type="spellEnd"/>
      <w:r>
        <w:t xml:space="preserve"> arm, and 6.6% of pati</w:t>
      </w:r>
      <w:r w:rsidR="000D4D5B">
        <w:t>ents in the bevacizumab-EU arm.</w:t>
      </w:r>
    </w:p>
    <w:p w14:paraId="1E9CE788" w14:textId="77777777" w:rsidR="00920F41" w:rsidRPr="00A817A5" w:rsidRDefault="00920F41" w:rsidP="000D4D5B">
      <w:r>
        <w:t xml:space="preserve">No subjects experienced Grade 4 anaemia, but 5.6% and 5.7% of subjects in the </w:t>
      </w:r>
      <w:proofErr w:type="spellStart"/>
      <w:r>
        <w:t>Zirabev</w:t>
      </w:r>
      <w:proofErr w:type="spellEnd"/>
      <w:r>
        <w:t xml:space="preserve"> and bevacizumab-EU arms respectively experienced Grade 3 anaemia.</w:t>
      </w:r>
    </w:p>
    <w:p w14:paraId="046AFD0A" w14:textId="77777777" w:rsidR="00920F41" w:rsidRPr="003D509B" w:rsidRDefault="00920F41" w:rsidP="00684EDC">
      <w:pPr>
        <w:pStyle w:val="Heading5"/>
      </w:pPr>
      <w:r w:rsidRPr="003D509B">
        <w:t>Chemistry</w:t>
      </w:r>
    </w:p>
    <w:p w14:paraId="177A17B1" w14:textId="296892BB" w:rsidR="00920F41" w:rsidRDefault="00920F41" w:rsidP="000D4D5B">
      <w:r>
        <w:t xml:space="preserve">The only biochemical finding of note was derangements in sodium level. 29.5% and 21.4% of subjects in the </w:t>
      </w:r>
      <w:proofErr w:type="spellStart"/>
      <w:r>
        <w:t>Zirabev</w:t>
      </w:r>
      <w:proofErr w:type="spellEnd"/>
      <w:r>
        <w:t xml:space="preserve"> and </w:t>
      </w:r>
      <w:proofErr w:type="spellStart"/>
      <w:r w:rsidR="00D43527">
        <w:t>Avastin</w:t>
      </w:r>
      <w:proofErr w:type="spellEnd"/>
      <w:r w:rsidR="00D43527">
        <w:t xml:space="preserve"> </w:t>
      </w:r>
      <w:r>
        <w:t>bevacizumab-EU groups respectively experienced Grade 3 hyponatr</w:t>
      </w:r>
      <w:r w:rsidR="00D43527">
        <w:t>a</w:t>
      </w:r>
      <w:r>
        <w:t xml:space="preserve">emia, with 1% in the </w:t>
      </w:r>
      <w:proofErr w:type="spellStart"/>
      <w:r>
        <w:t>Zirabev</w:t>
      </w:r>
      <w:proofErr w:type="spellEnd"/>
      <w:r>
        <w:t xml:space="preserve"> group and 1.9% of subjects in the bevacizumab-EU group exp</w:t>
      </w:r>
      <w:r w:rsidR="000D4D5B">
        <w:t>eriencing Grade 4 hyponatr</w:t>
      </w:r>
      <w:r w:rsidR="00D43527">
        <w:t>a</w:t>
      </w:r>
      <w:r w:rsidR="000D4D5B">
        <w:t>emia.</w:t>
      </w:r>
    </w:p>
    <w:p w14:paraId="41EB9779" w14:textId="77777777" w:rsidR="00920F41" w:rsidRPr="00FE0661" w:rsidRDefault="00920F41" w:rsidP="00684EDC">
      <w:pPr>
        <w:pStyle w:val="Heading4"/>
      </w:pPr>
      <w:r w:rsidRPr="00FE0661">
        <w:t>Summary of clinical safety data</w:t>
      </w:r>
    </w:p>
    <w:p w14:paraId="1B1A1940" w14:textId="2BD1E521" w:rsidR="00456765" w:rsidRPr="00456765" w:rsidRDefault="00920F41" w:rsidP="00456765">
      <w:r>
        <w:t xml:space="preserve">No new safety signals were identified after treatment with </w:t>
      </w:r>
      <w:proofErr w:type="spellStart"/>
      <w:r>
        <w:t>Zirabev</w:t>
      </w:r>
      <w:proofErr w:type="spellEnd"/>
      <w:r>
        <w:t xml:space="preserve">. The submitted safety data is considered acceptable to support </w:t>
      </w:r>
      <w:proofErr w:type="spellStart"/>
      <w:r>
        <w:t>biosimilar</w:t>
      </w:r>
      <w:r w:rsidR="006077D9">
        <w:t>ity</w:t>
      </w:r>
      <w:proofErr w:type="spellEnd"/>
      <w:r w:rsidR="006077D9">
        <w:t xml:space="preserve"> of </w:t>
      </w:r>
      <w:proofErr w:type="spellStart"/>
      <w:r w:rsidR="006077D9">
        <w:t>Zirabev</w:t>
      </w:r>
      <w:proofErr w:type="spellEnd"/>
      <w:r w:rsidR="006077D9">
        <w:t xml:space="preserve"> and </w:t>
      </w:r>
      <w:proofErr w:type="spellStart"/>
      <w:r w:rsidR="00D43527">
        <w:t>Avastin</w:t>
      </w:r>
      <w:proofErr w:type="spellEnd"/>
      <w:r w:rsidR="00D43527">
        <w:t> </w:t>
      </w:r>
      <w:r w:rsidR="006077D9">
        <w:t>bevacizumab.</w:t>
      </w:r>
    </w:p>
    <w:p w14:paraId="5347620C" w14:textId="77777777" w:rsidR="008E7846" w:rsidRDefault="00386150" w:rsidP="007B6132">
      <w:pPr>
        <w:pStyle w:val="Heading3"/>
        <w:rPr>
          <w:lang w:eastAsia="en-AU"/>
        </w:rPr>
      </w:pPr>
      <w:bookmarkStart w:id="51" w:name="_Toc33614750"/>
      <w:r>
        <w:rPr>
          <w:lang w:eastAsia="en-AU"/>
        </w:rPr>
        <w:t>Risk m</w:t>
      </w:r>
      <w:r w:rsidR="008E7846">
        <w:rPr>
          <w:lang w:eastAsia="en-AU"/>
        </w:rPr>
        <w:t xml:space="preserve">anagement </w:t>
      </w:r>
      <w:r>
        <w:rPr>
          <w:lang w:eastAsia="en-AU"/>
        </w:rPr>
        <w:t>p</w:t>
      </w:r>
      <w:r w:rsidR="008E7846">
        <w:rPr>
          <w:lang w:eastAsia="en-AU"/>
        </w:rPr>
        <w:t>lan</w:t>
      </w:r>
      <w:bookmarkEnd w:id="40"/>
      <w:bookmarkEnd w:id="51"/>
    </w:p>
    <w:p w14:paraId="66CEDFE6" w14:textId="14D125C6" w:rsidR="00380602" w:rsidRDefault="00380602" w:rsidP="00380602">
      <w:r>
        <w:t>The sponsor has submitted European Union-Risk Management Plan (EU-RMP) version 0.11 (date 23 May 2018; data lock point (DLP) 8 May 2017) and Australian Specific Annex (ASA; dated August 2018) in support of this application. In their response to TGA questions, the sponsor has provided EU RMP version 0.3 (date 8 November 2018; DLP 17 January 2018) and ASA version 1.1 (date 31 May 2019).</w:t>
      </w:r>
    </w:p>
    <w:p w14:paraId="7489503B" w14:textId="2A979071" w:rsidR="00920F41" w:rsidRPr="009118E1" w:rsidRDefault="00380602" w:rsidP="009118E1">
      <w:pPr>
        <w:spacing w:before="0" w:after="0" w:line="240" w:lineRule="auto"/>
        <w:rPr>
          <w:rFonts w:ascii="Times New Roman" w:eastAsiaTheme="minorHAnsi" w:hAnsi="Times New Roman"/>
          <w:sz w:val="24"/>
          <w:szCs w:val="24"/>
          <w:lang w:eastAsia="en-AU"/>
        </w:rPr>
      </w:pPr>
      <w:r w:rsidRPr="00FF4BD8">
        <w:t>The proposed summary of safety concerns and their associated risk monitoring and mitigation strategies are summarised below</w:t>
      </w:r>
      <w:r>
        <w:t xml:space="preserve"> in </w:t>
      </w:r>
      <w:r>
        <w:fldChar w:fldCharType="begin"/>
      </w:r>
      <w:r>
        <w:instrText xml:space="preserve"> REF _Ref31380018 \h </w:instrText>
      </w:r>
      <w:r>
        <w:fldChar w:fldCharType="separate"/>
      </w:r>
      <w:r>
        <w:t xml:space="preserve">Table </w:t>
      </w:r>
      <w:r>
        <w:rPr>
          <w:noProof/>
        </w:rPr>
        <w:t>10</w:t>
      </w:r>
      <w:r>
        <w:fldChar w:fldCharType="end"/>
      </w:r>
      <w:r>
        <w:t>.</w:t>
      </w:r>
      <w:r w:rsidR="009118E1">
        <w:rPr>
          <w:rStyle w:val="FootnoteReference"/>
          <w:lang w:eastAsia="en-AU"/>
        </w:rPr>
        <w:footnoteReference w:id="2"/>
      </w:r>
    </w:p>
    <w:p w14:paraId="52D7DA86" w14:textId="6C919F51" w:rsidR="00920F41" w:rsidRDefault="00380602" w:rsidP="00380602">
      <w:pPr>
        <w:pStyle w:val="TableTitle"/>
      </w:pPr>
      <w:bookmarkStart w:id="52" w:name="_Ref31380018"/>
      <w:r>
        <w:lastRenderedPageBreak/>
        <w:t xml:space="preserve">Table </w:t>
      </w:r>
      <w:r w:rsidR="00D97F65">
        <w:fldChar w:fldCharType="begin"/>
      </w:r>
      <w:r w:rsidR="00D97F65">
        <w:instrText xml:space="preserve"> SEQ Table \* ARABIC </w:instrText>
      </w:r>
      <w:r w:rsidR="00D97F65">
        <w:fldChar w:fldCharType="separate"/>
      </w:r>
      <w:r>
        <w:rPr>
          <w:noProof/>
        </w:rPr>
        <w:t>10</w:t>
      </w:r>
      <w:r w:rsidR="00D97F65">
        <w:rPr>
          <w:noProof/>
        </w:rPr>
        <w:fldChar w:fldCharType="end"/>
      </w:r>
      <w:bookmarkEnd w:id="52"/>
      <w:r>
        <w:t>: Summary of safety concerns</w:t>
      </w:r>
    </w:p>
    <w:tbl>
      <w:tblPr>
        <w:tblStyle w:val="TableTGAblue"/>
        <w:tblW w:w="8973" w:type="dxa"/>
        <w:tblLayout w:type="fixed"/>
        <w:tblLook w:val="04A0" w:firstRow="1" w:lastRow="0" w:firstColumn="1" w:lastColumn="0" w:noHBand="0" w:noVBand="1"/>
      </w:tblPr>
      <w:tblGrid>
        <w:gridCol w:w="1384"/>
        <w:gridCol w:w="3119"/>
        <w:gridCol w:w="992"/>
        <w:gridCol w:w="1276"/>
        <w:gridCol w:w="992"/>
        <w:gridCol w:w="1210"/>
      </w:tblGrid>
      <w:tr w:rsidR="00920F41" w:rsidRPr="004F1C07" w14:paraId="26B7C633" w14:textId="77777777" w:rsidTr="008E374C">
        <w:trPr>
          <w:cnfStyle w:val="100000000000" w:firstRow="1" w:lastRow="0" w:firstColumn="0" w:lastColumn="0" w:oddVBand="0" w:evenVBand="0" w:oddHBand="0" w:evenHBand="0" w:firstRowFirstColumn="0" w:firstRowLastColumn="0" w:lastRowFirstColumn="0" w:lastRowLastColumn="0"/>
          <w:trHeight w:val="131"/>
        </w:trPr>
        <w:tc>
          <w:tcPr>
            <w:tcW w:w="4503" w:type="dxa"/>
            <w:gridSpan w:val="2"/>
            <w:vMerge w:val="restart"/>
          </w:tcPr>
          <w:p w14:paraId="3DE72085" w14:textId="77777777" w:rsidR="00920F41" w:rsidRPr="00380602" w:rsidRDefault="00920F41" w:rsidP="00380602">
            <w:pPr>
              <w:pStyle w:val="Tabletext"/>
              <w:ind w:left="0" w:right="0"/>
              <w:rPr>
                <w:sz w:val="20"/>
                <w:szCs w:val="20"/>
              </w:rPr>
            </w:pPr>
            <w:r w:rsidRPr="00380602">
              <w:rPr>
                <w:sz w:val="20"/>
                <w:szCs w:val="20"/>
              </w:rPr>
              <w:t>Summary of safety concerns</w:t>
            </w:r>
          </w:p>
        </w:tc>
        <w:tc>
          <w:tcPr>
            <w:tcW w:w="2268" w:type="dxa"/>
            <w:gridSpan w:val="2"/>
          </w:tcPr>
          <w:p w14:paraId="66D75FFC" w14:textId="77777777" w:rsidR="00920F41" w:rsidRPr="00380602" w:rsidRDefault="00920F41" w:rsidP="00380602">
            <w:pPr>
              <w:pStyle w:val="Tabletext"/>
              <w:ind w:left="0" w:right="0"/>
              <w:rPr>
                <w:sz w:val="20"/>
                <w:szCs w:val="20"/>
              </w:rPr>
            </w:pPr>
            <w:r w:rsidRPr="00380602">
              <w:rPr>
                <w:sz w:val="20"/>
                <w:szCs w:val="20"/>
              </w:rPr>
              <w:t>Pharmacovigilance</w:t>
            </w:r>
          </w:p>
        </w:tc>
        <w:tc>
          <w:tcPr>
            <w:tcW w:w="2202" w:type="dxa"/>
            <w:gridSpan w:val="2"/>
          </w:tcPr>
          <w:p w14:paraId="6F8A464C" w14:textId="77777777" w:rsidR="00920F41" w:rsidRPr="00380602" w:rsidRDefault="00920F41" w:rsidP="00380602">
            <w:pPr>
              <w:pStyle w:val="Tabletext"/>
              <w:ind w:left="0" w:right="0"/>
              <w:rPr>
                <w:sz w:val="20"/>
                <w:szCs w:val="20"/>
              </w:rPr>
            </w:pPr>
            <w:r w:rsidRPr="00380602">
              <w:rPr>
                <w:sz w:val="20"/>
                <w:szCs w:val="20"/>
              </w:rPr>
              <w:t>Risk Minimisation</w:t>
            </w:r>
          </w:p>
        </w:tc>
      </w:tr>
      <w:tr w:rsidR="00920F41" w:rsidRPr="004F1C07" w14:paraId="1057CE07" w14:textId="77777777" w:rsidTr="008E374C">
        <w:trPr>
          <w:trHeight w:val="151"/>
        </w:trPr>
        <w:tc>
          <w:tcPr>
            <w:tcW w:w="4503" w:type="dxa"/>
            <w:gridSpan w:val="2"/>
            <w:vMerge/>
          </w:tcPr>
          <w:p w14:paraId="733B5E47" w14:textId="77777777" w:rsidR="00920F41" w:rsidRPr="00380602" w:rsidRDefault="00920F41" w:rsidP="00380602">
            <w:pPr>
              <w:pStyle w:val="Tabletext"/>
              <w:ind w:left="0" w:right="0"/>
              <w:rPr>
                <w:b/>
                <w:sz w:val="20"/>
                <w:szCs w:val="20"/>
              </w:rPr>
            </w:pPr>
          </w:p>
        </w:tc>
        <w:tc>
          <w:tcPr>
            <w:tcW w:w="992" w:type="dxa"/>
          </w:tcPr>
          <w:p w14:paraId="479CBC22" w14:textId="77777777" w:rsidR="00920F41" w:rsidRPr="00380602" w:rsidRDefault="00920F41" w:rsidP="00380602">
            <w:pPr>
              <w:pStyle w:val="Tabletext"/>
              <w:ind w:left="0" w:right="0"/>
              <w:rPr>
                <w:b/>
                <w:sz w:val="20"/>
                <w:szCs w:val="20"/>
              </w:rPr>
            </w:pPr>
            <w:r w:rsidRPr="00380602">
              <w:rPr>
                <w:sz w:val="20"/>
                <w:szCs w:val="20"/>
              </w:rPr>
              <w:t>Routine</w:t>
            </w:r>
          </w:p>
        </w:tc>
        <w:tc>
          <w:tcPr>
            <w:tcW w:w="1276" w:type="dxa"/>
          </w:tcPr>
          <w:p w14:paraId="62EA4562" w14:textId="77777777" w:rsidR="00920F41" w:rsidRPr="00380602" w:rsidRDefault="00920F41" w:rsidP="00380602">
            <w:pPr>
              <w:pStyle w:val="Tabletext"/>
              <w:ind w:left="0" w:right="0"/>
              <w:rPr>
                <w:b/>
                <w:sz w:val="20"/>
                <w:szCs w:val="20"/>
              </w:rPr>
            </w:pPr>
            <w:r w:rsidRPr="00380602">
              <w:rPr>
                <w:sz w:val="20"/>
                <w:szCs w:val="20"/>
              </w:rPr>
              <w:t>Additional</w:t>
            </w:r>
          </w:p>
        </w:tc>
        <w:tc>
          <w:tcPr>
            <w:tcW w:w="992" w:type="dxa"/>
          </w:tcPr>
          <w:p w14:paraId="5074A30F" w14:textId="77777777" w:rsidR="00920F41" w:rsidRPr="00380602" w:rsidRDefault="00920F41" w:rsidP="00380602">
            <w:pPr>
              <w:pStyle w:val="Tabletext"/>
              <w:ind w:left="0" w:right="0"/>
              <w:rPr>
                <w:b/>
                <w:sz w:val="20"/>
                <w:szCs w:val="20"/>
              </w:rPr>
            </w:pPr>
            <w:r w:rsidRPr="00380602">
              <w:rPr>
                <w:sz w:val="20"/>
                <w:szCs w:val="20"/>
              </w:rPr>
              <w:t>Routine</w:t>
            </w:r>
          </w:p>
        </w:tc>
        <w:tc>
          <w:tcPr>
            <w:tcW w:w="1210" w:type="dxa"/>
          </w:tcPr>
          <w:p w14:paraId="25A043DA" w14:textId="77777777" w:rsidR="00920F41" w:rsidRPr="00380602" w:rsidRDefault="00920F41" w:rsidP="00380602">
            <w:pPr>
              <w:pStyle w:val="Tabletext"/>
              <w:ind w:left="0" w:right="0"/>
              <w:rPr>
                <w:b/>
                <w:sz w:val="20"/>
                <w:szCs w:val="20"/>
              </w:rPr>
            </w:pPr>
            <w:r w:rsidRPr="00380602">
              <w:rPr>
                <w:sz w:val="20"/>
                <w:szCs w:val="20"/>
              </w:rPr>
              <w:t>Additional</w:t>
            </w:r>
          </w:p>
        </w:tc>
      </w:tr>
      <w:tr w:rsidR="00920F41" w:rsidRPr="004F1C07" w14:paraId="6F18B0AC" w14:textId="77777777" w:rsidTr="008E374C">
        <w:trPr>
          <w:trHeight w:val="137"/>
        </w:trPr>
        <w:tc>
          <w:tcPr>
            <w:tcW w:w="1384" w:type="dxa"/>
            <w:vMerge w:val="restart"/>
          </w:tcPr>
          <w:p w14:paraId="13878F21" w14:textId="77777777" w:rsidR="00920F41" w:rsidRPr="00380602" w:rsidRDefault="00920F41" w:rsidP="00380602">
            <w:pPr>
              <w:pStyle w:val="Tabletext"/>
              <w:ind w:left="0" w:right="0"/>
              <w:rPr>
                <w:b/>
                <w:sz w:val="20"/>
                <w:szCs w:val="20"/>
              </w:rPr>
            </w:pPr>
            <w:r w:rsidRPr="00380602">
              <w:rPr>
                <w:b/>
                <w:sz w:val="20"/>
                <w:szCs w:val="20"/>
              </w:rPr>
              <w:t>Important identified risks</w:t>
            </w:r>
          </w:p>
        </w:tc>
        <w:tc>
          <w:tcPr>
            <w:tcW w:w="3119" w:type="dxa"/>
          </w:tcPr>
          <w:p w14:paraId="528A9B63" w14:textId="77777777" w:rsidR="00920F41" w:rsidRPr="00380602" w:rsidRDefault="00920F41" w:rsidP="00380602">
            <w:pPr>
              <w:pStyle w:val="Tabletext"/>
              <w:ind w:left="0" w:right="0"/>
              <w:rPr>
                <w:sz w:val="20"/>
                <w:szCs w:val="20"/>
              </w:rPr>
            </w:pPr>
            <w:r w:rsidRPr="00380602">
              <w:rPr>
                <w:sz w:val="20"/>
                <w:szCs w:val="20"/>
              </w:rPr>
              <w:t>Bleeding/haemorrhage</w:t>
            </w:r>
          </w:p>
        </w:tc>
        <w:tc>
          <w:tcPr>
            <w:tcW w:w="992" w:type="dxa"/>
          </w:tcPr>
          <w:p w14:paraId="2A77F9DC"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57B93F0B"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78B465D4"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3BB3783E"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74B68449" w14:textId="77777777" w:rsidTr="008E374C">
        <w:trPr>
          <w:trHeight w:val="136"/>
        </w:trPr>
        <w:tc>
          <w:tcPr>
            <w:tcW w:w="1384" w:type="dxa"/>
            <w:vMerge/>
          </w:tcPr>
          <w:p w14:paraId="213EA1A2" w14:textId="77777777" w:rsidR="00920F41" w:rsidRPr="00380602" w:rsidRDefault="00920F41" w:rsidP="00380602">
            <w:pPr>
              <w:pStyle w:val="Tabletext"/>
              <w:ind w:left="0" w:right="0"/>
              <w:rPr>
                <w:b/>
                <w:sz w:val="20"/>
                <w:szCs w:val="20"/>
              </w:rPr>
            </w:pPr>
          </w:p>
        </w:tc>
        <w:tc>
          <w:tcPr>
            <w:tcW w:w="3119" w:type="dxa"/>
          </w:tcPr>
          <w:p w14:paraId="7ACB9419" w14:textId="77777777" w:rsidR="00920F41" w:rsidRPr="00380602" w:rsidRDefault="00920F41" w:rsidP="00380602">
            <w:pPr>
              <w:pStyle w:val="Tabletext"/>
              <w:ind w:left="0" w:right="0"/>
              <w:rPr>
                <w:sz w:val="20"/>
                <w:szCs w:val="20"/>
              </w:rPr>
            </w:pPr>
            <w:r w:rsidRPr="00380602">
              <w:rPr>
                <w:sz w:val="20"/>
                <w:szCs w:val="20"/>
              </w:rPr>
              <w:t>Pulmonary haemorrhage</w:t>
            </w:r>
          </w:p>
        </w:tc>
        <w:tc>
          <w:tcPr>
            <w:tcW w:w="992" w:type="dxa"/>
          </w:tcPr>
          <w:p w14:paraId="6EFD7186"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0BF917FF"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6E1A3DEB"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7FC6479E"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3427FB1B" w14:textId="77777777" w:rsidTr="008E374C">
        <w:trPr>
          <w:trHeight w:val="140"/>
        </w:trPr>
        <w:tc>
          <w:tcPr>
            <w:tcW w:w="1384" w:type="dxa"/>
            <w:vMerge/>
          </w:tcPr>
          <w:p w14:paraId="18FDE985" w14:textId="77777777" w:rsidR="00920F41" w:rsidRPr="00380602" w:rsidRDefault="00920F41" w:rsidP="00380602">
            <w:pPr>
              <w:pStyle w:val="Tabletext"/>
              <w:ind w:left="0" w:right="0"/>
              <w:rPr>
                <w:b/>
                <w:sz w:val="20"/>
                <w:szCs w:val="20"/>
              </w:rPr>
            </w:pPr>
          </w:p>
        </w:tc>
        <w:tc>
          <w:tcPr>
            <w:tcW w:w="3119" w:type="dxa"/>
          </w:tcPr>
          <w:p w14:paraId="5FF456AD" w14:textId="77777777" w:rsidR="00920F41" w:rsidRPr="00380602" w:rsidRDefault="00920F41" w:rsidP="00380602">
            <w:pPr>
              <w:pStyle w:val="Tabletext"/>
              <w:ind w:left="0" w:right="0"/>
              <w:rPr>
                <w:sz w:val="20"/>
                <w:szCs w:val="20"/>
              </w:rPr>
            </w:pPr>
            <w:r w:rsidRPr="00380602">
              <w:rPr>
                <w:sz w:val="20"/>
                <w:szCs w:val="20"/>
              </w:rPr>
              <w:t>Proteinuria</w:t>
            </w:r>
          </w:p>
        </w:tc>
        <w:tc>
          <w:tcPr>
            <w:tcW w:w="992" w:type="dxa"/>
          </w:tcPr>
          <w:p w14:paraId="3BAE1000"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1FA8B215"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25C4A08E"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035021A9"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2C035B58" w14:textId="77777777" w:rsidTr="008E374C">
        <w:trPr>
          <w:trHeight w:val="140"/>
        </w:trPr>
        <w:tc>
          <w:tcPr>
            <w:tcW w:w="1384" w:type="dxa"/>
            <w:vMerge/>
          </w:tcPr>
          <w:p w14:paraId="7CD902D0" w14:textId="77777777" w:rsidR="00920F41" w:rsidRPr="00380602" w:rsidRDefault="00920F41" w:rsidP="00380602">
            <w:pPr>
              <w:pStyle w:val="Tabletext"/>
              <w:ind w:left="0" w:right="0"/>
              <w:rPr>
                <w:b/>
                <w:sz w:val="20"/>
                <w:szCs w:val="20"/>
              </w:rPr>
            </w:pPr>
          </w:p>
        </w:tc>
        <w:tc>
          <w:tcPr>
            <w:tcW w:w="3119" w:type="dxa"/>
          </w:tcPr>
          <w:p w14:paraId="2C4DEBC3" w14:textId="77777777" w:rsidR="00920F41" w:rsidRPr="00380602" w:rsidRDefault="00920F41" w:rsidP="00380602">
            <w:pPr>
              <w:pStyle w:val="Tabletext"/>
              <w:ind w:left="0" w:right="0"/>
              <w:rPr>
                <w:sz w:val="20"/>
                <w:szCs w:val="20"/>
              </w:rPr>
            </w:pPr>
            <w:r w:rsidRPr="00380602">
              <w:rPr>
                <w:sz w:val="20"/>
                <w:szCs w:val="20"/>
              </w:rPr>
              <w:t>Arterial thromboembolic events</w:t>
            </w:r>
          </w:p>
        </w:tc>
        <w:tc>
          <w:tcPr>
            <w:tcW w:w="992" w:type="dxa"/>
          </w:tcPr>
          <w:p w14:paraId="445A579B" w14:textId="77777777" w:rsidR="00920F41" w:rsidRPr="00380602" w:rsidRDefault="00920F41" w:rsidP="00380602">
            <w:pPr>
              <w:pStyle w:val="Tabletext"/>
              <w:ind w:left="0" w:right="0"/>
              <w:jc w:val="center"/>
              <w:rPr>
                <w:sz w:val="20"/>
                <w:szCs w:val="20"/>
                <w:vertAlign w:val="superscript"/>
              </w:rPr>
            </w:pPr>
            <w:r w:rsidRPr="00380602">
              <w:rPr>
                <w:sz w:val="20"/>
                <w:szCs w:val="20"/>
              </w:rPr>
              <w:sym w:font="Wingdings" w:char="F0FC"/>
            </w:r>
            <w:r w:rsidRPr="00380602">
              <w:rPr>
                <w:sz w:val="20"/>
                <w:szCs w:val="20"/>
                <w:vertAlign w:val="superscript"/>
              </w:rPr>
              <w:t>1</w:t>
            </w:r>
          </w:p>
        </w:tc>
        <w:tc>
          <w:tcPr>
            <w:tcW w:w="1276" w:type="dxa"/>
          </w:tcPr>
          <w:p w14:paraId="58DF9EE3"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15DF528B"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336E5D70"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11ACC118" w14:textId="77777777" w:rsidTr="008E374C">
        <w:trPr>
          <w:trHeight w:val="140"/>
        </w:trPr>
        <w:tc>
          <w:tcPr>
            <w:tcW w:w="1384" w:type="dxa"/>
            <w:vMerge/>
          </w:tcPr>
          <w:p w14:paraId="17D407A7" w14:textId="77777777" w:rsidR="00920F41" w:rsidRPr="00380602" w:rsidRDefault="00920F41" w:rsidP="00380602">
            <w:pPr>
              <w:pStyle w:val="Tabletext"/>
              <w:ind w:left="0" w:right="0"/>
              <w:rPr>
                <w:b/>
                <w:sz w:val="20"/>
                <w:szCs w:val="20"/>
              </w:rPr>
            </w:pPr>
          </w:p>
        </w:tc>
        <w:tc>
          <w:tcPr>
            <w:tcW w:w="3119" w:type="dxa"/>
          </w:tcPr>
          <w:p w14:paraId="3C364C7D" w14:textId="77777777" w:rsidR="00920F41" w:rsidRPr="00380602" w:rsidRDefault="00920F41" w:rsidP="00380602">
            <w:pPr>
              <w:pStyle w:val="Tabletext"/>
              <w:ind w:left="0" w:right="0"/>
              <w:rPr>
                <w:sz w:val="20"/>
                <w:szCs w:val="20"/>
              </w:rPr>
            </w:pPr>
            <w:r w:rsidRPr="00380602">
              <w:rPr>
                <w:sz w:val="20"/>
                <w:szCs w:val="20"/>
              </w:rPr>
              <w:t>Hypertension</w:t>
            </w:r>
          </w:p>
        </w:tc>
        <w:tc>
          <w:tcPr>
            <w:tcW w:w="992" w:type="dxa"/>
          </w:tcPr>
          <w:p w14:paraId="0A212171"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340CB136"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65F73131"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57271711"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0DBBEBA9" w14:textId="77777777" w:rsidTr="008E374C">
        <w:trPr>
          <w:trHeight w:val="110"/>
        </w:trPr>
        <w:tc>
          <w:tcPr>
            <w:tcW w:w="1384" w:type="dxa"/>
            <w:vMerge/>
          </w:tcPr>
          <w:p w14:paraId="2B7867FF" w14:textId="77777777" w:rsidR="00920F41" w:rsidRPr="00380602" w:rsidRDefault="00920F41" w:rsidP="00380602">
            <w:pPr>
              <w:pStyle w:val="Tabletext"/>
              <w:ind w:left="0" w:right="0"/>
              <w:rPr>
                <w:b/>
                <w:sz w:val="20"/>
                <w:szCs w:val="20"/>
              </w:rPr>
            </w:pPr>
          </w:p>
        </w:tc>
        <w:tc>
          <w:tcPr>
            <w:tcW w:w="3119" w:type="dxa"/>
          </w:tcPr>
          <w:p w14:paraId="453A76E8" w14:textId="77777777" w:rsidR="00920F41" w:rsidRPr="00380602" w:rsidRDefault="00920F41" w:rsidP="00380602">
            <w:pPr>
              <w:pStyle w:val="Tabletext"/>
              <w:ind w:left="0" w:right="0"/>
              <w:rPr>
                <w:sz w:val="20"/>
                <w:szCs w:val="20"/>
              </w:rPr>
            </w:pPr>
            <w:r w:rsidRPr="00380602">
              <w:rPr>
                <w:sz w:val="20"/>
                <w:szCs w:val="20"/>
              </w:rPr>
              <w:t>Congestive heart failure</w:t>
            </w:r>
          </w:p>
        </w:tc>
        <w:tc>
          <w:tcPr>
            <w:tcW w:w="992" w:type="dxa"/>
          </w:tcPr>
          <w:p w14:paraId="6EF070E1" w14:textId="77777777" w:rsidR="00920F41" w:rsidRPr="00380602" w:rsidRDefault="00920F41" w:rsidP="00380602">
            <w:pPr>
              <w:pStyle w:val="Tabletext"/>
              <w:ind w:left="0" w:right="0"/>
              <w:jc w:val="center"/>
              <w:rPr>
                <w:sz w:val="20"/>
                <w:szCs w:val="20"/>
                <w:vertAlign w:val="superscript"/>
              </w:rPr>
            </w:pPr>
            <w:r w:rsidRPr="00380602">
              <w:rPr>
                <w:sz w:val="20"/>
                <w:szCs w:val="20"/>
              </w:rPr>
              <w:sym w:font="Wingdings" w:char="F0FC"/>
            </w:r>
            <w:r w:rsidRPr="00380602">
              <w:rPr>
                <w:sz w:val="20"/>
                <w:szCs w:val="20"/>
                <w:vertAlign w:val="superscript"/>
              </w:rPr>
              <w:t>1</w:t>
            </w:r>
          </w:p>
        </w:tc>
        <w:tc>
          <w:tcPr>
            <w:tcW w:w="1276" w:type="dxa"/>
          </w:tcPr>
          <w:p w14:paraId="19275656"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1527D89E"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34ADE1CB"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215922D1" w14:textId="77777777" w:rsidTr="008E374C">
        <w:trPr>
          <w:trHeight w:val="120"/>
        </w:trPr>
        <w:tc>
          <w:tcPr>
            <w:tcW w:w="1384" w:type="dxa"/>
            <w:vMerge/>
          </w:tcPr>
          <w:p w14:paraId="7D4C6DBC" w14:textId="77777777" w:rsidR="00920F41" w:rsidRPr="00380602" w:rsidRDefault="00920F41" w:rsidP="00380602">
            <w:pPr>
              <w:pStyle w:val="Tabletext"/>
              <w:ind w:left="0" w:right="0"/>
              <w:rPr>
                <w:b/>
                <w:sz w:val="20"/>
                <w:szCs w:val="20"/>
              </w:rPr>
            </w:pPr>
          </w:p>
        </w:tc>
        <w:tc>
          <w:tcPr>
            <w:tcW w:w="3119" w:type="dxa"/>
          </w:tcPr>
          <w:p w14:paraId="781AC01A" w14:textId="77777777" w:rsidR="00920F41" w:rsidRPr="00380602" w:rsidRDefault="00920F41" w:rsidP="00380602">
            <w:pPr>
              <w:pStyle w:val="Tabletext"/>
              <w:ind w:left="0" w:right="0"/>
              <w:rPr>
                <w:sz w:val="20"/>
                <w:szCs w:val="20"/>
              </w:rPr>
            </w:pPr>
            <w:r w:rsidRPr="00380602">
              <w:rPr>
                <w:sz w:val="20"/>
                <w:szCs w:val="20"/>
              </w:rPr>
              <w:t>Wound healing complications</w:t>
            </w:r>
          </w:p>
        </w:tc>
        <w:tc>
          <w:tcPr>
            <w:tcW w:w="992" w:type="dxa"/>
          </w:tcPr>
          <w:p w14:paraId="35489A8F"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3D5E3631"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6251D243"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77FC33B8"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62B4BB21" w14:textId="77777777" w:rsidTr="008E374C">
        <w:trPr>
          <w:trHeight w:val="161"/>
        </w:trPr>
        <w:tc>
          <w:tcPr>
            <w:tcW w:w="1384" w:type="dxa"/>
            <w:vMerge/>
          </w:tcPr>
          <w:p w14:paraId="739960E6" w14:textId="77777777" w:rsidR="00920F41" w:rsidRPr="00380602" w:rsidRDefault="00920F41" w:rsidP="00380602">
            <w:pPr>
              <w:pStyle w:val="Tabletext"/>
              <w:ind w:left="0" w:right="0"/>
              <w:rPr>
                <w:b/>
                <w:sz w:val="20"/>
                <w:szCs w:val="20"/>
              </w:rPr>
            </w:pPr>
          </w:p>
        </w:tc>
        <w:tc>
          <w:tcPr>
            <w:tcW w:w="3119" w:type="dxa"/>
          </w:tcPr>
          <w:p w14:paraId="5E274180" w14:textId="77777777" w:rsidR="00920F41" w:rsidRPr="00380602" w:rsidRDefault="00920F41" w:rsidP="00380602">
            <w:pPr>
              <w:pStyle w:val="Tabletext"/>
              <w:ind w:left="0" w:right="0"/>
              <w:rPr>
                <w:sz w:val="20"/>
                <w:szCs w:val="20"/>
              </w:rPr>
            </w:pPr>
            <w:r w:rsidRPr="00380602">
              <w:rPr>
                <w:sz w:val="20"/>
                <w:szCs w:val="20"/>
              </w:rPr>
              <w:t>Gastrointestinal perforations</w:t>
            </w:r>
          </w:p>
        </w:tc>
        <w:tc>
          <w:tcPr>
            <w:tcW w:w="992" w:type="dxa"/>
          </w:tcPr>
          <w:p w14:paraId="2308C5B6"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22959469"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5F6B49F3"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3200C5E5"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32C8FFE2" w14:textId="77777777" w:rsidTr="008E374C">
        <w:trPr>
          <w:trHeight w:val="110"/>
        </w:trPr>
        <w:tc>
          <w:tcPr>
            <w:tcW w:w="1384" w:type="dxa"/>
            <w:vMerge/>
          </w:tcPr>
          <w:p w14:paraId="4A7BD221" w14:textId="77777777" w:rsidR="00920F41" w:rsidRPr="00380602" w:rsidRDefault="00920F41" w:rsidP="00380602">
            <w:pPr>
              <w:pStyle w:val="Tabletext"/>
              <w:ind w:left="0" w:right="0"/>
              <w:rPr>
                <w:b/>
                <w:sz w:val="20"/>
                <w:szCs w:val="20"/>
              </w:rPr>
            </w:pPr>
          </w:p>
        </w:tc>
        <w:tc>
          <w:tcPr>
            <w:tcW w:w="3119" w:type="dxa"/>
          </w:tcPr>
          <w:p w14:paraId="299F6553" w14:textId="04AACDDE" w:rsidR="00920F41" w:rsidRPr="00380602" w:rsidRDefault="00920F41" w:rsidP="00380602">
            <w:pPr>
              <w:pStyle w:val="Tabletext"/>
              <w:ind w:left="0" w:right="0"/>
              <w:rPr>
                <w:sz w:val="20"/>
                <w:szCs w:val="20"/>
              </w:rPr>
            </w:pPr>
            <w:r w:rsidRPr="00380602">
              <w:rPr>
                <w:sz w:val="20"/>
                <w:szCs w:val="20"/>
              </w:rPr>
              <w:t>Reversibl</w:t>
            </w:r>
            <w:r w:rsidR="00380602" w:rsidRPr="00380602">
              <w:rPr>
                <w:sz w:val="20"/>
                <w:szCs w:val="20"/>
              </w:rPr>
              <w:t xml:space="preserve">e posterior leukoencephalopathy </w:t>
            </w:r>
            <w:r w:rsidRPr="00380602">
              <w:rPr>
                <w:sz w:val="20"/>
                <w:szCs w:val="20"/>
              </w:rPr>
              <w:t>syndrome</w:t>
            </w:r>
          </w:p>
        </w:tc>
        <w:tc>
          <w:tcPr>
            <w:tcW w:w="992" w:type="dxa"/>
          </w:tcPr>
          <w:p w14:paraId="62FEF0CD"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6968C588"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736EE32C"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000DF6FD"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1BBF7C2F" w14:textId="77777777" w:rsidTr="008E374C">
        <w:trPr>
          <w:trHeight w:val="211"/>
        </w:trPr>
        <w:tc>
          <w:tcPr>
            <w:tcW w:w="1384" w:type="dxa"/>
            <w:vMerge/>
          </w:tcPr>
          <w:p w14:paraId="640D4EE0" w14:textId="77777777" w:rsidR="00920F41" w:rsidRPr="00380602" w:rsidRDefault="00920F41" w:rsidP="00380602">
            <w:pPr>
              <w:pStyle w:val="Tabletext"/>
              <w:ind w:left="0" w:right="0"/>
              <w:rPr>
                <w:b/>
                <w:sz w:val="20"/>
                <w:szCs w:val="20"/>
              </w:rPr>
            </w:pPr>
          </w:p>
        </w:tc>
        <w:tc>
          <w:tcPr>
            <w:tcW w:w="3119" w:type="dxa"/>
          </w:tcPr>
          <w:p w14:paraId="6D97E3AE" w14:textId="77777777" w:rsidR="00920F41" w:rsidRPr="00380602" w:rsidRDefault="00920F41" w:rsidP="00380602">
            <w:pPr>
              <w:pStyle w:val="Tabletext"/>
              <w:ind w:left="0" w:right="0"/>
              <w:rPr>
                <w:sz w:val="20"/>
                <w:szCs w:val="20"/>
              </w:rPr>
            </w:pPr>
            <w:r w:rsidRPr="00380602">
              <w:rPr>
                <w:sz w:val="20"/>
                <w:szCs w:val="20"/>
              </w:rPr>
              <w:t>Neutropenia</w:t>
            </w:r>
          </w:p>
        </w:tc>
        <w:tc>
          <w:tcPr>
            <w:tcW w:w="992" w:type="dxa"/>
          </w:tcPr>
          <w:p w14:paraId="77067129"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4D3021E9"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4A91D6C3"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57E8DEFD"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7356453D" w14:textId="77777777" w:rsidTr="008E374C">
        <w:trPr>
          <w:trHeight w:val="171"/>
        </w:trPr>
        <w:tc>
          <w:tcPr>
            <w:tcW w:w="1384" w:type="dxa"/>
            <w:vMerge/>
          </w:tcPr>
          <w:p w14:paraId="1C0BDC9C" w14:textId="77777777" w:rsidR="00920F41" w:rsidRPr="00380602" w:rsidRDefault="00920F41" w:rsidP="00380602">
            <w:pPr>
              <w:pStyle w:val="Tabletext"/>
              <w:ind w:left="0" w:right="0"/>
              <w:rPr>
                <w:b/>
                <w:sz w:val="20"/>
                <w:szCs w:val="20"/>
              </w:rPr>
            </w:pPr>
          </w:p>
        </w:tc>
        <w:tc>
          <w:tcPr>
            <w:tcW w:w="3119" w:type="dxa"/>
          </w:tcPr>
          <w:p w14:paraId="0E1B15BB" w14:textId="77777777" w:rsidR="00920F41" w:rsidRPr="00380602" w:rsidRDefault="00920F41" w:rsidP="00380602">
            <w:pPr>
              <w:pStyle w:val="Tabletext"/>
              <w:ind w:left="0" w:right="0"/>
              <w:rPr>
                <w:sz w:val="20"/>
                <w:szCs w:val="20"/>
              </w:rPr>
            </w:pPr>
            <w:r w:rsidRPr="00380602">
              <w:rPr>
                <w:sz w:val="20"/>
                <w:szCs w:val="20"/>
              </w:rPr>
              <w:t>Venous thromboembolic events</w:t>
            </w:r>
          </w:p>
        </w:tc>
        <w:tc>
          <w:tcPr>
            <w:tcW w:w="992" w:type="dxa"/>
          </w:tcPr>
          <w:p w14:paraId="401D5E3B"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41B4D939"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51FE26BD"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1E2101FF"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175A155C" w14:textId="77777777" w:rsidTr="008E374C">
        <w:trPr>
          <w:trHeight w:val="110"/>
        </w:trPr>
        <w:tc>
          <w:tcPr>
            <w:tcW w:w="1384" w:type="dxa"/>
            <w:vMerge/>
          </w:tcPr>
          <w:p w14:paraId="4FAB1871" w14:textId="77777777" w:rsidR="00920F41" w:rsidRPr="00380602" w:rsidRDefault="00920F41" w:rsidP="00380602">
            <w:pPr>
              <w:pStyle w:val="Tabletext"/>
              <w:ind w:left="0" w:right="0"/>
              <w:rPr>
                <w:b/>
                <w:sz w:val="20"/>
                <w:szCs w:val="20"/>
              </w:rPr>
            </w:pPr>
          </w:p>
        </w:tc>
        <w:tc>
          <w:tcPr>
            <w:tcW w:w="3119" w:type="dxa"/>
          </w:tcPr>
          <w:p w14:paraId="71D57473" w14:textId="77777777" w:rsidR="00920F41" w:rsidRPr="00380602" w:rsidRDefault="00920F41" w:rsidP="00380602">
            <w:pPr>
              <w:pStyle w:val="Tabletext"/>
              <w:ind w:left="0" w:right="0"/>
              <w:rPr>
                <w:sz w:val="20"/>
                <w:szCs w:val="20"/>
              </w:rPr>
            </w:pPr>
            <w:r w:rsidRPr="00380602">
              <w:rPr>
                <w:sz w:val="20"/>
                <w:szCs w:val="20"/>
              </w:rPr>
              <w:t>Fistula (other than gastrointestinal)</w:t>
            </w:r>
          </w:p>
        </w:tc>
        <w:tc>
          <w:tcPr>
            <w:tcW w:w="992" w:type="dxa"/>
          </w:tcPr>
          <w:p w14:paraId="24E151F8"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73126A09"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247ADE65"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18B29DBD"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119448E6" w14:textId="77777777" w:rsidTr="008E374C">
        <w:trPr>
          <w:trHeight w:val="100"/>
        </w:trPr>
        <w:tc>
          <w:tcPr>
            <w:tcW w:w="1384" w:type="dxa"/>
            <w:vMerge/>
          </w:tcPr>
          <w:p w14:paraId="75F218A6" w14:textId="77777777" w:rsidR="00920F41" w:rsidRPr="00380602" w:rsidRDefault="00920F41" w:rsidP="00380602">
            <w:pPr>
              <w:pStyle w:val="Tabletext"/>
              <w:ind w:left="0" w:right="0"/>
              <w:rPr>
                <w:b/>
                <w:sz w:val="20"/>
                <w:szCs w:val="20"/>
              </w:rPr>
            </w:pPr>
          </w:p>
        </w:tc>
        <w:tc>
          <w:tcPr>
            <w:tcW w:w="3119" w:type="dxa"/>
          </w:tcPr>
          <w:p w14:paraId="63A89B47" w14:textId="77777777" w:rsidR="00920F41" w:rsidRPr="00380602" w:rsidRDefault="00920F41" w:rsidP="00380602">
            <w:pPr>
              <w:pStyle w:val="Tabletext"/>
              <w:ind w:left="0" w:right="0"/>
              <w:rPr>
                <w:sz w:val="20"/>
                <w:szCs w:val="20"/>
              </w:rPr>
            </w:pPr>
            <w:r w:rsidRPr="00380602">
              <w:rPr>
                <w:sz w:val="20"/>
                <w:szCs w:val="20"/>
              </w:rPr>
              <w:t xml:space="preserve">Thrombotic </w:t>
            </w:r>
            <w:proofErr w:type="spellStart"/>
            <w:r w:rsidRPr="00380602">
              <w:rPr>
                <w:sz w:val="20"/>
                <w:szCs w:val="20"/>
              </w:rPr>
              <w:t>microangiopathy</w:t>
            </w:r>
            <w:proofErr w:type="spellEnd"/>
          </w:p>
        </w:tc>
        <w:tc>
          <w:tcPr>
            <w:tcW w:w="992" w:type="dxa"/>
          </w:tcPr>
          <w:p w14:paraId="5659E01D"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50F792E6"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44CB5DA4"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48D43F7C"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296F397C" w14:textId="77777777" w:rsidTr="008E374C">
        <w:trPr>
          <w:trHeight w:val="130"/>
        </w:trPr>
        <w:tc>
          <w:tcPr>
            <w:tcW w:w="1384" w:type="dxa"/>
            <w:vMerge/>
          </w:tcPr>
          <w:p w14:paraId="00BD52A9" w14:textId="77777777" w:rsidR="00920F41" w:rsidRPr="00380602" w:rsidRDefault="00920F41" w:rsidP="00380602">
            <w:pPr>
              <w:pStyle w:val="Tabletext"/>
              <w:ind w:left="0" w:right="0"/>
              <w:rPr>
                <w:b/>
                <w:sz w:val="20"/>
                <w:szCs w:val="20"/>
              </w:rPr>
            </w:pPr>
          </w:p>
        </w:tc>
        <w:tc>
          <w:tcPr>
            <w:tcW w:w="3119" w:type="dxa"/>
          </w:tcPr>
          <w:p w14:paraId="7A18CC39" w14:textId="77777777" w:rsidR="00920F41" w:rsidRPr="00380602" w:rsidRDefault="00920F41" w:rsidP="00380602">
            <w:pPr>
              <w:pStyle w:val="Tabletext"/>
              <w:ind w:left="0" w:right="0"/>
              <w:rPr>
                <w:sz w:val="20"/>
                <w:szCs w:val="20"/>
              </w:rPr>
            </w:pPr>
            <w:r w:rsidRPr="00380602">
              <w:rPr>
                <w:sz w:val="20"/>
                <w:szCs w:val="20"/>
              </w:rPr>
              <w:t>Pulmonary hypertension</w:t>
            </w:r>
          </w:p>
        </w:tc>
        <w:tc>
          <w:tcPr>
            <w:tcW w:w="992" w:type="dxa"/>
          </w:tcPr>
          <w:p w14:paraId="245F94B4"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01D89549"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6CE3C777"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7968180A"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31B8686D" w14:textId="77777777" w:rsidTr="008E374C">
        <w:trPr>
          <w:trHeight w:val="151"/>
        </w:trPr>
        <w:tc>
          <w:tcPr>
            <w:tcW w:w="1384" w:type="dxa"/>
            <w:vMerge/>
          </w:tcPr>
          <w:p w14:paraId="2AFD1BA5" w14:textId="77777777" w:rsidR="00920F41" w:rsidRPr="00380602" w:rsidRDefault="00920F41" w:rsidP="00380602">
            <w:pPr>
              <w:pStyle w:val="Tabletext"/>
              <w:ind w:left="0" w:right="0"/>
              <w:rPr>
                <w:b/>
                <w:sz w:val="20"/>
                <w:szCs w:val="20"/>
              </w:rPr>
            </w:pPr>
          </w:p>
        </w:tc>
        <w:tc>
          <w:tcPr>
            <w:tcW w:w="3119" w:type="dxa"/>
          </w:tcPr>
          <w:p w14:paraId="4B1A5B5D" w14:textId="77777777" w:rsidR="00920F41" w:rsidRPr="00380602" w:rsidRDefault="00920F41" w:rsidP="00380602">
            <w:pPr>
              <w:pStyle w:val="Tabletext"/>
              <w:ind w:left="0" w:right="0"/>
              <w:rPr>
                <w:sz w:val="20"/>
                <w:szCs w:val="20"/>
              </w:rPr>
            </w:pPr>
            <w:r w:rsidRPr="00380602">
              <w:rPr>
                <w:sz w:val="20"/>
                <w:szCs w:val="20"/>
              </w:rPr>
              <w:t>Ovarian failure</w:t>
            </w:r>
          </w:p>
        </w:tc>
        <w:tc>
          <w:tcPr>
            <w:tcW w:w="992" w:type="dxa"/>
          </w:tcPr>
          <w:p w14:paraId="4D2FD122"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3E76D0BB"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6F32656E"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7B6A2272"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4AB6FEE7" w14:textId="77777777" w:rsidTr="008E374C">
        <w:trPr>
          <w:trHeight w:val="211"/>
        </w:trPr>
        <w:tc>
          <w:tcPr>
            <w:tcW w:w="1384" w:type="dxa"/>
            <w:vMerge/>
          </w:tcPr>
          <w:p w14:paraId="0A8ADE90" w14:textId="77777777" w:rsidR="00920F41" w:rsidRPr="00380602" w:rsidRDefault="00920F41" w:rsidP="00380602">
            <w:pPr>
              <w:pStyle w:val="Tabletext"/>
              <w:ind w:left="0" w:right="0"/>
              <w:rPr>
                <w:b/>
                <w:sz w:val="20"/>
                <w:szCs w:val="20"/>
              </w:rPr>
            </w:pPr>
          </w:p>
        </w:tc>
        <w:tc>
          <w:tcPr>
            <w:tcW w:w="3119" w:type="dxa"/>
          </w:tcPr>
          <w:p w14:paraId="0C89004D" w14:textId="77777777" w:rsidR="00920F41" w:rsidRPr="00380602" w:rsidRDefault="00920F41" w:rsidP="00380602">
            <w:pPr>
              <w:pStyle w:val="Tabletext"/>
              <w:ind w:left="0" w:right="0"/>
              <w:rPr>
                <w:sz w:val="20"/>
                <w:szCs w:val="20"/>
              </w:rPr>
            </w:pPr>
            <w:r w:rsidRPr="00380602">
              <w:rPr>
                <w:sz w:val="20"/>
                <w:szCs w:val="20"/>
              </w:rPr>
              <w:t>Hypersensitivity reactions/infusion reactions</w:t>
            </w:r>
          </w:p>
        </w:tc>
        <w:tc>
          <w:tcPr>
            <w:tcW w:w="992" w:type="dxa"/>
          </w:tcPr>
          <w:p w14:paraId="7EDD301C"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068B8D79"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32BF12A1"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673A82C0"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555A6D63" w14:textId="77777777" w:rsidTr="008E374C">
        <w:trPr>
          <w:trHeight w:val="140"/>
        </w:trPr>
        <w:tc>
          <w:tcPr>
            <w:tcW w:w="1384" w:type="dxa"/>
            <w:vMerge/>
          </w:tcPr>
          <w:p w14:paraId="695DC71F" w14:textId="77777777" w:rsidR="00920F41" w:rsidRPr="00380602" w:rsidRDefault="00920F41" w:rsidP="00380602">
            <w:pPr>
              <w:pStyle w:val="Tabletext"/>
              <w:ind w:left="0" w:right="0"/>
              <w:rPr>
                <w:b/>
                <w:sz w:val="20"/>
                <w:szCs w:val="20"/>
              </w:rPr>
            </w:pPr>
          </w:p>
        </w:tc>
        <w:tc>
          <w:tcPr>
            <w:tcW w:w="3119" w:type="dxa"/>
          </w:tcPr>
          <w:p w14:paraId="4DACDCFB" w14:textId="77777777" w:rsidR="00920F41" w:rsidRPr="00380602" w:rsidRDefault="00920F41" w:rsidP="00380602">
            <w:pPr>
              <w:pStyle w:val="Tabletext"/>
              <w:ind w:left="0" w:right="0"/>
              <w:rPr>
                <w:sz w:val="20"/>
                <w:szCs w:val="20"/>
              </w:rPr>
            </w:pPr>
            <w:r w:rsidRPr="00380602">
              <w:rPr>
                <w:sz w:val="20"/>
                <w:szCs w:val="20"/>
              </w:rPr>
              <w:t>Gall bladder perforation</w:t>
            </w:r>
          </w:p>
        </w:tc>
        <w:tc>
          <w:tcPr>
            <w:tcW w:w="992" w:type="dxa"/>
          </w:tcPr>
          <w:p w14:paraId="7BA67886"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3C6AA9BC"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62FE7147"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564CA4C8"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501DEBC0" w14:textId="77777777" w:rsidTr="008E374C">
        <w:trPr>
          <w:trHeight w:val="130"/>
        </w:trPr>
        <w:tc>
          <w:tcPr>
            <w:tcW w:w="1384" w:type="dxa"/>
            <w:vMerge/>
          </w:tcPr>
          <w:p w14:paraId="09235BEA" w14:textId="77777777" w:rsidR="00920F41" w:rsidRPr="00380602" w:rsidRDefault="00920F41" w:rsidP="00380602">
            <w:pPr>
              <w:pStyle w:val="Tabletext"/>
              <w:ind w:left="0" w:right="0"/>
              <w:rPr>
                <w:b/>
                <w:sz w:val="20"/>
                <w:szCs w:val="20"/>
              </w:rPr>
            </w:pPr>
          </w:p>
        </w:tc>
        <w:tc>
          <w:tcPr>
            <w:tcW w:w="3119" w:type="dxa"/>
          </w:tcPr>
          <w:p w14:paraId="2C89D788" w14:textId="77777777" w:rsidR="00920F41" w:rsidRPr="00380602" w:rsidRDefault="00920F41" w:rsidP="00380602">
            <w:pPr>
              <w:pStyle w:val="Tabletext"/>
              <w:ind w:left="0" w:right="0"/>
              <w:rPr>
                <w:sz w:val="20"/>
                <w:szCs w:val="20"/>
              </w:rPr>
            </w:pPr>
            <w:r w:rsidRPr="00380602">
              <w:rPr>
                <w:sz w:val="20"/>
                <w:szCs w:val="20"/>
              </w:rPr>
              <w:t>Peripheral sensory neuropathy</w:t>
            </w:r>
          </w:p>
        </w:tc>
        <w:tc>
          <w:tcPr>
            <w:tcW w:w="992" w:type="dxa"/>
          </w:tcPr>
          <w:p w14:paraId="3F1E46BC"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078C7B55"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336427F9"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245E48DC"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48343B1B" w14:textId="77777777" w:rsidTr="008E374C">
        <w:trPr>
          <w:cantSplit/>
          <w:trHeight w:val="90"/>
        </w:trPr>
        <w:tc>
          <w:tcPr>
            <w:tcW w:w="1384" w:type="dxa"/>
            <w:vMerge/>
          </w:tcPr>
          <w:p w14:paraId="26E9F7B3" w14:textId="77777777" w:rsidR="00920F41" w:rsidRPr="00380602" w:rsidRDefault="00920F41" w:rsidP="00380602">
            <w:pPr>
              <w:pStyle w:val="Tabletext"/>
              <w:ind w:left="0" w:right="0"/>
              <w:rPr>
                <w:b/>
                <w:sz w:val="20"/>
                <w:szCs w:val="20"/>
              </w:rPr>
            </w:pPr>
          </w:p>
        </w:tc>
        <w:tc>
          <w:tcPr>
            <w:tcW w:w="3119" w:type="dxa"/>
          </w:tcPr>
          <w:p w14:paraId="68DDDE7D" w14:textId="70131F94" w:rsidR="00920F41" w:rsidRPr="00380602" w:rsidRDefault="00920F41" w:rsidP="00380602">
            <w:pPr>
              <w:pStyle w:val="Tabletext"/>
              <w:ind w:left="0" w:right="0"/>
              <w:rPr>
                <w:sz w:val="20"/>
                <w:szCs w:val="20"/>
              </w:rPr>
            </w:pPr>
            <w:r w:rsidRPr="00380602">
              <w:rPr>
                <w:sz w:val="20"/>
                <w:szCs w:val="20"/>
              </w:rPr>
              <w:t>Cardiac disord</w:t>
            </w:r>
            <w:r w:rsidR="00380602">
              <w:rPr>
                <w:sz w:val="20"/>
                <w:szCs w:val="20"/>
              </w:rPr>
              <w:t xml:space="preserve">ers (excluding congestive heart </w:t>
            </w:r>
            <w:r w:rsidRPr="00380602">
              <w:rPr>
                <w:sz w:val="20"/>
                <w:szCs w:val="20"/>
              </w:rPr>
              <w:t>failure and arterial thromboembolic events)</w:t>
            </w:r>
          </w:p>
        </w:tc>
        <w:tc>
          <w:tcPr>
            <w:tcW w:w="992" w:type="dxa"/>
          </w:tcPr>
          <w:p w14:paraId="22AD59F9"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6F6162E5"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061BE94D"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77D1D70E"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061745CB" w14:textId="77777777" w:rsidTr="008E374C">
        <w:trPr>
          <w:trHeight w:val="151"/>
        </w:trPr>
        <w:tc>
          <w:tcPr>
            <w:tcW w:w="1384" w:type="dxa"/>
            <w:vMerge/>
          </w:tcPr>
          <w:p w14:paraId="16CC60F0" w14:textId="77777777" w:rsidR="00920F41" w:rsidRPr="00380602" w:rsidRDefault="00920F41" w:rsidP="00380602">
            <w:pPr>
              <w:pStyle w:val="Tabletext"/>
              <w:ind w:left="0" w:right="0"/>
              <w:rPr>
                <w:b/>
                <w:sz w:val="20"/>
                <w:szCs w:val="20"/>
              </w:rPr>
            </w:pPr>
          </w:p>
        </w:tc>
        <w:tc>
          <w:tcPr>
            <w:tcW w:w="3119" w:type="dxa"/>
          </w:tcPr>
          <w:p w14:paraId="39AFA0C5" w14:textId="77777777" w:rsidR="00920F41" w:rsidRPr="00380602" w:rsidRDefault="00920F41" w:rsidP="00380602">
            <w:pPr>
              <w:pStyle w:val="Tabletext"/>
              <w:ind w:left="0" w:right="0"/>
              <w:rPr>
                <w:sz w:val="20"/>
                <w:szCs w:val="20"/>
              </w:rPr>
            </w:pPr>
            <w:r w:rsidRPr="00380602">
              <w:rPr>
                <w:sz w:val="20"/>
                <w:szCs w:val="20"/>
              </w:rPr>
              <w:t>Osteonecrosis of the jaw</w:t>
            </w:r>
          </w:p>
        </w:tc>
        <w:tc>
          <w:tcPr>
            <w:tcW w:w="992" w:type="dxa"/>
          </w:tcPr>
          <w:p w14:paraId="21B76748" w14:textId="77777777" w:rsidR="00920F41" w:rsidRPr="00380602" w:rsidRDefault="00920F41" w:rsidP="00380602">
            <w:pPr>
              <w:pStyle w:val="Tabletext"/>
              <w:ind w:left="0" w:right="0"/>
              <w:jc w:val="center"/>
              <w:rPr>
                <w:sz w:val="20"/>
                <w:szCs w:val="20"/>
              </w:rPr>
            </w:pPr>
            <w:r w:rsidRPr="00380602">
              <w:rPr>
                <w:sz w:val="20"/>
                <w:szCs w:val="20"/>
              </w:rPr>
              <w:sym w:font="Wingdings" w:char="F0FC"/>
            </w:r>
            <w:r w:rsidRPr="00380602">
              <w:rPr>
                <w:sz w:val="20"/>
                <w:szCs w:val="20"/>
                <w:vertAlign w:val="superscript"/>
              </w:rPr>
              <w:t>1</w:t>
            </w:r>
          </w:p>
        </w:tc>
        <w:tc>
          <w:tcPr>
            <w:tcW w:w="1276" w:type="dxa"/>
          </w:tcPr>
          <w:p w14:paraId="1401F419"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29FE2CBD"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17071758"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3D1DAD39" w14:textId="77777777" w:rsidTr="008E374C">
        <w:trPr>
          <w:trHeight w:val="140"/>
        </w:trPr>
        <w:tc>
          <w:tcPr>
            <w:tcW w:w="1384" w:type="dxa"/>
            <w:vMerge/>
          </w:tcPr>
          <w:p w14:paraId="45DD2069" w14:textId="77777777" w:rsidR="00920F41" w:rsidRPr="00380602" w:rsidRDefault="00920F41" w:rsidP="00380602">
            <w:pPr>
              <w:pStyle w:val="Tabletext"/>
              <w:ind w:left="0" w:right="0"/>
              <w:rPr>
                <w:b/>
                <w:sz w:val="20"/>
                <w:szCs w:val="20"/>
              </w:rPr>
            </w:pPr>
          </w:p>
        </w:tc>
        <w:tc>
          <w:tcPr>
            <w:tcW w:w="3119" w:type="dxa"/>
          </w:tcPr>
          <w:p w14:paraId="4F3147AB" w14:textId="77777777" w:rsidR="00920F41" w:rsidRPr="00380602" w:rsidRDefault="00920F41" w:rsidP="00380602">
            <w:pPr>
              <w:pStyle w:val="Tabletext"/>
              <w:ind w:left="0" w:right="0"/>
              <w:rPr>
                <w:sz w:val="20"/>
                <w:szCs w:val="20"/>
              </w:rPr>
            </w:pPr>
            <w:r w:rsidRPr="00380602">
              <w:rPr>
                <w:sz w:val="20"/>
                <w:szCs w:val="20"/>
              </w:rPr>
              <w:t>Necrotizing fasciitis</w:t>
            </w:r>
          </w:p>
        </w:tc>
        <w:tc>
          <w:tcPr>
            <w:tcW w:w="992" w:type="dxa"/>
          </w:tcPr>
          <w:p w14:paraId="309737B3"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344099EE"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2D5E1960"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0E005085"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698E0787" w14:textId="77777777" w:rsidTr="008E374C">
        <w:trPr>
          <w:trHeight w:val="140"/>
        </w:trPr>
        <w:tc>
          <w:tcPr>
            <w:tcW w:w="1384" w:type="dxa"/>
            <w:vMerge/>
          </w:tcPr>
          <w:p w14:paraId="368B324F" w14:textId="77777777" w:rsidR="00920F41" w:rsidRPr="00380602" w:rsidRDefault="00920F41" w:rsidP="00380602">
            <w:pPr>
              <w:pStyle w:val="Tabletext"/>
              <w:ind w:left="0" w:right="0"/>
              <w:rPr>
                <w:b/>
                <w:sz w:val="20"/>
                <w:szCs w:val="20"/>
              </w:rPr>
            </w:pPr>
          </w:p>
        </w:tc>
        <w:tc>
          <w:tcPr>
            <w:tcW w:w="3119" w:type="dxa"/>
          </w:tcPr>
          <w:p w14:paraId="1515C8EF" w14:textId="77777777" w:rsidR="00920F41" w:rsidRPr="00380602" w:rsidRDefault="00920F41" w:rsidP="00380602">
            <w:pPr>
              <w:pStyle w:val="Tabletext"/>
              <w:ind w:left="0" w:right="0"/>
              <w:rPr>
                <w:sz w:val="20"/>
                <w:szCs w:val="20"/>
              </w:rPr>
            </w:pPr>
            <w:r w:rsidRPr="00380602">
              <w:rPr>
                <w:sz w:val="20"/>
                <w:szCs w:val="20"/>
              </w:rPr>
              <w:t xml:space="preserve">Adverse events following off-label </w:t>
            </w:r>
            <w:proofErr w:type="spellStart"/>
            <w:r w:rsidRPr="00380602">
              <w:rPr>
                <w:sz w:val="20"/>
                <w:szCs w:val="20"/>
              </w:rPr>
              <w:t>intravitreal</w:t>
            </w:r>
            <w:proofErr w:type="spellEnd"/>
            <w:r w:rsidRPr="00380602">
              <w:rPr>
                <w:sz w:val="20"/>
                <w:szCs w:val="20"/>
              </w:rPr>
              <w:t xml:space="preserve"> use</w:t>
            </w:r>
          </w:p>
        </w:tc>
        <w:tc>
          <w:tcPr>
            <w:tcW w:w="992" w:type="dxa"/>
          </w:tcPr>
          <w:p w14:paraId="7FCA3031"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0AA7D0EC"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6306B0CB"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12B94B64"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767B3EED" w14:textId="77777777" w:rsidTr="008E374C">
        <w:trPr>
          <w:trHeight w:val="191"/>
        </w:trPr>
        <w:tc>
          <w:tcPr>
            <w:tcW w:w="1384" w:type="dxa"/>
            <w:vMerge/>
          </w:tcPr>
          <w:p w14:paraId="08C3BBD5" w14:textId="77777777" w:rsidR="00920F41" w:rsidRPr="00380602" w:rsidRDefault="00920F41" w:rsidP="00380602">
            <w:pPr>
              <w:pStyle w:val="Tabletext"/>
              <w:ind w:left="0" w:right="0"/>
              <w:rPr>
                <w:b/>
                <w:sz w:val="20"/>
                <w:szCs w:val="20"/>
              </w:rPr>
            </w:pPr>
          </w:p>
        </w:tc>
        <w:tc>
          <w:tcPr>
            <w:tcW w:w="3119" w:type="dxa"/>
          </w:tcPr>
          <w:p w14:paraId="5809A289" w14:textId="77777777" w:rsidR="00920F41" w:rsidRPr="00380602" w:rsidRDefault="00920F41" w:rsidP="00380602">
            <w:pPr>
              <w:pStyle w:val="Tabletext"/>
              <w:ind w:left="0" w:right="0"/>
              <w:rPr>
                <w:sz w:val="20"/>
                <w:szCs w:val="20"/>
              </w:rPr>
            </w:pPr>
            <w:r w:rsidRPr="00380602">
              <w:rPr>
                <w:sz w:val="20"/>
                <w:szCs w:val="20"/>
              </w:rPr>
              <w:t>Embryo-</w:t>
            </w:r>
            <w:proofErr w:type="spellStart"/>
            <w:r w:rsidRPr="00380602">
              <w:rPr>
                <w:sz w:val="20"/>
                <w:szCs w:val="20"/>
              </w:rPr>
              <w:t>fetal</w:t>
            </w:r>
            <w:proofErr w:type="spellEnd"/>
            <w:r w:rsidRPr="00380602">
              <w:rPr>
                <w:sz w:val="20"/>
                <w:szCs w:val="20"/>
              </w:rPr>
              <w:t xml:space="preserve"> development disturbance</w:t>
            </w:r>
          </w:p>
        </w:tc>
        <w:tc>
          <w:tcPr>
            <w:tcW w:w="992" w:type="dxa"/>
          </w:tcPr>
          <w:p w14:paraId="04AD388A"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045EC6A6"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42F790D7"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2E7C6D56"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2FCCD342" w14:textId="77777777" w:rsidTr="008E374C">
        <w:trPr>
          <w:trHeight w:val="188"/>
        </w:trPr>
        <w:tc>
          <w:tcPr>
            <w:tcW w:w="1384" w:type="dxa"/>
            <w:vMerge/>
          </w:tcPr>
          <w:p w14:paraId="7129FD43" w14:textId="77777777" w:rsidR="00920F41" w:rsidRPr="00380602" w:rsidRDefault="00920F41" w:rsidP="00380602">
            <w:pPr>
              <w:pStyle w:val="Tabletext"/>
              <w:ind w:left="0" w:right="0"/>
              <w:rPr>
                <w:b/>
                <w:sz w:val="20"/>
                <w:szCs w:val="20"/>
              </w:rPr>
            </w:pPr>
          </w:p>
        </w:tc>
        <w:tc>
          <w:tcPr>
            <w:tcW w:w="3119" w:type="dxa"/>
          </w:tcPr>
          <w:p w14:paraId="72E5D438" w14:textId="77777777" w:rsidR="00920F41" w:rsidRPr="00380602" w:rsidRDefault="00920F41" w:rsidP="00380602">
            <w:pPr>
              <w:pStyle w:val="Tabletext"/>
              <w:ind w:left="0" w:right="0"/>
              <w:rPr>
                <w:sz w:val="20"/>
                <w:szCs w:val="20"/>
              </w:rPr>
            </w:pPr>
            <w:r w:rsidRPr="00380602">
              <w:rPr>
                <w:sz w:val="20"/>
                <w:szCs w:val="20"/>
              </w:rPr>
              <w:t>Osteonecrosis in children</w:t>
            </w:r>
          </w:p>
        </w:tc>
        <w:tc>
          <w:tcPr>
            <w:tcW w:w="992" w:type="dxa"/>
          </w:tcPr>
          <w:p w14:paraId="760B634C"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2DED5DA9"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062EEA66"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50E301E7"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7F7266BF" w14:textId="77777777" w:rsidTr="008E374C">
        <w:trPr>
          <w:trHeight w:val="160"/>
        </w:trPr>
        <w:tc>
          <w:tcPr>
            <w:tcW w:w="1384" w:type="dxa"/>
          </w:tcPr>
          <w:p w14:paraId="5FD16ABC" w14:textId="77777777" w:rsidR="00920F41" w:rsidRPr="00380602" w:rsidRDefault="00920F41" w:rsidP="00380602">
            <w:pPr>
              <w:pStyle w:val="Tabletext"/>
              <w:ind w:left="0" w:right="0"/>
              <w:rPr>
                <w:b/>
                <w:sz w:val="20"/>
                <w:szCs w:val="20"/>
              </w:rPr>
            </w:pPr>
            <w:r w:rsidRPr="00380602">
              <w:rPr>
                <w:b/>
                <w:sz w:val="20"/>
                <w:szCs w:val="20"/>
              </w:rPr>
              <w:t>Important potential risks</w:t>
            </w:r>
          </w:p>
        </w:tc>
        <w:tc>
          <w:tcPr>
            <w:tcW w:w="3119" w:type="dxa"/>
          </w:tcPr>
          <w:p w14:paraId="7FF88D61" w14:textId="77777777" w:rsidR="00920F41" w:rsidRPr="00380602" w:rsidRDefault="00920F41" w:rsidP="00380602">
            <w:pPr>
              <w:pStyle w:val="Tabletext"/>
              <w:ind w:left="0" w:right="0"/>
              <w:rPr>
                <w:sz w:val="20"/>
                <w:szCs w:val="20"/>
              </w:rPr>
            </w:pPr>
            <w:r w:rsidRPr="00380602">
              <w:rPr>
                <w:sz w:val="20"/>
                <w:szCs w:val="20"/>
              </w:rPr>
              <w:t>None</w:t>
            </w:r>
          </w:p>
        </w:tc>
        <w:tc>
          <w:tcPr>
            <w:tcW w:w="992" w:type="dxa"/>
          </w:tcPr>
          <w:p w14:paraId="7D54AF55" w14:textId="77777777" w:rsidR="00920F41" w:rsidRPr="00380602" w:rsidRDefault="00920F41" w:rsidP="00380602">
            <w:pPr>
              <w:pStyle w:val="Tabletext"/>
              <w:ind w:left="0" w:right="0"/>
              <w:jc w:val="center"/>
              <w:rPr>
                <w:sz w:val="20"/>
                <w:szCs w:val="20"/>
              </w:rPr>
            </w:pPr>
            <w:r w:rsidRPr="00380602">
              <w:rPr>
                <w:sz w:val="20"/>
                <w:szCs w:val="20"/>
              </w:rPr>
              <w:t>–</w:t>
            </w:r>
          </w:p>
        </w:tc>
        <w:tc>
          <w:tcPr>
            <w:tcW w:w="1276" w:type="dxa"/>
          </w:tcPr>
          <w:p w14:paraId="34D73BB4"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401A2A8D" w14:textId="77777777" w:rsidR="00920F41" w:rsidRPr="00380602" w:rsidRDefault="00920F41" w:rsidP="00380602">
            <w:pPr>
              <w:pStyle w:val="Tabletext"/>
              <w:ind w:left="0" w:right="0"/>
              <w:jc w:val="center"/>
              <w:rPr>
                <w:sz w:val="20"/>
                <w:szCs w:val="20"/>
              </w:rPr>
            </w:pPr>
            <w:r w:rsidRPr="00380602">
              <w:rPr>
                <w:sz w:val="20"/>
                <w:szCs w:val="20"/>
              </w:rPr>
              <w:t>–</w:t>
            </w:r>
          </w:p>
        </w:tc>
        <w:tc>
          <w:tcPr>
            <w:tcW w:w="1210" w:type="dxa"/>
          </w:tcPr>
          <w:p w14:paraId="46DF4BF9"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7F99766F" w14:textId="77777777" w:rsidTr="008E374C">
        <w:trPr>
          <w:trHeight w:val="179"/>
        </w:trPr>
        <w:tc>
          <w:tcPr>
            <w:tcW w:w="1384" w:type="dxa"/>
            <w:vMerge w:val="restart"/>
          </w:tcPr>
          <w:p w14:paraId="62DC9EAD" w14:textId="77777777" w:rsidR="00920F41" w:rsidRPr="00380602" w:rsidRDefault="00920F41" w:rsidP="00380602">
            <w:pPr>
              <w:pStyle w:val="Tabletext"/>
              <w:ind w:left="0" w:right="0"/>
              <w:rPr>
                <w:b/>
                <w:sz w:val="20"/>
                <w:szCs w:val="20"/>
              </w:rPr>
            </w:pPr>
            <w:r w:rsidRPr="00380602">
              <w:rPr>
                <w:b/>
                <w:sz w:val="20"/>
                <w:szCs w:val="20"/>
              </w:rPr>
              <w:t>Missing information</w:t>
            </w:r>
          </w:p>
        </w:tc>
        <w:tc>
          <w:tcPr>
            <w:tcW w:w="3119" w:type="dxa"/>
          </w:tcPr>
          <w:p w14:paraId="433D3F33" w14:textId="37993C02" w:rsidR="00920F41" w:rsidRPr="00380602" w:rsidRDefault="00920F41" w:rsidP="00380602">
            <w:pPr>
              <w:pStyle w:val="Tabletext"/>
              <w:ind w:left="0" w:right="0"/>
              <w:rPr>
                <w:sz w:val="20"/>
                <w:szCs w:val="20"/>
              </w:rPr>
            </w:pPr>
            <w:r w:rsidRPr="00380602">
              <w:rPr>
                <w:sz w:val="20"/>
                <w:szCs w:val="20"/>
              </w:rPr>
              <w:t>Safety pro</w:t>
            </w:r>
            <w:r w:rsidR="00380602">
              <w:rPr>
                <w:sz w:val="20"/>
                <w:szCs w:val="20"/>
              </w:rPr>
              <w:t xml:space="preserve">file of the different treatment </w:t>
            </w:r>
            <w:r w:rsidRPr="00380602">
              <w:rPr>
                <w:sz w:val="20"/>
                <w:szCs w:val="20"/>
              </w:rPr>
              <w:t>combination</w:t>
            </w:r>
            <w:r w:rsidR="00380602">
              <w:rPr>
                <w:sz w:val="20"/>
                <w:szCs w:val="20"/>
              </w:rPr>
              <w:t xml:space="preserve">s in patients with non-squamous </w:t>
            </w:r>
            <w:r w:rsidRPr="00380602">
              <w:rPr>
                <w:sz w:val="20"/>
                <w:szCs w:val="20"/>
              </w:rPr>
              <w:t>non-small cell lung cancer</w:t>
            </w:r>
          </w:p>
        </w:tc>
        <w:tc>
          <w:tcPr>
            <w:tcW w:w="992" w:type="dxa"/>
          </w:tcPr>
          <w:p w14:paraId="1FAE5D8C"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7F478B6A"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76BC4D40"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30EC983F"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52A10B29" w14:textId="77777777" w:rsidTr="008E374C">
        <w:trPr>
          <w:trHeight w:val="106"/>
        </w:trPr>
        <w:tc>
          <w:tcPr>
            <w:tcW w:w="1384" w:type="dxa"/>
            <w:vMerge/>
          </w:tcPr>
          <w:p w14:paraId="3D618074" w14:textId="77777777" w:rsidR="00920F41" w:rsidRPr="00380602" w:rsidRDefault="00920F41" w:rsidP="00380602">
            <w:pPr>
              <w:pStyle w:val="Tabletext"/>
              <w:ind w:left="0" w:right="0"/>
              <w:rPr>
                <w:sz w:val="20"/>
                <w:szCs w:val="20"/>
              </w:rPr>
            </w:pPr>
          </w:p>
        </w:tc>
        <w:tc>
          <w:tcPr>
            <w:tcW w:w="3119" w:type="dxa"/>
          </w:tcPr>
          <w:p w14:paraId="6089ACFE" w14:textId="77777777" w:rsidR="00920F41" w:rsidRPr="00380602" w:rsidRDefault="00920F41" w:rsidP="00380602">
            <w:pPr>
              <w:pStyle w:val="Tabletext"/>
              <w:ind w:left="0" w:right="0"/>
              <w:rPr>
                <w:sz w:val="20"/>
                <w:szCs w:val="20"/>
              </w:rPr>
            </w:pPr>
            <w:r w:rsidRPr="00380602">
              <w:rPr>
                <w:sz w:val="20"/>
                <w:szCs w:val="20"/>
              </w:rPr>
              <w:t xml:space="preserve">Long-term effects of bevacizumab when used in the </w:t>
            </w:r>
            <w:proofErr w:type="spellStart"/>
            <w:r w:rsidRPr="00380602">
              <w:rPr>
                <w:sz w:val="20"/>
                <w:szCs w:val="20"/>
              </w:rPr>
              <w:t>pediatric</w:t>
            </w:r>
            <w:proofErr w:type="spellEnd"/>
            <w:r w:rsidRPr="00380602">
              <w:rPr>
                <w:sz w:val="20"/>
                <w:szCs w:val="20"/>
              </w:rPr>
              <w:t xml:space="preserve"> population</w:t>
            </w:r>
          </w:p>
        </w:tc>
        <w:tc>
          <w:tcPr>
            <w:tcW w:w="992" w:type="dxa"/>
          </w:tcPr>
          <w:p w14:paraId="1CBE77B9"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5203B9D1"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73FC56F2"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32A081D1"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18776139" w14:textId="77777777" w:rsidTr="008E374C">
        <w:trPr>
          <w:trHeight w:val="171"/>
        </w:trPr>
        <w:tc>
          <w:tcPr>
            <w:tcW w:w="1384" w:type="dxa"/>
            <w:vMerge/>
          </w:tcPr>
          <w:p w14:paraId="073614BE" w14:textId="77777777" w:rsidR="00920F41" w:rsidRPr="00380602" w:rsidRDefault="00920F41" w:rsidP="00380602">
            <w:pPr>
              <w:pStyle w:val="Tabletext"/>
              <w:ind w:left="0" w:right="0"/>
              <w:rPr>
                <w:sz w:val="20"/>
                <w:szCs w:val="20"/>
              </w:rPr>
            </w:pPr>
          </w:p>
        </w:tc>
        <w:tc>
          <w:tcPr>
            <w:tcW w:w="3119" w:type="dxa"/>
          </w:tcPr>
          <w:p w14:paraId="15418DEB" w14:textId="7CEEB369" w:rsidR="00920F41" w:rsidRPr="00380602" w:rsidRDefault="00920F41" w:rsidP="00380602">
            <w:pPr>
              <w:pStyle w:val="Tabletext"/>
              <w:ind w:left="0" w:right="0"/>
              <w:rPr>
                <w:sz w:val="20"/>
                <w:szCs w:val="20"/>
              </w:rPr>
            </w:pPr>
            <w:r w:rsidRPr="00380602">
              <w:rPr>
                <w:sz w:val="20"/>
                <w:szCs w:val="20"/>
              </w:rPr>
              <w:t xml:space="preserve">Safety and </w:t>
            </w:r>
            <w:r w:rsidR="00380602">
              <w:rPr>
                <w:sz w:val="20"/>
                <w:szCs w:val="20"/>
              </w:rPr>
              <w:t xml:space="preserve">efficacy in patients with renal </w:t>
            </w:r>
            <w:r w:rsidRPr="00380602">
              <w:rPr>
                <w:sz w:val="20"/>
                <w:szCs w:val="20"/>
              </w:rPr>
              <w:t>impairment</w:t>
            </w:r>
          </w:p>
        </w:tc>
        <w:tc>
          <w:tcPr>
            <w:tcW w:w="992" w:type="dxa"/>
          </w:tcPr>
          <w:p w14:paraId="0EEE3E86"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64E15F76"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35182854"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7ACFFF05"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16C371FC" w14:textId="77777777" w:rsidTr="008E374C">
        <w:trPr>
          <w:trHeight w:val="136"/>
        </w:trPr>
        <w:tc>
          <w:tcPr>
            <w:tcW w:w="1384" w:type="dxa"/>
            <w:vMerge/>
          </w:tcPr>
          <w:p w14:paraId="36D98BAB" w14:textId="77777777" w:rsidR="00920F41" w:rsidRPr="00380602" w:rsidRDefault="00920F41" w:rsidP="00380602">
            <w:pPr>
              <w:pStyle w:val="Tabletext"/>
              <w:ind w:left="0" w:right="0"/>
              <w:rPr>
                <w:sz w:val="20"/>
                <w:szCs w:val="20"/>
              </w:rPr>
            </w:pPr>
          </w:p>
        </w:tc>
        <w:tc>
          <w:tcPr>
            <w:tcW w:w="3119" w:type="dxa"/>
          </w:tcPr>
          <w:p w14:paraId="0E1BF7BA" w14:textId="26C17949" w:rsidR="00920F41" w:rsidRPr="00380602" w:rsidRDefault="00920F41" w:rsidP="00380602">
            <w:pPr>
              <w:pStyle w:val="Tabletext"/>
              <w:ind w:left="0" w:right="0"/>
              <w:rPr>
                <w:sz w:val="20"/>
                <w:szCs w:val="20"/>
              </w:rPr>
            </w:pPr>
            <w:r w:rsidRPr="00380602">
              <w:rPr>
                <w:sz w:val="20"/>
                <w:szCs w:val="20"/>
              </w:rPr>
              <w:t>Safety and ef</w:t>
            </w:r>
            <w:r w:rsidR="00380602">
              <w:rPr>
                <w:sz w:val="20"/>
                <w:szCs w:val="20"/>
              </w:rPr>
              <w:t xml:space="preserve">ficacy in patients with hepatic </w:t>
            </w:r>
            <w:r w:rsidRPr="00380602">
              <w:rPr>
                <w:sz w:val="20"/>
                <w:szCs w:val="20"/>
              </w:rPr>
              <w:t>impairment</w:t>
            </w:r>
          </w:p>
        </w:tc>
        <w:tc>
          <w:tcPr>
            <w:tcW w:w="992" w:type="dxa"/>
          </w:tcPr>
          <w:p w14:paraId="61FB4820"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000ADE41"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3BFD02EF"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746661D1" w14:textId="77777777" w:rsidR="00920F41" w:rsidRPr="00380602" w:rsidRDefault="00920F41" w:rsidP="00380602">
            <w:pPr>
              <w:pStyle w:val="Tabletext"/>
              <w:ind w:left="0" w:right="0"/>
              <w:jc w:val="center"/>
              <w:rPr>
                <w:sz w:val="20"/>
                <w:szCs w:val="20"/>
              </w:rPr>
            </w:pPr>
            <w:r w:rsidRPr="00380602">
              <w:rPr>
                <w:sz w:val="20"/>
                <w:szCs w:val="20"/>
              </w:rPr>
              <w:t>–</w:t>
            </w:r>
          </w:p>
        </w:tc>
      </w:tr>
      <w:tr w:rsidR="00920F41" w:rsidRPr="004F1C07" w14:paraId="4390916E" w14:textId="77777777" w:rsidTr="008E374C">
        <w:trPr>
          <w:trHeight w:val="140"/>
        </w:trPr>
        <w:tc>
          <w:tcPr>
            <w:tcW w:w="1384" w:type="dxa"/>
            <w:vMerge/>
          </w:tcPr>
          <w:p w14:paraId="62F8891E" w14:textId="77777777" w:rsidR="00920F41" w:rsidRPr="00380602" w:rsidRDefault="00920F41" w:rsidP="00380602">
            <w:pPr>
              <w:pStyle w:val="Tabletext"/>
              <w:ind w:left="0" w:right="0"/>
              <w:rPr>
                <w:sz w:val="20"/>
                <w:szCs w:val="20"/>
              </w:rPr>
            </w:pPr>
          </w:p>
        </w:tc>
        <w:tc>
          <w:tcPr>
            <w:tcW w:w="3119" w:type="dxa"/>
          </w:tcPr>
          <w:p w14:paraId="73B1230E" w14:textId="77777777" w:rsidR="00920F41" w:rsidRPr="00380602" w:rsidRDefault="00920F41" w:rsidP="00380602">
            <w:pPr>
              <w:pStyle w:val="Tabletext"/>
              <w:ind w:left="0" w:right="0"/>
              <w:rPr>
                <w:sz w:val="20"/>
                <w:szCs w:val="20"/>
              </w:rPr>
            </w:pPr>
            <w:r w:rsidRPr="00380602">
              <w:rPr>
                <w:sz w:val="20"/>
                <w:szCs w:val="20"/>
              </w:rPr>
              <w:t>Use in lactating women</w:t>
            </w:r>
          </w:p>
        </w:tc>
        <w:tc>
          <w:tcPr>
            <w:tcW w:w="992" w:type="dxa"/>
          </w:tcPr>
          <w:p w14:paraId="6D9AC426"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76" w:type="dxa"/>
          </w:tcPr>
          <w:p w14:paraId="6563CD94" w14:textId="77777777" w:rsidR="00920F41" w:rsidRPr="00380602" w:rsidRDefault="00920F41" w:rsidP="00380602">
            <w:pPr>
              <w:pStyle w:val="Tabletext"/>
              <w:ind w:left="0" w:right="0"/>
              <w:jc w:val="center"/>
              <w:rPr>
                <w:sz w:val="20"/>
                <w:szCs w:val="20"/>
              </w:rPr>
            </w:pPr>
            <w:r w:rsidRPr="00380602">
              <w:rPr>
                <w:sz w:val="20"/>
                <w:szCs w:val="20"/>
              </w:rPr>
              <w:t>–</w:t>
            </w:r>
          </w:p>
        </w:tc>
        <w:tc>
          <w:tcPr>
            <w:tcW w:w="992" w:type="dxa"/>
          </w:tcPr>
          <w:p w14:paraId="40D296A2" w14:textId="77777777" w:rsidR="00920F41" w:rsidRPr="00380602" w:rsidRDefault="00920F41" w:rsidP="00380602">
            <w:pPr>
              <w:pStyle w:val="Tabletext"/>
              <w:ind w:left="0" w:right="0"/>
              <w:jc w:val="center"/>
              <w:rPr>
                <w:sz w:val="20"/>
                <w:szCs w:val="20"/>
              </w:rPr>
            </w:pPr>
            <w:r w:rsidRPr="00380602">
              <w:rPr>
                <w:sz w:val="20"/>
                <w:szCs w:val="20"/>
              </w:rPr>
              <w:sym w:font="Wingdings" w:char="F0FC"/>
            </w:r>
          </w:p>
        </w:tc>
        <w:tc>
          <w:tcPr>
            <w:tcW w:w="1210" w:type="dxa"/>
          </w:tcPr>
          <w:p w14:paraId="69E9A5F5" w14:textId="77777777" w:rsidR="00920F41" w:rsidRPr="00380602" w:rsidRDefault="00920F41" w:rsidP="00380602">
            <w:pPr>
              <w:pStyle w:val="Tabletext"/>
              <w:ind w:left="0" w:right="0"/>
              <w:jc w:val="center"/>
              <w:rPr>
                <w:sz w:val="20"/>
                <w:szCs w:val="20"/>
              </w:rPr>
            </w:pPr>
            <w:r w:rsidRPr="00380602">
              <w:rPr>
                <w:sz w:val="20"/>
                <w:szCs w:val="20"/>
              </w:rPr>
              <w:t>–</w:t>
            </w:r>
          </w:p>
        </w:tc>
      </w:tr>
    </w:tbl>
    <w:p w14:paraId="7C40F802" w14:textId="0CDA0B4A" w:rsidR="00380602" w:rsidRDefault="00380602" w:rsidP="00380602">
      <w:pPr>
        <w:pStyle w:val="TableDescription"/>
      </w:pPr>
      <w:r w:rsidRPr="00380602">
        <w:t>1 Targeted follow-up questionnaire to align with innovator</w:t>
      </w:r>
      <w:r>
        <w:t>.</w:t>
      </w:r>
    </w:p>
    <w:p w14:paraId="1C27F23E" w14:textId="6C8EAA77" w:rsidR="008E7846" w:rsidRDefault="00380602" w:rsidP="008E7846">
      <w:r w:rsidRPr="000A7522">
        <w:t xml:space="preserve">Routine pharmacovigilance activities have been agreed on to address all safety concerns. At this point in time, the summary of safety concerns in the </w:t>
      </w:r>
      <w:r w:rsidR="00D43527" w:rsidRPr="000A7522">
        <w:t xml:space="preserve">risk management plan </w:t>
      </w:r>
      <w:r w:rsidR="00630ACA">
        <w:t xml:space="preserve">(RMP) </w:t>
      </w:r>
      <w:r w:rsidRPr="000A7522">
        <w:t>is satisfactory.</w:t>
      </w:r>
    </w:p>
    <w:p w14:paraId="438500BA" w14:textId="77777777" w:rsidR="008E7846" w:rsidRDefault="00AA0ED0" w:rsidP="008E7846">
      <w:pPr>
        <w:pStyle w:val="Heading3"/>
      </w:pPr>
      <w:bookmarkStart w:id="53" w:name="_Toc247691531"/>
      <w:bookmarkStart w:id="54" w:name="_Toc314842515"/>
      <w:bookmarkStart w:id="55" w:name="_Toc33614751"/>
      <w:bookmarkStart w:id="56" w:name="_Toc196046505"/>
      <w:bookmarkStart w:id="57" w:name="_Toc196046949"/>
      <w:r>
        <w:t>Risk-benefit a</w:t>
      </w:r>
      <w:r w:rsidR="008E7846">
        <w:t>nalysis</w:t>
      </w:r>
      <w:bookmarkEnd w:id="53"/>
      <w:bookmarkEnd w:id="54"/>
      <w:bookmarkEnd w:id="55"/>
    </w:p>
    <w:p w14:paraId="6079AEFE" w14:textId="2BEC9FD5" w:rsidR="00D23139" w:rsidRDefault="00490766" w:rsidP="00D23139">
      <w:pPr>
        <w:pStyle w:val="Heading4"/>
      </w:pPr>
      <w:r>
        <w:t>Delegate’s considerations</w:t>
      </w:r>
    </w:p>
    <w:p w14:paraId="016E8891" w14:textId="542638FF" w:rsidR="00490766" w:rsidRDefault="00490766" w:rsidP="00490766">
      <w:pPr>
        <w:pStyle w:val="Heading5"/>
      </w:pPr>
      <w:r w:rsidRPr="00DD2C23">
        <w:t>Extrapolation</w:t>
      </w:r>
      <w:r>
        <w:t xml:space="preserve"> of indications</w:t>
      </w:r>
    </w:p>
    <w:p w14:paraId="4508341D" w14:textId="3DE05402" w:rsidR="00490766" w:rsidRPr="000A7522" w:rsidRDefault="00490766" w:rsidP="00490766">
      <w:proofErr w:type="spellStart"/>
      <w:r w:rsidRPr="000A7522">
        <w:t>Avastin</w:t>
      </w:r>
      <w:proofErr w:type="spellEnd"/>
      <w:r w:rsidRPr="000A7522">
        <w:t xml:space="preserve"> is current</w:t>
      </w:r>
      <w:r w:rsidR="00630ACA">
        <w:t>ly registered for 9 indications</w:t>
      </w:r>
      <w:r w:rsidRPr="000A7522">
        <w:t>. The clinical comparability study (</w:t>
      </w:r>
      <w:r>
        <w:t>Study</w:t>
      </w:r>
      <w:r w:rsidR="00D43527">
        <w:t> </w:t>
      </w:r>
      <w:r w:rsidRPr="000A7522">
        <w:t xml:space="preserve">B7391003) was performed in patients with NSCLC. </w:t>
      </w:r>
      <w:proofErr w:type="spellStart"/>
      <w:r w:rsidRPr="000A7522">
        <w:t>Avastin</w:t>
      </w:r>
      <w:proofErr w:type="spellEnd"/>
      <w:r w:rsidRPr="000A7522">
        <w:t xml:space="preserve"> is licensed for this indication in Australia (although not funded via the </w:t>
      </w:r>
      <w:r>
        <w:t>Pharmaceutical Benefits Scheme (</w:t>
      </w:r>
      <w:r w:rsidRPr="000A7522">
        <w:t>PBS</w:t>
      </w:r>
      <w:r>
        <w:t>)</w:t>
      </w:r>
      <w:r w:rsidRPr="000A7522">
        <w:t>).</w:t>
      </w:r>
    </w:p>
    <w:p w14:paraId="66C4264E" w14:textId="6E1B3301" w:rsidR="00490766" w:rsidRPr="000A7522" w:rsidRDefault="00490766" w:rsidP="00490766">
      <w:r w:rsidRPr="000A7522">
        <w:lastRenderedPageBreak/>
        <w:t xml:space="preserve">Guidelines from the </w:t>
      </w:r>
      <w:r w:rsidR="000E637D">
        <w:t>European Medicines Agency (</w:t>
      </w:r>
      <w:r w:rsidRPr="000A7522">
        <w:t>EMA</w:t>
      </w:r>
      <w:r w:rsidR="000E637D">
        <w:t>)</w:t>
      </w:r>
      <w:r w:rsidRPr="000A7522">
        <w:t xml:space="preserve"> and </w:t>
      </w:r>
      <w:r w:rsidR="00D43527">
        <w:t xml:space="preserve">US </w:t>
      </w:r>
      <w:r w:rsidR="000E637D">
        <w:t>Food and Drug Administration (</w:t>
      </w:r>
      <w:r w:rsidRPr="000A7522">
        <w:t>FDA</w:t>
      </w:r>
      <w:r w:rsidR="000E637D">
        <w:t>)</w:t>
      </w:r>
      <w:r w:rsidRPr="000A7522">
        <w:t xml:space="preserve"> allow for the possibility that a biosimilar could be approved for one or more of the indications for the reference biological medicine, given sufficient sci</w:t>
      </w:r>
      <w:r>
        <w:t>entific justification, using a ‘totality-of-evidence’ approach’</w:t>
      </w:r>
      <w:r w:rsidRPr="000A7522">
        <w:t>. The guidelines discuss:</w:t>
      </w:r>
    </w:p>
    <w:p w14:paraId="0DFE630B" w14:textId="5D2DB86A" w:rsidR="00490766" w:rsidRPr="000A7522" w:rsidRDefault="00D43527" w:rsidP="00490766">
      <w:pPr>
        <w:pStyle w:val="ListBullet"/>
      </w:pPr>
      <w:r>
        <w:t>m</w:t>
      </w:r>
      <w:r w:rsidRPr="000A7522">
        <w:t xml:space="preserve">echanism </w:t>
      </w:r>
      <w:r w:rsidR="00490766" w:rsidRPr="000A7522">
        <w:t>of action</w:t>
      </w:r>
      <w:r w:rsidR="00490766">
        <w:t>;</w:t>
      </w:r>
    </w:p>
    <w:p w14:paraId="732A5544" w14:textId="7CE51FCF" w:rsidR="00490766" w:rsidRPr="000A7522" w:rsidRDefault="00490766" w:rsidP="00490766">
      <w:pPr>
        <w:pStyle w:val="ListBullet"/>
      </w:pPr>
      <w:r w:rsidRPr="000A7522">
        <w:t>PK and distribution</w:t>
      </w:r>
      <w:r>
        <w:t>;</w:t>
      </w:r>
    </w:p>
    <w:p w14:paraId="3A15FB5A" w14:textId="38E2E00A" w:rsidR="00490766" w:rsidRPr="000A7522" w:rsidRDefault="00D43527" w:rsidP="00490766">
      <w:pPr>
        <w:pStyle w:val="ListBullet"/>
      </w:pPr>
      <w:r>
        <w:t>d</w:t>
      </w:r>
      <w:r w:rsidRPr="000A7522">
        <w:t>ose</w:t>
      </w:r>
      <w:r w:rsidR="00490766" w:rsidRPr="000A7522">
        <w:t>, route-of-administration</w:t>
      </w:r>
      <w:r w:rsidR="00490766">
        <w:t>;</w:t>
      </w:r>
    </w:p>
    <w:p w14:paraId="78588A07" w14:textId="02823017" w:rsidR="00490766" w:rsidRPr="000A7522" w:rsidRDefault="00D43527" w:rsidP="00490766">
      <w:pPr>
        <w:pStyle w:val="ListBullet"/>
      </w:pPr>
      <w:r>
        <w:t>i</w:t>
      </w:r>
      <w:r w:rsidRPr="000A7522">
        <w:t>mmunogenicity</w:t>
      </w:r>
      <w:r w:rsidR="00490766">
        <w:t>;</w:t>
      </w:r>
      <w:r>
        <w:t xml:space="preserve"> and</w:t>
      </w:r>
    </w:p>
    <w:p w14:paraId="54A35C07" w14:textId="7ADC17C3" w:rsidR="00490766" w:rsidRPr="00490766" w:rsidRDefault="00D43527" w:rsidP="00490766">
      <w:pPr>
        <w:pStyle w:val="ListBullet"/>
      </w:pPr>
      <w:r>
        <w:t>t</w:t>
      </w:r>
      <w:r w:rsidRPr="000A7522">
        <w:t>oxicity</w:t>
      </w:r>
      <w:r w:rsidR="00490766">
        <w:t>.</w:t>
      </w:r>
    </w:p>
    <w:p w14:paraId="454354C2" w14:textId="3B58244F" w:rsidR="00490766" w:rsidRPr="00490766" w:rsidRDefault="00490766" w:rsidP="00490766">
      <w:pPr>
        <w:pStyle w:val="mine"/>
        <w:rPr>
          <w:sz w:val="22"/>
          <w:szCs w:val="22"/>
        </w:rPr>
      </w:pPr>
      <w:r w:rsidRPr="000A7522">
        <w:rPr>
          <w:sz w:val="22"/>
          <w:szCs w:val="22"/>
        </w:rPr>
        <w:t>A list of EMA g</w:t>
      </w:r>
      <w:r>
        <w:rPr>
          <w:sz w:val="22"/>
          <w:szCs w:val="22"/>
        </w:rPr>
        <w:t xml:space="preserve">uidelines for </w:t>
      </w:r>
      <w:proofErr w:type="spellStart"/>
      <w:r>
        <w:rPr>
          <w:sz w:val="22"/>
          <w:szCs w:val="22"/>
        </w:rPr>
        <w:t>biosimilars</w:t>
      </w:r>
      <w:proofErr w:type="spellEnd"/>
      <w:r>
        <w:rPr>
          <w:sz w:val="22"/>
          <w:szCs w:val="22"/>
        </w:rPr>
        <w:t xml:space="preserve"> is available online on the EMA website.</w:t>
      </w:r>
      <w:r w:rsidR="00D43527">
        <w:rPr>
          <w:rStyle w:val="FootnoteReference"/>
          <w:sz w:val="22"/>
          <w:szCs w:val="22"/>
        </w:rPr>
        <w:footnoteReference w:id="3"/>
      </w:r>
    </w:p>
    <w:p w14:paraId="4254E985" w14:textId="77777777" w:rsidR="00490766" w:rsidRPr="000A7522" w:rsidRDefault="00490766" w:rsidP="000E637D">
      <w:r w:rsidRPr="000A7522">
        <w:t xml:space="preserve">With respect to </w:t>
      </w:r>
      <w:proofErr w:type="spellStart"/>
      <w:r w:rsidRPr="000A7522">
        <w:t>Zirabev</w:t>
      </w:r>
      <w:proofErr w:type="spellEnd"/>
      <w:r w:rsidRPr="000A7522">
        <w:t>:</w:t>
      </w:r>
    </w:p>
    <w:p w14:paraId="4E8F6AD5" w14:textId="281B5054" w:rsidR="00490766" w:rsidRPr="000A7522" w:rsidRDefault="00490766" w:rsidP="000E637D">
      <w:pPr>
        <w:pStyle w:val="ListBullet"/>
      </w:pPr>
      <w:r w:rsidRPr="000A7522">
        <w:t>The mechanism of action of bevacizumab is the same in all the indications</w:t>
      </w:r>
      <w:r w:rsidR="000E637D">
        <w:t>:</w:t>
      </w:r>
    </w:p>
    <w:p w14:paraId="6F024D36" w14:textId="085AB0A6" w:rsidR="00490766" w:rsidRPr="000A7522" w:rsidRDefault="00490766" w:rsidP="000E637D">
      <w:pPr>
        <w:pStyle w:val="ListBullet2"/>
      </w:pPr>
      <w:r w:rsidRPr="000A7522">
        <w:t>It is a monoclonal antibody that inhibits the binding of vascular endothelial growth factor to cell receptors on endothelial cells</w:t>
      </w:r>
      <w:r w:rsidR="000E637D">
        <w:t>.</w:t>
      </w:r>
    </w:p>
    <w:p w14:paraId="4658F6AB" w14:textId="06D198AD" w:rsidR="00490766" w:rsidRPr="000A7522" w:rsidRDefault="00490766" w:rsidP="000E637D">
      <w:pPr>
        <w:pStyle w:val="ListBullet"/>
      </w:pPr>
      <w:r w:rsidRPr="000A7522">
        <w:t>Studies on the reference biological medicine (</w:t>
      </w:r>
      <w:proofErr w:type="spellStart"/>
      <w:r w:rsidRPr="000A7522">
        <w:t>Avastin</w:t>
      </w:r>
      <w:proofErr w:type="spellEnd"/>
      <w:r w:rsidRPr="000A7522">
        <w:t>) show that the PK is the same for all indications</w:t>
      </w:r>
      <w:r w:rsidR="000E637D">
        <w:t>.</w:t>
      </w:r>
    </w:p>
    <w:p w14:paraId="5DFBE73E" w14:textId="6C0F9515" w:rsidR="00490766" w:rsidRPr="000A7522" w:rsidRDefault="00490766" w:rsidP="000E637D">
      <w:pPr>
        <w:pStyle w:val="ListBullet"/>
      </w:pPr>
      <w:r w:rsidRPr="000A7522">
        <w:t>It is administered by the same route (IV) in all indications</w:t>
      </w:r>
      <w:r w:rsidR="000E637D">
        <w:t>.</w:t>
      </w:r>
    </w:p>
    <w:p w14:paraId="23E32FA9" w14:textId="1F3CE4FC" w:rsidR="00490766" w:rsidRPr="000A7522" w:rsidRDefault="00490766" w:rsidP="000E637D">
      <w:pPr>
        <w:pStyle w:val="ListBullet"/>
      </w:pPr>
      <w:r w:rsidRPr="000A7522">
        <w:t>Data for the reference biological medicine (</w:t>
      </w:r>
      <w:proofErr w:type="spellStart"/>
      <w:r w:rsidRPr="000A7522">
        <w:t>Avastin</w:t>
      </w:r>
      <w:proofErr w:type="spellEnd"/>
      <w:r w:rsidRPr="000A7522">
        <w:t>) show that bevacizumab has low immunogenicity across all indications</w:t>
      </w:r>
      <w:r w:rsidR="000E637D">
        <w:t>.</w:t>
      </w:r>
    </w:p>
    <w:p w14:paraId="15628CC6" w14:textId="37EFD0B4" w:rsidR="00490766" w:rsidRPr="000A7522" w:rsidRDefault="00490766" w:rsidP="000E637D">
      <w:pPr>
        <w:pStyle w:val="ListBullet"/>
      </w:pPr>
      <w:r w:rsidRPr="000A7522">
        <w:t>The available safety information for the reference biological medicine (</w:t>
      </w:r>
      <w:proofErr w:type="spellStart"/>
      <w:r w:rsidRPr="000A7522">
        <w:t>Avastin</w:t>
      </w:r>
      <w:proofErr w:type="spellEnd"/>
      <w:r w:rsidRPr="000A7522">
        <w:t>) does not indicate that there are any significant differences in expected toxicities for each condition of use and patient population.</w:t>
      </w:r>
    </w:p>
    <w:p w14:paraId="63A88562" w14:textId="11861432" w:rsidR="00456765" w:rsidRPr="00490766" w:rsidRDefault="00490766" w:rsidP="000E637D">
      <w:r w:rsidRPr="000A7522">
        <w:t xml:space="preserve">Given this information, extrapolation of indications for </w:t>
      </w:r>
      <w:proofErr w:type="spellStart"/>
      <w:r w:rsidRPr="000A7522">
        <w:t>Zirabev</w:t>
      </w:r>
      <w:proofErr w:type="spellEnd"/>
      <w:r w:rsidRPr="000A7522">
        <w:t xml:space="preserve"> to all the indications of </w:t>
      </w:r>
      <w:proofErr w:type="spellStart"/>
      <w:r w:rsidRPr="000A7522">
        <w:t>Avastin</w:t>
      </w:r>
      <w:proofErr w:type="spellEnd"/>
      <w:r w:rsidRPr="000A7522">
        <w:t xml:space="preserve"> in Australia is appropriate.</w:t>
      </w:r>
    </w:p>
    <w:p w14:paraId="5311DCD6" w14:textId="77777777" w:rsidR="00D23139" w:rsidRDefault="00D23139" w:rsidP="00D23139">
      <w:pPr>
        <w:pStyle w:val="Heading4"/>
      </w:pPr>
      <w:r w:rsidRPr="00D23139">
        <w:t>Proposed action</w:t>
      </w:r>
    </w:p>
    <w:p w14:paraId="6F51EE95" w14:textId="5313BFD4" w:rsidR="00456765" w:rsidRPr="00456765" w:rsidRDefault="00920F41" w:rsidP="000E637D">
      <w:r w:rsidRPr="00920F41">
        <w:t xml:space="preserve">There are no major barriers to approving </w:t>
      </w:r>
      <w:proofErr w:type="spellStart"/>
      <w:r w:rsidRPr="00920F41">
        <w:t>Zirabev</w:t>
      </w:r>
      <w:proofErr w:type="spellEnd"/>
      <w:r w:rsidRPr="00920F41">
        <w:t xml:space="preserve"> </w:t>
      </w:r>
      <w:r w:rsidR="000E637D" w:rsidRPr="00920F41">
        <w:t xml:space="preserve">in Australia </w:t>
      </w:r>
      <w:r w:rsidRPr="00920F41">
        <w:t>foreseen at this present stage.</w:t>
      </w:r>
    </w:p>
    <w:p w14:paraId="353AB919" w14:textId="77777777" w:rsidR="008E7846" w:rsidRDefault="008E7846" w:rsidP="008E7846">
      <w:pPr>
        <w:pStyle w:val="Heading4"/>
      </w:pPr>
      <w:r>
        <w:t>Advisory Committee Considerations</w:t>
      </w:r>
      <w:r w:rsidR="00456765">
        <w:rPr>
          <w:rStyle w:val="FootnoteReference"/>
        </w:rPr>
        <w:footnoteReference w:id="4"/>
      </w:r>
    </w:p>
    <w:p w14:paraId="28DBCE5F" w14:textId="5232EFB4" w:rsidR="00456765" w:rsidRPr="00A322B3" w:rsidRDefault="00456765" w:rsidP="008E7846">
      <w:r>
        <w:rPr>
          <w:bCs/>
        </w:rPr>
        <w:t>The Delegate did not refer this application to the Adv</w:t>
      </w:r>
      <w:r w:rsidR="007443C8">
        <w:rPr>
          <w:bCs/>
        </w:rPr>
        <w:t>isory Committee</w:t>
      </w:r>
      <w:r w:rsidR="002A654E">
        <w:rPr>
          <w:bCs/>
        </w:rPr>
        <w:t xml:space="preserve"> on</w:t>
      </w:r>
      <w:r>
        <w:rPr>
          <w:bCs/>
        </w:rPr>
        <w:t xml:space="preserve"> Medicines (ACM) for advice.</w:t>
      </w:r>
    </w:p>
    <w:p w14:paraId="1388E7A2" w14:textId="77777777" w:rsidR="008E7846" w:rsidRPr="002E238E" w:rsidRDefault="008E7846" w:rsidP="008E7846">
      <w:pPr>
        <w:pStyle w:val="Heading3"/>
      </w:pPr>
      <w:bookmarkStart w:id="58" w:name="_Toc247691532"/>
      <w:bookmarkStart w:id="59" w:name="_Toc314842516"/>
      <w:bookmarkStart w:id="60" w:name="_Toc33614752"/>
      <w:bookmarkEnd w:id="31"/>
      <w:bookmarkEnd w:id="56"/>
      <w:bookmarkEnd w:id="57"/>
      <w:r>
        <w:lastRenderedPageBreak/>
        <w:t>Outcome</w:t>
      </w:r>
      <w:bookmarkEnd w:id="58"/>
      <w:bookmarkEnd w:id="59"/>
      <w:bookmarkEnd w:id="60"/>
    </w:p>
    <w:p w14:paraId="062AF285" w14:textId="4B65137F" w:rsidR="00D23139" w:rsidRPr="00D23139" w:rsidRDefault="00D23139" w:rsidP="00D23139">
      <w:bookmarkStart w:id="61" w:name="_Toc247691533"/>
      <w:bookmarkStart w:id="62" w:name="_Toc314842517"/>
      <w:r w:rsidRPr="00D23139">
        <w:t xml:space="preserve">Based on a review of quality, safety and efficacy, </w:t>
      </w:r>
      <w:r w:rsidR="002A654E">
        <w:t xml:space="preserve">the </w:t>
      </w:r>
      <w:r w:rsidRPr="00D23139">
        <w:t xml:space="preserve">TGA approved the registration of </w:t>
      </w:r>
      <w:proofErr w:type="spellStart"/>
      <w:r w:rsidR="009D6BC2">
        <w:t>Zirabev</w:t>
      </w:r>
      <w:proofErr w:type="spellEnd"/>
      <w:r w:rsidR="009D6BC2">
        <w:t xml:space="preserve"> (bevacizumab) 100 mg/4 mL and 400 mg/16 mL concentrated solution for injection for infusion</w:t>
      </w:r>
      <w:r w:rsidRPr="00D23139">
        <w:t>, indicated for:</w:t>
      </w:r>
    </w:p>
    <w:p w14:paraId="38A6826D" w14:textId="77777777" w:rsidR="00D73B22" w:rsidRPr="004201DF" w:rsidRDefault="00D73B22" w:rsidP="00D73B22">
      <w:pPr>
        <w:ind w:left="720"/>
        <w:rPr>
          <w:b/>
          <w:i/>
        </w:rPr>
      </w:pPr>
      <w:r w:rsidRPr="004201DF">
        <w:rPr>
          <w:b/>
          <w:i/>
        </w:rPr>
        <w:t>Metastatic colorectal cancer</w:t>
      </w:r>
    </w:p>
    <w:p w14:paraId="66E66C95" w14:textId="77777777" w:rsidR="00D73B22" w:rsidRPr="004201DF" w:rsidRDefault="00D73B22" w:rsidP="00D73B22">
      <w:pPr>
        <w:ind w:left="720"/>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w:t>
      </w:r>
      <w:proofErr w:type="spellStart"/>
      <w:r w:rsidRPr="004201DF">
        <w:rPr>
          <w:rFonts w:cs="TimesNewRomanPSMT"/>
          <w:i/>
        </w:rPr>
        <w:t>fluoropyrimidine</w:t>
      </w:r>
      <w:proofErr w:type="spellEnd"/>
      <w:r w:rsidRPr="004201DF">
        <w:rPr>
          <w:rFonts w:cs="TimesNewRomanPSMT"/>
          <w:i/>
        </w:rPr>
        <w:t>-based chemotherapy is indicated for the treatment of patients with metastatic colorectal cancer.</w:t>
      </w:r>
    </w:p>
    <w:p w14:paraId="30E079EE" w14:textId="77777777" w:rsidR="00D73B22" w:rsidRPr="004201DF" w:rsidRDefault="00D73B22" w:rsidP="00D73B22">
      <w:pPr>
        <w:ind w:left="720"/>
        <w:rPr>
          <w:b/>
          <w:i/>
        </w:rPr>
      </w:pPr>
      <w:r w:rsidRPr="004201DF">
        <w:rPr>
          <w:b/>
          <w:i/>
        </w:rPr>
        <w:t>Locally recurrent or metastatic breast cancer</w:t>
      </w:r>
    </w:p>
    <w:p w14:paraId="2EB26538" w14:textId="77777777" w:rsidR="00D73B22" w:rsidRPr="004201DF" w:rsidRDefault="00D73B22" w:rsidP="00D73B22">
      <w:pPr>
        <w:ind w:left="720"/>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paclitaxel is indicated for the first-line treatment of metastatic breast cancer in patients in whom an </w:t>
      </w:r>
      <w:proofErr w:type="spellStart"/>
      <w:r w:rsidRPr="004201DF">
        <w:rPr>
          <w:rFonts w:cs="TimesNewRomanPSMT"/>
          <w:i/>
        </w:rPr>
        <w:t>anthracycline</w:t>
      </w:r>
      <w:proofErr w:type="spellEnd"/>
      <w:r w:rsidRPr="004201DF">
        <w:rPr>
          <w:rFonts w:cs="TimesNewRomanPSMT"/>
          <w:i/>
        </w:rPr>
        <w:t xml:space="preserve">-based therapy is contraindicated. (see Section 5.1 </w:t>
      </w:r>
      <w:proofErr w:type="spellStart"/>
      <w:r w:rsidRPr="004201DF">
        <w:rPr>
          <w:rFonts w:cs="TimesNewRomanPSMT"/>
          <w:i/>
        </w:rPr>
        <w:t>Pharmacodynamic</w:t>
      </w:r>
      <w:proofErr w:type="spellEnd"/>
      <w:r w:rsidRPr="004201DF">
        <w:rPr>
          <w:rFonts w:cs="TimesNewRomanPSMT"/>
          <w:i/>
        </w:rPr>
        <w:t xml:space="preserve"> properties – Clinical trials).</w:t>
      </w:r>
    </w:p>
    <w:p w14:paraId="0CE1F34F" w14:textId="77777777" w:rsidR="00D73B22" w:rsidRPr="004201DF" w:rsidRDefault="00D73B22" w:rsidP="00D73B22">
      <w:pPr>
        <w:ind w:left="720"/>
        <w:rPr>
          <w:b/>
          <w:i/>
        </w:rPr>
      </w:pPr>
      <w:r w:rsidRPr="004201DF">
        <w:rPr>
          <w:b/>
          <w:i/>
        </w:rPr>
        <w:t>Advanced, metastatic or recurrent non-squamous non-small cell lung cancer (NSCLC)</w:t>
      </w:r>
    </w:p>
    <w:p w14:paraId="533FC8A2" w14:textId="2EC97650" w:rsidR="00D73B22" w:rsidRPr="004201DF" w:rsidRDefault="00D73B22" w:rsidP="00D73B22">
      <w:pPr>
        <w:ind w:left="720"/>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carboplatin and paclitaxel, is indicated for first-line treatment of patients with </w:t>
      </w:r>
      <w:proofErr w:type="spellStart"/>
      <w:r w:rsidRPr="004201DF">
        <w:rPr>
          <w:rFonts w:cs="TimesNewRomanPSMT"/>
          <w:i/>
        </w:rPr>
        <w:t>unresectable</w:t>
      </w:r>
      <w:proofErr w:type="spellEnd"/>
      <w:r w:rsidRPr="004201DF">
        <w:rPr>
          <w:rFonts w:cs="TimesNewRomanPSMT"/>
          <w:i/>
        </w:rPr>
        <w:t xml:space="preserve"> advanced, metastatic or recurrent, non</w:t>
      </w:r>
      <w:r w:rsidR="008F0A80">
        <w:rPr>
          <w:rFonts w:cs="TimesNewRomanPSMT"/>
          <w:i/>
        </w:rPr>
        <w:t>-</w:t>
      </w:r>
      <w:r w:rsidRPr="004201DF">
        <w:rPr>
          <w:rFonts w:cs="TimesNewRomanPSMT"/>
          <w:i/>
        </w:rPr>
        <w:t>squamous, non-small cell lung cancer.</w:t>
      </w:r>
    </w:p>
    <w:p w14:paraId="5100CBC3" w14:textId="77777777" w:rsidR="00D73B22" w:rsidRPr="004201DF" w:rsidRDefault="00D73B22" w:rsidP="00D73B22">
      <w:pPr>
        <w:ind w:left="720"/>
        <w:rPr>
          <w:b/>
          <w:i/>
        </w:rPr>
      </w:pPr>
      <w:r w:rsidRPr="004201DF">
        <w:rPr>
          <w:b/>
          <w:i/>
        </w:rPr>
        <w:t>Advanced and/or metastatic renal cell cancer</w:t>
      </w:r>
    </w:p>
    <w:p w14:paraId="2695DAAC" w14:textId="77777777" w:rsidR="00D73B22" w:rsidRPr="004201DF" w:rsidRDefault="00D73B22" w:rsidP="00D73B22">
      <w:pPr>
        <w:ind w:left="720"/>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interferon alfa-2a is indicated for treatment of patients with advanced and/or metastatic renal cell cancer.</w:t>
      </w:r>
    </w:p>
    <w:p w14:paraId="5DF2C25D" w14:textId="77777777" w:rsidR="00D73B22" w:rsidRPr="004201DF" w:rsidRDefault="00D73B22" w:rsidP="00D73B22">
      <w:pPr>
        <w:ind w:left="720"/>
        <w:rPr>
          <w:b/>
          <w:i/>
        </w:rPr>
      </w:pPr>
      <w:r w:rsidRPr="004201DF">
        <w:rPr>
          <w:b/>
          <w:i/>
        </w:rPr>
        <w:t>Grade IV glioma</w:t>
      </w:r>
    </w:p>
    <w:p w14:paraId="4517475F" w14:textId="77777777" w:rsidR="00D73B22" w:rsidRPr="004201DF" w:rsidRDefault="00D73B22" w:rsidP="00D73B22">
      <w:pPr>
        <w:ind w:left="720"/>
        <w:rPr>
          <w:rFonts w:cs="TimesNewRomanPSMT"/>
          <w:i/>
        </w:rPr>
      </w:pPr>
      <w:proofErr w:type="spellStart"/>
      <w:r w:rsidRPr="004201DF">
        <w:rPr>
          <w:rFonts w:cs="TimesNewRomanPSMT"/>
          <w:i/>
        </w:rPr>
        <w:t>Zirabev</w:t>
      </w:r>
      <w:proofErr w:type="spellEnd"/>
      <w:r w:rsidRPr="004201DF">
        <w:rPr>
          <w:rFonts w:cs="TimesNewRomanPSMT"/>
          <w:i/>
        </w:rPr>
        <w:t xml:space="preserve"> (bevacizumab) as a single agent, is indicated for the treatment of patients with Grade IV glioma after relapse or disease progression after standard therapy, including chemotherapy.</w:t>
      </w:r>
    </w:p>
    <w:p w14:paraId="2919DC55" w14:textId="77777777" w:rsidR="00D73B22" w:rsidRPr="004201DF" w:rsidRDefault="00D73B22" w:rsidP="00D73B22">
      <w:pPr>
        <w:ind w:left="720"/>
        <w:rPr>
          <w:b/>
          <w:i/>
        </w:rPr>
      </w:pPr>
      <w:r w:rsidRPr="004201DF">
        <w:rPr>
          <w:b/>
          <w:i/>
        </w:rPr>
        <w:t>Epithelial ovarian, fallopian tube or primary peritoneal cancer</w:t>
      </w:r>
    </w:p>
    <w:p w14:paraId="60267408" w14:textId="77777777" w:rsidR="00D73B22" w:rsidRPr="004201DF" w:rsidRDefault="00D73B22" w:rsidP="00D73B22">
      <w:pPr>
        <w:ind w:left="720"/>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carboplatin and paclitaxel, is indicated for first-line treatment of patients with advanced (FIGO stages IIIB, IIIC and IV) epithelial ovarian, fallopian tube, or primary peritoneal cancer.</w:t>
      </w:r>
    </w:p>
    <w:p w14:paraId="3E3E37DD" w14:textId="77777777" w:rsidR="00D73B22" w:rsidRPr="004201DF" w:rsidRDefault="00D73B22" w:rsidP="00D73B22">
      <w:pPr>
        <w:ind w:left="720"/>
        <w:rPr>
          <w:b/>
          <w:i/>
        </w:rPr>
      </w:pPr>
      <w:r w:rsidRPr="004201DF">
        <w:rPr>
          <w:b/>
          <w:i/>
        </w:rPr>
        <w:t>Recurrent epithelial ovarian, fallopian tube or primary peritoneal cancer</w:t>
      </w:r>
    </w:p>
    <w:p w14:paraId="73F1F4C5" w14:textId="77777777" w:rsidR="00D73B22" w:rsidRPr="004201DF" w:rsidRDefault="00D73B22" w:rsidP="00D73B22">
      <w:pPr>
        <w:ind w:left="720"/>
        <w:rPr>
          <w:rFonts w:cs="TimesNewRomanPSMT"/>
          <w:i/>
        </w:rPr>
      </w:pPr>
      <w:proofErr w:type="spellStart"/>
      <w:r w:rsidRPr="004201DF">
        <w:rPr>
          <w:rFonts w:cs="TimesNewRomanPSMT"/>
          <w:i/>
        </w:rPr>
        <w:t>Z</w:t>
      </w:r>
      <w:r>
        <w:rPr>
          <w:rFonts w:cs="TimesNewRomanPSMT"/>
          <w:i/>
        </w:rPr>
        <w:t>irabev</w:t>
      </w:r>
      <w:proofErr w:type="spellEnd"/>
      <w:r w:rsidRPr="004201DF">
        <w:rPr>
          <w:rFonts w:cs="TimesNewRomanPSMT"/>
          <w:i/>
        </w:rPr>
        <w:t xml:space="preserve"> (bevacizumab), in combination with carboplatin and paclitaxel or in combination with carboplatin and gemcitabine, is indicated for the treatment of patients with first recurrence of </w:t>
      </w:r>
      <w:r w:rsidRPr="004201DF">
        <w:rPr>
          <w:i/>
        </w:rPr>
        <w:t>platinum-sensitive</w:t>
      </w:r>
      <w:r w:rsidRPr="004201DF">
        <w:rPr>
          <w:rFonts w:cs="TimesNewRomanPSMT"/>
          <w:i/>
        </w:rPr>
        <w:t>, epithelial ovarian, fallopian tube, or primary peritoneal cancer who have not received prior bevacizumab or other VEGF-targeted angiogenesis inhibitors.</w:t>
      </w:r>
    </w:p>
    <w:p w14:paraId="24482174" w14:textId="0CF6AEDB" w:rsidR="00D73B22" w:rsidRPr="004201DF" w:rsidRDefault="00D73B22" w:rsidP="00D73B22">
      <w:pPr>
        <w:ind w:left="720"/>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paclitaxel, </w:t>
      </w:r>
      <w:proofErr w:type="spellStart"/>
      <w:r w:rsidRPr="004201DF">
        <w:rPr>
          <w:rFonts w:cs="TimesNewRomanPSMT"/>
          <w:i/>
        </w:rPr>
        <w:t>topotecan</w:t>
      </w:r>
      <w:proofErr w:type="spellEnd"/>
      <w:r w:rsidRPr="004201DF">
        <w:rPr>
          <w:rFonts w:cs="TimesNewRomanPSMT"/>
          <w:i/>
        </w:rPr>
        <w:t xml:space="preserve"> or </w:t>
      </w:r>
      <w:proofErr w:type="spellStart"/>
      <w:r w:rsidRPr="004201DF">
        <w:rPr>
          <w:rFonts w:cs="TimesNewRomanPSMT"/>
          <w:i/>
        </w:rPr>
        <w:t>pegylated</w:t>
      </w:r>
      <w:proofErr w:type="spellEnd"/>
      <w:r w:rsidRPr="004201DF">
        <w:rPr>
          <w:rFonts w:cs="TimesNewRomanPSMT"/>
          <w:i/>
        </w:rPr>
        <w:t xml:space="preserve"> liposomal doxorubicin is indicated for the treatment of patients with recurrent, </w:t>
      </w:r>
      <w:r w:rsidRPr="004201DF">
        <w:rPr>
          <w:i/>
        </w:rPr>
        <w:t>platinum</w:t>
      </w:r>
      <w:r w:rsidR="005B4378">
        <w:rPr>
          <w:i/>
        </w:rPr>
        <w:t>-</w:t>
      </w:r>
      <w:r w:rsidRPr="004201DF">
        <w:rPr>
          <w:i/>
        </w:rPr>
        <w:t>resistant</w:t>
      </w:r>
      <w:r w:rsidRPr="004201DF">
        <w:rPr>
          <w:rFonts w:cs="TimesNewRomanPSMT"/>
          <w:i/>
        </w:rPr>
        <w:t xml:space="preserve"> epithelial ovarian, fallopian tube, or primary peritoneal cancer who have received no more than two prior chemotherapy regimens, and have not received any prior anti</w:t>
      </w:r>
      <w:r w:rsidR="005B4378">
        <w:rPr>
          <w:rFonts w:cs="TimesNewRomanPSMT"/>
          <w:i/>
        </w:rPr>
        <w:t>-</w:t>
      </w:r>
      <w:r w:rsidRPr="004201DF">
        <w:rPr>
          <w:rFonts w:cs="TimesNewRomanPSMT"/>
          <w:i/>
        </w:rPr>
        <w:t>angiogenic therapy including bevacizumab.</w:t>
      </w:r>
    </w:p>
    <w:p w14:paraId="7E382A97" w14:textId="77777777" w:rsidR="00D73B22" w:rsidRPr="004201DF" w:rsidRDefault="00D73B22" w:rsidP="00D73B22">
      <w:pPr>
        <w:ind w:left="720"/>
        <w:rPr>
          <w:b/>
          <w:i/>
        </w:rPr>
      </w:pPr>
      <w:r w:rsidRPr="004201DF">
        <w:rPr>
          <w:b/>
          <w:i/>
        </w:rPr>
        <w:t>Cervical Cancer</w:t>
      </w:r>
    </w:p>
    <w:p w14:paraId="4BC6DFB0" w14:textId="77777777" w:rsidR="00D23139" w:rsidRPr="00D73B22" w:rsidRDefault="00D73B22" w:rsidP="00D73B22">
      <w:pPr>
        <w:ind w:left="720"/>
        <w:rPr>
          <w:rFonts w:cs="TimesNewRomanPSMT"/>
          <w:i/>
        </w:rPr>
      </w:pPr>
      <w:proofErr w:type="spellStart"/>
      <w:r w:rsidRPr="004201DF">
        <w:rPr>
          <w:rFonts w:cs="TimesNewRomanPSMT"/>
          <w:i/>
        </w:rPr>
        <w:t>Zirabev</w:t>
      </w:r>
      <w:proofErr w:type="spellEnd"/>
      <w:r w:rsidRPr="004201DF">
        <w:rPr>
          <w:rFonts w:cs="TimesNewRomanPSMT"/>
          <w:i/>
        </w:rPr>
        <w:t xml:space="preserve"> (bevacizumab) in combination with paclitaxel and cisplatin is indicated for the treatment of persistent, recurrent or metastatic carcinoma of the cervix. </w:t>
      </w:r>
      <w:proofErr w:type="spellStart"/>
      <w:r w:rsidRPr="004201DF">
        <w:rPr>
          <w:rFonts w:cs="TimesNewRomanPSMT"/>
          <w:i/>
        </w:rPr>
        <w:t>Zirabev</w:t>
      </w:r>
      <w:proofErr w:type="spellEnd"/>
      <w:r w:rsidRPr="004201DF">
        <w:rPr>
          <w:rFonts w:cs="TimesNewRomanPSMT"/>
          <w:i/>
        </w:rPr>
        <w:t xml:space="preserve"> (bevacizumab) in combination with paclitaxel and </w:t>
      </w:r>
      <w:proofErr w:type="spellStart"/>
      <w:r w:rsidRPr="004201DF">
        <w:rPr>
          <w:rFonts w:cs="TimesNewRomanPSMT"/>
          <w:i/>
        </w:rPr>
        <w:t>topotecan</w:t>
      </w:r>
      <w:proofErr w:type="spellEnd"/>
      <w:r w:rsidRPr="004201DF">
        <w:rPr>
          <w:rFonts w:cs="TimesNewRomanPSMT"/>
          <w:i/>
        </w:rPr>
        <w:t xml:space="preserve"> is an acceptable alternative where cisplatin is not tolerated or not indicated.</w:t>
      </w:r>
    </w:p>
    <w:p w14:paraId="27802E18" w14:textId="77777777" w:rsidR="00D23139" w:rsidRPr="00D23139" w:rsidRDefault="00D23139" w:rsidP="00D23139">
      <w:pPr>
        <w:pStyle w:val="Heading4"/>
      </w:pPr>
      <w:r w:rsidRPr="00D23139">
        <w:lastRenderedPageBreak/>
        <w:t>Specific conditions of registration applying to these goods</w:t>
      </w:r>
    </w:p>
    <w:p w14:paraId="7B75094F" w14:textId="2D4EEA76" w:rsidR="00D73B22" w:rsidRDefault="00D73B22" w:rsidP="00D73B22">
      <w:pPr>
        <w:pStyle w:val="ListBullet"/>
      </w:pPr>
      <w:r w:rsidRPr="00E135C7">
        <w:t>The bevacizumab (</w:t>
      </w:r>
      <w:proofErr w:type="spellStart"/>
      <w:r w:rsidRPr="00E135C7">
        <w:t>Zirabev</w:t>
      </w:r>
      <w:proofErr w:type="spellEnd"/>
      <w:r w:rsidRPr="00E135C7">
        <w:t>) EU-</w:t>
      </w:r>
      <w:r w:rsidR="000E637D">
        <w:t>RMP</w:t>
      </w:r>
      <w:r>
        <w:t xml:space="preserve"> (version 0.3, date 8 November 2018; data lock point</w:t>
      </w:r>
      <w:r w:rsidRPr="00E135C7">
        <w:t xml:space="preserve"> 17 January 2018), with Australi</w:t>
      </w:r>
      <w:r>
        <w:t xml:space="preserve">an Specific Annex (version 1.1; date 31 May 2019), </w:t>
      </w:r>
      <w:r w:rsidRPr="00E135C7">
        <w:t>included with submis</w:t>
      </w:r>
      <w:r>
        <w:t xml:space="preserve">sion PM-2018-03842-1-4, and any </w:t>
      </w:r>
      <w:r w:rsidRPr="00E135C7">
        <w:t>subsequent revisions, as agreed with the TGA will be implemented in Australia.</w:t>
      </w:r>
    </w:p>
    <w:p w14:paraId="53F31D8D" w14:textId="77777777" w:rsidR="00D73B22" w:rsidRPr="00E135C7" w:rsidRDefault="00D73B22" w:rsidP="00D73B22">
      <w:pPr>
        <w:pStyle w:val="ListBullet"/>
        <w:numPr>
          <w:ilvl w:val="0"/>
          <w:numId w:val="0"/>
        </w:numPr>
        <w:ind w:left="360"/>
      </w:pPr>
      <w:r w:rsidRPr="00E135C7">
        <w:t>An obligatory component of risk management plan</w:t>
      </w:r>
      <w:r>
        <w:t xml:space="preserve">s is routine pharmacovigilance. Routine </w:t>
      </w:r>
      <w:r w:rsidRPr="00E135C7">
        <w:t>pharmacovigilance includes the submission of</w:t>
      </w:r>
      <w:r>
        <w:t xml:space="preserve"> periodic safety update reports </w:t>
      </w:r>
      <w:r w:rsidRPr="00E135C7">
        <w:t>(PSURs).</w:t>
      </w:r>
    </w:p>
    <w:p w14:paraId="30C17BD2" w14:textId="1022C303" w:rsidR="00D73B22" w:rsidRDefault="00D73B22" w:rsidP="00D73B22">
      <w:pPr>
        <w:pStyle w:val="ListBullet"/>
        <w:numPr>
          <w:ilvl w:val="0"/>
          <w:numId w:val="0"/>
        </w:numPr>
        <w:ind w:left="360"/>
      </w:pPr>
      <w:r w:rsidRPr="00E135C7">
        <w:t>Reports are to be provided in line with the current publi</w:t>
      </w:r>
      <w:r>
        <w:t xml:space="preserve">shed list of EU reference dates and </w:t>
      </w:r>
      <w:r w:rsidRPr="00E135C7">
        <w:t>frequency of submission of PSURs until the period</w:t>
      </w:r>
      <w:r>
        <w:t xml:space="preserve"> covered by such reports is not </w:t>
      </w:r>
      <w:r w:rsidRPr="00E135C7">
        <w:t>l</w:t>
      </w:r>
      <w:r>
        <w:t xml:space="preserve">ess than three </w:t>
      </w:r>
      <w:r w:rsidRPr="00E135C7">
        <w:t>years from th</w:t>
      </w:r>
      <w:r>
        <w:t xml:space="preserve">e date of </w:t>
      </w:r>
      <w:proofErr w:type="spellStart"/>
      <w:r w:rsidR="00F35014">
        <w:t>the</w:t>
      </w:r>
      <w:r>
        <w:t>approval</w:t>
      </w:r>
      <w:proofErr w:type="spellEnd"/>
      <w:r>
        <w:t xml:space="preserve"> letter.</w:t>
      </w:r>
    </w:p>
    <w:p w14:paraId="09B7F9B7" w14:textId="77777777" w:rsidR="00D73B22" w:rsidRPr="00E135C7" w:rsidRDefault="00D73B22" w:rsidP="00D73B22">
      <w:pPr>
        <w:pStyle w:val="ListBullet"/>
        <w:numPr>
          <w:ilvl w:val="0"/>
          <w:numId w:val="0"/>
        </w:numPr>
        <w:ind w:left="360"/>
      </w:pPr>
      <w:r w:rsidRPr="00E135C7">
        <w:t>The reports are to at least meet the requirement</w:t>
      </w:r>
      <w:r>
        <w:t xml:space="preserve">s for PSURs as described in the European </w:t>
      </w:r>
      <w:r w:rsidRPr="00E135C7">
        <w:t>M</w:t>
      </w:r>
      <w:r>
        <w:t>edicines Agency’s Guideline on Good P</w:t>
      </w:r>
      <w:r w:rsidRPr="00E135C7">
        <w:t>h</w:t>
      </w:r>
      <w:r>
        <w:t xml:space="preserve">armacovigilance Practices (GVP) Module VII-periodic </w:t>
      </w:r>
      <w:r w:rsidRPr="00E135C7">
        <w:t xml:space="preserve">safety update report (Rev 1), Part </w:t>
      </w:r>
      <w:r>
        <w:t xml:space="preserve">VII.B Structures and processes. </w:t>
      </w:r>
      <w:r w:rsidRPr="00E135C7">
        <w:t>Note that submission of a PSUR does not consti</w:t>
      </w:r>
      <w:r>
        <w:t xml:space="preserve">tute an application to vary the </w:t>
      </w:r>
      <w:r w:rsidRPr="00E135C7">
        <w:t>registration.</w:t>
      </w:r>
    </w:p>
    <w:p w14:paraId="71F38D76" w14:textId="77777777" w:rsidR="00D73B22" w:rsidRPr="00E135C7" w:rsidRDefault="00D73B22" w:rsidP="00D73B22">
      <w:pPr>
        <w:pStyle w:val="ListBullet"/>
      </w:pPr>
      <w:r w:rsidRPr="00E135C7">
        <w:t>Batch testing conditions</w:t>
      </w:r>
    </w:p>
    <w:p w14:paraId="2786D99C" w14:textId="77777777" w:rsidR="00D73B22" w:rsidRPr="00E135C7" w:rsidRDefault="00D73B22" w:rsidP="00D73B22">
      <w:pPr>
        <w:pStyle w:val="ListBullet2"/>
      </w:pPr>
      <w:r w:rsidRPr="00E135C7">
        <w:t>It is a condition of registration that all b</w:t>
      </w:r>
      <w:r>
        <w:t xml:space="preserve">atches of </w:t>
      </w:r>
      <w:proofErr w:type="spellStart"/>
      <w:r>
        <w:t>Zirabev</w:t>
      </w:r>
      <w:proofErr w:type="spellEnd"/>
      <w:r>
        <w:t xml:space="preserve"> (bevacizumab) </w:t>
      </w:r>
      <w:r w:rsidRPr="00E135C7">
        <w:t>imported into Australia must comply with the pro</w:t>
      </w:r>
      <w:r>
        <w:t xml:space="preserve">duct details and specifications </w:t>
      </w:r>
      <w:r w:rsidRPr="00E135C7">
        <w:t>approved during evaluation and detailed in the Certified Product Details (CPD).</w:t>
      </w:r>
    </w:p>
    <w:p w14:paraId="7B570551" w14:textId="77777777" w:rsidR="00D73B22" w:rsidRPr="00E135C7" w:rsidRDefault="00D73B22" w:rsidP="00D73B22">
      <w:pPr>
        <w:pStyle w:val="ListBullet2"/>
      </w:pPr>
      <w:r w:rsidRPr="00E135C7">
        <w:t xml:space="preserve">It is a condition of registration that up </w:t>
      </w:r>
      <w:r>
        <w:t xml:space="preserve">to 5 initial batches of </w:t>
      </w:r>
      <w:proofErr w:type="spellStart"/>
      <w:r>
        <w:t>Zirabev</w:t>
      </w:r>
      <w:proofErr w:type="spellEnd"/>
      <w:r>
        <w:t xml:space="preserve"> </w:t>
      </w:r>
      <w:r w:rsidRPr="00E135C7">
        <w:t xml:space="preserve">(bevacizumab) imported into Australia is not </w:t>
      </w:r>
      <w:r>
        <w:t xml:space="preserve">released for sale until samples </w:t>
      </w:r>
      <w:r w:rsidRPr="00E135C7">
        <w:t>and/or the manufacturer’s release data have</w:t>
      </w:r>
      <w:r>
        <w:t xml:space="preserve"> been assessed and endorsed for </w:t>
      </w:r>
      <w:r w:rsidRPr="00E135C7">
        <w:t>release by the TGA Laboratories Branch. Out</w:t>
      </w:r>
      <w:r>
        <w:t xml:space="preserve">comes of laboratory testing are </w:t>
      </w:r>
      <w:r w:rsidRPr="00E135C7">
        <w:t>published biannually in the TGA Database of Laboratory Testing Resultshttp://www.tga.gov.au/ws-labs-index.</w:t>
      </w:r>
    </w:p>
    <w:p w14:paraId="5473F7D9" w14:textId="77777777" w:rsidR="00D73B22" w:rsidRPr="00E135C7" w:rsidRDefault="00D73B22" w:rsidP="00D73B22">
      <w:pPr>
        <w:pStyle w:val="ListBullet2"/>
      </w:pPr>
      <w:r>
        <w:t>The s</w:t>
      </w:r>
      <w:r w:rsidRPr="00E135C7">
        <w:t>ponsor should be prepared to provide produ</w:t>
      </w:r>
      <w:r>
        <w:t xml:space="preserve">ct samples, reference materials </w:t>
      </w:r>
      <w:r w:rsidRPr="00E135C7">
        <w:t>and documentary evidence as defined by t</w:t>
      </w:r>
      <w:r>
        <w:t xml:space="preserve">he TGA Laboratories branch. The </w:t>
      </w:r>
      <w:r w:rsidRPr="00E135C7">
        <w:t>sponsor must contact Biochemistry.Testing@health.gov.au f</w:t>
      </w:r>
      <w:r>
        <w:t xml:space="preserve">or specific material </w:t>
      </w:r>
      <w:r w:rsidRPr="00E135C7">
        <w:t>requirements related to the batch release tes</w:t>
      </w:r>
      <w:r>
        <w:t xml:space="preserve">ting/assessment of the product. </w:t>
      </w:r>
      <w:r w:rsidRPr="00E135C7">
        <w:t>More informati</w:t>
      </w:r>
      <w:r>
        <w:t xml:space="preserve">on on TGA testing of biological medicines is available at </w:t>
      </w:r>
      <w:r w:rsidRPr="00E135C7">
        <w:t>https://www.tga.gov.au/publication/testing-biological-medicines.</w:t>
      </w:r>
    </w:p>
    <w:p w14:paraId="7FF830BF" w14:textId="77777777" w:rsidR="00D73B22" w:rsidRPr="00E135C7" w:rsidRDefault="00D73B22" w:rsidP="00D73B22">
      <w:pPr>
        <w:pStyle w:val="ListBullet2"/>
      </w:pPr>
      <w:r w:rsidRPr="00E135C7">
        <w:t xml:space="preserve">This batch release condition will be reviewed and </w:t>
      </w:r>
      <w:r>
        <w:t xml:space="preserve">may be modified on the basis of </w:t>
      </w:r>
      <w:r w:rsidRPr="00E135C7">
        <w:t xml:space="preserve">actual batch quality and consistency. </w:t>
      </w:r>
      <w:r w:rsidRPr="00B72F95">
        <w:rPr>
          <w:rFonts w:cs="Cambria-Bold"/>
          <w:bCs/>
        </w:rPr>
        <w:t>This condition remains in place until you</w:t>
      </w:r>
      <w:r w:rsidRPr="00B72F95">
        <w:t xml:space="preserve"> </w:t>
      </w:r>
      <w:r w:rsidRPr="00B72F95">
        <w:rPr>
          <w:rFonts w:cs="Cambria-Bold"/>
          <w:bCs/>
        </w:rPr>
        <w:t>are notified in writing of any variation</w:t>
      </w:r>
      <w:r w:rsidRPr="00B72F95">
        <w:t>.</w:t>
      </w:r>
    </w:p>
    <w:p w14:paraId="6F730552" w14:textId="77777777" w:rsidR="00D73B22" w:rsidRPr="00E135C7" w:rsidRDefault="00D73B22" w:rsidP="00D73B22">
      <w:pPr>
        <w:pStyle w:val="ListBullet"/>
      </w:pPr>
      <w:r w:rsidRPr="00E135C7">
        <w:t>Certified Product Details</w:t>
      </w:r>
    </w:p>
    <w:p w14:paraId="2AA01765" w14:textId="77777777" w:rsidR="00D73B22" w:rsidRPr="00E135C7" w:rsidRDefault="00D73B22" w:rsidP="00D73B22">
      <w:pPr>
        <w:pStyle w:val="ListBullet"/>
        <w:numPr>
          <w:ilvl w:val="0"/>
          <w:numId w:val="0"/>
        </w:numPr>
        <w:ind w:left="360"/>
      </w:pPr>
      <w:r w:rsidRPr="00E135C7">
        <w:t xml:space="preserve">The Certified Product Details (CPD), as described in Guidance </w:t>
      </w:r>
      <w:r>
        <w:t xml:space="preserve">7: Certified Product Details of </w:t>
      </w:r>
      <w:r w:rsidRPr="00E135C7">
        <w:t>the Australian Regulatory Guidelines for</w:t>
      </w:r>
      <w:r>
        <w:t xml:space="preserve"> Prescription Medicines (ARGPM) </w:t>
      </w:r>
      <w:r w:rsidRPr="00E135C7">
        <w:t>[http://www.tga.gov.au/industry/pm-argpm-guidance-7.htm</w:t>
      </w:r>
      <w:r>
        <w:t xml:space="preserve">], in PDF format, for the above </w:t>
      </w:r>
      <w:r w:rsidRPr="00E135C7">
        <w:t>products should be provided upon registration of these the</w:t>
      </w:r>
      <w:r>
        <w:t xml:space="preserve">rapeutic goods. In addition, an </w:t>
      </w:r>
      <w:r w:rsidRPr="00E135C7">
        <w:t xml:space="preserve">updated CPD should be provided when changes to finished </w:t>
      </w:r>
      <w:r>
        <w:t xml:space="preserve">product specifications and test </w:t>
      </w:r>
      <w:r w:rsidRPr="00E135C7">
        <w:t>methods are approved in a Category 3 application or not</w:t>
      </w:r>
      <w:r>
        <w:t xml:space="preserve">ified through a self-assessable </w:t>
      </w:r>
      <w:r w:rsidRPr="00E135C7">
        <w:t>change.</w:t>
      </w:r>
    </w:p>
    <w:p w14:paraId="5AAE5A3A" w14:textId="77777777" w:rsidR="00D73B22" w:rsidRDefault="00D73B22" w:rsidP="00D73B22">
      <w:pPr>
        <w:pStyle w:val="ListBullet"/>
        <w:numPr>
          <w:ilvl w:val="0"/>
          <w:numId w:val="0"/>
        </w:numPr>
        <w:ind w:left="360"/>
      </w:pPr>
      <w:r w:rsidRPr="00E135C7">
        <w:t>The CPD should be emailed to Biochemistry.Testin</w:t>
      </w:r>
      <w:r>
        <w:t xml:space="preserve">g@health.gov.au as a single PDF </w:t>
      </w:r>
      <w:r w:rsidRPr="00E135C7">
        <w:t>document.</w:t>
      </w:r>
    </w:p>
    <w:p w14:paraId="6DC8496B" w14:textId="77777777" w:rsidR="009752A5" w:rsidRDefault="00D73B22" w:rsidP="00D73B22">
      <w:pPr>
        <w:pStyle w:val="ListBullet"/>
        <w:rPr>
          <w:lang w:eastAsia="en-AU"/>
        </w:rPr>
      </w:pPr>
      <w:r>
        <w:rPr>
          <w:lang w:eastAsia="en-AU"/>
        </w:rPr>
        <w:t>For all injectable products the Product Information must be included with the product as a package insert.</w:t>
      </w:r>
    </w:p>
    <w:p w14:paraId="37B592B8" w14:textId="77777777" w:rsidR="008E7846" w:rsidRDefault="00A80B5B" w:rsidP="00D23139">
      <w:pPr>
        <w:pStyle w:val="Heading2"/>
      </w:pPr>
      <w:bookmarkStart w:id="63" w:name="_Toc33614753"/>
      <w:r>
        <w:lastRenderedPageBreak/>
        <w:t xml:space="preserve">Attachment 1. </w:t>
      </w:r>
      <w:r w:rsidR="008E7846">
        <w:t xml:space="preserve">Product </w:t>
      </w:r>
      <w:r w:rsidR="00AA0ED0">
        <w:t>I</w:t>
      </w:r>
      <w:r w:rsidR="008E7846">
        <w:t>nformation</w:t>
      </w:r>
      <w:bookmarkEnd w:id="61"/>
      <w:bookmarkEnd w:id="62"/>
      <w:bookmarkEnd w:id="63"/>
    </w:p>
    <w:p w14:paraId="4BCA78A1" w14:textId="77777777" w:rsidR="00770CAC" w:rsidRPr="00920F41" w:rsidRDefault="006136D7" w:rsidP="00920F41">
      <w:pPr>
        <w:rPr>
          <w:color w:val="000000"/>
          <w:lang w:eastAsia="en-AU"/>
        </w:rPr>
      </w:pPr>
      <w:r w:rsidRPr="002B3624">
        <w:t xml:space="preserve">The </w:t>
      </w:r>
      <w:r>
        <w:t>PI</w:t>
      </w:r>
      <w:r w:rsidRPr="002B3624">
        <w:t xml:space="preserve"> for </w:t>
      </w:r>
      <w:proofErr w:type="spellStart"/>
      <w:r w:rsidR="00D73B22">
        <w:t>Zirabev</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D73B22">
        <w:t>&gt;.</w:t>
      </w:r>
    </w:p>
    <w:p w14:paraId="3182A5E3" w14:textId="77777777" w:rsidR="00291957" w:rsidRDefault="00291957" w:rsidP="00291957">
      <w:pPr>
        <w:rPr>
          <w:lang w:eastAsia="ja-JP"/>
        </w:rPr>
      </w:pPr>
    </w:p>
    <w:p w14:paraId="7C22B06E" w14:textId="77777777"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8157C50" w14:textId="77777777" w:rsidTr="00A05FA4">
        <w:trPr>
          <w:trHeight w:hRule="exact" w:val="704"/>
        </w:trPr>
        <w:tc>
          <w:tcPr>
            <w:tcW w:w="9175" w:type="dxa"/>
          </w:tcPr>
          <w:p w14:paraId="59D76A4A" w14:textId="77777777" w:rsidR="001C32CD" w:rsidRPr="00487162" w:rsidRDefault="001C32CD" w:rsidP="00A05FA4">
            <w:pPr>
              <w:pStyle w:val="TGASignoff"/>
            </w:pPr>
            <w:r w:rsidRPr="00487162">
              <w:lastRenderedPageBreak/>
              <w:t>Therapeutic Goods Administration</w:t>
            </w:r>
          </w:p>
        </w:tc>
      </w:tr>
      <w:tr w:rsidR="001C32CD" w:rsidRPr="004C239D" w14:paraId="670B15F6" w14:textId="77777777" w:rsidTr="00A05FA4">
        <w:trPr>
          <w:trHeight w:val="1221"/>
        </w:trPr>
        <w:tc>
          <w:tcPr>
            <w:tcW w:w="9175" w:type="dxa"/>
            <w:tcMar>
              <w:top w:w="28" w:type="dxa"/>
            </w:tcMar>
          </w:tcPr>
          <w:p w14:paraId="2B4EE454" w14:textId="77777777" w:rsidR="001C32CD" w:rsidRPr="00487162" w:rsidRDefault="001C32CD" w:rsidP="00A05FA4">
            <w:pPr>
              <w:pStyle w:val="Address"/>
            </w:pPr>
            <w:r w:rsidRPr="00487162">
              <w:t>PO Box 100 Woden ACT 2606 Australia</w:t>
            </w:r>
          </w:p>
          <w:p w14:paraId="0C9A2723"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Pr="00487162">
              <w:t xml:space="preserve">  Phone: 1800 020 653  Fax: 02 6232 8605</w:t>
            </w:r>
          </w:p>
          <w:p w14:paraId="10DC1B2C" w14:textId="77777777" w:rsidR="001C32CD" w:rsidRPr="004C239D" w:rsidRDefault="00D97F65"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2F567A4D"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0294D4" w16cid:durableId="21E2DBAC"/>
  <w16cid:commentId w16cid:paraId="731931F8" w16cid:durableId="21E2DBB8"/>
  <w16cid:commentId w16cid:paraId="6B6AE2B3" w16cid:durableId="21E2DC7A"/>
  <w16cid:commentId w16cid:paraId="57958DFF" w16cid:durableId="21E2DCA9"/>
  <w16cid:commentId w16cid:paraId="4FE1F46F" w16cid:durableId="21E2DE74"/>
  <w16cid:commentId w16cid:paraId="2B99673D" w16cid:durableId="21E2DE7E"/>
  <w16cid:commentId w16cid:paraId="793F7B2D" w16cid:durableId="21E7EC43"/>
  <w16cid:commentId w16cid:paraId="6FF0981F" w16cid:durableId="21E82610"/>
  <w16cid:commentId w16cid:paraId="0A5CB140" w16cid:durableId="21E82640"/>
  <w16cid:commentId w16cid:paraId="50284712" w16cid:durableId="21E82661"/>
  <w16cid:commentId w16cid:paraId="16F64CBF" w16cid:durableId="21E8264E"/>
  <w16cid:commentId w16cid:paraId="33EC3783" w16cid:durableId="21E826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4CE29" w14:textId="77777777" w:rsidR="007443C8" w:rsidRDefault="007443C8" w:rsidP="00C40A36">
      <w:pPr>
        <w:spacing w:after="0"/>
      </w:pPr>
      <w:r>
        <w:separator/>
      </w:r>
    </w:p>
  </w:endnote>
  <w:endnote w:type="continuationSeparator" w:id="0">
    <w:p w14:paraId="5BD0668D" w14:textId="77777777" w:rsidR="007443C8" w:rsidRDefault="007443C8" w:rsidP="00C40A36">
      <w:pPr>
        <w:spacing w:after="0"/>
      </w:pPr>
      <w:r>
        <w:continuationSeparator/>
      </w:r>
    </w:p>
  </w:endnote>
  <w:endnote w:type="continuationNotice" w:id="1">
    <w:p w14:paraId="0ED3AE43" w14:textId="77777777" w:rsidR="007443C8" w:rsidRDefault="007443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7A987" w14:textId="77777777" w:rsidR="00793549" w:rsidRDefault="00793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443C8" w:rsidRPr="00487162" w14:paraId="2B437EF2" w14:textId="77777777" w:rsidTr="00DB750B">
      <w:trPr>
        <w:trHeight w:val="269"/>
      </w:trPr>
      <w:tc>
        <w:tcPr>
          <w:tcW w:w="7371" w:type="dxa"/>
          <w:tcMar>
            <w:top w:w="142" w:type="dxa"/>
            <w:bottom w:w="0" w:type="dxa"/>
          </w:tcMar>
        </w:tcPr>
        <w:p w14:paraId="1034B3FC" w14:textId="790B3D3E" w:rsidR="007443C8" w:rsidRPr="00487162" w:rsidRDefault="007443C8" w:rsidP="007443C8">
          <w:pPr>
            <w:pStyle w:val="Footer"/>
          </w:pPr>
          <w:r w:rsidRPr="00487162">
            <w:t>AusPA</w:t>
          </w:r>
          <w:r>
            <w:t xml:space="preserve">R - </w:t>
          </w:r>
          <w:r w:rsidRPr="00D73B22">
            <w:t>ZIRABEV - Bevacizumab - Pfizer Australia Pty Ltd - PM-2018-03842-1-4</w:t>
          </w:r>
          <w:r>
            <w:br/>
            <w:t>FINAL 26 February 2020</w:t>
          </w:r>
        </w:p>
      </w:tc>
      <w:tc>
        <w:tcPr>
          <w:tcW w:w="1490" w:type="dxa"/>
          <w:tcMar>
            <w:top w:w="142" w:type="dxa"/>
            <w:bottom w:w="0" w:type="dxa"/>
          </w:tcMar>
        </w:tcPr>
        <w:p w14:paraId="50E98FEE" w14:textId="67CF5B8C" w:rsidR="007443C8" w:rsidRPr="00487162" w:rsidRDefault="007443C8" w:rsidP="00DB750B">
          <w:pPr>
            <w:pStyle w:val="Footer"/>
            <w:jc w:val="right"/>
          </w:pPr>
          <w:r w:rsidRPr="00487162">
            <w:t xml:space="preserve">Page </w:t>
          </w:r>
          <w:r>
            <w:fldChar w:fldCharType="begin"/>
          </w:r>
          <w:r>
            <w:instrText xml:space="preserve"> PAGE  \* Arabic </w:instrText>
          </w:r>
          <w:r>
            <w:fldChar w:fldCharType="separate"/>
          </w:r>
          <w:r w:rsidR="00D97F65">
            <w:rPr>
              <w:noProof/>
            </w:rPr>
            <w:t>28</w:t>
          </w:r>
          <w:r>
            <w:fldChar w:fldCharType="end"/>
          </w:r>
          <w:r w:rsidRPr="00487162">
            <w:t xml:space="preserve"> of </w:t>
          </w:r>
          <w:r w:rsidR="00D97F65">
            <w:fldChar w:fldCharType="begin"/>
          </w:r>
          <w:r w:rsidR="00D97F65">
            <w:instrText xml:space="preserve"> NUMPAGES  \* Arabic </w:instrText>
          </w:r>
          <w:r w:rsidR="00D97F65">
            <w:fldChar w:fldCharType="separate"/>
          </w:r>
          <w:r w:rsidR="00D97F65">
            <w:rPr>
              <w:noProof/>
            </w:rPr>
            <w:t>29</w:t>
          </w:r>
          <w:r w:rsidR="00D97F65">
            <w:rPr>
              <w:noProof/>
            </w:rPr>
            <w:fldChar w:fldCharType="end"/>
          </w:r>
        </w:p>
      </w:tc>
    </w:tr>
  </w:tbl>
  <w:p w14:paraId="5769C974" w14:textId="77777777" w:rsidR="007443C8" w:rsidRDefault="007443C8"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16CE" w14:textId="77777777" w:rsidR="00793549" w:rsidRDefault="007935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443C8" w:rsidRPr="00487162" w14:paraId="718586BA" w14:textId="77777777" w:rsidTr="00E45619">
      <w:trPr>
        <w:trHeight w:val="269"/>
      </w:trPr>
      <w:tc>
        <w:tcPr>
          <w:tcW w:w="4519" w:type="dxa"/>
          <w:tcBorders>
            <w:top w:val="single" w:sz="4" w:space="0" w:color="auto"/>
          </w:tcBorders>
          <w:tcMar>
            <w:top w:w="142" w:type="dxa"/>
            <w:bottom w:w="0" w:type="dxa"/>
          </w:tcMar>
        </w:tcPr>
        <w:p w14:paraId="164205CB" w14:textId="77777777" w:rsidR="007443C8" w:rsidRPr="00487162" w:rsidRDefault="007443C8" w:rsidP="00FE1DEE">
          <w:pPr>
            <w:pStyle w:val="Footer"/>
          </w:pPr>
          <w:r w:rsidRPr="00487162">
            <w:t>Document title, Part #, Section # - Section title</w:t>
          </w:r>
        </w:p>
        <w:p w14:paraId="7DE4FDDB" w14:textId="77777777" w:rsidR="007443C8" w:rsidRPr="00487162" w:rsidRDefault="007443C8" w:rsidP="00FE1DEE">
          <w:pPr>
            <w:pStyle w:val="Footer"/>
          </w:pPr>
          <w:r w:rsidRPr="00487162">
            <w:t>V1.0 October 2010</w:t>
          </w:r>
        </w:p>
      </w:tc>
      <w:tc>
        <w:tcPr>
          <w:tcW w:w="4342" w:type="dxa"/>
          <w:tcBorders>
            <w:top w:val="single" w:sz="4" w:space="0" w:color="auto"/>
          </w:tcBorders>
          <w:tcMar>
            <w:top w:w="142" w:type="dxa"/>
            <w:bottom w:w="0" w:type="dxa"/>
          </w:tcMar>
        </w:tcPr>
        <w:p w14:paraId="54EBB4D7" w14:textId="77777777" w:rsidR="007443C8" w:rsidRPr="00487162" w:rsidRDefault="007443C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D97F65">
            <w:fldChar w:fldCharType="begin"/>
          </w:r>
          <w:r w:rsidR="00D97F65">
            <w:instrText xml:space="preserve"> NUMPAGES  </w:instrText>
          </w:r>
          <w:r w:rsidR="00D97F65">
            <w:fldChar w:fldCharType="separate"/>
          </w:r>
          <w:r>
            <w:rPr>
              <w:noProof/>
            </w:rPr>
            <w:t>3</w:t>
          </w:r>
          <w:r w:rsidR="00D97F65">
            <w:rPr>
              <w:noProof/>
            </w:rPr>
            <w:fldChar w:fldCharType="end"/>
          </w:r>
        </w:p>
      </w:tc>
    </w:tr>
  </w:tbl>
  <w:p w14:paraId="2A8E799E" w14:textId="77777777" w:rsidR="007443C8" w:rsidRDefault="007443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5CEB" w14:textId="77777777" w:rsidR="007443C8" w:rsidRPr="001C32CD" w:rsidRDefault="007443C8"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443C8" w14:paraId="567C7D3E" w14:textId="77777777" w:rsidTr="0010601F">
      <w:trPr>
        <w:trHeight w:val="108"/>
      </w:trPr>
      <w:tc>
        <w:tcPr>
          <w:tcW w:w="8875" w:type="dxa"/>
          <w:gridSpan w:val="2"/>
          <w:tcBorders>
            <w:bottom w:val="single" w:sz="4" w:space="0" w:color="auto"/>
          </w:tcBorders>
          <w:tcMar>
            <w:right w:w="284" w:type="dxa"/>
          </w:tcMar>
        </w:tcPr>
        <w:p w14:paraId="4B65E58B" w14:textId="77777777" w:rsidR="007443C8" w:rsidRDefault="007443C8" w:rsidP="006E08B3">
          <w:pPr>
            <w:pStyle w:val="Heading3"/>
          </w:pPr>
          <w:r>
            <w:t>Copyright</w:t>
          </w:r>
        </w:p>
        <w:p w14:paraId="1F23D00D" w14:textId="77777777" w:rsidR="007443C8" w:rsidRDefault="007443C8" w:rsidP="006E08B3">
          <w:r>
            <w:rPr>
              <w:rFonts w:cs="Arial"/>
            </w:rPr>
            <w:t>©</w:t>
          </w:r>
          <w:r>
            <w:t xml:space="preserve"> Commonwealth of Australia [add year]</w:t>
          </w:r>
        </w:p>
        <w:p w14:paraId="3BF1524C" w14:textId="77777777" w:rsidR="007443C8" w:rsidRDefault="007443C8" w:rsidP="006E08B3"/>
        <w:p w14:paraId="33EF03B4" w14:textId="77777777" w:rsidR="007443C8" w:rsidRDefault="007443C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736DDEEA" w14:textId="77777777" w:rsidR="007443C8" w:rsidRDefault="007443C8" w:rsidP="006E08B3"/>
        <w:p w14:paraId="590D9EA2" w14:textId="77777777" w:rsidR="007443C8" w:rsidRDefault="007443C8" w:rsidP="006E08B3">
          <w:pPr>
            <w:pStyle w:val="Heading3"/>
          </w:pPr>
          <w:r>
            <w:t>Confidentiality</w:t>
          </w:r>
        </w:p>
        <w:p w14:paraId="7A8B8EC8" w14:textId="77777777" w:rsidR="007443C8" w:rsidRDefault="007443C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6F17801" w14:textId="77777777" w:rsidR="007443C8" w:rsidRDefault="007443C8" w:rsidP="006E08B3"/>
        <w:p w14:paraId="0895A731" w14:textId="77777777" w:rsidR="007443C8" w:rsidRDefault="007443C8" w:rsidP="006E08B3">
          <w:r>
            <w:t>For submission made by individuals, all personal details, other than your name, will be removed from your submission before it is published on the TGA’s Internet site.</w:t>
          </w:r>
        </w:p>
        <w:p w14:paraId="703BBAB2" w14:textId="77777777" w:rsidR="007443C8" w:rsidRDefault="007443C8" w:rsidP="006E08B3"/>
        <w:p w14:paraId="3E762BD6" w14:textId="77777777" w:rsidR="007443C8" w:rsidRDefault="007443C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443C8" w14:paraId="510DB120" w14:textId="77777777" w:rsidTr="0010601F">
      <w:trPr>
        <w:trHeight w:val="417"/>
      </w:trPr>
      <w:tc>
        <w:tcPr>
          <w:tcW w:w="4519" w:type="dxa"/>
          <w:tcBorders>
            <w:top w:val="single" w:sz="4" w:space="0" w:color="auto"/>
          </w:tcBorders>
          <w:tcMar>
            <w:top w:w="142" w:type="dxa"/>
            <w:bottom w:w="0" w:type="dxa"/>
          </w:tcMar>
        </w:tcPr>
        <w:p w14:paraId="00DD9ED3" w14:textId="77777777" w:rsidR="007443C8" w:rsidRDefault="007443C8" w:rsidP="006E08B3">
          <w:r>
            <w:t>Document title, Part #, Section # - Section title</w:t>
          </w:r>
        </w:p>
        <w:p w14:paraId="5122BC53" w14:textId="77777777" w:rsidR="007443C8" w:rsidRDefault="007443C8" w:rsidP="006E08B3">
          <w:r>
            <w:t>V1.0 October 2010</w:t>
          </w:r>
        </w:p>
      </w:tc>
      <w:tc>
        <w:tcPr>
          <w:tcW w:w="4356" w:type="dxa"/>
          <w:tcBorders>
            <w:top w:val="single" w:sz="4" w:space="0" w:color="auto"/>
          </w:tcBorders>
          <w:tcMar>
            <w:top w:w="142" w:type="dxa"/>
            <w:bottom w:w="0" w:type="dxa"/>
          </w:tcMar>
        </w:tcPr>
        <w:p w14:paraId="3C9F946B" w14:textId="77777777" w:rsidR="007443C8" w:rsidRDefault="007443C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D97F65">
            <w:fldChar w:fldCharType="begin"/>
          </w:r>
          <w:r w:rsidR="00D97F65">
            <w:instrText xml:space="preserve"> NUMPAGES  \* Arabic </w:instrText>
          </w:r>
          <w:r w:rsidR="00D97F65">
            <w:fldChar w:fldCharType="separate"/>
          </w:r>
          <w:r>
            <w:rPr>
              <w:noProof/>
            </w:rPr>
            <w:t>3</w:t>
          </w:r>
          <w:r w:rsidR="00D97F65">
            <w:rPr>
              <w:noProof/>
            </w:rPr>
            <w:fldChar w:fldCharType="end"/>
          </w:r>
          <w:r>
            <w:t xml:space="preserve">  </w:t>
          </w:r>
        </w:p>
      </w:tc>
    </w:tr>
  </w:tbl>
  <w:p w14:paraId="1550F3D1" w14:textId="77777777" w:rsidR="007443C8" w:rsidRDefault="007443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6BDF3" w14:textId="77777777" w:rsidR="007443C8" w:rsidRDefault="007443C8" w:rsidP="00C40A36">
      <w:pPr>
        <w:spacing w:after="0"/>
      </w:pPr>
      <w:r>
        <w:separator/>
      </w:r>
    </w:p>
  </w:footnote>
  <w:footnote w:type="continuationSeparator" w:id="0">
    <w:p w14:paraId="3617CE0B" w14:textId="77777777" w:rsidR="007443C8" w:rsidRDefault="007443C8" w:rsidP="00C40A36">
      <w:pPr>
        <w:spacing w:after="0"/>
      </w:pPr>
      <w:r>
        <w:continuationSeparator/>
      </w:r>
    </w:p>
  </w:footnote>
  <w:footnote w:type="continuationNotice" w:id="1">
    <w:p w14:paraId="4FEFF401" w14:textId="77777777" w:rsidR="007443C8" w:rsidRDefault="007443C8">
      <w:pPr>
        <w:spacing w:before="0" w:after="0" w:line="240" w:lineRule="auto"/>
      </w:pPr>
    </w:p>
  </w:footnote>
  <w:footnote w:id="2">
    <w:p w14:paraId="4B385011" w14:textId="77777777" w:rsidR="007443C8" w:rsidRDefault="007443C8" w:rsidP="009118E1">
      <w:pPr>
        <w:pStyle w:val="FootnoteText"/>
      </w:pPr>
      <w:r>
        <w:rPr>
          <w:rStyle w:val="FootnoteReference"/>
        </w:rPr>
        <w:footnoteRef/>
      </w:r>
      <w:r>
        <w:t xml:space="preserve"> </w:t>
      </w:r>
      <w:r>
        <w:rPr>
          <w:i/>
        </w:rPr>
        <w:t>Routine risk minimisation</w:t>
      </w:r>
      <w:r>
        <w:t xml:space="preserve"> activities may be limited to ensuring that suitable warnings are included in the product information or by careful use of labelling and packaging.</w:t>
      </w:r>
    </w:p>
    <w:p w14:paraId="4A647D35" w14:textId="77777777" w:rsidR="007443C8" w:rsidRDefault="007443C8" w:rsidP="009118E1">
      <w:pPr>
        <w:pStyle w:val="FootnoteText"/>
      </w:pPr>
      <w:r>
        <w:rPr>
          <w:i/>
        </w:rPr>
        <w:t>Routine pharmacovigilance</w:t>
      </w:r>
      <w:r>
        <w:t xml:space="preserve"> practices involve the following activities:</w:t>
      </w:r>
    </w:p>
    <w:p w14:paraId="0C243CB7" w14:textId="77777777" w:rsidR="007443C8" w:rsidRDefault="007443C8" w:rsidP="009118E1">
      <w:pPr>
        <w:pStyle w:val="FootnoteText"/>
        <w:numPr>
          <w:ilvl w:val="0"/>
          <w:numId w:val="45"/>
        </w:numPr>
      </w:pPr>
      <w:r>
        <w:t>All suspected adverse reactions that are reported to the personnel of the company are collected and collated in an accessible manner;</w:t>
      </w:r>
    </w:p>
    <w:p w14:paraId="6539DF84" w14:textId="77777777" w:rsidR="007443C8" w:rsidRDefault="007443C8" w:rsidP="009118E1">
      <w:pPr>
        <w:pStyle w:val="FootnoteText"/>
        <w:numPr>
          <w:ilvl w:val="0"/>
          <w:numId w:val="45"/>
        </w:numPr>
      </w:pPr>
      <w:r>
        <w:t>Reporting to regulatory authorities;</w:t>
      </w:r>
    </w:p>
    <w:p w14:paraId="7840BD24" w14:textId="788B83A7" w:rsidR="007443C8" w:rsidRDefault="007443C8" w:rsidP="009118E1">
      <w:pPr>
        <w:pStyle w:val="FootnoteText"/>
        <w:numPr>
          <w:ilvl w:val="0"/>
          <w:numId w:val="45"/>
        </w:numPr>
      </w:pPr>
      <w:r>
        <w:t xml:space="preserve">Continuous monitoring of the safety profiles of approved products including signal detection and updating of </w:t>
      </w:r>
      <w:r w:rsidR="008E374C">
        <w:t>labelling</w:t>
      </w:r>
      <w:r>
        <w:t>;</w:t>
      </w:r>
    </w:p>
    <w:p w14:paraId="66A50763" w14:textId="77777777" w:rsidR="007443C8" w:rsidRDefault="007443C8" w:rsidP="009118E1">
      <w:pPr>
        <w:pStyle w:val="FootnoteText"/>
        <w:numPr>
          <w:ilvl w:val="0"/>
          <w:numId w:val="45"/>
        </w:numPr>
      </w:pPr>
      <w:r>
        <w:t>Submission of PSURs;</w:t>
      </w:r>
    </w:p>
    <w:p w14:paraId="64193DCD" w14:textId="77777777" w:rsidR="007443C8" w:rsidRDefault="007443C8" w:rsidP="009118E1">
      <w:pPr>
        <w:pStyle w:val="FootnoteText"/>
        <w:numPr>
          <w:ilvl w:val="0"/>
          <w:numId w:val="45"/>
        </w:numPr>
        <w:rPr>
          <w:lang w:val="en-US"/>
        </w:rPr>
      </w:pPr>
      <w:r>
        <w:t>Meeting other local regulatory agency requirements.</w:t>
      </w:r>
    </w:p>
  </w:footnote>
  <w:footnote w:id="3">
    <w:p w14:paraId="3F75D147" w14:textId="0C093421" w:rsidR="007443C8" w:rsidRPr="002A654E" w:rsidRDefault="007443C8">
      <w:pPr>
        <w:pStyle w:val="FootnoteText"/>
        <w:rPr>
          <w:lang w:val="en-GB"/>
        </w:rPr>
      </w:pPr>
      <w:r>
        <w:rPr>
          <w:rStyle w:val="FootnoteReference"/>
        </w:rPr>
        <w:footnoteRef/>
      </w:r>
      <w:r>
        <w:t xml:space="preserve"> </w:t>
      </w:r>
      <w:r>
        <w:rPr>
          <w:lang w:val="en-GB"/>
        </w:rPr>
        <w:t xml:space="preserve">European Medicines Agency/European Commission: Guidelines on </w:t>
      </w:r>
      <w:proofErr w:type="spellStart"/>
      <w:r>
        <w:rPr>
          <w:lang w:val="en-GB"/>
        </w:rPr>
        <w:t>biosimilars</w:t>
      </w:r>
      <w:proofErr w:type="spellEnd"/>
      <w:r>
        <w:rPr>
          <w:lang w:val="en-GB"/>
        </w:rPr>
        <w:t xml:space="preserve">; available on the EMA website under </w:t>
      </w:r>
      <w:r w:rsidRPr="007443C8">
        <w:rPr>
          <w:lang w:val="en-GB"/>
        </w:rPr>
        <w:t>Multidisciplinary: biosimilar</w:t>
      </w:r>
      <w:r>
        <w:rPr>
          <w:lang w:val="en-GB"/>
        </w:rPr>
        <w:t>.</w:t>
      </w:r>
    </w:p>
  </w:footnote>
  <w:footnote w:id="4">
    <w:p w14:paraId="2600F2C9" w14:textId="77777777" w:rsidR="007443C8" w:rsidRDefault="007443C8"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0D6ED1C7" w14:textId="77777777" w:rsidR="007443C8" w:rsidRPr="00456765" w:rsidRDefault="007443C8"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B87B" w14:textId="77777777" w:rsidR="00793549" w:rsidRDefault="00793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17BC" w14:textId="77777777" w:rsidR="007443C8" w:rsidRDefault="007443C8"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1ACCA" w14:textId="77777777" w:rsidR="007443C8" w:rsidRDefault="007443C8">
    <w:pPr>
      <w:rPr>
        <w:noProof/>
        <w:lang w:eastAsia="en-AU"/>
      </w:rPr>
    </w:pPr>
    <w:r w:rsidRPr="00347824">
      <w:rPr>
        <w:noProof/>
        <w:lang w:eastAsia="en-AU"/>
      </w:rPr>
      <w:drawing>
        <wp:anchor distT="0" distB="0" distL="114300" distR="114300" simplePos="0" relativeHeight="251657216" behindDoc="1" locked="0" layoutInCell="1" allowOverlap="1" wp14:anchorId="25A19393" wp14:editId="42A7477E">
          <wp:simplePos x="0" y="0"/>
          <wp:positionH relativeFrom="column">
            <wp:posOffset>-1089660</wp:posOffset>
          </wp:positionH>
          <wp:positionV relativeFrom="paragraph">
            <wp:posOffset>-585470</wp:posOffset>
          </wp:positionV>
          <wp:extent cx="7572375" cy="10706100"/>
          <wp:effectExtent l="19050" t="0" r="0" b="0"/>
          <wp:wrapNone/>
          <wp:docPr id="1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39E7F34" w14:textId="77777777" w:rsidR="007443C8" w:rsidRDefault="007443C8" w:rsidP="00593AD1">
    <w:pPr>
      <w:pStyle w:val="HeaderNoLine"/>
    </w:pPr>
    <w:r>
      <w:rPr>
        <w:noProof/>
        <w:lang w:eastAsia="en-AU"/>
      </w:rPr>
      <w:drawing>
        <wp:inline distT="0" distB="0" distL="0" distR="0" wp14:anchorId="266E857E" wp14:editId="7903E8A5">
          <wp:extent cx="5400675" cy="7639050"/>
          <wp:effectExtent l="0" t="0" r="9525" b="0"/>
          <wp:docPr id="12" name="Picture 1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CE86" w14:textId="77777777" w:rsidR="007443C8" w:rsidRDefault="007443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331A" w14:textId="77777777" w:rsidR="007443C8" w:rsidRDefault="007443C8">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1740" w14:textId="77777777" w:rsidR="007443C8" w:rsidRDefault="007443C8">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F867D" w14:textId="77777777" w:rsidR="007443C8" w:rsidRDefault="007443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097D" w14:textId="77777777" w:rsidR="007443C8" w:rsidRDefault="007443C8"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4A12" w14:textId="77777777" w:rsidR="007443C8" w:rsidRDefault="007443C8" w:rsidP="006E08B3">
    <w:r>
      <w:t>Therapeutic Goods Administration</w:t>
    </w:r>
  </w:p>
  <w:p w14:paraId="21F95E45" w14:textId="77777777" w:rsidR="007443C8" w:rsidRDefault="007443C8"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F722A90"/>
    <w:multiLevelType w:val="hybridMultilevel"/>
    <w:tmpl w:val="1E864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B90EE9E0"/>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97B2CD2"/>
    <w:multiLevelType w:val="hybridMultilevel"/>
    <w:tmpl w:val="5F3AD2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03473"/>
    <w:multiLevelType w:val="hybridMultilevel"/>
    <w:tmpl w:val="B2A4B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7B4808"/>
    <w:multiLevelType w:val="hybridMultilevel"/>
    <w:tmpl w:val="5C92B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73F87"/>
    <w:multiLevelType w:val="hybridMultilevel"/>
    <w:tmpl w:val="B43E5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870C2"/>
    <w:multiLevelType w:val="hybridMultilevel"/>
    <w:tmpl w:val="DE980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40426"/>
    <w:multiLevelType w:val="hybridMultilevel"/>
    <w:tmpl w:val="7B3AD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5C1C76"/>
    <w:multiLevelType w:val="hybridMultilevel"/>
    <w:tmpl w:val="39281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D04FC6"/>
    <w:multiLevelType w:val="hybridMultilevel"/>
    <w:tmpl w:val="5CE4F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8057862"/>
    <w:multiLevelType w:val="hybridMultilevel"/>
    <w:tmpl w:val="44B2D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6A0FBE"/>
    <w:multiLevelType w:val="hybridMultilevel"/>
    <w:tmpl w:val="D6CAB0FE"/>
    <w:lvl w:ilvl="0" w:tplc="9A30D1C8">
      <w:numFmt w:val="bullet"/>
      <w:pStyle w:val="Tabledotpoints"/>
      <w:lvlText w:val="•"/>
      <w:lvlJc w:val="left"/>
      <w:pPr>
        <w:ind w:left="720" w:hanging="720"/>
      </w:pPr>
      <w:rPr>
        <w:rFonts w:ascii="Cambria" w:eastAsia="MS Mincho" w:hAnsi="Cambria"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CD2D99"/>
    <w:multiLevelType w:val="hybridMultilevel"/>
    <w:tmpl w:val="FA8A0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55023C"/>
    <w:multiLevelType w:val="hybridMultilevel"/>
    <w:tmpl w:val="AD3A0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505F3F"/>
    <w:multiLevelType w:val="hybridMultilevel"/>
    <w:tmpl w:val="5F44198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D061C03"/>
    <w:multiLevelType w:val="hybridMultilevel"/>
    <w:tmpl w:val="A5ECD45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38290F"/>
    <w:multiLevelType w:val="hybridMultilevel"/>
    <w:tmpl w:val="9AA65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4"/>
  </w:num>
  <w:num w:numId="28">
    <w:abstractNumId w:val="21"/>
  </w:num>
  <w:num w:numId="29">
    <w:abstractNumId w:val="19"/>
  </w:num>
  <w:num w:numId="30">
    <w:abstractNumId w:val="16"/>
  </w:num>
  <w:num w:numId="31">
    <w:abstractNumId w:val="8"/>
  </w:num>
  <w:num w:numId="32">
    <w:abstractNumId w:val="23"/>
  </w:num>
  <w:num w:numId="33">
    <w:abstractNumId w:val="9"/>
  </w:num>
  <w:num w:numId="34">
    <w:abstractNumId w:val="17"/>
  </w:num>
  <w:num w:numId="35">
    <w:abstractNumId w:val="20"/>
  </w:num>
  <w:num w:numId="36">
    <w:abstractNumId w:val="10"/>
  </w:num>
  <w:num w:numId="37">
    <w:abstractNumId w:val="7"/>
  </w:num>
  <w:num w:numId="38">
    <w:abstractNumId w:val="18"/>
  </w:num>
  <w:num w:numId="39">
    <w:abstractNumId w:val="15"/>
  </w:num>
  <w:num w:numId="40">
    <w:abstractNumId w:val="12"/>
  </w:num>
  <w:num w:numId="41">
    <w:abstractNumId w:val="11"/>
  </w:num>
  <w:num w:numId="42">
    <w:abstractNumId w:val="13"/>
  </w:num>
  <w:num w:numId="43">
    <w:abstractNumId w:val="4"/>
  </w:num>
  <w:num w:numId="44">
    <w:abstractNumId w:val="2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6B"/>
    <w:rsid w:val="00002031"/>
    <w:rsid w:val="00004734"/>
    <w:rsid w:val="00006B22"/>
    <w:rsid w:val="00011724"/>
    <w:rsid w:val="0001276A"/>
    <w:rsid w:val="000246AE"/>
    <w:rsid w:val="00025C67"/>
    <w:rsid w:val="00031EED"/>
    <w:rsid w:val="00044772"/>
    <w:rsid w:val="0004541C"/>
    <w:rsid w:val="0005559E"/>
    <w:rsid w:val="000604D6"/>
    <w:rsid w:val="000734D8"/>
    <w:rsid w:val="00077775"/>
    <w:rsid w:val="00090471"/>
    <w:rsid w:val="00096AA7"/>
    <w:rsid w:val="000A3AED"/>
    <w:rsid w:val="000B3532"/>
    <w:rsid w:val="000B3A75"/>
    <w:rsid w:val="000C00C2"/>
    <w:rsid w:val="000C690F"/>
    <w:rsid w:val="000D1295"/>
    <w:rsid w:val="000D391B"/>
    <w:rsid w:val="000D3D6D"/>
    <w:rsid w:val="000D4B50"/>
    <w:rsid w:val="000D4D5B"/>
    <w:rsid w:val="000D4FC7"/>
    <w:rsid w:val="000E6196"/>
    <w:rsid w:val="000E637D"/>
    <w:rsid w:val="000F4869"/>
    <w:rsid w:val="000F5B42"/>
    <w:rsid w:val="000F6E6F"/>
    <w:rsid w:val="0010601F"/>
    <w:rsid w:val="00106469"/>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1181"/>
    <w:rsid w:val="00162D14"/>
    <w:rsid w:val="00163780"/>
    <w:rsid w:val="00163C9D"/>
    <w:rsid w:val="00165389"/>
    <w:rsid w:val="0017693F"/>
    <w:rsid w:val="0018110E"/>
    <w:rsid w:val="00181684"/>
    <w:rsid w:val="001843C6"/>
    <w:rsid w:val="001850E0"/>
    <w:rsid w:val="001A03AF"/>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11E91"/>
    <w:rsid w:val="00220B8A"/>
    <w:rsid w:val="002257F3"/>
    <w:rsid w:val="00233456"/>
    <w:rsid w:val="002339A5"/>
    <w:rsid w:val="00257848"/>
    <w:rsid w:val="002578E8"/>
    <w:rsid w:val="0027084A"/>
    <w:rsid w:val="00280265"/>
    <w:rsid w:val="002822FD"/>
    <w:rsid w:val="00286434"/>
    <w:rsid w:val="00286C59"/>
    <w:rsid w:val="00291957"/>
    <w:rsid w:val="002942D1"/>
    <w:rsid w:val="0029501A"/>
    <w:rsid w:val="002A3721"/>
    <w:rsid w:val="002A654E"/>
    <w:rsid w:val="002B1638"/>
    <w:rsid w:val="002B3624"/>
    <w:rsid w:val="002D0952"/>
    <w:rsid w:val="002E40B3"/>
    <w:rsid w:val="002E4C9A"/>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70CE3"/>
    <w:rsid w:val="003728F3"/>
    <w:rsid w:val="003735BC"/>
    <w:rsid w:val="0037496E"/>
    <w:rsid w:val="00380602"/>
    <w:rsid w:val="00383221"/>
    <w:rsid w:val="00386150"/>
    <w:rsid w:val="003874CE"/>
    <w:rsid w:val="00390900"/>
    <w:rsid w:val="003A7F6C"/>
    <w:rsid w:val="003B1490"/>
    <w:rsid w:val="003B4D60"/>
    <w:rsid w:val="003B7E39"/>
    <w:rsid w:val="003C58DC"/>
    <w:rsid w:val="003D1E62"/>
    <w:rsid w:val="003E0B99"/>
    <w:rsid w:val="003E2486"/>
    <w:rsid w:val="003E3208"/>
    <w:rsid w:val="003F0B04"/>
    <w:rsid w:val="003F63AB"/>
    <w:rsid w:val="0040134E"/>
    <w:rsid w:val="004334C7"/>
    <w:rsid w:val="00440A2D"/>
    <w:rsid w:val="00441C3F"/>
    <w:rsid w:val="00444D1A"/>
    <w:rsid w:val="0045186A"/>
    <w:rsid w:val="0045209D"/>
    <w:rsid w:val="004564A7"/>
    <w:rsid w:val="00456765"/>
    <w:rsid w:val="004617BF"/>
    <w:rsid w:val="00462D6B"/>
    <w:rsid w:val="00463658"/>
    <w:rsid w:val="004637A0"/>
    <w:rsid w:val="004722CC"/>
    <w:rsid w:val="00490483"/>
    <w:rsid w:val="00490766"/>
    <w:rsid w:val="004936E4"/>
    <w:rsid w:val="00494E60"/>
    <w:rsid w:val="00497487"/>
    <w:rsid w:val="004A2771"/>
    <w:rsid w:val="004A6189"/>
    <w:rsid w:val="004A7390"/>
    <w:rsid w:val="004B7B76"/>
    <w:rsid w:val="004C239D"/>
    <w:rsid w:val="004C2DCA"/>
    <w:rsid w:val="004C61D2"/>
    <w:rsid w:val="004F0C4A"/>
    <w:rsid w:val="004F0F38"/>
    <w:rsid w:val="004F47D6"/>
    <w:rsid w:val="00500337"/>
    <w:rsid w:val="00501921"/>
    <w:rsid w:val="0052151A"/>
    <w:rsid w:val="00521AB7"/>
    <w:rsid w:val="00530354"/>
    <w:rsid w:val="0053625B"/>
    <w:rsid w:val="005434C6"/>
    <w:rsid w:val="00543B39"/>
    <w:rsid w:val="00546154"/>
    <w:rsid w:val="00550096"/>
    <w:rsid w:val="00555280"/>
    <w:rsid w:val="00557509"/>
    <w:rsid w:val="00557FF9"/>
    <w:rsid w:val="00562327"/>
    <w:rsid w:val="005711D5"/>
    <w:rsid w:val="005740C4"/>
    <w:rsid w:val="00576378"/>
    <w:rsid w:val="00577130"/>
    <w:rsid w:val="00577945"/>
    <w:rsid w:val="00577E38"/>
    <w:rsid w:val="00585322"/>
    <w:rsid w:val="005857C6"/>
    <w:rsid w:val="00592F6E"/>
    <w:rsid w:val="00593AD1"/>
    <w:rsid w:val="005A68B6"/>
    <w:rsid w:val="005B4378"/>
    <w:rsid w:val="005B7D8D"/>
    <w:rsid w:val="005C5570"/>
    <w:rsid w:val="005C79A4"/>
    <w:rsid w:val="005D2D08"/>
    <w:rsid w:val="005D5442"/>
    <w:rsid w:val="00603F32"/>
    <w:rsid w:val="00605AD4"/>
    <w:rsid w:val="006077D9"/>
    <w:rsid w:val="006136D7"/>
    <w:rsid w:val="0061455C"/>
    <w:rsid w:val="00625A6E"/>
    <w:rsid w:val="00630ACA"/>
    <w:rsid w:val="00632398"/>
    <w:rsid w:val="00640FC3"/>
    <w:rsid w:val="00642020"/>
    <w:rsid w:val="006430EE"/>
    <w:rsid w:val="0065337B"/>
    <w:rsid w:val="0065419D"/>
    <w:rsid w:val="006603BC"/>
    <w:rsid w:val="006604D8"/>
    <w:rsid w:val="00664A5B"/>
    <w:rsid w:val="0066735C"/>
    <w:rsid w:val="006763D2"/>
    <w:rsid w:val="00680C08"/>
    <w:rsid w:val="00684EDC"/>
    <w:rsid w:val="006916A0"/>
    <w:rsid w:val="006931B1"/>
    <w:rsid w:val="006A15C0"/>
    <w:rsid w:val="006A58A8"/>
    <w:rsid w:val="006C3E2A"/>
    <w:rsid w:val="006C642F"/>
    <w:rsid w:val="006D03E5"/>
    <w:rsid w:val="006D5D3E"/>
    <w:rsid w:val="006E08B3"/>
    <w:rsid w:val="006F17AC"/>
    <w:rsid w:val="006F25B8"/>
    <w:rsid w:val="006F572E"/>
    <w:rsid w:val="007045F2"/>
    <w:rsid w:val="007046D6"/>
    <w:rsid w:val="00705DB0"/>
    <w:rsid w:val="00714699"/>
    <w:rsid w:val="007220E2"/>
    <w:rsid w:val="00722B57"/>
    <w:rsid w:val="00730F8A"/>
    <w:rsid w:val="00735A8C"/>
    <w:rsid w:val="0074253D"/>
    <w:rsid w:val="0074429B"/>
    <w:rsid w:val="007443C8"/>
    <w:rsid w:val="00747910"/>
    <w:rsid w:val="007615BC"/>
    <w:rsid w:val="00762F05"/>
    <w:rsid w:val="007652FF"/>
    <w:rsid w:val="00770CAC"/>
    <w:rsid w:val="00770EF1"/>
    <w:rsid w:val="00773EF7"/>
    <w:rsid w:val="00774E1D"/>
    <w:rsid w:val="007765D8"/>
    <w:rsid w:val="0077675A"/>
    <w:rsid w:val="00780355"/>
    <w:rsid w:val="007813B1"/>
    <w:rsid w:val="007819FD"/>
    <w:rsid w:val="00785717"/>
    <w:rsid w:val="00785721"/>
    <w:rsid w:val="00793549"/>
    <w:rsid w:val="00793A59"/>
    <w:rsid w:val="007A46F5"/>
    <w:rsid w:val="007A6505"/>
    <w:rsid w:val="007B6132"/>
    <w:rsid w:val="007B6E9F"/>
    <w:rsid w:val="007B7F11"/>
    <w:rsid w:val="007C1216"/>
    <w:rsid w:val="007C1AF7"/>
    <w:rsid w:val="007C6B9B"/>
    <w:rsid w:val="00805D27"/>
    <w:rsid w:val="00806DCB"/>
    <w:rsid w:val="00807E0A"/>
    <w:rsid w:val="00821776"/>
    <w:rsid w:val="008321F5"/>
    <w:rsid w:val="00832369"/>
    <w:rsid w:val="00834660"/>
    <w:rsid w:val="00836BC2"/>
    <w:rsid w:val="0085156D"/>
    <w:rsid w:val="00852B28"/>
    <w:rsid w:val="0085641B"/>
    <w:rsid w:val="00857136"/>
    <w:rsid w:val="008706F1"/>
    <w:rsid w:val="00875A6B"/>
    <w:rsid w:val="00885B11"/>
    <w:rsid w:val="00886D15"/>
    <w:rsid w:val="00887DD8"/>
    <w:rsid w:val="00891BA9"/>
    <w:rsid w:val="00896018"/>
    <w:rsid w:val="008960DD"/>
    <w:rsid w:val="0089635C"/>
    <w:rsid w:val="008A2B9D"/>
    <w:rsid w:val="008A3D9F"/>
    <w:rsid w:val="008A5E0B"/>
    <w:rsid w:val="008A6D59"/>
    <w:rsid w:val="008A6DD8"/>
    <w:rsid w:val="008B4B03"/>
    <w:rsid w:val="008B596F"/>
    <w:rsid w:val="008C0DE5"/>
    <w:rsid w:val="008C159F"/>
    <w:rsid w:val="008C1623"/>
    <w:rsid w:val="008C1850"/>
    <w:rsid w:val="008C51A9"/>
    <w:rsid w:val="008E374C"/>
    <w:rsid w:val="008E7846"/>
    <w:rsid w:val="008F02E5"/>
    <w:rsid w:val="008F0A80"/>
    <w:rsid w:val="008F1CCC"/>
    <w:rsid w:val="008F2967"/>
    <w:rsid w:val="008F3CE1"/>
    <w:rsid w:val="008F6943"/>
    <w:rsid w:val="00902A21"/>
    <w:rsid w:val="009118E1"/>
    <w:rsid w:val="0091523F"/>
    <w:rsid w:val="00920330"/>
    <w:rsid w:val="00920F41"/>
    <w:rsid w:val="009219D7"/>
    <w:rsid w:val="00922D53"/>
    <w:rsid w:val="00923B70"/>
    <w:rsid w:val="00924482"/>
    <w:rsid w:val="00925A33"/>
    <w:rsid w:val="00930237"/>
    <w:rsid w:val="00937C17"/>
    <w:rsid w:val="00940A89"/>
    <w:rsid w:val="00941F77"/>
    <w:rsid w:val="00946EA5"/>
    <w:rsid w:val="00951CFE"/>
    <w:rsid w:val="00960520"/>
    <w:rsid w:val="00963983"/>
    <w:rsid w:val="00963C08"/>
    <w:rsid w:val="009752A5"/>
    <w:rsid w:val="0098585A"/>
    <w:rsid w:val="009A4CED"/>
    <w:rsid w:val="009A690D"/>
    <w:rsid w:val="009B1D12"/>
    <w:rsid w:val="009B416B"/>
    <w:rsid w:val="009C4BD5"/>
    <w:rsid w:val="009D6BC2"/>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77F87"/>
    <w:rsid w:val="00A80B5B"/>
    <w:rsid w:val="00A84E36"/>
    <w:rsid w:val="00A964D1"/>
    <w:rsid w:val="00AA0ED0"/>
    <w:rsid w:val="00AC2B40"/>
    <w:rsid w:val="00AC2BB2"/>
    <w:rsid w:val="00AC2C3C"/>
    <w:rsid w:val="00AC512D"/>
    <w:rsid w:val="00AD0083"/>
    <w:rsid w:val="00AD072A"/>
    <w:rsid w:val="00AD1BB3"/>
    <w:rsid w:val="00AD3935"/>
    <w:rsid w:val="00AE6402"/>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76B91"/>
    <w:rsid w:val="00B77EB1"/>
    <w:rsid w:val="00B811C6"/>
    <w:rsid w:val="00B8172F"/>
    <w:rsid w:val="00B855B0"/>
    <w:rsid w:val="00B92E08"/>
    <w:rsid w:val="00BC1042"/>
    <w:rsid w:val="00BC622A"/>
    <w:rsid w:val="00BE0A78"/>
    <w:rsid w:val="00BE79F0"/>
    <w:rsid w:val="00BF046D"/>
    <w:rsid w:val="00BF1190"/>
    <w:rsid w:val="00BF3774"/>
    <w:rsid w:val="00BF5D04"/>
    <w:rsid w:val="00C009AA"/>
    <w:rsid w:val="00C01C94"/>
    <w:rsid w:val="00C1164D"/>
    <w:rsid w:val="00C16861"/>
    <w:rsid w:val="00C346AB"/>
    <w:rsid w:val="00C404A6"/>
    <w:rsid w:val="00C40A36"/>
    <w:rsid w:val="00C439E1"/>
    <w:rsid w:val="00C44419"/>
    <w:rsid w:val="00C44E03"/>
    <w:rsid w:val="00C45E7B"/>
    <w:rsid w:val="00C471B1"/>
    <w:rsid w:val="00C52E24"/>
    <w:rsid w:val="00C6316B"/>
    <w:rsid w:val="00C634A9"/>
    <w:rsid w:val="00C64586"/>
    <w:rsid w:val="00C70D53"/>
    <w:rsid w:val="00C73D0B"/>
    <w:rsid w:val="00C74F5C"/>
    <w:rsid w:val="00C772FF"/>
    <w:rsid w:val="00C80137"/>
    <w:rsid w:val="00C801AF"/>
    <w:rsid w:val="00C80256"/>
    <w:rsid w:val="00C94CD4"/>
    <w:rsid w:val="00C9747E"/>
    <w:rsid w:val="00CB6BC0"/>
    <w:rsid w:val="00CC1B7C"/>
    <w:rsid w:val="00CC68C0"/>
    <w:rsid w:val="00CC727F"/>
    <w:rsid w:val="00CF15C3"/>
    <w:rsid w:val="00CF2B6F"/>
    <w:rsid w:val="00CF2F3E"/>
    <w:rsid w:val="00CF55E5"/>
    <w:rsid w:val="00CF58B6"/>
    <w:rsid w:val="00CF6506"/>
    <w:rsid w:val="00D0062D"/>
    <w:rsid w:val="00D017ED"/>
    <w:rsid w:val="00D040D3"/>
    <w:rsid w:val="00D04C65"/>
    <w:rsid w:val="00D1049C"/>
    <w:rsid w:val="00D153D8"/>
    <w:rsid w:val="00D201D2"/>
    <w:rsid w:val="00D21088"/>
    <w:rsid w:val="00D224FE"/>
    <w:rsid w:val="00D23139"/>
    <w:rsid w:val="00D425BB"/>
    <w:rsid w:val="00D43527"/>
    <w:rsid w:val="00D453FA"/>
    <w:rsid w:val="00D46614"/>
    <w:rsid w:val="00D6493E"/>
    <w:rsid w:val="00D7195D"/>
    <w:rsid w:val="00D7301E"/>
    <w:rsid w:val="00D73B22"/>
    <w:rsid w:val="00D83AE1"/>
    <w:rsid w:val="00D855D4"/>
    <w:rsid w:val="00D902C9"/>
    <w:rsid w:val="00D93466"/>
    <w:rsid w:val="00D97F65"/>
    <w:rsid w:val="00DA1124"/>
    <w:rsid w:val="00DA64CB"/>
    <w:rsid w:val="00DA6A1A"/>
    <w:rsid w:val="00DB06B8"/>
    <w:rsid w:val="00DB6124"/>
    <w:rsid w:val="00DB750B"/>
    <w:rsid w:val="00DB75B7"/>
    <w:rsid w:val="00DC0A2F"/>
    <w:rsid w:val="00DC1948"/>
    <w:rsid w:val="00DC6E02"/>
    <w:rsid w:val="00DD28CD"/>
    <w:rsid w:val="00DE02AE"/>
    <w:rsid w:val="00DE39D1"/>
    <w:rsid w:val="00DF1D7F"/>
    <w:rsid w:val="00DF4BE4"/>
    <w:rsid w:val="00E02382"/>
    <w:rsid w:val="00E02637"/>
    <w:rsid w:val="00E02FB4"/>
    <w:rsid w:val="00E13FC7"/>
    <w:rsid w:val="00E20571"/>
    <w:rsid w:val="00E235F7"/>
    <w:rsid w:val="00E23659"/>
    <w:rsid w:val="00E239D4"/>
    <w:rsid w:val="00E26130"/>
    <w:rsid w:val="00E3325F"/>
    <w:rsid w:val="00E40B22"/>
    <w:rsid w:val="00E44ED1"/>
    <w:rsid w:val="00E45619"/>
    <w:rsid w:val="00E4588F"/>
    <w:rsid w:val="00E46DA3"/>
    <w:rsid w:val="00E51BB1"/>
    <w:rsid w:val="00E55CB0"/>
    <w:rsid w:val="00E624A5"/>
    <w:rsid w:val="00E64BA4"/>
    <w:rsid w:val="00E7344E"/>
    <w:rsid w:val="00E82665"/>
    <w:rsid w:val="00EA5591"/>
    <w:rsid w:val="00EB0798"/>
    <w:rsid w:val="00EB40AD"/>
    <w:rsid w:val="00EB586E"/>
    <w:rsid w:val="00EB5FC8"/>
    <w:rsid w:val="00EC1A6B"/>
    <w:rsid w:val="00EC463D"/>
    <w:rsid w:val="00EC7A85"/>
    <w:rsid w:val="00ED16C4"/>
    <w:rsid w:val="00ED2072"/>
    <w:rsid w:val="00ED2922"/>
    <w:rsid w:val="00ED3CAD"/>
    <w:rsid w:val="00ED4EC5"/>
    <w:rsid w:val="00ED5A41"/>
    <w:rsid w:val="00EE1DE8"/>
    <w:rsid w:val="00EE27C2"/>
    <w:rsid w:val="00EF4BAD"/>
    <w:rsid w:val="00EF59DC"/>
    <w:rsid w:val="00F02F9C"/>
    <w:rsid w:val="00F033EC"/>
    <w:rsid w:val="00F04F68"/>
    <w:rsid w:val="00F12670"/>
    <w:rsid w:val="00F14B27"/>
    <w:rsid w:val="00F15972"/>
    <w:rsid w:val="00F2493B"/>
    <w:rsid w:val="00F3148D"/>
    <w:rsid w:val="00F325C5"/>
    <w:rsid w:val="00F32FE0"/>
    <w:rsid w:val="00F35014"/>
    <w:rsid w:val="00F35298"/>
    <w:rsid w:val="00F47333"/>
    <w:rsid w:val="00F47E37"/>
    <w:rsid w:val="00F53C07"/>
    <w:rsid w:val="00F54B65"/>
    <w:rsid w:val="00F56525"/>
    <w:rsid w:val="00F640B6"/>
    <w:rsid w:val="00F66DF2"/>
    <w:rsid w:val="00F80E40"/>
    <w:rsid w:val="00F848D9"/>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CD3D74"/>
  <w15:docId w15:val="{FC04AF51-9554-440C-B951-6CBE074B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D97F65"/>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D73B22"/>
    <w:pPr>
      <w:spacing w:after="180"/>
      <w:ind w:left="720"/>
      <w:contextualSpacing/>
    </w:pPr>
    <w:rPr>
      <w:szCs w:val="20"/>
    </w:rPr>
  </w:style>
  <w:style w:type="paragraph" w:customStyle="1" w:styleId="table">
    <w:name w:val="table"/>
    <w:basedOn w:val="Normal"/>
    <w:link w:val="tableChar"/>
    <w:qFormat/>
    <w:rsid w:val="00920F41"/>
    <w:pPr>
      <w:adjustRightInd w:val="0"/>
      <w:snapToGrid w:val="0"/>
    </w:pPr>
    <w:rPr>
      <w:rFonts w:ascii="Times New Roman" w:eastAsia="MS Mincho" w:hAnsi="Times New Roman" w:cstheme="majorHAnsi"/>
      <w:sz w:val="18"/>
      <w:szCs w:val="20"/>
      <w:lang w:eastAsia="ja-JP"/>
    </w:rPr>
  </w:style>
  <w:style w:type="paragraph" w:customStyle="1" w:styleId="Tabledotpoints">
    <w:name w:val="Table dotpoints"/>
    <w:basedOn w:val="table"/>
    <w:uiPriority w:val="1"/>
    <w:qFormat/>
    <w:rsid w:val="00920F41"/>
    <w:pPr>
      <w:framePr w:hSpace="180" w:wrap="around" w:vAnchor="text" w:hAnchor="margin" w:y="24"/>
      <w:numPr>
        <w:numId w:val="34"/>
      </w:numPr>
      <w:tabs>
        <w:tab w:val="num" w:pos="360"/>
      </w:tabs>
      <w:spacing w:line="240" w:lineRule="auto"/>
      <w:ind w:left="318" w:hanging="318"/>
      <w:contextualSpacing/>
    </w:pPr>
    <w:rPr>
      <w:rFonts w:cs="Times New Roman"/>
      <w:sz w:val="20"/>
    </w:rPr>
  </w:style>
  <w:style w:type="character" w:customStyle="1" w:styleId="tableChar">
    <w:name w:val="table Char"/>
    <w:basedOn w:val="DefaultParagraphFont"/>
    <w:link w:val="table"/>
    <w:rsid w:val="00920F41"/>
    <w:rPr>
      <w:rFonts w:ascii="Times New Roman" w:eastAsia="MS Mincho" w:hAnsi="Times New Roman" w:cstheme="majorHAnsi"/>
      <w:sz w:val="18"/>
      <w:szCs w:val="20"/>
      <w:lang w:eastAsia="ja-JP"/>
    </w:rPr>
  </w:style>
  <w:style w:type="character" w:customStyle="1" w:styleId="TabletextChar">
    <w:name w:val="Table text Char"/>
    <w:basedOn w:val="DefaultParagraphFont"/>
    <w:link w:val="Tabletext"/>
    <w:rsid w:val="00920F41"/>
    <w:rPr>
      <w:rFonts w:ascii="Cambria" w:eastAsia="Cambria" w:hAnsi="Cambria" w:cs="Times New Roman"/>
      <w:sz w:val="19"/>
    </w:rPr>
  </w:style>
  <w:style w:type="paragraph" w:customStyle="1" w:styleId="mine">
    <w:name w:val="mine"/>
    <w:basedOn w:val="Normal"/>
    <w:link w:val="mineChar"/>
    <w:qFormat/>
    <w:rsid w:val="00920F41"/>
    <w:pPr>
      <w:widowControl w:val="0"/>
      <w:adjustRightInd w:val="0"/>
      <w:snapToGrid w:val="0"/>
      <w:spacing w:before="0" w:after="0" w:line="240" w:lineRule="auto"/>
      <w:contextualSpacing/>
    </w:pPr>
    <w:rPr>
      <w:rFonts w:asciiTheme="minorHAnsi" w:eastAsia="MS Mincho" w:hAnsiTheme="minorHAnsi" w:cstheme="minorBidi"/>
      <w:sz w:val="24"/>
      <w:szCs w:val="21"/>
      <w:lang w:eastAsia="en-AU"/>
    </w:rPr>
  </w:style>
  <w:style w:type="character" w:customStyle="1" w:styleId="mineChar">
    <w:name w:val="mine Char"/>
    <w:basedOn w:val="DefaultParagraphFont"/>
    <w:link w:val="mine"/>
    <w:rsid w:val="00920F41"/>
    <w:rPr>
      <w:rFonts w:eastAsia="MS Mincho"/>
      <w:sz w:val="24"/>
      <w:szCs w:val="21"/>
      <w:lang w:eastAsia="en-AU"/>
    </w:rPr>
  </w:style>
  <w:style w:type="paragraph" w:customStyle="1" w:styleId="Default">
    <w:name w:val="Default"/>
    <w:rsid w:val="00D21088"/>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119">
      <w:bodyDiv w:val="1"/>
      <w:marLeft w:val="0"/>
      <w:marRight w:val="0"/>
      <w:marTop w:val="0"/>
      <w:marBottom w:val="0"/>
      <w:divBdr>
        <w:top w:val="none" w:sz="0" w:space="0" w:color="auto"/>
        <w:left w:val="none" w:sz="0" w:space="0" w:color="auto"/>
        <w:bottom w:val="none" w:sz="0" w:space="0" w:color="auto"/>
        <w:right w:val="none" w:sz="0" w:space="0" w:color="auto"/>
      </w:divBdr>
    </w:div>
    <w:div w:id="234166492">
      <w:bodyDiv w:val="1"/>
      <w:marLeft w:val="0"/>
      <w:marRight w:val="0"/>
      <w:marTop w:val="0"/>
      <w:marBottom w:val="0"/>
      <w:divBdr>
        <w:top w:val="none" w:sz="0" w:space="0" w:color="auto"/>
        <w:left w:val="none" w:sz="0" w:space="0" w:color="auto"/>
        <w:bottom w:val="none" w:sz="0" w:space="0" w:color="auto"/>
        <w:right w:val="none" w:sz="0" w:space="0" w:color="auto"/>
      </w:divBdr>
    </w:div>
    <w:div w:id="720521049">
      <w:bodyDiv w:val="1"/>
      <w:marLeft w:val="0"/>
      <w:marRight w:val="0"/>
      <w:marTop w:val="0"/>
      <w:marBottom w:val="0"/>
      <w:divBdr>
        <w:top w:val="none" w:sz="0" w:space="0" w:color="auto"/>
        <w:left w:val="none" w:sz="0" w:space="0" w:color="auto"/>
        <w:bottom w:val="none" w:sz="0" w:space="0" w:color="auto"/>
        <w:right w:val="none" w:sz="0" w:space="0" w:color="auto"/>
      </w:divBdr>
    </w:div>
    <w:div w:id="911817601">
      <w:bodyDiv w:val="1"/>
      <w:marLeft w:val="0"/>
      <w:marRight w:val="0"/>
      <w:marTop w:val="0"/>
      <w:marBottom w:val="0"/>
      <w:divBdr>
        <w:top w:val="none" w:sz="0" w:space="0" w:color="auto"/>
        <w:left w:val="none" w:sz="0" w:space="0" w:color="auto"/>
        <w:bottom w:val="none" w:sz="0" w:space="0" w:color="auto"/>
        <w:right w:val="none" w:sz="0" w:space="0" w:color="auto"/>
      </w:divBdr>
    </w:div>
    <w:div w:id="918833650">
      <w:bodyDiv w:val="1"/>
      <w:marLeft w:val="0"/>
      <w:marRight w:val="0"/>
      <w:marTop w:val="0"/>
      <w:marBottom w:val="0"/>
      <w:divBdr>
        <w:top w:val="none" w:sz="0" w:space="0" w:color="auto"/>
        <w:left w:val="none" w:sz="0" w:space="0" w:color="auto"/>
        <w:bottom w:val="none" w:sz="0" w:space="0" w:color="auto"/>
        <w:right w:val="none" w:sz="0" w:space="0" w:color="auto"/>
      </w:divBdr>
    </w:div>
    <w:div w:id="1002852108">
      <w:bodyDiv w:val="1"/>
      <w:marLeft w:val="0"/>
      <w:marRight w:val="0"/>
      <w:marTop w:val="0"/>
      <w:marBottom w:val="0"/>
      <w:divBdr>
        <w:top w:val="none" w:sz="0" w:space="0" w:color="auto"/>
        <w:left w:val="none" w:sz="0" w:space="0" w:color="auto"/>
        <w:bottom w:val="none" w:sz="0" w:space="0" w:color="auto"/>
        <w:right w:val="none" w:sz="0" w:space="0" w:color="auto"/>
      </w:divBdr>
    </w:div>
    <w:div w:id="1070617065">
      <w:bodyDiv w:val="1"/>
      <w:marLeft w:val="0"/>
      <w:marRight w:val="0"/>
      <w:marTop w:val="0"/>
      <w:marBottom w:val="0"/>
      <w:divBdr>
        <w:top w:val="none" w:sz="0" w:space="0" w:color="auto"/>
        <w:left w:val="none" w:sz="0" w:space="0" w:color="auto"/>
        <w:bottom w:val="none" w:sz="0" w:space="0" w:color="auto"/>
        <w:right w:val="none" w:sz="0" w:space="0" w:color="auto"/>
      </w:divBdr>
    </w:div>
    <w:div w:id="1188131783">
      <w:bodyDiv w:val="1"/>
      <w:marLeft w:val="0"/>
      <w:marRight w:val="0"/>
      <w:marTop w:val="0"/>
      <w:marBottom w:val="0"/>
      <w:divBdr>
        <w:top w:val="none" w:sz="0" w:space="0" w:color="auto"/>
        <w:left w:val="none" w:sz="0" w:space="0" w:color="auto"/>
        <w:bottom w:val="none" w:sz="0" w:space="0" w:color="auto"/>
        <w:right w:val="none" w:sz="0" w:space="0" w:color="auto"/>
      </w:divBdr>
    </w:div>
    <w:div w:id="1188446287">
      <w:bodyDiv w:val="1"/>
      <w:marLeft w:val="0"/>
      <w:marRight w:val="0"/>
      <w:marTop w:val="0"/>
      <w:marBottom w:val="0"/>
      <w:divBdr>
        <w:top w:val="none" w:sz="0" w:space="0" w:color="auto"/>
        <w:left w:val="none" w:sz="0" w:space="0" w:color="auto"/>
        <w:bottom w:val="none" w:sz="0" w:space="0" w:color="auto"/>
        <w:right w:val="none" w:sz="0" w:space="0" w:color="auto"/>
      </w:divBdr>
      <w:divsChild>
        <w:div w:id="1426999496">
          <w:marLeft w:val="0"/>
          <w:marRight w:val="0"/>
          <w:marTop w:val="0"/>
          <w:marBottom w:val="0"/>
          <w:divBdr>
            <w:top w:val="none" w:sz="0" w:space="0" w:color="auto"/>
            <w:left w:val="none" w:sz="0" w:space="0" w:color="auto"/>
            <w:bottom w:val="none" w:sz="0" w:space="0" w:color="auto"/>
            <w:right w:val="none" w:sz="0" w:space="0" w:color="auto"/>
          </w:divBdr>
          <w:divsChild>
            <w:div w:id="7389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2054">
      <w:bodyDiv w:val="1"/>
      <w:marLeft w:val="0"/>
      <w:marRight w:val="0"/>
      <w:marTop w:val="0"/>
      <w:marBottom w:val="0"/>
      <w:divBdr>
        <w:top w:val="none" w:sz="0" w:space="0" w:color="auto"/>
        <w:left w:val="none" w:sz="0" w:space="0" w:color="auto"/>
        <w:bottom w:val="none" w:sz="0" w:space="0" w:color="auto"/>
        <w:right w:val="none" w:sz="0" w:space="0" w:color="auto"/>
      </w:divBdr>
    </w:div>
    <w:div w:id="1246959038">
      <w:bodyDiv w:val="1"/>
      <w:marLeft w:val="0"/>
      <w:marRight w:val="0"/>
      <w:marTop w:val="0"/>
      <w:marBottom w:val="0"/>
      <w:divBdr>
        <w:top w:val="none" w:sz="0" w:space="0" w:color="auto"/>
        <w:left w:val="none" w:sz="0" w:space="0" w:color="auto"/>
        <w:bottom w:val="none" w:sz="0" w:space="0" w:color="auto"/>
        <w:right w:val="none" w:sz="0" w:space="0" w:color="auto"/>
      </w:divBdr>
    </w:div>
    <w:div w:id="1353261214">
      <w:bodyDiv w:val="1"/>
      <w:marLeft w:val="0"/>
      <w:marRight w:val="0"/>
      <w:marTop w:val="0"/>
      <w:marBottom w:val="0"/>
      <w:divBdr>
        <w:top w:val="none" w:sz="0" w:space="0" w:color="auto"/>
        <w:left w:val="none" w:sz="0" w:space="0" w:color="auto"/>
        <w:bottom w:val="none" w:sz="0" w:space="0" w:color="auto"/>
        <w:right w:val="none" w:sz="0" w:space="0" w:color="auto"/>
      </w:divBdr>
    </w:div>
    <w:div w:id="1490248429">
      <w:bodyDiv w:val="1"/>
      <w:marLeft w:val="0"/>
      <w:marRight w:val="0"/>
      <w:marTop w:val="0"/>
      <w:marBottom w:val="0"/>
      <w:divBdr>
        <w:top w:val="none" w:sz="0" w:space="0" w:color="auto"/>
        <w:left w:val="none" w:sz="0" w:space="0" w:color="auto"/>
        <w:bottom w:val="none" w:sz="0" w:space="0" w:color="auto"/>
        <w:right w:val="none" w:sz="0" w:space="0" w:color="auto"/>
      </w:divBdr>
    </w:div>
    <w:div w:id="1497765957">
      <w:bodyDiv w:val="1"/>
      <w:marLeft w:val="0"/>
      <w:marRight w:val="0"/>
      <w:marTop w:val="0"/>
      <w:marBottom w:val="0"/>
      <w:divBdr>
        <w:top w:val="none" w:sz="0" w:space="0" w:color="auto"/>
        <w:left w:val="none" w:sz="0" w:space="0" w:color="auto"/>
        <w:bottom w:val="none" w:sz="0" w:space="0" w:color="auto"/>
        <w:right w:val="none" w:sz="0" w:space="0" w:color="auto"/>
      </w:divBdr>
    </w:div>
    <w:div w:id="1619754987">
      <w:bodyDiv w:val="1"/>
      <w:marLeft w:val="0"/>
      <w:marRight w:val="0"/>
      <w:marTop w:val="0"/>
      <w:marBottom w:val="0"/>
      <w:divBdr>
        <w:top w:val="none" w:sz="0" w:space="0" w:color="auto"/>
        <w:left w:val="none" w:sz="0" w:space="0" w:color="auto"/>
        <w:bottom w:val="none" w:sz="0" w:space="0" w:color="auto"/>
        <w:right w:val="none" w:sz="0" w:space="0" w:color="auto"/>
      </w:divBdr>
    </w:div>
    <w:div w:id="19369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tga.gov.au"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3524\t0Q77TWJ.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76EC8-D6F4-440D-A0E9-C9611A54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t0Q77TWJ</Template>
  <TotalTime>8</TotalTime>
  <Pages>29</Pages>
  <Words>7455</Words>
  <Characters>42498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49854</CharactersWithSpaces>
  <SharedDoc>false</SharedDoc>
  <HLinks>
    <vt:vector size="138" baseType="variant">
      <vt:variant>
        <vt:i4>3473445</vt:i4>
      </vt:variant>
      <vt:variant>
        <vt:i4>180</vt:i4>
      </vt:variant>
      <vt:variant>
        <vt:i4>0</vt:i4>
      </vt:variant>
      <vt:variant>
        <vt:i4>5</vt:i4>
      </vt:variant>
      <vt:variant>
        <vt:lpwstr>https://www.tga.gov.au/</vt:lpwstr>
      </vt:variant>
      <vt:variant>
        <vt:lpwstr/>
      </vt:variant>
      <vt:variant>
        <vt:i4>5242926</vt:i4>
      </vt:variant>
      <vt:variant>
        <vt:i4>177</vt:i4>
      </vt:variant>
      <vt:variant>
        <vt:i4>0</vt:i4>
      </vt:variant>
      <vt:variant>
        <vt:i4>5</vt:i4>
      </vt:variant>
      <vt:variant>
        <vt:lpwstr>mailto:info@tga.gov.au</vt:lpwstr>
      </vt:variant>
      <vt:variant>
        <vt:lpwstr/>
      </vt:variant>
      <vt:variant>
        <vt:i4>4194312</vt:i4>
      </vt:variant>
      <vt:variant>
        <vt:i4>174</vt:i4>
      </vt:variant>
      <vt:variant>
        <vt:i4>0</vt:i4>
      </vt:variant>
      <vt:variant>
        <vt:i4>5</vt:i4>
      </vt:variant>
      <vt:variant>
        <vt:lpwstr>https://www.tga.gov.au/product-information-pi</vt:lpwstr>
      </vt:variant>
      <vt:variant>
        <vt:lpwstr/>
      </vt:variant>
      <vt:variant>
        <vt:i4>4194312</vt:i4>
      </vt:variant>
      <vt:variant>
        <vt:i4>117</vt:i4>
      </vt:variant>
      <vt:variant>
        <vt:i4>0</vt:i4>
      </vt:variant>
      <vt:variant>
        <vt:i4>5</vt:i4>
      </vt:variant>
      <vt:variant>
        <vt:lpwstr>https://www.tga.gov.au/product-information-pi</vt:lpwstr>
      </vt:variant>
      <vt:variant>
        <vt:lpwstr/>
      </vt:variant>
      <vt:variant>
        <vt:i4>1900598</vt:i4>
      </vt:variant>
      <vt:variant>
        <vt:i4>104</vt:i4>
      </vt:variant>
      <vt:variant>
        <vt:i4>0</vt:i4>
      </vt:variant>
      <vt:variant>
        <vt:i4>5</vt:i4>
      </vt:variant>
      <vt:variant>
        <vt:lpwstr/>
      </vt:variant>
      <vt:variant>
        <vt:lpwstr>_Toc31607843</vt:lpwstr>
      </vt:variant>
      <vt:variant>
        <vt:i4>1835062</vt:i4>
      </vt:variant>
      <vt:variant>
        <vt:i4>98</vt:i4>
      </vt:variant>
      <vt:variant>
        <vt:i4>0</vt:i4>
      </vt:variant>
      <vt:variant>
        <vt:i4>5</vt:i4>
      </vt:variant>
      <vt:variant>
        <vt:lpwstr/>
      </vt:variant>
      <vt:variant>
        <vt:lpwstr>_Toc31607842</vt:lpwstr>
      </vt:variant>
      <vt:variant>
        <vt:i4>2031670</vt:i4>
      </vt:variant>
      <vt:variant>
        <vt:i4>92</vt:i4>
      </vt:variant>
      <vt:variant>
        <vt:i4>0</vt:i4>
      </vt:variant>
      <vt:variant>
        <vt:i4>5</vt:i4>
      </vt:variant>
      <vt:variant>
        <vt:lpwstr/>
      </vt:variant>
      <vt:variant>
        <vt:lpwstr>_Toc31607841</vt:lpwstr>
      </vt:variant>
      <vt:variant>
        <vt:i4>1966134</vt:i4>
      </vt:variant>
      <vt:variant>
        <vt:i4>86</vt:i4>
      </vt:variant>
      <vt:variant>
        <vt:i4>0</vt:i4>
      </vt:variant>
      <vt:variant>
        <vt:i4>5</vt:i4>
      </vt:variant>
      <vt:variant>
        <vt:lpwstr/>
      </vt:variant>
      <vt:variant>
        <vt:lpwstr>_Toc31607840</vt:lpwstr>
      </vt:variant>
      <vt:variant>
        <vt:i4>1507377</vt:i4>
      </vt:variant>
      <vt:variant>
        <vt:i4>80</vt:i4>
      </vt:variant>
      <vt:variant>
        <vt:i4>0</vt:i4>
      </vt:variant>
      <vt:variant>
        <vt:i4>5</vt:i4>
      </vt:variant>
      <vt:variant>
        <vt:lpwstr/>
      </vt:variant>
      <vt:variant>
        <vt:lpwstr>_Toc31607839</vt:lpwstr>
      </vt:variant>
      <vt:variant>
        <vt:i4>1441841</vt:i4>
      </vt:variant>
      <vt:variant>
        <vt:i4>74</vt:i4>
      </vt:variant>
      <vt:variant>
        <vt:i4>0</vt:i4>
      </vt:variant>
      <vt:variant>
        <vt:i4>5</vt:i4>
      </vt:variant>
      <vt:variant>
        <vt:lpwstr/>
      </vt:variant>
      <vt:variant>
        <vt:lpwstr>_Toc31607838</vt:lpwstr>
      </vt:variant>
      <vt:variant>
        <vt:i4>1638449</vt:i4>
      </vt:variant>
      <vt:variant>
        <vt:i4>68</vt:i4>
      </vt:variant>
      <vt:variant>
        <vt:i4>0</vt:i4>
      </vt:variant>
      <vt:variant>
        <vt:i4>5</vt:i4>
      </vt:variant>
      <vt:variant>
        <vt:lpwstr/>
      </vt:variant>
      <vt:variant>
        <vt:lpwstr>_Toc31607837</vt:lpwstr>
      </vt:variant>
      <vt:variant>
        <vt:i4>1572913</vt:i4>
      </vt:variant>
      <vt:variant>
        <vt:i4>62</vt:i4>
      </vt:variant>
      <vt:variant>
        <vt:i4>0</vt:i4>
      </vt:variant>
      <vt:variant>
        <vt:i4>5</vt:i4>
      </vt:variant>
      <vt:variant>
        <vt:lpwstr/>
      </vt:variant>
      <vt:variant>
        <vt:lpwstr>_Toc31607836</vt:lpwstr>
      </vt:variant>
      <vt:variant>
        <vt:i4>1769521</vt:i4>
      </vt:variant>
      <vt:variant>
        <vt:i4>56</vt:i4>
      </vt:variant>
      <vt:variant>
        <vt:i4>0</vt:i4>
      </vt:variant>
      <vt:variant>
        <vt:i4>5</vt:i4>
      </vt:variant>
      <vt:variant>
        <vt:lpwstr/>
      </vt:variant>
      <vt:variant>
        <vt:lpwstr>_Toc31607835</vt:lpwstr>
      </vt:variant>
      <vt:variant>
        <vt:i4>1703985</vt:i4>
      </vt:variant>
      <vt:variant>
        <vt:i4>50</vt:i4>
      </vt:variant>
      <vt:variant>
        <vt:i4>0</vt:i4>
      </vt:variant>
      <vt:variant>
        <vt:i4>5</vt:i4>
      </vt:variant>
      <vt:variant>
        <vt:lpwstr/>
      </vt:variant>
      <vt:variant>
        <vt:lpwstr>_Toc31607834</vt:lpwstr>
      </vt:variant>
      <vt:variant>
        <vt:i4>1900593</vt:i4>
      </vt:variant>
      <vt:variant>
        <vt:i4>44</vt:i4>
      </vt:variant>
      <vt:variant>
        <vt:i4>0</vt:i4>
      </vt:variant>
      <vt:variant>
        <vt:i4>5</vt:i4>
      </vt:variant>
      <vt:variant>
        <vt:lpwstr/>
      </vt:variant>
      <vt:variant>
        <vt:lpwstr>_Toc31607833</vt:lpwstr>
      </vt:variant>
      <vt:variant>
        <vt:i4>1835057</vt:i4>
      </vt:variant>
      <vt:variant>
        <vt:i4>38</vt:i4>
      </vt:variant>
      <vt:variant>
        <vt:i4>0</vt:i4>
      </vt:variant>
      <vt:variant>
        <vt:i4>5</vt:i4>
      </vt:variant>
      <vt:variant>
        <vt:lpwstr/>
      </vt:variant>
      <vt:variant>
        <vt:lpwstr>_Toc31607832</vt:lpwstr>
      </vt:variant>
      <vt:variant>
        <vt:i4>2031665</vt:i4>
      </vt:variant>
      <vt:variant>
        <vt:i4>32</vt:i4>
      </vt:variant>
      <vt:variant>
        <vt:i4>0</vt:i4>
      </vt:variant>
      <vt:variant>
        <vt:i4>5</vt:i4>
      </vt:variant>
      <vt:variant>
        <vt:lpwstr/>
      </vt:variant>
      <vt:variant>
        <vt:lpwstr>_Toc31607831</vt:lpwstr>
      </vt:variant>
      <vt:variant>
        <vt:i4>1966129</vt:i4>
      </vt:variant>
      <vt:variant>
        <vt:i4>26</vt:i4>
      </vt:variant>
      <vt:variant>
        <vt:i4>0</vt:i4>
      </vt:variant>
      <vt:variant>
        <vt:i4>5</vt:i4>
      </vt:variant>
      <vt:variant>
        <vt:lpwstr/>
      </vt:variant>
      <vt:variant>
        <vt:lpwstr>_Toc31607830</vt:lpwstr>
      </vt:variant>
      <vt:variant>
        <vt:i4>1507376</vt:i4>
      </vt:variant>
      <vt:variant>
        <vt:i4>20</vt:i4>
      </vt:variant>
      <vt:variant>
        <vt:i4>0</vt:i4>
      </vt:variant>
      <vt:variant>
        <vt:i4>5</vt:i4>
      </vt:variant>
      <vt:variant>
        <vt:lpwstr/>
      </vt:variant>
      <vt:variant>
        <vt:lpwstr>_Toc31607829</vt:lpwstr>
      </vt:variant>
      <vt:variant>
        <vt:i4>1441840</vt:i4>
      </vt:variant>
      <vt:variant>
        <vt:i4>14</vt:i4>
      </vt:variant>
      <vt:variant>
        <vt:i4>0</vt:i4>
      </vt:variant>
      <vt:variant>
        <vt:i4>5</vt:i4>
      </vt:variant>
      <vt:variant>
        <vt:lpwstr/>
      </vt:variant>
      <vt:variant>
        <vt:lpwstr>_Toc31607828</vt:lpwstr>
      </vt:variant>
      <vt:variant>
        <vt:i4>1638448</vt:i4>
      </vt:variant>
      <vt:variant>
        <vt:i4>8</vt:i4>
      </vt:variant>
      <vt:variant>
        <vt:i4>0</vt:i4>
      </vt:variant>
      <vt:variant>
        <vt:i4>5</vt:i4>
      </vt:variant>
      <vt:variant>
        <vt:lpwstr/>
      </vt:variant>
      <vt:variant>
        <vt:lpwstr>_Toc31607827</vt:lpwstr>
      </vt:variant>
      <vt:variant>
        <vt:i4>6291548</vt:i4>
      </vt:variant>
      <vt:variant>
        <vt:i4>3</vt:i4>
      </vt:variant>
      <vt:variant>
        <vt:i4>0</vt:i4>
      </vt:variant>
      <vt:variant>
        <vt:i4>5</vt:i4>
      </vt:variant>
      <vt:variant>
        <vt:lpwstr>mailto:tga.copyright@tga.gov.au</vt:lpwstr>
      </vt:variant>
      <vt:variant>
        <vt:lpwstr/>
      </vt:variant>
      <vt:variant>
        <vt:i4>3473445</vt:i4>
      </vt:variant>
      <vt:variant>
        <vt:i4>0</vt:i4>
      </vt:variant>
      <vt:variant>
        <vt:i4>0</vt:i4>
      </vt:variant>
      <vt:variant>
        <vt:i4>5</vt:i4>
      </vt:variant>
      <vt:variant>
        <vt:lpwstr>https://www.tga.gov.au/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Bevacizumab</dc:title>
  <dc:subject>prescription medicines</dc:subject>
  <dc:creator>Therapeutic Goods Administration</dc:creator>
  <cp:keywords>AusPARs</cp:keywords>
  <cp:lastPrinted>2019-08-14T04:30:00Z</cp:lastPrinted>
  <dcterms:created xsi:type="dcterms:W3CDTF">2020-03-10T23:36:00Z</dcterms:created>
  <dcterms:modified xsi:type="dcterms:W3CDTF">2020-03-10T23:44:00Z</dcterms:modified>
</cp:coreProperties>
</file>