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2900A2" w:rsidP="00096AA7">
            <w:pPr>
              <w:rPr>
                <w:rFonts w:ascii="Arial" w:hAnsi="Arial" w:cs="Arial"/>
                <w:b/>
                <w:color w:val="002C47"/>
                <w:sz w:val="36"/>
                <w:szCs w:val="36"/>
              </w:rPr>
            </w:pPr>
            <w:r>
              <w:rPr>
                <w:rFonts w:ascii="Arial" w:hAnsi="Arial" w:cs="Arial"/>
                <w:b/>
                <w:color w:val="002C47"/>
                <w:sz w:val="36"/>
                <w:szCs w:val="36"/>
              </w:rPr>
              <w:t>March 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2900A2">
            <w:pPr>
              <w:pStyle w:val="Title"/>
              <w:rPr>
                <w:color w:val="FFFFFF" w:themeColor="background1"/>
              </w:rPr>
            </w:pPr>
            <w:r w:rsidRPr="00A964D1">
              <w:rPr>
                <w:color w:val="FFFFFF" w:themeColor="background1"/>
              </w:rPr>
              <w:t xml:space="preserve">Australian Public Assessment Report for </w:t>
            </w:r>
            <w:proofErr w:type="spellStart"/>
            <w:r w:rsidR="002900A2" w:rsidRPr="002900A2">
              <w:rPr>
                <w:rFonts w:cs="Arial"/>
                <w:color w:val="FFFFFF" w:themeColor="background1"/>
              </w:rPr>
              <w:t>Bevacizumab</w:t>
            </w:r>
            <w:proofErr w:type="spellEnd"/>
          </w:p>
        </w:tc>
      </w:tr>
      <w:tr w:rsidR="0032583B" w:rsidRPr="00B64760" w:rsidTr="0032583B">
        <w:tc>
          <w:tcPr>
            <w:tcW w:w="9079" w:type="dxa"/>
          </w:tcPr>
          <w:p w:rsidR="0032583B" w:rsidRPr="008E7846" w:rsidRDefault="0032583B" w:rsidP="002900A2">
            <w:pPr>
              <w:pStyle w:val="Subtitle"/>
              <w:rPr>
                <w:color w:val="FFFFFF" w:themeColor="background1"/>
              </w:rPr>
            </w:pPr>
            <w:r w:rsidRPr="008E7846">
              <w:rPr>
                <w:color w:val="FFFFFF" w:themeColor="background1"/>
              </w:rPr>
              <w:t xml:space="preserve">Proprietary Product Name: </w:t>
            </w:r>
            <w:proofErr w:type="spellStart"/>
            <w:r w:rsidR="002900A2">
              <w:rPr>
                <w:color w:val="FFFFFF" w:themeColor="background1"/>
              </w:rPr>
              <w:t>Avastin</w:t>
            </w:r>
            <w:proofErr w:type="spellEnd"/>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Sponsor:</w:t>
            </w:r>
            <w:r w:rsidR="00B51A1A">
              <w:rPr>
                <w:color w:val="FFFFFF" w:themeColor="background1"/>
              </w:rPr>
              <w:t xml:space="preserve"> </w:t>
            </w:r>
            <w:r w:rsidR="002900A2" w:rsidRPr="002900A2">
              <w:rPr>
                <w:rFonts w:cs="Arial"/>
                <w:color w:val="FFFFFF" w:themeColor="background1"/>
                <w:szCs w:val="40"/>
              </w:rPr>
              <w:t>Roche Products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905D1A">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905D1A">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905D1A">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905D1A">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905D1A">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4F47D6">
          <w:rPr>
            <w:rStyle w:val="Hyperlink"/>
          </w:rPr>
          <w:t>https://www.tga.gov.au</w:t>
        </w:r>
      </w:hyperlink>
      <w:r w:rsidR="00112F56">
        <w:t>&gt;</w:t>
      </w:r>
      <w:r>
        <w:t>.</w:t>
      </w:r>
    </w:p>
    <w:p w:rsidR="008E7846" w:rsidRDefault="008E7846" w:rsidP="008E7846">
      <w:pPr>
        <w:pStyle w:val="NonTOCHeading2"/>
      </w:pPr>
      <w:r>
        <w:t>About AusPARs</w:t>
      </w:r>
    </w:p>
    <w:p w:rsidR="008E7846" w:rsidRDefault="008E7846" w:rsidP="00905D1A">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w:t>
      </w:r>
      <w:r w:rsidR="004B1C15">
        <w:t>escription medicine submission.</w:t>
      </w:r>
    </w:p>
    <w:p w:rsidR="008E7846" w:rsidRDefault="008E7846" w:rsidP="00905D1A">
      <w:pPr>
        <w:pStyle w:val="ListBullet"/>
        <w:numPr>
          <w:ilvl w:val="0"/>
          <w:numId w:val="1"/>
        </w:numPr>
        <w:ind w:left="357" w:hanging="357"/>
      </w:pPr>
      <w:r>
        <w:t>AusPARs are prepared and published by the TGA.</w:t>
      </w:r>
    </w:p>
    <w:p w:rsidR="008E7846" w:rsidRDefault="008E7846" w:rsidP="00905D1A">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905D1A">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905D1A">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E0B99">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EF2990"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15046249" w:history="1">
            <w:r w:rsidR="00EF2990" w:rsidRPr="00195505">
              <w:rPr>
                <w:rStyle w:val="Hyperlink"/>
                <w:noProof/>
              </w:rPr>
              <w:t>List of the most common abbreviations used in this AusPAR</w:t>
            </w:r>
            <w:r w:rsidR="00EF2990">
              <w:rPr>
                <w:noProof/>
                <w:webHidden/>
              </w:rPr>
              <w:tab/>
            </w:r>
            <w:r w:rsidR="00EF2990">
              <w:rPr>
                <w:noProof/>
                <w:webHidden/>
              </w:rPr>
              <w:fldChar w:fldCharType="begin"/>
            </w:r>
            <w:r w:rsidR="00EF2990">
              <w:rPr>
                <w:noProof/>
                <w:webHidden/>
              </w:rPr>
              <w:instrText xml:space="preserve"> PAGEREF _Toc415046249 \h </w:instrText>
            </w:r>
            <w:r w:rsidR="00EF2990">
              <w:rPr>
                <w:noProof/>
                <w:webHidden/>
              </w:rPr>
            </w:r>
            <w:r w:rsidR="00EF2990">
              <w:rPr>
                <w:noProof/>
                <w:webHidden/>
              </w:rPr>
              <w:fldChar w:fldCharType="separate"/>
            </w:r>
            <w:r w:rsidR="00083E23">
              <w:rPr>
                <w:noProof/>
                <w:webHidden/>
              </w:rPr>
              <w:t>4</w:t>
            </w:r>
            <w:r w:rsidR="00EF2990">
              <w:rPr>
                <w:noProof/>
                <w:webHidden/>
              </w:rPr>
              <w:fldChar w:fldCharType="end"/>
            </w:r>
          </w:hyperlink>
        </w:p>
        <w:p w:rsidR="00EF2990" w:rsidRDefault="008C156A">
          <w:pPr>
            <w:pStyle w:val="TOC2"/>
            <w:rPr>
              <w:rFonts w:asciiTheme="minorHAnsi" w:eastAsiaTheme="minorEastAsia" w:hAnsiTheme="minorHAnsi" w:cstheme="minorBidi"/>
              <w:b w:val="0"/>
              <w:noProof/>
              <w:sz w:val="22"/>
              <w:lang w:eastAsia="en-AU"/>
            </w:rPr>
          </w:pPr>
          <w:hyperlink w:anchor="_Toc415046250" w:history="1">
            <w:r w:rsidR="00EF2990" w:rsidRPr="00195505">
              <w:rPr>
                <w:rStyle w:val="Hyperlink"/>
                <w:noProof/>
              </w:rPr>
              <w:t>I. Introduction to product submission</w:t>
            </w:r>
            <w:r w:rsidR="00EF2990">
              <w:rPr>
                <w:noProof/>
                <w:webHidden/>
              </w:rPr>
              <w:tab/>
            </w:r>
            <w:r w:rsidR="00EF2990">
              <w:rPr>
                <w:noProof/>
                <w:webHidden/>
              </w:rPr>
              <w:fldChar w:fldCharType="begin"/>
            </w:r>
            <w:r w:rsidR="00EF2990">
              <w:rPr>
                <w:noProof/>
                <w:webHidden/>
              </w:rPr>
              <w:instrText xml:space="preserve"> PAGEREF _Toc415046250 \h </w:instrText>
            </w:r>
            <w:r w:rsidR="00EF2990">
              <w:rPr>
                <w:noProof/>
                <w:webHidden/>
              </w:rPr>
            </w:r>
            <w:r w:rsidR="00EF2990">
              <w:rPr>
                <w:noProof/>
                <w:webHidden/>
              </w:rPr>
              <w:fldChar w:fldCharType="separate"/>
            </w:r>
            <w:r w:rsidR="00083E23">
              <w:rPr>
                <w:noProof/>
                <w:webHidden/>
              </w:rPr>
              <w:t>7</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51" w:history="1">
            <w:r w:rsidR="00EF2990" w:rsidRPr="00195505">
              <w:rPr>
                <w:rStyle w:val="Hyperlink"/>
                <w:noProof/>
                <w:lang w:eastAsia="en-AU"/>
              </w:rPr>
              <w:t>Submission details</w:t>
            </w:r>
            <w:r w:rsidR="00EF2990">
              <w:rPr>
                <w:noProof/>
                <w:webHidden/>
              </w:rPr>
              <w:tab/>
            </w:r>
            <w:r w:rsidR="00EF2990">
              <w:rPr>
                <w:noProof/>
                <w:webHidden/>
              </w:rPr>
              <w:fldChar w:fldCharType="begin"/>
            </w:r>
            <w:r w:rsidR="00EF2990">
              <w:rPr>
                <w:noProof/>
                <w:webHidden/>
              </w:rPr>
              <w:instrText xml:space="preserve"> PAGEREF _Toc415046251 \h </w:instrText>
            </w:r>
            <w:r w:rsidR="00EF2990">
              <w:rPr>
                <w:noProof/>
                <w:webHidden/>
              </w:rPr>
            </w:r>
            <w:r w:rsidR="00EF2990">
              <w:rPr>
                <w:noProof/>
                <w:webHidden/>
              </w:rPr>
              <w:fldChar w:fldCharType="separate"/>
            </w:r>
            <w:r w:rsidR="00083E23">
              <w:rPr>
                <w:noProof/>
                <w:webHidden/>
              </w:rPr>
              <w:t>7</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52" w:history="1">
            <w:r w:rsidR="00EF2990" w:rsidRPr="00195505">
              <w:rPr>
                <w:rStyle w:val="Hyperlink"/>
                <w:noProof/>
              </w:rPr>
              <w:t>Product background</w:t>
            </w:r>
            <w:r w:rsidR="00EF2990">
              <w:rPr>
                <w:noProof/>
                <w:webHidden/>
              </w:rPr>
              <w:tab/>
            </w:r>
            <w:r w:rsidR="00EF2990">
              <w:rPr>
                <w:noProof/>
                <w:webHidden/>
              </w:rPr>
              <w:fldChar w:fldCharType="begin"/>
            </w:r>
            <w:r w:rsidR="00EF2990">
              <w:rPr>
                <w:noProof/>
                <w:webHidden/>
              </w:rPr>
              <w:instrText xml:space="preserve"> PAGEREF _Toc415046252 \h </w:instrText>
            </w:r>
            <w:r w:rsidR="00EF2990">
              <w:rPr>
                <w:noProof/>
                <w:webHidden/>
              </w:rPr>
            </w:r>
            <w:r w:rsidR="00EF2990">
              <w:rPr>
                <w:noProof/>
                <w:webHidden/>
              </w:rPr>
              <w:fldChar w:fldCharType="separate"/>
            </w:r>
            <w:r w:rsidR="00083E23">
              <w:rPr>
                <w:noProof/>
                <w:webHidden/>
              </w:rPr>
              <w:t>8</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53" w:history="1">
            <w:r w:rsidR="00EF2990" w:rsidRPr="00195505">
              <w:rPr>
                <w:rStyle w:val="Hyperlink"/>
                <w:noProof/>
              </w:rPr>
              <w:t>Regulatory status</w:t>
            </w:r>
            <w:r w:rsidR="00EF2990">
              <w:rPr>
                <w:noProof/>
                <w:webHidden/>
              </w:rPr>
              <w:tab/>
            </w:r>
            <w:r w:rsidR="00EF2990">
              <w:rPr>
                <w:noProof/>
                <w:webHidden/>
              </w:rPr>
              <w:fldChar w:fldCharType="begin"/>
            </w:r>
            <w:r w:rsidR="00EF2990">
              <w:rPr>
                <w:noProof/>
                <w:webHidden/>
              </w:rPr>
              <w:instrText xml:space="preserve"> PAGEREF _Toc415046253 \h </w:instrText>
            </w:r>
            <w:r w:rsidR="00EF2990">
              <w:rPr>
                <w:noProof/>
                <w:webHidden/>
              </w:rPr>
            </w:r>
            <w:r w:rsidR="00EF2990">
              <w:rPr>
                <w:noProof/>
                <w:webHidden/>
              </w:rPr>
              <w:fldChar w:fldCharType="separate"/>
            </w:r>
            <w:r w:rsidR="00083E23">
              <w:rPr>
                <w:noProof/>
                <w:webHidden/>
              </w:rPr>
              <w:t>8</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54" w:history="1">
            <w:r w:rsidR="00EF2990" w:rsidRPr="00195505">
              <w:rPr>
                <w:rStyle w:val="Hyperlink"/>
                <w:noProof/>
              </w:rPr>
              <w:t>Product information</w:t>
            </w:r>
            <w:r w:rsidR="00EF2990">
              <w:rPr>
                <w:noProof/>
                <w:webHidden/>
              </w:rPr>
              <w:tab/>
            </w:r>
            <w:r w:rsidR="00EF2990">
              <w:rPr>
                <w:noProof/>
                <w:webHidden/>
              </w:rPr>
              <w:fldChar w:fldCharType="begin"/>
            </w:r>
            <w:r w:rsidR="00EF2990">
              <w:rPr>
                <w:noProof/>
                <w:webHidden/>
              </w:rPr>
              <w:instrText xml:space="preserve"> PAGEREF _Toc415046254 \h </w:instrText>
            </w:r>
            <w:r w:rsidR="00EF2990">
              <w:rPr>
                <w:noProof/>
                <w:webHidden/>
              </w:rPr>
            </w:r>
            <w:r w:rsidR="00EF2990">
              <w:rPr>
                <w:noProof/>
                <w:webHidden/>
              </w:rPr>
              <w:fldChar w:fldCharType="separate"/>
            </w:r>
            <w:r w:rsidR="00083E23">
              <w:rPr>
                <w:noProof/>
                <w:webHidden/>
              </w:rPr>
              <w:t>8</w:t>
            </w:r>
            <w:r w:rsidR="00EF2990">
              <w:rPr>
                <w:noProof/>
                <w:webHidden/>
              </w:rPr>
              <w:fldChar w:fldCharType="end"/>
            </w:r>
          </w:hyperlink>
        </w:p>
        <w:p w:rsidR="00EF2990" w:rsidRDefault="008C156A">
          <w:pPr>
            <w:pStyle w:val="TOC2"/>
            <w:rPr>
              <w:rFonts w:asciiTheme="minorHAnsi" w:eastAsiaTheme="minorEastAsia" w:hAnsiTheme="minorHAnsi" w:cstheme="minorBidi"/>
              <w:b w:val="0"/>
              <w:noProof/>
              <w:sz w:val="22"/>
              <w:lang w:eastAsia="en-AU"/>
            </w:rPr>
          </w:pPr>
          <w:hyperlink w:anchor="_Toc415046255" w:history="1">
            <w:r w:rsidR="00EF2990" w:rsidRPr="00195505">
              <w:rPr>
                <w:rStyle w:val="Hyperlink"/>
                <w:noProof/>
              </w:rPr>
              <w:t>II. Quality findings</w:t>
            </w:r>
            <w:r w:rsidR="00EF2990">
              <w:rPr>
                <w:noProof/>
                <w:webHidden/>
              </w:rPr>
              <w:tab/>
            </w:r>
            <w:r w:rsidR="00EF2990">
              <w:rPr>
                <w:noProof/>
                <w:webHidden/>
              </w:rPr>
              <w:fldChar w:fldCharType="begin"/>
            </w:r>
            <w:r w:rsidR="00EF2990">
              <w:rPr>
                <w:noProof/>
                <w:webHidden/>
              </w:rPr>
              <w:instrText xml:space="preserve"> PAGEREF _Toc415046255 \h </w:instrText>
            </w:r>
            <w:r w:rsidR="00EF2990">
              <w:rPr>
                <w:noProof/>
                <w:webHidden/>
              </w:rPr>
            </w:r>
            <w:r w:rsidR="00EF2990">
              <w:rPr>
                <w:noProof/>
                <w:webHidden/>
              </w:rPr>
              <w:fldChar w:fldCharType="separate"/>
            </w:r>
            <w:r w:rsidR="00083E23">
              <w:rPr>
                <w:noProof/>
                <w:webHidden/>
              </w:rPr>
              <w:t>8</w:t>
            </w:r>
            <w:r w:rsidR="00EF2990">
              <w:rPr>
                <w:noProof/>
                <w:webHidden/>
              </w:rPr>
              <w:fldChar w:fldCharType="end"/>
            </w:r>
          </w:hyperlink>
        </w:p>
        <w:p w:rsidR="00EF2990" w:rsidRDefault="008C156A">
          <w:pPr>
            <w:pStyle w:val="TOC2"/>
            <w:rPr>
              <w:rFonts w:asciiTheme="minorHAnsi" w:eastAsiaTheme="minorEastAsia" w:hAnsiTheme="minorHAnsi" w:cstheme="minorBidi"/>
              <w:b w:val="0"/>
              <w:noProof/>
              <w:sz w:val="22"/>
              <w:lang w:eastAsia="en-AU"/>
            </w:rPr>
          </w:pPr>
          <w:hyperlink w:anchor="_Toc415046256" w:history="1">
            <w:r w:rsidR="00EF2990" w:rsidRPr="00195505">
              <w:rPr>
                <w:rStyle w:val="Hyperlink"/>
                <w:noProof/>
              </w:rPr>
              <w:t>III. Nonclinical findings</w:t>
            </w:r>
            <w:r w:rsidR="00EF2990">
              <w:rPr>
                <w:noProof/>
                <w:webHidden/>
              </w:rPr>
              <w:tab/>
            </w:r>
            <w:r w:rsidR="00EF2990">
              <w:rPr>
                <w:noProof/>
                <w:webHidden/>
              </w:rPr>
              <w:fldChar w:fldCharType="begin"/>
            </w:r>
            <w:r w:rsidR="00EF2990">
              <w:rPr>
                <w:noProof/>
                <w:webHidden/>
              </w:rPr>
              <w:instrText xml:space="preserve"> PAGEREF _Toc415046256 \h </w:instrText>
            </w:r>
            <w:r w:rsidR="00EF2990">
              <w:rPr>
                <w:noProof/>
                <w:webHidden/>
              </w:rPr>
            </w:r>
            <w:r w:rsidR="00EF2990">
              <w:rPr>
                <w:noProof/>
                <w:webHidden/>
              </w:rPr>
              <w:fldChar w:fldCharType="separate"/>
            </w:r>
            <w:r w:rsidR="00083E23">
              <w:rPr>
                <w:noProof/>
                <w:webHidden/>
              </w:rPr>
              <w:t>8</w:t>
            </w:r>
            <w:r w:rsidR="00EF2990">
              <w:rPr>
                <w:noProof/>
                <w:webHidden/>
              </w:rPr>
              <w:fldChar w:fldCharType="end"/>
            </w:r>
          </w:hyperlink>
        </w:p>
        <w:p w:rsidR="00EF2990" w:rsidRDefault="008C156A">
          <w:pPr>
            <w:pStyle w:val="TOC2"/>
            <w:rPr>
              <w:rFonts w:asciiTheme="minorHAnsi" w:eastAsiaTheme="minorEastAsia" w:hAnsiTheme="minorHAnsi" w:cstheme="minorBidi"/>
              <w:b w:val="0"/>
              <w:noProof/>
              <w:sz w:val="22"/>
              <w:lang w:eastAsia="en-AU"/>
            </w:rPr>
          </w:pPr>
          <w:hyperlink w:anchor="_Toc415046257" w:history="1">
            <w:r w:rsidR="00EF2990" w:rsidRPr="00195505">
              <w:rPr>
                <w:rStyle w:val="Hyperlink"/>
                <w:noProof/>
              </w:rPr>
              <w:t>IV. Clinical findings</w:t>
            </w:r>
            <w:r w:rsidR="00EF2990">
              <w:rPr>
                <w:noProof/>
                <w:webHidden/>
              </w:rPr>
              <w:tab/>
            </w:r>
            <w:r w:rsidR="00EF2990">
              <w:rPr>
                <w:noProof/>
                <w:webHidden/>
              </w:rPr>
              <w:fldChar w:fldCharType="begin"/>
            </w:r>
            <w:r w:rsidR="00EF2990">
              <w:rPr>
                <w:noProof/>
                <w:webHidden/>
              </w:rPr>
              <w:instrText xml:space="preserve"> PAGEREF _Toc415046257 \h </w:instrText>
            </w:r>
            <w:r w:rsidR="00EF2990">
              <w:rPr>
                <w:noProof/>
                <w:webHidden/>
              </w:rPr>
            </w:r>
            <w:r w:rsidR="00EF2990">
              <w:rPr>
                <w:noProof/>
                <w:webHidden/>
              </w:rPr>
              <w:fldChar w:fldCharType="separate"/>
            </w:r>
            <w:r w:rsidR="00083E23">
              <w:rPr>
                <w:noProof/>
                <w:webHidden/>
              </w:rPr>
              <w:t>8</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58" w:history="1">
            <w:r w:rsidR="00EF2990" w:rsidRPr="00195505">
              <w:rPr>
                <w:rStyle w:val="Hyperlink"/>
                <w:noProof/>
              </w:rPr>
              <w:t>Clinical rationale</w:t>
            </w:r>
            <w:r w:rsidR="00EF2990">
              <w:rPr>
                <w:noProof/>
                <w:webHidden/>
              </w:rPr>
              <w:tab/>
            </w:r>
            <w:r w:rsidR="00EF2990">
              <w:rPr>
                <w:noProof/>
                <w:webHidden/>
              </w:rPr>
              <w:fldChar w:fldCharType="begin"/>
            </w:r>
            <w:r w:rsidR="00EF2990">
              <w:rPr>
                <w:noProof/>
                <w:webHidden/>
              </w:rPr>
              <w:instrText xml:space="preserve"> PAGEREF _Toc415046258 \h </w:instrText>
            </w:r>
            <w:r w:rsidR="00EF2990">
              <w:rPr>
                <w:noProof/>
                <w:webHidden/>
              </w:rPr>
            </w:r>
            <w:r w:rsidR="00EF2990">
              <w:rPr>
                <w:noProof/>
                <w:webHidden/>
              </w:rPr>
              <w:fldChar w:fldCharType="separate"/>
            </w:r>
            <w:r w:rsidR="00083E23">
              <w:rPr>
                <w:noProof/>
                <w:webHidden/>
              </w:rPr>
              <w:t>8</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59" w:history="1">
            <w:r w:rsidR="00EF2990" w:rsidRPr="00195505">
              <w:rPr>
                <w:rStyle w:val="Hyperlink"/>
                <w:noProof/>
              </w:rPr>
              <w:t>Pharmacokinetics</w:t>
            </w:r>
            <w:r w:rsidR="00EF2990">
              <w:rPr>
                <w:noProof/>
                <w:webHidden/>
              </w:rPr>
              <w:tab/>
            </w:r>
            <w:r w:rsidR="00EF2990">
              <w:rPr>
                <w:noProof/>
                <w:webHidden/>
              </w:rPr>
              <w:fldChar w:fldCharType="begin"/>
            </w:r>
            <w:r w:rsidR="00EF2990">
              <w:rPr>
                <w:noProof/>
                <w:webHidden/>
              </w:rPr>
              <w:instrText xml:space="preserve"> PAGEREF _Toc415046259 \h </w:instrText>
            </w:r>
            <w:r w:rsidR="00EF2990">
              <w:rPr>
                <w:noProof/>
                <w:webHidden/>
              </w:rPr>
            </w:r>
            <w:r w:rsidR="00EF2990">
              <w:rPr>
                <w:noProof/>
                <w:webHidden/>
              </w:rPr>
              <w:fldChar w:fldCharType="separate"/>
            </w:r>
            <w:r w:rsidR="00083E23">
              <w:rPr>
                <w:noProof/>
                <w:webHidden/>
              </w:rPr>
              <w:t>12</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60" w:history="1">
            <w:r w:rsidR="00EF2990" w:rsidRPr="00195505">
              <w:rPr>
                <w:rStyle w:val="Hyperlink"/>
                <w:noProof/>
              </w:rPr>
              <w:t>Evaluator’s conclusions on pharmacokinetics</w:t>
            </w:r>
            <w:r w:rsidR="00EF2990">
              <w:rPr>
                <w:noProof/>
                <w:webHidden/>
              </w:rPr>
              <w:tab/>
            </w:r>
            <w:r w:rsidR="00EF2990">
              <w:rPr>
                <w:noProof/>
                <w:webHidden/>
              </w:rPr>
              <w:fldChar w:fldCharType="begin"/>
            </w:r>
            <w:r w:rsidR="00EF2990">
              <w:rPr>
                <w:noProof/>
                <w:webHidden/>
              </w:rPr>
              <w:instrText xml:space="preserve"> PAGEREF _Toc415046260 \h </w:instrText>
            </w:r>
            <w:r w:rsidR="00EF2990">
              <w:rPr>
                <w:noProof/>
                <w:webHidden/>
              </w:rPr>
            </w:r>
            <w:r w:rsidR="00EF2990">
              <w:rPr>
                <w:noProof/>
                <w:webHidden/>
              </w:rPr>
              <w:fldChar w:fldCharType="separate"/>
            </w:r>
            <w:r w:rsidR="00083E23">
              <w:rPr>
                <w:noProof/>
                <w:webHidden/>
              </w:rPr>
              <w:t>12</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61" w:history="1">
            <w:r w:rsidR="00EF2990" w:rsidRPr="00195505">
              <w:rPr>
                <w:rStyle w:val="Hyperlink"/>
                <w:noProof/>
              </w:rPr>
              <w:t>Pharmacodynamics</w:t>
            </w:r>
            <w:r w:rsidR="00EF2990">
              <w:rPr>
                <w:noProof/>
                <w:webHidden/>
              </w:rPr>
              <w:tab/>
            </w:r>
            <w:r w:rsidR="00EF2990">
              <w:rPr>
                <w:noProof/>
                <w:webHidden/>
              </w:rPr>
              <w:fldChar w:fldCharType="begin"/>
            </w:r>
            <w:r w:rsidR="00EF2990">
              <w:rPr>
                <w:noProof/>
                <w:webHidden/>
              </w:rPr>
              <w:instrText xml:space="preserve"> PAGEREF _Toc415046261 \h </w:instrText>
            </w:r>
            <w:r w:rsidR="00EF2990">
              <w:rPr>
                <w:noProof/>
                <w:webHidden/>
              </w:rPr>
            </w:r>
            <w:r w:rsidR="00EF2990">
              <w:rPr>
                <w:noProof/>
                <w:webHidden/>
              </w:rPr>
              <w:fldChar w:fldCharType="separate"/>
            </w:r>
            <w:r w:rsidR="00083E23">
              <w:rPr>
                <w:noProof/>
                <w:webHidden/>
              </w:rPr>
              <w:t>13</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62" w:history="1">
            <w:r w:rsidR="00EF2990" w:rsidRPr="00195505">
              <w:rPr>
                <w:rStyle w:val="Hyperlink"/>
                <w:noProof/>
              </w:rPr>
              <w:t>Dosage selection for the pivotal studies</w:t>
            </w:r>
            <w:r w:rsidR="00EF2990">
              <w:rPr>
                <w:noProof/>
                <w:webHidden/>
              </w:rPr>
              <w:tab/>
            </w:r>
            <w:r w:rsidR="00EF2990">
              <w:rPr>
                <w:noProof/>
                <w:webHidden/>
              </w:rPr>
              <w:fldChar w:fldCharType="begin"/>
            </w:r>
            <w:r w:rsidR="00EF2990">
              <w:rPr>
                <w:noProof/>
                <w:webHidden/>
              </w:rPr>
              <w:instrText xml:space="preserve"> PAGEREF _Toc415046262 \h </w:instrText>
            </w:r>
            <w:r w:rsidR="00EF2990">
              <w:rPr>
                <w:noProof/>
                <w:webHidden/>
              </w:rPr>
            </w:r>
            <w:r w:rsidR="00EF2990">
              <w:rPr>
                <w:noProof/>
                <w:webHidden/>
              </w:rPr>
              <w:fldChar w:fldCharType="separate"/>
            </w:r>
            <w:r w:rsidR="00083E23">
              <w:rPr>
                <w:noProof/>
                <w:webHidden/>
              </w:rPr>
              <w:t>13</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63" w:history="1">
            <w:r w:rsidR="00EF2990" w:rsidRPr="00195505">
              <w:rPr>
                <w:rStyle w:val="Hyperlink"/>
                <w:noProof/>
              </w:rPr>
              <w:t>Efficacy</w:t>
            </w:r>
            <w:r w:rsidR="00EF2990">
              <w:rPr>
                <w:noProof/>
                <w:webHidden/>
              </w:rPr>
              <w:tab/>
            </w:r>
            <w:r w:rsidR="00EF2990">
              <w:rPr>
                <w:noProof/>
                <w:webHidden/>
              </w:rPr>
              <w:fldChar w:fldCharType="begin"/>
            </w:r>
            <w:r w:rsidR="00EF2990">
              <w:rPr>
                <w:noProof/>
                <w:webHidden/>
              </w:rPr>
              <w:instrText xml:space="preserve"> PAGEREF _Toc415046263 \h </w:instrText>
            </w:r>
            <w:r w:rsidR="00EF2990">
              <w:rPr>
                <w:noProof/>
                <w:webHidden/>
              </w:rPr>
            </w:r>
            <w:r w:rsidR="00EF2990">
              <w:rPr>
                <w:noProof/>
                <w:webHidden/>
              </w:rPr>
              <w:fldChar w:fldCharType="separate"/>
            </w:r>
            <w:r w:rsidR="00083E23">
              <w:rPr>
                <w:noProof/>
                <w:webHidden/>
              </w:rPr>
              <w:t>14</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64" w:history="1">
            <w:r w:rsidR="00EF2990" w:rsidRPr="00195505">
              <w:rPr>
                <w:rStyle w:val="Hyperlink"/>
                <w:noProof/>
              </w:rPr>
              <w:t>Safety</w:t>
            </w:r>
            <w:r w:rsidR="00EF2990">
              <w:rPr>
                <w:noProof/>
                <w:webHidden/>
              </w:rPr>
              <w:tab/>
            </w:r>
            <w:r w:rsidR="00EF2990">
              <w:rPr>
                <w:noProof/>
                <w:webHidden/>
              </w:rPr>
              <w:fldChar w:fldCharType="begin"/>
            </w:r>
            <w:r w:rsidR="00EF2990">
              <w:rPr>
                <w:noProof/>
                <w:webHidden/>
              </w:rPr>
              <w:instrText xml:space="preserve"> PAGEREF _Toc415046264 \h </w:instrText>
            </w:r>
            <w:r w:rsidR="00EF2990">
              <w:rPr>
                <w:noProof/>
                <w:webHidden/>
              </w:rPr>
            </w:r>
            <w:r w:rsidR="00EF2990">
              <w:rPr>
                <w:noProof/>
                <w:webHidden/>
              </w:rPr>
              <w:fldChar w:fldCharType="separate"/>
            </w:r>
            <w:r w:rsidR="00083E23">
              <w:rPr>
                <w:noProof/>
                <w:webHidden/>
              </w:rPr>
              <w:t>16</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65" w:history="1">
            <w:r w:rsidR="00EF2990" w:rsidRPr="00195505">
              <w:rPr>
                <w:rStyle w:val="Hyperlink"/>
                <w:noProof/>
              </w:rPr>
              <w:t>First round benefit-risk assessment</w:t>
            </w:r>
            <w:r w:rsidR="00EF2990">
              <w:rPr>
                <w:noProof/>
                <w:webHidden/>
              </w:rPr>
              <w:tab/>
            </w:r>
            <w:r w:rsidR="00EF2990">
              <w:rPr>
                <w:noProof/>
                <w:webHidden/>
              </w:rPr>
              <w:fldChar w:fldCharType="begin"/>
            </w:r>
            <w:r w:rsidR="00EF2990">
              <w:rPr>
                <w:noProof/>
                <w:webHidden/>
              </w:rPr>
              <w:instrText xml:space="preserve"> PAGEREF _Toc415046265 \h </w:instrText>
            </w:r>
            <w:r w:rsidR="00EF2990">
              <w:rPr>
                <w:noProof/>
                <w:webHidden/>
              </w:rPr>
            </w:r>
            <w:r w:rsidR="00EF2990">
              <w:rPr>
                <w:noProof/>
                <w:webHidden/>
              </w:rPr>
              <w:fldChar w:fldCharType="separate"/>
            </w:r>
            <w:r w:rsidR="00083E23">
              <w:rPr>
                <w:noProof/>
                <w:webHidden/>
              </w:rPr>
              <w:t>19</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66" w:history="1">
            <w:r w:rsidR="00EF2990" w:rsidRPr="00195505">
              <w:rPr>
                <w:rStyle w:val="Hyperlink"/>
                <w:noProof/>
              </w:rPr>
              <w:t>First round recommendation regarding authorisation</w:t>
            </w:r>
            <w:r w:rsidR="00EF2990">
              <w:rPr>
                <w:noProof/>
                <w:webHidden/>
              </w:rPr>
              <w:tab/>
            </w:r>
            <w:r w:rsidR="00EF2990">
              <w:rPr>
                <w:noProof/>
                <w:webHidden/>
              </w:rPr>
              <w:fldChar w:fldCharType="begin"/>
            </w:r>
            <w:r w:rsidR="00EF2990">
              <w:rPr>
                <w:noProof/>
                <w:webHidden/>
              </w:rPr>
              <w:instrText xml:space="preserve"> PAGEREF _Toc415046266 \h </w:instrText>
            </w:r>
            <w:r w:rsidR="00EF2990">
              <w:rPr>
                <w:noProof/>
                <w:webHidden/>
              </w:rPr>
            </w:r>
            <w:r w:rsidR="00EF2990">
              <w:rPr>
                <w:noProof/>
                <w:webHidden/>
              </w:rPr>
              <w:fldChar w:fldCharType="separate"/>
            </w:r>
            <w:r w:rsidR="00083E23">
              <w:rPr>
                <w:noProof/>
                <w:webHidden/>
              </w:rPr>
              <w:t>21</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67" w:history="1">
            <w:r w:rsidR="00EF2990" w:rsidRPr="00195505">
              <w:rPr>
                <w:rStyle w:val="Hyperlink"/>
                <w:noProof/>
              </w:rPr>
              <w:t>Safety</w:t>
            </w:r>
            <w:r w:rsidR="00EF2990">
              <w:rPr>
                <w:noProof/>
                <w:webHidden/>
              </w:rPr>
              <w:tab/>
            </w:r>
            <w:r w:rsidR="00EF2990">
              <w:rPr>
                <w:noProof/>
                <w:webHidden/>
              </w:rPr>
              <w:fldChar w:fldCharType="begin"/>
            </w:r>
            <w:r w:rsidR="00EF2990">
              <w:rPr>
                <w:noProof/>
                <w:webHidden/>
              </w:rPr>
              <w:instrText xml:space="preserve"> PAGEREF _Toc415046267 \h </w:instrText>
            </w:r>
            <w:r w:rsidR="00EF2990">
              <w:rPr>
                <w:noProof/>
                <w:webHidden/>
              </w:rPr>
            </w:r>
            <w:r w:rsidR="00EF2990">
              <w:rPr>
                <w:noProof/>
                <w:webHidden/>
              </w:rPr>
              <w:fldChar w:fldCharType="separate"/>
            </w:r>
            <w:r w:rsidR="00083E23">
              <w:rPr>
                <w:noProof/>
                <w:webHidden/>
              </w:rPr>
              <w:t>25</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68" w:history="1">
            <w:r w:rsidR="00EF2990" w:rsidRPr="00195505">
              <w:rPr>
                <w:rStyle w:val="Hyperlink"/>
                <w:noProof/>
              </w:rPr>
              <w:t>Second round evaluation of clinical data submitted in response to questions</w:t>
            </w:r>
            <w:r w:rsidR="00EF2990">
              <w:rPr>
                <w:noProof/>
                <w:webHidden/>
              </w:rPr>
              <w:tab/>
            </w:r>
            <w:r w:rsidR="00EF2990">
              <w:rPr>
                <w:noProof/>
                <w:webHidden/>
              </w:rPr>
              <w:fldChar w:fldCharType="begin"/>
            </w:r>
            <w:r w:rsidR="00EF2990">
              <w:rPr>
                <w:noProof/>
                <w:webHidden/>
              </w:rPr>
              <w:instrText xml:space="preserve"> PAGEREF _Toc415046268 \h </w:instrText>
            </w:r>
            <w:r w:rsidR="00EF2990">
              <w:rPr>
                <w:noProof/>
                <w:webHidden/>
              </w:rPr>
            </w:r>
            <w:r w:rsidR="00EF2990">
              <w:rPr>
                <w:noProof/>
                <w:webHidden/>
              </w:rPr>
              <w:fldChar w:fldCharType="separate"/>
            </w:r>
            <w:r w:rsidR="00083E23">
              <w:rPr>
                <w:noProof/>
                <w:webHidden/>
              </w:rPr>
              <w:t>26</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69" w:history="1">
            <w:r w:rsidR="00EF2990" w:rsidRPr="00195505">
              <w:rPr>
                <w:rStyle w:val="Hyperlink"/>
                <w:noProof/>
              </w:rPr>
              <w:t>Second round benefit-risk assessment</w:t>
            </w:r>
            <w:r w:rsidR="00EF2990">
              <w:rPr>
                <w:noProof/>
                <w:webHidden/>
              </w:rPr>
              <w:tab/>
            </w:r>
            <w:r w:rsidR="00EF2990">
              <w:rPr>
                <w:noProof/>
                <w:webHidden/>
              </w:rPr>
              <w:fldChar w:fldCharType="begin"/>
            </w:r>
            <w:r w:rsidR="00EF2990">
              <w:rPr>
                <w:noProof/>
                <w:webHidden/>
              </w:rPr>
              <w:instrText xml:space="preserve"> PAGEREF _Toc415046269 \h </w:instrText>
            </w:r>
            <w:r w:rsidR="00EF2990">
              <w:rPr>
                <w:noProof/>
                <w:webHidden/>
              </w:rPr>
            </w:r>
            <w:r w:rsidR="00EF2990">
              <w:rPr>
                <w:noProof/>
                <w:webHidden/>
              </w:rPr>
              <w:fldChar w:fldCharType="separate"/>
            </w:r>
            <w:r w:rsidR="00083E23">
              <w:rPr>
                <w:noProof/>
                <w:webHidden/>
              </w:rPr>
              <w:t>26</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70" w:history="1">
            <w:r w:rsidR="00EF2990" w:rsidRPr="00195505">
              <w:rPr>
                <w:rStyle w:val="Hyperlink"/>
                <w:noProof/>
              </w:rPr>
              <w:t>Second round recommendation regarding authorisation</w:t>
            </w:r>
            <w:r w:rsidR="00EF2990">
              <w:rPr>
                <w:noProof/>
                <w:webHidden/>
              </w:rPr>
              <w:tab/>
            </w:r>
            <w:r w:rsidR="00EF2990">
              <w:rPr>
                <w:noProof/>
                <w:webHidden/>
              </w:rPr>
              <w:fldChar w:fldCharType="begin"/>
            </w:r>
            <w:r w:rsidR="00EF2990">
              <w:rPr>
                <w:noProof/>
                <w:webHidden/>
              </w:rPr>
              <w:instrText xml:space="preserve"> PAGEREF _Toc415046270 \h </w:instrText>
            </w:r>
            <w:r w:rsidR="00EF2990">
              <w:rPr>
                <w:noProof/>
                <w:webHidden/>
              </w:rPr>
            </w:r>
            <w:r w:rsidR="00EF2990">
              <w:rPr>
                <w:noProof/>
                <w:webHidden/>
              </w:rPr>
              <w:fldChar w:fldCharType="separate"/>
            </w:r>
            <w:r w:rsidR="00083E23">
              <w:rPr>
                <w:noProof/>
                <w:webHidden/>
              </w:rPr>
              <w:t>27</w:t>
            </w:r>
            <w:r w:rsidR="00EF2990">
              <w:rPr>
                <w:noProof/>
                <w:webHidden/>
              </w:rPr>
              <w:fldChar w:fldCharType="end"/>
            </w:r>
          </w:hyperlink>
        </w:p>
        <w:p w:rsidR="00EF2990" w:rsidRDefault="008C156A">
          <w:pPr>
            <w:pStyle w:val="TOC2"/>
            <w:rPr>
              <w:rFonts w:asciiTheme="minorHAnsi" w:eastAsiaTheme="minorEastAsia" w:hAnsiTheme="minorHAnsi" w:cstheme="minorBidi"/>
              <w:b w:val="0"/>
              <w:noProof/>
              <w:sz w:val="22"/>
              <w:lang w:eastAsia="en-AU"/>
            </w:rPr>
          </w:pPr>
          <w:hyperlink w:anchor="_Toc415046271" w:history="1">
            <w:r w:rsidR="00EF2990" w:rsidRPr="00195505">
              <w:rPr>
                <w:rStyle w:val="Hyperlink"/>
                <w:noProof/>
              </w:rPr>
              <w:t>V. Pharmacovigilance findings</w:t>
            </w:r>
            <w:r w:rsidR="00EF2990">
              <w:rPr>
                <w:noProof/>
                <w:webHidden/>
              </w:rPr>
              <w:tab/>
            </w:r>
            <w:r w:rsidR="00EF2990">
              <w:rPr>
                <w:noProof/>
                <w:webHidden/>
              </w:rPr>
              <w:fldChar w:fldCharType="begin"/>
            </w:r>
            <w:r w:rsidR="00EF2990">
              <w:rPr>
                <w:noProof/>
                <w:webHidden/>
              </w:rPr>
              <w:instrText xml:space="preserve"> PAGEREF _Toc415046271 \h </w:instrText>
            </w:r>
            <w:r w:rsidR="00EF2990">
              <w:rPr>
                <w:noProof/>
                <w:webHidden/>
              </w:rPr>
            </w:r>
            <w:r w:rsidR="00EF2990">
              <w:rPr>
                <w:noProof/>
                <w:webHidden/>
              </w:rPr>
              <w:fldChar w:fldCharType="separate"/>
            </w:r>
            <w:r w:rsidR="00083E23">
              <w:rPr>
                <w:noProof/>
                <w:webHidden/>
              </w:rPr>
              <w:t>27</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72" w:history="1">
            <w:r w:rsidR="00EF2990" w:rsidRPr="00195505">
              <w:rPr>
                <w:rStyle w:val="Hyperlink"/>
                <w:noProof/>
                <w:lang w:eastAsia="en-AU"/>
              </w:rPr>
              <w:t>Risk management plan</w:t>
            </w:r>
            <w:r w:rsidR="00EF2990">
              <w:rPr>
                <w:noProof/>
                <w:webHidden/>
              </w:rPr>
              <w:tab/>
            </w:r>
            <w:r w:rsidR="00EF2990">
              <w:rPr>
                <w:noProof/>
                <w:webHidden/>
              </w:rPr>
              <w:fldChar w:fldCharType="begin"/>
            </w:r>
            <w:r w:rsidR="00EF2990">
              <w:rPr>
                <w:noProof/>
                <w:webHidden/>
              </w:rPr>
              <w:instrText xml:space="preserve"> PAGEREF _Toc415046272 \h </w:instrText>
            </w:r>
            <w:r w:rsidR="00EF2990">
              <w:rPr>
                <w:noProof/>
                <w:webHidden/>
              </w:rPr>
            </w:r>
            <w:r w:rsidR="00EF2990">
              <w:rPr>
                <w:noProof/>
                <w:webHidden/>
              </w:rPr>
              <w:fldChar w:fldCharType="separate"/>
            </w:r>
            <w:r w:rsidR="00083E23">
              <w:rPr>
                <w:noProof/>
                <w:webHidden/>
              </w:rPr>
              <w:t>27</w:t>
            </w:r>
            <w:r w:rsidR="00EF2990">
              <w:rPr>
                <w:noProof/>
                <w:webHidden/>
              </w:rPr>
              <w:fldChar w:fldCharType="end"/>
            </w:r>
          </w:hyperlink>
        </w:p>
        <w:p w:rsidR="00EF2990" w:rsidRDefault="008C156A">
          <w:pPr>
            <w:pStyle w:val="TOC2"/>
            <w:rPr>
              <w:rFonts w:asciiTheme="minorHAnsi" w:eastAsiaTheme="minorEastAsia" w:hAnsiTheme="minorHAnsi" w:cstheme="minorBidi"/>
              <w:b w:val="0"/>
              <w:noProof/>
              <w:sz w:val="22"/>
              <w:lang w:eastAsia="en-AU"/>
            </w:rPr>
          </w:pPr>
          <w:hyperlink w:anchor="_Toc415046273" w:history="1">
            <w:r w:rsidR="00EF2990" w:rsidRPr="00195505">
              <w:rPr>
                <w:rStyle w:val="Hyperlink"/>
                <w:noProof/>
              </w:rPr>
              <w:t>VI. Overall conclusion and risk/benefit assessment</w:t>
            </w:r>
            <w:r w:rsidR="00EF2990">
              <w:rPr>
                <w:noProof/>
                <w:webHidden/>
              </w:rPr>
              <w:tab/>
            </w:r>
            <w:r w:rsidR="00EF2990">
              <w:rPr>
                <w:noProof/>
                <w:webHidden/>
              </w:rPr>
              <w:fldChar w:fldCharType="begin"/>
            </w:r>
            <w:r w:rsidR="00EF2990">
              <w:rPr>
                <w:noProof/>
                <w:webHidden/>
              </w:rPr>
              <w:instrText xml:space="preserve"> PAGEREF _Toc415046273 \h </w:instrText>
            </w:r>
            <w:r w:rsidR="00EF2990">
              <w:rPr>
                <w:noProof/>
                <w:webHidden/>
              </w:rPr>
            </w:r>
            <w:r w:rsidR="00EF2990">
              <w:rPr>
                <w:noProof/>
                <w:webHidden/>
              </w:rPr>
              <w:fldChar w:fldCharType="separate"/>
            </w:r>
            <w:r w:rsidR="00083E23">
              <w:rPr>
                <w:noProof/>
                <w:webHidden/>
              </w:rPr>
              <w:t>31</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74" w:history="1">
            <w:r w:rsidR="00EF2990" w:rsidRPr="00195505">
              <w:rPr>
                <w:rStyle w:val="Hyperlink"/>
                <w:noProof/>
              </w:rPr>
              <w:t>Quality</w:t>
            </w:r>
            <w:r w:rsidR="00EF2990">
              <w:rPr>
                <w:noProof/>
                <w:webHidden/>
              </w:rPr>
              <w:tab/>
            </w:r>
            <w:r w:rsidR="00EF2990">
              <w:rPr>
                <w:noProof/>
                <w:webHidden/>
              </w:rPr>
              <w:fldChar w:fldCharType="begin"/>
            </w:r>
            <w:r w:rsidR="00EF2990">
              <w:rPr>
                <w:noProof/>
                <w:webHidden/>
              </w:rPr>
              <w:instrText xml:space="preserve"> PAGEREF _Toc415046274 \h </w:instrText>
            </w:r>
            <w:r w:rsidR="00EF2990">
              <w:rPr>
                <w:noProof/>
                <w:webHidden/>
              </w:rPr>
            </w:r>
            <w:r w:rsidR="00EF2990">
              <w:rPr>
                <w:noProof/>
                <w:webHidden/>
              </w:rPr>
              <w:fldChar w:fldCharType="separate"/>
            </w:r>
            <w:r w:rsidR="00083E23">
              <w:rPr>
                <w:noProof/>
                <w:webHidden/>
              </w:rPr>
              <w:t>31</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75" w:history="1">
            <w:r w:rsidR="00EF2990" w:rsidRPr="00195505">
              <w:rPr>
                <w:rStyle w:val="Hyperlink"/>
                <w:noProof/>
              </w:rPr>
              <w:t>Nonclinical</w:t>
            </w:r>
            <w:r w:rsidR="00EF2990">
              <w:rPr>
                <w:noProof/>
                <w:webHidden/>
              </w:rPr>
              <w:tab/>
            </w:r>
            <w:r w:rsidR="00EF2990">
              <w:rPr>
                <w:noProof/>
                <w:webHidden/>
              </w:rPr>
              <w:fldChar w:fldCharType="begin"/>
            </w:r>
            <w:r w:rsidR="00EF2990">
              <w:rPr>
                <w:noProof/>
                <w:webHidden/>
              </w:rPr>
              <w:instrText xml:space="preserve"> PAGEREF _Toc415046275 \h </w:instrText>
            </w:r>
            <w:r w:rsidR="00EF2990">
              <w:rPr>
                <w:noProof/>
                <w:webHidden/>
              </w:rPr>
            </w:r>
            <w:r w:rsidR="00EF2990">
              <w:rPr>
                <w:noProof/>
                <w:webHidden/>
              </w:rPr>
              <w:fldChar w:fldCharType="separate"/>
            </w:r>
            <w:r w:rsidR="00083E23">
              <w:rPr>
                <w:noProof/>
                <w:webHidden/>
              </w:rPr>
              <w:t>31</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76" w:history="1">
            <w:r w:rsidR="00EF2990" w:rsidRPr="00195505">
              <w:rPr>
                <w:rStyle w:val="Hyperlink"/>
                <w:noProof/>
              </w:rPr>
              <w:t>Clinical</w:t>
            </w:r>
            <w:r w:rsidR="00EF2990">
              <w:rPr>
                <w:noProof/>
                <w:webHidden/>
              </w:rPr>
              <w:tab/>
            </w:r>
            <w:r w:rsidR="00EF2990">
              <w:rPr>
                <w:noProof/>
                <w:webHidden/>
              </w:rPr>
              <w:fldChar w:fldCharType="begin"/>
            </w:r>
            <w:r w:rsidR="00EF2990">
              <w:rPr>
                <w:noProof/>
                <w:webHidden/>
              </w:rPr>
              <w:instrText xml:space="preserve"> PAGEREF _Toc415046276 \h </w:instrText>
            </w:r>
            <w:r w:rsidR="00EF2990">
              <w:rPr>
                <w:noProof/>
                <w:webHidden/>
              </w:rPr>
            </w:r>
            <w:r w:rsidR="00EF2990">
              <w:rPr>
                <w:noProof/>
                <w:webHidden/>
              </w:rPr>
              <w:fldChar w:fldCharType="separate"/>
            </w:r>
            <w:r w:rsidR="00083E23">
              <w:rPr>
                <w:noProof/>
                <w:webHidden/>
              </w:rPr>
              <w:t>32</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77" w:history="1">
            <w:r w:rsidR="00EF2990" w:rsidRPr="00195505">
              <w:rPr>
                <w:rStyle w:val="Hyperlink"/>
                <w:noProof/>
                <w:lang w:eastAsia="en-AU"/>
              </w:rPr>
              <w:t>Risk management plan</w:t>
            </w:r>
            <w:r w:rsidR="00EF2990">
              <w:rPr>
                <w:noProof/>
                <w:webHidden/>
              </w:rPr>
              <w:tab/>
            </w:r>
            <w:r w:rsidR="00EF2990">
              <w:rPr>
                <w:noProof/>
                <w:webHidden/>
              </w:rPr>
              <w:fldChar w:fldCharType="begin"/>
            </w:r>
            <w:r w:rsidR="00EF2990">
              <w:rPr>
                <w:noProof/>
                <w:webHidden/>
              </w:rPr>
              <w:instrText xml:space="preserve"> PAGEREF _Toc415046277 \h </w:instrText>
            </w:r>
            <w:r w:rsidR="00EF2990">
              <w:rPr>
                <w:noProof/>
                <w:webHidden/>
              </w:rPr>
            </w:r>
            <w:r w:rsidR="00EF2990">
              <w:rPr>
                <w:noProof/>
                <w:webHidden/>
              </w:rPr>
              <w:fldChar w:fldCharType="separate"/>
            </w:r>
            <w:r w:rsidR="00083E23">
              <w:rPr>
                <w:noProof/>
                <w:webHidden/>
              </w:rPr>
              <w:t>43</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78" w:history="1">
            <w:r w:rsidR="00EF2990" w:rsidRPr="00195505">
              <w:rPr>
                <w:rStyle w:val="Hyperlink"/>
                <w:noProof/>
              </w:rPr>
              <w:t>Risk-benefit analysis</w:t>
            </w:r>
            <w:r w:rsidR="00EF2990">
              <w:rPr>
                <w:noProof/>
                <w:webHidden/>
              </w:rPr>
              <w:tab/>
            </w:r>
            <w:r w:rsidR="00EF2990">
              <w:rPr>
                <w:noProof/>
                <w:webHidden/>
              </w:rPr>
              <w:fldChar w:fldCharType="begin"/>
            </w:r>
            <w:r w:rsidR="00EF2990">
              <w:rPr>
                <w:noProof/>
                <w:webHidden/>
              </w:rPr>
              <w:instrText xml:space="preserve"> PAGEREF _Toc415046278 \h </w:instrText>
            </w:r>
            <w:r w:rsidR="00EF2990">
              <w:rPr>
                <w:noProof/>
                <w:webHidden/>
              </w:rPr>
            </w:r>
            <w:r w:rsidR="00EF2990">
              <w:rPr>
                <w:noProof/>
                <w:webHidden/>
              </w:rPr>
              <w:fldChar w:fldCharType="separate"/>
            </w:r>
            <w:r w:rsidR="00083E23">
              <w:rPr>
                <w:noProof/>
                <w:webHidden/>
              </w:rPr>
              <w:t>43</w:t>
            </w:r>
            <w:r w:rsidR="00EF2990">
              <w:rPr>
                <w:noProof/>
                <w:webHidden/>
              </w:rPr>
              <w:fldChar w:fldCharType="end"/>
            </w:r>
          </w:hyperlink>
        </w:p>
        <w:p w:rsidR="00EF2990" w:rsidRDefault="008C156A">
          <w:pPr>
            <w:pStyle w:val="TOC3"/>
            <w:rPr>
              <w:rFonts w:asciiTheme="minorHAnsi" w:eastAsiaTheme="minorEastAsia" w:hAnsiTheme="minorHAnsi" w:cstheme="minorBidi"/>
              <w:noProof/>
              <w:lang w:eastAsia="en-AU"/>
            </w:rPr>
          </w:pPr>
          <w:hyperlink w:anchor="_Toc415046279" w:history="1">
            <w:r w:rsidR="00EF2990" w:rsidRPr="00195505">
              <w:rPr>
                <w:rStyle w:val="Hyperlink"/>
                <w:noProof/>
              </w:rPr>
              <w:t>Outcome</w:t>
            </w:r>
            <w:r w:rsidR="00EF2990">
              <w:rPr>
                <w:noProof/>
                <w:webHidden/>
              </w:rPr>
              <w:tab/>
            </w:r>
            <w:r w:rsidR="00EF2990">
              <w:rPr>
                <w:noProof/>
                <w:webHidden/>
              </w:rPr>
              <w:fldChar w:fldCharType="begin"/>
            </w:r>
            <w:r w:rsidR="00EF2990">
              <w:rPr>
                <w:noProof/>
                <w:webHidden/>
              </w:rPr>
              <w:instrText xml:space="preserve"> PAGEREF _Toc415046279 \h </w:instrText>
            </w:r>
            <w:r w:rsidR="00EF2990">
              <w:rPr>
                <w:noProof/>
                <w:webHidden/>
              </w:rPr>
            </w:r>
            <w:r w:rsidR="00EF2990">
              <w:rPr>
                <w:noProof/>
                <w:webHidden/>
              </w:rPr>
              <w:fldChar w:fldCharType="separate"/>
            </w:r>
            <w:r w:rsidR="00083E23">
              <w:rPr>
                <w:noProof/>
                <w:webHidden/>
              </w:rPr>
              <w:t>51</w:t>
            </w:r>
            <w:r w:rsidR="00EF2990">
              <w:rPr>
                <w:noProof/>
                <w:webHidden/>
              </w:rPr>
              <w:fldChar w:fldCharType="end"/>
            </w:r>
          </w:hyperlink>
        </w:p>
        <w:p w:rsidR="00EF2990" w:rsidRDefault="008C156A">
          <w:pPr>
            <w:pStyle w:val="TOC2"/>
            <w:rPr>
              <w:rFonts w:asciiTheme="minorHAnsi" w:eastAsiaTheme="minorEastAsia" w:hAnsiTheme="minorHAnsi" w:cstheme="minorBidi"/>
              <w:b w:val="0"/>
              <w:noProof/>
              <w:sz w:val="22"/>
              <w:lang w:eastAsia="en-AU"/>
            </w:rPr>
          </w:pPr>
          <w:hyperlink w:anchor="_Toc415046280" w:history="1">
            <w:r w:rsidR="00EF2990" w:rsidRPr="00195505">
              <w:rPr>
                <w:rStyle w:val="Hyperlink"/>
                <w:noProof/>
              </w:rPr>
              <w:t>Attachment 1. Product Information</w:t>
            </w:r>
            <w:r w:rsidR="00EF2990">
              <w:rPr>
                <w:noProof/>
                <w:webHidden/>
              </w:rPr>
              <w:tab/>
            </w:r>
            <w:r w:rsidR="00EF2990">
              <w:rPr>
                <w:noProof/>
                <w:webHidden/>
              </w:rPr>
              <w:fldChar w:fldCharType="begin"/>
            </w:r>
            <w:r w:rsidR="00EF2990">
              <w:rPr>
                <w:noProof/>
                <w:webHidden/>
              </w:rPr>
              <w:instrText xml:space="preserve"> PAGEREF _Toc415046280 \h </w:instrText>
            </w:r>
            <w:r w:rsidR="00EF2990">
              <w:rPr>
                <w:noProof/>
                <w:webHidden/>
              </w:rPr>
            </w:r>
            <w:r w:rsidR="00EF2990">
              <w:rPr>
                <w:noProof/>
                <w:webHidden/>
              </w:rPr>
              <w:fldChar w:fldCharType="separate"/>
            </w:r>
            <w:r w:rsidR="00083E23">
              <w:rPr>
                <w:noProof/>
                <w:webHidden/>
              </w:rPr>
              <w:t>52</w:t>
            </w:r>
            <w:r w:rsidR="00EF2990">
              <w:rPr>
                <w:noProof/>
                <w:webHidden/>
              </w:rPr>
              <w:fldChar w:fldCharType="end"/>
            </w:r>
          </w:hyperlink>
        </w:p>
        <w:p w:rsidR="00EF2990" w:rsidRDefault="008C156A">
          <w:pPr>
            <w:pStyle w:val="TOC2"/>
            <w:rPr>
              <w:rFonts w:asciiTheme="minorHAnsi" w:eastAsiaTheme="minorEastAsia" w:hAnsiTheme="minorHAnsi" w:cstheme="minorBidi"/>
              <w:b w:val="0"/>
              <w:noProof/>
              <w:sz w:val="22"/>
              <w:lang w:eastAsia="en-AU"/>
            </w:rPr>
          </w:pPr>
          <w:hyperlink w:anchor="_Toc415046281" w:history="1">
            <w:r w:rsidR="00EF2990" w:rsidRPr="00195505">
              <w:rPr>
                <w:rStyle w:val="Hyperlink"/>
                <w:noProof/>
                <w:lang w:eastAsia="en-AU"/>
              </w:rPr>
              <w:t>Attachment 2. Extract from the Clinical Evaluation Report</w:t>
            </w:r>
            <w:r w:rsidR="00EF2990">
              <w:rPr>
                <w:noProof/>
                <w:webHidden/>
              </w:rPr>
              <w:tab/>
            </w:r>
            <w:r w:rsidR="00EF2990">
              <w:rPr>
                <w:noProof/>
                <w:webHidden/>
              </w:rPr>
              <w:fldChar w:fldCharType="begin"/>
            </w:r>
            <w:r w:rsidR="00EF2990">
              <w:rPr>
                <w:noProof/>
                <w:webHidden/>
              </w:rPr>
              <w:instrText xml:space="preserve"> PAGEREF _Toc415046281 \h </w:instrText>
            </w:r>
            <w:r w:rsidR="00EF2990">
              <w:rPr>
                <w:noProof/>
                <w:webHidden/>
              </w:rPr>
            </w:r>
            <w:r w:rsidR="00EF2990">
              <w:rPr>
                <w:noProof/>
                <w:webHidden/>
              </w:rPr>
              <w:fldChar w:fldCharType="separate"/>
            </w:r>
            <w:r w:rsidR="00083E23">
              <w:rPr>
                <w:noProof/>
                <w:webHidden/>
              </w:rPr>
              <w:t>52</w:t>
            </w:r>
            <w:r w:rsidR="00EF2990">
              <w:rPr>
                <w:noProof/>
                <w:webHidden/>
              </w:rPr>
              <w:fldChar w:fldCharType="end"/>
            </w:r>
          </w:hyperlink>
        </w:p>
        <w:p w:rsidR="003A7F6C" w:rsidRPr="00B811C6" w:rsidRDefault="00DB6124" w:rsidP="00B811C6">
          <w:pPr>
            <w:pStyle w:val="TOC2"/>
          </w:pPr>
          <w:r>
            <w:fldChar w:fldCharType="end"/>
          </w:r>
        </w:p>
      </w:sdtContent>
    </w:sdt>
    <w:bookmarkStart w:id="2" w:name="_Toc314842482" w:displacedByCustomXml="prev"/>
    <w:p w:rsidR="00FD119B" w:rsidRDefault="00FD119B">
      <w:pPr>
        <w:spacing w:before="0" w:after="200" w:line="0" w:lineRule="auto"/>
      </w:pPr>
      <w:r>
        <w:br w:type="page"/>
      </w:r>
    </w:p>
    <w:p w:rsidR="00FD119B" w:rsidRDefault="00FD119B" w:rsidP="004B1C15">
      <w:pPr>
        <w:pStyle w:val="Heading2"/>
      </w:pPr>
      <w:bookmarkStart w:id="3" w:name="_Toc351716269"/>
      <w:bookmarkStart w:id="4" w:name="_Toc351718881"/>
      <w:bookmarkStart w:id="5" w:name="_Toc355338616"/>
      <w:bookmarkStart w:id="6" w:name="_Toc356306144"/>
      <w:bookmarkStart w:id="7" w:name="_Toc415046249"/>
      <w:r w:rsidRPr="00FD119B">
        <w:lastRenderedPageBreak/>
        <w:t>List of the most common abbreviations</w:t>
      </w:r>
      <w:bookmarkEnd w:id="3"/>
      <w:bookmarkEnd w:id="4"/>
      <w:bookmarkEnd w:id="5"/>
      <w:bookmarkEnd w:id="6"/>
      <w:r w:rsidRPr="00FD119B">
        <w:t xml:space="preserve"> used in this </w:t>
      </w:r>
      <w:r w:rsidRPr="004F0C4A">
        <w:t>AusPAR</w:t>
      </w:r>
      <w:bookmarkEnd w:id="7"/>
    </w:p>
    <w:tbl>
      <w:tblPr>
        <w:tblStyle w:val="TableTGAblue"/>
        <w:tblW w:w="9039" w:type="dxa"/>
        <w:tblLook w:val="04A0" w:firstRow="1" w:lastRow="0" w:firstColumn="1" w:lastColumn="0" w:noHBand="0" w:noVBand="1"/>
      </w:tblPr>
      <w:tblGrid>
        <w:gridCol w:w="2235"/>
        <w:gridCol w:w="6804"/>
      </w:tblGrid>
      <w:tr w:rsidR="00165A8D" w:rsidTr="00573F26">
        <w:trPr>
          <w:cnfStyle w:val="100000000000" w:firstRow="1" w:lastRow="0" w:firstColumn="0" w:lastColumn="0" w:oddVBand="0" w:evenVBand="0" w:oddHBand="0" w:evenHBand="0" w:firstRowFirstColumn="0" w:firstRowLastColumn="0" w:lastRowFirstColumn="0" w:lastRowLastColumn="0"/>
        </w:trPr>
        <w:tc>
          <w:tcPr>
            <w:tcW w:w="2235" w:type="dxa"/>
          </w:tcPr>
          <w:p w:rsidR="00165A8D" w:rsidRDefault="00165A8D" w:rsidP="00451D82">
            <w:r>
              <w:t>Abbreviation</w:t>
            </w:r>
          </w:p>
        </w:tc>
        <w:tc>
          <w:tcPr>
            <w:tcW w:w="6804" w:type="dxa"/>
          </w:tcPr>
          <w:p w:rsidR="00165A8D" w:rsidRDefault="00165A8D" w:rsidP="00451D82">
            <w:r>
              <w:t>Meaning</w:t>
            </w:r>
          </w:p>
        </w:tc>
      </w:tr>
      <w:tr w:rsidR="00165A8D" w:rsidRPr="00C2083E" w:rsidTr="00573F26">
        <w:tc>
          <w:tcPr>
            <w:tcW w:w="2235" w:type="dxa"/>
          </w:tcPr>
          <w:p w:rsidR="00165A8D" w:rsidRPr="00C2083E" w:rsidRDefault="004B1C15" w:rsidP="00451D82">
            <w:r>
              <w:t>AE</w:t>
            </w:r>
          </w:p>
        </w:tc>
        <w:tc>
          <w:tcPr>
            <w:tcW w:w="6804" w:type="dxa"/>
          </w:tcPr>
          <w:p w:rsidR="00165A8D" w:rsidRPr="00C2083E" w:rsidRDefault="00165A8D" w:rsidP="00451D82">
            <w:r w:rsidRPr="00C2083E">
              <w:t>adverse event</w:t>
            </w:r>
          </w:p>
        </w:tc>
      </w:tr>
      <w:tr w:rsidR="00165A8D" w:rsidRPr="00C2083E" w:rsidTr="00573F26">
        <w:tc>
          <w:tcPr>
            <w:tcW w:w="2235" w:type="dxa"/>
          </w:tcPr>
          <w:p w:rsidR="00165A8D" w:rsidRPr="00C2083E" w:rsidRDefault="004B1C15" w:rsidP="00451D82">
            <w:r>
              <w:t>ALT (SGPT)</w:t>
            </w:r>
          </w:p>
        </w:tc>
        <w:tc>
          <w:tcPr>
            <w:tcW w:w="6804" w:type="dxa"/>
          </w:tcPr>
          <w:p w:rsidR="00165A8D" w:rsidRPr="00C2083E" w:rsidRDefault="00165A8D" w:rsidP="00451D82">
            <w:r w:rsidRPr="00C2083E">
              <w:t>alanine aminotransferase</w:t>
            </w:r>
          </w:p>
        </w:tc>
      </w:tr>
      <w:tr w:rsidR="00165A8D" w:rsidRPr="00C2083E" w:rsidTr="00573F26">
        <w:tc>
          <w:tcPr>
            <w:tcW w:w="2235" w:type="dxa"/>
          </w:tcPr>
          <w:p w:rsidR="00165A8D" w:rsidRPr="00C2083E" w:rsidRDefault="004B1C15" w:rsidP="00451D82">
            <w:proofErr w:type="spellStart"/>
            <w:r>
              <w:t>aPTT</w:t>
            </w:r>
            <w:proofErr w:type="spellEnd"/>
          </w:p>
        </w:tc>
        <w:tc>
          <w:tcPr>
            <w:tcW w:w="6804" w:type="dxa"/>
          </w:tcPr>
          <w:p w:rsidR="00165A8D" w:rsidRPr="00C2083E" w:rsidRDefault="00165A8D" w:rsidP="00451D82">
            <w:r w:rsidRPr="00C2083E">
              <w:t xml:space="preserve">activated partial </w:t>
            </w:r>
            <w:proofErr w:type="spellStart"/>
            <w:r w:rsidRPr="00C2083E">
              <w:t>thromboplastin</w:t>
            </w:r>
            <w:proofErr w:type="spellEnd"/>
            <w:r w:rsidRPr="00C2083E">
              <w:t xml:space="preserve"> time</w:t>
            </w:r>
          </w:p>
        </w:tc>
      </w:tr>
      <w:tr w:rsidR="00165A8D" w:rsidRPr="00C2083E" w:rsidTr="00573F26">
        <w:tc>
          <w:tcPr>
            <w:tcW w:w="2235" w:type="dxa"/>
          </w:tcPr>
          <w:p w:rsidR="00165A8D" w:rsidRPr="00C2083E" w:rsidRDefault="004B1C15" w:rsidP="00451D82">
            <w:r>
              <w:t>AST (SGOT)</w:t>
            </w:r>
          </w:p>
        </w:tc>
        <w:tc>
          <w:tcPr>
            <w:tcW w:w="6804" w:type="dxa"/>
          </w:tcPr>
          <w:p w:rsidR="00165A8D" w:rsidRPr="00C2083E" w:rsidRDefault="00165A8D" w:rsidP="00451D82">
            <w:r w:rsidRPr="00C2083E">
              <w:t>aspartate aminotransferase</w:t>
            </w:r>
          </w:p>
        </w:tc>
      </w:tr>
      <w:tr w:rsidR="00165A8D" w:rsidRPr="00C2083E" w:rsidTr="00573F26">
        <w:tc>
          <w:tcPr>
            <w:tcW w:w="2235" w:type="dxa"/>
          </w:tcPr>
          <w:p w:rsidR="00165A8D" w:rsidRPr="00C2083E" w:rsidRDefault="004B1C15" w:rsidP="00451D82">
            <w:r>
              <w:t>ATE</w:t>
            </w:r>
          </w:p>
        </w:tc>
        <w:tc>
          <w:tcPr>
            <w:tcW w:w="6804" w:type="dxa"/>
          </w:tcPr>
          <w:p w:rsidR="00165A8D" w:rsidRPr="00C2083E" w:rsidRDefault="00165A8D" w:rsidP="00451D82">
            <w:r w:rsidRPr="00C2083E">
              <w:t>arterial thromboembolic event</w:t>
            </w:r>
          </w:p>
        </w:tc>
      </w:tr>
      <w:tr w:rsidR="00165A8D" w:rsidRPr="00C2083E" w:rsidTr="00573F26">
        <w:tc>
          <w:tcPr>
            <w:tcW w:w="2235" w:type="dxa"/>
          </w:tcPr>
          <w:p w:rsidR="00165A8D" w:rsidRPr="00C2083E" w:rsidRDefault="00165A8D" w:rsidP="00451D82">
            <w:r w:rsidRPr="00C2083E">
              <w:t>CA-125</w:t>
            </w:r>
          </w:p>
        </w:tc>
        <w:tc>
          <w:tcPr>
            <w:tcW w:w="6804" w:type="dxa"/>
          </w:tcPr>
          <w:p w:rsidR="00165A8D" w:rsidRPr="00C2083E" w:rsidRDefault="00165A8D" w:rsidP="00451D82">
            <w:r w:rsidRPr="00C2083E">
              <w:t>cancer antigen 125</w:t>
            </w:r>
          </w:p>
        </w:tc>
      </w:tr>
      <w:tr w:rsidR="00165A8D" w:rsidRPr="00C2083E" w:rsidTr="00573F26">
        <w:tc>
          <w:tcPr>
            <w:tcW w:w="2235" w:type="dxa"/>
          </w:tcPr>
          <w:p w:rsidR="00165A8D" w:rsidRPr="00C2083E" w:rsidRDefault="004B1C15" w:rsidP="00451D82">
            <w:r>
              <w:t>CHF</w:t>
            </w:r>
          </w:p>
        </w:tc>
        <w:tc>
          <w:tcPr>
            <w:tcW w:w="6804" w:type="dxa"/>
          </w:tcPr>
          <w:p w:rsidR="00165A8D" w:rsidRPr="00C2083E" w:rsidRDefault="00165A8D" w:rsidP="00451D82">
            <w:r w:rsidRPr="00C2083E">
              <w:t>congestive heart failure</w:t>
            </w:r>
          </w:p>
        </w:tc>
      </w:tr>
      <w:tr w:rsidR="00165A8D" w:rsidRPr="00C2083E" w:rsidTr="00573F26">
        <w:tc>
          <w:tcPr>
            <w:tcW w:w="2235" w:type="dxa"/>
          </w:tcPr>
          <w:p w:rsidR="00165A8D" w:rsidRPr="00C2083E" w:rsidRDefault="004B1C15" w:rsidP="00451D82">
            <w:r>
              <w:t>CI</w:t>
            </w:r>
          </w:p>
        </w:tc>
        <w:tc>
          <w:tcPr>
            <w:tcW w:w="6804" w:type="dxa"/>
          </w:tcPr>
          <w:p w:rsidR="00165A8D" w:rsidRPr="00C2083E" w:rsidRDefault="00165A8D" w:rsidP="00451D82">
            <w:r w:rsidRPr="00C2083E">
              <w:t>confidence interval</w:t>
            </w:r>
          </w:p>
        </w:tc>
      </w:tr>
      <w:tr w:rsidR="00165A8D" w:rsidRPr="00C2083E" w:rsidTr="00573F26">
        <w:tc>
          <w:tcPr>
            <w:tcW w:w="2235" w:type="dxa"/>
          </w:tcPr>
          <w:p w:rsidR="00165A8D" w:rsidRPr="00C2083E" w:rsidRDefault="004B1C15" w:rsidP="00451D82">
            <w:r>
              <w:t>CL</w:t>
            </w:r>
          </w:p>
        </w:tc>
        <w:tc>
          <w:tcPr>
            <w:tcW w:w="6804" w:type="dxa"/>
          </w:tcPr>
          <w:p w:rsidR="00165A8D" w:rsidRPr="00C2083E" w:rsidRDefault="00165A8D" w:rsidP="00451D82">
            <w:r w:rsidRPr="00C2083E">
              <w:t>clearance</w:t>
            </w:r>
          </w:p>
        </w:tc>
      </w:tr>
      <w:tr w:rsidR="00165A8D" w:rsidRPr="00C2083E" w:rsidTr="00573F26">
        <w:tc>
          <w:tcPr>
            <w:tcW w:w="2235" w:type="dxa"/>
          </w:tcPr>
          <w:p w:rsidR="00165A8D" w:rsidRPr="00C2083E" w:rsidRDefault="004B1C15" w:rsidP="00451D82">
            <w:r>
              <w:t>CR</w:t>
            </w:r>
          </w:p>
        </w:tc>
        <w:tc>
          <w:tcPr>
            <w:tcW w:w="6804" w:type="dxa"/>
          </w:tcPr>
          <w:p w:rsidR="00165A8D" w:rsidRPr="00C2083E" w:rsidRDefault="00165A8D" w:rsidP="00451D82">
            <w:r w:rsidRPr="00C2083E">
              <w:t>complete response</w:t>
            </w:r>
          </w:p>
        </w:tc>
      </w:tr>
      <w:tr w:rsidR="00165A8D" w:rsidRPr="00C2083E" w:rsidTr="00573F26">
        <w:tc>
          <w:tcPr>
            <w:tcW w:w="2235" w:type="dxa"/>
          </w:tcPr>
          <w:p w:rsidR="00165A8D" w:rsidRPr="00C2083E" w:rsidRDefault="004B1C15" w:rsidP="00451D82">
            <w:r>
              <w:t>CRC</w:t>
            </w:r>
          </w:p>
        </w:tc>
        <w:tc>
          <w:tcPr>
            <w:tcW w:w="6804" w:type="dxa"/>
          </w:tcPr>
          <w:p w:rsidR="00165A8D" w:rsidRPr="00C2083E" w:rsidRDefault="00165A8D" w:rsidP="00451D82">
            <w:r w:rsidRPr="00C2083E">
              <w:t>colorectal cancer</w:t>
            </w:r>
          </w:p>
        </w:tc>
      </w:tr>
      <w:tr w:rsidR="00165A8D" w:rsidRPr="00C2083E" w:rsidTr="00573F26">
        <w:tc>
          <w:tcPr>
            <w:tcW w:w="2235" w:type="dxa"/>
          </w:tcPr>
          <w:p w:rsidR="00165A8D" w:rsidRPr="00C2083E" w:rsidRDefault="004B1C15" w:rsidP="00451D82">
            <w:r>
              <w:t>CT</w:t>
            </w:r>
          </w:p>
        </w:tc>
        <w:tc>
          <w:tcPr>
            <w:tcW w:w="6804" w:type="dxa"/>
          </w:tcPr>
          <w:p w:rsidR="00165A8D" w:rsidRPr="00C2083E" w:rsidRDefault="00165A8D" w:rsidP="00451D82">
            <w:r w:rsidRPr="00C2083E">
              <w:t>chemotherapy</w:t>
            </w:r>
          </w:p>
        </w:tc>
      </w:tr>
      <w:tr w:rsidR="00165A8D" w:rsidRPr="00C2083E" w:rsidTr="00573F26">
        <w:tc>
          <w:tcPr>
            <w:tcW w:w="2235" w:type="dxa"/>
          </w:tcPr>
          <w:p w:rsidR="00165A8D" w:rsidRPr="00C2083E" w:rsidRDefault="004B1C15" w:rsidP="00451D82">
            <w:r>
              <w:t>CT+BV</w:t>
            </w:r>
          </w:p>
        </w:tc>
        <w:tc>
          <w:tcPr>
            <w:tcW w:w="6804" w:type="dxa"/>
          </w:tcPr>
          <w:p w:rsidR="00165A8D" w:rsidRPr="00C2083E" w:rsidRDefault="00165A8D" w:rsidP="00451D82">
            <w:r w:rsidRPr="00C2083E">
              <w:t xml:space="preserve">chemotherapy plus </w:t>
            </w:r>
            <w:proofErr w:type="spellStart"/>
            <w:r w:rsidRPr="00C2083E">
              <w:t>bevacizumab</w:t>
            </w:r>
            <w:proofErr w:type="spellEnd"/>
          </w:p>
        </w:tc>
      </w:tr>
      <w:tr w:rsidR="00165A8D" w:rsidRPr="00C2083E" w:rsidTr="00573F26">
        <w:tc>
          <w:tcPr>
            <w:tcW w:w="2235" w:type="dxa"/>
          </w:tcPr>
          <w:p w:rsidR="00165A8D" w:rsidRPr="00C2083E" w:rsidRDefault="004B1C15" w:rsidP="00451D82">
            <w:r>
              <w:t>CTCAE</w:t>
            </w:r>
          </w:p>
        </w:tc>
        <w:tc>
          <w:tcPr>
            <w:tcW w:w="6804" w:type="dxa"/>
          </w:tcPr>
          <w:p w:rsidR="00165A8D" w:rsidRPr="00C2083E" w:rsidRDefault="00165A8D" w:rsidP="00451D82">
            <w:r w:rsidRPr="00C2083E">
              <w:t>common toxicity criteria adverse events</w:t>
            </w:r>
          </w:p>
        </w:tc>
      </w:tr>
      <w:tr w:rsidR="00165A8D" w:rsidRPr="00C2083E" w:rsidTr="00573F26">
        <w:tc>
          <w:tcPr>
            <w:tcW w:w="2235" w:type="dxa"/>
          </w:tcPr>
          <w:p w:rsidR="00165A8D" w:rsidRPr="00C2083E" w:rsidRDefault="004B1C15" w:rsidP="00451D82">
            <w:r>
              <w:t>ECHO</w:t>
            </w:r>
          </w:p>
        </w:tc>
        <w:tc>
          <w:tcPr>
            <w:tcW w:w="6804" w:type="dxa"/>
          </w:tcPr>
          <w:p w:rsidR="00165A8D" w:rsidRPr="00C2083E" w:rsidRDefault="00165A8D" w:rsidP="00451D82">
            <w:r w:rsidRPr="00C2083E">
              <w:t>echocardiogram</w:t>
            </w:r>
          </w:p>
        </w:tc>
      </w:tr>
      <w:tr w:rsidR="00165A8D" w:rsidRPr="00C2083E" w:rsidTr="00573F26">
        <w:tc>
          <w:tcPr>
            <w:tcW w:w="2235" w:type="dxa"/>
          </w:tcPr>
          <w:p w:rsidR="00165A8D" w:rsidRPr="00C2083E" w:rsidRDefault="004B1C15" w:rsidP="00451D82">
            <w:r>
              <w:t>ECOG</w:t>
            </w:r>
          </w:p>
        </w:tc>
        <w:tc>
          <w:tcPr>
            <w:tcW w:w="6804" w:type="dxa"/>
          </w:tcPr>
          <w:p w:rsidR="00165A8D" w:rsidRPr="00C2083E" w:rsidRDefault="00165A8D" w:rsidP="00451D82">
            <w:r w:rsidRPr="00C2083E">
              <w:t>Eastern Cooperative Oncology Group</w:t>
            </w:r>
          </w:p>
        </w:tc>
      </w:tr>
      <w:tr w:rsidR="00165A8D" w:rsidRPr="00C2083E" w:rsidTr="00573F26">
        <w:tc>
          <w:tcPr>
            <w:tcW w:w="2235" w:type="dxa"/>
          </w:tcPr>
          <w:p w:rsidR="00165A8D" w:rsidRPr="00C2083E" w:rsidRDefault="004B1C15" w:rsidP="00451D82">
            <w:proofErr w:type="spellStart"/>
            <w:r>
              <w:t>eCRF</w:t>
            </w:r>
            <w:proofErr w:type="spellEnd"/>
          </w:p>
        </w:tc>
        <w:tc>
          <w:tcPr>
            <w:tcW w:w="6804" w:type="dxa"/>
          </w:tcPr>
          <w:p w:rsidR="00165A8D" w:rsidRPr="00C2083E" w:rsidRDefault="00165A8D" w:rsidP="00451D82">
            <w:r w:rsidRPr="00C2083E">
              <w:t>electronic Case Report Form</w:t>
            </w:r>
          </w:p>
        </w:tc>
      </w:tr>
      <w:tr w:rsidR="00165A8D" w:rsidRPr="00C2083E" w:rsidTr="00573F26">
        <w:tc>
          <w:tcPr>
            <w:tcW w:w="2235" w:type="dxa"/>
          </w:tcPr>
          <w:p w:rsidR="00165A8D" w:rsidRPr="00C2083E" w:rsidRDefault="004B1C15" w:rsidP="00451D82">
            <w:r>
              <w:t>EMA</w:t>
            </w:r>
          </w:p>
        </w:tc>
        <w:tc>
          <w:tcPr>
            <w:tcW w:w="6804" w:type="dxa"/>
          </w:tcPr>
          <w:p w:rsidR="00165A8D" w:rsidRPr="00C2083E" w:rsidRDefault="00165A8D" w:rsidP="00451D82">
            <w:r w:rsidRPr="00C2083E">
              <w:t>European Medicines Agency</w:t>
            </w:r>
          </w:p>
        </w:tc>
      </w:tr>
      <w:tr w:rsidR="00165A8D" w:rsidRPr="00C2083E" w:rsidTr="00573F26">
        <w:tc>
          <w:tcPr>
            <w:tcW w:w="2235" w:type="dxa"/>
          </w:tcPr>
          <w:p w:rsidR="00165A8D" w:rsidRPr="00C2083E" w:rsidRDefault="004B1C15" w:rsidP="00451D82">
            <w:r>
              <w:t>EOC</w:t>
            </w:r>
          </w:p>
        </w:tc>
        <w:tc>
          <w:tcPr>
            <w:tcW w:w="6804" w:type="dxa"/>
          </w:tcPr>
          <w:p w:rsidR="00165A8D" w:rsidRPr="00C2083E" w:rsidRDefault="00165A8D" w:rsidP="00451D82">
            <w:r w:rsidRPr="00C2083E">
              <w:t>epithelial ovarian cancer</w:t>
            </w:r>
          </w:p>
        </w:tc>
      </w:tr>
      <w:tr w:rsidR="00165A8D" w:rsidRPr="00C2083E" w:rsidTr="00573F26">
        <w:tc>
          <w:tcPr>
            <w:tcW w:w="2235" w:type="dxa"/>
          </w:tcPr>
          <w:p w:rsidR="00165A8D" w:rsidRPr="00C2083E" w:rsidRDefault="004B1C15" w:rsidP="00451D82">
            <w:r>
              <w:t>EORTC</w:t>
            </w:r>
          </w:p>
        </w:tc>
        <w:tc>
          <w:tcPr>
            <w:tcW w:w="6804" w:type="dxa"/>
          </w:tcPr>
          <w:p w:rsidR="00165A8D" w:rsidRPr="00C2083E" w:rsidRDefault="00165A8D" w:rsidP="00451D82">
            <w:r w:rsidRPr="00C2083E">
              <w:t>European Organization for Research and Treatment of Cancer</w:t>
            </w:r>
          </w:p>
        </w:tc>
      </w:tr>
      <w:tr w:rsidR="00165A8D" w:rsidRPr="00C2083E" w:rsidTr="00573F26">
        <w:tc>
          <w:tcPr>
            <w:tcW w:w="2235" w:type="dxa"/>
          </w:tcPr>
          <w:p w:rsidR="00165A8D" w:rsidRPr="00C2083E" w:rsidRDefault="004B1C15" w:rsidP="00451D82">
            <w:r>
              <w:t>FACT</w:t>
            </w:r>
          </w:p>
        </w:tc>
        <w:tc>
          <w:tcPr>
            <w:tcW w:w="6804" w:type="dxa"/>
          </w:tcPr>
          <w:p w:rsidR="00165A8D" w:rsidRPr="00C2083E" w:rsidRDefault="00165A8D" w:rsidP="00451D82">
            <w:r w:rsidRPr="00C2083E">
              <w:t>Functional Assessment of Cancer Therapy</w:t>
            </w:r>
          </w:p>
        </w:tc>
      </w:tr>
      <w:tr w:rsidR="00165A8D" w:rsidRPr="00C2083E" w:rsidTr="00573F26">
        <w:tc>
          <w:tcPr>
            <w:tcW w:w="2235" w:type="dxa"/>
          </w:tcPr>
          <w:p w:rsidR="00165A8D" w:rsidRPr="00C2083E" w:rsidRDefault="004B1C15" w:rsidP="00451D82">
            <w:r>
              <w:t>FOSI NCCN/FACT</w:t>
            </w:r>
          </w:p>
        </w:tc>
        <w:tc>
          <w:tcPr>
            <w:tcW w:w="6804" w:type="dxa"/>
          </w:tcPr>
          <w:p w:rsidR="00165A8D" w:rsidRPr="00C2083E" w:rsidRDefault="00165A8D" w:rsidP="00451D82">
            <w:r w:rsidRPr="00C2083E">
              <w:t>Ovarian Symptom Index</w:t>
            </w:r>
          </w:p>
        </w:tc>
      </w:tr>
      <w:tr w:rsidR="00165A8D" w:rsidRPr="00C2083E" w:rsidTr="00573F26">
        <w:tc>
          <w:tcPr>
            <w:tcW w:w="2235" w:type="dxa"/>
          </w:tcPr>
          <w:p w:rsidR="00165A8D" w:rsidRPr="00C2083E" w:rsidRDefault="004B1C15" w:rsidP="00451D82">
            <w:r>
              <w:t>FTC</w:t>
            </w:r>
          </w:p>
        </w:tc>
        <w:tc>
          <w:tcPr>
            <w:tcW w:w="6804" w:type="dxa"/>
          </w:tcPr>
          <w:p w:rsidR="00165A8D" w:rsidRPr="00C2083E" w:rsidRDefault="00165A8D" w:rsidP="00451D82">
            <w:r w:rsidRPr="00C2083E">
              <w:t>fallopian tube cancer</w:t>
            </w:r>
          </w:p>
        </w:tc>
      </w:tr>
      <w:tr w:rsidR="00165A8D" w:rsidRPr="00C2083E" w:rsidTr="00573F26">
        <w:tc>
          <w:tcPr>
            <w:tcW w:w="2235" w:type="dxa"/>
          </w:tcPr>
          <w:p w:rsidR="00165A8D" w:rsidRPr="00C2083E" w:rsidRDefault="004B1C15" w:rsidP="00451D82">
            <w:r>
              <w:t>GCIG</w:t>
            </w:r>
          </w:p>
        </w:tc>
        <w:tc>
          <w:tcPr>
            <w:tcW w:w="6804" w:type="dxa"/>
          </w:tcPr>
          <w:p w:rsidR="00165A8D" w:rsidRPr="00C2083E" w:rsidRDefault="00165A8D" w:rsidP="00451D82">
            <w:proofErr w:type="spellStart"/>
            <w:r w:rsidRPr="00C2083E">
              <w:t>Gynecologic</w:t>
            </w:r>
            <w:proofErr w:type="spellEnd"/>
            <w:r w:rsidRPr="00C2083E">
              <w:t xml:space="preserve"> Cancer </w:t>
            </w:r>
            <w:proofErr w:type="spellStart"/>
            <w:r w:rsidRPr="00C2083E">
              <w:t>InterGroup</w:t>
            </w:r>
            <w:proofErr w:type="spellEnd"/>
          </w:p>
        </w:tc>
      </w:tr>
      <w:tr w:rsidR="00165A8D" w:rsidRPr="00C2083E" w:rsidTr="00573F26">
        <w:tc>
          <w:tcPr>
            <w:tcW w:w="2235" w:type="dxa"/>
          </w:tcPr>
          <w:p w:rsidR="00165A8D" w:rsidRPr="00C2083E" w:rsidRDefault="004B1C15" w:rsidP="00451D82">
            <w:r>
              <w:lastRenderedPageBreak/>
              <w:t>GCP</w:t>
            </w:r>
          </w:p>
        </w:tc>
        <w:tc>
          <w:tcPr>
            <w:tcW w:w="6804" w:type="dxa"/>
          </w:tcPr>
          <w:p w:rsidR="00165A8D" w:rsidRPr="00C2083E" w:rsidRDefault="00165A8D" w:rsidP="00451D82">
            <w:r w:rsidRPr="00C2083E">
              <w:t>good clinical practice</w:t>
            </w:r>
          </w:p>
        </w:tc>
      </w:tr>
      <w:tr w:rsidR="00165A8D" w:rsidRPr="00C2083E" w:rsidTr="00573F26">
        <w:tc>
          <w:tcPr>
            <w:tcW w:w="2235" w:type="dxa"/>
          </w:tcPr>
          <w:p w:rsidR="00165A8D" w:rsidRPr="00C2083E" w:rsidRDefault="004B1C15" w:rsidP="00451D82">
            <w:r>
              <w:t>GHS</w:t>
            </w:r>
          </w:p>
        </w:tc>
        <w:tc>
          <w:tcPr>
            <w:tcW w:w="6804" w:type="dxa"/>
          </w:tcPr>
          <w:p w:rsidR="00165A8D" w:rsidRPr="00C2083E" w:rsidRDefault="00165A8D" w:rsidP="00451D82">
            <w:r w:rsidRPr="00C2083E">
              <w:t>Global Health Status</w:t>
            </w:r>
          </w:p>
        </w:tc>
      </w:tr>
      <w:tr w:rsidR="00165A8D" w:rsidRPr="00C2083E" w:rsidTr="00573F26">
        <w:tc>
          <w:tcPr>
            <w:tcW w:w="2235" w:type="dxa"/>
          </w:tcPr>
          <w:p w:rsidR="00165A8D" w:rsidRPr="00C2083E" w:rsidRDefault="004B1C15" w:rsidP="00451D82">
            <w:r>
              <w:t>GI</w:t>
            </w:r>
          </w:p>
        </w:tc>
        <w:tc>
          <w:tcPr>
            <w:tcW w:w="6804" w:type="dxa"/>
          </w:tcPr>
          <w:p w:rsidR="00165A8D" w:rsidRPr="00C2083E" w:rsidRDefault="00165A8D" w:rsidP="00451D82">
            <w:r w:rsidRPr="00C2083E">
              <w:t>gastrointestinal</w:t>
            </w:r>
          </w:p>
        </w:tc>
      </w:tr>
      <w:tr w:rsidR="00165A8D" w:rsidRPr="00C2083E" w:rsidTr="00573F26">
        <w:tc>
          <w:tcPr>
            <w:tcW w:w="2235" w:type="dxa"/>
          </w:tcPr>
          <w:p w:rsidR="00165A8D" w:rsidRPr="00C2083E" w:rsidRDefault="004B1C15" w:rsidP="00451D82">
            <w:r>
              <w:t>GIP</w:t>
            </w:r>
          </w:p>
        </w:tc>
        <w:tc>
          <w:tcPr>
            <w:tcW w:w="6804" w:type="dxa"/>
          </w:tcPr>
          <w:p w:rsidR="00165A8D" w:rsidRPr="00C2083E" w:rsidRDefault="00165A8D" w:rsidP="00451D82">
            <w:r w:rsidRPr="00C2083E">
              <w:t>gastrointestinal perforation</w:t>
            </w:r>
          </w:p>
        </w:tc>
      </w:tr>
      <w:tr w:rsidR="00165A8D" w:rsidRPr="00C2083E" w:rsidTr="00573F26">
        <w:tc>
          <w:tcPr>
            <w:tcW w:w="2235" w:type="dxa"/>
          </w:tcPr>
          <w:p w:rsidR="00165A8D" w:rsidRPr="00C2083E" w:rsidRDefault="004B1C15" w:rsidP="00451D82">
            <w:r>
              <w:t>HADS</w:t>
            </w:r>
          </w:p>
        </w:tc>
        <w:tc>
          <w:tcPr>
            <w:tcW w:w="6804" w:type="dxa"/>
          </w:tcPr>
          <w:p w:rsidR="00165A8D" w:rsidRPr="00C2083E" w:rsidRDefault="00165A8D" w:rsidP="00451D82">
            <w:r w:rsidRPr="00C2083E">
              <w:t>Hospital Anxiety and Depression Scale</w:t>
            </w:r>
          </w:p>
        </w:tc>
      </w:tr>
      <w:tr w:rsidR="00165A8D" w:rsidRPr="00C2083E" w:rsidTr="00573F26">
        <w:tc>
          <w:tcPr>
            <w:tcW w:w="2235" w:type="dxa"/>
          </w:tcPr>
          <w:p w:rsidR="00165A8D" w:rsidRPr="00C2083E" w:rsidRDefault="004B1C15" w:rsidP="00451D82">
            <w:r>
              <w:t>HR</w:t>
            </w:r>
          </w:p>
        </w:tc>
        <w:tc>
          <w:tcPr>
            <w:tcW w:w="6804" w:type="dxa"/>
          </w:tcPr>
          <w:p w:rsidR="00165A8D" w:rsidRPr="00C2083E" w:rsidRDefault="00165A8D" w:rsidP="00451D82">
            <w:r w:rsidRPr="00C2083E">
              <w:t>hazard ratio</w:t>
            </w:r>
          </w:p>
        </w:tc>
      </w:tr>
      <w:tr w:rsidR="00165A8D" w:rsidRPr="00C2083E" w:rsidTr="00573F26">
        <w:tc>
          <w:tcPr>
            <w:tcW w:w="2235" w:type="dxa"/>
          </w:tcPr>
          <w:p w:rsidR="00165A8D" w:rsidRPr="00C2083E" w:rsidRDefault="004B1C15" w:rsidP="00451D82">
            <w:proofErr w:type="spellStart"/>
            <w:r>
              <w:t>HRQoL</w:t>
            </w:r>
            <w:proofErr w:type="spellEnd"/>
          </w:p>
        </w:tc>
        <w:tc>
          <w:tcPr>
            <w:tcW w:w="6804" w:type="dxa"/>
          </w:tcPr>
          <w:p w:rsidR="00165A8D" w:rsidRPr="00C2083E" w:rsidRDefault="00165A8D" w:rsidP="00451D82">
            <w:r w:rsidRPr="00C2083E">
              <w:t xml:space="preserve">Health related quality of life </w:t>
            </w:r>
          </w:p>
        </w:tc>
      </w:tr>
      <w:tr w:rsidR="00165A8D" w:rsidRPr="00C2083E" w:rsidTr="00573F26">
        <w:tc>
          <w:tcPr>
            <w:tcW w:w="2235" w:type="dxa"/>
          </w:tcPr>
          <w:p w:rsidR="00165A8D" w:rsidRPr="00C2083E" w:rsidRDefault="004B1C15" w:rsidP="00451D82">
            <w:r>
              <w:t>HTN</w:t>
            </w:r>
          </w:p>
        </w:tc>
        <w:tc>
          <w:tcPr>
            <w:tcW w:w="6804" w:type="dxa"/>
          </w:tcPr>
          <w:p w:rsidR="00165A8D" w:rsidRPr="00C2083E" w:rsidRDefault="00165A8D" w:rsidP="00451D82">
            <w:r w:rsidRPr="00C2083E">
              <w:t>hypertension</w:t>
            </w:r>
          </w:p>
        </w:tc>
      </w:tr>
      <w:tr w:rsidR="00165A8D" w:rsidRPr="00C2083E" w:rsidTr="00573F26">
        <w:tc>
          <w:tcPr>
            <w:tcW w:w="2235" w:type="dxa"/>
          </w:tcPr>
          <w:p w:rsidR="00165A8D" w:rsidRPr="00C2083E" w:rsidRDefault="004B1C15" w:rsidP="00451D82">
            <w:r>
              <w:t>ICH</w:t>
            </w:r>
          </w:p>
        </w:tc>
        <w:tc>
          <w:tcPr>
            <w:tcW w:w="6804" w:type="dxa"/>
          </w:tcPr>
          <w:p w:rsidR="00165A8D" w:rsidRPr="00C2083E" w:rsidRDefault="00165A8D" w:rsidP="00451D82">
            <w:r w:rsidRPr="00C2083E">
              <w:t>International Conference on Harmonization</w:t>
            </w:r>
          </w:p>
        </w:tc>
      </w:tr>
      <w:tr w:rsidR="00165A8D" w:rsidRPr="00C2083E" w:rsidTr="00573F26">
        <w:tc>
          <w:tcPr>
            <w:tcW w:w="2235" w:type="dxa"/>
          </w:tcPr>
          <w:p w:rsidR="00165A8D" w:rsidRPr="00C2083E" w:rsidRDefault="00165A8D" w:rsidP="00451D82">
            <w:proofErr w:type="spellStart"/>
            <w:r w:rsidRPr="00C2083E">
              <w:t>iDMC</w:t>
            </w:r>
            <w:proofErr w:type="spellEnd"/>
          </w:p>
        </w:tc>
        <w:tc>
          <w:tcPr>
            <w:tcW w:w="6804" w:type="dxa"/>
          </w:tcPr>
          <w:p w:rsidR="00165A8D" w:rsidRPr="00C2083E" w:rsidRDefault="00165A8D" w:rsidP="00451D82">
            <w:r w:rsidRPr="00C2083E">
              <w:t>independent Data Monitoring Committee</w:t>
            </w:r>
          </w:p>
        </w:tc>
      </w:tr>
      <w:tr w:rsidR="00165A8D" w:rsidRPr="00C2083E" w:rsidTr="00573F26">
        <w:tc>
          <w:tcPr>
            <w:tcW w:w="2235" w:type="dxa"/>
          </w:tcPr>
          <w:p w:rsidR="00165A8D" w:rsidRPr="00C2083E" w:rsidRDefault="004B1C15" w:rsidP="00451D82">
            <w:r>
              <w:t>IEC</w:t>
            </w:r>
          </w:p>
        </w:tc>
        <w:tc>
          <w:tcPr>
            <w:tcW w:w="6804" w:type="dxa"/>
          </w:tcPr>
          <w:p w:rsidR="00165A8D" w:rsidRPr="00C2083E" w:rsidRDefault="00165A8D" w:rsidP="00451D82">
            <w:r w:rsidRPr="00C2083E">
              <w:t>Independent Ethics Committee</w:t>
            </w:r>
          </w:p>
        </w:tc>
      </w:tr>
      <w:tr w:rsidR="00165A8D" w:rsidRPr="00C2083E" w:rsidTr="00573F26">
        <w:tc>
          <w:tcPr>
            <w:tcW w:w="2235" w:type="dxa"/>
          </w:tcPr>
          <w:p w:rsidR="00165A8D" w:rsidRPr="00C2083E" w:rsidRDefault="004B1C15" w:rsidP="00451D82">
            <w:r>
              <w:t>INR</w:t>
            </w:r>
          </w:p>
        </w:tc>
        <w:tc>
          <w:tcPr>
            <w:tcW w:w="6804" w:type="dxa"/>
          </w:tcPr>
          <w:p w:rsidR="00165A8D" w:rsidRPr="00C2083E" w:rsidRDefault="00165A8D" w:rsidP="00451D82">
            <w:r w:rsidRPr="00C2083E">
              <w:t>international normalized ratio</w:t>
            </w:r>
          </w:p>
        </w:tc>
      </w:tr>
      <w:tr w:rsidR="00165A8D" w:rsidRPr="00C2083E" w:rsidTr="00573F26">
        <w:tc>
          <w:tcPr>
            <w:tcW w:w="2235" w:type="dxa"/>
          </w:tcPr>
          <w:p w:rsidR="00165A8D" w:rsidRPr="00C2083E" w:rsidRDefault="004B1C15" w:rsidP="00451D82">
            <w:r>
              <w:t>IRB</w:t>
            </w:r>
          </w:p>
        </w:tc>
        <w:tc>
          <w:tcPr>
            <w:tcW w:w="6804" w:type="dxa"/>
          </w:tcPr>
          <w:p w:rsidR="00165A8D" w:rsidRPr="00C2083E" w:rsidRDefault="00165A8D" w:rsidP="00451D82">
            <w:r w:rsidRPr="00C2083E">
              <w:t>Institutional Review Board</w:t>
            </w:r>
          </w:p>
        </w:tc>
      </w:tr>
      <w:tr w:rsidR="00165A8D" w:rsidRPr="00C2083E" w:rsidTr="00573F26">
        <w:tc>
          <w:tcPr>
            <w:tcW w:w="2235" w:type="dxa"/>
          </w:tcPr>
          <w:p w:rsidR="00165A8D" w:rsidRPr="00C2083E" w:rsidRDefault="004B1C15" w:rsidP="00451D82">
            <w:r>
              <w:t>IRC</w:t>
            </w:r>
          </w:p>
        </w:tc>
        <w:tc>
          <w:tcPr>
            <w:tcW w:w="6804" w:type="dxa"/>
          </w:tcPr>
          <w:p w:rsidR="00165A8D" w:rsidRPr="00C2083E" w:rsidRDefault="00165A8D" w:rsidP="00451D82">
            <w:r w:rsidRPr="00C2083E">
              <w:t>Independent Review Committee</w:t>
            </w:r>
          </w:p>
        </w:tc>
      </w:tr>
      <w:tr w:rsidR="00165A8D" w:rsidRPr="00C2083E" w:rsidTr="00573F26">
        <w:tc>
          <w:tcPr>
            <w:tcW w:w="2235" w:type="dxa"/>
          </w:tcPr>
          <w:p w:rsidR="00165A8D" w:rsidRPr="00C2083E" w:rsidRDefault="004B1C15" w:rsidP="00451D82">
            <w:r>
              <w:t>ITT</w:t>
            </w:r>
          </w:p>
        </w:tc>
        <w:tc>
          <w:tcPr>
            <w:tcW w:w="6804" w:type="dxa"/>
          </w:tcPr>
          <w:p w:rsidR="00165A8D" w:rsidRPr="00C2083E" w:rsidRDefault="00165A8D" w:rsidP="00451D82">
            <w:r w:rsidRPr="00C2083E">
              <w:t>Intent to treat</w:t>
            </w:r>
          </w:p>
        </w:tc>
      </w:tr>
      <w:tr w:rsidR="00165A8D" w:rsidRPr="00C2083E" w:rsidTr="00573F26">
        <w:tc>
          <w:tcPr>
            <w:tcW w:w="2235" w:type="dxa"/>
          </w:tcPr>
          <w:p w:rsidR="00165A8D" w:rsidRPr="00C2083E" w:rsidRDefault="004B1C15" w:rsidP="00451D82">
            <w:r>
              <w:t>IV</w:t>
            </w:r>
          </w:p>
        </w:tc>
        <w:tc>
          <w:tcPr>
            <w:tcW w:w="6804" w:type="dxa"/>
          </w:tcPr>
          <w:p w:rsidR="00165A8D" w:rsidRPr="00C2083E" w:rsidRDefault="00165A8D" w:rsidP="00451D82">
            <w:r w:rsidRPr="00C2083E">
              <w:t>intravenous</w:t>
            </w:r>
          </w:p>
        </w:tc>
      </w:tr>
      <w:tr w:rsidR="00165A8D" w:rsidRPr="00C2083E" w:rsidTr="00573F26">
        <w:tc>
          <w:tcPr>
            <w:tcW w:w="2235" w:type="dxa"/>
          </w:tcPr>
          <w:p w:rsidR="00165A8D" w:rsidRPr="00C2083E" w:rsidRDefault="004B1C15" w:rsidP="00451D82">
            <w:r>
              <w:t>IVRS</w:t>
            </w:r>
          </w:p>
        </w:tc>
        <w:tc>
          <w:tcPr>
            <w:tcW w:w="6804" w:type="dxa"/>
          </w:tcPr>
          <w:p w:rsidR="00165A8D" w:rsidRPr="00C2083E" w:rsidRDefault="00165A8D" w:rsidP="00451D82">
            <w:r w:rsidRPr="00C2083E">
              <w:t>Interactive voice response system</w:t>
            </w:r>
          </w:p>
        </w:tc>
      </w:tr>
      <w:tr w:rsidR="00165A8D" w:rsidRPr="00C2083E" w:rsidTr="00573F26">
        <w:tc>
          <w:tcPr>
            <w:tcW w:w="2235" w:type="dxa"/>
          </w:tcPr>
          <w:p w:rsidR="00165A8D" w:rsidRPr="00C2083E" w:rsidRDefault="004B1C15" w:rsidP="00451D82">
            <w:r>
              <w:t>LVEF</w:t>
            </w:r>
          </w:p>
        </w:tc>
        <w:tc>
          <w:tcPr>
            <w:tcW w:w="6804" w:type="dxa"/>
          </w:tcPr>
          <w:p w:rsidR="00165A8D" w:rsidRPr="00C2083E" w:rsidRDefault="00165A8D" w:rsidP="00451D82">
            <w:r w:rsidRPr="00C2083E">
              <w:t>left ventricular ejection fraction</w:t>
            </w:r>
          </w:p>
        </w:tc>
      </w:tr>
      <w:tr w:rsidR="00165A8D" w:rsidRPr="00C2083E" w:rsidTr="00573F26">
        <w:tc>
          <w:tcPr>
            <w:tcW w:w="2235" w:type="dxa"/>
          </w:tcPr>
          <w:p w:rsidR="00165A8D" w:rsidRPr="00C2083E" w:rsidRDefault="004B1C15" w:rsidP="00451D82">
            <w:r>
              <w:t>MCID</w:t>
            </w:r>
          </w:p>
        </w:tc>
        <w:tc>
          <w:tcPr>
            <w:tcW w:w="6804" w:type="dxa"/>
          </w:tcPr>
          <w:p w:rsidR="00165A8D" w:rsidRPr="00C2083E" w:rsidRDefault="00165A8D" w:rsidP="00451D82">
            <w:r w:rsidRPr="00C2083E">
              <w:t>minimum clinically important difference</w:t>
            </w:r>
          </w:p>
        </w:tc>
      </w:tr>
      <w:tr w:rsidR="00165A8D" w:rsidRPr="00C2083E" w:rsidTr="00573F26">
        <w:tc>
          <w:tcPr>
            <w:tcW w:w="2235" w:type="dxa"/>
          </w:tcPr>
          <w:p w:rsidR="00165A8D" w:rsidRPr="00C2083E" w:rsidRDefault="004B1C15" w:rsidP="00451D82">
            <w:r>
              <w:t>MRI</w:t>
            </w:r>
          </w:p>
        </w:tc>
        <w:tc>
          <w:tcPr>
            <w:tcW w:w="6804" w:type="dxa"/>
          </w:tcPr>
          <w:p w:rsidR="00165A8D" w:rsidRPr="00C2083E" w:rsidRDefault="00165A8D" w:rsidP="00451D82">
            <w:r w:rsidRPr="00C2083E">
              <w:t>magnetic resonance imaging</w:t>
            </w:r>
          </w:p>
        </w:tc>
      </w:tr>
      <w:tr w:rsidR="00165A8D" w:rsidRPr="00C2083E" w:rsidTr="00573F26">
        <w:tc>
          <w:tcPr>
            <w:tcW w:w="2235" w:type="dxa"/>
          </w:tcPr>
          <w:p w:rsidR="00165A8D" w:rsidRPr="00C2083E" w:rsidRDefault="004B1C15" w:rsidP="00451D82">
            <w:r>
              <w:t>MUGA</w:t>
            </w:r>
          </w:p>
        </w:tc>
        <w:tc>
          <w:tcPr>
            <w:tcW w:w="6804" w:type="dxa"/>
          </w:tcPr>
          <w:p w:rsidR="00165A8D" w:rsidRPr="00C2083E" w:rsidRDefault="00165A8D" w:rsidP="00451D82">
            <w:r w:rsidRPr="00C2083E">
              <w:t>Multiple gated acquisition scan</w:t>
            </w:r>
          </w:p>
        </w:tc>
      </w:tr>
      <w:tr w:rsidR="00165A8D" w:rsidRPr="00C2083E" w:rsidTr="00573F26">
        <w:tc>
          <w:tcPr>
            <w:tcW w:w="2235" w:type="dxa"/>
          </w:tcPr>
          <w:p w:rsidR="00165A8D" w:rsidRPr="00C2083E" w:rsidRDefault="004B1C15" w:rsidP="00451D82">
            <w:r>
              <w:t>NCCN</w:t>
            </w:r>
          </w:p>
        </w:tc>
        <w:tc>
          <w:tcPr>
            <w:tcW w:w="6804" w:type="dxa"/>
          </w:tcPr>
          <w:p w:rsidR="00165A8D" w:rsidRPr="00C2083E" w:rsidRDefault="00165A8D" w:rsidP="00451D82">
            <w:r w:rsidRPr="00C2083E">
              <w:t>National Comprehensive Cancer Network</w:t>
            </w:r>
          </w:p>
        </w:tc>
      </w:tr>
      <w:tr w:rsidR="003A094D" w:rsidRPr="00C2083E" w:rsidTr="00573F26">
        <w:tc>
          <w:tcPr>
            <w:tcW w:w="2235" w:type="dxa"/>
          </w:tcPr>
          <w:p w:rsidR="003A094D" w:rsidRPr="00C2083E" w:rsidRDefault="003A094D" w:rsidP="00451D82">
            <w:r>
              <w:t>NCI</w:t>
            </w:r>
          </w:p>
        </w:tc>
        <w:tc>
          <w:tcPr>
            <w:tcW w:w="6804" w:type="dxa"/>
          </w:tcPr>
          <w:p w:rsidR="003A094D" w:rsidRPr="00C2083E" w:rsidRDefault="004B1C15" w:rsidP="00451D82">
            <w:r>
              <w:t>N</w:t>
            </w:r>
            <w:r w:rsidR="003A094D" w:rsidRPr="00C2083E">
              <w:t>ational Cancer Institute</w:t>
            </w:r>
          </w:p>
        </w:tc>
      </w:tr>
      <w:tr w:rsidR="00165A8D" w:rsidRPr="00C2083E" w:rsidTr="00573F26">
        <w:tc>
          <w:tcPr>
            <w:tcW w:w="2235" w:type="dxa"/>
          </w:tcPr>
          <w:p w:rsidR="00165A8D" w:rsidRPr="00C2083E" w:rsidRDefault="004B1C15" w:rsidP="00451D82">
            <w:r>
              <w:t>NCI CTCAE</w:t>
            </w:r>
          </w:p>
        </w:tc>
        <w:tc>
          <w:tcPr>
            <w:tcW w:w="6804" w:type="dxa"/>
          </w:tcPr>
          <w:p w:rsidR="00165A8D" w:rsidRPr="00C2083E" w:rsidRDefault="003A094D" w:rsidP="00451D82">
            <w:r>
              <w:t xml:space="preserve">NCI </w:t>
            </w:r>
            <w:r w:rsidR="00165A8D" w:rsidRPr="00C2083E">
              <w:t>Common Terminology Criteria for Adverse Events</w:t>
            </w:r>
          </w:p>
        </w:tc>
      </w:tr>
      <w:tr w:rsidR="00165A8D" w:rsidRPr="00C2083E" w:rsidTr="00573F26">
        <w:tc>
          <w:tcPr>
            <w:tcW w:w="2235" w:type="dxa"/>
          </w:tcPr>
          <w:p w:rsidR="00165A8D" w:rsidRPr="00C2083E" w:rsidRDefault="004B1C15" w:rsidP="00451D82">
            <w:r>
              <w:t>NPT</w:t>
            </w:r>
          </w:p>
        </w:tc>
        <w:tc>
          <w:tcPr>
            <w:tcW w:w="6804" w:type="dxa"/>
          </w:tcPr>
          <w:p w:rsidR="00165A8D" w:rsidRPr="00C2083E" w:rsidRDefault="00165A8D" w:rsidP="00451D82">
            <w:r w:rsidRPr="00C2083E">
              <w:t>non</w:t>
            </w:r>
            <w:r w:rsidRPr="00C2083E">
              <w:rPr>
                <w:rFonts w:hint="eastAsia"/>
              </w:rPr>
              <w:t>−</w:t>
            </w:r>
            <w:r w:rsidR="003A094D">
              <w:t>protocol specified anti</w:t>
            </w:r>
            <w:r w:rsidR="00451D82">
              <w:t>cancer therapy</w:t>
            </w:r>
          </w:p>
        </w:tc>
      </w:tr>
      <w:tr w:rsidR="00165A8D" w:rsidRPr="00C2083E" w:rsidTr="00573F26">
        <w:tc>
          <w:tcPr>
            <w:tcW w:w="2235" w:type="dxa"/>
          </w:tcPr>
          <w:p w:rsidR="00165A8D" w:rsidRPr="00C2083E" w:rsidRDefault="004B1C15" w:rsidP="00451D82">
            <w:r>
              <w:t>ORR</w:t>
            </w:r>
          </w:p>
        </w:tc>
        <w:tc>
          <w:tcPr>
            <w:tcW w:w="6804" w:type="dxa"/>
          </w:tcPr>
          <w:p w:rsidR="00165A8D" w:rsidRPr="00C2083E" w:rsidRDefault="00165A8D" w:rsidP="00451D82">
            <w:r w:rsidRPr="00C2083E">
              <w:t>objective response rate</w:t>
            </w:r>
          </w:p>
        </w:tc>
      </w:tr>
      <w:tr w:rsidR="00165A8D" w:rsidRPr="00C2083E" w:rsidTr="00573F26">
        <w:tc>
          <w:tcPr>
            <w:tcW w:w="2235" w:type="dxa"/>
          </w:tcPr>
          <w:p w:rsidR="00165A8D" w:rsidRPr="00C2083E" w:rsidRDefault="004B1C15" w:rsidP="00451D82">
            <w:r>
              <w:lastRenderedPageBreak/>
              <w:t>OS</w:t>
            </w:r>
          </w:p>
        </w:tc>
        <w:tc>
          <w:tcPr>
            <w:tcW w:w="6804" w:type="dxa"/>
          </w:tcPr>
          <w:p w:rsidR="00165A8D" w:rsidRPr="00C2083E" w:rsidRDefault="00165A8D" w:rsidP="00451D82">
            <w:r w:rsidRPr="00C2083E">
              <w:t>overall survival</w:t>
            </w:r>
          </w:p>
        </w:tc>
      </w:tr>
      <w:tr w:rsidR="00165A8D" w:rsidRPr="00C2083E" w:rsidTr="00573F26">
        <w:tc>
          <w:tcPr>
            <w:tcW w:w="2235" w:type="dxa"/>
          </w:tcPr>
          <w:p w:rsidR="00165A8D" w:rsidRPr="00C2083E" w:rsidRDefault="004B1C15" w:rsidP="00451D82">
            <w:r>
              <w:t>PD</w:t>
            </w:r>
          </w:p>
        </w:tc>
        <w:tc>
          <w:tcPr>
            <w:tcW w:w="6804" w:type="dxa"/>
          </w:tcPr>
          <w:p w:rsidR="00165A8D" w:rsidRPr="00C2083E" w:rsidRDefault="00165A8D" w:rsidP="00451D82">
            <w:r w:rsidRPr="00C2083E">
              <w:t>progressive disease</w:t>
            </w:r>
          </w:p>
        </w:tc>
      </w:tr>
      <w:tr w:rsidR="00165A8D" w:rsidRPr="00C2083E" w:rsidTr="00573F26">
        <w:tc>
          <w:tcPr>
            <w:tcW w:w="2235" w:type="dxa"/>
          </w:tcPr>
          <w:p w:rsidR="00165A8D" w:rsidRPr="00C2083E" w:rsidRDefault="004B1C15" w:rsidP="00451D82">
            <w:r>
              <w:t>PK</w:t>
            </w:r>
          </w:p>
        </w:tc>
        <w:tc>
          <w:tcPr>
            <w:tcW w:w="6804" w:type="dxa"/>
          </w:tcPr>
          <w:p w:rsidR="00165A8D" w:rsidRPr="00C2083E" w:rsidRDefault="00165A8D" w:rsidP="00451D82">
            <w:r w:rsidRPr="00C2083E">
              <w:t>pharmacokinetic</w:t>
            </w:r>
          </w:p>
        </w:tc>
      </w:tr>
      <w:tr w:rsidR="00165A8D" w:rsidRPr="00C2083E" w:rsidTr="00573F26">
        <w:tc>
          <w:tcPr>
            <w:tcW w:w="2235" w:type="dxa"/>
          </w:tcPr>
          <w:p w:rsidR="00165A8D" w:rsidRPr="00C2083E" w:rsidRDefault="004B1C15" w:rsidP="00451D82">
            <w:r>
              <w:t>PK - DDI PK drug</w:t>
            </w:r>
          </w:p>
        </w:tc>
        <w:tc>
          <w:tcPr>
            <w:tcW w:w="6804" w:type="dxa"/>
          </w:tcPr>
          <w:p w:rsidR="00165A8D" w:rsidRPr="00C2083E" w:rsidRDefault="00165A8D" w:rsidP="00451D82">
            <w:r w:rsidRPr="00C2083E">
              <w:t>drug interaction</w:t>
            </w:r>
          </w:p>
        </w:tc>
      </w:tr>
      <w:tr w:rsidR="00165A8D" w:rsidRPr="00C2083E" w:rsidTr="00573F26">
        <w:tc>
          <w:tcPr>
            <w:tcW w:w="2235" w:type="dxa"/>
          </w:tcPr>
          <w:p w:rsidR="00165A8D" w:rsidRPr="00C2083E" w:rsidRDefault="004B1C15" w:rsidP="00451D82">
            <w:r>
              <w:t>PFI</w:t>
            </w:r>
          </w:p>
        </w:tc>
        <w:tc>
          <w:tcPr>
            <w:tcW w:w="6804" w:type="dxa"/>
          </w:tcPr>
          <w:p w:rsidR="00165A8D" w:rsidRPr="00C2083E" w:rsidRDefault="00165A8D" w:rsidP="00451D82">
            <w:r w:rsidRPr="00C2083E">
              <w:t xml:space="preserve">Platinum free interval </w:t>
            </w:r>
          </w:p>
        </w:tc>
      </w:tr>
      <w:tr w:rsidR="00165A8D" w:rsidRPr="00C2083E" w:rsidTr="00573F26">
        <w:tc>
          <w:tcPr>
            <w:tcW w:w="2235" w:type="dxa"/>
          </w:tcPr>
          <w:p w:rsidR="00165A8D" w:rsidRPr="00C2083E" w:rsidRDefault="004B1C15" w:rsidP="00451D82">
            <w:r>
              <w:t>PFS</w:t>
            </w:r>
          </w:p>
        </w:tc>
        <w:tc>
          <w:tcPr>
            <w:tcW w:w="6804" w:type="dxa"/>
          </w:tcPr>
          <w:p w:rsidR="00165A8D" w:rsidRPr="00C2083E" w:rsidRDefault="00165A8D" w:rsidP="00451D82">
            <w:r w:rsidRPr="00C2083E">
              <w:t>Progression free survival</w:t>
            </w:r>
          </w:p>
        </w:tc>
      </w:tr>
      <w:tr w:rsidR="00165A8D" w:rsidRPr="00C2083E" w:rsidTr="00573F26">
        <w:tc>
          <w:tcPr>
            <w:tcW w:w="2235" w:type="dxa"/>
          </w:tcPr>
          <w:p w:rsidR="00165A8D" w:rsidRPr="00C2083E" w:rsidRDefault="004B1C15" w:rsidP="00451D82">
            <w:r>
              <w:t>PLD</w:t>
            </w:r>
          </w:p>
        </w:tc>
        <w:tc>
          <w:tcPr>
            <w:tcW w:w="6804" w:type="dxa"/>
          </w:tcPr>
          <w:p w:rsidR="00165A8D" w:rsidRPr="00C2083E" w:rsidRDefault="00165A8D" w:rsidP="00451D82">
            <w:proofErr w:type="spellStart"/>
            <w:r w:rsidRPr="00C2083E">
              <w:t>pegylated</w:t>
            </w:r>
            <w:proofErr w:type="spellEnd"/>
            <w:r w:rsidRPr="00C2083E">
              <w:t xml:space="preserve"> liposomal doxorubicin</w:t>
            </w:r>
          </w:p>
        </w:tc>
      </w:tr>
      <w:tr w:rsidR="00165A8D" w:rsidRPr="00C2083E" w:rsidTr="00573F26">
        <w:tc>
          <w:tcPr>
            <w:tcW w:w="2235" w:type="dxa"/>
          </w:tcPr>
          <w:p w:rsidR="00165A8D" w:rsidRPr="00C2083E" w:rsidRDefault="004B1C15" w:rsidP="00451D82">
            <w:r>
              <w:t>PPC</w:t>
            </w:r>
          </w:p>
        </w:tc>
        <w:tc>
          <w:tcPr>
            <w:tcW w:w="6804" w:type="dxa"/>
          </w:tcPr>
          <w:p w:rsidR="00165A8D" w:rsidRPr="00C2083E" w:rsidRDefault="00165A8D" w:rsidP="00451D82">
            <w:r w:rsidRPr="00C2083E">
              <w:t>primary peritoneal cancer</w:t>
            </w:r>
          </w:p>
        </w:tc>
      </w:tr>
      <w:tr w:rsidR="00165A8D" w:rsidRPr="00C2083E" w:rsidTr="00573F26">
        <w:tc>
          <w:tcPr>
            <w:tcW w:w="2235" w:type="dxa"/>
          </w:tcPr>
          <w:p w:rsidR="00165A8D" w:rsidRPr="00C2083E" w:rsidRDefault="004B1C15" w:rsidP="00451D82">
            <w:r>
              <w:t>PR</w:t>
            </w:r>
          </w:p>
        </w:tc>
        <w:tc>
          <w:tcPr>
            <w:tcW w:w="6804" w:type="dxa"/>
          </w:tcPr>
          <w:p w:rsidR="00165A8D" w:rsidRPr="00C2083E" w:rsidRDefault="00165A8D" w:rsidP="00451D82">
            <w:r w:rsidRPr="00C2083E">
              <w:t>partial response</w:t>
            </w:r>
          </w:p>
        </w:tc>
      </w:tr>
      <w:tr w:rsidR="00165A8D" w:rsidRPr="00C2083E" w:rsidTr="00573F26">
        <w:tc>
          <w:tcPr>
            <w:tcW w:w="2235" w:type="dxa"/>
          </w:tcPr>
          <w:p w:rsidR="00165A8D" w:rsidRPr="00C2083E" w:rsidRDefault="004B1C15" w:rsidP="00451D82">
            <w:r>
              <w:t>PRES</w:t>
            </w:r>
          </w:p>
        </w:tc>
        <w:tc>
          <w:tcPr>
            <w:tcW w:w="6804" w:type="dxa"/>
          </w:tcPr>
          <w:p w:rsidR="00165A8D" w:rsidRPr="00C2083E" w:rsidRDefault="00165A8D" w:rsidP="00451D82">
            <w:r w:rsidRPr="00C2083E">
              <w:t>posterior reversible encephalopathy syndrome</w:t>
            </w:r>
          </w:p>
        </w:tc>
      </w:tr>
      <w:tr w:rsidR="00165A8D" w:rsidRPr="00C2083E" w:rsidTr="00573F26">
        <w:tc>
          <w:tcPr>
            <w:tcW w:w="2235" w:type="dxa"/>
          </w:tcPr>
          <w:p w:rsidR="00165A8D" w:rsidRPr="00C2083E" w:rsidRDefault="004B1C15" w:rsidP="00451D82">
            <w:r>
              <w:t>PRO</w:t>
            </w:r>
          </w:p>
        </w:tc>
        <w:tc>
          <w:tcPr>
            <w:tcW w:w="6804" w:type="dxa"/>
          </w:tcPr>
          <w:p w:rsidR="00165A8D" w:rsidRPr="00C2083E" w:rsidRDefault="00165A8D" w:rsidP="00451D82">
            <w:r w:rsidRPr="00C2083E">
              <w:t>patient reported outcome</w:t>
            </w:r>
          </w:p>
        </w:tc>
      </w:tr>
      <w:tr w:rsidR="00165A8D" w:rsidRPr="00C2083E" w:rsidTr="00573F26">
        <w:tc>
          <w:tcPr>
            <w:tcW w:w="2235" w:type="dxa"/>
          </w:tcPr>
          <w:p w:rsidR="00165A8D" w:rsidRPr="00C2083E" w:rsidRDefault="004B1C15" w:rsidP="00451D82">
            <w:r>
              <w:t>PS</w:t>
            </w:r>
          </w:p>
        </w:tc>
        <w:tc>
          <w:tcPr>
            <w:tcW w:w="6804" w:type="dxa"/>
          </w:tcPr>
          <w:p w:rsidR="00165A8D" w:rsidRPr="00C2083E" w:rsidRDefault="00165A8D" w:rsidP="00451D82">
            <w:r w:rsidRPr="00C2083E">
              <w:t>performance status</w:t>
            </w:r>
          </w:p>
        </w:tc>
      </w:tr>
      <w:tr w:rsidR="00165A8D" w:rsidRPr="00C2083E" w:rsidTr="00573F26">
        <w:tc>
          <w:tcPr>
            <w:tcW w:w="2235" w:type="dxa"/>
          </w:tcPr>
          <w:p w:rsidR="00165A8D" w:rsidRPr="00C2083E" w:rsidRDefault="004B1C15" w:rsidP="00451D82">
            <w:r>
              <w:t>q2w</w:t>
            </w:r>
          </w:p>
        </w:tc>
        <w:tc>
          <w:tcPr>
            <w:tcW w:w="6804" w:type="dxa"/>
          </w:tcPr>
          <w:p w:rsidR="00165A8D" w:rsidRPr="00C2083E" w:rsidRDefault="00165A8D" w:rsidP="00451D82">
            <w:r w:rsidRPr="00C2083E">
              <w:t>every 2 weeks</w:t>
            </w:r>
          </w:p>
        </w:tc>
      </w:tr>
      <w:tr w:rsidR="00165A8D" w:rsidRPr="00C2083E" w:rsidTr="00573F26">
        <w:tc>
          <w:tcPr>
            <w:tcW w:w="2235" w:type="dxa"/>
          </w:tcPr>
          <w:p w:rsidR="00165A8D" w:rsidRPr="00C2083E" w:rsidRDefault="004B1C15" w:rsidP="00451D82">
            <w:r>
              <w:t>q3w</w:t>
            </w:r>
          </w:p>
        </w:tc>
        <w:tc>
          <w:tcPr>
            <w:tcW w:w="6804" w:type="dxa"/>
          </w:tcPr>
          <w:p w:rsidR="00165A8D" w:rsidRPr="00C2083E" w:rsidRDefault="00165A8D" w:rsidP="00451D82">
            <w:r w:rsidRPr="00C2083E">
              <w:t>every 3 weeks</w:t>
            </w:r>
          </w:p>
        </w:tc>
      </w:tr>
      <w:tr w:rsidR="00165A8D" w:rsidRPr="00C2083E" w:rsidTr="00573F26">
        <w:tc>
          <w:tcPr>
            <w:tcW w:w="2235" w:type="dxa"/>
          </w:tcPr>
          <w:p w:rsidR="00165A8D" w:rsidRPr="00C2083E" w:rsidRDefault="004B1C15" w:rsidP="00451D82">
            <w:r>
              <w:t>q4w</w:t>
            </w:r>
          </w:p>
        </w:tc>
        <w:tc>
          <w:tcPr>
            <w:tcW w:w="6804" w:type="dxa"/>
          </w:tcPr>
          <w:p w:rsidR="00165A8D" w:rsidRPr="00C2083E" w:rsidRDefault="00165A8D" w:rsidP="00451D82">
            <w:r w:rsidRPr="00C2083E">
              <w:t>every 4 weeks</w:t>
            </w:r>
          </w:p>
        </w:tc>
      </w:tr>
      <w:tr w:rsidR="00165A8D" w:rsidRPr="00C2083E" w:rsidTr="00573F26">
        <w:tc>
          <w:tcPr>
            <w:tcW w:w="2235" w:type="dxa"/>
          </w:tcPr>
          <w:p w:rsidR="00165A8D" w:rsidRPr="00C2083E" w:rsidRDefault="004B1C15" w:rsidP="00451D82">
            <w:r>
              <w:t>QLQ</w:t>
            </w:r>
          </w:p>
        </w:tc>
        <w:tc>
          <w:tcPr>
            <w:tcW w:w="6804" w:type="dxa"/>
          </w:tcPr>
          <w:p w:rsidR="00165A8D" w:rsidRPr="00C2083E" w:rsidRDefault="00165A8D" w:rsidP="00451D82">
            <w:r w:rsidRPr="00C2083E">
              <w:t>Quality of Life Questionnaire</w:t>
            </w:r>
          </w:p>
        </w:tc>
      </w:tr>
      <w:tr w:rsidR="00165A8D" w:rsidRPr="00C2083E" w:rsidTr="00573F26">
        <w:tc>
          <w:tcPr>
            <w:tcW w:w="2235" w:type="dxa"/>
          </w:tcPr>
          <w:p w:rsidR="00165A8D" w:rsidRPr="00C2083E" w:rsidRDefault="004B1C15" w:rsidP="00451D82">
            <w:r>
              <w:t>RECIST</w:t>
            </w:r>
          </w:p>
        </w:tc>
        <w:tc>
          <w:tcPr>
            <w:tcW w:w="6804" w:type="dxa"/>
          </w:tcPr>
          <w:p w:rsidR="00165A8D" w:rsidRPr="00C2083E" w:rsidRDefault="00165A8D" w:rsidP="00451D82">
            <w:r w:rsidRPr="00C2083E">
              <w:t xml:space="preserve">response evaluation criteria in solid </w:t>
            </w:r>
            <w:r w:rsidR="000F70F6">
              <w:t>tumour</w:t>
            </w:r>
            <w:r w:rsidRPr="00C2083E">
              <w:t>s</w:t>
            </w:r>
          </w:p>
        </w:tc>
      </w:tr>
      <w:tr w:rsidR="00165A8D" w:rsidRPr="00C2083E" w:rsidTr="00573F26">
        <w:tc>
          <w:tcPr>
            <w:tcW w:w="2235" w:type="dxa"/>
          </w:tcPr>
          <w:p w:rsidR="00165A8D" w:rsidRPr="00C2083E" w:rsidRDefault="004B1C15" w:rsidP="00451D82">
            <w:r>
              <w:t>RPLS</w:t>
            </w:r>
          </w:p>
        </w:tc>
        <w:tc>
          <w:tcPr>
            <w:tcW w:w="6804" w:type="dxa"/>
          </w:tcPr>
          <w:p w:rsidR="00165A8D" w:rsidRPr="00C2083E" w:rsidRDefault="00165A8D" w:rsidP="00451D82">
            <w:r w:rsidRPr="00C2083E">
              <w:t xml:space="preserve">reversible posterior </w:t>
            </w:r>
            <w:proofErr w:type="spellStart"/>
            <w:r w:rsidRPr="00C2083E">
              <w:t>leukoencephalopathy</w:t>
            </w:r>
            <w:proofErr w:type="spellEnd"/>
            <w:r w:rsidRPr="00C2083E">
              <w:t xml:space="preserve"> syndrome</w:t>
            </w:r>
          </w:p>
        </w:tc>
      </w:tr>
      <w:tr w:rsidR="00165A8D" w:rsidRPr="00C2083E" w:rsidTr="00573F26">
        <w:tc>
          <w:tcPr>
            <w:tcW w:w="2235" w:type="dxa"/>
          </w:tcPr>
          <w:p w:rsidR="00165A8D" w:rsidRPr="00C2083E" w:rsidRDefault="004B1C15" w:rsidP="00451D82">
            <w:r>
              <w:t>SLD</w:t>
            </w:r>
          </w:p>
        </w:tc>
        <w:tc>
          <w:tcPr>
            <w:tcW w:w="6804" w:type="dxa"/>
          </w:tcPr>
          <w:p w:rsidR="00165A8D" w:rsidRPr="00C2083E" w:rsidRDefault="00165A8D" w:rsidP="00451D82">
            <w:r w:rsidRPr="00C2083E">
              <w:t>sum of longest diameter</w:t>
            </w:r>
          </w:p>
        </w:tc>
      </w:tr>
      <w:tr w:rsidR="00165A8D" w:rsidRPr="00C2083E" w:rsidTr="00573F26">
        <w:tc>
          <w:tcPr>
            <w:tcW w:w="2235" w:type="dxa"/>
          </w:tcPr>
          <w:p w:rsidR="00165A8D" w:rsidRPr="00C2083E" w:rsidRDefault="00165A8D" w:rsidP="00451D82">
            <w:r w:rsidRPr="00C2083E">
              <w:t>t</w:t>
            </w:r>
            <w:r w:rsidRPr="0024121F">
              <w:rPr>
                <w:vertAlign w:val="subscript"/>
              </w:rPr>
              <w:t>1/2</w:t>
            </w:r>
          </w:p>
        </w:tc>
        <w:tc>
          <w:tcPr>
            <w:tcW w:w="6804" w:type="dxa"/>
          </w:tcPr>
          <w:p w:rsidR="00165A8D" w:rsidRPr="00C2083E" w:rsidRDefault="00165A8D" w:rsidP="00451D82">
            <w:r w:rsidRPr="00C2083E">
              <w:t>terminal half life</w:t>
            </w:r>
          </w:p>
        </w:tc>
      </w:tr>
      <w:tr w:rsidR="00165A8D" w:rsidRPr="00C2083E" w:rsidTr="00573F26">
        <w:tc>
          <w:tcPr>
            <w:tcW w:w="2235" w:type="dxa"/>
          </w:tcPr>
          <w:p w:rsidR="00165A8D" w:rsidRPr="00C2083E" w:rsidRDefault="004B1C15" w:rsidP="00451D82">
            <w:r>
              <w:t>ULN</w:t>
            </w:r>
          </w:p>
        </w:tc>
        <w:tc>
          <w:tcPr>
            <w:tcW w:w="6804" w:type="dxa"/>
          </w:tcPr>
          <w:p w:rsidR="00165A8D" w:rsidRPr="00C2083E" w:rsidRDefault="00165A8D" w:rsidP="00451D82">
            <w:r w:rsidRPr="00C2083E">
              <w:t>upper limit of normal</w:t>
            </w:r>
          </w:p>
        </w:tc>
      </w:tr>
      <w:tr w:rsidR="00165A8D" w:rsidRPr="00C2083E" w:rsidTr="00573F26">
        <w:tc>
          <w:tcPr>
            <w:tcW w:w="2235" w:type="dxa"/>
          </w:tcPr>
          <w:p w:rsidR="00165A8D" w:rsidRPr="00C2083E" w:rsidRDefault="004B1C15" w:rsidP="00451D82">
            <w:r>
              <w:t>VTE</w:t>
            </w:r>
          </w:p>
        </w:tc>
        <w:tc>
          <w:tcPr>
            <w:tcW w:w="6804" w:type="dxa"/>
          </w:tcPr>
          <w:p w:rsidR="00165A8D" w:rsidRPr="00C2083E" w:rsidRDefault="00165A8D" w:rsidP="00451D82">
            <w:r w:rsidRPr="00C2083E">
              <w:t>venous thromboembolic event</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3B2EED">
      <w:pPr>
        <w:pStyle w:val="Heading2"/>
      </w:pPr>
      <w:bookmarkStart w:id="8" w:name="_Toc415046250"/>
      <w:r>
        <w:lastRenderedPageBreak/>
        <w:t>I.</w:t>
      </w:r>
      <w:r w:rsidR="008E7846">
        <w:t xml:space="preserve"> Introduction to product submission</w:t>
      </w:r>
      <w:bookmarkEnd w:id="8"/>
      <w:bookmarkEnd w:id="2"/>
      <w:bookmarkEnd w:id="0"/>
    </w:p>
    <w:p w:rsidR="008E7846" w:rsidRDefault="008E7846" w:rsidP="008E7846">
      <w:pPr>
        <w:pStyle w:val="Heading3"/>
        <w:rPr>
          <w:lang w:eastAsia="en-AU"/>
        </w:rPr>
      </w:pPr>
      <w:bookmarkStart w:id="9" w:name="_Toc247691502"/>
      <w:bookmarkStart w:id="10" w:name="_Toc314842483"/>
      <w:bookmarkStart w:id="11" w:name="_Toc415046251"/>
      <w:r>
        <w:rPr>
          <w:lang w:eastAsia="en-AU"/>
        </w:rPr>
        <w:t>Submission details</w:t>
      </w:r>
      <w:bookmarkEnd w:id="9"/>
      <w:bookmarkEnd w:id="10"/>
      <w:bookmarkEnd w:id="11"/>
    </w:p>
    <w:tbl>
      <w:tblPr>
        <w:tblW w:w="9497" w:type="dxa"/>
        <w:tblInd w:w="108" w:type="dxa"/>
        <w:tblLook w:val="01E0" w:firstRow="1" w:lastRow="1" w:firstColumn="1" w:lastColumn="1" w:noHBand="0" w:noVBand="0"/>
      </w:tblPr>
      <w:tblGrid>
        <w:gridCol w:w="2907"/>
        <w:gridCol w:w="6307"/>
        <w:gridCol w:w="283"/>
      </w:tblGrid>
      <w:tr w:rsidR="008E7846" w:rsidRPr="003D1E62" w:rsidTr="003D7ABB">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1F3902" w:rsidP="003D7ABB">
            <w:r>
              <w:t>Extension of indications</w:t>
            </w:r>
          </w:p>
        </w:tc>
      </w:tr>
      <w:tr w:rsidR="008E7846" w:rsidRPr="003D1E62" w:rsidTr="003D7ABB">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451D82" w:rsidP="001F3902">
            <w:r>
              <w:t>Approved</w:t>
            </w:r>
          </w:p>
        </w:tc>
      </w:tr>
      <w:tr w:rsidR="008E7846" w:rsidRPr="003D1E62" w:rsidTr="003D7ABB">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3D7ABB" w:rsidP="001B5C90">
            <w:r>
              <w:t>19 November 2014</w:t>
            </w:r>
          </w:p>
        </w:tc>
      </w:tr>
      <w:tr w:rsidR="008E7846" w:rsidRPr="00487162" w:rsidTr="003D7ABB">
        <w:trPr>
          <w:gridAfter w:val="1"/>
          <w:wAfter w:w="283" w:type="dxa"/>
        </w:trPr>
        <w:tc>
          <w:tcPr>
            <w:tcW w:w="2907" w:type="dxa"/>
          </w:tcPr>
          <w:p w:rsidR="008E7846" w:rsidRPr="00487162" w:rsidRDefault="004B1C15" w:rsidP="004B1C15">
            <w:pPr>
              <w:rPr>
                <w:i/>
              </w:rPr>
            </w:pPr>
            <w:r>
              <w:rPr>
                <w:i/>
              </w:rPr>
              <w:t>Active ingredient</w:t>
            </w:r>
            <w:r w:rsidR="001B5C90">
              <w:rPr>
                <w:i/>
              </w:rPr>
              <w:t>:</w:t>
            </w:r>
          </w:p>
        </w:tc>
        <w:tc>
          <w:tcPr>
            <w:tcW w:w="6307" w:type="dxa"/>
          </w:tcPr>
          <w:p w:rsidR="008E7846" w:rsidRPr="00487162" w:rsidRDefault="001F3902" w:rsidP="00E45619">
            <w:proofErr w:type="spellStart"/>
            <w:r w:rsidRPr="00AC5BAB">
              <w:rPr>
                <w:rFonts w:asciiTheme="minorHAnsi" w:eastAsia="MS Mincho" w:hAnsiTheme="minorHAnsi"/>
                <w:lang w:eastAsia="ja-JP"/>
              </w:rPr>
              <w:t>Bevacizumab</w:t>
            </w:r>
            <w:proofErr w:type="spellEnd"/>
          </w:p>
        </w:tc>
      </w:tr>
      <w:tr w:rsidR="008E7846" w:rsidRPr="00487162" w:rsidTr="003D7ABB">
        <w:trPr>
          <w:gridAfter w:val="1"/>
          <w:wAfter w:w="283" w:type="dxa"/>
        </w:trPr>
        <w:tc>
          <w:tcPr>
            <w:tcW w:w="2907" w:type="dxa"/>
          </w:tcPr>
          <w:p w:rsidR="008E7846" w:rsidRPr="00487162" w:rsidRDefault="008E7846" w:rsidP="001B5C90">
            <w:pPr>
              <w:rPr>
                <w:i/>
              </w:rPr>
            </w:pPr>
            <w:r w:rsidRPr="00487162">
              <w:rPr>
                <w:i/>
              </w:rPr>
              <w:t>Product</w:t>
            </w:r>
            <w:r w:rsidR="004B1C15">
              <w:rPr>
                <w:i/>
              </w:rPr>
              <w:t xml:space="preserve"> name</w:t>
            </w:r>
            <w:r w:rsidR="001B5C90">
              <w:rPr>
                <w:i/>
              </w:rPr>
              <w:t>:</w:t>
            </w:r>
          </w:p>
        </w:tc>
        <w:tc>
          <w:tcPr>
            <w:tcW w:w="6307" w:type="dxa"/>
          </w:tcPr>
          <w:p w:rsidR="008E7846" w:rsidRPr="00487162" w:rsidRDefault="001F3902" w:rsidP="00E45619">
            <w:proofErr w:type="spellStart"/>
            <w:r>
              <w:t>Avastin</w:t>
            </w:r>
            <w:proofErr w:type="spellEnd"/>
          </w:p>
        </w:tc>
      </w:tr>
      <w:tr w:rsidR="008E7846" w:rsidRPr="00487162" w:rsidTr="003D7ABB">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3D7ABB" w:rsidRPr="003D7ABB" w:rsidRDefault="001F3902" w:rsidP="004B1C15">
            <w:pPr>
              <w:rPr>
                <w:rFonts w:asciiTheme="minorHAnsi" w:hAnsiTheme="minorHAnsi"/>
              </w:rPr>
            </w:pPr>
            <w:r w:rsidRPr="00AC5BAB">
              <w:rPr>
                <w:rFonts w:asciiTheme="minorHAnsi" w:eastAsia="MS Mincho" w:hAnsiTheme="minorHAnsi"/>
                <w:lang w:eastAsia="ja-JP"/>
              </w:rPr>
              <w:t>Roche Products Pty Ltd</w:t>
            </w:r>
            <w:r w:rsidR="004B1C15">
              <w:rPr>
                <w:rFonts w:asciiTheme="minorHAnsi" w:eastAsia="MS Mincho" w:hAnsiTheme="minorHAnsi"/>
                <w:lang w:eastAsia="ja-JP"/>
              </w:rPr>
              <w:br/>
            </w:r>
            <w:r w:rsidR="003D7ABB" w:rsidRPr="00BB374A">
              <w:rPr>
                <w:rFonts w:asciiTheme="minorHAnsi" w:hAnsiTheme="minorHAnsi"/>
              </w:rPr>
              <w:t>4-10 Inman Road</w:t>
            </w:r>
            <w:r w:rsidR="004B1C15">
              <w:rPr>
                <w:rFonts w:asciiTheme="minorHAnsi" w:hAnsiTheme="minorHAnsi"/>
              </w:rPr>
              <w:br/>
            </w:r>
            <w:r w:rsidR="003D7ABB" w:rsidRPr="00BB374A">
              <w:rPr>
                <w:rFonts w:asciiTheme="minorHAnsi" w:hAnsiTheme="minorHAnsi"/>
              </w:rPr>
              <w:t>D</w:t>
            </w:r>
            <w:r w:rsidR="004B1C15">
              <w:rPr>
                <w:rFonts w:asciiTheme="minorHAnsi" w:hAnsiTheme="minorHAnsi"/>
              </w:rPr>
              <w:t>EE</w:t>
            </w:r>
            <w:r w:rsidR="003D7ABB" w:rsidRPr="00BB374A">
              <w:rPr>
                <w:rFonts w:asciiTheme="minorHAnsi" w:hAnsiTheme="minorHAnsi"/>
              </w:rPr>
              <w:t xml:space="preserve"> W</w:t>
            </w:r>
            <w:r w:rsidR="004B1C15">
              <w:rPr>
                <w:rFonts w:asciiTheme="minorHAnsi" w:hAnsiTheme="minorHAnsi"/>
              </w:rPr>
              <w:t>HY</w:t>
            </w:r>
            <w:r w:rsidR="00B51A1A">
              <w:rPr>
                <w:rFonts w:asciiTheme="minorHAnsi" w:hAnsiTheme="minorHAnsi"/>
              </w:rPr>
              <w:t xml:space="preserve"> </w:t>
            </w:r>
            <w:r w:rsidR="003D7ABB" w:rsidRPr="00BB374A">
              <w:rPr>
                <w:rFonts w:asciiTheme="minorHAnsi" w:hAnsiTheme="minorHAnsi"/>
              </w:rPr>
              <w:t xml:space="preserve"> NSW</w:t>
            </w:r>
            <w:r w:rsidR="00B51A1A">
              <w:rPr>
                <w:rFonts w:asciiTheme="minorHAnsi" w:hAnsiTheme="minorHAnsi"/>
              </w:rPr>
              <w:t xml:space="preserve"> </w:t>
            </w:r>
            <w:r w:rsidR="003D7ABB" w:rsidRPr="00BB374A">
              <w:rPr>
                <w:rFonts w:asciiTheme="minorHAnsi" w:hAnsiTheme="minorHAnsi"/>
              </w:rPr>
              <w:t xml:space="preserve"> 2099</w:t>
            </w:r>
          </w:p>
        </w:tc>
      </w:tr>
      <w:tr w:rsidR="008E7846" w:rsidRPr="00487162" w:rsidTr="003D7ABB">
        <w:trPr>
          <w:gridAfter w:val="1"/>
          <w:wAfter w:w="283" w:type="dxa"/>
        </w:trPr>
        <w:tc>
          <w:tcPr>
            <w:tcW w:w="2907" w:type="dxa"/>
          </w:tcPr>
          <w:p w:rsidR="008E7846" w:rsidRPr="00487162" w:rsidRDefault="004B1C15" w:rsidP="004B1C15">
            <w:pPr>
              <w:rPr>
                <w:i/>
              </w:rPr>
            </w:pPr>
            <w:r>
              <w:rPr>
                <w:i/>
              </w:rPr>
              <w:t>Dose form</w:t>
            </w:r>
            <w:r w:rsidR="001B5C90">
              <w:rPr>
                <w:i/>
              </w:rPr>
              <w:t>:</w:t>
            </w:r>
          </w:p>
        </w:tc>
        <w:tc>
          <w:tcPr>
            <w:tcW w:w="6307" w:type="dxa"/>
          </w:tcPr>
          <w:p w:rsidR="008E7846" w:rsidRPr="00487162" w:rsidRDefault="003D7ABB" w:rsidP="00E45619">
            <w:r>
              <w:t>Solution for injection</w:t>
            </w:r>
          </w:p>
        </w:tc>
      </w:tr>
      <w:tr w:rsidR="008E7846" w:rsidRPr="00487162" w:rsidTr="003D7ABB">
        <w:trPr>
          <w:gridAfter w:val="1"/>
          <w:wAfter w:w="283" w:type="dxa"/>
        </w:trPr>
        <w:tc>
          <w:tcPr>
            <w:tcW w:w="2907" w:type="dxa"/>
          </w:tcPr>
          <w:p w:rsidR="008E7846" w:rsidRPr="00487162" w:rsidRDefault="008E7846" w:rsidP="00451D82">
            <w:pPr>
              <w:rPr>
                <w:i/>
              </w:rPr>
            </w:pPr>
            <w:r w:rsidRPr="00487162">
              <w:rPr>
                <w:i/>
              </w:rPr>
              <w:t>Strengths</w:t>
            </w:r>
            <w:r w:rsidR="004B1C15">
              <w:rPr>
                <w:i/>
              </w:rPr>
              <w:t>:</w:t>
            </w:r>
          </w:p>
        </w:tc>
        <w:tc>
          <w:tcPr>
            <w:tcW w:w="6307" w:type="dxa"/>
          </w:tcPr>
          <w:p w:rsidR="008E7846" w:rsidRPr="00487162" w:rsidRDefault="003D7ABB" w:rsidP="003D7ABB">
            <w:r>
              <w:t>100 mg/ 4 mL and</w:t>
            </w:r>
            <w:r w:rsidR="00B51A1A">
              <w:t xml:space="preserve"> </w:t>
            </w:r>
            <w:r w:rsidR="00451D82">
              <w:t>400 mg/ 16 mL</w:t>
            </w:r>
          </w:p>
        </w:tc>
      </w:tr>
      <w:tr w:rsidR="008E7846" w:rsidRPr="00487162" w:rsidTr="003D7ABB">
        <w:trPr>
          <w:gridAfter w:val="1"/>
          <w:wAfter w:w="283" w:type="dxa"/>
        </w:trPr>
        <w:tc>
          <w:tcPr>
            <w:tcW w:w="2907" w:type="dxa"/>
          </w:tcPr>
          <w:p w:rsidR="008E7846" w:rsidRPr="00487162" w:rsidRDefault="004B1C15" w:rsidP="004B1C15">
            <w:pPr>
              <w:rPr>
                <w:i/>
              </w:rPr>
            </w:pPr>
            <w:r>
              <w:rPr>
                <w:i/>
              </w:rPr>
              <w:t>Container</w:t>
            </w:r>
            <w:r w:rsidR="008E7846" w:rsidRPr="00487162">
              <w:rPr>
                <w:i/>
              </w:rPr>
              <w:t>:</w:t>
            </w:r>
          </w:p>
        </w:tc>
        <w:tc>
          <w:tcPr>
            <w:tcW w:w="6307" w:type="dxa"/>
          </w:tcPr>
          <w:p w:rsidR="008E7846" w:rsidRPr="00487162" w:rsidRDefault="00165A8D" w:rsidP="00165A8D">
            <w:r>
              <w:t>Single dose vial</w:t>
            </w:r>
          </w:p>
        </w:tc>
      </w:tr>
      <w:tr w:rsidR="008E7846" w:rsidRPr="00487162" w:rsidTr="003D7ABB">
        <w:trPr>
          <w:gridAfter w:val="1"/>
          <w:wAfter w:w="283" w:type="dxa"/>
        </w:trPr>
        <w:tc>
          <w:tcPr>
            <w:tcW w:w="2907" w:type="dxa"/>
          </w:tcPr>
          <w:p w:rsidR="008E7846" w:rsidRPr="00487162" w:rsidRDefault="004B1C15" w:rsidP="00E45619">
            <w:pPr>
              <w:rPr>
                <w:i/>
              </w:rPr>
            </w:pPr>
            <w:r>
              <w:rPr>
                <w:i/>
              </w:rPr>
              <w:t>Pack size</w:t>
            </w:r>
            <w:r w:rsidR="008E7846" w:rsidRPr="00487162">
              <w:rPr>
                <w:i/>
              </w:rPr>
              <w:t>:</w:t>
            </w:r>
          </w:p>
        </w:tc>
        <w:tc>
          <w:tcPr>
            <w:tcW w:w="6307" w:type="dxa"/>
          </w:tcPr>
          <w:p w:rsidR="008E7846" w:rsidRPr="00487162" w:rsidRDefault="00165A8D" w:rsidP="00E45619">
            <w:r>
              <w:t>One</w:t>
            </w:r>
          </w:p>
        </w:tc>
      </w:tr>
      <w:tr w:rsidR="008E7846" w:rsidRPr="00487162" w:rsidTr="003D7ABB">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451D82" w:rsidRDefault="00897A00" w:rsidP="00451D82">
            <w:pPr>
              <w:rPr>
                <w:i/>
                <w:lang w:val="en-US"/>
              </w:rPr>
            </w:pPr>
            <w:proofErr w:type="spellStart"/>
            <w:r w:rsidRPr="00451D82">
              <w:rPr>
                <w:i/>
                <w:lang w:val="en-US"/>
              </w:rPr>
              <w:t>Avastin</w:t>
            </w:r>
            <w:proofErr w:type="spellEnd"/>
            <w:r w:rsidR="003D7ABB" w:rsidRPr="00451D82">
              <w:rPr>
                <w:i/>
                <w:lang w:val="en-US"/>
              </w:rPr>
              <w:t xml:space="preserve"> (</w:t>
            </w:r>
            <w:proofErr w:type="spellStart"/>
            <w:r w:rsidR="003D7ABB" w:rsidRPr="00451D82">
              <w:rPr>
                <w:i/>
                <w:lang w:val="en-US"/>
              </w:rPr>
              <w:t>bevacizumab</w:t>
            </w:r>
            <w:proofErr w:type="spellEnd"/>
            <w:r w:rsidR="003D7ABB" w:rsidRPr="00451D82">
              <w:rPr>
                <w:i/>
                <w:lang w:val="en-US"/>
              </w:rPr>
              <w:t xml:space="preserve">) in combination with paclitaxel, </w:t>
            </w:r>
            <w:proofErr w:type="spellStart"/>
            <w:r w:rsidR="003D7ABB" w:rsidRPr="00451D82">
              <w:rPr>
                <w:i/>
                <w:lang w:val="en-US"/>
              </w:rPr>
              <w:t>topotecan</w:t>
            </w:r>
            <w:proofErr w:type="spellEnd"/>
            <w:r w:rsidR="003D7ABB" w:rsidRPr="00451D82">
              <w:rPr>
                <w:i/>
                <w:lang w:val="en-US"/>
              </w:rPr>
              <w:t xml:space="preserve"> or </w:t>
            </w:r>
            <w:proofErr w:type="spellStart"/>
            <w:r w:rsidR="003D7ABB" w:rsidRPr="00451D82">
              <w:rPr>
                <w:i/>
                <w:lang w:val="en-US"/>
              </w:rPr>
              <w:t>pegylated</w:t>
            </w:r>
            <w:proofErr w:type="spellEnd"/>
            <w:r w:rsidR="003D7ABB" w:rsidRPr="00451D82">
              <w:rPr>
                <w:i/>
                <w:lang w:val="en-US"/>
              </w:rPr>
              <w:t xml:space="preserve"> liposomal doxorubicin is indicated for the treatment of patients with recurrent, platinum-resistant epithelial ovarian, fallopian tube, or primary peritoneal cancer who have received no more than two prior chemotherapy regimens, and have not received any prior anti-</w:t>
            </w:r>
            <w:proofErr w:type="spellStart"/>
            <w:r w:rsidR="003D7ABB" w:rsidRPr="00451D82">
              <w:rPr>
                <w:i/>
                <w:lang w:val="en-US"/>
              </w:rPr>
              <w:t>angiogenic</w:t>
            </w:r>
            <w:proofErr w:type="spellEnd"/>
            <w:r w:rsidR="003D7ABB" w:rsidRPr="00451D82">
              <w:rPr>
                <w:i/>
                <w:lang w:val="en-US"/>
              </w:rPr>
              <w:t xml:space="preserve"> therapy including </w:t>
            </w:r>
            <w:proofErr w:type="spellStart"/>
            <w:r w:rsidR="003D7ABB" w:rsidRPr="00451D82">
              <w:rPr>
                <w:i/>
                <w:lang w:val="en-US"/>
              </w:rPr>
              <w:t>bevacizumab</w:t>
            </w:r>
            <w:proofErr w:type="spellEnd"/>
            <w:r w:rsidR="003D7ABB" w:rsidRPr="00451D82">
              <w:rPr>
                <w:i/>
                <w:lang w:val="en-US"/>
              </w:rPr>
              <w:t>.</w:t>
            </w:r>
          </w:p>
        </w:tc>
      </w:tr>
      <w:tr w:rsidR="008E7846" w:rsidRPr="00487162" w:rsidTr="003D7ABB">
        <w:trPr>
          <w:gridAfter w:val="1"/>
          <w:wAfter w:w="283" w:type="dxa"/>
        </w:trPr>
        <w:tc>
          <w:tcPr>
            <w:tcW w:w="2907" w:type="dxa"/>
          </w:tcPr>
          <w:p w:rsidR="008E7846" w:rsidRPr="00487162" w:rsidRDefault="008E7846" w:rsidP="00451D82">
            <w:pPr>
              <w:rPr>
                <w:i/>
              </w:rPr>
            </w:pPr>
            <w:r w:rsidRPr="00487162">
              <w:rPr>
                <w:i/>
              </w:rPr>
              <w:t>Route of administration:</w:t>
            </w:r>
          </w:p>
        </w:tc>
        <w:tc>
          <w:tcPr>
            <w:tcW w:w="6307" w:type="dxa"/>
          </w:tcPr>
          <w:p w:rsidR="008E7846" w:rsidRPr="00487162" w:rsidRDefault="004B1C15" w:rsidP="00E45619">
            <w:r>
              <w:t>Intravenous (IV) infusion</w:t>
            </w:r>
          </w:p>
        </w:tc>
      </w:tr>
      <w:tr w:rsidR="008E7846" w:rsidRPr="00487162" w:rsidTr="003D7ABB">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D93173" w:rsidRPr="00FB7D87" w:rsidRDefault="00D93173" w:rsidP="00D93173">
            <w:pPr>
              <w:rPr>
                <w:rFonts w:eastAsiaTheme="minorHAnsi"/>
                <w:color w:val="000000"/>
                <w:sz w:val="20"/>
                <w:szCs w:val="20"/>
              </w:rPr>
            </w:pPr>
            <w:r w:rsidRPr="000A5E78">
              <w:t xml:space="preserve">The recommended dose of </w:t>
            </w:r>
            <w:proofErr w:type="spellStart"/>
            <w:r w:rsidRPr="000A5E78">
              <w:t>A</w:t>
            </w:r>
            <w:r>
              <w:t>vastin</w:t>
            </w:r>
            <w:proofErr w:type="spellEnd"/>
            <w:r w:rsidRPr="000A5E78">
              <w:t xml:space="preserve"> </w:t>
            </w:r>
            <w:r>
              <w:t xml:space="preserve">administered </w:t>
            </w:r>
            <w:r w:rsidRPr="000A5E78">
              <w:t>as an IV infusion</w:t>
            </w:r>
            <w:r>
              <w:t xml:space="preserve"> </w:t>
            </w:r>
            <w:r w:rsidR="00FB7D87">
              <w:t xml:space="preserve">in the </w:t>
            </w:r>
            <w:r w:rsidR="00FB7D87" w:rsidRPr="00FB7D87">
              <w:t>t</w:t>
            </w:r>
            <w:r w:rsidR="00FB7D87" w:rsidRPr="00FB7D87">
              <w:rPr>
                <w:rFonts w:eastAsiaTheme="minorHAnsi"/>
                <w:color w:val="000000"/>
              </w:rPr>
              <w:t>reatment of</w:t>
            </w:r>
            <w:r w:rsidR="00FB7D87">
              <w:rPr>
                <w:rFonts w:eastAsiaTheme="minorHAnsi"/>
                <w:i/>
                <w:color w:val="000000"/>
              </w:rPr>
              <w:t xml:space="preserve"> R</w:t>
            </w:r>
            <w:r w:rsidR="00FB7D87" w:rsidRPr="00FB7D87">
              <w:rPr>
                <w:rFonts w:eastAsiaTheme="minorHAnsi"/>
                <w:i/>
                <w:color w:val="000000"/>
              </w:rPr>
              <w:t>ecurrent disease-</w:t>
            </w:r>
            <w:r w:rsidR="00FB7D87" w:rsidRPr="00FB7D87">
              <w:rPr>
                <w:rFonts w:eastAsiaTheme="minorHAnsi"/>
                <w:i/>
                <w:iCs/>
                <w:color w:val="000000"/>
              </w:rPr>
              <w:t>Platinum resistant</w:t>
            </w:r>
            <w:r w:rsidR="00FB7D87" w:rsidRPr="002A3C2D">
              <w:t xml:space="preserve"> Epithelial Ovarian, Fallopian Tube, or Primary Peritoneal Cancer </w:t>
            </w:r>
            <w:r>
              <w:t>is as follows:</w:t>
            </w:r>
          </w:p>
          <w:p w:rsidR="00563191" w:rsidRPr="00D93173" w:rsidRDefault="00563191" w:rsidP="00D93173">
            <w:pPr>
              <w:rPr>
                <w:rFonts w:eastAsiaTheme="minorHAnsi"/>
                <w:color w:val="000000"/>
              </w:rPr>
            </w:pPr>
            <w:r w:rsidRPr="00D93173">
              <w:rPr>
                <w:rFonts w:eastAsiaTheme="minorHAnsi"/>
                <w:color w:val="000000"/>
              </w:rPr>
              <w:t xml:space="preserve">10 mg/kg body weight given once every 2 weeks when administered in combination with one of the following agents – paclitaxel or </w:t>
            </w:r>
            <w:proofErr w:type="spellStart"/>
            <w:r w:rsidRPr="00D93173">
              <w:rPr>
                <w:rFonts w:eastAsiaTheme="minorHAnsi"/>
                <w:color w:val="000000"/>
              </w:rPr>
              <w:t>topotecan</w:t>
            </w:r>
            <w:proofErr w:type="spellEnd"/>
            <w:r w:rsidRPr="00D93173">
              <w:rPr>
                <w:rFonts w:eastAsiaTheme="minorHAnsi"/>
                <w:color w:val="000000"/>
              </w:rPr>
              <w:t xml:space="preserve"> (given weekly) or </w:t>
            </w:r>
            <w:proofErr w:type="spellStart"/>
            <w:r w:rsidRPr="00D93173">
              <w:rPr>
                <w:rFonts w:eastAsiaTheme="minorHAnsi"/>
                <w:color w:val="000000"/>
              </w:rPr>
              <w:t>pegylated</w:t>
            </w:r>
            <w:proofErr w:type="spellEnd"/>
            <w:r w:rsidRPr="00D93173">
              <w:rPr>
                <w:rFonts w:eastAsiaTheme="minorHAnsi"/>
                <w:color w:val="000000"/>
              </w:rPr>
              <w:t xml:space="preserve"> liposomal doxorubicin. Alternatively, 15 mg/kg every 3 weeks when administered in combination with </w:t>
            </w:r>
            <w:proofErr w:type="spellStart"/>
            <w:r w:rsidRPr="00D93173">
              <w:rPr>
                <w:rFonts w:eastAsiaTheme="minorHAnsi"/>
                <w:color w:val="000000"/>
              </w:rPr>
              <w:t>topotecan</w:t>
            </w:r>
            <w:proofErr w:type="spellEnd"/>
            <w:r w:rsidRPr="00D93173">
              <w:rPr>
                <w:rFonts w:eastAsiaTheme="minorHAnsi"/>
                <w:color w:val="000000"/>
              </w:rPr>
              <w:t xml:space="preserve"> given on days 1-5, every 3 weeks. (</w:t>
            </w:r>
            <w:r w:rsidRPr="00D93173">
              <w:rPr>
                <w:rFonts w:eastAsiaTheme="minorHAnsi"/>
                <w:i/>
                <w:iCs/>
                <w:color w:val="000000"/>
              </w:rPr>
              <w:t>See CLINICAL TRIALS Study MO22224 f</w:t>
            </w:r>
            <w:r w:rsidRPr="00D93173">
              <w:rPr>
                <w:rFonts w:eastAsiaTheme="minorHAnsi"/>
                <w:color w:val="000000"/>
              </w:rPr>
              <w:t>or descriptions</w:t>
            </w:r>
            <w:r w:rsidR="00451D82">
              <w:rPr>
                <w:rFonts w:eastAsiaTheme="minorHAnsi"/>
                <w:color w:val="000000"/>
              </w:rPr>
              <w:t xml:space="preserve"> of the chemotherapy regimens).</w:t>
            </w:r>
          </w:p>
          <w:p w:rsidR="008E7846" w:rsidRPr="00CC0147" w:rsidRDefault="00563191" w:rsidP="00D93173">
            <w:r w:rsidRPr="00D93173">
              <w:rPr>
                <w:rFonts w:eastAsiaTheme="minorHAnsi"/>
                <w:color w:val="000000"/>
              </w:rPr>
              <w:t>It is recommended that treatment be continued until disease progression.</w:t>
            </w:r>
          </w:p>
        </w:tc>
      </w:tr>
      <w:tr w:rsidR="008E7846" w:rsidRPr="00487162" w:rsidTr="003D7ABB">
        <w:trPr>
          <w:gridAfter w:val="1"/>
          <w:wAfter w:w="283" w:type="dxa"/>
        </w:trPr>
        <w:tc>
          <w:tcPr>
            <w:tcW w:w="2907" w:type="dxa"/>
          </w:tcPr>
          <w:p w:rsidR="008E7846" w:rsidRPr="00487162" w:rsidRDefault="008E7846" w:rsidP="00451D82">
            <w:pPr>
              <w:rPr>
                <w:i/>
              </w:rPr>
            </w:pPr>
            <w:r w:rsidRPr="00487162">
              <w:rPr>
                <w:i/>
              </w:rPr>
              <w:t xml:space="preserve">ARTG </w:t>
            </w:r>
            <w:r w:rsidR="001B5C90">
              <w:rPr>
                <w:i/>
              </w:rPr>
              <w:t>n</w:t>
            </w:r>
            <w:r w:rsidR="00451D82">
              <w:rPr>
                <w:i/>
              </w:rPr>
              <w:t>umber</w:t>
            </w:r>
            <w:r w:rsidRPr="00487162">
              <w:rPr>
                <w:i/>
              </w:rPr>
              <w:t>s</w:t>
            </w:r>
            <w:r w:rsidR="001B5C90">
              <w:rPr>
                <w:i/>
              </w:rPr>
              <w:t>:</w:t>
            </w:r>
          </w:p>
        </w:tc>
        <w:tc>
          <w:tcPr>
            <w:tcW w:w="6307" w:type="dxa"/>
          </w:tcPr>
          <w:p w:rsidR="008E7846" w:rsidRPr="00487162" w:rsidRDefault="003D7ABB" w:rsidP="00E45619">
            <w:r>
              <w:t>99755 and 99757</w:t>
            </w:r>
          </w:p>
        </w:tc>
      </w:tr>
    </w:tbl>
    <w:p w:rsidR="008E7846" w:rsidRDefault="008E7846" w:rsidP="003B2EED">
      <w:pPr>
        <w:pStyle w:val="Heading3"/>
      </w:pPr>
      <w:bookmarkStart w:id="12" w:name="_Toc247691503"/>
      <w:bookmarkStart w:id="13" w:name="_Toc314842484"/>
      <w:bookmarkStart w:id="14" w:name="_Toc415046252"/>
      <w:r>
        <w:lastRenderedPageBreak/>
        <w:t>Product background</w:t>
      </w:r>
      <w:bookmarkEnd w:id="12"/>
      <w:bookmarkEnd w:id="13"/>
      <w:bookmarkEnd w:id="14"/>
    </w:p>
    <w:p w:rsidR="00CC0147" w:rsidRDefault="00940A89" w:rsidP="003B2EED">
      <w:r w:rsidRPr="00940A89">
        <w:t>This AusPAR describes the application by the sponsor</w:t>
      </w:r>
      <w:r w:rsidR="00165A8D">
        <w:t>, Roche Products Pty Ltd,</w:t>
      </w:r>
      <w:r w:rsidRPr="00940A89">
        <w:t xml:space="preserve"> to register </w:t>
      </w:r>
      <w:proofErr w:type="spellStart"/>
      <w:r w:rsidR="00CC0147">
        <w:t>Avastin</w:t>
      </w:r>
      <w:proofErr w:type="spellEnd"/>
      <w:r w:rsidRPr="00940A89">
        <w:t xml:space="preserve"> </w:t>
      </w:r>
      <w:r w:rsidR="00CC0147" w:rsidRPr="002A3C2D">
        <w:rPr>
          <w:lang w:val="en-US"/>
        </w:rPr>
        <w:t>(</w:t>
      </w:r>
      <w:proofErr w:type="spellStart"/>
      <w:r w:rsidR="00CC0147" w:rsidRPr="002A3C2D">
        <w:rPr>
          <w:lang w:val="en-US"/>
        </w:rPr>
        <w:t>bevacizumab</w:t>
      </w:r>
      <w:proofErr w:type="spellEnd"/>
      <w:r w:rsidR="00CC0147" w:rsidRPr="002A3C2D">
        <w:rPr>
          <w:lang w:val="en-US"/>
        </w:rPr>
        <w:t>)</w:t>
      </w:r>
      <w:r w:rsidR="00E122E2">
        <w:rPr>
          <w:lang w:val="en-US"/>
        </w:rPr>
        <w:t xml:space="preserve"> </w:t>
      </w:r>
      <w:r w:rsidR="004B1C15">
        <w:t>for the following indication</w:t>
      </w:r>
    </w:p>
    <w:p w:rsidR="008E7846" w:rsidRPr="003B2EED" w:rsidRDefault="00CC0147" w:rsidP="003B2EED">
      <w:pPr>
        <w:ind w:left="720"/>
        <w:rPr>
          <w:i/>
        </w:rPr>
      </w:pPr>
      <w:proofErr w:type="spellStart"/>
      <w:r w:rsidRPr="003B2EED">
        <w:rPr>
          <w:i/>
          <w:lang w:val="en-US"/>
        </w:rPr>
        <w:t>Avastin</w:t>
      </w:r>
      <w:proofErr w:type="spellEnd"/>
      <w:r w:rsidRPr="003B2EED">
        <w:rPr>
          <w:i/>
          <w:lang w:val="en-US"/>
        </w:rPr>
        <w:t xml:space="preserve"> (</w:t>
      </w:r>
      <w:proofErr w:type="spellStart"/>
      <w:r w:rsidRPr="003B2EED">
        <w:rPr>
          <w:i/>
          <w:lang w:val="en-US"/>
        </w:rPr>
        <w:t>bevacizumab</w:t>
      </w:r>
      <w:proofErr w:type="spellEnd"/>
      <w:r w:rsidRPr="003B2EED">
        <w:rPr>
          <w:i/>
          <w:lang w:val="en-US"/>
        </w:rPr>
        <w:t xml:space="preserve">) in combination with paclitaxel, </w:t>
      </w:r>
      <w:proofErr w:type="spellStart"/>
      <w:r w:rsidRPr="003B2EED">
        <w:rPr>
          <w:i/>
          <w:lang w:val="en-US"/>
        </w:rPr>
        <w:t>topotecan</w:t>
      </w:r>
      <w:proofErr w:type="spellEnd"/>
      <w:r w:rsidRPr="003B2EED">
        <w:rPr>
          <w:i/>
          <w:lang w:val="en-US"/>
        </w:rPr>
        <w:t xml:space="preserve"> or </w:t>
      </w:r>
      <w:proofErr w:type="spellStart"/>
      <w:r w:rsidRPr="003B2EED">
        <w:rPr>
          <w:i/>
          <w:lang w:val="en-US"/>
        </w:rPr>
        <w:t>pegylated</w:t>
      </w:r>
      <w:proofErr w:type="spellEnd"/>
      <w:r w:rsidRPr="003B2EED">
        <w:rPr>
          <w:i/>
          <w:lang w:val="en-US"/>
        </w:rPr>
        <w:t xml:space="preserve"> liposomal doxorubicin is indicated for the treatment of patients with recurrent, platinum-resistant epithelial ovarian, fallopian tube, or primary peritoneal cancer who received no more than two prior chemotherapy regimens</w:t>
      </w:r>
      <w:r w:rsidRPr="003B2EED">
        <w:rPr>
          <w:i/>
        </w:rPr>
        <w:t>.</w:t>
      </w:r>
    </w:p>
    <w:p w:rsidR="00CC0147" w:rsidRPr="002A3C2D" w:rsidRDefault="00165A8D" w:rsidP="003B2EED">
      <w:proofErr w:type="spellStart"/>
      <w:r>
        <w:t>Avastin</w:t>
      </w:r>
      <w:proofErr w:type="spellEnd"/>
      <w:r w:rsidR="00CC0147" w:rsidRPr="002A3C2D">
        <w:t xml:space="preserve"> in combination with chemotherapy is currently approved for metastatic Colorectal Cancer, locally recurrent or metastatic Breast Cancer, advanced, metastatic or recurrent non-squamous Non-Small Cell Lung Cancer (NSCLC), advanced and/or metastatic Renal Cell Cancer, Grade IV </w:t>
      </w:r>
      <w:proofErr w:type="spellStart"/>
      <w:r w:rsidR="00CC0147" w:rsidRPr="002A3C2D">
        <w:t>Glioma</w:t>
      </w:r>
      <w:proofErr w:type="spellEnd"/>
      <w:r w:rsidR="00CC0147" w:rsidRPr="002A3C2D">
        <w:t>, and Epithelial Ovarian, Fallopian Tube, or Primary Peritoneal Cancer (first-line and for recurre</w:t>
      </w:r>
      <w:r w:rsidR="004B1C15">
        <w:t>nt platinum-sensitive disease).</w:t>
      </w:r>
    </w:p>
    <w:p w:rsidR="008E7846" w:rsidRPr="003F31A2" w:rsidRDefault="00386150" w:rsidP="003B2EED">
      <w:pPr>
        <w:pStyle w:val="Heading3"/>
      </w:pPr>
      <w:bookmarkStart w:id="15" w:name="_Toc314842485"/>
      <w:bookmarkStart w:id="16" w:name="_Toc247691504"/>
      <w:bookmarkStart w:id="17" w:name="_Toc415046253"/>
      <w:r>
        <w:t>Regulatory s</w:t>
      </w:r>
      <w:r w:rsidR="008E7846">
        <w:t>tatus</w:t>
      </w:r>
      <w:bookmarkEnd w:id="15"/>
      <w:bookmarkEnd w:id="16"/>
      <w:bookmarkEnd w:id="17"/>
    </w:p>
    <w:p w:rsidR="00A264A8" w:rsidRDefault="00940A89" w:rsidP="003B2EED">
      <w:bookmarkStart w:id="18" w:name="_Toc247691505"/>
      <w:bookmarkStart w:id="19" w:name="_Toc314842486"/>
      <w:r w:rsidRPr="00940A89">
        <w:t>The product received initial registration on the Australian Registe</w:t>
      </w:r>
      <w:r w:rsidR="0079183F">
        <w:t>r of Therapeutic Goods (ARTG) i</w:t>
      </w:r>
      <w:r w:rsidR="00A264A8">
        <w:t xml:space="preserve">n February </w:t>
      </w:r>
      <w:r w:rsidR="0079183F">
        <w:t xml:space="preserve">of </w:t>
      </w:r>
      <w:r w:rsidR="00A264A8">
        <w:t>2005.</w:t>
      </w:r>
    </w:p>
    <w:p w:rsidR="00940A89" w:rsidRDefault="00940A89" w:rsidP="003B2EED">
      <w:r w:rsidRPr="00940A89">
        <w:t>At the time the TGA considered this application</w:t>
      </w:r>
      <w:r w:rsidR="0079183F">
        <w:t>,</w:t>
      </w:r>
      <w:r w:rsidRPr="00940A89">
        <w:t xml:space="preserve"> a similar application had been approved </w:t>
      </w:r>
      <w:r w:rsidR="00CC0147">
        <w:t>in the European Union (EU</w:t>
      </w:r>
      <w:r w:rsidR="0079183F">
        <w:t xml:space="preserve">; </w:t>
      </w:r>
      <w:r w:rsidR="00CC0147">
        <w:t>on 31 July 2014</w:t>
      </w:r>
      <w:r w:rsidR="0079183F">
        <w:t>)</w:t>
      </w:r>
      <w:r w:rsidR="00CC0147">
        <w:t xml:space="preserve"> and</w:t>
      </w:r>
      <w:r w:rsidRPr="00940A89">
        <w:t xml:space="preserve"> was under co</w:t>
      </w:r>
      <w:r>
        <w:t xml:space="preserve">nsideration in </w:t>
      </w:r>
      <w:r w:rsidR="00CC0147">
        <w:t>Canada, Switzerland and the USA.</w:t>
      </w:r>
    </w:p>
    <w:p w:rsidR="008E7846" w:rsidRDefault="008E7846" w:rsidP="003B2EED">
      <w:pPr>
        <w:pStyle w:val="Heading3"/>
      </w:pPr>
      <w:bookmarkStart w:id="20" w:name="_Toc415046254"/>
      <w:r>
        <w:t xml:space="preserve">Product </w:t>
      </w:r>
      <w:r w:rsidR="003B2EED">
        <w:t>i</w:t>
      </w:r>
      <w:r>
        <w:t>nformation</w:t>
      </w:r>
      <w:bookmarkEnd w:id="18"/>
      <w:bookmarkEnd w:id="19"/>
      <w:bookmarkEnd w:id="20"/>
    </w:p>
    <w:p w:rsidR="00940A89" w:rsidRDefault="00940A89" w:rsidP="003B2EED">
      <w:pPr>
        <w:rPr>
          <w:b/>
          <w:bCs/>
        </w:rPr>
      </w:pPr>
      <w:bookmarkStart w:id="21" w:name="_Toc247691506"/>
      <w:bookmarkStart w:id="22" w:name="_Toc314842487"/>
      <w:r w:rsidRPr="00940A89">
        <w:t>The approved Product Information (PI) current at the time this AusPAR was prepared can be found as Attachment 1. For the most recent Product Information please refer to the TGA website at &lt;</w:t>
      </w:r>
      <w:hyperlink r:id="rId14" w:history="1">
        <w:r w:rsidR="00383221">
          <w:rPr>
            <w:rStyle w:val="Hyperlink"/>
          </w:rPr>
          <w:t>https://www.tga.gov.au/product-information-pi</w:t>
        </w:r>
      </w:hyperlink>
      <w:r w:rsidRPr="00940A89">
        <w:t>&gt;.</w:t>
      </w:r>
    </w:p>
    <w:p w:rsidR="008E7846" w:rsidRPr="003602A9" w:rsidRDefault="008E7846" w:rsidP="003B2EED">
      <w:pPr>
        <w:pStyle w:val="Heading2"/>
      </w:pPr>
      <w:bookmarkStart w:id="23" w:name="_Toc415046255"/>
      <w:r>
        <w:t>II. Quality</w:t>
      </w:r>
      <w:bookmarkEnd w:id="1"/>
      <w:r>
        <w:t xml:space="preserve"> findings</w:t>
      </w:r>
      <w:bookmarkEnd w:id="21"/>
      <w:bookmarkEnd w:id="22"/>
      <w:bookmarkEnd w:id="23"/>
    </w:p>
    <w:p w:rsidR="00940A89" w:rsidRPr="00940A89" w:rsidRDefault="00940A89" w:rsidP="003B2EED">
      <w:bookmarkStart w:id="24" w:name="_Toc247691507"/>
      <w:bookmarkStart w:id="25" w:name="_Toc314842488"/>
      <w:r w:rsidRPr="00940A89">
        <w:t>There was no requirement for a quality evaluation in a submission of this type.</w:t>
      </w:r>
    </w:p>
    <w:p w:rsidR="008E7846" w:rsidRDefault="008E7846" w:rsidP="003B2EED">
      <w:pPr>
        <w:pStyle w:val="Heading2"/>
      </w:pPr>
      <w:bookmarkStart w:id="26" w:name="_Toc196046439"/>
      <w:bookmarkStart w:id="27" w:name="_Toc247691510"/>
      <w:bookmarkStart w:id="28" w:name="_Toc314842494"/>
      <w:bookmarkStart w:id="29" w:name="_Toc415046256"/>
      <w:bookmarkEnd w:id="24"/>
      <w:bookmarkEnd w:id="25"/>
      <w:r>
        <w:t>III. Nonclinical</w:t>
      </w:r>
      <w:bookmarkEnd w:id="26"/>
      <w:r>
        <w:t xml:space="preserve"> findings</w:t>
      </w:r>
      <w:bookmarkEnd w:id="27"/>
      <w:bookmarkEnd w:id="28"/>
      <w:bookmarkEnd w:id="29"/>
    </w:p>
    <w:p w:rsidR="00940A89" w:rsidRDefault="00940A89" w:rsidP="003B2EED">
      <w:bookmarkStart w:id="30" w:name="_Toc247691511"/>
      <w:bookmarkStart w:id="31" w:name="_Toc314842495"/>
      <w:r>
        <w:t>There was no requirement for a nonclinical evaluation in a submission of this type.</w:t>
      </w:r>
    </w:p>
    <w:p w:rsidR="008E7846" w:rsidRPr="00254787" w:rsidRDefault="008E7846" w:rsidP="003B2EED">
      <w:pPr>
        <w:pStyle w:val="Heading2"/>
      </w:pPr>
      <w:bookmarkStart w:id="32" w:name="_Toc196046462"/>
      <w:bookmarkStart w:id="33" w:name="_Toc247691516"/>
      <w:bookmarkStart w:id="34" w:name="_Toc314842500"/>
      <w:bookmarkStart w:id="35" w:name="_Toc415046257"/>
      <w:bookmarkStart w:id="36" w:name="_Toc163441353"/>
      <w:bookmarkStart w:id="37" w:name="_Toc163441348"/>
      <w:bookmarkEnd w:id="30"/>
      <w:bookmarkEnd w:id="31"/>
      <w:r>
        <w:t xml:space="preserve">IV. </w:t>
      </w:r>
      <w:r w:rsidRPr="00254787">
        <w:t>Clinical</w:t>
      </w:r>
      <w:bookmarkEnd w:id="32"/>
      <w:r>
        <w:t xml:space="preserve"> </w:t>
      </w:r>
      <w:r w:rsidR="003A7F6C">
        <w:t>f</w:t>
      </w:r>
      <w:r>
        <w:t>indings</w:t>
      </w:r>
      <w:bookmarkEnd w:id="33"/>
      <w:bookmarkEnd w:id="34"/>
      <w:bookmarkEnd w:id="35"/>
    </w:p>
    <w:p w:rsidR="00C80137" w:rsidRDefault="00C80137" w:rsidP="003B2EED">
      <w:bookmarkStart w:id="38"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605AD4" w:rsidRDefault="00605AD4" w:rsidP="003B2EED">
      <w:pPr>
        <w:pStyle w:val="Heading3"/>
      </w:pPr>
      <w:bookmarkStart w:id="39" w:name="_Toc415046258"/>
      <w:bookmarkStart w:id="40" w:name="_Toc196046464"/>
      <w:bookmarkStart w:id="41" w:name="_Toc247691518"/>
      <w:bookmarkStart w:id="42" w:name="_Toc314842502"/>
      <w:bookmarkEnd w:id="38"/>
      <w:r w:rsidRPr="00605AD4">
        <w:t xml:space="preserve">Clinical </w:t>
      </w:r>
      <w:r w:rsidR="004B1C15">
        <w:t>r</w:t>
      </w:r>
      <w:r w:rsidRPr="00605AD4">
        <w:t>ationale</w:t>
      </w:r>
      <w:bookmarkEnd w:id="39"/>
    </w:p>
    <w:p w:rsidR="002900A2" w:rsidRPr="0079183F" w:rsidRDefault="002900A2" w:rsidP="003B2EED">
      <w:pPr>
        <w:pStyle w:val="Heading4"/>
      </w:pPr>
      <w:bookmarkStart w:id="43" w:name="_Toc393534430"/>
      <w:r w:rsidRPr="00B05CC9">
        <w:t xml:space="preserve">Impact of </w:t>
      </w:r>
      <w:r w:rsidR="004B1C15">
        <w:t>o</w:t>
      </w:r>
      <w:r w:rsidRPr="00B05CC9">
        <w:t xml:space="preserve">varian </w:t>
      </w:r>
      <w:r w:rsidR="004B1C15">
        <w:t>c</w:t>
      </w:r>
      <w:r w:rsidRPr="00B05CC9">
        <w:t>ancer</w:t>
      </w:r>
      <w:bookmarkEnd w:id="43"/>
    </w:p>
    <w:p w:rsidR="002900A2" w:rsidRPr="00B05CC9" w:rsidRDefault="002900A2" w:rsidP="003B2EED">
      <w:pPr>
        <w:rPr>
          <w:rFonts w:cs="MyriadPro-Light"/>
        </w:rPr>
      </w:pPr>
      <w:r w:rsidRPr="00B05CC9">
        <w:t>Ovarian cancer is a disease that globally affects nearly a quarter of a million women each year. It is the eighth most common cancer in women and the seventh leading cause of cancer death among women, responsible for approximately 140,000 deaths globally each year. It has the highest mortality rate of all gyn</w:t>
      </w:r>
      <w:r w:rsidR="00E122E2">
        <w:t>a</w:t>
      </w:r>
      <w:r w:rsidRPr="00B05CC9">
        <w:t>ecological cancers. In Australia i</w:t>
      </w:r>
      <w:r w:rsidRPr="00B05CC9">
        <w:rPr>
          <w:rFonts w:cs="MyriadPro-Light"/>
        </w:rPr>
        <w:t xml:space="preserve">n 2008, 1,272 cases of ovarian cancer were diagnosed, making it the second most common </w:t>
      </w:r>
      <w:r w:rsidRPr="00B05CC9">
        <w:rPr>
          <w:rFonts w:cs="MyriadPro-Light"/>
        </w:rPr>
        <w:lastRenderedPageBreak/>
        <w:t xml:space="preserve">gynaecological cancer in Australia, ranking </w:t>
      </w:r>
      <w:r w:rsidR="0079183F">
        <w:rPr>
          <w:rFonts w:cs="MyriadPro-Light"/>
        </w:rPr>
        <w:t>tenth</w:t>
      </w:r>
      <w:r w:rsidRPr="00B05CC9">
        <w:rPr>
          <w:rFonts w:cs="MyriadPro-Light"/>
        </w:rPr>
        <w:t xml:space="preserve"> in terms of the most commonly diagnosed cancers in women. Ovarian cancer was the most common cause of gynaecological cancer death with 848 deaths in 2007, ranking </w:t>
      </w:r>
      <w:r w:rsidR="0079183F">
        <w:rPr>
          <w:rFonts w:cs="MyriadPro-Light"/>
        </w:rPr>
        <w:t>seventh</w:t>
      </w:r>
      <w:r w:rsidRPr="00B05CC9">
        <w:rPr>
          <w:rFonts w:cs="MyriadPro-Light"/>
        </w:rPr>
        <w:t xml:space="preserve"> in terms of all causes of cancer deaths among </w:t>
      </w:r>
      <w:r w:rsidRPr="00920597">
        <w:rPr>
          <w:rFonts w:cs="MyriadPro-Light"/>
        </w:rPr>
        <w:t>women.</w:t>
      </w:r>
      <w:r w:rsidR="00920597" w:rsidRPr="00920597">
        <w:rPr>
          <w:rStyle w:val="FootnoteReference"/>
          <w:rFonts w:cs="MyriadPro-Light"/>
        </w:rPr>
        <w:footnoteReference w:id="1"/>
      </w:r>
    </w:p>
    <w:p w:rsidR="002900A2" w:rsidRPr="00B05CC9" w:rsidRDefault="002900A2" w:rsidP="003B2EED">
      <w:pPr>
        <w:pStyle w:val="Heading4"/>
      </w:pPr>
      <w:bookmarkStart w:id="44" w:name="_Toc393534431"/>
      <w:r w:rsidRPr="00B05CC9">
        <w:t>Treatment</w:t>
      </w:r>
      <w:bookmarkEnd w:id="44"/>
    </w:p>
    <w:p w:rsidR="003A094D" w:rsidRPr="003B2EED" w:rsidRDefault="002900A2" w:rsidP="003B2EED">
      <w:pPr>
        <w:pStyle w:val="Heading5"/>
        <w:rPr>
          <w:rFonts w:eastAsia="Cambria"/>
        </w:rPr>
      </w:pPr>
      <w:r w:rsidRPr="003B2EED">
        <w:rPr>
          <w:rFonts w:eastAsia="Cambria"/>
        </w:rPr>
        <w:t>Initial</w:t>
      </w:r>
    </w:p>
    <w:p w:rsidR="002900A2" w:rsidRPr="00B05CC9" w:rsidRDefault="002900A2" w:rsidP="003B2EED">
      <w:r w:rsidRPr="00B05CC9">
        <w:t xml:space="preserve">The definitive diagnosis and staging of ovarian cancer is by surgery and cytological or histological examination of tissue samples. The FIGO surgical staging system is used for ovarian cancer. Because the disease tends to be asymptomatic in early stages or associated with vague, nonspecific symptoms, the majority of patients are diagnosed with advanced-stage disease. Despite the high sensitivity of ovarian cancer to initial treatment with platinum and </w:t>
      </w:r>
      <w:proofErr w:type="spellStart"/>
      <w:r w:rsidRPr="00B05CC9">
        <w:t>taxane</w:t>
      </w:r>
      <w:proofErr w:type="spellEnd"/>
      <w:r w:rsidR="0079183F">
        <w:t xml:space="preserve"> </w:t>
      </w:r>
      <w:r w:rsidRPr="00B05CC9">
        <w:t>based combination chemotherapy, which is the standard of care in the frontline setting, the majority of women (more than 80%) diagnosed with advanced-stage disease will hav</w:t>
      </w:r>
      <w:r w:rsidR="004B1C15">
        <w:t>e a recurrence of their cancer.</w:t>
      </w:r>
    </w:p>
    <w:p w:rsidR="003A094D" w:rsidRPr="003B2EED" w:rsidRDefault="002900A2" w:rsidP="003B2EED">
      <w:pPr>
        <w:pStyle w:val="Heading5"/>
        <w:rPr>
          <w:rFonts w:eastAsia="Cambria"/>
        </w:rPr>
      </w:pPr>
      <w:r w:rsidRPr="003B2EED">
        <w:rPr>
          <w:rFonts w:eastAsia="Cambria"/>
        </w:rPr>
        <w:t xml:space="preserve">Treatment after </w:t>
      </w:r>
      <w:r w:rsidR="004B1C15" w:rsidRPr="003B2EED">
        <w:rPr>
          <w:rFonts w:eastAsia="Cambria"/>
        </w:rPr>
        <w:t>r</w:t>
      </w:r>
      <w:r w:rsidRPr="003B2EED">
        <w:rPr>
          <w:rFonts w:eastAsia="Cambria"/>
        </w:rPr>
        <w:t>ecurrence</w:t>
      </w:r>
    </w:p>
    <w:p w:rsidR="002900A2" w:rsidRPr="00B05CC9" w:rsidRDefault="002900A2" w:rsidP="003B2EED">
      <w:r w:rsidRPr="00B05CC9">
        <w:t xml:space="preserve">Following front-line therapy, approximately 20% of women will have a first platinum-resistant recurrence within </w:t>
      </w:r>
      <w:r w:rsidRPr="00B05CC9">
        <w:rPr>
          <w:rFonts w:eastAsia="SymbolMT" w:cs="SymbolMT"/>
        </w:rPr>
        <w:t xml:space="preserve">&lt; </w:t>
      </w:r>
      <w:r w:rsidRPr="00B05CC9">
        <w:t xml:space="preserve">6 months after completing platinum therapy. Once the disease returns, a complete remission is very unlikely and women face repeated therapeutic interventions as long as the disease is responsive or </w:t>
      </w:r>
      <w:r w:rsidR="0079183F">
        <w:t>can be stabilis</w:t>
      </w:r>
      <w:r w:rsidRPr="00B05CC9">
        <w:t>ed by treatments before going on to end-of-life supportive care. Recurrence is incurable and treatment measures are essentially palliative. Recurrent disease is classified into three groups</w:t>
      </w:r>
      <w:r w:rsidR="0079183F">
        <w:t>:</w:t>
      </w:r>
      <w:r w:rsidRPr="00B05CC9">
        <w:t xml:space="preserve"> platinum-sensitive if the disease recurs more than 6 months after previous platinum therapy;</w:t>
      </w:r>
      <w:r w:rsidR="00B51A1A">
        <w:t xml:space="preserve"> </w:t>
      </w:r>
      <w:r w:rsidRPr="00B05CC9">
        <w:t>platinum-resistant if the disease recurs less than 6 months after previous platinum therapy; and platinum-refractory if the disease progresses during induction platinum therapy.</w:t>
      </w:r>
      <w:r w:rsidR="00B51A1A">
        <w:t xml:space="preserve"> </w:t>
      </w:r>
      <w:r w:rsidRPr="00B05CC9">
        <w:t xml:space="preserve">In the latter two groups, </w:t>
      </w:r>
      <w:proofErr w:type="spellStart"/>
      <w:r w:rsidRPr="00B05CC9">
        <w:t>platinums</w:t>
      </w:r>
      <w:proofErr w:type="spellEnd"/>
      <w:r w:rsidRPr="00B05CC9">
        <w:t xml:space="preserve"> are generally deemed toxic and not sufficiently useful to be part of the treatment plan. This classification is highly prognostic and is important in determining optimal chemotherapeutic treatment options. Treatment is with single</w:t>
      </w:r>
      <w:r w:rsidR="0079183F">
        <w:t xml:space="preserve"> </w:t>
      </w:r>
      <w:r w:rsidRPr="00B05CC9">
        <w:t>agent, non-platinum chemotherapeutic agents such as</w:t>
      </w:r>
      <w:r w:rsidRPr="00B05CC9">
        <w:br/>
      </w:r>
      <w:proofErr w:type="spellStart"/>
      <w:r w:rsidRPr="00B05CC9">
        <w:t>pegylated</w:t>
      </w:r>
      <w:proofErr w:type="spellEnd"/>
      <w:r w:rsidRPr="00B05CC9">
        <w:t xml:space="preserve"> liposomal doxorubicin (PLD), </w:t>
      </w:r>
      <w:proofErr w:type="spellStart"/>
      <w:r w:rsidRPr="00B05CC9">
        <w:t>topotecan</w:t>
      </w:r>
      <w:proofErr w:type="spellEnd"/>
      <w:r w:rsidRPr="00B05CC9">
        <w:t xml:space="preserve"> and paclitaxel.</w:t>
      </w:r>
      <w:r w:rsidR="00B51A1A">
        <w:t xml:space="preserve"> </w:t>
      </w:r>
      <w:r w:rsidRPr="00B05CC9">
        <w:t xml:space="preserve">Overall, the prognosis for platinum-resistant recurrence is poor, with response rates to current therapies at best ranging from 10% to 20%, with few durable responses, median progression-free survival (PFS) ranging from 2 </w:t>
      </w:r>
      <w:r w:rsidR="0079183F">
        <w:t>to</w:t>
      </w:r>
      <w:r w:rsidRPr="00B05CC9">
        <w:rPr>
          <w:rFonts w:eastAsia="SymbolMT" w:cs="SymbolMT"/>
        </w:rPr>
        <w:t xml:space="preserve"> </w:t>
      </w:r>
      <w:r w:rsidRPr="00B05CC9">
        <w:t xml:space="preserve">5 months, and median overall survival (OS) </w:t>
      </w:r>
      <w:r w:rsidR="0079183F">
        <w:rPr>
          <w:rFonts w:eastAsia="SymbolMT" w:cs="SymbolMT"/>
        </w:rPr>
        <w:t>≤</w:t>
      </w:r>
      <w:r w:rsidRPr="00B05CC9">
        <w:rPr>
          <w:rFonts w:eastAsia="SymbolMT" w:cs="SymbolMT"/>
        </w:rPr>
        <w:t xml:space="preserve"> </w:t>
      </w:r>
      <w:r w:rsidRPr="00B05CC9">
        <w:t>12 months.</w:t>
      </w:r>
      <w:r w:rsidR="00B51A1A">
        <w:t xml:space="preserve"> </w:t>
      </w:r>
      <w:r w:rsidRPr="00B05CC9">
        <w:t>Hence, there is still an ongoing need to fi</w:t>
      </w:r>
      <w:r w:rsidR="0079183F">
        <w:t>nd novel treatments that maximis</w:t>
      </w:r>
      <w:r w:rsidRPr="00B05CC9">
        <w:t>e PFS and improve symptoms in patients with platinum-resistant ovarian cancer.</w:t>
      </w:r>
    </w:p>
    <w:p w:rsidR="002900A2" w:rsidRPr="00B05CC9" w:rsidRDefault="002900A2" w:rsidP="003B2EED">
      <w:pPr>
        <w:pStyle w:val="Heading4"/>
      </w:pPr>
      <w:bookmarkStart w:id="45" w:name="_Toc393534432"/>
      <w:r w:rsidRPr="00B05CC9">
        <w:t xml:space="preserve">Activity of </w:t>
      </w:r>
      <w:proofErr w:type="spellStart"/>
      <w:r w:rsidRPr="00B05CC9">
        <w:t>Bevacizumab</w:t>
      </w:r>
      <w:proofErr w:type="spellEnd"/>
      <w:r w:rsidRPr="00B05CC9">
        <w:t xml:space="preserve"> in </w:t>
      </w:r>
      <w:r w:rsidR="004B1C15">
        <w:t>o</w:t>
      </w:r>
      <w:r w:rsidRPr="00B05CC9">
        <w:t xml:space="preserve">varian </w:t>
      </w:r>
      <w:r w:rsidR="004B1C15">
        <w:t>c</w:t>
      </w:r>
      <w:r w:rsidRPr="00B05CC9">
        <w:t>ancer</w:t>
      </w:r>
      <w:bookmarkEnd w:id="45"/>
    </w:p>
    <w:p w:rsidR="002900A2" w:rsidRPr="00B05CC9" w:rsidRDefault="002900A2" w:rsidP="003B2EED">
      <w:proofErr w:type="spellStart"/>
      <w:r w:rsidRPr="00B05CC9">
        <w:t>Bevacizumab</w:t>
      </w:r>
      <w:proofErr w:type="spellEnd"/>
      <w:r w:rsidRPr="00B05CC9">
        <w:t xml:space="preserve"> has been approved in the EU and Australia</w:t>
      </w:r>
      <w:r w:rsidR="0079183F" w:rsidRPr="00B05CC9">
        <w:t>, but not in the USA and Canada,</w:t>
      </w:r>
      <w:r w:rsidR="0079183F">
        <w:t xml:space="preserve"> </w:t>
      </w:r>
      <w:r w:rsidRPr="00B05CC9">
        <w:t>for initial treatment and for the treatment of recurrent, platinum-sensitive disease on the basis of studies showing a clinically significant increase in Progression-Free Survival (PFS) with significant toxicity but no increase in Overall Survival (OS).</w:t>
      </w:r>
    </w:p>
    <w:p w:rsidR="002900A2" w:rsidRPr="00B05CC9" w:rsidRDefault="002900A2" w:rsidP="003B2EED">
      <w:proofErr w:type="spellStart"/>
      <w:r w:rsidRPr="00B05CC9">
        <w:t>Bevacizumab</w:t>
      </w:r>
      <w:proofErr w:type="spellEnd"/>
      <w:r w:rsidRPr="00B05CC9">
        <w:t xml:space="preserve"> has also shown activity in recurrent platinum-resistant disease in three </w:t>
      </w:r>
      <w:r w:rsidR="0079183F">
        <w:t>P</w:t>
      </w:r>
      <w:r w:rsidRPr="00B05CC9">
        <w:t>hase II studies. In the first, Study GOG-0107D</w:t>
      </w:r>
      <w:r w:rsidR="00920597">
        <w:rPr>
          <w:rStyle w:val="FootnoteReference"/>
        </w:rPr>
        <w:footnoteReference w:id="2"/>
      </w:r>
      <w:r w:rsidRPr="00B05CC9">
        <w:t xml:space="preserve">, both platinum-sensitive and platinum-resistant patients were included with a response rate (RR) of 20% (13 of 62), a median </w:t>
      </w:r>
      <w:r w:rsidRPr="00B05CC9">
        <w:lastRenderedPageBreak/>
        <w:t>PFS of 4.7 months and OS of 17 months. In a second study, Study AVF2949g</w:t>
      </w:r>
      <w:r w:rsidR="00920597">
        <w:rPr>
          <w:rStyle w:val="FootnoteReference"/>
        </w:rPr>
        <w:footnoteReference w:id="3"/>
      </w:r>
      <w:r w:rsidRPr="00B05CC9">
        <w:t>, of only platinum-resistant patients (n=44), 7 (15%) patients responded but the trial was stopped because 5 patients experience</w:t>
      </w:r>
      <w:r w:rsidR="00E122E2">
        <w:t>d</w:t>
      </w:r>
      <w:r w:rsidRPr="00B05CC9">
        <w:t xml:space="preserve"> bowel perforation, one </w:t>
      </w:r>
      <w:r w:rsidR="0079183F">
        <w:t xml:space="preserve">which was </w:t>
      </w:r>
      <w:r w:rsidRPr="00B05CC9">
        <w:t>fatal. This adverse event was associated with three or more prior treatments. In the third trial</w:t>
      </w:r>
      <w:bookmarkStart w:id="46" w:name="_Ref411929070"/>
      <w:r w:rsidR="00920597">
        <w:rPr>
          <w:rStyle w:val="FootnoteReference"/>
        </w:rPr>
        <w:footnoteReference w:id="4"/>
      </w:r>
      <w:bookmarkEnd w:id="46"/>
      <w:r w:rsidR="00920597">
        <w:t>,</w:t>
      </w:r>
      <w:r w:rsidRPr="00B05CC9">
        <w:t xml:space="preserve"> using a combination of </w:t>
      </w:r>
      <w:proofErr w:type="spellStart"/>
      <w:r w:rsidRPr="00B05CC9">
        <w:t>bevacizumab</w:t>
      </w:r>
      <w:proofErr w:type="spellEnd"/>
      <w:r w:rsidRPr="00B05CC9">
        <w:t xml:space="preserve"> and daily oral cyclophosphamide, reported 17 partial responses (24%) in 70 patients with recurrent disease after two prior treatments (one platinum). The median Time to Progression (TTP) was 7.2 months and an OS of 16.9 m</w:t>
      </w:r>
      <w:r w:rsidR="0079183F">
        <w:t>on</w:t>
      </w:r>
      <w:r w:rsidRPr="00B05CC9">
        <w:t>ths. However 4 patients experienced a GI perforation or fistula.</w:t>
      </w:r>
    </w:p>
    <w:p w:rsidR="008037E0" w:rsidRPr="008037E0" w:rsidRDefault="002900A2" w:rsidP="008037E0">
      <w:pPr>
        <w:rPr>
          <w:b/>
        </w:rPr>
      </w:pPr>
      <w:r w:rsidRPr="008037E0">
        <w:rPr>
          <w:b/>
        </w:rPr>
        <w:t>Comment</w:t>
      </w:r>
      <w:r w:rsidR="008037E0" w:rsidRPr="008037E0">
        <w:rPr>
          <w:b/>
        </w:rPr>
        <w:t>:</w:t>
      </w:r>
    </w:p>
    <w:p w:rsidR="002900A2" w:rsidRPr="00B05CC9" w:rsidRDefault="002900A2" w:rsidP="008037E0">
      <w:pPr>
        <w:ind w:left="720"/>
      </w:pPr>
      <w:r w:rsidRPr="00920597">
        <w:t>The trial of Garcia et al</w:t>
      </w:r>
      <w:r w:rsidR="00920597" w:rsidRPr="00920597">
        <w:rPr>
          <w:vertAlign w:val="superscript"/>
        </w:rPr>
        <w:fldChar w:fldCharType="begin"/>
      </w:r>
      <w:r w:rsidR="00920597" w:rsidRPr="00920597">
        <w:rPr>
          <w:vertAlign w:val="superscript"/>
        </w:rPr>
        <w:instrText xml:space="preserve"> NOTEREF _Ref411929070 \h  \* MERGEFORMAT </w:instrText>
      </w:r>
      <w:r w:rsidR="00920597" w:rsidRPr="00920597">
        <w:rPr>
          <w:vertAlign w:val="superscript"/>
        </w:rPr>
      </w:r>
      <w:r w:rsidR="00920597" w:rsidRPr="00920597">
        <w:rPr>
          <w:vertAlign w:val="superscript"/>
        </w:rPr>
        <w:fldChar w:fldCharType="separate"/>
      </w:r>
      <w:r w:rsidR="0045430B">
        <w:rPr>
          <w:vertAlign w:val="superscript"/>
        </w:rPr>
        <w:t>4</w:t>
      </w:r>
      <w:r w:rsidR="00920597" w:rsidRPr="00920597">
        <w:rPr>
          <w:vertAlign w:val="superscript"/>
        </w:rPr>
        <w:fldChar w:fldCharType="end"/>
      </w:r>
      <w:r w:rsidRPr="00920597">
        <w:t xml:space="preserve"> was not</w:t>
      </w:r>
      <w:r w:rsidRPr="00B05CC9">
        <w:t xml:space="preserve"> referred to in the Clinical Overview.</w:t>
      </w:r>
    </w:p>
    <w:p w:rsidR="002900A2" w:rsidRPr="00B05CC9" w:rsidRDefault="002900A2" w:rsidP="003B2EED">
      <w:pPr>
        <w:pStyle w:val="Heading4"/>
      </w:pPr>
      <w:bookmarkStart w:id="47" w:name="_Toc393534433"/>
      <w:r w:rsidRPr="00B05CC9">
        <w:t xml:space="preserve">Rationale for </w:t>
      </w:r>
      <w:r w:rsidR="00451D82">
        <w:t>u</w:t>
      </w:r>
      <w:r w:rsidRPr="00B05CC9">
        <w:t xml:space="preserve">se of </w:t>
      </w:r>
      <w:proofErr w:type="spellStart"/>
      <w:r w:rsidRPr="00B05CC9">
        <w:t>Bevacizumab</w:t>
      </w:r>
      <w:proofErr w:type="spellEnd"/>
      <w:r w:rsidRPr="00B05CC9">
        <w:t xml:space="preserve"> in </w:t>
      </w:r>
      <w:r w:rsidR="00451D82">
        <w:t>p</w:t>
      </w:r>
      <w:r w:rsidRPr="00B05CC9">
        <w:t xml:space="preserve">hase III </w:t>
      </w:r>
      <w:r w:rsidR="003B2EED">
        <w:t>s</w:t>
      </w:r>
      <w:r w:rsidRPr="00B05CC9">
        <w:t xml:space="preserve">tudy of </w:t>
      </w:r>
      <w:r w:rsidR="003B2EED">
        <w:t>r</w:t>
      </w:r>
      <w:r w:rsidRPr="00B05CC9">
        <w:t xml:space="preserve">ecurrent, </w:t>
      </w:r>
      <w:r w:rsidR="003B2EED">
        <w:t>p</w:t>
      </w:r>
      <w:r w:rsidRPr="00B05CC9">
        <w:t xml:space="preserve">latinum-resistant </w:t>
      </w:r>
      <w:r w:rsidR="003B2EED">
        <w:t>o</w:t>
      </w:r>
      <w:r w:rsidRPr="00B05CC9">
        <w:t xml:space="preserve">varian </w:t>
      </w:r>
      <w:r w:rsidR="003B2EED">
        <w:t>c</w:t>
      </w:r>
      <w:r w:rsidRPr="00B05CC9">
        <w:t>ancer</w:t>
      </w:r>
      <w:bookmarkEnd w:id="47"/>
    </w:p>
    <w:p w:rsidR="002900A2" w:rsidRPr="00B05CC9" w:rsidRDefault="002900A2" w:rsidP="003B2EED">
      <w:pPr>
        <w:rPr>
          <w:rFonts w:ascii="Calibri" w:hAnsi="Calibri"/>
        </w:rPr>
      </w:pPr>
      <w:r w:rsidRPr="00B05CC9">
        <w:t xml:space="preserve">The basis for this Phase III study was the promising activity of </w:t>
      </w:r>
      <w:proofErr w:type="spellStart"/>
      <w:r w:rsidRPr="00B05CC9">
        <w:t>bevacizumab</w:t>
      </w:r>
      <w:proofErr w:type="spellEnd"/>
      <w:r w:rsidRPr="00B05CC9">
        <w:t xml:space="preserve"> seen in the recurrent disease setting, both with platinum-sensitive and platinum-resistant disease</w:t>
      </w:r>
      <w:r w:rsidRPr="00B05CC9">
        <w:rPr>
          <w:rFonts w:ascii="Calibri" w:hAnsi="Calibri"/>
        </w:rPr>
        <w:t>.</w:t>
      </w:r>
    </w:p>
    <w:p w:rsidR="00260E27" w:rsidRDefault="002900A2" w:rsidP="003B2EED">
      <w:r w:rsidRPr="003B2EED">
        <w:rPr>
          <w:b/>
        </w:rPr>
        <w:t>Comment and</w:t>
      </w:r>
      <w:r w:rsidR="004B1C15" w:rsidRPr="003B2EED">
        <w:rPr>
          <w:b/>
        </w:rPr>
        <w:t xml:space="preserve"> </w:t>
      </w:r>
      <w:r w:rsidR="00451D82">
        <w:rPr>
          <w:b/>
        </w:rPr>
        <w:t>c</w:t>
      </w:r>
      <w:r w:rsidR="004B1C15" w:rsidRPr="003B2EED">
        <w:rPr>
          <w:b/>
        </w:rPr>
        <w:t>onclusion</w:t>
      </w:r>
      <w:r w:rsidR="004B1C15">
        <w:t>:</w:t>
      </w:r>
    </w:p>
    <w:p w:rsidR="002900A2" w:rsidRPr="00B05CC9" w:rsidRDefault="002900A2" w:rsidP="008037E0">
      <w:pPr>
        <w:ind w:left="720"/>
      </w:pPr>
      <w:r w:rsidRPr="00B05CC9">
        <w:t xml:space="preserve">The Phase II studies above in recurrent platinum-resistant disease show </w:t>
      </w:r>
      <w:proofErr w:type="spellStart"/>
      <w:r w:rsidRPr="00B05CC9">
        <w:t>bevacizumab</w:t>
      </w:r>
      <w:proofErr w:type="spellEnd"/>
      <w:r w:rsidRPr="00B05CC9">
        <w:t xml:space="preserve"> has activity in a clinical situation in which there are few therapeutic options and in which the symptoms are often severe and distressing. Although the occurrence of bowel perforation with this agent is of concern, the incidence of this event should be reduced by not enrolling patients in the study who have </w:t>
      </w:r>
      <w:r w:rsidR="004B1C15">
        <w:t>more than two prior treatments.</w:t>
      </w:r>
    </w:p>
    <w:p w:rsidR="002900A2" w:rsidRPr="00B05CC9" w:rsidRDefault="002900A2" w:rsidP="008037E0">
      <w:pPr>
        <w:ind w:left="720"/>
      </w:pPr>
      <w:r w:rsidRPr="00B05CC9">
        <w:t xml:space="preserve">For these reasons </w:t>
      </w:r>
      <w:r w:rsidR="0079183F">
        <w:t>the evaluator</w:t>
      </w:r>
      <w:r w:rsidRPr="00B05CC9">
        <w:t xml:space="preserve"> f</w:t>
      </w:r>
      <w:r w:rsidR="0079183F">
        <w:t>ound</w:t>
      </w:r>
      <w:r w:rsidRPr="00B05CC9">
        <w:t xml:space="preserve"> the rationale acceptable.</w:t>
      </w:r>
    </w:p>
    <w:p w:rsidR="00605AD4" w:rsidRDefault="00605AD4" w:rsidP="008037E0">
      <w:pPr>
        <w:pStyle w:val="Heading4"/>
      </w:pPr>
      <w:r w:rsidRPr="00605AD4">
        <w:t>Contents of the clinical dossier</w:t>
      </w:r>
    </w:p>
    <w:p w:rsidR="002900A2" w:rsidRPr="00B05CC9" w:rsidRDefault="002900A2" w:rsidP="008037E0">
      <w:bookmarkStart w:id="48" w:name="_Toc378951682"/>
      <w:r w:rsidRPr="00B05CC9">
        <w:t>The clinical dossier documented a development program of a pivotal trial relating to the proposed extension of indications.</w:t>
      </w:r>
      <w:bookmarkEnd w:id="48"/>
    </w:p>
    <w:p w:rsidR="002900A2" w:rsidRPr="00B05CC9" w:rsidRDefault="002900A2" w:rsidP="008037E0">
      <w:r w:rsidRPr="00B05CC9">
        <w:t>The submission contained the following clinical information:</w:t>
      </w:r>
    </w:p>
    <w:p w:rsidR="002900A2" w:rsidRPr="00B51A1A" w:rsidRDefault="002900A2" w:rsidP="008037E0">
      <w:pPr>
        <w:pStyle w:val="ListBullet"/>
      </w:pPr>
      <w:r w:rsidRPr="00B51A1A">
        <w:t>Report BO17706, PopPK AVITA,</w:t>
      </w:r>
      <w:r w:rsidR="00B51A1A">
        <w:t xml:space="preserve"> ‘</w:t>
      </w:r>
      <w:r w:rsidRPr="00B51A1A">
        <w:t>Population Pharmacokinetic Analysis BO17706</w:t>
      </w:r>
      <w:r w:rsidR="00B51A1A">
        <w:t xml:space="preserve"> ‘</w:t>
      </w:r>
      <w:r w:rsidRPr="00B51A1A">
        <w:t xml:space="preserve">, March 28, 2008. This report was a post-hoc analysis (Bayesian feedback) of the pharmacokinetics data from 100 patients in Study BO17706 that evaluated </w:t>
      </w:r>
      <w:proofErr w:type="spellStart"/>
      <w:r w:rsidRPr="00B51A1A">
        <w:t>bevacizumab</w:t>
      </w:r>
      <w:proofErr w:type="spellEnd"/>
      <w:r w:rsidRPr="00B51A1A">
        <w:t xml:space="preserve"> in the treatment o</w:t>
      </w:r>
      <w:r w:rsidR="008037E0">
        <w:t>f metastatic pancreatic cancer</w:t>
      </w:r>
    </w:p>
    <w:p w:rsidR="002900A2" w:rsidRPr="00B51A1A" w:rsidRDefault="002900A2" w:rsidP="008037E0">
      <w:pPr>
        <w:pStyle w:val="ListBullet"/>
      </w:pPr>
      <w:r w:rsidRPr="00B51A1A">
        <w:t>Report 1031796,</w:t>
      </w:r>
      <w:r w:rsidR="00B51A1A">
        <w:t xml:space="preserve"> ‘</w:t>
      </w:r>
      <w:r w:rsidRPr="00B51A1A">
        <w:t xml:space="preserve">Population Pharmacokinetic Analysis of </w:t>
      </w:r>
      <w:proofErr w:type="spellStart"/>
      <w:r w:rsidRPr="00B51A1A">
        <w:t>Bevacizumab</w:t>
      </w:r>
      <w:proofErr w:type="spellEnd"/>
      <w:r w:rsidRPr="00B51A1A">
        <w:t>. Final Analysis Report</w:t>
      </w:r>
      <w:r w:rsidR="00B51A1A">
        <w:t xml:space="preserve"> ‘</w:t>
      </w:r>
      <w:r w:rsidRPr="00B51A1A">
        <w:t>, January 9, 2008.This report added data from 224 patients to that in a previous report that included 533 patients.</w:t>
      </w:r>
      <w:r w:rsidR="00B51A1A">
        <w:t xml:space="preserve"> </w:t>
      </w:r>
      <w:r w:rsidRPr="00B51A1A">
        <w:t xml:space="preserve">The cancers were those for which </w:t>
      </w:r>
      <w:proofErr w:type="spellStart"/>
      <w:r w:rsidRPr="00B51A1A">
        <w:t>bevacizumab</w:t>
      </w:r>
      <w:proofErr w:type="spellEnd"/>
      <w:r w:rsidRPr="00B51A1A">
        <w:t xml:space="preserve"> was or became an approved indication, namely breast, renal cell, colorectal and non-small cell lung cancers.</w:t>
      </w:r>
      <w:r w:rsidR="0079183F" w:rsidRPr="00B51A1A">
        <w:t xml:space="preserve"> </w:t>
      </w:r>
      <w:proofErr w:type="spellStart"/>
      <w:r w:rsidRPr="00B51A1A">
        <w:t>Bevacizumab</w:t>
      </w:r>
      <w:proofErr w:type="spellEnd"/>
      <w:r w:rsidRPr="00B51A1A">
        <w:t xml:space="preserve"> pharmacokinetics were characterised by a 2-compartment model with first order elimination, the data having been analysed using non-li</w:t>
      </w:r>
      <w:r w:rsidR="008037E0">
        <w:t>near effects modelling (NONMEM)</w:t>
      </w:r>
    </w:p>
    <w:p w:rsidR="002900A2" w:rsidRPr="00B51A1A" w:rsidRDefault="0079183F" w:rsidP="00B51A1A">
      <w:pPr>
        <w:pStyle w:val="ListBullet"/>
      </w:pPr>
      <w:r w:rsidRPr="00B51A1A">
        <w:t>P</w:t>
      </w:r>
      <w:r w:rsidR="00920597">
        <w:t>i</w:t>
      </w:r>
      <w:r w:rsidR="002900A2" w:rsidRPr="00B51A1A">
        <w:t>votal study report, Study MO22224 (AURELIA), entitled</w:t>
      </w:r>
      <w:r w:rsidR="00B51A1A">
        <w:t xml:space="preserve"> ‘</w:t>
      </w:r>
      <w:r w:rsidR="002900A2" w:rsidRPr="008037E0">
        <w:rPr>
          <w:i/>
        </w:rPr>
        <w:t xml:space="preserve">A multi-centre, open-label, randomised, two-arm phase III trial of </w:t>
      </w:r>
      <w:proofErr w:type="spellStart"/>
      <w:r w:rsidR="002900A2" w:rsidRPr="008037E0">
        <w:rPr>
          <w:i/>
        </w:rPr>
        <w:t>bevacizumab</w:t>
      </w:r>
      <w:proofErr w:type="spellEnd"/>
      <w:r w:rsidR="002900A2" w:rsidRPr="008037E0">
        <w:rPr>
          <w:i/>
        </w:rPr>
        <w:t xml:space="preserve"> plus chemotherapy versus chemotherapy alone in patients with platinum-resistant, epithelial ovarian, fallopian tube or primary peritoneal cancer. Report No. 1054737, August 2013.</w:t>
      </w:r>
      <w:r w:rsidR="008037E0">
        <w:t>’</w:t>
      </w:r>
    </w:p>
    <w:p w:rsidR="00260E27" w:rsidRPr="008037E0" w:rsidRDefault="004B1C15" w:rsidP="008037E0">
      <w:pPr>
        <w:rPr>
          <w:b/>
        </w:rPr>
      </w:pPr>
      <w:r w:rsidRPr="008037E0">
        <w:rPr>
          <w:b/>
        </w:rPr>
        <w:lastRenderedPageBreak/>
        <w:t>Comment:</w:t>
      </w:r>
    </w:p>
    <w:p w:rsidR="002900A2" w:rsidRPr="00B05CC9" w:rsidRDefault="002900A2" w:rsidP="008037E0">
      <w:pPr>
        <w:ind w:left="720"/>
        <w:rPr>
          <w:rStyle w:val="QuoteChar"/>
          <w:rFonts w:eastAsia="Cambria"/>
        </w:rPr>
      </w:pPr>
      <w:r w:rsidRPr="00B05CC9">
        <w:t xml:space="preserve">No PK data in patients with ovarian cancer was provided. Instead it was argued in the application that since the PK results for </w:t>
      </w:r>
      <w:proofErr w:type="spellStart"/>
      <w:r w:rsidRPr="00B05CC9">
        <w:t>bevacizumab</w:t>
      </w:r>
      <w:proofErr w:type="spellEnd"/>
      <w:r w:rsidRPr="00B05CC9">
        <w:t xml:space="preserve"> were comparable in the cancers previously studied and approved (metastatic CRC, breast cancer, renal cell cancer and Grade IV </w:t>
      </w:r>
      <w:proofErr w:type="spellStart"/>
      <w:r w:rsidRPr="00B05CC9">
        <w:t>gliomas</w:t>
      </w:r>
      <w:proofErr w:type="spellEnd"/>
      <w:r w:rsidRPr="00B05CC9">
        <w:t>)</w:t>
      </w:r>
      <w:proofErr w:type="gramStart"/>
      <w:r w:rsidRPr="00B05CC9">
        <w:t>,</w:t>
      </w:r>
      <w:proofErr w:type="gramEnd"/>
      <w:r w:rsidRPr="00B05CC9">
        <w:t xml:space="preserve"> no PK data were needed in ovarian cancer. This could be argued for the first line treatment of ovarian cancer patients with </w:t>
      </w:r>
      <w:proofErr w:type="spellStart"/>
      <w:r w:rsidRPr="00B05CC9">
        <w:t>bevacizumab</w:t>
      </w:r>
      <w:proofErr w:type="spellEnd"/>
      <w:r w:rsidRPr="00B05CC9">
        <w:t xml:space="preserve"> combined with carboplatin and paclitaxel since most patients have initial surgery with tumo</w:t>
      </w:r>
      <w:r w:rsidR="00B51A1A">
        <w:t>u</w:t>
      </w:r>
      <w:r w:rsidRPr="00B05CC9">
        <w:t xml:space="preserve">r removal to a maximum extent (minimum residual disease). However in recurrent disease, both platinum-sensitive and platinum- resistant, malignant ascites is often present. In the pivotal study in this application, 31.3% of all patients at baseline had ascites. The concern is that these patients may be at higher risk of toxicity from </w:t>
      </w:r>
      <w:proofErr w:type="spellStart"/>
      <w:r w:rsidRPr="00B05CC9">
        <w:t>bevacizumab</w:t>
      </w:r>
      <w:proofErr w:type="spellEnd"/>
      <w:r w:rsidRPr="00B05CC9">
        <w:t xml:space="preserve"> because of possible accumulation of the drug in the </w:t>
      </w:r>
      <w:proofErr w:type="spellStart"/>
      <w:r w:rsidRPr="00B05CC9">
        <w:t>ascitic</w:t>
      </w:r>
      <w:proofErr w:type="spellEnd"/>
      <w:r w:rsidRPr="00B05CC9">
        <w:t xml:space="preserve"> fluid (a third space) with leakage back into the systemic circulation. This concern that no PK data were available for patients with malignant ascites was raised by the evaluator in the evaluation of </w:t>
      </w:r>
      <w:proofErr w:type="spellStart"/>
      <w:r w:rsidRPr="00B05CC9">
        <w:t>bevacizumab</w:t>
      </w:r>
      <w:proofErr w:type="spellEnd"/>
      <w:r w:rsidRPr="00B05CC9">
        <w:t xml:space="preserve"> for first line therapy and a statement to this effect was placed in the Product Information (PI). This issue is considered again in the </w:t>
      </w:r>
      <w:r w:rsidRPr="00B51A1A">
        <w:rPr>
          <w:i/>
        </w:rPr>
        <w:t>Safety</w:t>
      </w:r>
      <w:r w:rsidRPr="00B05CC9">
        <w:t xml:space="preserve"> section of this </w:t>
      </w:r>
      <w:r w:rsidR="00B51A1A" w:rsidRPr="00B05CC9">
        <w:t xml:space="preserve">evaluation report </w:t>
      </w:r>
      <w:r w:rsidRPr="00B05CC9">
        <w:t xml:space="preserve">and in </w:t>
      </w:r>
      <w:r w:rsidR="00B51A1A" w:rsidRPr="00B51A1A">
        <w:rPr>
          <w:i/>
        </w:rPr>
        <w:t>Clinical q</w:t>
      </w:r>
      <w:r w:rsidRPr="00B51A1A">
        <w:rPr>
          <w:i/>
        </w:rPr>
        <w:t>uestions</w:t>
      </w:r>
      <w:r w:rsidRPr="00B05CC9">
        <w:t xml:space="preserve"> to </w:t>
      </w:r>
      <w:r w:rsidR="00B51A1A">
        <w:t>the sponsor</w:t>
      </w:r>
      <w:r w:rsidRPr="00B05CC9">
        <w:t>.</w:t>
      </w:r>
    </w:p>
    <w:p w:rsidR="00605AD4" w:rsidRDefault="00605AD4" w:rsidP="008037E0">
      <w:pPr>
        <w:pStyle w:val="Heading4"/>
      </w:pPr>
      <w:r w:rsidRPr="00605AD4">
        <w:t>Paediatric data</w:t>
      </w:r>
    </w:p>
    <w:p w:rsidR="002900A2" w:rsidRPr="00B05CC9" w:rsidRDefault="002900A2" w:rsidP="008D1B25">
      <w:r w:rsidRPr="00B05CC9">
        <w:t xml:space="preserve">The submission did not include paediatric data. The TGA </w:t>
      </w:r>
      <w:r w:rsidRPr="00B51A1A">
        <w:t>Form</w:t>
      </w:r>
      <w:r w:rsidR="00B51A1A" w:rsidRPr="00B51A1A">
        <w:t xml:space="preserve"> ‘</w:t>
      </w:r>
      <w:r w:rsidRPr="00B51A1A">
        <w:t>Paediatric Development Plan</w:t>
      </w:r>
      <w:r w:rsidR="00B10524">
        <w:t xml:space="preserve"> </w:t>
      </w:r>
      <w:r w:rsidR="00B51A1A">
        <w:t>’</w:t>
      </w:r>
      <w:r w:rsidRPr="00B51A1A">
        <w:t>indicated the sponsor has a waiver from presenting a Paediatric</w:t>
      </w:r>
      <w:r w:rsidRPr="00B05CC9">
        <w:t xml:space="preserve"> Investigation Plan in the EU (</w:t>
      </w:r>
      <w:r w:rsidRPr="00B51A1A">
        <w:t>EU Class Waiver</w:t>
      </w:r>
      <w:r w:rsidRPr="00B05CC9">
        <w:rPr>
          <w:rFonts w:cs="Arial"/>
        </w:rPr>
        <w:t xml:space="preserve"> # P/63/2010) on the grounds that the requested indication is not applicabl</w:t>
      </w:r>
      <w:r w:rsidR="004B1C15">
        <w:rPr>
          <w:rFonts w:cs="Arial"/>
        </w:rPr>
        <w:t>e to the paediatric population.</w:t>
      </w:r>
    </w:p>
    <w:p w:rsidR="00605AD4" w:rsidRDefault="00605AD4" w:rsidP="008D1B25">
      <w:pPr>
        <w:pStyle w:val="Heading4"/>
      </w:pPr>
      <w:r w:rsidRPr="00605AD4">
        <w:t>Good clinical practice</w:t>
      </w:r>
    </w:p>
    <w:p w:rsidR="003A094D" w:rsidRPr="008D1B25" w:rsidRDefault="002900A2" w:rsidP="008D1B25">
      <w:pPr>
        <w:pStyle w:val="Heading5"/>
        <w:rPr>
          <w:rFonts w:eastAsia="Cambria"/>
        </w:rPr>
      </w:pPr>
      <w:bookmarkStart w:id="49" w:name="_Toc241374282"/>
      <w:r w:rsidRPr="008D1B25">
        <w:rPr>
          <w:rFonts w:eastAsia="Cambria"/>
        </w:rPr>
        <w:t>Local regulations/</w:t>
      </w:r>
      <w:r w:rsidR="004B1C15" w:rsidRPr="008D1B25">
        <w:rPr>
          <w:rFonts w:eastAsia="Cambria"/>
        </w:rPr>
        <w:t>d</w:t>
      </w:r>
      <w:r w:rsidRPr="008D1B25">
        <w:rPr>
          <w:rFonts w:eastAsia="Cambria"/>
        </w:rPr>
        <w:t>eclaration of Helsinki</w:t>
      </w:r>
    </w:p>
    <w:p w:rsidR="00621D8D" w:rsidRDefault="002900A2" w:rsidP="008D1B25">
      <w:r w:rsidRPr="00B05CC9">
        <w:t>The investigators were to ensure that this study was conducted in full conformity with the principles of the</w:t>
      </w:r>
      <w:r w:rsidR="00B51A1A">
        <w:t xml:space="preserve"> ‘</w:t>
      </w:r>
      <w:r w:rsidRPr="00B05CC9">
        <w:t>Declaration of Helsinki</w:t>
      </w:r>
      <w:r w:rsidR="00B51A1A">
        <w:t>’</w:t>
      </w:r>
      <w:r w:rsidR="00621D8D">
        <w:t xml:space="preserve"> </w:t>
      </w:r>
      <w:r w:rsidRPr="00B05CC9">
        <w:t xml:space="preserve">or with the laws and regulations of the country in which the research was conducted whichever afforded the greater protection to the individual. The study was to adhere to the principles outlined in </w:t>
      </w:r>
      <w:r w:rsidR="00B51A1A">
        <w:t>‘</w:t>
      </w:r>
      <w:r w:rsidRPr="00B05CC9">
        <w:t>Guideline for Good Clinical Practice</w:t>
      </w:r>
      <w:r w:rsidR="00260E27">
        <w:t xml:space="preserve"> </w:t>
      </w:r>
      <w:r w:rsidRPr="00B05CC9">
        <w:t>ICH Tripartite Guideline (January 1997)</w:t>
      </w:r>
      <w:r w:rsidR="00260E27">
        <w:t>’</w:t>
      </w:r>
      <w:r w:rsidRPr="00B05CC9">
        <w:t xml:space="preserve"> or with local law if it afforded greater protection to the patient. For studies conducted in the EU/EEA countries, the investigator was to ensure compliance with the EU Clinical Trial Directive (2001/20/EC). In other countries where</w:t>
      </w:r>
      <w:r w:rsidR="00B51A1A">
        <w:t xml:space="preserve"> ‘</w:t>
      </w:r>
      <w:r w:rsidRPr="00B05CC9">
        <w:t>Guideline for Good Clinical Practice</w:t>
      </w:r>
      <w:r w:rsidR="00B51A1A">
        <w:t xml:space="preserve">’ </w:t>
      </w:r>
      <w:r w:rsidRPr="00B05CC9">
        <w:t>exists Roche and the investigators were to ensure</w:t>
      </w:r>
      <w:r w:rsidR="00B10524">
        <w:t xml:space="preserve"> </w:t>
      </w:r>
      <w:r w:rsidRPr="00B05CC9">
        <w:t>adherence to the stated provisions.</w:t>
      </w:r>
    </w:p>
    <w:p w:rsidR="003A094D" w:rsidRPr="008D1B25" w:rsidRDefault="002900A2" w:rsidP="008D1B25">
      <w:pPr>
        <w:pStyle w:val="Heading5"/>
        <w:rPr>
          <w:rFonts w:eastAsia="Cambria"/>
        </w:rPr>
      </w:pPr>
      <w:r w:rsidRPr="008D1B25">
        <w:rPr>
          <w:rFonts w:eastAsia="Cambria"/>
        </w:rPr>
        <w:t xml:space="preserve">Informed </w:t>
      </w:r>
      <w:r w:rsidR="004B1C15" w:rsidRPr="008D1B25">
        <w:rPr>
          <w:rFonts w:eastAsia="Cambria"/>
        </w:rPr>
        <w:t>c</w:t>
      </w:r>
      <w:r w:rsidRPr="008D1B25">
        <w:rPr>
          <w:rFonts w:eastAsia="Cambria"/>
        </w:rPr>
        <w:t>onsent</w:t>
      </w:r>
    </w:p>
    <w:p w:rsidR="00621D8D" w:rsidRDefault="002900A2" w:rsidP="008D1B25">
      <w:r w:rsidRPr="00B05CC9">
        <w:t>It</w:t>
      </w:r>
      <w:r w:rsidR="00B51A1A">
        <w:t xml:space="preserve"> </w:t>
      </w:r>
      <w:r w:rsidRPr="00B05CC9">
        <w:t>was the responsibility of the investigator, or a person designated by the investigator (if acceptable by local regulations), to obtain written informed consent from each patient participating in this study, after adequate explanation of the aims, methods, anticipated benefits, and potential hazards of the study. The investigator or designee was also required to explain that the patients are completely free to refuse to enter the study or to withdraw from it at any time, for any reason.</w:t>
      </w:r>
    </w:p>
    <w:p w:rsidR="003A094D" w:rsidRPr="00621D8D" w:rsidRDefault="002900A2" w:rsidP="008D1B25">
      <w:pPr>
        <w:pStyle w:val="Heading5"/>
        <w:rPr>
          <w:rStyle w:val="Heading5Char"/>
          <w:rFonts w:eastAsia="Cambria"/>
          <w:b/>
          <w:bCs/>
          <w:i/>
        </w:rPr>
      </w:pPr>
      <w:r w:rsidRPr="00621D8D">
        <w:rPr>
          <w:rStyle w:val="Heading5Char"/>
          <w:rFonts w:eastAsia="Cambria"/>
          <w:b/>
          <w:bCs/>
          <w:i/>
        </w:rPr>
        <w:t xml:space="preserve">Independent </w:t>
      </w:r>
      <w:r w:rsidR="004B1C15">
        <w:rPr>
          <w:rStyle w:val="Heading5Char"/>
          <w:rFonts w:eastAsia="Cambria"/>
          <w:b/>
          <w:bCs/>
          <w:i/>
        </w:rPr>
        <w:t>e</w:t>
      </w:r>
      <w:r w:rsidRPr="00621D8D">
        <w:rPr>
          <w:rStyle w:val="Heading5Char"/>
          <w:rFonts w:eastAsia="Cambria"/>
          <w:b/>
          <w:bCs/>
          <w:i/>
        </w:rPr>
        <w:t xml:space="preserve">thics </w:t>
      </w:r>
      <w:r w:rsidR="004B1C15">
        <w:rPr>
          <w:rStyle w:val="Heading5Char"/>
          <w:rFonts w:eastAsia="Cambria"/>
          <w:b/>
          <w:bCs/>
          <w:i/>
        </w:rPr>
        <w:t>c</w:t>
      </w:r>
      <w:r w:rsidRPr="00621D8D">
        <w:rPr>
          <w:rStyle w:val="Heading5Char"/>
          <w:rFonts w:eastAsia="Cambria"/>
          <w:b/>
          <w:bCs/>
          <w:i/>
        </w:rPr>
        <w:t>ommittee</w:t>
      </w:r>
    </w:p>
    <w:p w:rsidR="002900A2" w:rsidRPr="00B05CC9" w:rsidRDefault="002900A2" w:rsidP="008D1B25">
      <w:r w:rsidRPr="00B05CC9">
        <w:t xml:space="preserve">The protocol and any accompanying material provided to the patient (such as patient information sheets or descriptions of the study used to obtain informed consent) as well as any advertising or compensation given to the patient, were to be submitted by the investigator to an Independent Ethics Committee. Approval from the committee had to be obtained before starting the study, and was to be documented in a letter to the investigator specifying the date on which the committee met and granted the approval. </w:t>
      </w:r>
      <w:r w:rsidRPr="00B05CC9">
        <w:lastRenderedPageBreak/>
        <w:t>Any modifications made to the protocol after receipt of the Independent Ethics Committee approval had also to be submitted by the investigator to the Committee in accordance with local procedures and regulatory requirements.</w:t>
      </w:r>
    </w:p>
    <w:p w:rsidR="008E7846" w:rsidRPr="00254787" w:rsidRDefault="008E7846" w:rsidP="008D1B25">
      <w:pPr>
        <w:pStyle w:val="Heading3"/>
      </w:pPr>
      <w:bookmarkStart w:id="50" w:name="_Toc415046259"/>
      <w:bookmarkEnd w:id="49"/>
      <w:r w:rsidRPr="00254787">
        <w:t>Pharmacokinetics</w:t>
      </w:r>
      <w:bookmarkEnd w:id="36"/>
      <w:bookmarkEnd w:id="40"/>
      <w:bookmarkEnd w:id="41"/>
      <w:bookmarkEnd w:id="42"/>
      <w:bookmarkEnd w:id="50"/>
    </w:p>
    <w:p w:rsidR="00605AD4" w:rsidRDefault="00605AD4" w:rsidP="008D1B25">
      <w:pPr>
        <w:pStyle w:val="Heading4"/>
      </w:pPr>
      <w:r>
        <w:t>Studies</w:t>
      </w:r>
      <w:r w:rsidR="004B1C15">
        <w:t xml:space="preserve"> providing pharmacokinetic data</w:t>
      </w:r>
    </w:p>
    <w:p w:rsidR="002900A2" w:rsidRPr="00B05CC9" w:rsidRDefault="00B51A1A" w:rsidP="008D1B25">
      <w:r>
        <w:t>Table 1</w:t>
      </w:r>
      <w:r w:rsidR="002900A2" w:rsidRPr="00B05CC9">
        <w:t xml:space="preserve"> shows the studies relating to each population pharmacokinetic </w:t>
      </w:r>
      <w:r>
        <w:t xml:space="preserve">(PK) </w:t>
      </w:r>
      <w:r w:rsidR="002900A2" w:rsidRPr="00B05CC9">
        <w:t>topic and the location of each study summary.</w:t>
      </w:r>
    </w:p>
    <w:p w:rsidR="002900A2" w:rsidRPr="00B05CC9" w:rsidRDefault="002900A2" w:rsidP="008D1B25">
      <w:r w:rsidRPr="00B05CC9">
        <w:t>No PK studies were performed on patients with ovarian cancer and no changes are proposed to the PK section of the Product Information.</w:t>
      </w:r>
      <w:r w:rsidR="009A7C11">
        <w:t xml:space="preserve"> </w:t>
      </w:r>
      <w:r w:rsidRPr="00B05CC9">
        <w:t xml:space="preserve">The justification for not conducting PK studies in the population of patients with recurrent platinum-resistant ovarian cancer was the same as that used in the previous applications to register the indications for first-line treatment of EOC, and the treatment of recurrent platinum-sensitive disease. In summary the justification was the similarity of the PK parameters of </w:t>
      </w:r>
      <w:proofErr w:type="spellStart"/>
      <w:r w:rsidRPr="00B05CC9">
        <w:t>beva</w:t>
      </w:r>
      <w:r w:rsidR="009A7C11">
        <w:t>c</w:t>
      </w:r>
      <w:r w:rsidRPr="00B05CC9">
        <w:t>izumab</w:t>
      </w:r>
      <w:proofErr w:type="spellEnd"/>
      <w:r w:rsidRPr="00B05CC9">
        <w:t xml:space="preserve"> when used to treat a variety of solid cancers such as metastatic colon cancer, metastatic renal cancer and breast cancer. As well, the PK properties of </w:t>
      </w:r>
      <w:proofErr w:type="spellStart"/>
      <w:r w:rsidRPr="00B05CC9">
        <w:t>bevacizumab</w:t>
      </w:r>
      <w:proofErr w:type="spellEnd"/>
      <w:r w:rsidRPr="00B05CC9">
        <w:t xml:space="preserve"> in the treatment of patients with renal cell cancer were consistent with a model based on an extensive data base of PK data in a Population PK Analysis. The latter had been submitted to the TGA with the application for first line treatment of EOC.</w:t>
      </w:r>
    </w:p>
    <w:p w:rsidR="002900A2" w:rsidRPr="00B05CC9" w:rsidRDefault="002900A2" w:rsidP="008D1B25">
      <w:pPr>
        <w:pStyle w:val="TableTitle"/>
      </w:pPr>
      <w:bookmarkStart w:id="51" w:name="_Ref272426277"/>
      <w:bookmarkStart w:id="52" w:name="_Ref379018550"/>
      <w:bookmarkStart w:id="53" w:name="_Toc393534388"/>
      <w:proofErr w:type="gramStart"/>
      <w:r w:rsidRPr="00B05CC9">
        <w:t xml:space="preserve">Table </w:t>
      </w:r>
      <w:fldSimple w:instr=" SEQ Table \* ARABIC ">
        <w:r w:rsidR="0045430B">
          <w:rPr>
            <w:noProof/>
          </w:rPr>
          <w:t>1</w:t>
        </w:r>
      </w:fldSimple>
      <w:bookmarkEnd w:id="51"/>
      <w:r w:rsidRPr="00B05CC9">
        <w:t>.</w:t>
      </w:r>
      <w:proofErr w:type="gramEnd"/>
      <w:r w:rsidRPr="00B05CC9">
        <w:t xml:space="preserve"> Submitted pharmacokinetic studies</w:t>
      </w:r>
      <w:bookmarkEnd w:id="52"/>
      <w:bookmarkEnd w:id="53"/>
    </w:p>
    <w:tbl>
      <w:tblPr>
        <w:tblStyle w:val="TableTGAblue"/>
        <w:tblW w:w="8363" w:type="dxa"/>
        <w:tblLayout w:type="fixed"/>
        <w:tblLook w:val="04A0" w:firstRow="1" w:lastRow="0" w:firstColumn="1" w:lastColumn="0" w:noHBand="0" w:noVBand="1"/>
      </w:tblPr>
      <w:tblGrid>
        <w:gridCol w:w="1843"/>
        <w:gridCol w:w="3969"/>
        <w:gridCol w:w="2551"/>
      </w:tblGrid>
      <w:tr w:rsidR="005D311F" w:rsidRPr="00B05CC9" w:rsidTr="008D1B25">
        <w:trPr>
          <w:cnfStyle w:val="100000000000" w:firstRow="1" w:lastRow="0" w:firstColumn="0" w:lastColumn="0" w:oddVBand="0" w:evenVBand="0" w:oddHBand="0" w:evenHBand="0" w:firstRowFirstColumn="0" w:firstRowLastColumn="0" w:lastRowFirstColumn="0" w:lastRowLastColumn="0"/>
        </w:trPr>
        <w:tc>
          <w:tcPr>
            <w:tcW w:w="1843" w:type="dxa"/>
          </w:tcPr>
          <w:p w:rsidR="005D311F" w:rsidRPr="00A264A8" w:rsidRDefault="005D311F" w:rsidP="008D1B25">
            <w:r w:rsidRPr="00A264A8">
              <w:t>PK topic</w:t>
            </w:r>
          </w:p>
        </w:tc>
        <w:tc>
          <w:tcPr>
            <w:tcW w:w="3969" w:type="dxa"/>
          </w:tcPr>
          <w:p w:rsidR="005D311F" w:rsidRPr="00A264A8" w:rsidRDefault="005D311F" w:rsidP="008D1B25">
            <w:r w:rsidRPr="00A264A8">
              <w:t>Subtopic</w:t>
            </w:r>
          </w:p>
        </w:tc>
        <w:tc>
          <w:tcPr>
            <w:tcW w:w="2551" w:type="dxa"/>
          </w:tcPr>
          <w:p w:rsidR="005D311F" w:rsidRPr="00A264A8" w:rsidRDefault="005D311F" w:rsidP="008D1B25">
            <w:r w:rsidRPr="00A264A8">
              <w:t>Study ID</w:t>
            </w:r>
          </w:p>
        </w:tc>
      </w:tr>
      <w:tr w:rsidR="005D311F" w:rsidRPr="00B05CC9" w:rsidTr="008D1B25">
        <w:tc>
          <w:tcPr>
            <w:tcW w:w="1843" w:type="dxa"/>
            <w:vMerge w:val="restart"/>
          </w:tcPr>
          <w:p w:rsidR="005D311F" w:rsidRPr="00A264A8" w:rsidRDefault="005D311F" w:rsidP="008D1B25">
            <w:r w:rsidRPr="00A264A8">
              <w:t>Population PK analyses</w:t>
            </w:r>
          </w:p>
        </w:tc>
        <w:tc>
          <w:tcPr>
            <w:tcW w:w="3969" w:type="dxa"/>
          </w:tcPr>
          <w:p w:rsidR="005D311F" w:rsidRPr="00A264A8" w:rsidRDefault="005D311F" w:rsidP="008D1B25">
            <w:r w:rsidRPr="00A264A8">
              <w:t>Healthy subjects</w:t>
            </w:r>
          </w:p>
        </w:tc>
        <w:tc>
          <w:tcPr>
            <w:tcW w:w="2551" w:type="dxa"/>
          </w:tcPr>
          <w:p w:rsidR="005D311F" w:rsidRPr="00A264A8" w:rsidRDefault="005D311F" w:rsidP="008D1B25">
            <w:r>
              <w:t>N/A</w:t>
            </w:r>
          </w:p>
        </w:tc>
      </w:tr>
      <w:tr w:rsidR="005D311F" w:rsidRPr="00B05CC9" w:rsidTr="008D1B25">
        <w:tc>
          <w:tcPr>
            <w:tcW w:w="1843" w:type="dxa"/>
            <w:vMerge/>
          </w:tcPr>
          <w:p w:rsidR="005D311F" w:rsidRPr="00A264A8" w:rsidRDefault="005D311F" w:rsidP="008D1B25"/>
        </w:tc>
        <w:tc>
          <w:tcPr>
            <w:tcW w:w="3969" w:type="dxa"/>
          </w:tcPr>
          <w:p w:rsidR="005D311F" w:rsidRPr="00A264A8" w:rsidRDefault="005D311F" w:rsidP="008D1B25">
            <w:r w:rsidRPr="00A264A8">
              <w:t>Target population</w:t>
            </w:r>
          </w:p>
        </w:tc>
        <w:tc>
          <w:tcPr>
            <w:tcW w:w="2551" w:type="dxa"/>
          </w:tcPr>
          <w:p w:rsidR="005D311F" w:rsidRPr="00A264A8" w:rsidRDefault="005D311F" w:rsidP="008D1B25">
            <w:r>
              <w:t>N/A</w:t>
            </w:r>
          </w:p>
        </w:tc>
      </w:tr>
      <w:tr w:rsidR="005D311F" w:rsidRPr="00B05CC9" w:rsidTr="008D1B25">
        <w:tc>
          <w:tcPr>
            <w:tcW w:w="1843" w:type="dxa"/>
            <w:vMerge/>
          </w:tcPr>
          <w:p w:rsidR="005D311F" w:rsidRPr="00A264A8" w:rsidRDefault="005D311F" w:rsidP="008D1B25"/>
        </w:tc>
        <w:tc>
          <w:tcPr>
            <w:tcW w:w="3969" w:type="dxa"/>
          </w:tcPr>
          <w:p w:rsidR="005D311F" w:rsidRPr="00A264A8" w:rsidRDefault="004B1C15" w:rsidP="008D1B25">
            <w:r>
              <w:t>Other</w:t>
            </w:r>
            <w:r w:rsidR="008D1B25">
              <w:t xml:space="preserve"> </w:t>
            </w:r>
            <w:r w:rsidR="008D1B25">
              <w:br/>
            </w:r>
            <w:r w:rsidR="005D311F" w:rsidRPr="00A264A8">
              <w:t xml:space="preserve">To develop a population PK model describing </w:t>
            </w:r>
            <w:r w:rsidR="005D311F" w:rsidRPr="00A264A8">
              <w:rPr>
                <w:rFonts w:cs="TimesNewRomanPSMT"/>
              </w:rPr>
              <w:t xml:space="preserve">the PKs of </w:t>
            </w:r>
            <w:proofErr w:type="spellStart"/>
            <w:r w:rsidR="005D311F" w:rsidRPr="00A264A8">
              <w:rPr>
                <w:rFonts w:cs="TimesNewRomanPSMT"/>
              </w:rPr>
              <w:t>bevacizumab</w:t>
            </w:r>
            <w:proofErr w:type="spellEnd"/>
            <w:r w:rsidR="005D311F" w:rsidRPr="00A264A8">
              <w:rPr>
                <w:rFonts w:cs="TimesNewRomanPSMT"/>
              </w:rPr>
              <w:t xml:space="preserve"> by pooling 10 clinical trials (</w:t>
            </w:r>
            <w:r w:rsidR="005D311F">
              <w:rPr>
                <w:rFonts w:cs="TimesNewRomanPSMT"/>
              </w:rPr>
              <w:t>P</w:t>
            </w:r>
            <w:r w:rsidR="00277534">
              <w:rPr>
                <w:rFonts w:cs="TimesNewRomanPSMT"/>
              </w:rPr>
              <w:t>hase I, II and III).</w:t>
            </w:r>
            <w:r w:rsidR="008D1B25">
              <w:rPr>
                <w:rFonts w:cs="TimesNewRomanPSMT"/>
              </w:rPr>
              <w:br/>
            </w:r>
            <w:r w:rsidR="005D311F" w:rsidRPr="00A264A8">
              <w:t xml:space="preserve">To test whether the PK of </w:t>
            </w:r>
            <w:proofErr w:type="spellStart"/>
            <w:r w:rsidR="005D311F" w:rsidRPr="00A264A8">
              <w:t>bevacizumab</w:t>
            </w:r>
            <w:proofErr w:type="spellEnd"/>
            <w:r w:rsidR="005D311F" w:rsidRPr="00A264A8">
              <w:t xml:space="preserve"> in subjects with metastatic pancreatic cancer is comparable to the previously </w:t>
            </w:r>
            <w:proofErr w:type="spellStart"/>
            <w:r w:rsidR="005D311F" w:rsidRPr="00A264A8">
              <w:t>analyzed</w:t>
            </w:r>
            <w:proofErr w:type="spellEnd"/>
            <w:r w:rsidR="005D311F" w:rsidRPr="00A264A8">
              <w:t xml:space="preserve"> populations.</w:t>
            </w:r>
          </w:p>
        </w:tc>
        <w:tc>
          <w:tcPr>
            <w:tcW w:w="2551" w:type="dxa"/>
          </w:tcPr>
          <w:p w:rsidR="005D311F" w:rsidRPr="00A264A8" w:rsidRDefault="005D311F" w:rsidP="008D1B25">
            <w:r w:rsidRPr="00A264A8">
              <w:t xml:space="preserve">Population PK Analysis of </w:t>
            </w:r>
            <w:proofErr w:type="spellStart"/>
            <w:r w:rsidRPr="00A264A8">
              <w:t>Bevacizumab</w:t>
            </w:r>
            <w:proofErr w:type="spellEnd"/>
            <w:r w:rsidR="008D1B25">
              <w:br/>
            </w:r>
            <w:r w:rsidRPr="00A264A8">
              <w:t>Final Analysis Report</w:t>
            </w:r>
            <w:r w:rsidR="008D1B25">
              <w:t xml:space="preserve"> </w:t>
            </w:r>
            <w:r w:rsidRPr="00A264A8">
              <w:t>1031796</w:t>
            </w:r>
            <w:r w:rsidR="008D1B25">
              <w:br/>
            </w:r>
            <w:r w:rsidRPr="00A264A8">
              <w:t>Population PK Analysis</w:t>
            </w:r>
            <w:r w:rsidR="008D1B25">
              <w:t xml:space="preserve"> </w:t>
            </w:r>
            <w:r w:rsidRPr="00A264A8">
              <w:t>BO17706</w:t>
            </w:r>
          </w:p>
        </w:tc>
      </w:tr>
    </w:tbl>
    <w:p w:rsidR="002900A2" w:rsidRPr="00B05CC9" w:rsidRDefault="00621D8D" w:rsidP="008D1B25">
      <w:pPr>
        <w:pStyle w:val="TableDescription"/>
      </w:pPr>
      <w:r>
        <w:t>N/A=not applicable</w:t>
      </w:r>
    </w:p>
    <w:p w:rsidR="002900A2" w:rsidRPr="00B05CC9" w:rsidRDefault="002900A2" w:rsidP="008D1B25">
      <w:r w:rsidRPr="00B05CC9">
        <w:t>None of the pharmacokinetic studies had deficiencies that excluded their results from consideration.</w:t>
      </w:r>
    </w:p>
    <w:p w:rsidR="00605AD4" w:rsidRDefault="00605AD4" w:rsidP="008D1B25">
      <w:pPr>
        <w:pStyle w:val="Heading3"/>
      </w:pPr>
      <w:bookmarkStart w:id="54" w:name="_Toc415046260"/>
      <w:r>
        <w:t>Evaluator’s conclusions on pharmacokinetics</w:t>
      </w:r>
      <w:bookmarkEnd w:id="54"/>
    </w:p>
    <w:p w:rsidR="002900A2" w:rsidRPr="00B05CC9" w:rsidRDefault="002900A2" w:rsidP="008D1B25">
      <w:r w:rsidRPr="00B05CC9">
        <w:t>No pharmacokinetic data were provided with this application. Justification included</w:t>
      </w:r>
      <w:r w:rsidR="00B51A1A">
        <w:t>:</w:t>
      </w:r>
    </w:p>
    <w:p w:rsidR="002900A2" w:rsidRPr="00B05CC9" w:rsidRDefault="002900A2" w:rsidP="008D1B25">
      <w:pPr>
        <w:pStyle w:val="Numberbullet0"/>
        <w:numPr>
          <w:ilvl w:val="0"/>
          <w:numId w:val="22"/>
        </w:numPr>
      </w:pPr>
      <w:r w:rsidRPr="00B05CC9">
        <w:t xml:space="preserve">The PK parameters of </w:t>
      </w:r>
      <w:proofErr w:type="spellStart"/>
      <w:r w:rsidRPr="00B05CC9">
        <w:t>bevacizumab</w:t>
      </w:r>
      <w:proofErr w:type="spellEnd"/>
      <w:r w:rsidRPr="00B05CC9">
        <w:t xml:space="preserve"> found in a variety of solid </w:t>
      </w:r>
      <w:r w:rsidR="000F70F6">
        <w:t>tumour</w:t>
      </w:r>
      <w:r w:rsidRPr="00B05CC9">
        <w:t>s were similar and would be expected to apply to t</w:t>
      </w:r>
      <w:r w:rsidR="00277534">
        <w:t>he present clinical population.</w:t>
      </w:r>
    </w:p>
    <w:p w:rsidR="002900A2" w:rsidRPr="00B05CC9" w:rsidRDefault="002900A2" w:rsidP="008D1B25">
      <w:pPr>
        <w:pStyle w:val="Numberbullet0"/>
        <w:numPr>
          <w:ilvl w:val="0"/>
          <w:numId w:val="22"/>
        </w:numPr>
      </w:pPr>
      <w:r w:rsidRPr="00B05CC9">
        <w:lastRenderedPageBreak/>
        <w:t xml:space="preserve">The predictions from Population PK modelling and the actual PK parameters found in patients with pancreatic cancer treated with </w:t>
      </w:r>
      <w:proofErr w:type="spellStart"/>
      <w:r w:rsidRPr="00B05CC9">
        <w:t>bevacizumab</w:t>
      </w:r>
      <w:proofErr w:type="spellEnd"/>
      <w:r w:rsidRPr="00B05CC9">
        <w:t xml:space="preserve"> (</w:t>
      </w:r>
      <w:proofErr w:type="spellStart"/>
      <w:r w:rsidRPr="00B05CC9">
        <w:t>Populatione</w:t>
      </w:r>
      <w:proofErr w:type="spellEnd"/>
      <w:r w:rsidRPr="00B05CC9">
        <w:t xml:space="preserve"> PK Analysis BO17706) were comparable.</w:t>
      </w:r>
    </w:p>
    <w:p w:rsidR="002900A2" w:rsidRPr="00B05CC9" w:rsidRDefault="002900A2" w:rsidP="008D1B25">
      <w:pPr>
        <w:pStyle w:val="Heading4"/>
      </w:pPr>
      <w:r w:rsidRPr="00B05CC9">
        <w:t xml:space="preserve">PK Deficiencies - Sponsor should comment (see </w:t>
      </w:r>
      <w:r w:rsidR="00B51A1A" w:rsidRPr="00B51A1A">
        <w:rPr>
          <w:i/>
        </w:rPr>
        <w:t>Clinical questions</w:t>
      </w:r>
      <w:r w:rsidR="00277534">
        <w:t>):</w:t>
      </w:r>
    </w:p>
    <w:p w:rsidR="002900A2" w:rsidRPr="00B51A1A" w:rsidRDefault="002900A2" w:rsidP="008D1B25">
      <w:pPr>
        <w:pStyle w:val="Numberbullet0"/>
        <w:numPr>
          <w:ilvl w:val="0"/>
          <w:numId w:val="23"/>
        </w:numPr>
      </w:pPr>
      <w:r w:rsidRPr="00B51A1A">
        <w:t xml:space="preserve">The PK parameters for </w:t>
      </w:r>
      <w:proofErr w:type="spellStart"/>
      <w:r w:rsidRPr="00B51A1A">
        <w:t>bevacizumab</w:t>
      </w:r>
      <w:proofErr w:type="spellEnd"/>
      <w:r w:rsidRPr="00B51A1A">
        <w:t xml:space="preserve"> in patients with malignant ascites may differ from patients with solid tumours who have </w:t>
      </w:r>
      <w:r w:rsidR="003A094D">
        <w:t>no ascites (see Pharmacokinetics in patients with malignant ascites, Attachment 2)</w:t>
      </w:r>
      <w:r w:rsidRPr="00B51A1A">
        <w:t>.</w:t>
      </w:r>
    </w:p>
    <w:p w:rsidR="00A264A8" w:rsidRPr="00B51A1A" w:rsidRDefault="002900A2" w:rsidP="008D1B25">
      <w:pPr>
        <w:pStyle w:val="Numberbullet0"/>
      </w:pPr>
      <w:r w:rsidRPr="00B51A1A">
        <w:t xml:space="preserve">A possible clinical effect of the reduced rate of clearance of </w:t>
      </w:r>
      <w:proofErr w:type="spellStart"/>
      <w:r w:rsidRPr="00B51A1A">
        <w:t>bevacizumab</w:t>
      </w:r>
      <w:proofErr w:type="spellEnd"/>
      <w:r w:rsidRPr="00B51A1A">
        <w:t xml:space="preserve"> by 40% from co-administered anti-cancer drugs as shown in the Population PK Analysis Report 1</w:t>
      </w:r>
      <w:r w:rsidR="00277534">
        <w:t>031796 has not been considered.</w:t>
      </w:r>
    </w:p>
    <w:p w:rsidR="002900A2" w:rsidRPr="00B51A1A" w:rsidRDefault="002900A2" w:rsidP="008D1B25">
      <w:pPr>
        <w:pStyle w:val="Numberbullet0"/>
      </w:pPr>
      <w:r w:rsidRPr="00B51A1A">
        <w:t xml:space="preserve">The Australian PI presents the results of the population PK analysis showing effects of low albumen and high tumour burden on the PK parameters of </w:t>
      </w:r>
      <w:proofErr w:type="spellStart"/>
      <w:r w:rsidRPr="00B51A1A">
        <w:t>bevacizamub</w:t>
      </w:r>
      <w:proofErr w:type="spellEnd"/>
      <w:r w:rsidR="00621D8D">
        <w:t xml:space="preserve"> </w:t>
      </w:r>
      <w:r w:rsidRPr="00B51A1A">
        <w:t xml:space="preserve">including clearance but does not mention co-administered anti-cancer drugs that slow the rate of clearance of </w:t>
      </w:r>
      <w:proofErr w:type="spellStart"/>
      <w:r w:rsidRPr="00B51A1A">
        <w:t>bevacizumab</w:t>
      </w:r>
      <w:proofErr w:type="spellEnd"/>
      <w:r w:rsidR="00277534">
        <w:t>.</w:t>
      </w:r>
    </w:p>
    <w:p w:rsidR="008E7846" w:rsidRDefault="008E7846" w:rsidP="008D1B25">
      <w:pPr>
        <w:pStyle w:val="Heading3"/>
      </w:pPr>
      <w:bookmarkStart w:id="55" w:name="_Toc196046481"/>
      <w:bookmarkStart w:id="56" w:name="_Toc247691520"/>
      <w:bookmarkStart w:id="57" w:name="_Toc314842503"/>
      <w:bookmarkStart w:id="58" w:name="_Toc415046261"/>
      <w:r w:rsidRPr="00254787">
        <w:t>Pharmacodynamics</w:t>
      </w:r>
      <w:bookmarkEnd w:id="37"/>
      <w:bookmarkEnd w:id="55"/>
      <w:bookmarkEnd w:id="56"/>
      <w:bookmarkEnd w:id="57"/>
      <w:bookmarkEnd w:id="58"/>
    </w:p>
    <w:p w:rsidR="00605AD4" w:rsidRPr="00B51A1A" w:rsidRDefault="00605AD4" w:rsidP="008D1B25">
      <w:pPr>
        <w:pStyle w:val="Heading4"/>
      </w:pPr>
      <w:r>
        <w:t>Studies providing pharmacodynamic data</w:t>
      </w:r>
    </w:p>
    <w:p w:rsidR="002900A2" w:rsidRPr="00A264A8" w:rsidRDefault="002900A2" w:rsidP="008D1B25">
      <w:r w:rsidRPr="00A264A8">
        <w:t xml:space="preserve">No pharmacodynamic (PD) data were included in the present application. The Australian PI gives the following information about those PD effects that are related to the anti-cancer action of </w:t>
      </w:r>
      <w:proofErr w:type="spellStart"/>
      <w:r w:rsidRPr="00A264A8">
        <w:t>bevacizumab</w:t>
      </w:r>
      <w:proofErr w:type="spellEnd"/>
      <w:r w:rsidRPr="00A264A8">
        <w:t>. No information is provided on those PD effects responsible for the drug’s toxicity.</w:t>
      </w:r>
      <w:r w:rsidR="00B51A1A">
        <w:t xml:space="preserve">  ‘</w:t>
      </w:r>
      <w:proofErr w:type="spellStart"/>
      <w:r w:rsidR="00B51A1A" w:rsidRPr="00A264A8">
        <w:rPr>
          <w:i/>
        </w:rPr>
        <w:t>Avastin</w:t>
      </w:r>
      <w:proofErr w:type="spellEnd"/>
      <w:r w:rsidR="00B51A1A" w:rsidRPr="00A264A8">
        <w:rPr>
          <w:i/>
        </w:rPr>
        <w:t xml:space="preserve"> </w:t>
      </w:r>
      <w:r w:rsidRPr="00A264A8">
        <w:rPr>
          <w:i/>
        </w:rPr>
        <w:t>inhibits the binding of VEGF to its receptors, Flt 1 and KDR, on the surface of endothelial cells.</w:t>
      </w:r>
      <w:r w:rsidR="00B51A1A">
        <w:rPr>
          <w:i/>
        </w:rPr>
        <w:t xml:space="preserve"> </w:t>
      </w:r>
      <w:r w:rsidRPr="00A264A8">
        <w:rPr>
          <w:i/>
        </w:rPr>
        <w:t>Neutralising the biologic activity of VEGF reduces the vascularisation of tumours, thereby inhibiting tumour growth.</w:t>
      </w:r>
      <w:r w:rsidR="00B51A1A">
        <w:rPr>
          <w:i/>
        </w:rPr>
        <w:t xml:space="preserve"> </w:t>
      </w:r>
      <w:r w:rsidRPr="00A264A8">
        <w:rPr>
          <w:i/>
        </w:rPr>
        <w:t xml:space="preserve">Administration of </w:t>
      </w:r>
      <w:proofErr w:type="spellStart"/>
      <w:r w:rsidRPr="00A264A8">
        <w:rPr>
          <w:i/>
        </w:rPr>
        <w:t>bevacizumab</w:t>
      </w:r>
      <w:proofErr w:type="spellEnd"/>
      <w:r w:rsidRPr="00A264A8">
        <w:rPr>
          <w:i/>
        </w:rPr>
        <w:t xml:space="preserve"> or its parental murine antibody to </w:t>
      </w:r>
      <w:proofErr w:type="spellStart"/>
      <w:r w:rsidRPr="00A264A8">
        <w:rPr>
          <w:i/>
        </w:rPr>
        <w:t>xenotransplant</w:t>
      </w:r>
      <w:proofErr w:type="spellEnd"/>
      <w:r w:rsidRPr="00A264A8">
        <w:rPr>
          <w:i/>
        </w:rPr>
        <w:t xml:space="preserve"> models of cancer in nude mice resulted in extensive anti-tumour activity in human cancers, including colon, breast, pancreas and prostate.</w:t>
      </w:r>
      <w:r w:rsidR="00B51A1A">
        <w:rPr>
          <w:i/>
        </w:rPr>
        <w:t xml:space="preserve"> </w:t>
      </w:r>
      <w:r w:rsidRPr="00A264A8">
        <w:rPr>
          <w:i/>
        </w:rPr>
        <w:t>Metastatic disease progression was inhibited and microvascular permeability was reduced</w:t>
      </w:r>
      <w:r w:rsidRPr="00A264A8">
        <w:t>.</w:t>
      </w:r>
      <w:r w:rsidR="00277534">
        <w:t>’</w:t>
      </w:r>
    </w:p>
    <w:p w:rsidR="00605AD4" w:rsidRDefault="00605AD4" w:rsidP="008D1B25">
      <w:pPr>
        <w:pStyle w:val="Heading4"/>
      </w:pPr>
      <w:r>
        <w:t>Evaluator’s conclusions on pharmacodynamics</w:t>
      </w:r>
    </w:p>
    <w:p w:rsidR="002900A2" w:rsidRPr="00B05CC9" w:rsidRDefault="002900A2" w:rsidP="008D1B25">
      <w:r w:rsidRPr="00B05CC9">
        <w:t>No pharmacodynamics data were submitted</w:t>
      </w:r>
      <w:r w:rsidR="00B51A1A">
        <w:t>.</w:t>
      </w:r>
    </w:p>
    <w:p w:rsidR="008E7846" w:rsidRDefault="00605AD4" w:rsidP="008D1B25">
      <w:pPr>
        <w:pStyle w:val="Heading3"/>
      </w:pPr>
      <w:bookmarkStart w:id="59" w:name="_Toc415046262"/>
      <w:r>
        <w:t>Dosage selection for the pivotal studies</w:t>
      </w:r>
      <w:bookmarkEnd w:id="59"/>
    </w:p>
    <w:p w:rsidR="002900A2" w:rsidRPr="00B05CC9" w:rsidRDefault="002900A2" w:rsidP="008D1B25">
      <w:r w:rsidRPr="00B05CC9">
        <w:t xml:space="preserve">The </w:t>
      </w:r>
      <w:r w:rsidR="00B51A1A">
        <w:t>sponsor’</w:t>
      </w:r>
      <w:r w:rsidR="00905D1A">
        <w:t xml:space="preserve"> </w:t>
      </w:r>
      <w:r w:rsidRPr="00B05CC9">
        <w:t>Summ</w:t>
      </w:r>
      <w:r w:rsidR="00B51A1A">
        <w:t>ary of Clinical Efficacy (SCE)</w:t>
      </w:r>
      <w:r w:rsidRPr="00B05CC9">
        <w:t xml:space="preserve"> gives the following justification for the selection in the pivotal </w:t>
      </w:r>
      <w:r w:rsidR="00B51A1A">
        <w:t>S</w:t>
      </w:r>
      <w:r w:rsidRPr="00B05CC9">
        <w:t xml:space="preserve">tudy MO22224 of a dose of </w:t>
      </w:r>
      <w:proofErr w:type="spellStart"/>
      <w:r w:rsidRPr="00B05CC9">
        <w:t>bevacizumab</w:t>
      </w:r>
      <w:proofErr w:type="spellEnd"/>
      <w:r w:rsidRPr="00B05CC9">
        <w:t xml:space="preserve"> of 10 mg/kg </w:t>
      </w:r>
      <w:r w:rsidR="00B51A1A">
        <w:t>every two weeks (</w:t>
      </w:r>
      <w:r w:rsidRPr="00B05CC9">
        <w:t>q2w</w:t>
      </w:r>
      <w:r w:rsidR="00B51A1A">
        <w:t>)</w:t>
      </w:r>
      <w:r w:rsidRPr="00B05CC9">
        <w:t xml:space="preserve"> or 15 mg/kg </w:t>
      </w:r>
      <w:r w:rsidR="00B51A1A">
        <w:t>every three weeks (</w:t>
      </w:r>
      <w:r w:rsidRPr="00B05CC9">
        <w:t>q3w</w:t>
      </w:r>
      <w:r w:rsidR="00B51A1A">
        <w:t>)</w:t>
      </w:r>
      <w:r w:rsidR="00277534">
        <w:t>.</w:t>
      </w:r>
    </w:p>
    <w:p w:rsidR="002900A2" w:rsidRPr="00B51A1A" w:rsidRDefault="00B51A1A" w:rsidP="00A264A8">
      <w:pPr>
        <w:rPr>
          <w:i/>
        </w:rPr>
      </w:pPr>
      <w:r>
        <w:t>‘</w:t>
      </w:r>
      <w:r w:rsidR="002900A2" w:rsidRPr="00B51A1A">
        <w:rPr>
          <w:i/>
        </w:rPr>
        <w:t xml:space="preserve">This dosage was selected to be within the linear pharmacokinetic range resulting in serum </w:t>
      </w:r>
      <w:proofErr w:type="spellStart"/>
      <w:r w:rsidR="002900A2" w:rsidRPr="00B51A1A">
        <w:rPr>
          <w:i/>
        </w:rPr>
        <w:t>bevacizumab</w:t>
      </w:r>
      <w:proofErr w:type="spellEnd"/>
      <w:r w:rsidR="002900A2" w:rsidRPr="00B51A1A">
        <w:rPr>
          <w:i/>
        </w:rPr>
        <w:t xml:space="preserve"> concentrations in excess relative to circulating VEGF concentrations (3–20 mg/kg every 2 or 3 weeks, or 1.5-10 mg/kg/week).</w:t>
      </w:r>
    </w:p>
    <w:p w:rsidR="002900A2" w:rsidRPr="00B51A1A" w:rsidRDefault="002900A2" w:rsidP="00A264A8">
      <w:pPr>
        <w:rPr>
          <w:i/>
        </w:rPr>
      </w:pPr>
      <w:r w:rsidRPr="00B51A1A">
        <w:rPr>
          <w:i/>
        </w:rPr>
        <w:t xml:space="preserve">The dose of </w:t>
      </w:r>
      <w:proofErr w:type="spellStart"/>
      <w:r w:rsidRPr="00B51A1A">
        <w:rPr>
          <w:i/>
        </w:rPr>
        <w:t>bevacizumab</w:t>
      </w:r>
      <w:proofErr w:type="spellEnd"/>
      <w:r w:rsidRPr="00B51A1A">
        <w:rPr>
          <w:i/>
        </w:rPr>
        <w:t xml:space="preserve"> 10 mg/kg IV q2w or </w:t>
      </w:r>
      <w:proofErr w:type="spellStart"/>
      <w:r w:rsidRPr="00B51A1A">
        <w:rPr>
          <w:i/>
        </w:rPr>
        <w:t>bevacizumab</w:t>
      </w:r>
      <w:proofErr w:type="spellEnd"/>
      <w:r w:rsidRPr="00B51A1A">
        <w:rPr>
          <w:i/>
        </w:rPr>
        <w:t xml:space="preserve"> 15 mg/kg IV q3w, which is equivalent to a dose of 5 mg/kg/week, is the most commonly used dose of </w:t>
      </w:r>
      <w:proofErr w:type="spellStart"/>
      <w:r w:rsidRPr="00B51A1A">
        <w:rPr>
          <w:i/>
        </w:rPr>
        <w:t>bevacizumab</w:t>
      </w:r>
      <w:proofErr w:type="spellEnd"/>
      <w:r w:rsidRPr="00B51A1A">
        <w:rPr>
          <w:i/>
        </w:rPr>
        <w:t xml:space="preserve"> that has been shown to be effective in clinical trials across multiple </w:t>
      </w:r>
      <w:r w:rsidR="000F70F6">
        <w:rPr>
          <w:i/>
        </w:rPr>
        <w:t>tumour</w:t>
      </w:r>
      <w:r w:rsidRPr="00B51A1A">
        <w:rPr>
          <w:i/>
        </w:rPr>
        <w:t xml:space="preserve"> types (e.g. non-small cell lung cancer, metastatic breast cancer, advanced renal cell carcinoma, metastatic carcinoma of the colon or rectum, and front-line and recurrent treatment of EOC, FTC, and PPC) [references were given in the SCE)</w:t>
      </w:r>
      <w:r w:rsidR="00277534">
        <w:rPr>
          <w:i/>
        </w:rPr>
        <w:t>.</w:t>
      </w:r>
    </w:p>
    <w:p w:rsidR="002900A2" w:rsidRPr="00B51A1A" w:rsidRDefault="002900A2" w:rsidP="00A264A8">
      <w:r w:rsidRPr="00B51A1A">
        <w:rPr>
          <w:i/>
        </w:rPr>
        <w:lastRenderedPageBreak/>
        <w:t xml:space="preserve">Phase II trials GOG-170D and AVF2949g, in ovarian cancer patients demonstrated that a dose of </w:t>
      </w:r>
      <w:proofErr w:type="spellStart"/>
      <w:r w:rsidRPr="00B51A1A">
        <w:rPr>
          <w:i/>
        </w:rPr>
        <w:t>bevacizumab</w:t>
      </w:r>
      <w:proofErr w:type="spellEnd"/>
      <w:r w:rsidRPr="00B51A1A">
        <w:rPr>
          <w:i/>
        </w:rPr>
        <w:t xml:space="preserve"> equivalent to 15 mg/kg q3w had activity in the recurrent setting. Furthermore, it is the currently approved dose in the front-line and recurrent platinum-sensitive ovarian cancer settings the EU and Australia</w:t>
      </w:r>
      <w:r w:rsidR="00B51A1A">
        <w:t xml:space="preserve"> ‘</w:t>
      </w:r>
      <w:r w:rsidRPr="00B05CC9">
        <w:t xml:space="preserve">. </w:t>
      </w:r>
      <w:r w:rsidRPr="00B51A1A">
        <w:t>(Note: These indications for ovarian cancer are not approved in the USA).</w:t>
      </w:r>
    </w:p>
    <w:p w:rsidR="00AD561C" w:rsidRPr="008037E0" w:rsidRDefault="00277534" w:rsidP="008037E0">
      <w:pPr>
        <w:rPr>
          <w:b/>
        </w:rPr>
      </w:pPr>
      <w:r w:rsidRPr="008037E0">
        <w:rPr>
          <w:b/>
        </w:rPr>
        <w:t>Comment:</w:t>
      </w:r>
    </w:p>
    <w:p w:rsidR="002900A2" w:rsidRPr="00B05CC9" w:rsidRDefault="002900A2" w:rsidP="008037E0">
      <w:pPr>
        <w:ind w:left="720"/>
      </w:pPr>
      <w:r w:rsidRPr="00B05CC9">
        <w:t xml:space="preserve">After the above </w:t>
      </w:r>
      <w:proofErr w:type="gramStart"/>
      <w:r w:rsidRPr="00B05CC9">
        <w:t>text in the SCE are</w:t>
      </w:r>
      <w:proofErr w:type="gramEnd"/>
      <w:r w:rsidRPr="00B05CC9">
        <w:t xml:space="preserve"> the following sentences</w:t>
      </w:r>
      <w:r w:rsidR="00B51A1A">
        <w:t xml:space="preserve"> ‘</w:t>
      </w:r>
      <w:proofErr w:type="spellStart"/>
      <w:r w:rsidRPr="008037E0">
        <w:rPr>
          <w:i/>
        </w:rPr>
        <w:t>Bevacizumab</w:t>
      </w:r>
      <w:proofErr w:type="spellEnd"/>
      <w:r w:rsidRPr="008037E0">
        <w:rPr>
          <w:i/>
        </w:rPr>
        <w:t xml:space="preserve"> should be administered in combination with chemotherapy until PD or unacceptable toxicity. </w:t>
      </w:r>
      <w:proofErr w:type="spellStart"/>
      <w:r w:rsidRPr="008037E0">
        <w:rPr>
          <w:i/>
        </w:rPr>
        <w:t>Bevacizumab</w:t>
      </w:r>
      <w:proofErr w:type="spellEnd"/>
      <w:r w:rsidRPr="008037E0">
        <w:rPr>
          <w:i/>
        </w:rPr>
        <w:t xml:space="preserve"> may be continued as a single agent if chemotherapy is discontinued earlier.</w:t>
      </w:r>
      <w:r w:rsidR="00277534">
        <w:t>’</w:t>
      </w:r>
    </w:p>
    <w:p w:rsidR="002900A2" w:rsidRPr="00B05CC9" w:rsidRDefault="002900A2" w:rsidP="008037E0">
      <w:pPr>
        <w:ind w:left="720"/>
      </w:pPr>
      <w:r w:rsidRPr="00B05CC9">
        <w:t xml:space="preserve">The first usage is acceptable, but the second is ambiguous since the wording allows </w:t>
      </w:r>
      <w:proofErr w:type="spellStart"/>
      <w:r w:rsidRPr="00B05CC9">
        <w:t>bevacizumab</w:t>
      </w:r>
      <w:proofErr w:type="spellEnd"/>
      <w:r w:rsidRPr="00B05CC9">
        <w:t xml:space="preserve"> to be continued if the patient were receiving chemotherapy plus </w:t>
      </w:r>
      <w:proofErr w:type="spellStart"/>
      <w:r w:rsidRPr="00B05CC9">
        <w:t>bevacizumab</w:t>
      </w:r>
      <w:proofErr w:type="spellEnd"/>
      <w:r w:rsidRPr="00B05CC9">
        <w:t xml:space="preserve">, and then the chemotherapy was stopped early, say for toxicity. The CSR on the other hand specifically stated that only patients in the chemotherapy alone arm were to cross over on disease progression to receive monotherapy with </w:t>
      </w:r>
      <w:proofErr w:type="spellStart"/>
      <w:r w:rsidRPr="00B05CC9">
        <w:t>bevacizumab</w:t>
      </w:r>
      <w:proofErr w:type="spellEnd"/>
      <w:r w:rsidRPr="00B05CC9">
        <w:t xml:space="preserve">. The sponsor needs to confirm that only patients in the chemotherapy alone arm cross-over to receive </w:t>
      </w:r>
      <w:proofErr w:type="spellStart"/>
      <w:r w:rsidRPr="00B05CC9">
        <w:t>bevacizumab</w:t>
      </w:r>
      <w:proofErr w:type="spellEnd"/>
      <w:r w:rsidRPr="00B05CC9">
        <w:t xml:space="preserve"> monotherapy (see </w:t>
      </w:r>
      <w:r w:rsidR="00905D1A" w:rsidRPr="00905D1A">
        <w:t>Clinical questions</w:t>
      </w:r>
      <w:r w:rsidR="00905D1A">
        <w:t xml:space="preserve"> below</w:t>
      </w:r>
      <w:r w:rsidRPr="00B05CC9">
        <w:t>).</w:t>
      </w:r>
    </w:p>
    <w:p w:rsidR="008E7846" w:rsidRPr="00254787" w:rsidRDefault="008E7846" w:rsidP="008D1B25">
      <w:pPr>
        <w:pStyle w:val="Heading3"/>
      </w:pPr>
      <w:bookmarkStart w:id="60" w:name="_Toc163441372"/>
      <w:bookmarkStart w:id="61" w:name="_Toc196046485"/>
      <w:bookmarkStart w:id="62" w:name="_Toc247691521"/>
      <w:bookmarkStart w:id="63" w:name="_Toc314842504"/>
      <w:bookmarkStart w:id="64" w:name="_Toc415046263"/>
      <w:r w:rsidRPr="00254787">
        <w:t>Efficacy</w:t>
      </w:r>
      <w:bookmarkEnd w:id="60"/>
      <w:bookmarkEnd w:id="61"/>
      <w:bookmarkEnd w:id="62"/>
      <w:bookmarkEnd w:id="63"/>
      <w:bookmarkEnd w:id="64"/>
    </w:p>
    <w:p w:rsidR="00605AD4" w:rsidRDefault="00605AD4" w:rsidP="008D1B25">
      <w:pPr>
        <w:pStyle w:val="Heading4"/>
      </w:pPr>
      <w:bookmarkStart w:id="65" w:name="_Toc184439992"/>
      <w:bookmarkStart w:id="66" w:name="_Toc184440279"/>
      <w:bookmarkStart w:id="67" w:name="_Toc184444657"/>
      <w:bookmarkStart w:id="68" w:name="_Toc196046487"/>
      <w:r w:rsidRPr="00920597">
        <w:t>Studies providing efficacy data</w:t>
      </w:r>
    </w:p>
    <w:p w:rsidR="00920597" w:rsidRPr="00B51A1A" w:rsidRDefault="00920597" w:rsidP="008D1B25">
      <w:r>
        <w:t>One pi</w:t>
      </w:r>
      <w:r w:rsidRPr="00B51A1A">
        <w:t>votal study report, Study MO22224 (AURELIA), entitled</w:t>
      </w:r>
      <w:r>
        <w:t xml:space="preserve"> ‘</w:t>
      </w:r>
      <w:r w:rsidRPr="00B51A1A">
        <w:t xml:space="preserve">A multi-centre, open-label, randomised, two-arm phase III trial of </w:t>
      </w:r>
      <w:proofErr w:type="spellStart"/>
      <w:r w:rsidRPr="00B51A1A">
        <w:t>bevacizumab</w:t>
      </w:r>
      <w:proofErr w:type="spellEnd"/>
      <w:r w:rsidRPr="00B51A1A">
        <w:t xml:space="preserve"> plus chemotherapy versus chemotherapy alone in patients with platinum-resistant, epithelial ovarian, fallopian tube or primary peritoneal cancer. Report No. 1054737, August 2013</w:t>
      </w:r>
      <w:r>
        <w:t xml:space="preserve"> was submitted</w:t>
      </w:r>
    </w:p>
    <w:p w:rsidR="00573F26" w:rsidRDefault="002900A2" w:rsidP="008D1B25">
      <w:pPr>
        <w:pStyle w:val="Heading4"/>
      </w:pPr>
      <w:bookmarkStart w:id="69" w:name="_Toc393534492"/>
      <w:bookmarkStart w:id="70" w:name="_Ref271126605"/>
      <w:bookmarkStart w:id="71" w:name="_Toc272414657"/>
      <w:bookmarkStart w:id="72" w:name="_Toc290846282"/>
      <w:r w:rsidRPr="00A264A8">
        <w:t>Evaluator’s conclusions on clinical efficacy</w:t>
      </w:r>
    </w:p>
    <w:p w:rsidR="002900A2" w:rsidRPr="00A264A8" w:rsidRDefault="00A264A8" w:rsidP="008D1B25">
      <w:proofErr w:type="spellStart"/>
      <w:r w:rsidRPr="00A264A8">
        <w:t>Avastin</w:t>
      </w:r>
      <w:proofErr w:type="spellEnd"/>
      <w:r w:rsidRPr="00A264A8">
        <w:t xml:space="preserve"> </w:t>
      </w:r>
      <w:r w:rsidR="002900A2" w:rsidRPr="00A264A8">
        <w:t>to treat patients with recurrent, platinum-resistant epithelial ovarian, fallopian tube, or primary peritoneal cancer who received no more than two prior chemotherapy regimens</w:t>
      </w:r>
      <w:bookmarkEnd w:id="69"/>
      <w:bookmarkEnd w:id="70"/>
      <w:bookmarkEnd w:id="71"/>
      <w:bookmarkEnd w:id="72"/>
    </w:p>
    <w:p w:rsidR="002900A2" w:rsidRPr="00B05CC9" w:rsidRDefault="002900A2" w:rsidP="008D1B25">
      <w:r w:rsidRPr="00B05CC9">
        <w:t xml:space="preserve">The </w:t>
      </w:r>
      <w:r w:rsidR="00EC3993">
        <w:t xml:space="preserve">sponsor’s </w:t>
      </w:r>
      <w:r w:rsidRPr="00B05CC9">
        <w:t xml:space="preserve">Clinical Overview did not provide a section of Conclusions, only one of Benefits. The </w:t>
      </w:r>
      <w:r w:rsidR="00EC3993">
        <w:t xml:space="preserve">sponsor’s </w:t>
      </w:r>
      <w:r w:rsidRPr="00B05CC9">
        <w:t>Summary of Clinical Efficacy (SCE) gives a Conclusions section. Any differences from the latter are identified in the following.</w:t>
      </w:r>
    </w:p>
    <w:p w:rsidR="002900A2" w:rsidRPr="00B05CC9" w:rsidRDefault="002900A2" w:rsidP="008D1B25">
      <w:pPr>
        <w:pStyle w:val="Heading5"/>
      </w:pPr>
      <w:r w:rsidRPr="00B05CC9">
        <w:t xml:space="preserve">Primary </w:t>
      </w:r>
      <w:r w:rsidR="00277534">
        <w:t>e</w:t>
      </w:r>
      <w:r w:rsidRPr="00B05CC9">
        <w:t>nd-</w:t>
      </w:r>
      <w:r w:rsidR="00277534">
        <w:t>p</w:t>
      </w:r>
      <w:r w:rsidRPr="00B05CC9">
        <w:t>oint</w:t>
      </w:r>
    </w:p>
    <w:p w:rsidR="002900A2" w:rsidRPr="00B05CC9" w:rsidRDefault="002900A2" w:rsidP="008D1B25">
      <w:pPr>
        <w:pStyle w:val="ListBullet"/>
      </w:pPr>
      <w:r w:rsidRPr="00B05CC9">
        <w:t xml:space="preserve">The regimen of </w:t>
      </w:r>
      <w:proofErr w:type="spellStart"/>
      <w:r w:rsidRPr="00B05CC9">
        <w:t>bevacizumab</w:t>
      </w:r>
      <w:proofErr w:type="spellEnd"/>
      <w:r w:rsidRPr="00B05CC9">
        <w:t xml:space="preserve"> in combination with chemotherapy (paclitaxel, </w:t>
      </w:r>
      <w:proofErr w:type="spellStart"/>
      <w:r w:rsidRPr="00B05CC9">
        <w:t>topotecan</w:t>
      </w:r>
      <w:proofErr w:type="spellEnd"/>
      <w:r w:rsidRPr="00B05CC9">
        <w:t xml:space="preserve">, or PLD) resulted in a statistically significant and clinically important improvement in investigator-assessed PFS from a mean value of 3.4 months (95% </w:t>
      </w:r>
      <w:r w:rsidR="00EC3993">
        <w:t>confidence interval (</w:t>
      </w:r>
      <w:r w:rsidRPr="00B05CC9">
        <w:t>CI</w:t>
      </w:r>
      <w:r w:rsidR="00EC3993">
        <w:t>)</w:t>
      </w:r>
      <w:r w:rsidRPr="00B05CC9">
        <w:t xml:space="preserve"> 2.10-3.75) in the </w:t>
      </w:r>
      <w:r w:rsidR="00EC3993" w:rsidRPr="00EC3993">
        <w:t>chemotherapy (</w:t>
      </w:r>
      <w:r w:rsidRPr="00EC3993">
        <w:t>CT</w:t>
      </w:r>
      <w:r w:rsidR="00EC3993" w:rsidRPr="00EC3993">
        <w:t>)</w:t>
      </w:r>
      <w:r w:rsidRPr="00EC3993">
        <w:t xml:space="preserve"> arm</w:t>
      </w:r>
      <w:r w:rsidRPr="00B05CC9">
        <w:t xml:space="preserve"> to 6.8 months (95%CI 5.62-7.79), with a stratified </w:t>
      </w:r>
      <w:r w:rsidR="00EC3993">
        <w:t>hazard ratio (</w:t>
      </w:r>
      <w:r w:rsidRPr="00B05CC9">
        <w:t>HR</w:t>
      </w:r>
      <w:r w:rsidR="00EC3993">
        <w:t>)</w:t>
      </w:r>
      <w:r w:rsidRPr="00B05CC9">
        <w:t xml:space="preserve"> = 0.384; 95% CI: 0.300, 0.491; log-rank p-value &lt;</w:t>
      </w:r>
      <w:r w:rsidR="00EC3993">
        <w:t> </w:t>
      </w:r>
      <w:r w:rsidRPr="00B05CC9">
        <w:t>0.0001.</w:t>
      </w:r>
      <w:r w:rsidR="00B51A1A">
        <w:t xml:space="preserve"> </w:t>
      </w:r>
      <w:r w:rsidRPr="00B05CC9">
        <w:t xml:space="preserve">Subgroup and sensitivity analyses, including simulated </w:t>
      </w:r>
      <w:r w:rsidR="00EC3993">
        <w:t>Independent Review Committee</w:t>
      </w:r>
      <w:r w:rsidR="00EC3993" w:rsidRPr="00B05CC9">
        <w:t xml:space="preserve"> </w:t>
      </w:r>
      <w:r w:rsidR="00EC3993">
        <w:t>(</w:t>
      </w:r>
      <w:r w:rsidRPr="00B05CC9">
        <w:t>IRC</w:t>
      </w:r>
      <w:r w:rsidR="00EC3993">
        <w:t>)</w:t>
      </w:r>
      <w:r w:rsidRPr="00B05CC9">
        <w:t xml:space="preserve"> results, supported these results.</w:t>
      </w:r>
    </w:p>
    <w:p w:rsidR="002900A2" w:rsidRPr="00B05CC9" w:rsidRDefault="002900A2" w:rsidP="008D1B25">
      <w:r w:rsidRPr="008D1B25">
        <w:rPr>
          <w:i/>
        </w:rPr>
        <w:t>Note:</w:t>
      </w:r>
      <w:r w:rsidRPr="003A094D">
        <w:rPr>
          <w:i/>
        </w:rPr>
        <w:t xml:space="preserve"> Addendum</w:t>
      </w:r>
      <w:r w:rsidR="003A094D">
        <w:t>:</w:t>
      </w:r>
      <w:r w:rsidRPr="00B05CC9">
        <w:t xml:space="preserve"> As a result of requests to the sponsor, corrections of incorrect dates of trial events found and submitted by the sponsor, and an independent blinded radiological review of assessments of </w:t>
      </w:r>
      <w:r w:rsidR="00EC3993" w:rsidRPr="00C2083E">
        <w:t>progressive disease</w:t>
      </w:r>
      <w:r w:rsidR="00EC3993" w:rsidRPr="00B05CC9">
        <w:t xml:space="preserve"> </w:t>
      </w:r>
      <w:r w:rsidR="00EC3993">
        <w:t>(</w:t>
      </w:r>
      <w:r w:rsidRPr="00B05CC9">
        <w:t>PD</w:t>
      </w:r>
      <w:r w:rsidR="00EC3993">
        <w:t>)</w:t>
      </w:r>
      <w:r w:rsidRPr="00B05CC9">
        <w:t xml:space="preserve"> by investigator’s, the figures above have changed a little but the benefit and significance of the improvement seen with </w:t>
      </w:r>
      <w:r w:rsidR="00EC3993" w:rsidRPr="00C2083E">
        <w:t xml:space="preserve">chemotherapy plus </w:t>
      </w:r>
      <w:proofErr w:type="spellStart"/>
      <w:r w:rsidR="00EC3993" w:rsidRPr="00C2083E">
        <w:t>bevacizumab</w:t>
      </w:r>
      <w:proofErr w:type="spellEnd"/>
      <w:r w:rsidR="00EC3993" w:rsidRPr="00B05CC9">
        <w:t xml:space="preserve"> </w:t>
      </w:r>
      <w:r w:rsidR="00EC3993">
        <w:t>(</w:t>
      </w:r>
      <w:r w:rsidRPr="00B05CC9">
        <w:t>CT+BV</w:t>
      </w:r>
      <w:r w:rsidR="00EC3993">
        <w:t>)</w:t>
      </w:r>
      <w:r w:rsidRPr="00B05CC9">
        <w:t xml:space="preserve"> has been maintained. The changes were as follows:</w:t>
      </w:r>
    </w:p>
    <w:p w:rsidR="002900A2" w:rsidRPr="00B05CC9" w:rsidRDefault="002900A2" w:rsidP="008D1B25">
      <w:pPr>
        <w:pStyle w:val="ListBullet"/>
      </w:pPr>
      <w:r w:rsidRPr="003A094D">
        <w:rPr>
          <w:i/>
        </w:rPr>
        <w:lastRenderedPageBreak/>
        <w:t>PFS After correction of dates of event for 1 patient:</w:t>
      </w:r>
      <w:r w:rsidRPr="00B05CC9">
        <w:t xml:space="preserve"> PFS 3.4 m</w:t>
      </w:r>
      <w:r w:rsidR="00EC3993">
        <w:t>on</w:t>
      </w:r>
      <w:r w:rsidRPr="00B05CC9">
        <w:t>ths (95%</w:t>
      </w:r>
      <w:r w:rsidR="00EC3993">
        <w:t>C</w:t>
      </w:r>
      <w:r w:rsidRPr="00B05CC9">
        <w:t>I 2.10-3.75) and 6.7</w:t>
      </w:r>
      <w:r w:rsidR="00E175C9">
        <w:t xml:space="preserve"> </w:t>
      </w:r>
      <w:r w:rsidRPr="00B05CC9">
        <w:t>m</w:t>
      </w:r>
      <w:r w:rsidR="00E175C9">
        <w:t>on</w:t>
      </w:r>
      <w:r w:rsidRPr="00B05CC9">
        <w:t>ths (5.62-7.79) in the CT+BV arm; HR 0.379 (0.296-</w:t>
      </w:r>
      <w:r w:rsidR="008D1B25">
        <w:t>0.485), log-rank p value&lt;0.0001</w:t>
      </w:r>
    </w:p>
    <w:p w:rsidR="002900A2" w:rsidRPr="00B05CC9" w:rsidRDefault="002900A2" w:rsidP="008D1B25">
      <w:pPr>
        <w:pStyle w:val="ListBullet"/>
      </w:pPr>
      <w:r w:rsidRPr="003A094D">
        <w:rPr>
          <w:i/>
        </w:rPr>
        <w:t xml:space="preserve">Time to Treatment Failure </w:t>
      </w:r>
      <w:r w:rsidR="00EC3993" w:rsidRPr="003A094D">
        <w:rPr>
          <w:i/>
        </w:rPr>
        <w:t>(TTF)</w:t>
      </w:r>
      <w:r w:rsidR="00EC3993">
        <w:rPr>
          <w:b/>
        </w:rPr>
        <w:t xml:space="preserve"> </w:t>
      </w:r>
      <w:r w:rsidRPr="00B05CC9">
        <w:t xml:space="preserve">(time from randomization to discontinuation of treatment for any reason, including progressive disease or death or withdrawal of treatment due to adverse events/unacceptable toxicity, withdraw consent, symptomatic deterioration, or other reason considered progressive): </w:t>
      </w:r>
      <w:r w:rsidRPr="00B05CC9">
        <w:rPr>
          <w:b/>
        </w:rPr>
        <w:t xml:space="preserve">TTF </w:t>
      </w:r>
      <w:r w:rsidRPr="00B05CC9">
        <w:t>3.4 months (interquartile range 1.8-5.5) in the CT arm and 5.4 months (interquartile range 3.4-9.3) in the CT+BV arm; HR 0.422 (95% CI: 0.333, 0.</w:t>
      </w:r>
      <w:r w:rsidR="008D1B25">
        <w:t>536; log-rank p-value &lt; 0.0001)</w:t>
      </w:r>
    </w:p>
    <w:p w:rsidR="002900A2" w:rsidRPr="00B05CC9" w:rsidRDefault="002900A2" w:rsidP="008D1B25">
      <w:pPr>
        <w:pStyle w:val="ListBullet"/>
      </w:pPr>
      <w:r w:rsidRPr="003A094D">
        <w:rPr>
          <w:i/>
        </w:rPr>
        <w:t>PFS using data from the Independent Review Committee after reviewing PD as assessed by investigators:</w:t>
      </w:r>
      <w:r w:rsidRPr="00B05CC9">
        <w:rPr>
          <w:b/>
        </w:rPr>
        <w:t xml:space="preserve"> </w:t>
      </w:r>
      <w:r w:rsidRPr="00B05CC9">
        <w:t>PFS 3.9 months (95% CI: 3.4, 5.2) in the CT arm and 8.1 months (95% CI: 6.9, 9.6) in the CT+BV arm; HR of 0.484 (95% CI: 0.370, 0.632; p &lt;</w:t>
      </w:r>
      <w:r w:rsidR="00EC3993">
        <w:t> </w:t>
      </w:r>
      <w:r w:rsidRPr="00B05CC9">
        <w:t>0.0001).</w:t>
      </w:r>
    </w:p>
    <w:p w:rsidR="002900A2" w:rsidRPr="00B05CC9" w:rsidRDefault="002900A2" w:rsidP="008D1B25">
      <w:pPr>
        <w:pStyle w:val="Heading5"/>
      </w:pPr>
      <w:r w:rsidRPr="00B05CC9">
        <w:t xml:space="preserve">Secondary </w:t>
      </w:r>
      <w:r w:rsidR="00262FD3">
        <w:t>e</w:t>
      </w:r>
      <w:r w:rsidRPr="00B05CC9">
        <w:t>nd-</w:t>
      </w:r>
      <w:r w:rsidR="00262FD3">
        <w:t>p</w:t>
      </w:r>
      <w:r w:rsidRPr="00B05CC9">
        <w:t>oints</w:t>
      </w:r>
    </w:p>
    <w:p w:rsidR="002900A2" w:rsidRPr="00EC3993" w:rsidRDefault="002900A2" w:rsidP="008D1B25">
      <w:pPr>
        <w:pStyle w:val="ListBullet"/>
      </w:pPr>
      <w:r w:rsidRPr="00EC3993">
        <w:t xml:space="preserve">A statistically significant and clinically meaningful improvement in </w:t>
      </w:r>
      <w:r w:rsidR="00EC3993" w:rsidRPr="00EC3993">
        <w:t>objective response rate (</w:t>
      </w:r>
      <w:r w:rsidRPr="00EC3993">
        <w:t>ORR</w:t>
      </w:r>
      <w:r w:rsidR="00EC3993" w:rsidRPr="00EC3993">
        <w:t>)</w:t>
      </w:r>
      <w:r w:rsidRPr="00EC3993">
        <w:t xml:space="preserve"> was observed in the small number of responders. The ORR was increased from 12.5%, n=18,</w:t>
      </w:r>
      <w:r w:rsidR="00E175C9">
        <w:t xml:space="preserve"> </w:t>
      </w:r>
      <w:r w:rsidRPr="00EC3993">
        <w:t>[CI 7.1% to 17.9%] in the chemotherapy alone arm to 28.2%, n=40</w:t>
      </w:r>
      <w:proofErr w:type="gramStart"/>
      <w:r w:rsidRPr="00EC3993">
        <w:t>,[</w:t>
      </w:r>
      <w:proofErr w:type="gramEnd"/>
      <w:r w:rsidRPr="00EC3993">
        <w:t xml:space="preserve">CI 20.8 to 35.6%] in the </w:t>
      </w:r>
      <w:proofErr w:type="spellStart"/>
      <w:r w:rsidRPr="00EC3993">
        <w:t>bevacizumab</w:t>
      </w:r>
      <w:proofErr w:type="spellEnd"/>
      <w:r w:rsidRPr="00EC3993">
        <w:t xml:space="preserve"> combination arm, with a p value of 0.001 (</w:t>
      </w:r>
      <w:proofErr w:type="spellStart"/>
      <w:r w:rsidRPr="00EC3993">
        <w:t>unstratified</w:t>
      </w:r>
      <w:proofErr w:type="spellEnd"/>
      <w:r w:rsidRPr="00EC3993">
        <w:t>).</w:t>
      </w:r>
    </w:p>
    <w:p w:rsidR="002900A2" w:rsidRPr="00EC3993" w:rsidRDefault="002900A2" w:rsidP="008D1B25">
      <w:pPr>
        <w:pStyle w:val="ListBullet"/>
      </w:pPr>
      <w:r w:rsidRPr="00EC3993">
        <w:t xml:space="preserve">The ORR of the 72 patients who received monotherapy with </w:t>
      </w:r>
      <w:proofErr w:type="spellStart"/>
      <w:r w:rsidRPr="00EC3993">
        <w:t>bevacizumab</w:t>
      </w:r>
      <w:proofErr w:type="spellEnd"/>
      <w:r w:rsidRPr="00EC3993">
        <w:t xml:space="preserve"> after disease progression to </w:t>
      </w:r>
      <w:proofErr w:type="spellStart"/>
      <w:r w:rsidRPr="00EC3993">
        <w:t>bevacizumab</w:t>
      </w:r>
      <w:proofErr w:type="spellEnd"/>
      <w:r w:rsidRPr="00EC3993">
        <w:t xml:space="preserve"> monotherapy cannot be assessed without further data from the sponsor (requested).</w:t>
      </w:r>
    </w:p>
    <w:p w:rsidR="00AD561C" w:rsidRPr="008037E0" w:rsidRDefault="00262FD3" w:rsidP="003F1E6E">
      <w:pPr>
        <w:rPr>
          <w:b/>
        </w:rPr>
      </w:pPr>
      <w:r w:rsidRPr="008037E0">
        <w:rPr>
          <w:b/>
        </w:rPr>
        <w:t>Comment:</w:t>
      </w:r>
    </w:p>
    <w:p w:rsidR="002900A2" w:rsidRPr="00B05CC9" w:rsidRDefault="002900A2" w:rsidP="008037E0">
      <w:pPr>
        <w:ind w:left="720"/>
      </w:pPr>
      <w:r w:rsidRPr="00B05CC9">
        <w:t>This outcome was not presented in the CSR</w:t>
      </w:r>
      <w:r w:rsidR="003F1E6E">
        <w:t>.</w:t>
      </w:r>
    </w:p>
    <w:p w:rsidR="002900A2" w:rsidRPr="00B05CC9" w:rsidRDefault="002900A2" w:rsidP="008037E0">
      <w:pPr>
        <w:ind w:left="720"/>
      </w:pPr>
      <w:r w:rsidRPr="00B05CC9">
        <w:t>N</w:t>
      </w:r>
      <w:r w:rsidR="003F1E6E">
        <w:t>ote</w:t>
      </w:r>
      <w:r w:rsidRPr="00B05CC9">
        <w:t>: Addendum – The sponsor responded that these data were not available due to the study design.</w:t>
      </w:r>
    </w:p>
    <w:p w:rsidR="002900A2" w:rsidRPr="00B05CC9" w:rsidRDefault="002900A2" w:rsidP="008D1B25">
      <w:pPr>
        <w:pStyle w:val="ListBullet"/>
      </w:pPr>
      <w:r w:rsidRPr="00B05CC9">
        <w:t xml:space="preserve">The </w:t>
      </w:r>
      <w:r w:rsidRPr="003A094D">
        <w:t>median duration of objective response</w:t>
      </w:r>
      <w:r w:rsidRPr="00B05CC9">
        <w:t xml:space="preserve"> was 5.4 months (CI (3.81-9.23</w:t>
      </w:r>
      <w:r w:rsidR="00621D8D">
        <w:t xml:space="preserve"> </w:t>
      </w:r>
      <w:r w:rsidRPr="00B05CC9">
        <w:t>months) in the CT arm and 9.4 months (6.60-11.63</w:t>
      </w:r>
      <w:r w:rsidR="003F1E6E">
        <w:t xml:space="preserve"> </w:t>
      </w:r>
      <w:r w:rsidRPr="00B05CC9">
        <w:t>months) in the CT+BV arm. Although the p value was 0.02 the overlapping CI intervals weakens any conclusion of the benefit of BV as</w:t>
      </w:r>
      <w:r w:rsidR="00262FD3">
        <w:t xml:space="preserve"> measured by this outcome.</w:t>
      </w:r>
    </w:p>
    <w:p w:rsidR="00AD561C" w:rsidRPr="008037E0" w:rsidRDefault="002900A2" w:rsidP="002900A2">
      <w:pPr>
        <w:pStyle w:val="Comment1"/>
        <w:rPr>
          <w:rFonts w:asciiTheme="minorHAnsi" w:hAnsiTheme="minorHAnsi"/>
          <w:b/>
        </w:rPr>
      </w:pPr>
      <w:r w:rsidRPr="008037E0">
        <w:rPr>
          <w:rFonts w:asciiTheme="minorHAnsi" w:hAnsiTheme="minorHAnsi"/>
          <w:b/>
        </w:rPr>
        <w:t>Comment:</w:t>
      </w:r>
    </w:p>
    <w:p w:rsidR="002900A2" w:rsidRPr="00B05CC9" w:rsidRDefault="002900A2" w:rsidP="008D1B25">
      <w:pPr>
        <w:ind w:left="720"/>
      </w:pPr>
      <w:r w:rsidRPr="003F1E6E">
        <w:t>This outcome was not included in the conclusions in the SCE</w:t>
      </w:r>
      <w:r w:rsidR="00262FD3">
        <w:t>.</w:t>
      </w:r>
    </w:p>
    <w:p w:rsidR="002900A2" w:rsidRPr="00B05CC9" w:rsidRDefault="002900A2" w:rsidP="008D1B25">
      <w:pPr>
        <w:pStyle w:val="ListBullet"/>
      </w:pPr>
      <w:r w:rsidRPr="00B05CC9">
        <w:t xml:space="preserve">Analysis of </w:t>
      </w:r>
      <w:r w:rsidRPr="003A094D">
        <w:t>overall survival</w:t>
      </w:r>
      <w:r w:rsidRPr="00B05CC9">
        <w:t xml:space="preserve"> at one interim and at the final analysis found these analyses did not meet statistical significance. At the time of the final OS analysis when 73% of patients had died, the median duration of survival was 13.3 months (CI 11.89-16.43</w:t>
      </w:r>
      <w:r w:rsidR="003F1E6E">
        <w:t xml:space="preserve"> </w:t>
      </w:r>
      <w:r w:rsidRPr="00B05CC9">
        <w:t>months) in the CT arm and 16.6 (CI 13.70-18.99</w:t>
      </w:r>
      <w:r w:rsidR="003F1E6E">
        <w:t xml:space="preserve"> </w:t>
      </w:r>
      <w:r w:rsidRPr="00B05CC9">
        <w:t>months) in the CT+BV arm, with a HR (stratified) of 0.88 (CI 0.69-1.14), and a p value of 0.35 (log-ra</w:t>
      </w:r>
      <w:r w:rsidR="00262FD3">
        <w:t>nk).</w:t>
      </w:r>
    </w:p>
    <w:p w:rsidR="002900A2" w:rsidRPr="00B05CC9" w:rsidRDefault="00A264A8" w:rsidP="008D1B25">
      <w:r w:rsidRPr="008D1B25">
        <w:rPr>
          <w:i/>
        </w:rPr>
        <w:t>N</w:t>
      </w:r>
      <w:r w:rsidR="002900A2" w:rsidRPr="008D1B25">
        <w:rPr>
          <w:i/>
        </w:rPr>
        <w:t>ote: Addendum</w:t>
      </w:r>
      <w:r w:rsidR="002900A2" w:rsidRPr="00B05CC9">
        <w:t xml:space="preserve"> - After the inclusion of the dates of death of 2 additional patients by the sponsor, the following results were obtained: 276 (73.7%) rather than 274 (73.1%) patients had died. The median duration of survival was unchanged in each arm and the HR was 0.87 (95%CI 0.678-1.116), and a p value of 0.27 (log-rank).</w:t>
      </w:r>
    </w:p>
    <w:p w:rsidR="002900A2" w:rsidRPr="003F1E6E" w:rsidRDefault="002900A2" w:rsidP="008D1B25">
      <w:pPr>
        <w:pStyle w:val="ListBullet"/>
        <w:rPr>
          <w:rFonts w:asciiTheme="minorHAnsi" w:hAnsiTheme="minorHAnsi"/>
        </w:rPr>
      </w:pPr>
      <w:r w:rsidRPr="00B05CC9">
        <w:t xml:space="preserve">The following four instruments used in the assessment of the Health Related Quality of Life (HRQoL) failed to show any significant clinical benefit of combining </w:t>
      </w:r>
      <w:proofErr w:type="spellStart"/>
      <w:r w:rsidRPr="00B05CC9">
        <w:t>bevacizumab</w:t>
      </w:r>
      <w:proofErr w:type="spellEnd"/>
      <w:r w:rsidRPr="00B05CC9">
        <w:t xml:space="preserve"> with chemotherapy – the functional, the symptom and the Global Health Scales of </w:t>
      </w:r>
      <w:r w:rsidR="003F1E6E">
        <w:t>European Organization for Research and Treatment of Cancer</w:t>
      </w:r>
      <w:r w:rsidR="003F1E6E" w:rsidRPr="00B05CC9">
        <w:t xml:space="preserve"> </w:t>
      </w:r>
      <w:r w:rsidR="003F1E6E">
        <w:t>(</w:t>
      </w:r>
      <w:r w:rsidRPr="00B05CC9">
        <w:t>EORTC</w:t>
      </w:r>
      <w:r w:rsidR="003F1E6E">
        <w:t>)</w:t>
      </w:r>
      <w:r w:rsidRPr="00B05CC9">
        <w:t xml:space="preserve"> </w:t>
      </w:r>
      <w:r w:rsidR="003F1E6E">
        <w:t>quality of life (</w:t>
      </w:r>
      <w:r w:rsidRPr="00B05CC9">
        <w:t>QLQ</w:t>
      </w:r>
      <w:r w:rsidR="003F1E6E">
        <w:t>)</w:t>
      </w:r>
      <w:r w:rsidRPr="00B05CC9">
        <w:t>-30</w:t>
      </w:r>
      <w:r w:rsidR="003F1E6E">
        <w:rPr>
          <w:rStyle w:val="FootnoteReference"/>
        </w:rPr>
        <w:footnoteReference w:id="5"/>
      </w:r>
      <w:r w:rsidRPr="00B05CC9">
        <w:t xml:space="preserve">; the functional scale, and 8 of 9 symptoms in the </w:t>
      </w:r>
      <w:r w:rsidR="003F1E6E">
        <w:t xml:space="preserve">ovarian cancer module </w:t>
      </w:r>
      <w:r w:rsidR="003F1E6E">
        <w:lastRenderedPageBreak/>
        <w:t>(</w:t>
      </w:r>
      <w:r w:rsidRPr="00B05CC9">
        <w:t>OV28</w:t>
      </w:r>
      <w:r w:rsidR="003F1E6E">
        <w:t>)</w:t>
      </w:r>
      <w:r w:rsidRPr="00B05CC9">
        <w:t xml:space="preserve"> instrument; the 19 symptoms in </w:t>
      </w:r>
      <w:r w:rsidRPr="003F1E6E">
        <w:rPr>
          <w:rFonts w:asciiTheme="minorHAnsi" w:hAnsiTheme="minorHAnsi"/>
        </w:rPr>
        <w:t xml:space="preserve">the </w:t>
      </w:r>
      <w:r w:rsidR="003F1E6E" w:rsidRPr="003F1E6E">
        <w:rPr>
          <w:rFonts w:asciiTheme="minorHAnsi" w:hAnsiTheme="minorHAnsi" w:cs="Lucida Sans Unicode"/>
          <w:lang w:val="en"/>
        </w:rPr>
        <w:t>Functional Assessment of Cancer Therapy–Ovarian Cancer symptom index (</w:t>
      </w:r>
      <w:r w:rsidRPr="003F1E6E">
        <w:rPr>
          <w:rFonts w:asciiTheme="minorHAnsi" w:hAnsiTheme="minorHAnsi"/>
        </w:rPr>
        <w:t>FOSI</w:t>
      </w:r>
      <w:r w:rsidR="003F1E6E" w:rsidRPr="003F1E6E">
        <w:rPr>
          <w:rFonts w:asciiTheme="minorHAnsi" w:hAnsiTheme="minorHAnsi"/>
        </w:rPr>
        <w:t>)</w:t>
      </w:r>
      <w:r w:rsidRPr="003F1E6E">
        <w:rPr>
          <w:rFonts w:asciiTheme="minorHAnsi" w:hAnsiTheme="minorHAnsi"/>
        </w:rPr>
        <w:t xml:space="preserve"> instrument and the </w:t>
      </w:r>
      <w:r w:rsidR="003F1E6E" w:rsidRPr="003F1E6E">
        <w:rPr>
          <w:rFonts w:asciiTheme="minorHAnsi" w:hAnsiTheme="minorHAnsi" w:cs="Arial"/>
          <w:bCs/>
        </w:rPr>
        <w:t>Hospital Anxiety and Depression Scale</w:t>
      </w:r>
      <w:r w:rsidR="003F1E6E" w:rsidRPr="003F1E6E">
        <w:rPr>
          <w:rFonts w:asciiTheme="minorHAnsi" w:hAnsiTheme="minorHAnsi" w:cs="Arial"/>
        </w:rPr>
        <w:t xml:space="preserve"> (</w:t>
      </w:r>
      <w:r w:rsidRPr="003F1E6E">
        <w:rPr>
          <w:rFonts w:asciiTheme="minorHAnsi" w:hAnsiTheme="minorHAnsi"/>
        </w:rPr>
        <w:t>HADS</w:t>
      </w:r>
      <w:r w:rsidR="003F1E6E" w:rsidRPr="003F1E6E">
        <w:rPr>
          <w:rFonts w:asciiTheme="minorHAnsi" w:hAnsiTheme="minorHAnsi"/>
        </w:rPr>
        <w:t>)</w:t>
      </w:r>
      <w:r w:rsidR="00262FD3">
        <w:rPr>
          <w:rFonts w:asciiTheme="minorHAnsi" w:hAnsiTheme="minorHAnsi"/>
        </w:rPr>
        <w:t xml:space="preserve"> scale.</w:t>
      </w:r>
    </w:p>
    <w:p w:rsidR="00AD561C" w:rsidRPr="008D1B25" w:rsidRDefault="00262FD3" w:rsidP="003F1E6E">
      <w:pPr>
        <w:ind w:left="993" w:hanging="993"/>
        <w:rPr>
          <w:b/>
        </w:rPr>
      </w:pPr>
      <w:r w:rsidRPr="008D1B25">
        <w:rPr>
          <w:b/>
        </w:rPr>
        <w:t>Comment:</w:t>
      </w:r>
    </w:p>
    <w:p w:rsidR="002900A2" w:rsidRPr="002900A2" w:rsidRDefault="002900A2" w:rsidP="008D1B25">
      <w:pPr>
        <w:ind w:left="720"/>
      </w:pPr>
      <w:r w:rsidRPr="00B05CC9">
        <w:t xml:space="preserve">This conclusion differs from that in the </w:t>
      </w:r>
      <w:r w:rsidR="00F3677D">
        <w:t xml:space="preserve">sponsor’s </w:t>
      </w:r>
      <w:r w:rsidRPr="00B05CC9">
        <w:t xml:space="preserve">Clinical Overview, SCE and </w:t>
      </w:r>
      <w:r w:rsidR="00F3677D">
        <w:t>company study report (</w:t>
      </w:r>
      <w:r w:rsidRPr="00B05CC9">
        <w:t>CSR</w:t>
      </w:r>
      <w:r w:rsidR="00F3677D">
        <w:t>)</w:t>
      </w:r>
      <w:r w:rsidRPr="00B05CC9">
        <w:t xml:space="preserve">. The applicant selected one outcome (abdominal/GI symptom OV28), ignored the approximately 28 other negative symptom outcomes in the FOSI and OV28 instruments, made the one outcome the only secondary objective for </w:t>
      </w:r>
      <w:proofErr w:type="spellStart"/>
      <w:r w:rsidRPr="00B05CC9">
        <w:t>HQoL</w:t>
      </w:r>
      <w:proofErr w:type="spellEnd"/>
      <w:r w:rsidRPr="00B05CC9">
        <w:t xml:space="preserve"> and placed all the other negative outcomes in an</w:t>
      </w:r>
      <w:r w:rsidR="00B51A1A">
        <w:t xml:space="preserve">  ‘</w:t>
      </w:r>
      <w:r w:rsidRPr="00B05CC9">
        <w:t>Exploratory Outcomes</w:t>
      </w:r>
      <w:r w:rsidR="00B51A1A">
        <w:t>’</w:t>
      </w:r>
      <w:r w:rsidR="00F3677D">
        <w:t xml:space="preserve"> </w:t>
      </w:r>
      <w:r w:rsidRPr="00B05CC9">
        <w:t>category, contrary to the trial protocol.</w:t>
      </w:r>
    </w:p>
    <w:p w:rsidR="008E7846" w:rsidRPr="002E238E" w:rsidRDefault="008E7846" w:rsidP="008D1B25">
      <w:pPr>
        <w:pStyle w:val="Heading3"/>
      </w:pPr>
      <w:bookmarkStart w:id="73" w:name="_Toc163441378"/>
      <w:bookmarkStart w:id="74" w:name="_Toc196046495"/>
      <w:bookmarkStart w:id="75" w:name="_Toc247691522"/>
      <w:bookmarkStart w:id="76" w:name="_Toc314842505"/>
      <w:bookmarkStart w:id="77" w:name="_Toc415046264"/>
      <w:bookmarkEnd w:id="65"/>
      <w:bookmarkEnd w:id="66"/>
      <w:bookmarkEnd w:id="67"/>
      <w:bookmarkEnd w:id="68"/>
      <w:r w:rsidRPr="002E238E">
        <w:t>Safety</w:t>
      </w:r>
      <w:bookmarkEnd w:id="73"/>
      <w:bookmarkEnd w:id="74"/>
      <w:bookmarkEnd w:id="75"/>
      <w:bookmarkEnd w:id="76"/>
      <w:bookmarkEnd w:id="77"/>
    </w:p>
    <w:p w:rsidR="00605AD4" w:rsidRDefault="00605AD4" w:rsidP="008D1B25">
      <w:pPr>
        <w:pStyle w:val="Heading4"/>
      </w:pPr>
      <w:bookmarkStart w:id="78" w:name="_Toc247691524"/>
      <w:bookmarkStart w:id="79" w:name="_Toc314842508"/>
      <w:bookmarkStart w:id="80" w:name="_Toc196046504"/>
      <w:bookmarkStart w:id="81" w:name="_Toc163441390"/>
      <w:r w:rsidRPr="00605AD4">
        <w:t>Studies providing safety data</w:t>
      </w:r>
    </w:p>
    <w:p w:rsidR="002900A2" w:rsidRPr="00B05CC9" w:rsidRDefault="002900A2" w:rsidP="008D1B25">
      <w:r w:rsidRPr="00B05CC9">
        <w:t>The pivotal study, MO22224, provided evaluable safety data.</w:t>
      </w:r>
    </w:p>
    <w:p w:rsidR="002900A2" w:rsidRPr="00B05CC9" w:rsidRDefault="002900A2" w:rsidP="008D1B25">
      <w:r w:rsidRPr="00B05CC9">
        <w:t xml:space="preserve">For the safety analyses, the data cut-off date for this report was 25 January 2013. The safety analyses were based on the safety population. The denominator used in the analyses was the number of patients who actually received each treatment rather than the treatment to which patients were randomized. The primary safety analyses were conducted to evaluate the safety of </w:t>
      </w:r>
      <w:proofErr w:type="spellStart"/>
      <w:r w:rsidRPr="00B05CC9">
        <w:t>bevacizumab</w:t>
      </w:r>
      <w:proofErr w:type="spellEnd"/>
      <w:r w:rsidRPr="00B05CC9">
        <w:t xml:space="preserve"> plus the chemotherapy in comparison to chemotherapy alone. In the CT arm, if the patient had received crossover </w:t>
      </w:r>
      <w:proofErr w:type="spellStart"/>
      <w:r w:rsidRPr="00B05CC9">
        <w:t>bevacizumab</w:t>
      </w:r>
      <w:proofErr w:type="spellEnd"/>
      <w:r w:rsidRPr="00B05CC9">
        <w:t xml:space="preserve"> monotherapy, only data on or prior to the crossover were included in the primary analyses. The data after the crossover for these patients were summarized separately for evaluation of safety parameters for the crossover </w:t>
      </w:r>
      <w:proofErr w:type="spellStart"/>
      <w:r w:rsidRPr="00B05CC9">
        <w:t>bevacizumab</w:t>
      </w:r>
      <w:proofErr w:type="spellEnd"/>
      <w:r w:rsidRPr="00B05CC9">
        <w:t xml:space="preserve"> monotherapy period (see </w:t>
      </w:r>
      <w:proofErr w:type="gramStart"/>
      <w:r w:rsidR="003A094D">
        <w:t>After</w:t>
      </w:r>
      <w:proofErr w:type="gramEnd"/>
      <w:r w:rsidR="003A094D">
        <w:t xml:space="preserve"> cross-over treatment, Attachment 2</w:t>
      </w:r>
      <w:r w:rsidRPr="00B05CC9">
        <w:t>)</w:t>
      </w:r>
      <w:r w:rsidR="00262FD3">
        <w:t>.</w:t>
      </w:r>
    </w:p>
    <w:p w:rsidR="002900A2" w:rsidRPr="00F3677D" w:rsidRDefault="002900A2" w:rsidP="008D1B25">
      <w:r w:rsidRPr="00B05CC9">
        <w:t xml:space="preserve">The definition and reporting requirements </w:t>
      </w:r>
      <w:r w:rsidRPr="00F3677D">
        <w:t xml:space="preserve">of </w:t>
      </w:r>
      <w:r w:rsidR="00920597">
        <w:t>t</w:t>
      </w:r>
      <w:r w:rsidR="00F3677D" w:rsidRPr="00F3677D">
        <w:t>he International Conference on Harmonisation of Technical Requirements for Registration of Pharmaceuticals for Human Use (ICH)</w:t>
      </w:r>
      <w:r w:rsidRPr="00F3677D">
        <w:t xml:space="preserve"> Guideline for Clinical Safety Data Management, Definitions and Standards for Expedited Reporting Topic E2 was followed.</w:t>
      </w:r>
    </w:p>
    <w:p w:rsidR="00605AD4" w:rsidRDefault="00605AD4" w:rsidP="00F76A06">
      <w:pPr>
        <w:pStyle w:val="Heading4"/>
      </w:pPr>
      <w:r w:rsidRPr="00605AD4">
        <w:t>Patient exposure</w:t>
      </w:r>
    </w:p>
    <w:p w:rsidR="002900A2" w:rsidRPr="00B05CC9" w:rsidRDefault="002900A2" w:rsidP="00F76A06">
      <w:r w:rsidRPr="00B05CC9">
        <w:t>Exposure to treatment drugs in the CT and the CT+BV arms were evaluated and compared and the median number of cycles and dose intensity for each chemotherapy agent evaluated. Dose intensity indicated the actual amount of chemotherapy that a patient received compared with the expected dose relative to the length of time the pat</w:t>
      </w:r>
      <w:r w:rsidR="00262FD3">
        <w:t>ient was on study chemotherapy.</w:t>
      </w:r>
    </w:p>
    <w:p w:rsidR="002900A2" w:rsidRPr="00B05CC9" w:rsidRDefault="002900A2" w:rsidP="00F76A06">
      <w:r w:rsidRPr="00B05CC9">
        <w:t>For the CT and CT+BV arms, the median duration of treatment was 10.3 and 19.9</w:t>
      </w:r>
      <w:r w:rsidR="00F3677D">
        <w:t xml:space="preserve"> </w:t>
      </w:r>
      <w:r w:rsidRPr="00B05CC9">
        <w:t xml:space="preserve">weeks respectively, and the median number of cycles </w:t>
      </w:r>
      <w:r w:rsidR="00F3677D">
        <w:t xml:space="preserve">was </w:t>
      </w:r>
      <w:r w:rsidR="00262FD3">
        <w:t>3.0 and 6.0.</w:t>
      </w:r>
    </w:p>
    <w:p w:rsidR="002900A2" w:rsidRPr="00B05CC9" w:rsidRDefault="002900A2" w:rsidP="00F76A06">
      <w:r w:rsidRPr="00B05CC9">
        <w:t xml:space="preserve">For </w:t>
      </w:r>
      <w:r w:rsidRPr="00F3677D">
        <w:rPr>
          <w:i/>
        </w:rPr>
        <w:t>paclitaxel</w:t>
      </w:r>
      <w:r w:rsidRPr="00B05CC9">
        <w:t>, the median number of cycles was 4.0 and 6.0 cycles in the CT and CT+BV arms, respectively. The percentage of patients who received 7 cycles or more was lower in the CT arm (12.7%) than in the CT+BV arm (33.3%). The median total paclitaxel dose was 2055.0 mg in the CT arm compared with 2794.0 mg in the CT+BV arm. The median dose intensity was 91.8% in the CT arm compared with 87.8% in the CT+BV arm.</w:t>
      </w:r>
    </w:p>
    <w:p w:rsidR="002900A2" w:rsidRPr="00B05CC9" w:rsidRDefault="002900A2" w:rsidP="00F76A06">
      <w:r w:rsidRPr="00B05CC9">
        <w:t xml:space="preserve">For </w:t>
      </w:r>
      <w:proofErr w:type="spellStart"/>
      <w:r w:rsidRPr="00F3677D">
        <w:rPr>
          <w:i/>
        </w:rPr>
        <w:t>topotecan</w:t>
      </w:r>
      <w:proofErr w:type="spellEnd"/>
      <w:r w:rsidRPr="00B05CC9">
        <w:t xml:space="preserve">, the median number of cycles was twice as high in the CT+BV arm as compared with the CT arm (CT: 3.0 cycles </w:t>
      </w:r>
      <w:r w:rsidR="000F70F6">
        <w:t>versus</w:t>
      </w:r>
      <w:r w:rsidRPr="00B05CC9">
        <w:t xml:space="preserve"> CT+BV: 6.0 cycles). The median total </w:t>
      </w:r>
      <w:proofErr w:type="spellStart"/>
      <w:r w:rsidRPr="00B05CC9">
        <w:t>topotecan</w:t>
      </w:r>
      <w:proofErr w:type="spellEnd"/>
      <w:r w:rsidRPr="00B05CC9">
        <w:t xml:space="preserve"> dose was also twice as high in the CT+BV arm as compared with the CT arm (CT: 43.2 mg v</w:t>
      </w:r>
      <w:r w:rsidR="00F3677D">
        <w:t>ersus</w:t>
      </w:r>
      <w:r w:rsidRPr="00B05CC9">
        <w:t xml:space="preserve"> CT+BV: 87.7 mg). The median dose intensity was 75.0% in the CT arm compared with 84.0% in the CT+BV arm.</w:t>
      </w:r>
    </w:p>
    <w:p w:rsidR="002900A2" w:rsidRPr="00B05CC9" w:rsidRDefault="002900A2" w:rsidP="00F76A06">
      <w:r w:rsidRPr="00B05CC9">
        <w:lastRenderedPageBreak/>
        <w:t xml:space="preserve">For </w:t>
      </w:r>
      <w:r w:rsidRPr="00F3677D">
        <w:rPr>
          <w:i/>
        </w:rPr>
        <w:t>PLD</w:t>
      </w:r>
      <w:r w:rsidRPr="00B05CC9">
        <w:t>, the median number of cycles was 3.0 and 4.0 cycles in the CT and CT+BV arms, respectively. The median total PLD dose was 230.0 mg in the CT arm and 277.0 mg in the CT+BV arm. The median dose intensity was similar between treatment arms (CT: 100% v</w:t>
      </w:r>
      <w:r w:rsidR="00F3677D">
        <w:t>ersus</w:t>
      </w:r>
      <w:r w:rsidRPr="00B05CC9">
        <w:t xml:space="preserve"> CT+BV: 99.5%).</w:t>
      </w:r>
    </w:p>
    <w:p w:rsidR="00F3677D" w:rsidRPr="00F76A06" w:rsidRDefault="002900A2" w:rsidP="00F76A06">
      <w:pPr>
        <w:pStyle w:val="Heading5"/>
        <w:rPr>
          <w:rFonts w:eastAsia="Cambria"/>
        </w:rPr>
      </w:pPr>
      <w:proofErr w:type="spellStart"/>
      <w:r w:rsidRPr="00F76A06">
        <w:rPr>
          <w:rFonts w:eastAsia="Cambria"/>
        </w:rPr>
        <w:t>Bevacizumab</w:t>
      </w:r>
      <w:proofErr w:type="spellEnd"/>
      <w:r w:rsidRPr="00F76A06">
        <w:rPr>
          <w:rFonts w:eastAsia="Cambria"/>
        </w:rPr>
        <w:t xml:space="preserve"> </w:t>
      </w:r>
      <w:r w:rsidR="00262FD3" w:rsidRPr="00F76A06">
        <w:rPr>
          <w:rFonts w:eastAsia="Cambria"/>
        </w:rPr>
        <w:t>e</w:t>
      </w:r>
      <w:r w:rsidRPr="00F76A06">
        <w:rPr>
          <w:rFonts w:eastAsia="Cambria"/>
        </w:rPr>
        <w:t>xposure</w:t>
      </w:r>
    </w:p>
    <w:p w:rsidR="002900A2" w:rsidRPr="00B05CC9" w:rsidRDefault="002900A2" w:rsidP="00F76A06">
      <w:r w:rsidRPr="00B05CC9">
        <w:t xml:space="preserve">Only patients in the CT+BV arm received </w:t>
      </w:r>
      <w:proofErr w:type="spellStart"/>
      <w:r w:rsidRPr="00B05CC9">
        <w:t>bevacizumab</w:t>
      </w:r>
      <w:proofErr w:type="spellEnd"/>
      <w:r w:rsidRPr="00B05CC9">
        <w:t xml:space="preserve"> prior to disease progression. The median number of treatment cycles was 6.0 cycles (range: 1</w:t>
      </w:r>
      <w:r w:rsidR="00F3677D">
        <w:t xml:space="preserve"> to </w:t>
      </w:r>
      <w:r w:rsidRPr="00B05CC9">
        <w:t xml:space="preserve">32). The median duration of </w:t>
      </w:r>
      <w:proofErr w:type="spellStart"/>
      <w:r w:rsidRPr="00B05CC9">
        <w:t>bevacizumab</w:t>
      </w:r>
      <w:proofErr w:type="spellEnd"/>
      <w:r w:rsidRPr="00B05CC9">
        <w:t xml:space="preserve"> treatment was 22.1 weeks, and the median dose intensity was 94.4%. The median total dose of </w:t>
      </w:r>
      <w:proofErr w:type="spellStart"/>
      <w:r w:rsidRPr="00B05CC9">
        <w:t>bevacizumab</w:t>
      </w:r>
      <w:proofErr w:type="spellEnd"/>
      <w:r w:rsidRPr="00B05CC9">
        <w:t xml:space="preserve"> was 6750.0 mg.</w:t>
      </w:r>
    </w:p>
    <w:p w:rsidR="002900A2" w:rsidRPr="00B05CC9" w:rsidRDefault="002900A2" w:rsidP="00F76A06">
      <w:r w:rsidRPr="00B05CC9">
        <w:t xml:space="preserve">Of 72 patients in the CT arm who received crossover </w:t>
      </w:r>
      <w:proofErr w:type="spellStart"/>
      <w:r w:rsidRPr="00B05CC9">
        <w:t>bevacizumab</w:t>
      </w:r>
      <w:proofErr w:type="spellEnd"/>
      <w:r w:rsidRPr="00B05CC9">
        <w:t xml:space="preserve"> monotherapy after documented disease progression (optional cross-over phase), the median number of cycles received was 4.5 cycles (range: 1</w:t>
      </w:r>
      <w:r w:rsidR="00F3677D">
        <w:t xml:space="preserve"> to </w:t>
      </w:r>
      <w:r w:rsidRPr="00B05CC9">
        <w:t xml:space="preserve">19). The median duration of </w:t>
      </w:r>
      <w:proofErr w:type="spellStart"/>
      <w:r w:rsidRPr="00B05CC9">
        <w:t>bevacizumab</w:t>
      </w:r>
      <w:proofErr w:type="spellEnd"/>
      <w:r w:rsidRPr="00B05CC9">
        <w:t xml:space="preserve"> treatment was 11.6 weeks, and the median total dose of </w:t>
      </w:r>
      <w:proofErr w:type="spellStart"/>
      <w:r w:rsidRPr="00B05CC9">
        <w:t>bevacizumab</w:t>
      </w:r>
      <w:proofErr w:type="spellEnd"/>
      <w:r w:rsidRPr="00B05CC9">
        <w:t xml:space="preserve"> was 4194.0 mg.</w:t>
      </w:r>
    </w:p>
    <w:p w:rsidR="00AD561C" w:rsidRPr="00F76A06" w:rsidRDefault="00262FD3" w:rsidP="002900A2">
      <w:pPr>
        <w:rPr>
          <w:b/>
        </w:rPr>
      </w:pPr>
      <w:r w:rsidRPr="00F76A06">
        <w:rPr>
          <w:b/>
        </w:rPr>
        <w:t>Comment:</w:t>
      </w:r>
    </w:p>
    <w:p w:rsidR="002900A2" w:rsidRPr="002900A2" w:rsidRDefault="002900A2" w:rsidP="00F76A06">
      <w:pPr>
        <w:ind w:left="720"/>
      </w:pPr>
      <w:r w:rsidRPr="00B05CC9">
        <w:t>Dose-intensity (DI) was not provided for the latter group.</w:t>
      </w:r>
    </w:p>
    <w:p w:rsidR="00605AD4" w:rsidRDefault="00605AD4" w:rsidP="00F76A06">
      <w:pPr>
        <w:pStyle w:val="Heading4"/>
      </w:pPr>
      <w:r w:rsidRPr="00605AD4">
        <w:t>Safety issues with the potential for major regulatory impact</w:t>
      </w:r>
    </w:p>
    <w:p w:rsidR="002900A2" w:rsidRPr="00B05CC9" w:rsidRDefault="002900A2" w:rsidP="00F76A06">
      <w:r w:rsidRPr="00B05CC9">
        <w:t>The main safety issue with the potential for rejecting this application is the absence of safety data needed to arrive at a conclusion on risk-benefit, especially since the proposed treatment did not demonstrate an increase in OS or an improvement in quality of life. The miss</w:t>
      </w:r>
      <w:r w:rsidR="00F3677D">
        <w:t xml:space="preserve">ing data have been requested under </w:t>
      </w:r>
      <w:r w:rsidR="00F3677D" w:rsidRPr="00F3677D">
        <w:rPr>
          <w:i/>
        </w:rPr>
        <w:t>Clinical questions</w:t>
      </w:r>
      <w:r w:rsidRPr="00B05CC9">
        <w:t xml:space="preserve"> and</w:t>
      </w:r>
      <w:r w:rsidR="00262FD3">
        <w:t xml:space="preserve"> will not be listed again here.</w:t>
      </w:r>
    </w:p>
    <w:p w:rsidR="00605AD4" w:rsidRDefault="00605AD4" w:rsidP="00F76A06">
      <w:pPr>
        <w:pStyle w:val="Heading4"/>
      </w:pPr>
      <w:r w:rsidRPr="00605AD4">
        <w:t>Postmarketing data</w:t>
      </w:r>
    </w:p>
    <w:p w:rsidR="002900A2" w:rsidRPr="00F3677D" w:rsidRDefault="002900A2" w:rsidP="00F76A06">
      <w:pPr>
        <w:rPr>
          <w:rStyle w:val="QuoteChar"/>
          <w:rFonts w:eastAsia="Cambria"/>
          <w:color w:val="auto"/>
        </w:rPr>
      </w:pPr>
      <w:r w:rsidRPr="00F3677D">
        <w:t xml:space="preserve">The </w:t>
      </w:r>
      <w:r w:rsidR="00F3677D" w:rsidRPr="00F3677D">
        <w:t xml:space="preserve">sponsor’s </w:t>
      </w:r>
      <w:r w:rsidRPr="00F3677D">
        <w:t xml:space="preserve">Clinical Overview states </w:t>
      </w:r>
      <w:r w:rsidR="00B51A1A" w:rsidRPr="00F3677D">
        <w:t>‘</w:t>
      </w:r>
      <w:r w:rsidRPr="00F3677D">
        <w:rPr>
          <w:rStyle w:val="QuoteChar"/>
          <w:rFonts w:eastAsia="Cambria"/>
          <w:color w:val="auto"/>
        </w:rPr>
        <w:t>Periodic Safety Update Report (PSUR)/Recent Periodic Benefit-Risk Evaluation Report (PBRER) data are consistent with the SmPC and previous PSURs/PBRERs. The post-marketing reports are provided in Module 5.3.6 Post-Marketing Experience.</w:t>
      </w:r>
      <w:r w:rsidR="00262FD3">
        <w:rPr>
          <w:rStyle w:val="QuoteChar"/>
          <w:rFonts w:eastAsia="Cambria"/>
          <w:color w:val="auto"/>
        </w:rPr>
        <w:t>’</w:t>
      </w:r>
    </w:p>
    <w:p w:rsidR="00AD561C" w:rsidRPr="008037E0" w:rsidRDefault="002900A2" w:rsidP="00F3677D">
      <w:pPr>
        <w:ind w:left="993" w:hanging="993"/>
        <w:rPr>
          <w:rStyle w:val="QuoteChar"/>
          <w:rFonts w:asciiTheme="minorHAnsi" w:eastAsia="Cambria" w:hAnsiTheme="minorHAnsi"/>
          <w:b/>
          <w:i w:val="0"/>
          <w:iCs w:val="0"/>
          <w:color w:val="auto"/>
          <w:kern w:val="0"/>
          <w:szCs w:val="22"/>
          <w:lang w:eastAsia="en-US"/>
        </w:rPr>
      </w:pPr>
      <w:r w:rsidRPr="008037E0">
        <w:rPr>
          <w:rStyle w:val="QuoteChar"/>
          <w:rFonts w:asciiTheme="minorHAnsi" w:eastAsia="Cambria" w:hAnsiTheme="minorHAnsi"/>
          <w:b/>
          <w:i w:val="0"/>
          <w:iCs w:val="0"/>
          <w:color w:val="auto"/>
          <w:kern w:val="0"/>
          <w:szCs w:val="22"/>
          <w:lang w:eastAsia="en-US"/>
        </w:rPr>
        <w:t>Com</w:t>
      </w:r>
      <w:r w:rsidR="00262FD3" w:rsidRPr="008037E0">
        <w:rPr>
          <w:rStyle w:val="QuoteChar"/>
          <w:rFonts w:asciiTheme="minorHAnsi" w:eastAsia="Cambria" w:hAnsiTheme="minorHAnsi"/>
          <w:b/>
          <w:i w:val="0"/>
          <w:iCs w:val="0"/>
          <w:color w:val="auto"/>
          <w:kern w:val="0"/>
          <w:szCs w:val="22"/>
          <w:lang w:eastAsia="en-US"/>
        </w:rPr>
        <w:t>ment:</w:t>
      </w:r>
    </w:p>
    <w:p w:rsidR="002900A2" w:rsidRPr="00F3677D" w:rsidRDefault="002900A2" w:rsidP="008037E0">
      <w:pPr>
        <w:ind w:left="720"/>
        <w:rPr>
          <w:rStyle w:val="QuoteChar"/>
          <w:rFonts w:asciiTheme="minorHAnsi" w:eastAsia="Cambria" w:hAnsiTheme="minorHAnsi"/>
          <w:i w:val="0"/>
          <w:iCs w:val="0"/>
          <w:color w:val="auto"/>
          <w:kern w:val="0"/>
          <w:szCs w:val="22"/>
          <w:lang w:eastAsia="en-US"/>
        </w:rPr>
      </w:pPr>
      <w:r w:rsidRPr="00F3677D">
        <w:rPr>
          <w:rStyle w:val="QuoteChar"/>
          <w:rFonts w:asciiTheme="minorHAnsi" w:eastAsia="Cambria" w:hAnsiTheme="minorHAnsi"/>
          <w:i w:val="0"/>
          <w:iCs w:val="0"/>
          <w:color w:val="auto"/>
          <w:kern w:val="0"/>
          <w:szCs w:val="22"/>
          <w:lang w:eastAsia="en-US"/>
        </w:rPr>
        <w:t>Module 5.3.6</w:t>
      </w:r>
      <w:r w:rsidR="00F3677D">
        <w:rPr>
          <w:rStyle w:val="QuoteChar"/>
          <w:rFonts w:asciiTheme="minorHAnsi" w:eastAsia="Cambria" w:hAnsiTheme="minorHAnsi"/>
          <w:i w:val="0"/>
          <w:iCs w:val="0"/>
          <w:color w:val="auto"/>
          <w:kern w:val="0"/>
          <w:szCs w:val="22"/>
          <w:lang w:eastAsia="en-US"/>
        </w:rPr>
        <w:t xml:space="preserve"> of the sponsor’s submission</w:t>
      </w:r>
      <w:r w:rsidRPr="00F3677D">
        <w:rPr>
          <w:rStyle w:val="QuoteChar"/>
          <w:rFonts w:asciiTheme="minorHAnsi" w:eastAsia="Cambria" w:hAnsiTheme="minorHAnsi"/>
          <w:i w:val="0"/>
          <w:iCs w:val="0"/>
          <w:color w:val="auto"/>
          <w:kern w:val="0"/>
          <w:szCs w:val="22"/>
          <w:lang w:eastAsia="en-US"/>
        </w:rPr>
        <w:t xml:space="preserve"> stated that Reports of Pos</w:t>
      </w:r>
      <w:r w:rsidR="00F3677D">
        <w:rPr>
          <w:rStyle w:val="QuoteChar"/>
          <w:rFonts w:asciiTheme="minorHAnsi" w:eastAsia="Cambria" w:hAnsiTheme="minorHAnsi" w:cs="Arial"/>
          <w:i w:val="0"/>
          <w:iCs w:val="0"/>
          <w:color w:val="auto"/>
          <w:szCs w:val="20"/>
        </w:rPr>
        <w:t xml:space="preserve">t Marketing Experience were not </w:t>
      </w:r>
      <w:r w:rsidRPr="00F3677D">
        <w:rPr>
          <w:rStyle w:val="QuoteChar"/>
          <w:rFonts w:asciiTheme="minorHAnsi" w:eastAsia="Cambria" w:hAnsiTheme="minorHAnsi"/>
          <w:i w:val="0"/>
          <w:iCs w:val="0"/>
          <w:color w:val="auto"/>
          <w:kern w:val="0"/>
          <w:szCs w:val="22"/>
          <w:lang w:eastAsia="en-US"/>
        </w:rPr>
        <w:t xml:space="preserve">applicable (NA). Section 6 of the </w:t>
      </w:r>
      <w:r w:rsidR="00F3677D">
        <w:rPr>
          <w:rStyle w:val="QuoteChar"/>
          <w:rFonts w:asciiTheme="minorHAnsi" w:eastAsia="Cambria" w:hAnsiTheme="minorHAnsi"/>
          <w:i w:val="0"/>
          <w:iCs w:val="0"/>
          <w:color w:val="auto"/>
          <w:kern w:val="0"/>
          <w:szCs w:val="22"/>
          <w:lang w:eastAsia="en-US"/>
        </w:rPr>
        <w:t xml:space="preserve">sponsor’s </w:t>
      </w:r>
      <w:r w:rsidRPr="00F3677D">
        <w:rPr>
          <w:rStyle w:val="QuoteChar"/>
          <w:rFonts w:asciiTheme="minorHAnsi" w:eastAsia="Cambria" w:hAnsiTheme="minorHAnsi"/>
          <w:i w:val="0"/>
          <w:iCs w:val="0"/>
          <w:color w:val="auto"/>
          <w:kern w:val="0"/>
          <w:szCs w:val="22"/>
          <w:lang w:eastAsia="en-US"/>
        </w:rPr>
        <w:t>Summary of Clinical Safety (SCS) has a review of the Postmarketing experience as follows.</w:t>
      </w:r>
    </w:p>
    <w:p w:rsidR="002900A2" w:rsidRPr="00B05CC9" w:rsidRDefault="002900A2" w:rsidP="00F76A06">
      <w:r w:rsidRPr="00B05CC9">
        <w:t xml:space="preserve">The </w:t>
      </w:r>
      <w:proofErr w:type="spellStart"/>
      <w:r w:rsidRPr="00B05CC9">
        <w:t>postmarketing</w:t>
      </w:r>
      <w:proofErr w:type="spellEnd"/>
      <w:r w:rsidRPr="00B05CC9">
        <w:t xml:space="preserve"> experience with </w:t>
      </w:r>
      <w:proofErr w:type="spellStart"/>
      <w:r w:rsidRPr="00B05CC9">
        <w:t>bevacizumab</w:t>
      </w:r>
      <w:proofErr w:type="spellEnd"/>
      <w:r w:rsidRPr="00B05CC9">
        <w:t xml:space="preserve"> was based on safety data contained in nine previously scheduled Periodic Safety Update Reports (PSURs). The total number of patients exposed to </w:t>
      </w:r>
      <w:proofErr w:type="spellStart"/>
      <w:r w:rsidRPr="00B05CC9">
        <w:t>bevacizumab</w:t>
      </w:r>
      <w:proofErr w:type="spellEnd"/>
      <w:r w:rsidRPr="00B05CC9">
        <w:t xml:space="preserve"> in the </w:t>
      </w:r>
      <w:proofErr w:type="spellStart"/>
      <w:r w:rsidRPr="00B05CC9">
        <w:t>postmarketing</w:t>
      </w:r>
      <w:proofErr w:type="spellEnd"/>
      <w:r w:rsidRPr="00B05CC9">
        <w:t xml:space="preserve"> setting or in clinical trials over the 8</w:t>
      </w:r>
      <w:r w:rsidR="00F3677D">
        <w:t xml:space="preserve"> </w:t>
      </w:r>
      <w:r w:rsidRPr="00B05CC9">
        <w:t xml:space="preserve">year period covered by the </w:t>
      </w:r>
      <w:r w:rsidR="00F3677D">
        <w:t>Periodic Safety Update Reports (</w:t>
      </w:r>
      <w:r w:rsidRPr="00B05CC9">
        <w:t>PSURs</w:t>
      </w:r>
      <w:r w:rsidR="00F3677D">
        <w:t>)</w:t>
      </w:r>
      <w:r w:rsidRPr="00B05CC9">
        <w:t xml:space="preserve"> is estimated to be approximately 1,339,560 patients.</w:t>
      </w:r>
    </w:p>
    <w:p w:rsidR="002900A2" w:rsidRPr="00B05CC9" w:rsidRDefault="002900A2" w:rsidP="00F76A06">
      <w:r w:rsidRPr="00B05CC9">
        <w:t>During the 9</w:t>
      </w:r>
      <w:r w:rsidR="00F3677D">
        <w:t xml:space="preserve"> </w:t>
      </w:r>
      <w:r w:rsidRPr="00B05CC9">
        <w:t xml:space="preserve">year period from 26 February 2004 to 25 February 2012, a total of 53,586 </w:t>
      </w:r>
      <w:r w:rsidR="00F3677D">
        <w:t>adverse events (</w:t>
      </w:r>
      <w:r w:rsidRPr="00B05CC9">
        <w:t>AEs</w:t>
      </w:r>
      <w:r w:rsidR="00F3677D">
        <w:t>)</w:t>
      </w:r>
      <w:r w:rsidRPr="00B05CC9">
        <w:t>, of which 44,427 were serious, were reported in 28,252 patients (2.1%). In 3,411 cases (0.3%), the outcome was fatal. Data for each PSUR reporting period and for the cumulative 8</w:t>
      </w:r>
      <w:r w:rsidR="00F3677D">
        <w:t xml:space="preserve"> </w:t>
      </w:r>
      <w:r w:rsidRPr="00B05CC9">
        <w:t xml:space="preserve">year period </w:t>
      </w:r>
      <w:r w:rsidR="00F3677D">
        <w:t>were submitted</w:t>
      </w:r>
      <w:r w:rsidRPr="00B05CC9">
        <w:t>. Overall, the incidence of patients reporting AEs, the proportion of AEs considered serious and the incidence of patients with AEs leading to death has re</w:t>
      </w:r>
      <w:r w:rsidR="00262FD3">
        <w:t>mained stable over this period.</w:t>
      </w:r>
    </w:p>
    <w:p w:rsidR="002900A2" w:rsidRPr="00B05CC9" w:rsidRDefault="002900A2" w:rsidP="00F76A06">
      <w:r w:rsidRPr="00B05CC9">
        <w:t xml:space="preserve">The most frequently reported serious adverse events in patients treated with </w:t>
      </w:r>
      <w:proofErr w:type="spellStart"/>
      <w:r w:rsidRPr="00B05CC9">
        <w:t>bevacizumab</w:t>
      </w:r>
      <w:proofErr w:type="spellEnd"/>
      <w:r w:rsidRPr="00B05CC9">
        <w:t xml:space="preserve"> during the reporting period 26 February 2011 to 25 February 2012 were GI disorders (19.0%), general disorders and administration site conditions (10.5%), infections and infestations (9.2%), vascular disorders (7.8%), and nervous system disorders (7.3%).</w:t>
      </w:r>
    </w:p>
    <w:p w:rsidR="00AD561C" w:rsidRPr="00F76A06" w:rsidRDefault="00262FD3" w:rsidP="00F3677D">
      <w:pPr>
        <w:ind w:left="993" w:hanging="993"/>
        <w:rPr>
          <w:b/>
        </w:rPr>
      </w:pPr>
      <w:r w:rsidRPr="00F76A06">
        <w:rPr>
          <w:b/>
        </w:rPr>
        <w:lastRenderedPageBreak/>
        <w:t>Comment:</w:t>
      </w:r>
    </w:p>
    <w:p w:rsidR="002900A2" w:rsidRPr="00B05CC9" w:rsidRDefault="002900A2" w:rsidP="00F76A06">
      <w:pPr>
        <w:ind w:left="720"/>
      </w:pPr>
      <w:r w:rsidRPr="00B05CC9">
        <w:t xml:space="preserve">The tables do not identify AEs by preferred terms but by </w:t>
      </w:r>
      <w:r w:rsidR="00F3677D">
        <w:t>System organ Classes (</w:t>
      </w:r>
      <w:r w:rsidRPr="00B05CC9">
        <w:t>SOCs</w:t>
      </w:r>
      <w:r w:rsidR="00F3677D">
        <w:t>)</w:t>
      </w:r>
      <w:r w:rsidRPr="00B05CC9">
        <w:t>. It is important to know the frequency of the drug-related AE by preferred terms in the SOCs GI disorders, vascular disorders and nervous system disorders so that a comparison can be made with the frequency of these AEs in the pivotal trial. The sponsor will be asked to provide this. The postmarketing information given in the current PI lists mainly rarely reported AE</w:t>
      </w:r>
      <w:r w:rsidR="00262FD3">
        <w:t>s and AEs of unknown frequency.</w:t>
      </w:r>
    </w:p>
    <w:p w:rsidR="00605AD4" w:rsidRPr="00605AD4" w:rsidRDefault="00605AD4" w:rsidP="00F76A06">
      <w:pPr>
        <w:pStyle w:val="Heading4"/>
      </w:pPr>
      <w:r w:rsidRPr="00605AD4">
        <w:t>Evaluator’s conclusions on safety</w:t>
      </w:r>
    </w:p>
    <w:p w:rsidR="002900A2" w:rsidRPr="00B05CC9" w:rsidRDefault="002900A2" w:rsidP="00F76A06">
      <w:pPr>
        <w:pStyle w:val="Heading5"/>
      </w:pPr>
      <w:r w:rsidRPr="00B05CC9">
        <w:t>Drug exposure in the pivotal study</w:t>
      </w:r>
    </w:p>
    <w:p w:rsidR="002900A2" w:rsidRPr="00F3677D" w:rsidRDefault="002900A2" w:rsidP="00F76A06">
      <w:pPr>
        <w:pStyle w:val="ListBullet"/>
      </w:pPr>
      <w:r w:rsidRPr="00F3677D">
        <w:t xml:space="preserve">Patients in the CT+BV arm received treatment for twice as long and received twice as many cycles as those in the CT arm, </w:t>
      </w:r>
      <w:r w:rsidR="00262FD3">
        <w:t>except for those receiving PLD.</w:t>
      </w:r>
    </w:p>
    <w:p w:rsidR="002900A2" w:rsidRPr="00F3677D" w:rsidRDefault="002900A2" w:rsidP="00F76A06">
      <w:pPr>
        <w:pStyle w:val="ListBullet"/>
      </w:pPr>
      <w:r w:rsidRPr="00F3677D">
        <w:t xml:space="preserve">The median number of treatment cycles of </w:t>
      </w:r>
      <w:proofErr w:type="spellStart"/>
      <w:r w:rsidRPr="00F3677D">
        <w:t>bevacizumab</w:t>
      </w:r>
      <w:proofErr w:type="spellEnd"/>
      <w:r w:rsidRPr="00F3677D">
        <w:t xml:space="preserve"> before cross-over treatment was 6 and after cross-over, 4.5. Dose-intensity after cross-over was not provided.</w:t>
      </w:r>
    </w:p>
    <w:p w:rsidR="002900A2" w:rsidRPr="00B05CC9" w:rsidRDefault="002900A2" w:rsidP="00F76A06">
      <w:pPr>
        <w:pStyle w:val="Heading5"/>
      </w:pPr>
      <w:r w:rsidRPr="00B05CC9">
        <w:t xml:space="preserve">Adverse </w:t>
      </w:r>
      <w:r w:rsidR="00262FD3">
        <w:t>e</w:t>
      </w:r>
      <w:r w:rsidRPr="00B05CC9">
        <w:t>vents</w:t>
      </w:r>
    </w:p>
    <w:p w:rsidR="002900A2" w:rsidRPr="00B05CC9" w:rsidRDefault="002900A2" w:rsidP="00F76A06">
      <w:pPr>
        <w:pStyle w:val="ListBullet"/>
      </w:pPr>
      <w:r w:rsidRPr="00B05CC9">
        <w:t>The overall incidence of adverse events (Grade 2–5 collected) was 87.3% in the CT arm compared with 91.1% in the CT+BV arm. The incidence of Grade 3</w:t>
      </w:r>
      <w:r w:rsidR="000F70F6">
        <w:t xml:space="preserve"> to </w:t>
      </w:r>
      <w:r w:rsidRPr="00B05CC9">
        <w:t xml:space="preserve">5 adverse events was 53.0% in the CT arm compared with 59.2% in the CT+BV arm before cross-over and 26.4% from </w:t>
      </w:r>
      <w:proofErr w:type="spellStart"/>
      <w:r w:rsidRPr="00B05CC9">
        <w:t>bevacizumab</w:t>
      </w:r>
      <w:proofErr w:type="spellEnd"/>
      <w:r w:rsidRPr="00B05CC9">
        <w:t xml:space="preserve"> treatment after cross-over. The incidence of patients who experienced serious adverse events was 27.1% in the CT arm compared with 31.3% in the CT+BV arm before cross-over, and 16.7% from </w:t>
      </w:r>
      <w:proofErr w:type="spellStart"/>
      <w:r w:rsidRPr="00B05CC9">
        <w:t>bevacizu</w:t>
      </w:r>
      <w:r w:rsidR="00262FD3">
        <w:t>mab</w:t>
      </w:r>
      <w:proofErr w:type="spellEnd"/>
      <w:r w:rsidR="00262FD3">
        <w:t xml:space="preserve"> treatment after cross-over.</w:t>
      </w:r>
    </w:p>
    <w:p w:rsidR="002900A2" w:rsidRPr="00B05CC9" w:rsidRDefault="002900A2" w:rsidP="00F76A06">
      <w:pPr>
        <w:pStyle w:val="ListBullet"/>
      </w:pPr>
      <w:r w:rsidRPr="00B05CC9">
        <w:t xml:space="preserve">Grade 2–5 adverse events showing at least </w:t>
      </w:r>
      <w:r w:rsidRPr="000F70F6">
        <w:t>10% higher incidence in the CT+BV arm</w:t>
      </w:r>
      <w:r w:rsidRPr="00B05CC9">
        <w:t xml:space="preserve"> than the CT arm were </w:t>
      </w:r>
      <w:r w:rsidRPr="000F70F6">
        <w:t xml:space="preserve">hypertension (CT: 5.5% </w:t>
      </w:r>
      <w:r w:rsidR="000F70F6">
        <w:t>versus</w:t>
      </w:r>
      <w:r w:rsidRPr="000F70F6">
        <w:t xml:space="preserve"> CT+BV: 19.0%), proteinuria (CT: 0.6% </w:t>
      </w:r>
      <w:r w:rsidR="000F70F6">
        <w:t>versus</w:t>
      </w:r>
      <w:r w:rsidRPr="000F70F6">
        <w:t xml:space="preserve"> CT+BV: 12.3%) and peripheral sensory neuropathy (CT: 7.2% </w:t>
      </w:r>
      <w:r w:rsidR="000F70F6">
        <w:t>versus</w:t>
      </w:r>
      <w:r w:rsidRPr="000F70F6">
        <w:t xml:space="preserve"> CT+BV: 17.9%).</w:t>
      </w:r>
      <w:r w:rsidR="00B51A1A" w:rsidRPr="000F70F6">
        <w:t xml:space="preserve"> </w:t>
      </w:r>
      <w:r w:rsidRPr="000F70F6">
        <w:t xml:space="preserve">Those showing at least 5% higher incidence in the CT+BV arm than the CT arm were mucosal inflammation (CT: 5.5% </w:t>
      </w:r>
      <w:r w:rsidR="000F70F6">
        <w:t>versus</w:t>
      </w:r>
      <w:r w:rsidRPr="000F70F6">
        <w:t xml:space="preserve"> CT+BV: 12.8%), infection (CT: 4.4% </w:t>
      </w:r>
      <w:r w:rsidR="000F70F6">
        <w:t>versus</w:t>
      </w:r>
      <w:r w:rsidRPr="000F70F6">
        <w:t xml:space="preserve"> CT+BV: 10.6%), palmar-plantar </w:t>
      </w:r>
      <w:proofErr w:type="spellStart"/>
      <w:r w:rsidRPr="000F70F6">
        <w:t>erythrodysaesthesia</w:t>
      </w:r>
      <w:proofErr w:type="spellEnd"/>
      <w:r w:rsidRPr="000F70F6">
        <w:t xml:space="preserve"> syndrome (CT: 5.0% </w:t>
      </w:r>
      <w:r w:rsidR="000F70F6">
        <w:t>versus</w:t>
      </w:r>
      <w:r w:rsidRPr="000F70F6">
        <w:t xml:space="preserve"> CT+BV: 10.6%), neutropenia (CT: 25.4% </w:t>
      </w:r>
      <w:r w:rsidR="000F70F6">
        <w:t>versus</w:t>
      </w:r>
      <w:r w:rsidRPr="000F70F6">
        <w:t xml:space="preserve"> CT+BV: 30.7%) and epistaxis (CT: 0 </w:t>
      </w:r>
      <w:r w:rsidR="000F70F6">
        <w:t>versus</w:t>
      </w:r>
      <w:r w:rsidRPr="000F70F6">
        <w:t xml:space="preserve"> CT+BV: 5.0%). The only Grade 2</w:t>
      </w:r>
      <w:r w:rsidR="000F70F6">
        <w:t xml:space="preserve"> to </w:t>
      </w:r>
      <w:r w:rsidRPr="000F70F6">
        <w:t xml:space="preserve">5 adverse </w:t>
      </w:r>
      <w:proofErr w:type="gramStart"/>
      <w:r w:rsidRPr="000F70F6">
        <w:t>event</w:t>
      </w:r>
      <w:proofErr w:type="gramEnd"/>
      <w:r w:rsidRPr="000F70F6">
        <w:t xml:space="preserve"> that showed a difference of at least 5% higher incidence in the CT arm was an</w:t>
      </w:r>
      <w:r w:rsidR="000F70F6">
        <w:t>a</w:t>
      </w:r>
      <w:r w:rsidRPr="000F70F6">
        <w:t xml:space="preserve">emia (CT: 26.5% </w:t>
      </w:r>
      <w:r w:rsidR="000F70F6">
        <w:t>versus</w:t>
      </w:r>
      <w:r w:rsidRPr="00B05CC9">
        <w:t xml:space="preserve"> CT+BV: 19.6%).</w:t>
      </w:r>
    </w:p>
    <w:p w:rsidR="002900A2" w:rsidRPr="00B05CC9" w:rsidRDefault="002900A2" w:rsidP="00F76A06">
      <w:pPr>
        <w:pStyle w:val="ListBullet"/>
      </w:pPr>
      <w:r w:rsidRPr="00B05CC9">
        <w:t>Grade 5 adverse events occurred in 5 patients (2.8%) in the CT arm and 6 patients (3.4%) in the CT+BV arm before cross-over and in one patient (1.4%) after cross-over. A total of 6 patients in the CT arm and 9 in the CT+BV arm died due to adverse events. The difference was that Grade 5 AEs were limited to the study period up to 30 days after last treatment whereas the total number included p</w:t>
      </w:r>
      <w:r w:rsidR="00262FD3">
        <w:t>atients in the study follow-up.</w:t>
      </w:r>
    </w:p>
    <w:p w:rsidR="002900A2" w:rsidRPr="00B05CC9" w:rsidRDefault="002900A2" w:rsidP="00F76A06">
      <w:pPr>
        <w:pStyle w:val="ListBullet"/>
      </w:pPr>
      <w:r w:rsidRPr="00B05CC9">
        <w:t xml:space="preserve">The incidence of adverse events leading to withdrawal of study treatment was 8.8% in the CT arm compared with 43.6% in the CT+BV arm. The most frequently occurring adverse events leading to withdrawal of study treatment with chemotherapy or </w:t>
      </w:r>
      <w:proofErr w:type="spellStart"/>
      <w:r w:rsidRPr="00B05CC9">
        <w:t>bevacizumab</w:t>
      </w:r>
      <w:proofErr w:type="spellEnd"/>
      <w:r w:rsidRPr="00B05CC9">
        <w:t xml:space="preserve"> were peripheral sensory neuropathy, palmar-plantar </w:t>
      </w:r>
      <w:proofErr w:type="spellStart"/>
      <w:r w:rsidRPr="00B05CC9">
        <w:t>erythrodysesthesia</w:t>
      </w:r>
      <w:proofErr w:type="spellEnd"/>
      <w:r w:rsidRPr="00B05CC9">
        <w:t xml:space="preserve"> syndrome, fatigue, proteinuria and neutropenia.</w:t>
      </w:r>
    </w:p>
    <w:p w:rsidR="002900A2" w:rsidRPr="00B05CC9" w:rsidRDefault="002900A2" w:rsidP="00F76A06">
      <w:pPr>
        <w:pStyle w:val="ListBullet"/>
      </w:pPr>
      <w:r w:rsidRPr="00B05CC9">
        <w:t xml:space="preserve">More patients discontinued treatment in the paclitaxel plus </w:t>
      </w:r>
      <w:proofErr w:type="spellStart"/>
      <w:r w:rsidRPr="00B05CC9">
        <w:t>bevaciamab</w:t>
      </w:r>
      <w:proofErr w:type="spellEnd"/>
      <w:r w:rsidRPr="00B05CC9">
        <w:t xml:space="preserve"> compared to the paclitaxel arm (16% v</w:t>
      </w:r>
      <w:r w:rsidR="000F70F6">
        <w:t>ersu</w:t>
      </w:r>
      <w:r w:rsidR="00AB6693">
        <w:t>s</w:t>
      </w:r>
      <w:r w:rsidRPr="00B05CC9">
        <w:t xml:space="preserve"> CT+BV 45%) than with </w:t>
      </w:r>
      <w:proofErr w:type="spellStart"/>
      <w:r w:rsidRPr="00B05CC9">
        <w:t>topotecan</w:t>
      </w:r>
      <w:proofErr w:type="spellEnd"/>
      <w:r w:rsidRPr="00B05CC9">
        <w:t xml:space="preserve"> and </w:t>
      </w:r>
      <w:proofErr w:type="spellStart"/>
      <w:r w:rsidR="000F70F6">
        <w:t>pegylated</w:t>
      </w:r>
      <w:proofErr w:type="spellEnd"/>
      <w:r w:rsidR="000F70F6">
        <w:t xml:space="preserve"> liposomal doxorubicin</w:t>
      </w:r>
      <w:r w:rsidR="000F70F6" w:rsidRPr="00B05CC9">
        <w:t xml:space="preserve"> </w:t>
      </w:r>
      <w:r w:rsidR="000F70F6">
        <w:t>(</w:t>
      </w:r>
      <w:r w:rsidRPr="00B05CC9">
        <w:t>PLD</w:t>
      </w:r>
      <w:r w:rsidR="000F70F6">
        <w:t>)</w:t>
      </w:r>
      <w:r w:rsidRPr="00B05CC9">
        <w:t xml:space="preserve"> chemotherapy.</w:t>
      </w:r>
    </w:p>
    <w:p w:rsidR="002900A2" w:rsidRPr="00B05CC9" w:rsidRDefault="002900A2" w:rsidP="00F76A06">
      <w:pPr>
        <w:pStyle w:val="ListBullet"/>
      </w:pPr>
      <w:r w:rsidRPr="00B05CC9">
        <w:t xml:space="preserve">The incidences of adverse events of special interest were higher in the CT+BV arm (21.8%) as compared to the CT arm (5.1%). Individual AEs of special interest are </w:t>
      </w:r>
      <w:r w:rsidRPr="00B05CC9">
        <w:lastRenderedPageBreak/>
        <w:t>summari</w:t>
      </w:r>
      <w:r w:rsidR="000F70F6">
        <w:t>s</w:t>
      </w:r>
      <w:r w:rsidRPr="00B05CC9">
        <w:t xml:space="preserve">ed in </w:t>
      </w:r>
      <w:r w:rsidR="003A094D">
        <w:t>Adverse events of special interest Pivotal study</w:t>
      </w:r>
      <w:r w:rsidR="000F70F6">
        <w:t xml:space="preserve"> (Attachment 2)</w:t>
      </w:r>
      <w:r w:rsidRPr="00B05CC9">
        <w:t>.</w:t>
      </w:r>
      <w:r w:rsidR="00B51A1A">
        <w:t xml:space="preserve"> </w:t>
      </w:r>
      <w:r w:rsidRPr="00B05CC9">
        <w:t xml:space="preserve">The incidence of GI perforations was 1.7% (n=3) in the CT+BV arm. One patient in the CT arm developed a fatal peritonitis. One patient experienced </w:t>
      </w:r>
      <w:r w:rsidR="000F70F6">
        <w:t>posterior reversible encephalopathy syndrome</w:t>
      </w:r>
      <w:r w:rsidR="000F70F6" w:rsidRPr="00B05CC9">
        <w:t xml:space="preserve"> </w:t>
      </w:r>
      <w:r w:rsidR="000F70F6">
        <w:t>(</w:t>
      </w:r>
      <w:r w:rsidRPr="00B05CC9">
        <w:t>PRES</w:t>
      </w:r>
      <w:r w:rsidR="000F70F6">
        <w:t>)</w:t>
      </w:r>
      <w:r w:rsidRPr="00B05CC9">
        <w:t xml:space="preserve"> in the CT+BV arm and another possible before cross-over and a third after cross-o</w:t>
      </w:r>
      <w:r w:rsidR="00262FD3">
        <w:t xml:space="preserve">ver treatment with </w:t>
      </w:r>
      <w:proofErr w:type="spellStart"/>
      <w:r w:rsidR="00262FD3">
        <w:t>bevacizumab</w:t>
      </w:r>
      <w:proofErr w:type="spellEnd"/>
      <w:r w:rsidR="00262FD3">
        <w:t>.</w:t>
      </w:r>
    </w:p>
    <w:p w:rsidR="00AD561C" w:rsidRPr="008037E0" w:rsidRDefault="00262FD3" w:rsidP="000F70F6">
      <w:pPr>
        <w:ind w:left="993" w:hanging="993"/>
        <w:rPr>
          <w:b/>
        </w:rPr>
      </w:pPr>
      <w:r w:rsidRPr="008037E0">
        <w:rPr>
          <w:b/>
        </w:rPr>
        <w:t>Comment:</w:t>
      </w:r>
    </w:p>
    <w:p w:rsidR="002900A2" w:rsidRPr="00B05CC9" w:rsidRDefault="002900A2" w:rsidP="00F76A06">
      <w:pPr>
        <w:ind w:left="720"/>
      </w:pPr>
      <w:r w:rsidRPr="00B05CC9">
        <w:t>The figure of 3 patients in the CT+BV arm (SCS and CSR) should be 4, if a probable case i</w:t>
      </w:r>
      <w:r w:rsidR="00AB6693">
        <w:t>s</w:t>
      </w:r>
      <w:r w:rsidRPr="00B05CC9">
        <w:t xml:space="preserve"> included (see Comment, </w:t>
      </w:r>
      <w:r w:rsidR="00255358">
        <w:t>Gastrointestinal perforation,</w:t>
      </w:r>
      <w:r w:rsidR="000F70F6">
        <w:t xml:space="preserve"> Attachment 2</w:t>
      </w:r>
      <w:r w:rsidRPr="00B05CC9">
        <w:t>)</w:t>
      </w:r>
      <w:r w:rsidR="00262FD3">
        <w:t>.</w:t>
      </w:r>
    </w:p>
    <w:p w:rsidR="002900A2" w:rsidRPr="00B05CC9" w:rsidRDefault="002900A2" w:rsidP="00F76A06">
      <w:pPr>
        <w:pStyle w:val="ListBullet"/>
      </w:pPr>
      <w:r w:rsidRPr="00B05CC9">
        <w:t xml:space="preserve">The incidence of serious adverse events reported were higher in the CT+BV arm for patients </w:t>
      </w:r>
      <w:r w:rsidR="000F70F6">
        <w:t>≥</w:t>
      </w:r>
      <w:r w:rsidRPr="00B05CC9">
        <w:t xml:space="preserve"> 65 years of age (38.6%), compared to those 65 or less (26.6%). These</w:t>
      </w:r>
      <w:r w:rsidR="00B51A1A">
        <w:t xml:space="preserve"> </w:t>
      </w:r>
      <w:r w:rsidRPr="00B05CC9">
        <w:t>included fatigue, alopecia, mucosal inflammation, peripheral sens</w:t>
      </w:r>
      <w:r w:rsidR="00F76A06">
        <w:t>ory neuropathy and hypertension</w:t>
      </w:r>
    </w:p>
    <w:p w:rsidR="002900A2" w:rsidRPr="00B05CC9" w:rsidRDefault="002900A2" w:rsidP="00F76A06">
      <w:pPr>
        <w:pStyle w:val="ListBullet"/>
      </w:pPr>
      <w:r w:rsidRPr="00B05CC9">
        <w:t xml:space="preserve">Addition of </w:t>
      </w:r>
      <w:proofErr w:type="spellStart"/>
      <w:r w:rsidRPr="00B05CC9">
        <w:t>bevacizumab</w:t>
      </w:r>
      <w:proofErr w:type="spellEnd"/>
      <w:r w:rsidRPr="00B05CC9">
        <w:t xml:space="preserve"> to paclitaxel and PLD increased the frequency of serious AEs by approximately 8%. Peripheral sensory neuropathy was more frequently reported in the paclitaxel cohort and palmar-plantar </w:t>
      </w:r>
      <w:proofErr w:type="spellStart"/>
      <w:r w:rsidRPr="00B05CC9">
        <w:t>erythrodysesthe</w:t>
      </w:r>
      <w:r w:rsidR="00F76A06">
        <w:t>sia</w:t>
      </w:r>
      <w:proofErr w:type="spellEnd"/>
      <w:r w:rsidR="00F76A06">
        <w:t xml:space="preserve"> syndrome in the PLD cohort</w:t>
      </w:r>
    </w:p>
    <w:p w:rsidR="002900A2" w:rsidRPr="00B05CC9" w:rsidRDefault="002900A2" w:rsidP="00F76A06">
      <w:pPr>
        <w:pStyle w:val="ListBullet"/>
      </w:pPr>
      <w:r w:rsidRPr="00B05CC9">
        <w:t xml:space="preserve">The safety of </w:t>
      </w:r>
      <w:proofErr w:type="spellStart"/>
      <w:r w:rsidRPr="00B05CC9">
        <w:t>bevacizumab</w:t>
      </w:r>
      <w:proofErr w:type="spellEnd"/>
      <w:r w:rsidRPr="00B05CC9">
        <w:t xml:space="preserve"> in combination with chemotherapy could not be assessed in patients with ascites, since this sub-group was not separately assessed for safety.</w:t>
      </w:r>
    </w:p>
    <w:p w:rsidR="00605AD4" w:rsidRPr="00605AD4" w:rsidRDefault="002900A2" w:rsidP="00F76A06">
      <w:r w:rsidRPr="00B05CC9">
        <w:t xml:space="preserve">Although a comparison of the incidence of AEs, particularly those of special </w:t>
      </w:r>
      <w:proofErr w:type="gramStart"/>
      <w:r w:rsidRPr="00B05CC9">
        <w:t>interest,</w:t>
      </w:r>
      <w:proofErr w:type="gramEnd"/>
      <w:r w:rsidRPr="00B05CC9">
        <w:t xml:space="preserve"> showed a similar incidence in the pivotal study and in other reported clinical trials of different tumo</w:t>
      </w:r>
      <w:r w:rsidR="000F70F6">
        <w:t>u</w:t>
      </w:r>
      <w:r w:rsidRPr="00B05CC9">
        <w:t>r types, a comparison with the incidence in postmarketing reports could not be made as these data were not provided.</w:t>
      </w:r>
    </w:p>
    <w:p w:rsidR="00605AD4" w:rsidRPr="00605AD4" w:rsidRDefault="00605AD4" w:rsidP="00F76A06">
      <w:pPr>
        <w:pStyle w:val="Heading3"/>
        <w:rPr>
          <w:rFonts w:eastAsia="Cambria"/>
        </w:rPr>
      </w:pPr>
      <w:bookmarkStart w:id="82" w:name="_Toc415046265"/>
      <w:r w:rsidRPr="00605AD4">
        <w:rPr>
          <w:rFonts w:eastAsia="Cambria"/>
        </w:rPr>
        <w:t xml:space="preserve">First </w:t>
      </w:r>
      <w:r w:rsidR="00262FD3">
        <w:rPr>
          <w:rFonts w:eastAsia="Cambria"/>
        </w:rPr>
        <w:t>r</w:t>
      </w:r>
      <w:r w:rsidRPr="00605AD4">
        <w:rPr>
          <w:rFonts w:eastAsia="Cambria"/>
        </w:rPr>
        <w:t xml:space="preserve">ound </w:t>
      </w:r>
      <w:r w:rsidR="00262FD3">
        <w:rPr>
          <w:rFonts w:eastAsia="Cambria"/>
        </w:rPr>
        <w:t>b</w:t>
      </w:r>
      <w:r w:rsidRPr="00605AD4">
        <w:rPr>
          <w:rFonts w:eastAsia="Cambria"/>
        </w:rPr>
        <w:t>enefit-</w:t>
      </w:r>
      <w:r w:rsidR="00262FD3">
        <w:rPr>
          <w:rFonts w:eastAsia="Cambria"/>
        </w:rPr>
        <w:t>r</w:t>
      </w:r>
      <w:r w:rsidRPr="00605AD4">
        <w:rPr>
          <w:rFonts w:eastAsia="Cambria"/>
        </w:rPr>
        <w:t xml:space="preserve">isk </w:t>
      </w:r>
      <w:r w:rsidR="00262FD3">
        <w:rPr>
          <w:rFonts w:eastAsia="Cambria"/>
        </w:rPr>
        <w:t>a</w:t>
      </w:r>
      <w:r w:rsidRPr="00605AD4">
        <w:rPr>
          <w:rFonts w:eastAsia="Cambria"/>
        </w:rPr>
        <w:t>ssessment</w:t>
      </w:r>
      <w:bookmarkEnd w:id="82"/>
    </w:p>
    <w:p w:rsidR="00605AD4" w:rsidRDefault="00605AD4" w:rsidP="00F76A06">
      <w:pPr>
        <w:pStyle w:val="Heading4"/>
      </w:pPr>
      <w:r w:rsidRPr="00605AD4">
        <w:t>First round assessment of benefits</w:t>
      </w:r>
    </w:p>
    <w:p w:rsidR="002900A2" w:rsidRPr="00B05CC9" w:rsidRDefault="002900A2" w:rsidP="00F76A06">
      <w:r w:rsidRPr="00B05CC9">
        <w:t xml:space="preserve">The benefit of </w:t>
      </w:r>
      <w:proofErr w:type="spellStart"/>
      <w:r w:rsidRPr="00B05CC9">
        <w:t>bevacizumab</w:t>
      </w:r>
      <w:proofErr w:type="spellEnd"/>
      <w:r w:rsidRPr="00B05CC9">
        <w:t xml:space="preserve"> in the proposed usage was</w:t>
      </w:r>
      <w:r w:rsidR="00262FD3">
        <w:t>:</w:t>
      </w:r>
    </w:p>
    <w:p w:rsidR="002900A2" w:rsidRPr="00B05CC9" w:rsidRDefault="002900A2" w:rsidP="00F76A06">
      <w:pPr>
        <w:pStyle w:val="ListBullet"/>
      </w:pPr>
      <w:r w:rsidRPr="00B05CC9">
        <w:t>A clinically important prolongation of Progression Free Survival (PFS) and a significant increase in the overall response rate in this patient population.</w:t>
      </w:r>
    </w:p>
    <w:p w:rsidR="002900A2" w:rsidRPr="00B05CC9" w:rsidRDefault="00262FD3" w:rsidP="00F76A06">
      <w:r>
        <w:t>However</w:t>
      </w:r>
    </w:p>
    <w:p w:rsidR="002900A2" w:rsidRPr="00B05CC9" w:rsidRDefault="002900A2" w:rsidP="00F76A06">
      <w:pPr>
        <w:pStyle w:val="ListBullet"/>
      </w:pPr>
      <w:r w:rsidRPr="00B05CC9">
        <w:t>No significant clinical benefit was demonstrated in Overall Survival (OS) in the CT+BV treatm</w:t>
      </w:r>
      <w:r w:rsidR="00262FD3">
        <w:t>ent arm compared to the CT arm.</w:t>
      </w:r>
    </w:p>
    <w:p w:rsidR="002900A2" w:rsidRPr="00B05CC9" w:rsidRDefault="002900A2" w:rsidP="00F76A06">
      <w:pPr>
        <w:pStyle w:val="ListBullet"/>
      </w:pPr>
      <w:r w:rsidRPr="00B05CC9">
        <w:t xml:space="preserve">No improvement in the QOL was demonstrated in any of the parameters assessed, although a benefit was demonstrated in the frequency of </w:t>
      </w:r>
      <w:proofErr w:type="spellStart"/>
      <w:r w:rsidRPr="00B05CC9">
        <w:t>paracenteses</w:t>
      </w:r>
      <w:proofErr w:type="spellEnd"/>
      <w:r w:rsidRPr="00B05CC9">
        <w:t xml:space="preserve"> of malignant ascites in the CT+BV group.</w:t>
      </w:r>
    </w:p>
    <w:p w:rsidR="000F70F6" w:rsidRDefault="002900A2" w:rsidP="00F76A06">
      <w:pPr>
        <w:pStyle w:val="Heading5"/>
      </w:pPr>
      <w:r w:rsidRPr="00B05CC9">
        <w:t>Why was OS not increased when t</w:t>
      </w:r>
      <w:r w:rsidR="00262FD3">
        <w:t>he PFS was prolonged?</w:t>
      </w:r>
    </w:p>
    <w:p w:rsidR="002900A2" w:rsidRPr="00B05CC9" w:rsidRDefault="002900A2" w:rsidP="00F76A06">
      <w:r w:rsidRPr="00B05CC9">
        <w:t>A detailed discussion on this issue is beyond the scope of this evaluation, as the possible reasons remain speculative. In brief it is noted that</w:t>
      </w:r>
      <w:r w:rsidR="00262FD3">
        <w:t>:</w:t>
      </w:r>
    </w:p>
    <w:p w:rsidR="002900A2" w:rsidRPr="00B05CC9" w:rsidRDefault="002900A2" w:rsidP="00F76A06">
      <w:pPr>
        <w:pStyle w:val="ListBullet"/>
      </w:pPr>
      <w:r w:rsidRPr="00B05CC9">
        <w:t xml:space="preserve">Survival of the 72 patients progressing on the CT arm may have benefited in terms of survival after cross-over treatment with </w:t>
      </w:r>
      <w:proofErr w:type="spellStart"/>
      <w:r w:rsidRPr="00B05CC9">
        <w:t>bevacizumab</w:t>
      </w:r>
      <w:proofErr w:type="spellEnd"/>
      <w:r w:rsidRPr="00B05CC9">
        <w:t>, so that the OS of the CT group approached that of the CT+BV group.</w:t>
      </w:r>
      <w:r w:rsidR="00B51A1A">
        <w:t xml:space="preserve"> </w:t>
      </w:r>
      <w:r w:rsidRPr="00B05CC9">
        <w:t xml:space="preserve">No response data for this group was </w:t>
      </w:r>
      <w:r w:rsidR="00F76A06">
        <w:t>provided to support this effect</w:t>
      </w:r>
    </w:p>
    <w:p w:rsidR="002900A2" w:rsidRPr="00B05CC9" w:rsidRDefault="002900A2" w:rsidP="00F76A06">
      <w:pPr>
        <w:pStyle w:val="ListBullet"/>
      </w:pPr>
      <w:r w:rsidRPr="00B05CC9">
        <w:t>Patients received</w:t>
      </w:r>
      <w:r w:rsidRPr="00B05CC9">
        <w:rPr>
          <w:b/>
        </w:rPr>
        <w:t xml:space="preserve"> </w:t>
      </w:r>
      <w:r w:rsidRPr="00B05CC9">
        <w:t xml:space="preserve">greater exposure (more cycles) of chemotherapy when administered with </w:t>
      </w:r>
      <w:proofErr w:type="spellStart"/>
      <w:r w:rsidRPr="00B05CC9">
        <w:t>bevacizumab</w:t>
      </w:r>
      <w:proofErr w:type="spellEnd"/>
      <w:r w:rsidRPr="00B05CC9">
        <w:t xml:space="preserve"> compared to chemotherapy alone. Administration of </w:t>
      </w:r>
      <w:proofErr w:type="spellStart"/>
      <w:r w:rsidRPr="00B05CC9">
        <w:t>bevacizumab</w:t>
      </w:r>
      <w:proofErr w:type="spellEnd"/>
      <w:r w:rsidRPr="00B05CC9">
        <w:t xml:space="preserve"> may have therefore allowed the delivery of longer treatment, although the dose intensity was similar to that seen from chemotherapy alone.</w:t>
      </w:r>
    </w:p>
    <w:p w:rsidR="002900A2" w:rsidRPr="000F70F6" w:rsidRDefault="002900A2" w:rsidP="00F76A06">
      <w:r w:rsidRPr="000F70F6">
        <w:lastRenderedPageBreak/>
        <w:t xml:space="preserve">One outstanding question is whether PFS was an appropriate end-point under international guidelines for a study of this type. The </w:t>
      </w:r>
      <w:r w:rsidR="000F70F6" w:rsidRPr="000F70F6">
        <w:rPr>
          <w:rStyle w:val="st1"/>
          <w:rFonts w:asciiTheme="minorHAnsi" w:hAnsiTheme="minorHAnsi" w:cs="Arial"/>
        </w:rPr>
        <w:t>Committee for Medicinal Products for Human Use (</w:t>
      </w:r>
      <w:r w:rsidRPr="000F70F6">
        <w:t>CHMP</w:t>
      </w:r>
      <w:r w:rsidR="000F70F6" w:rsidRPr="000F70F6">
        <w:t>)</w:t>
      </w:r>
      <w:r w:rsidRPr="000F70F6">
        <w:t xml:space="preserve"> Guideline on the Evaluation of Anticancer Medicinal Products in Man Dec</w:t>
      </w:r>
      <w:r w:rsidR="0024121F">
        <w:t>ember</w:t>
      </w:r>
      <w:r w:rsidRPr="000F70F6">
        <w:t xml:space="preserve"> 2005, page 17, states</w:t>
      </w:r>
      <w:r w:rsidR="00B51A1A" w:rsidRPr="000F70F6">
        <w:rPr>
          <w:rFonts w:ascii="Times New Roman" w:hAnsi="Times New Roman"/>
          <w:sz w:val="24"/>
        </w:rPr>
        <w:t xml:space="preserve">  </w:t>
      </w:r>
      <w:r w:rsidR="00B51A1A">
        <w:rPr>
          <w:rFonts w:ascii="Times New Roman" w:hAnsi="Times New Roman"/>
          <w:sz w:val="24"/>
        </w:rPr>
        <w:t>‘</w:t>
      </w:r>
      <w:r w:rsidRPr="000F70F6">
        <w:rPr>
          <w:rStyle w:val="QuoteChar"/>
          <w:rFonts w:eastAsia="Cambria"/>
          <w:color w:val="auto"/>
        </w:rPr>
        <w:t>If major differences in toxicity are expected in favour of the control regimen, OS should normally be selected as the most appropriate primary endpoint. Similarly, if there are no evidence based next line therapies available and if the period of time from disease progression to death is expected to be short, OS is considered to be the most appropriate endpoint; in most cases even if crossover is foreseen according to protocol. In cases where alternative endpoints are considered to adequately capture patient benefit, the choice has to be justified and scientific advice is recommended. PFS is an acceptable endpoint in situations where it is expected that further lines of treatment with effect on OS may importantly hamper the detection of a relevant treatment effect on OS.</w:t>
      </w:r>
      <w:r w:rsidR="00B51A1A" w:rsidRPr="000F70F6">
        <w:rPr>
          <w:rStyle w:val="QuoteChar"/>
          <w:rFonts w:eastAsia="Cambria"/>
          <w:color w:val="auto"/>
        </w:rPr>
        <w:t>’</w:t>
      </w:r>
      <w:r w:rsidR="000F70F6">
        <w:rPr>
          <w:rFonts w:ascii="Times New Roman" w:hAnsi="Times New Roman"/>
        </w:rPr>
        <w:t xml:space="preserve"> </w:t>
      </w:r>
      <w:r w:rsidRPr="000F70F6">
        <w:t xml:space="preserve">Regarding the latter point, no evidence is available indicating </w:t>
      </w:r>
      <w:proofErr w:type="spellStart"/>
      <w:r w:rsidRPr="000F70F6">
        <w:t>bevacizumab</w:t>
      </w:r>
      <w:proofErr w:type="spellEnd"/>
      <w:r w:rsidRPr="000F70F6">
        <w:t xml:space="preserve"> has activity in ovarian cancer that has progressed after treatment with </w:t>
      </w:r>
      <w:proofErr w:type="spellStart"/>
      <w:r w:rsidRPr="000F70F6">
        <w:t>bevacizumab</w:t>
      </w:r>
      <w:proofErr w:type="spellEnd"/>
      <w:r w:rsidRPr="000F70F6">
        <w:t xml:space="preserve"> combination therapy.</w:t>
      </w:r>
    </w:p>
    <w:p w:rsidR="00605AD4" w:rsidRDefault="00605AD4" w:rsidP="00F76A06">
      <w:pPr>
        <w:pStyle w:val="Heading4"/>
      </w:pPr>
      <w:r w:rsidRPr="00605AD4">
        <w:t>First round assessment of risks</w:t>
      </w:r>
    </w:p>
    <w:p w:rsidR="002900A2" w:rsidRPr="00B05CC9" w:rsidRDefault="002900A2" w:rsidP="00F76A06">
      <w:pPr>
        <w:pStyle w:val="ListBullet"/>
      </w:pPr>
      <w:r w:rsidRPr="00B05CC9">
        <w:t xml:space="preserve">The risks of increased frequency, more severe and more serious AEs in the usage of </w:t>
      </w:r>
      <w:proofErr w:type="spellStart"/>
      <w:r w:rsidRPr="00B05CC9">
        <w:t>bevacizumab</w:t>
      </w:r>
      <w:proofErr w:type="spellEnd"/>
      <w:r w:rsidRPr="00B05CC9">
        <w:t xml:space="preserve"> in combination with chemotherapy for the requested indication were confirmed in the pivotal study. The incidence was as reported in previous studies in different tumour types. The incidence of patients experiencing Grade 2</w:t>
      </w:r>
      <w:r w:rsidR="000F70F6">
        <w:t xml:space="preserve"> to </w:t>
      </w:r>
      <w:r w:rsidRPr="00B05CC9">
        <w:t xml:space="preserve">5 AEs was similar in the CT and the CT+BV groups of patients but those receiving chemotherapy plus </w:t>
      </w:r>
      <w:proofErr w:type="spellStart"/>
      <w:r w:rsidRPr="00B05CC9">
        <w:t>bevacizumab</w:t>
      </w:r>
      <w:proofErr w:type="spellEnd"/>
      <w:r w:rsidRPr="00B05CC9">
        <w:t xml:space="preserve"> experienced an 6.2% more severe (G</w:t>
      </w:r>
      <w:r w:rsidR="000F70F6">
        <w:t xml:space="preserve">rade </w:t>
      </w:r>
      <w:r w:rsidRPr="00B05CC9">
        <w:t>3</w:t>
      </w:r>
      <w:r w:rsidR="000F70F6">
        <w:t xml:space="preserve"> to </w:t>
      </w:r>
      <w:r w:rsidRPr="00B05CC9">
        <w:t>5) AEs. As well, 50% more patients died of the effects of AEs in the CT+BV group (n</w:t>
      </w:r>
      <w:r w:rsidR="00262FD3">
        <w:t>=9) than in the CT group (n=6).</w:t>
      </w:r>
    </w:p>
    <w:p w:rsidR="002900A2" w:rsidRPr="00B05CC9" w:rsidRDefault="002900A2" w:rsidP="00F76A06">
      <w:pPr>
        <w:pStyle w:val="ListBullet"/>
      </w:pPr>
      <w:r w:rsidRPr="00B05CC9">
        <w:t xml:space="preserve">The number of withdrawals due to AEs was very much larger (43.6%) in the CT+BV group than in the CT group (8.8%). Reasons may include the longer time of treatment with </w:t>
      </w:r>
      <w:proofErr w:type="spellStart"/>
      <w:r w:rsidRPr="00B05CC9">
        <w:t>bevacizumab</w:t>
      </w:r>
      <w:proofErr w:type="spellEnd"/>
      <w:r w:rsidRPr="00B05CC9">
        <w:t xml:space="preserve"> (twice, on average), and the continuing treatment with </w:t>
      </w:r>
      <w:proofErr w:type="spellStart"/>
      <w:r w:rsidRPr="00B05CC9">
        <w:t>bevacizumab</w:t>
      </w:r>
      <w:proofErr w:type="spellEnd"/>
      <w:r w:rsidRPr="00B05CC9">
        <w:t xml:space="preserve"> after disease progression. After cross-over, the incidence of AEs from patients receiving </w:t>
      </w:r>
      <w:proofErr w:type="spellStart"/>
      <w:r w:rsidRPr="00B05CC9">
        <w:t>bevacizumab</w:t>
      </w:r>
      <w:proofErr w:type="spellEnd"/>
      <w:r w:rsidRPr="00B05CC9">
        <w:t xml:space="preserve"> was less than before cross-over but after cross-over additional chemotherapy was not given with </w:t>
      </w:r>
      <w:proofErr w:type="spellStart"/>
      <w:r w:rsidRPr="00B05CC9">
        <w:t>bevacizum</w:t>
      </w:r>
      <w:r w:rsidR="00262FD3">
        <w:t>ab</w:t>
      </w:r>
      <w:proofErr w:type="spellEnd"/>
      <w:r w:rsidR="00262FD3">
        <w:t>.</w:t>
      </w:r>
    </w:p>
    <w:p w:rsidR="002900A2" w:rsidRPr="00B05CC9" w:rsidRDefault="002900A2" w:rsidP="00F76A06">
      <w:pPr>
        <w:pStyle w:val="ListBullet"/>
      </w:pPr>
      <w:r w:rsidRPr="00B05CC9">
        <w:t xml:space="preserve">The incidence of peripheral sensory neuropathy and of palmar-plantar </w:t>
      </w:r>
      <w:proofErr w:type="spellStart"/>
      <w:r w:rsidRPr="00B05CC9">
        <w:t>erythrodysesthesia</w:t>
      </w:r>
      <w:proofErr w:type="spellEnd"/>
      <w:r w:rsidRPr="00B05CC9">
        <w:t xml:space="preserve"> syndrome was increased by the addition of </w:t>
      </w:r>
      <w:proofErr w:type="spellStart"/>
      <w:r w:rsidRPr="00B05CC9">
        <w:t>bevacizumab</w:t>
      </w:r>
      <w:proofErr w:type="spellEnd"/>
      <w:r w:rsidRPr="00B05CC9">
        <w:t xml:space="preserve"> to </w:t>
      </w:r>
      <w:proofErr w:type="spellStart"/>
      <w:r w:rsidRPr="00B05CC9">
        <w:t>placlitaxel</w:t>
      </w:r>
      <w:proofErr w:type="spellEnd"/>
      <w:r w:rsidRPr="00B05CC9">
        <w:t xml:space="preserve"> and PLD chemotherapy respectively.</w:t>
      </w:r>
    </w:p>
    <w:p w:rsidR="002900A2" w:rsidRPr="00B05CC9" w:rsidRDefault="002900A2" w:rsidP="00F76A06">
      <w:pPr>
        <w:pStyle w:val="ListBullet"/>
      </w:pPr>
      <w:r w:rsidRPr="00B05CC9">
        <w:t>Older patients (over 65 years) were a greater risk of adverse effects</w:t>
      </w:r>
      <w:r w:rsidR="00F646A2">
        <w:t xml:space="preserve"> </w:t>
      </w:r>
      <w:r w:rsidRPr="00B05CC9">
        <w:t xml:space="preserve">of </w:t>
      </w:r>
      <w:proofErr w:type="spellStart"/>
      <w:r w:rsidRPr="00B05CC9">
        <w:t>bevaciuzmab</w:t>
      </w:r>
      <w:proofErr w:type="spellEnd"/>
      <w:r w:rsidRPr="00B05CC9">
        <w:t xml:space="preserve"> and chemotherapy.</w:t>
      </w:r>
    </w:p>
    <w:p w:rsidR="00F76A06" w:rsidRDefault="002900A2" w:rsidP="00F76A06">
      <w:r w:rsidRPr="00B05CC9">
        <w:t>Patients with ascites (one-third of the patient population) are at potential risk of experiencing a greater incidence of severe and serious AEs as no safety data and no PK studies were provided in this sub-group.</w:t>
      </w:r>
    </w:p>
    <w:p w:rsidR="002900A2" w:rsidRPr="00B05CC9" w:rsidRDefault="002900A2" w:rsidP="00F76A06">
      <w:r w:rsidRPr="005F7DCB">
        <w:rPr>
          <w:i/>
        </w:rPr>
        <w:t>Addendum</w:t>
      </w:r>
      <w:r w:rsidRPr="00B05CC9">
        <w:rPr>
          <w:b/>
        </w:rPr>
        <w:t>:</w:t>
      </w:r>
      <w:r w:rsidRPr="00B05CC9">
        <w:t xml:space="preserve"> Data provided by the sponsor (see </w:t>
      </w:r>
      <w:r w:rsidRPr="00B05CC9">
        <w:fldChar w:fldCharType="begin"/>
      </w:r>
      <w:r w:rsidRPr="00B05CC9">
        <w:instrText xml:space="preserve"> REF _Ref379042148 \h </w:instrText>
      </w:r>
      <w:r>
        <w:instrText xml:space="preserve"> \* MERGEFORMAT </w:instrText>
      </w:r>
      <w:r w:rsidRPr="00B05CC9">
        <w:fldChar w:fldCharType="separate"/>
      </w:r>
      <w:r w:rsidR="0045430B">
        <w:t xml:space="preserve">17. </w:t>
      </w:r>
      <w:r w:rsidR="0045430B" w:rsidRPr="00B05CC9">
        <w:t>Adverse Events in the Sub-group of Patients with Ascites</w:t>
      </w:r>
      <w:r w:rsidRPr="00B05CC9">
        <w:fldChar w:fldCharType="end"/>
      </w:r>
      <w:r w:rsidR="000F70F6">
        <w:t xml:space="preserve"> Attachment 2</w:t>
      </w:r>
      <w:r w:rsidRPr="00B05CC9">
        <w:t>) showed this was not the case.</w:t>
      </w:r>
    </w:p>
    <w:p w:rsidR="00605AD4" w:rsidRDefault="00605AD4" w:rsidP="00F76A06">
      <w:pPr>
        <w:pStyle w:val="Heading4"/>
      </w:pPr>
      <w:r w:rsidRPr="00605AD4">
        <w:t>First round assessment of benefit-risk balance</w:t>
      </w:r>
    </w:p>
    <w:p w:rsidR="002900A2" w:rsidRPr="00B05CC9" w:rsidRDefault="002900A2" w:rsidP="00F76A06">
      <w:r w:rsidRPr="00B05CC9">
        <w:t xml:space="preserve">The benefit-risk balance of </w:t>
      </w:r>
      <w:proofErr w:type="spellStart"/>
      <w:r w:rsidRPr="00B05CC9">
        <w:t>bevacizumab</w:t>
      </w:r>
      <w:proofErr w:type="spellEnd"/>
      <w:r w:rsidRPr="00B05CC9">
        <w:t xml:space="preserve"> used in combination with chemotherapy for the indication requested needs to take into account the following considerations</w:t>
      </w:r>
      <w:r w:rsidR="00920597">
        <w:t>:</w:t>
      </w:r>
    </w:p>
    <w:p w:rsidR="002900A2" w:rsidRPr="00B05CC9" w:rsidRDefault="002900A2" w:rsidP="00F76A06">
      <w:pPr>
        <w:pStyle w:val="ListBullet"/>
      </w:pPr>
      <w:r w:rsidRPr="00B05CC9">
        <w:t>the PFS with CT +BV alone was 6.8</w:t>
      </w:r>
      <w:r w:rsidR="000F70F6">
        <w:t xml:space="preserve"> </w:t>
      </w:r>
      <w:r w:rsidRPr="00B05CC9">
        <w:t>months</w:t>
      </w:r>
      <w:r w:rsidR="000F70F6">
        <w:t>;</w:t>
      </w:r>
      <w:r w:rsidRPr="00B05CC9">
        <w:t xml:space="preserve"> that is the additional treatment with BV doubled the PFS of 3.4 months found in the CT group</w:t>
      </w:r>
    </w:p>
    <w:p w:rsidR="002900A2" w:rsidRPr="00B05CC9" w:rsidRDefault="002900A2" w:rsidP="00F76A06">
      <w:pPr>
        <w:pStyle w:val="ListBullet"/>
      </w:pPr>
      <w:r w:rsidRPr="00B05CC9">
        <w:lastRenderedPageBreak/>
        <w:t>the duration of OS with CT+BV was 16.6</w:t>
      </w:r>
      <w:r w:rsidR="000F70F6">
        <w:t xml:space="preserve"> </w:t>
      </w:r>
      <w:r w:rsidRPr="00B05CC9">
        <w:t>m</w:t>
      </w:r>
      <w:r w:rsidR="000F70F6">
        <w:t>on</w:t>
      </w:r>
      <w:r w:rsidRPr="00B05CC9">
        <w:t>ths; during this time patients received CT+BV treatment for a median duration of 5 months, a treatment with serious and potentiall</w:t>
      </w:r>
      <w:r w:rsidR="00262FD3">
        <w:t>y life threatening consequences</w:t>
      </w:r>
    </w:p>
    <w:p w:rsidR="002900A2" w:rsidRPr="00B05CC9" w:rsidRDefault="002900A2" w:rsidP="00F76A06">
      <w:pPr>
        <w:pStyle w:val="ListBullet"/>
      </w:pPr>
      <w:r w:rsidRPr="00B05CC9">
        <w:t>no significant increase in OS and no significant improvement in the QOL was demonstrated for patients receiving CT+BV compared to CT alone</w:t>
      </w:r>
    </w:p>
    <w:p w:rsidR="002900A2" w:rsidRPr="00B05CC9" w:rsidRDefault="002900A2" w:rsidP="00F76A06">
      <w:pPr>
        <w:pStyle w:val="ListBullet"/>
      </w:pPr>
      <w:proofErr w:type="gramStart"/>
      <w:r w:rsidRPr="00B05CC9">
        <w:t>missing</w:t>
      </w:r>
      <w:proofErr w:type="gramEnd"/>
      <w:r w:rsidRPr="00B05CC9">
        <w:t xml:space="preserve"> data that the sponsor has been asked to provide requires assessment to reach a conclusion about the benefit-risk balance.</w:t>
      </w:r>
    </w:p>
    <w:p w:rsidR="00605AD4" w:rsidRPr="00605AD4" w:rsidRDefault="00605AD4" w:rsidP="00F76A06">
      <w:pPr>
        <w:pStyle w:val="Heading3"/>
        <w:rPr>
          <w:rFonts w:eastAsia="Cambria"/>
        </w:rPr>
      </w:pPr>
      <w:bookmarkStart w:id="83" w:name="_Toc415046266"/>
      <w:r w:rsidRPr="00605AD4">
        <w:rPr>
          <w:rFonts w:eastAsia="Cambria"/>
        </w:rPr>
        <w:t xml:space="preserve">First </w:t>
      </w:r>
      <w:r w:rsidR="003B2EED">
        <w:rPr>
          <w:rFonts w:eastAsia="Cambria"/>
        </w:rPr>
        <w:t>r</w:t>
      </w:r>
      <w:r w:rsidRPr="00605AD4">
        <w:rPr>
          <w:rFonts w:eastAsia="Cambria"/>
        </w:rPr>
        <w:t xml:space="preserve">ound </w:t>
      </w:r>
      <w:r w:rsidR="003B2EED">
        <w:rPr>
          <w:rFonts w:eastAsia="Cambria"/>
        </w:rPr>
        <w:t>r</w:t>
      </w:r>
      <w:r w:rsidRPr="00605AD4">
        <w:rPr>
          <w:rFonts w:eastAsia="Cambria"/>
        </w:rPr>
        <w:t xml:space="preserve">ecommendation </w:t>
      </w:r>
      <w:r w:rsidR="003B2EED">
        <w:rPr>
          <w:rFonts w:eastAsia="Cambria"/>
        </w:rPr>
        <w:t>r</w:t>
      </w:r>
      <w:r w:rsidRPr="00605AD4">
        <w:rPr>
          <w:rFonts w:eastAsia="Cambria"/>
        </w:rPr>
        <w:t xml:space="preserve">egarding </w:t>
      </w:r>
      <w:r w:rsidR="003B2EED">
        <w:rPr>
          <w:rFonts w:eastAsia="Cambria"/>
        </w:rPr>
        <w:t>a</w:t>
      </w:r>
      <w:r w:rsidRPr="00605AD4">
        <w:rPr>
          <w:rFonts w:eastAsia="Cambria"/>
        </w:rPr>
        <w:t>uthorisation</w:t>
      </w:r>
      <w:bookmarkEnd w:id="83"/>
    </w:p>
    <w:p w:rsidR="002900A2" w:rsidRPr="00B05CC9" w:rsidRDefault="002900A2" w:rsidP="00F76A06">
      <w:r w:rsidRPr="00B05CC9">
        <w:t xml:space="preserve">A recommendation regarding authorisation can only be made after the information requested in </w:t>
      </w:r>
      <w:r w:rsidR="000F70F6" w:rsidRPr="000F70F6">
        <w:rPr>
          <w:i/>
        </w:rPr>
        <w:t>Clinical questions</w:t>
      </w:r>
      <w:r w:rsidRPr="00B05CC9">
        <w:t xml:space="preserve"> has been evaluated in the con</w:t>
      </w:r>
      <w:r w:rsidR="00262FD3">
        <w:t>text of the present evaluation.</w:t>
      </w:r>
    </w:p>
    <w:p w:rsidR="00573F26" w:rsidRDefault="00573F26" w:rsidP="001F2F4A">
      <w:pPr>
        <w:pStyle w:val="Heading4"/>
      </w:pPr>
      <w:r>
        <w:t>Clinical q</w:t>
      </w:r>
      <w:r w:rsidR="00605AD4" w:rsidRPr="00605AD4">
        <w:t>uestions</w:t>
      </w:r>
    </w:p>
    <w:p w:rsidR="002900A2" w:rsidRPr="00B05CC9" w:rsidRDefault="002900A2" w:rsidP="001F2F4A">
      <w:pPr>
        <w:pStyle w:val="Heading5"/>
      </w:pPr>
      <w:bookmarkStart w:id="84" w:name="_Toc272414702"/>
      <w:bookmarkStart w:id="85" w:name="_Toc290846342"/>
      <w:bookmarkStart w:id="86" w:name="_Toc393534554"/>
      <w:r w:rsidRPr="00B05CC9">
        <w:t>Pharmacokinetics</w:t>
      </w:r>
      <w:bookmarkEnd w:id="84"/>
      <w:bookmarkEnd w:id="85"/>
      <w:bookmarkEnd w:id="86"/>
    </w:p>
    <w:p w:rsidR="002900A2" w:rsidRPr="009D75D2" w:rsidRDefault="005F7DCB" w:rsidP="00EE5E53">
      <w:pPr>
        <w:pStyle w:val="Heading6"/>
      </w:pPr>
      <w:bookmarkStart w:id="87" w:name="_Toc393534555"/>
      <w:r w:rsidRPr="009D75D2">
        <w:t xml:space="preserve">1-2. </w:t>
      </w:r>
      <w:r w:rsidR="002900A2" w:rsidRPr="009D75D2">
        <w:t>Justification for not providing PK data in the present evaluation</w:t>
      </w:r>
      <w:bookmarkEnd w:id="87"/>
    </w:p>
    <w:p w:rsidR="00074A1D" w:rsidRDefault="002900A2" w:rsidP="00074A1D">
      <w:r w:rsidRPr="00B05CC9">
        <w:t xml:space="preserve">Two main arguments were presented to justify the lack of PK data in the patient population to be treated in this new indication for </w:t>
      </w:r>
      <w:proofErr w:type="spellStart"/>
      <w:r w:rsidR="000F70F6" w:rsidRPr="00B05CC9">
        <w:t>Avastin</w:t>
      </w:r>
      <w:proofErr w:type="spellEnd"/>
      <w:r w:rsidRPr="00B05CC9">
        <w:t>.</w:t>
      </w:r>
    </w:p>
    <w:p w:rsidR="002900A2" w:rsidRPr="00803B5F" w:rsidRDefault="002900A2" w:rsidP="00803B5F">
      <w:pPr>
        <w:pStyle w:val="Numberbullet0"/>
        <w:numPr>
          <w:ilvl w:val="0"/>
          <w:numId w:val="24"/>
        </w:numPr>
      </w:pPr>
      <w:r w:rsidRPr="00803B5F">
        <w:t xml:space="preserve">The PK parameters of </w:t>
      </w:r>
      <w:proofErr w:type="spellStart"/>
      <w:r w:rsidRPr="00803B5F">
        <w:t>bevacizumab</w:t>
      </w:r>
      <w:proofErr w:type="spellEnd"/>
      <w:r w:rsidRPr="00803B5F">
        <w:t xml:space="preserve"> found in a variety of solid </w:t>
      </w:r>
      <w:r w:rsidR="000F70F6" w:rsidRPr="00803B5F">
        <w:t>tumour</w:t>
      </w:r>
      <w:r w:rsidRPr="00803B5F">
        <w:t>s were similar and would be expected to apply to t</w:t>
      </w:r>
      <w:r w:rsidR="00262FD3" w:rsidRPr="00803B5F">
        <w:t>he present clinical population.</w:t>
      </w:r>
    </w:p>
    <w:p w:rsidR="002900A2" w:rsidRPr="00803B5F" w:rsidRDefault="002900A2" w:rsidP="00803B5F">
      <w:pPr>
        <w:pStyle w:val="Numberbullet0"/>
        <w:numPr>
          <w:ilvl w:val="0"/>
          <w:numId w:val="0"/>
        </w:numPr>
        <w:ind w:left="425"/>
      </w:pPr>
      <w:r w:rsidRPr="00803B5F">
        <w:t xml:space="preserve">However about one-third of subjects in the pivotal study in this application had ascites at base-line. Ascites would be still present when </w:t>
      </w:r>
      <w:proofErr w:type="spellStart"/>
      <w:r w:rsidRPr="00803B5F">
        <w:t>bevacizumab</w:t>
      </w:r>
      <w:proofErr w:type="spellEnd"/>
      <w:r w:rsidRPr="00803B5F">
        <w:t xml:space="preserve"> was administered, raising the question whether this would alter the PKs of </w:t>
      </w:r>
      <w:proofErr w:type="spellStart"/>
      <w:r w:rsidRPr="00803B5F">
        <w:t>bevacizumab</w:t>
      </w:r>
      <w:proofErr w:type="spellEnd"/>
      <w:r w:rsidRPr="00803B5F">
        <w:t xml:space="preserve"> by creating a third-space from which </w:t>
      </w:r>
      <w:proofErr w:type="spellStart"/>
      <w:r w:rsidRPr="00803B5F">
        <w:t>bevacizumab</w:t>
      </w:r>
      <w:proofErr w:type="spellEnd"/>
      <w:r w:rsidRPr="00803B5F">
        <w:t xml:space="preserve"> could slowly re-enter the systemic circulation or penetrate more directly the gastrointestinal tract, increasing the risk o</w:t>
      </w:r>
      <w:r w:rsidR="00262FD3" w:rsidRPr="00803B5F">
        <w:t>f toxicity.</w:t>
      </w:r>
    </w:p>
    <w:p w:rsidR="002900A2" w:rsidRPr="00B05CC9" w:rsidRDefault="002900A2" w:rsidP="008C2305">
      <w:r w:rsidRPr="008C2305">
        <w:rPr>
          <w:b/>
        </w:rPr>
        <w:t>1.1</w:t>
      </w:r>
      <w:r w:rsidRPr="00B05CC9">
        <w:t xml:space="preserve"> Please justify the absence of data on the PK of </w:t>
      </w:r>
      <w:proofErr w:type="spellStart"/>
      <w:r w:rsidRPr="00B05CC9">
        <w:t>bevacizumab</w:t>
      </w:r>
      <w:proofErr w:type="spellEnd"/>
      <w:r w:rsidRPr="00B05CC9">
        <w:t xml:space="preserve"> in patients with malignant ascites, and give reasons why ascites as a third pharmacological space would not be a safety risk in such patients when treated with </w:t>
      </w:r>
      <w:proofErr w:type="spellStart"/>
      <w:r w:rsidR="00074A1D" w:rsidRPr="00B05CC9">
        <w:t>Avastin</w:t>
      </w:r>
      <w:proofErr w:type="spellEnd"/>
      <w:r w:rsidRPr="00B05CC9">
        <w:t>.</w:t>
      </w:r>
    </w:p>
    <w:p w:rsidR="008C2305" w:rsidRDefault="002900A2" w:rsidP="008C2305">
      <w:pPr>
        <w:pStyle w:val="Numberbullet0"/>
        <w:rPr>
          <w:i/>
        </w:rPr>
      </w:pPr>
      <w:r w:rsidRPr="008C2305">
        <w:rPr>
          <w:i/>
        </w:rPr>
        <w:t xml:space="preserve">Pharmacokinetic studies in the present population of patients were claimed to be unnecessary because the PK parameters of </w:t>
      </w:r>
      <w:proofErr w:type="spellStart"/>
      <w:r w:rsidRPr="008C2305">
        <w:rPr>
          <w:i/>
        </w:rPr>
        <w:t>bevacizumab</w:t>
      </w:r>
      <w:proofErr w:type="spellEnd"/>
      <w:r w:rsidRPr="008C2305">
        <w:rPr>
          <w:i/>
        </w:rPr>
        <w:t xml:space="preserve"> had been shown to be similar in a variety of other cancers as shown in the Population PK Analysis of </w:t>
      </w:r>
      <w:proofErr w:type="spellStart"/>
      <w:r w:rsidRPr="008C2305">
        <w:rPr>
          <w:i/>
        </w:rPr>
        <w:t>Bevazicumab</w:t>
      </w:r>
      <w:proofErr w:type="spellEnd"/>
      <w:r w:rsidRPr="008C2305">
        <w:rPr>
          <w:i/>
        </w:rPr>
        <w:t>, Report 1031769 and confirmed for pancreatic cancer in Population PK Analysis BO17706.</w:t>
      </w:r>
    </w:p>
    <w:p w:rsidR="002900A2" w:rsidRPr="008C2305" w:rsidRDefault="002900A2" w:rsidP="008C2305">
      <w:pPr>
        <w:pStyle w:val="Numberbullet0"/>
        <w:numPr>
          <w:ilvl w:val="0"/>
          <w:numId w:val="0"/>
        </w:numPr>
        <w:ind w:left="426"/>
        <w:rPr>
          <w:i/>
        </w:rPr>
      </w:pPr>
      <w:r w:rsidRPr="008C2305">
        <w:rPr>
          <w:i/>
        </w:rPr>
        <w:t xml:space="preserve">However this claim of similar PK parameters of </w:t>
      </w:r>
      <w:proofErr w:type="spellStart"/>
      <w:r w:rsidRPr="008C2305">
        <w:rPr>
          <w:i/>
        </w:rPr>
        <w:t>bevacizumab</w:t>
      </w:r>
      <w:proofErr w:type="spellEnd"/>
      <w:r w:rsidRPr="008C2305">
        <w:rPr>
          <w:i/>
        </w:rPr>
        <w:t xml:space="preserve"> in different cancers in patients with different covariates is not supported by a number of conclusions in the up-dated Report 1031796. The possible clinical effects of covariates on PK parameters such as </w:t>
      </w:r>
      <w:r w:rsidR="00074A1D" w:rsidRPr="008C2305">
        <w:rPr>
          <w:i/>
        </w:rPr>
        <w:t xml:space="preserve">clearance rates of </w:t>
      </w:r>
      <w:proofErr w:type="spellStart"/>
      <w:r w:rsidR="00074A1D" w:rsidRPr="008C2305">
        <w:rPr>
          <w:i/>
        </w:rPr>
        <w:t>bevacizumab</w:t>
      </w:r>
      <w:proofErr w:type="spellEnd"/>
      <w:r w:rsidR="00074A1D" w:rsidRPr="008C2305">
        <w:rPr>
          <w:i/>
        </w:rPr>
        <w:t xml:space="preserve"> </w:t>
      </w:r>
      <w:r w:rsidRPr="008C2305">
        <w:rPr>
          <w:i/>
        </w:rPr>
        <w:t xml:space="preserve">are an example. It is possible that the dose of </w:t>
      </w:r>
      <w:proofErr w:type="spellStart"/>
      <w:r w:rsidRPr="008C2305">
        <w:rPr>
          <w:i/>
        </w:rPr>
        <w:t>bevacizumab</w:t>
      </w:r>
      <w:proofErr w:type="spellEnd"/>
      <w:r w:rsidRPr="008C2305">
        <w:rPr>
          <w:i/>
        </w:rPr>
        <w:t xml:space="preserve"> may need to be reduced to decrease the risk of serious adverse effects in patients who receive the drugs named above, co</w:t>
      </w:r>
      <w:r w:rsidR="00262FD3" w:rsidRPr="008C2305">
        <w:rPr>
          <w:i/>
        </w:rPr>
        <w:t xml:space="preserve">-administered with </w:t>
      </w:r>
      <w:proofErr w:type="spellStart"/>
      <w:r w:rsidR="00262FD3" w:rsidRPr="008C2305">
        <w:rPr>
          <w:i/>
        </w:rPr>
        <w:t>bevacizumab</w:t>
      </w:r>
      <w:proofErr w:type="spellEnd"/>
      <w:r w:rsidR="00262FD3" w:rsidRPr="008C2305">
        <w:rPr>
          <w:i/>
        </w:rPr>
        <w:t>.</w:t>
      </w:r>
    </w:p>
    <w:p w:rsidR="002900A2" w:rsidRPr="00B05CC9" w:rsidRDefault="002900A2" w:rsidP="002900A2">
      <w:pPr>
        <w:rPr>
          <w:bCs/>
        </w:rPr>
      </w:pPr>
      <w:r w:rsidRPr="00B05CC9">
        <w:rPr>
          <w:b/>
        </w:rPr>
        <w:t>2.1:</w:t>
      </w:r>
      <w:r w:rsidRPr="00B05CC9">
        <w:t xml:space="preserve"> Please explain why the conclusions of Report 1031796 as stated above differ from the statements in the </w:t>
      </w:r>
      <w:r w:rsidR="00074A1D">
        <w:t xml:space="preserve">sponsor’s </w:t>
      </w:r>
      <w:r w:rsidRPr="00B05CC9">
        <w:t>Clinical Overview, page 18 that states</w:t>
      </w:r>
      <w:r w:rsidR="00B51A1A">
        <w:t xml:space="preserve">  ‘</w:t>
      </w:r>
      <w:r w:rsidRPr="00B05CC9">
        <w:rPr>
          <w:bCs/>
          <w:i/>
        </w:rPr>
        <w:t xml:space="preserve">A population PK assessment for the influence of combination therapy on </w:t>
      </w:r>
      <w:proofErr w:type="spellStart"/>
      <w:r w:rsidRPr="00B05CC9">
        <w:rPr>
          <w:bCs/>
          <w:i/>
        </w:rPr>
        <w:t>bevacizumab</w:t>
      </w:r>
      <w:proofErr w:type="spellEnd"/>
      <w:r w:rsidRPr="00B05CC9">
        <w:rPr>
          <w:bCs/>
          <w:i/>
        </w:rPr>
        <w:t xml:space="preserve"> disposition has been reported for various chemotherapies and other anti-cancer agents (e.g., </w:t>
      </w:r>
      <w:proofErr w:type="spellStart"/>
      <w:r w:rsidRPr="00B05CC9">
        <w:rPr>
          <w:bCs/>
          <w:i/>
        </w:rPr>
        <w:t>erlotinib</w:t>
      </w:r>
      <w:proofErr w:type="spellEnd"/>
      <w:r w:rsidRPr="00B05CC9">
        <w:rPr>
          <w:bCs/>
          <w:i/>
        </w:rPr>
        <w:t xml:space="preserve">, </w:t>
      </w:r>
      <w:proofErr w:type="spellStart"/>
      <w:r w:rsidRPr="00B05CC9">
        <w:rPr>
          <w:bCs/>
          <w:i/>
        </w:rPr>
        <w:t>trastuzumab</w:t>
      </w:r>
      <w:proofErr w:type="spellEnd"/>
      <w:r w:rsidRPr="00B05CC9">
        <w:rPr>
          <w:bCs/>
          <w:i/>
        </w:rPr>
        <w:t xml:space="preserve">, and rituximab). Results show that there were no differences in CL observed between patients treated with single-agent </w:t>
      </w:r>
      <w:proofErr w:type="spellStart"/>
      <w:r w:rsidRPr="00B05CC9">
        <w:rPr>
          <w:bCs/>
          <w:i/>
        </w:rPr>
        <w:t>bevacizumab</w:t>
      </w:r>
      <w:proofErr w:type="spellEnd"/>
      <w:r w:rsidRPr="00B05CC9">
        <w:rPr>
          <w:bCs/>
          <w:i/>
        </w:rPr>
        <w:t xml:space="preserve"> and patients treated with </w:t>
      </w:r>
      <w:proofErr w:type="spellStart"/>
      <w:r w:rsidRPr="00B05CC9">
        <w:rPr>
          <w:bCs/>
          <w:i/>
        </w:rPr>
        <w:t>bevacizumab</w:t>
      </w:r>
      <w:proofErr w:type="spellEnd"/>
      <w:r w:rsidRPr="00B05CC9">
        <w:rPr>
          <w:bCs/>
          <w:i/>
        </w:rPr>
        <w:t xml:space="preserve"> co-administered with chemotherapies (including paclitaxel) or other anti-cancer agents, suggesting that chemotherapies and anti-cancer agents do not alter </w:t>
      </w:r>
      <w:proofErr w:type="spellStart"/>
      <w:r w:rsidRPr="00B05CC9">
        <w:rPr>
          <w:bCs/>
          <w:i/>
        </w:rPr>
        <w:lastRenderedPageBreak/>
        <w:t>bevacizumab</w:t>
      </w:r>
      <w:proofErr w:type="spellEnd"/>
      <w:r w:rsidRPr="00B05CC9">
        <w:rPr>
          <w:bCs/>
          <w:i/>
        </w:rPr>
        <w:t xml:space="preserve"> PK when </w:t>
      </w:r>
      <w:proofErr w:type="spellStart"/>
      <w:r w:rsidRPr="00B05CC9">
        <w:rPr>
          <w:bCs/>
          <w:i/>
        </w:rPr>
        <w:t>coadministered</w:t>
      </w:r>
      <w:proofErr w:type="spellEnd"/>
      <w:r w:rsidRPr="00B05CC9">
        <w:rPr>
          <w:bCs/>
          <w:i/>
        </w:rPr>
        <w:t xml:space="preserve"> with </w:t>
      </w:r>
      <w:proofErr w:type="spellStart"/>
      <w:r w:rsidRPr="00B05CC9">
        <w:rPr>
          <w:bCs/>
          <w:i/>
        </w:rPr>
        <w:t>bevacizumab</w:t>
      </w:r>
      <w:proofErr w:type="spellEnd"/>
      <w:r w:rsidRPr="00B05CC9">
        <w:rPr>
          <w:bCs/>
          <w:i/>
        </w:rPr>
        <w:t>.</w:t>
      </w:r>
      <w:r w:rsidR="00B51A1A">
        <w:rPr>
          <w:bCs/>
          <w:i/>
        </w:rPr>
        <w:t>’</w:t>
      </w:r>
      <w:r w:rsidRPr="00B05CC9">
        <w:rPr>
          <w:bCs/>
        </w:rPr>
        <w:t>, and also on page 18, Section 3.1, dot point 7 that states</w:t>
      </w:r>
      <w:r w:rsidR="00B51A1A">
        <w:rPr>
          <w:bCs/>
        </w:rPr>
        <w:t xml:space="preserve">  ‘</w:t>
      </w:r>
      <w:r w:rsidRPr="00B05CC9">
        <w:rPr>
          <w:bCs/>
          <w:i/>
        </w:rPr>
        <w:t xml:space="preserve">The cumulative PK-DDI data to date for </w:t>
      </w:r>
      <w:proofErr w:type="spellStart"/>
      <w:r w:rsidRPr="00B05CC9">
        <w:rPr>
          <w:bCs/>
          <w:i/>
        </w:rPr>
        <w:t>bevacizumab</w:t>
      </w:r>
      <w:proofErr w:type="spellEnd"/>
      <w:r w:rsidRPr="00B05CC9">
        <w:rPr>
          <w:bCs/>
          <w:i/>
        </w:rPr>
        <w:t xml:space="preserve"> given in combination with various chemotherapy and other anti-cancer agents across </w:t>
      </w:r>
      <w:r w:rsidR="000F70F6">
        <w:rPr>
          <w:bCs/>
          <w:i/>
        </w:rPr>
        <w:t>tumour</w:t>
      </w:r>
      <w:r w:rsidRPr="00B05CC9">
        <w:rPr>
          <w:bCs/>
          <w:i/>
        </w:rPr>
        <w:t xml:space="preserve"> types do not suggest a potential for a PK-DDI between </w:t>
      </w:r>
      <w:proofErr w:type="spellStart"/>
      <w:r w:rsidRPr="00B05CC9">
        <w:rPr>
          <w:bCs/>
          <w:i/>
        </w:rPr>
        <w:t>bevacizumab</w:t>
      </w:r>
      <w:proofErr w:type="spellEnd"/>
      <w:r w:rsidRPr="00B05CC9">
        <w:rPr>
          <w:bCs/>
          <w:i/>
        </w:rPr>
        <w:t xml:space="preserve"> and chemotherapy or other anti-cancer agents.</w:t>
      </w:r>
      <w:r w:rsidR="00262FD3">
        <w:rPr>
          <w:bCs/>
          <w:i/>
        </w:rPr>
        <w:t>’</w:t>
      </w:r>
    </w:p>
    <w:p w:rsidR="002900A2" w:rsidRPr="00B05CC9" w:rsidRDefault="002900A2" w:rsidP="002900A2">
      <w:r w:rsidRPr="00B05CC9">
        <w:t xml:space="preserve">Similarly, the </w:t>
      </w:r>
      <w:r w:rsidR="00074A1D">
        <w:t xml:space="preserve">sponsor’s </w:t>
      </w:r>
      <w:r w:rsidRPr="00B05CC9">
        <w:t>Summary of Clinical Pharmacological Studies</w:t>
      </w:r>
      <w:r w:rsidR="00074A1D">
        <w:t xml:space="preserve"> is</w:t>
      </w:r>
      <w:r w:rsidRPr="00B05CC9">
        <w:t xml:space="preserve"> wrong in the conclusions, claiming a 17% increase in half-life of </w:t>
      </w:r>
      <w:proofErr w:type="spellStart"/>
      <w:r w:rsidRPr="00B05CC9">
        <w:t>bevacizumab</w:t>
      </w:r>
      <w:proofErr w:type="spellEnd"/>
      <w:r w:rsidRPr="00B05CC9">
        <w:t xml:space="preserve"> with named anti-cancer dru</w:t>
      </w:r>
      <w:r w:rsidR="008C2305">
        <w:t>gs, instead of the correct 40%.</w:t>
      </w:r>
    </w:p>
    <w:p w:rsidR="002900A2" w:rsidRPr="00B05CC9" w:rsidRDefault="002900A2" w:rsidP="002900A2">
      <w:r w:rsidRPr="00B05CC9">
        <w:t>Was this because the earlier Population PK model was used and not that in Report 1031796? It is noted that Report 1031796 is part of the justification for not providing PK data in this patient population.</w:t>
      </w:r>
    </w:p>
    <w:p w:rsidR="002900A2" w:rsidRPr="00B05CC9" w:rsidRDefault="002900A2" w:rsidP="002900A2">
      <w:r w:rsidRPr="00B05CC9">
        <w:rPr>
          <w:b/>
        </w:rPr>
        <w:t>2.2:</w:t>
      </w:r>
      <w:r w:rsidRPr="00B05CC9">
        <w:t xml:space="preserve"> On the basis of the findings of a 40% increase in the half-life of </w:t>
      </w:r>
      <w:proofErr w:type="spellStart"/>
      <w:r w:rsidRPr="00B05CC9">
        <w:t>bevacizumab</w:t>
      </w:r>
      <w:proofErr w:type="spellEnd"/>
      <w:r w:rsidRPr="00B05CC9">
        <w:t>,</w:t>
      </w:r>
      <w:r w:rsidR="00B51A1A">
        <w:t xml:space="preserve"> </w:t>
      </w:r>
      <w:r w:rsidRPr="00B05CC9">
        <w:t xml:space="preserve">should the initial dose of </w:t>
      </w:r>
      <w:proofErr w:type="spellStart"/>
      <w:r w:rsidRPr="00B05CC9">
        <w:t>bevacizumab</w:t>
      </w:r>
      <w:proofErr w:type="spellEnd"/>
      <w:r w:rsidRPr="00B05CC9">
        <w:t xml:space="preserve"> be less than your recommended dose in patients who are to be co-administered carboplatin, gemcitabine, paclitaxel, </w:t>
      </w:r>
      <w:proofErr w:type="spellStart"/>
      <w:r w:rsidRPr="00B05CC9">
        <w:t>topotecan</w:t>
      </w:r>
      <w:proofErr w:type="spellEnd"/>
      <w:r w:rsidRPr="00B05CC9">
        <w:t xml:space="preserve"> or dox</w:t>
      </w:r>
      <w:r w:rsidR="00262FD3">
        <w:t>orubicin (</w:t>
      </w:r>
      <w:proofErr w:type="spellStart"/>
      <w:r w:rsidR="00262FD3">
        <w:t>pegylated</w:t>
      </w:r>
      <w:proofErr w:type="spellEnd"/>
      <w:r w:rsidR="00262FD3">
        <w:t xml:space="preserve"> liposomal)?</w:t>
      </w:r>
    </w:p>
    <w:p w:rsidR="002900A2" w:rsidRPr="00074A1D" w:rsidRDefault="002900A2" w:rsidP="008C2305">
      <w:pPr>
        <w:pStyle w:val="Heading5"/>
      </w:pPr>
      <w:bookmarkStart w:id="88" w:name="_Toc272414704"/>
      <w:bookmarkStart w:id="89" w:name="_Toc290846344"/>
      <w:bookmarkStart w:id="90" w:name="_Ref375406592"/>
      <w:bookmarkStart w:id="91" w:name="_Ref375406597"/>
      <w:bookmarkStart w:id="92" w:name="_Toc393534556"/>
      <w:r w:rsidRPr="00B05CC9">
        <w:t>Efficacy</w:t>
      </w:r>
      <w:bookmarkEnd w:id="88"/>
      <w:bookmarkEnd w:id="89"/>
      <w:bookmarkEnd w:id="90"/>
      <w:bookmarkEnd w:id="91"/>
      <w:bookmarkEnd w:id="92"/>
    </w:p>
    <w:p w:rsidR="002900A2" w:rsidRPr="008C2305" w:rsidRDefault="00EE5E53" w:rsidP="00EE5E53">
      <w:pPr>
        <w:pStyle w:val="Heading6"/>
      </w:pPr>
      <w:r>
        <w:t xml:space="preserve">3. </w:t>
      </w:r>
      <w:bookmarkStart w:id="93" w:name="_Ref379039005"/>
      <w:bookmarkStart w:id="94" w:name="_Ref379039019"/>
      <w:bookmarkStart w:id="95" w:name="_Toc393534557"/>
      <w:r w:rsidR="002900A2" w:rsidRPr="008C2305">
        <w:t xml:space="preserve">Continuing treatment with </w:t>
      </w:r>
      <w:proofErr w:type="spellStart"/>
      <w:r w:rsidR="002900A2" w:rsidRPr="008C2305">
        <w:t>bevacizumab</w:t>
      </w:r>
      <w:proofErr w:type="spellEnd"/>
      <w:r w:rsidR="002900A2" w:rsidRPr="008C2305">
        <w:t xml:space="preserve"> after disease progression</w:t>
      </w:r>
      <w:bookmarkEnd w:id="93"/>
      <w:bookmarkEnd w:id="94"/>
      <w:bookmarkEnd w:id="95"/>
    </w:p>
    <w:p w:rsidR="002900A2" w:rsidRPr="00B05CC9" w:rsidRDefault="002900A2" w:rsidP="00D12795">
      <w:r w:rsidRPr="00B05CC9">
        <w:t xml:space="preserve">The reasons for selecting the dosage of </w:t>
      </w:r>
      <w:proofErr w:type="spellStart"/>
      <w:r w:rsidRPr="00B05CC9">
        <w:t>bevacizumab</w:t>
      </w:r>
      <w:proofErr w:type="spellEnd"/>
      <w:r w:rsidRPr="00B05CC9">
        <w:t xml:space="preserve"> in the pivotal </w:t>
      </w:r>
      <w:r w:rsidR="00457B63">
        <w:t>Study</w:t>
      </w:r>
      <w:r w:rsidRPr="00B05CC9">
        <w:t xml:space="preserve"> B022224 are given in the </w:t>
      </w:r>
      <w:r w:rsidR="00074A1D">
        <w:t xml:space="preserve">sponsor’s </w:t>
      </w:r>
      <w:r w:rsidR="00457B63">
        <w:t>submission</w:t>
      </w:r>
      <w:r w:rsidRPr="00B05CC9">
        <w:t xml:space="preserve"> except for the following:</w:t>
      </w:r>
      <w:r w:rsidR="00B51A1A">
        <w:t xml:space="preserve">  ‘</w:t>
      </w:r>
      <w:proofErr w:type="spellStart"/>
      <w:r w:rsidRPr="00B05CC9">
        <w:rPr>
          <w:i/>
        </w:rPr>
        <w:t>Bevacizumab</w:t>
      </w:r>
      <w:proofErr w:type="spellEnd"/>
      <w:r w:rsidRPr="00B05CC9">
        <w:rPr>
          <w:i/>
        </w:rPr>
        <w:t xml:space="preserve"> should be administered in combination with chemotherapy until PD or unacceptable toxicity. </w:t>
      </w:r>
      <w:proofErr w:type="spellStart"/>
      <w:r w:rsidRPr="00B05CC9">
        <w:rPr>
          <w:i/>
        </w:rPr>
        <w:t>Bevacizumab</w:t>
      </w:r>
      <w:proofErr w:type="spellEnd"/>
      <w:r w:rsidRPr="00B05CC9">
        <w:rPr>
          <w:i/>
        </w:rPr>
        <w:t xml:space="preserve"> may be continued as a single agent if chemotherapy is discontinued earlier.</w:t>
      </w:r>
      <w:r w:rsidR="00B51A1A">
        <w:rPr>
          <w:i/>
        </w:rPr>
        <w:t>’</w:t>
      </w:r>
    </w:p>
    <w:p w:rsidR="002900A2" w:rsidRPr="00B05CC9" w:rsidRDefault="002900A2" w:rsidP="00D12795">
      <w:r w:rsidRPr="00B05CC9">
        <w:t xml:space="preserve">The first usage is acceptable but the second is ambiguous since the wording allows </w:t>
      </w:r>
      <w:proofErr w:type="spellStart"/>
      <w:r w:rsidRPr="00B05CC9">
        <w:t>bevacizumab</w:t>
      </w:r>
      <w:proofErr w:type="spellEnd"/>
      <w:r w:rsidRPr="00B05CC9">
        <w:t xml:space="preserve"> to be continued if the patient were receiving chemotherapy plus </w:t>
      </w:r>
      <w:proofErr w:type="spellStart"/>
      <w:r w:rsidRPr="00B05CC9">
        <w:t>bevacizumab</w:t>
      </w:r>
      <w:proofErr w:type="spellEnd"/>
      <w:r w:rsidRPr="00B05CC9">
        <w:t>, and then the chemotherapy was stopped early, say for toxicity. The CSR on the other hand specifically stated that only patients in the chemotherapy alone arm were to cross over on disease progression to receiv</w:t>
      </w:r>
      <w:r w:rsidR="00262FD3">
        <w:t xml:space="preserve">e monotherapy with </w:t>
      </w:r>
      <w:proofErr w:type="spellStart"/>
      <w:r w:rsidR="00262FD3">
        <w:t>bevacizumab</w:t>
      </w:r>
      <w:proofErr w:type="spellEnd"/>
      <w:r w:rsidR="00262FD3">
        <w:t>.</w:t>
      </w:r>
    </w:p>
    <w:p w:rsidR="002900A2" w:rsidRPr="00B05CC9" w:rsidRDefault="002900A2" w:rsidP="00D12795">
      <w:r w:rsidRPr="00B05CC9">
        <w:t xml:space="preserve">Please confirm that only patients with PD in the chemotherapy alone arm crossed-over to receive </w:t>
      </w:r>
      <w:proofErr w:type="spellStart"/>
      <w:r w:rsidRPr="00B05CC9">
        <w:t>bevacizumab</w:t>
      </w:r>
      <w:proofErr w:type="spellEnd"/>
      <w:r w:rsidRPr="00B05CC9">
        <w:t xml:space="preserve"> monotherapy. I</w:t>
      </w:r>
      <w:r w:rsidR="00825E8D">
        <w:t>f</w:t>
      </w:r>
      <w:r w:rsidRPr="00B05CC9">
        <w:t xml:space="preserve"> patients who were randomised to the CT+BV arm had the CT discont</w:t>
      </w:r>
      <w:r w:rsidR="00074A1D">
        <w:t>in</w:t>
      </w:r>
      <w:r w:rsidRPr="00B05CC9">
        <w:t>ued early and received BV, please indicate how many of the 72 patients were in this group. Also provide the assessment of response for all patients (n=72) who received monotherapy, in total and in the two groups previous CT only and previous CT+BV if such was the case.</w:t>
      </w:r>
    </w:p>
    <w:p w:rsidR="002900A2" w:rsidRPr="005F7DCB" w:rsidRDefault="00EE5E53" w:rsidP="00EE5E53">
      <w:pPr>
        <w:pStyle w:val="Heading6"/>
      </w:pPr>
      <w:r>
        <w:t xml:space="preserve">4. </w:t>
      </w:r>
      <w:bookmarkStart w:id="96" w:name="_Ref379021097"/>
      <w:bookmarkStart w:id="97" w:name="_Ref379021130"/>
      <w:bookmarkStart w:id="98" w:name="_Ref379021157"/>
      <w:bookmarkStart w:id="99" w:name="_Toc393534558"/>
      <w:r w:rsidR="002900A2" w:rsidRPr="005F7DCB">
        <w:t xml:space="preserve">The </w:t>
      </w:r>
      <w:r>
        <w:t>u</w:t>
      </w:r>
      <w:r w:rsidR="002900A2" w:rsidRPr="005F7DCB">
        <w:t xml:space="preserve">se of CA 125 to </w:t>
      </w:r>
      <w:r w:rsidR="00262FD3">
        <w:t>a</w:t>
      </w:r>
      <w:r w:rsidR="002900A2" w:rsidRPr="005F7DCB">
        <w:t xml:space="preserve">ssess </w:t>
      </w:r>
      <w:r w:rsidR="00262FD3">
        <w:t>r</w:t>
      </w:r>
      <w:r w:rsidR="002900A2" w:rsidRPr="005F7DCB">
        <w:t>esponse</w:t>
      </w:r>
      <w:bookmarkEnd w:id="96"/>
      <w:bookmarkEnd w:id="97"/>
      <w:bookmarkEnd w:id="98"/>
      <w:bookmarkEnd w:id="99"/>
    </w:p>
    <w:p w:rsidR="002900A2" w:rsidRPr="00B05CC9" w:rsidRDefault="002900A2" w:rsidP="009D75D2">
      <w:r w:rsidRPr="00B05CC9">
        <w:t xml:space="preserve">The use of </w:t>
      </w:r>
      <w:r w:rsidR="00457B63" w:rsidRPr="00C2083E">
        <w:t>cancer antigen 125</w:t>
      </w:r>
      <w:r w:rsidR="00457B63">
        <w:t xml:space="preserve"> (</w:t>
      </w:r>
      <w:r w:rsidRPr="00B05CC9">
        <w:t>CA 125</w:t>
      </w:r>
      <w:r w:rsidR="00457B63">
        <w:t>)</w:t>
      </w:r>
      <w:r w:rsidRPr="00B05CC9">
        <w:t xml:space="preserve"> in the pivotal trial as described in the CSR and the trial protocol followed the guidelines of t</w:t>
      </w:r>
      <w:r w:rsidR="00457B63">
        <w:t>he Gynaecological Cancer Group</w:t>
      </w:r>
      <w:r w:rsidR="00457B63">
        <w:rPr>
          <w:rStyle w:val="FootnoteReference"/>
        </w:rPr>
        <w:footnoteReference w:id="6"/>
      </w:r>
      <w:r w:rsidRPr="00B05CC9">
        <w:t xml:space="preserve"> except that, as stated in the CSR in assessing PFS, C</w:t>
      </w:r>
      <w:r w:rsidR="00457B63">
        <w:t>A</w:t>
      </w:r>
      <w:r w:rsidRPr="00B05CC9">
        <w:t xml:space="preserve"> 125 was not used to</w:t>
      </w:r>
      <w:r w:rsidR="00262FD3">
        <w:t xml:space="preserve"> determine progressive disease.</w:t>
      </w:r>
    </w:p>
    <w:p w:rsidR="002900A2" w:rsidRPr="00457B63" w:rsidRDefault="002900A2" w:rsidP="002900A2">
      <w:pPr>
        <w:rPr>
          <w:rStyle w:val="QuoteChar"/>
          <w:rFonts w:eastAsia="Cambria"/>
        </w:rPr>
      </w:pPr>
      <w:r w:rsidRPr="00B05CC9">
        <w:t>The following is in the abstract of that paper</w:t>
      </w:r>
      <w:r w:rsidR="00B51A1A">
        <w:t xml:space="preserve"> ‘</w:t>
      </w:r>
      <w:r w:rsidRPr="00457B63">
        <w:rPr>
          <w:i/>
        </w:rPr>
        <w:t>The criteria for defining progression are now acceptable in clinical trials of recurrent disease as they have since been validated (</w:t>
      </w:r>
      <w:r w:rsidR="00457B63" w:rsidRPr="00457B63">
        <w:t>[information redacted]</w:t>
      </w:r>
      <w:r w:rsidR="00457B63">
        <w:rPr>
          <w:i/>
        </w:rPr>
        <w:t xml:space="preserve"> </w:t>
      </w:r>
      <w:r w:rsidRPr="00457B63">
        <w:rPr>
          <w:i/>
        </w:rPr>
        <w:t xml:space="preserve">personal communication, 2010). The GCIG requests that data from all clinical trials using these definitions are made available to GCIG trial </w:t>
      </w:r>
      <w:proofErr w:type="spellStart"/>
      <w:r w:rsidRPr="00457B63">
        <w:rPr>
          <w:i/>
        </w:rPr>
        <w:t>centers</w:t>
      </w:r>
      <w:proofErr w:type="spellEnd"/>
      <w:r w:rsidRPr="00457B63">
        <w:rPr>
          <w:i/>
        </w:rPr>
        <w:t xml:space="preserve"> so that continual validation and improvement can be accomplished. </w:t>
      </w:r>
      <w:r w:rsidRPr="00EE5E53">
        <w:rPr>
          <w:b/>
          <w:i/>
        </w:rPr>
        <w:t xml:space="preserve">These definitions were developed from </w:t>
      </w:r>
      <w:proofErr w:type="spellStart"/>
      <w:r w:rsidRPr="00EE5E53">
        <w:rPr>
          <w:b/>
          <w:i/>
        </w:rPr>
        <w:t>analyzing</w:t>
      </w:r>
      <w:proofErr w:type="spellEnd"/>
      <w:r w:rsidRPr="00EE5E53">
        <w:rPr>
          <w:b/>
          <w:i/>
        </w:rPr>
        <w:t xml:space="preserve"> patients receiving cytotoxic chemotherapy and have not yet been validated in patients receiving molecular targeting agents</w:t>
      </w:r>
      <w:r w:rsidR="00B51A1A" w:rsidRPr="00EE5E53">
        <w:rPr>
          <w:i/>
        </w:rPr>
        <w:t>’</w:t>
      </w:r>
      <w:r w:rsidR="00457B63">
        <w:rPr>
          <w:i/>
        </w:rPr>
        <w:t xml:space="preserve"> </w:t>
      </w:r>
      <w:r w:rsidRPr="00457B63">
        <w:t>(</w:t>
      </w:r>
      <w:r w:rsidR="00457B63" w:rsidRPr="00457B63">
        <w:t>evaluator’s</w:t>
      </w:r>
      <w:r w:rsidRPr="00457B63">
        <w:t xml:space="preserve"> emphasis)</w:t>
      </w:r>
      <w:r w:rsidR="00262FD3">
        <w:rPr>
          <w:rStyle w:val="QuoteChar"/>
          <w:rFonts w:eastAsia="Cambria"/>
        </w:rPr>
        <w:t>.</w:t>
      </w:r>
    </w:p>
    <w:p w:rsidR="002900A2" w:rsidRPr="00B05CC9" w:rsidRDefault="002900A2" w:rsidP="002900A2">
      <w:r w:rsidRPr="00B05CC9">
        <w:lastRenderedPageBreak/>
        <w:t>Please address the questions (1) whether the definitions have since been validated in patients receiving molecular targeting agents and (2) whether the personal communication referred to in</w:t>
      </w:r>
      <w:r w:rsidR="00B51A1A">
        <w:t xml:space="preserve"> </w:t>
      </w:r>
      <w:r w:rsidRPr="00B05CC9">
        <w:t>the paper has been published in a peer-reviewed journal. If neither or either is the case, justification for the use</w:t>
      </w:r>
      <w:r w:rsidR="00262FD3">
        <w:t xml:space="preserve"> of these guidelines is needed.</w:t>
      </w:r>
    </w:p>
    <w:p w:rsidR="002900A2" w:rsidRPr="009D75D2" w:rsidRDefault="00EE5E53" w:rsidP="00EE5E53">
      <w:pPr>
        <w:pStyle w:val="Heading6"/>
      </w:pPr>
      <w:bookmarkStart w:id="100" w:name="_Toc393534559"/>
      <w:r>
        <w:t xml:space="preserve">5. </w:t>
      </w:r>
      <w:r w:rsidR="002900A2" w:rsidRPr="009D75D2">
        <w:t xml:space="preserve">Acceptability of </w:t>
      </w:r>
      <w:r>
        <w:t>s</w:t>
      </w:r>
      <w:r w:rsidR="002900A2" w:rsidRPr="009D75D2">
        <w:t xml:space="preserve">tatistical </w:t>
      </w:r>
      <w:r>
        <w:t>a</w:t>
      </w:r>
      <w:r w:rsidR="002900A2" w:rsidRPr="009D75D2">
        <w:t xml:space="preserve">nalysis </w:t>
      </w:r>
      <w:r>
        <w:t>p</w:t>
      </w:r>
      <w:r w:rsidR="002900A2" w:rsidRPr="009D75D2">
        <w:t xml:space="preserve">lan (SAP) </w:t>
      </w:r>
      <w:r>
        <w:t>a</w:t>
      </w:r>
      <w:r w:rsidR="002900A2" w:rsidRPr="009D75D2">
        <w:t>mendment 2</w:t>
      </w:r>
      <w:bookmarkEnd w:id="100"/>
    </w:p>
    <w:p w:rsidR="002900A2" w:rsidRPr="00E94BA1" w:rsidRDefault="002900A2" w:rsidP="002900A2">
      <w:pPr>
        <w:rPr>
          <w:rStyle w:val="QuoteChar"/>
          <w:rFonts w:eastAsia="Cambria"/>
          <w:color w:val="auto"/>
        </w:rPr>
      </w:pPr>
      <w:r w:rsidRPr="00B05CC9">
        <w:t xml:space="preserve">The reason given for </w:t>
      </w:r>
      <w:r w:rsidR="00E94BA1" w:rsidRPr="00B05CC9">
        <w:t>Statistical Analysis Plan</w:t>
      </w:r>
      <w:r w:rsidR="00E94BA1">
        <w:t xml:space="preserve"> (SAP) </w:t>
      </w:r>
      <w:r w:rsidRPr="00B05CC9">
        <w:t xml:space="preserve">Amendment 2 by the applicant is </w:t>
      </w:r>
      <w:r w:rsidRPr="00B05CC9">
        <w:rPr>
          <w:rStyle w:val="QuoteChar"/>
          <w:rFonts w:eastAsia="Cambria"/>
        </w:rPr>
        <w:t>that</w:t>
      </w:r>
      <w:r w:rsidR="00B51A1A">
        <w:rPr>
          <w:rStyle w:val="QuoteChar"/>
          <w:rFonts w:eastAsia="Cambria"/>
        </w:rPr>
        <w:t xml:space="preserve"> </w:t>
      </w:r>
      <w:r w:rsidR="0024121F">
        <w:rPr>
          <w:rStyle w:val="QuoteChar"/>
          <w:rFonts w:eastAsia="Cambria"/>
        </w:rPr>
        <w:t>‘</w:t>
      </w:r>
      <w:r w:rsidRPr="00E94BA1">
        <w:rPr>
          <w:rStyle w:val="QuoteChar"/>
          <w:rFonts w:eastAsia="Cambria"/>
          <w:color w:val="auto"/>
        </w:rPr>
        <w:t>The plan emphasizes analyses that would meet the expectations of Regulatory Agencies in their review processes for approval of the new indication.</w:t>
      </w:r>
      <w:r w:rsidR="00B51A1A" w:rsidRPr="00E94BA1">
        <w:rPr>
          <w:rStyle w:val="QuoteChar"/>
          <w:rFonts w:eastAsia="Cambria"/>
          <w:color w:val="auto"/>
        </w:rPr>
        <w:t>’</w:t>
      </w:r>
    </w:p>
    <w:p w:rsidR="002900A2" w:rsidRPr="00B05CC9" w:rsidRDefault="002900A2" w:rsidP="002900A2">
      <w:r w:rsidRPr="00B05CC9">
        <w:t>The amendment was made 11 months after the close of the clinical data-base of the trial. Until this time, the SAP had been the same in all the amended protocols and assessments of the various endpoints would have been made by the investigators following these trial protocols up to closure of the clinical data-base. It is therefore possible that results or early impressions of these assessments may have led to the SAP Amendment 2, which was not part of the original study design. Therefore selection bias in the changes to the SAP cannot be excluded.</w:t>
      </w:r>
    </w:p>
    <w:p w:rsidR="002900A2" w:rsidRPr="00B05CC9" w:rsidRDefault="002900A2" w:rsidP="002900A2">
      <w:r w:rsidRPr="00B05CC9">
        <w:t xml:space="preserve">In all the trial protocols, Quality of Life (QOL) was to be assessed by investigators during the course of the trial using multiple </w:t>
      </w:r>
      <w:proofErr w:type="spellStart"/>
      <w:r w:rsidRPr="00B05CC9">
        <w:t>HRQoL</w:t>
      </w:r>
      <w:proofErr w:type="spellEnd"/>
      <w:r w:rsidRPr="00B05CC9">
        <w:t xml:space="preserve"> instruments, including the European Organization for Research and Treatment of Cancer (EORTC) Quality-of-Life Questionnaire (QLQ) ovarian cancer module with 28 items (OV28). Such assessments would have been completed at the time of clinical data-base cut-off (25 Jan</w:t>
      </w:r>
      <w:r w:rsidR="00E94BA1">
        <w:t>uary</w:t>
      </w:r>
      <w:r w:rsidRPr="00B05CC9">
        <w:t xml:space="preserve"> 2013), after which no more assessments for QOL were done. The above changes to the SAP (Am</w:t>
      </w:r>
      <w:r w:rsidR="00E94BA1">
        <w:t xml:space="preserve">endment 2) were made </w:t>
      </w:r>
      <w:r w:rsidRPr="00B05CC9">
        <w:t>1 month later on 19 Dec</w:t>
      </w:r>
      <w:r w:rsidR="00E94BA1">
        <w:t>ember</w:t>
      </w:r>
      <w:r w:rsidRPr="00B05CC9">
        <w:t xml:space="preserve"> 201</w:t>
      </w:r>
      <w:r w:rsidR="00E94BA1">
        <w:t>2</w:t>
      </w:r>
      <w:r w:rsidRPr="00B05CC9">
        <w:t>. In that period, the results of the investigators’ assessments of trial patients’ QOL using all instruments would have been in whole or in part or potentially available for scrutiny. For the sponsor then to decide that the results from all instruments were no longer to be part of the secondary objectives as pre-defined in the protocols and used throughout, and to regard these outcomes as exploratory only rather than secondary objectives, then to select only the Quality of Life Questionnaire-OV28 abdominal</w:t>
      </w:r>
      <w:proofErr w:type="gramStart"/>
      <w:r w:rsidRPr="00B05CC9">
        <w:t>/(</w:t>
      </w:r>
      <w:proofErr w:type="gramEnd"/>
      <w:r w:rsidRPr="00B05CC9">
        <w:t>GI) symptom scale to be a secondary objective for QOL introduces the strong possibil</w:t>
      </w:r>
      <w:r w:rsidR="00262FD3">
        <w:t>ity of data selection and bias.</w:t>
      </w:r>
    </w:p>
    <w:p w:rsidR="002900A2" w:rsidRPr="00B05CC9" w:rsidRDefault="00E94BA1" w:rsidP="002900A2">
      <w:r>
        <w:t>The evaluator</w:t>
      </w:r>
      <w:r w:rsidR="002900A2" w:rsidRPr="00B05CC9">
        <w:t xml:space="preserve"> therefore conclude that it would be unsafe to accept this change and  intend</w:t>
      </w:r>
      <w:r>
        <w:t>s</w:t>
      </w:r>
      <w:r w:rsidR="002900A2" w:rsidRPr="00B05CC9">
        <w:t xml:space="preserve"> to evaluate QOL as determined by all instruments as a secondary objective of the trial as planned, and as stated in the trial proto</w:t>
      </w:r>
      <w:r w:rsidR="00262FD3">
        <w:t>cols.</w:t>
      </w:r>
    </w:p>
    <w:p w:rsidR="002900A2" w:rsidRPr="00B05CC9" w:rsidRDefault="002900A2" w:rsidP="002900A2">
      <w:r w:rsidRPr="00B05CC9">
        <w:t>If the sponsor does not agree with this decision, please give reasons.</w:t>
      </w:r>
    </w:p>
    <w:p w:rsidR="002900A2" w:rsidRPr="009D75D2" w:rsidRDefault="00EE5E53" w:rsidP="00EE5E53">
      <w:pPr>
        <w:pStyle w:val="Heading6"/>
      </w:pPr>
      <w:r>
        <w:t xml:space="preserve">6. </w:t>
      </w:r>
      <w:r w:rsidR="002900A2" w:rsidRPr="009D75D2">
        <w:t>Need for further information on QOL</w:t>
      </w:r>
    </w:p>
    <w:p w:rsidR="002900A2" w:rsidRPr="00B05CC9" w:rsidRDefault="002900A2" w:rsidP="009D75D2">
      <w:r w:rsidRPr="00B05CC9">
        <w:t xml:space="preserve">Insufficient information has been provided on the assessment of the QOL in this study. Given the failure to show an increase in overall survival in patients treated with </w:t>
      </w:r>
      <w:proofErr w:type="spellStart"/>
      <w:r w:rsidRPr="00B05CC9">
        <w:t>bevacizumab</w:t>
      </w:r>
      <w:proofErr w:type="spellEnd"/>
      <w:r w:rsidRPr="00B05CC9">
        <w:t xml:space="preserve">, the assessment of QOL is of vital importance in determining patient benefit if any from treatment with </w:t>
      </w:r>
      <w:proofErr w:type="spellStart"/>
      <w:r w:rsidRPr="00B05CC9">
        <w:t>bevacizumab</w:t>
      </w:r>
      <w:proofErr w:type="spellEnd"/>
      <w:r w:rsidRPr="00B05CC9">
        <w:t>. Please provide the following information on QOL:</w:t>
      </w:r>
    </w:p>
    <w:p w:rsidR="002900A2" w:rsidRPr="00B05CC9" w:rsidRDefault="002900A2" w:rsidP="009D75D2">
      <w:pPr>
        <w:pStyle w:val="Numberbullet0"/>
        <w:numPr>
          <w:ilvl w:val="0"/>
          <w:numId w:val="25"/>
        </w:numPr>
      </w:pPr>
      <w:r w:rsidRPr="00B05CC9">
        <w:t xml:space="preserve">What was the proportion of evaluable patients who completed </w:t>
      </w:r>
      <w:proofErr w:type="spellStart"/>
      <w:r w:rsidRPr="00B05CC9">
        <w:t>QoL</w:t>
      </w:r>
      <w:proofErr w:type="spellEnd"/>
      <w:r w:rsidRPr="00B05CC9">
        <w:t xml:space="preserve"> questionnaires over the course of the treatment (</w:t>
      </w:r>
      <w:r w:rsidR="00114563">
        <w:t xml:space="preserve">that is, </w:t>
      </w:r>
      <w:r w:rsidRPr="00B05CC9">
        <w:t>lo</w:t>
      </w:r>
      <w:r w:rsidR="00262FD3">
        <w:t xml:space="preserve">ngitudinal data) for both </w:t>
      </w:r>
      <w:proofErr w:type="gramStart"/>
      <w:r w:rsidR="00262FD3">
        <w:t>arms.</w:t>
      </w:r>
      <w:proofErr w:type="gramEnd"/>
    </w:p>
    <w:p w:rsidR="002900A2" w:rsidRPr="00B05CC9" w:rsidRDefault="002900A2" w:rsidP="009D75D2">
      <w:pPr>
        <w:pStyle w:val="Numberbullet0"/>
      </w:pPr>
      <w:r w:rsidRPr="00B05CC9">
        <w:t xml:space="preserve">Please fill in the table to demonstrate the number of patients with evaluable </w:t>
      </w:r>
      <w:proofErr w:type="spellStart"/>
      <w:r w:rsidRPr="00B05CC9">
        <w:t>QoL</w:t>
      </w:r>
      <w:proofErr w:type="spellEnd"/>
      <w:r w:rsidRPr="00B05CC9">
        <w:t xml:space="preserve"> questionn</w:t>
      </w:r>
      <w:r w:rsidR="00262FD3">
        <w:t>aires for the following groups.</w:t>
      </w:r>
    </w:p>
    <w:p w:rsidR="002900A2" w:rsidRPr="00B05CC9" w:rsidRDefault="002900A2" w:rsidP="002900A2">
      <w:r w:rsidRPr="009D75D2">
        <w:rPr>
          <w:b/>
        </w:rPr>
        <w:t>2.1</w:t>
      </w:r>
      <w:r w:rsidRPr="00B05CC9">
        <w:t xml:space="preserve"> The proportions of patients with evaluable baseline and follow-up </w:t>
      </w:r>
      <w:proofErr w:type="spellStart"/>
      <w:r w:rsidRPr="00B05CC9">
        <w:t>QoL</w:t>
      </w:r>
      <w:proofErr w:type="spellEnd"/>
      <w:r w:rsidRPr="00B05CC9">
        <w:t xml:space="preserve"> questionnaire outcomes of those patients</w:t>
      </w:r>
    </w:p>
    <w:p w:rsidR="00D12795" w:rsidRPr="00114563" w:rsidRDefault="00451D82" w:rsidP="00451D82">
      <w:pPr>
        <w:ind w:left="425"/>
      </w:pPr>
      <w:proofErr w:type="gramStart"/>
      <w:r>
        <w:t>a</w:t>
      </w:r>
      <w:proofErr w:type="gramEnd"/>
      <w:r>
        <w:t xml:space="preserve">. </w:t>
      </w:r>
      <w:r w:rsidR="002900A2" w:rsidRPr="00114563">
        <w:t xml:space="preserve">experiencing adverse events on </w:t>
      </w:r>
      <w:proofErr w:type="spellStart"/>
      <w:r w:rsidR="002900A2" w:rsidRPr="00114563">
        <w:t>bevacizumab</w:t>
      </w:r>
      <w:proofErr w:type="spellEnd"/>
      <w:r w:rsidR="002900A2" w:rsidRPr="00114563">
        <w:t xml:space="preserve"> compared with those wh</w:t>
      </w:r>
      <w:r w:rsidR="00262FD3">
        <w:t>o had an AE in the control arm?</w:t>
      </w:r>
    </w:p>
    <w:p w:rsidR="002900A2" w:rsidRDefault="00451D82" w:rsidP="00451D82">
      <w:pPr>
        <w:ind w:left="425"/>
      </w:pPr>
      <w:proofErr w:type="gramStart"/>
      <w:r>
        <w:lastRenderedPageBreak/>
        <w:t>b</w:t>
      </w:r>
      <w:proofErr w:type="gramEnd"/>
      <w:r>
        <w:t xml:space="preserve">. </w:t>
      </w:r>
      <w:r w:rsidR="002900A2" w:rsidRPr="00114563">
        <w:t xml:space="preserve">experiencing adverse events on </w:t>
      </w:r>
      <w:proofErr w:type="spellStart"/>
      <w:r w:rsidR="002900A2" w:rsidRPr="00114563">
        <w:t>bevacizumab</w:t>
      </w:r>
      <w:proofErr w:type="spellEnd"/>
      <w:r w:rsidR="002900A2" w:rsidRPr="00114563">
        <w:t xml:space="preserve"> compared with</w:t>
      </w:r>
      <w:r w:rsidR="00B51A1A" w:rsidRPr="00114563">
        <w:t xml:space="preserve"> </w:t>
      </w:r>
      <w:r w:rsidR="002900A2" w:rsidRPr="00114563">
        <w:t xml:space="preserve">those who were on </w:t>
      </w:r>
      <w:proofErr w:type="spellStart"/>
      <w:r w:rsidR="002900A2" w:rsidRPr="00114563">
        <w:t>bevacizumab</w:t>
      </w:r>
      <w:proofErr w:type="spellEnd"/>
      <w:r w:rsidR="002900A2" w:rsidRPr="00114563">
        <w:t xml:space="preserve"> who did not experience an</w:t>
      </w:r>
      <w:r w:rsidR="00262FD3">
        <w:t xml:space="preserve"> AE leading to discontinuation?</w:t>
      </w:r>
    </w:p>
    <w:p w:rsidR="002900A2" w:rsidRPr="00B05CC9" w:rsidRDefault="002900A2" w:rsidP="002900A2">
      <w:r w:rsidRPr="009D75D2">
        <w:rPr>
          <w:b/>
        </w:rPr>
        <w:t>2.2</w:t>
      </w:r>
      <w:r w:rsidRPr="00B05CC9">
        <w:t xml:space="preserve"> Please provide the QoL outcomes for all those on </w:t>
      </w:r>
      <w:proofErr w:type="spellStart"/>
      <w:r w:rsidRPr="00B05CC9">
        <w:t>bevacizumab</w:t>
      </w:r>
      <w:proofErr w:type="spellEnd"/>
      <w:r w:rsidRPr="00B05CC9">
        <w:t xml:space="preserve"> at the last time point prior to progression compared with those in the control arm at the last time point prior to</w:t>
      </w:r>
      <w:r w:rsidR="00262FD3">
        <w:t xml:space="preserve"> progression?</w:t>
      </w:r>
    </w:p>
    <w:p w:rsidR="002900A2" w:rsidRPr="00B05CC9" w:rsidRDefault="002900A2" w:rsidP="009D75D2">
      <w:pPr>
        <w:pStyle w:val="ListParagraph"/>
        <w:numPr>
          <w:ilvl w:val="1"/>
          <w:numId w:val="39"/>
        </w:numPr>
      </w:pPr>
      <w:r w:rsidRPr="00B05CC9">
        <w:t>Did any of the Qo</w:t>
      </w:r>
      <w:r w:rsidR="00262FD3">
        <w:t>L tools measure symptom burden?</w:t>
      </w:r>
    </w:p>
    <w:p w:rsidR="002900A2" w:rsidRPr="00B05CC9" w:rsidRDefault="00EE5E53" w:rsidP="00EE5E53">
      <w:pPr>
        <w:pStyle w:val="Heading6"/>
      </w:pPr>
      <w:bookmarkStart w:id="101" w:name="_Ref393361053"/>
      <w:bookmarkStart w:id="102" w:name="_Ref393361058"/>
      <w:bookmarkStart w:id="103" w:name="_Toc393534560"/>
      <w:r>
        <w:t xml:space="preserve">7. </w:t>
      </w:r>
      <w:r w:rsidR="002900A2" w:rsidRPr="00B05CC9">
        <w:t xml:space="preserve">Obscure meaning of captions on two </w:t>
      </w:r>
      <w:r w:rsidR="00B9756C">
        <w:t>t</w:t>
      </w:r>
      <w:r w:rsidR="002900A2" w:rsidRPr="00B05CC9">
        <w:t>ables</w:t>
      </w:r>
      <w:bookmarkEnd w:id="101"/>
      <w:bookmarkEnd w:id="102"/>
      <w:bookmarkEnd w:id="103"/>
    </w:p>
    <w:p w:rsidR="002900A2" w:rsidRPr="00B05CC9" w:rsidRDefault="002900A2" w:rsidP="00EE5E53">
      <w:r w:rsidRPr="00B05CC9">
        <w:t>The captions of Table 114, CSR, (Patient Disposition and Reason for End of Treatment - Chemotherapy Alone: by November 14, 2011 Randomized Patients - Paclitaxel Assigned at Randomization) and that of Table 111, CSR (Patient Disposition and Reason for End of Treatment - Chemotherapy (Paclitaxel): by November 14, 2011 Randomized Patients - Paclitaxel Assigned at Randomization) are confusing. Please explain the meaning of these captions.</w:t>
      </w:r>
    </w:p>
    <w:p w:rsidR="002900A2" w:rsidRPr="00B05CC9" w:rsidRDefault="005F7DCB" w:rsidP="00EE5E53">
      <w:pPr>
        <w:pStyle w:val="Heading6"/>
      </w:pPr>
      <w:bookmarkStart w:id="104" w:name="_Ref379040399"/>
      <w:bookmarkStart w:id="105" w:name="_Ref379040445"/>
      <w:bookmarkStart w:id="106" w:name="_Toc393534561"/>
      <w:r>
        <w:t xml:space="preserve">8. </w:t>
      </w:r>
      <w:r w:rsidR="002900A2" w:rsidRPr="00B05CC9">
        <w:t xml:space="preserve">Assessment of </w:t>
      </w:r>
      <w:r w:rsidR="00262FD3">
        <w:t>r</w:t>
      </w:r>
      <w:r w:rsidR="002900A2" w:rsidRPr="00B05CC9">
        <w:t xml:space="preserve">esponse of </w:t>
      </w:r>
      <w:r w:rsidR="00262FD3">
        <w:t>m</w:t>
      </w:r>
      <w:r w:rsidR="002900A2" w:rsidRPr="00B05CC9">
        <w:t xml:space="preserve">alignant </w:t>
      </w:r>
      <w:r w:rsidR="00262FD3">
        <w:t>a</w:t>
      </w:r>
      <w:r w:rsidR="002900A2" w:rsidRPr="00B05CC9">
        <w:t xml:space="preserve">scites to </w:t>
      </w:r>
      <w:r w:rsidR="00262FD3">
        <w:t>t</w:t>
      </w:r>
      <w:r w:rsidR="002900A2" w:rsidRPr="00B05CC9">
        <w:t>reatment</w:t>
      </w:r>
      <w:bookmarkEnd w:id="104"/>
      <w:bookmarkEnd w:id="105"/>
      <w:bookmarkEnd w:id="106"/>
    </w:p>
    <w:p w:rsidR="002900A2" w:rsidRPr="00B05CC9" w:rsidRDefault="002900A2" w:rsidP="00EE5E53">
      <w:r w:rsidRPr="00B05CC9">
        <w:t xml:space="preserve">Frequency of </w:t>
      </w:r>
      <w:proofErr w:type="spellStart"/>
      <w:r w:rsidRPr="00B05CC9">
        <w:t>paracenteses</w:t>
      </w:r>
      <w:proofErr w:type="spellEnd"/>
      <w:r w:rsidRPr="00B05CC9">
        <w:t xml:space="preserve"> performed on patie</w:t>
      </w:r>
      <w:r w:rsidR="00114563">
        <w:t>nts while on-study was summaris</w:t>
      </w:r>
      <w:r w:rsidRPr="00B05CC9">
        <w:t xml:space="preserve">ed by treatment period for patients with ascites at baseline, as well as patients without ascites at baseline. No formal statistical analysis was performed, but the frequency of </w:t>
      </w:r>
      <w:proofErr w:type="spellStart"/>
      <w:r w:rsidRPr="00B05CC9">
        <w:t>paracentesis</w:t>
      </w:r>
      <w:proofErr w:type="spellEnd"/>
      <w:r w:rsidRPr="00B05CC9">
        <w:t xml:space="preserve"> was substantially reduced among patients treated with CT+BV.</w:t>
      </w:r>
    </w:p>
    <w:p w:rsidR="002900A2" w:rsidRPr="00B05CC9" w:rsidRDefault="00B9756C" w:rsidP="00EE5E53">
      <w:r>
        <w:t xml:space="preserve">A footnote to Table 26 </w:t>
      </w:r>
      <w:r w:rsidR="002900A2" w:rsidRPr="00B05CC9">
        <w:t xml:space="preserve">CSR, states that one patient had multiple </w:t>
      </w:r>
      <w:proofErr w:type="spellStart"/>
      <w:r w:rsidR="002900A2" w:rsidRPr="00B05CC9">
        <w:t>paracenteses</w:t>
      </w:r>
      <w:proofErr w:type="spellEnd"/>
      <w:r w:rsidR="002900A2" w:rsidRPr="00B05CC9">
        <w:t xml:space="preserve"> but the number of </w:t>
      </w:r>
      <w:proofErr w:type="spellStart"/>
      <w:r w:rsidR="002900A2" w:rsidRPr="00B05CC9">
        <w:t>paracenteses</w:t>
      </w:r>
      <w:proofErr w:type="spellEnd"/>
      <w:r w:rsidR="002900A2" w:rsidRPr="00B05CC9">
        <w:t xml:space="preserve"> was not given. In assessing these data, it is important to know how many </w:t>
      </w:r>
      <w:proofErr w:type="spellStart"/>
      <w:r w:rsidR="002900A2" w:rsidRPr="00B05CC9">
        <w:t>paracentesis</w:t>
      </w:r>
      <w:proofErr w:type="spellEnd"/>
      <w:r w:rsidR="002900A2" w:rsidRPr="00B05CC9">
        <w:t xml:space="preserve"> procedures were performed on eac</w:t>
      </w:r>
      <w:r w:rsidR="00262FD3">
        <w:t>h patient throughout the study.</w:t>
      </w:r>
    </w:p>
    <w:p w:rsidR="002900A2" w:rsidRPr="00B05CC9" w:rsidRDefault="002900A2" w:rsidP="00EE5E53">
      <w:r w:rsidRPr="00B05CC9">
        <w:t>P</w:t>
      </w:r>
      <w:r w:rsidR="00262FD3">
        <w:t>lease provide this information.</w:t>
      </w:r>
    </w:p>
    <w:p w:rsidR="002900A2" w:rsidRPr="00B05CC9" w:rsidRDefault="005F7DCB" w:rsidP="00EE5E53">
      <w:pPr>
        <w:pStyle w:val="Heading6"/>
      </w:pPr>
      <w:bookmarkStart w:id="107" w:name="_Ref393379050"/>
      <w:bookmarkStart w:id="108" w:name="_Ref393379054"/>
      <w:bookmarkStart w:id="109" w:name="_Toc393534562"/>
      <w:r>
        <w:t xml:space="preserve">9. </w:t>
      </w:r>
      <w:r w:rsidR="002900A2" w:rsidRPr="00B05CC9">
        <w:t xml:space="preserve">The </w:t>
      </w:r>
      <w:r w:rsidR="00EE5E53">
        <w:t>e</w:t>
      </w:r>
      <w:r w:rsidR="002900A2" w:rsidRPr="00B05CC9">
        <w:t xml:space="preserve">ffect if any of </w:t>
      </w:r>
      <w:r w:rsidR="00262FD3">
        <w:t>d</w:t>
      </w:r>
      <w:r w:rsidR="002900A2" w:rsidRPr="00B05CC9">
        <w:t xml:space="preserve">iscontinuation from </w:t>
      </w:r>
      <w:r w:rsidR="00262FD3">
        <w:t>t</w:t>
      </w:r>
      <w:r w:rsidR="002900A2" w:rsidRPr="00B05CC9">
        <w:t xml:space="preserve">reatment on </w:t>
      </w:r>
      <w:r w:rsidR="00262FD3">
        <w:t>p</w:t>
      </w:r>
      <w:r w:rsidR="002900A2" w:rsidRPr="00B05CC9">
        <w:t xml:space="preserve">rogression </w:t>
      </w:r>
      <w:r w:rsidR="00262FD3">
        <w:t>f</w:t>
      </w:r>
      <w:r w:rsidR="002900A2" w:rsidRPr="00B05CC9">
        <w:t xml:space="preserve">ree </w:t>
      </w:r>
      <w:r w:rsidR="00262FD3">
        <w:t>s</w:t>
      </w:r>
      <w:r w:rsidR="002900A2" w:rsidRPr="00B05CC9">
        <w:t>urvival</w:t>
      </w:r>
      <w:bookmarkEnd w:id="107"/>
      <w:bookmarkEnd w:id="108"/>
      <w:bookmarkEnd w:id="109"/>
    </w:p>
    <w:p w:rsidR="002900A2" w:rsidRPr="00B05CC9" w:rsidRDefault="002900A2" w:rsidP="00EE5E53">
      <w:r w:rsidRPr="00B05CC9">
        <w:t>Please provide the median and interquartile time to treatment failure for both arms (</w:t>
      </w:r>
      <w:r w:rsidR="00B9756C">
        <w:t xml:space="preserve">that is, </w:t>
      </w:r>
      <w:r w:rsidRPr="00B05CC9">
        <w:t>incorporating discontinuations due to adverse events</w:t>
      </w:r>
      <w:r w:rsidR="00B9756C">
        <w:t xml:space="preserve">, toxicity, </w:t>
      </w:r>
      <w:proofErr w:type="gramStart"/>
      <w:r w:rsidR="00B9756C">
        <w:t>disease</w:t>
      </w:r>
      <w:proofErr w:type="gramEnd"/>
      <w:r w:rsidR="00B9756C">
        <w:t xml:space="preserve"> progression and so on</w:t>
      </w:r>
      <w:r w:rsidRPr="00B05CC9">
        <w:t>)? Also please provide a K</w:t>
      </w:r>
      <w:r w:rsidR="00B9756C">
        <w:t>aplan</w:t>
      </w:r>
      <w:r w:rsidRPr="00B05CC9">
        <w:t>-M</w:t>
      </w:r>
      <w:r w:rsidR="00B9756C">
        <w:t>eier (K-M)</w:t>
      </w:r>
      <w:r w:rsidRPr="00B05CC9">
        <w:t xml:space="preserve"> curve for PFS for those patients who remained on active treatment up until the time of their disease </w:t>
      </w:r>
      <w:proofErr w:type="gramStart"/>
      <w:r w:rsidRPr="00B05CC9">
        <w:t>progression</w:t>
      </w:r>
      <w:r w:rsidR="00B9756C">
        <w:t>, that</w:t>
      </w:r>
      <w:proofErr w:type="gramEnd"/>
      <w:r w:rsidR="00B9756C">
        <w:t xml:space="preserve"> is,</w:t>
      </w:r>
      <w:r w:rsidRPr="00B05CC9">
        <w:t xml:space="preserve"> taking into account discontinuations due to toxicity and adverse events.</w:t>
      </w:r>
    </w:p>
    <w:p w:rsidR="002900A2" w:rsidRPr="00B9756C" w:rsidRDefault="005F7DCB" w:rsidP="00EE5E53">
      <w:pPr>
        <w:pStyle w:val="Heading6"/>
      </w:pPr>
      <w:bookmarkStart w:id="110" w:name="_Ref393363984"/>
      <w:bookmarkStart w:id="111" w:name="_Ref393363988"/>
      <w:bookmarkStart w:id="112" w:name="_Toc393534563"/>
      <w:r>
        <w:t xml:space="preserve">10. </w:t>
      </w:r>
      <w:r w:rsidR="002900A2" w:rsidRPr="00B05CC9">
        <w:t xml:space="preserve">The </w:t>
      </w:r>
      <w:r w:rsidR="00262FD3">
        <w:t>n</w:t>
      </w:r>
      <w:r w:rsidR="002900A2" w:rsidRPr="00B05CC9">
        <w:t xml:space="preserve">umber of </w:t>
      </w:r>
      <w:r w:rsidR="00262FD3">
        <w:t>p</w:t>
      </w:r>
      <w:r w:rsidR="002900A2" w:rsidRPr="00B05CC9">
        <w:t xml:space="preserve">atients who </w:t>
      </w:r>
      <w:r w:rsidR="00262FD3">
        <w:t>r</w:t>
      </w:r>
      <w:r w:rsidR="002900A2" w:rsidRPr="00B05CC9">
        <w:t xml:space="preserve">eceived </w:t>
      </w:r>
      <w:r w:rsidR="00262FD3">
        <w:t>p</w:t>
      </w:r>
      <w:r w:rsidR="002900A2" w:rsidRPr="00B05CC9">
        <w:t xml:space="preserve">rior </w:t>
      </w:r>
      <w:r w:rsidR="00262FD3">
        <w:t>a</w:t>
      </w:r>
      <w:r w:rsidR="002900A2" w:rsidRPr="00B05CC9">
        <w:t>nti-</w:t>
      </w:r>
      <w:proofErr w:type="spellStart"/>
      <w:r w:rsidR="00262FD3">
        <w:t>a</w:t>
      </w:r>
      <w:r w:rsidR="002900A2" w:rsidRPr="00B05CC9">
        <w:t>ngiogeneic</w:t>
      </w:r>
      <w:proofErr w:type="spellEnd"/>
      <w:r w:rsidR="002900A2" w:rsidRPr="00B05CC9">
        <w:t xml:space="preserve"> </w:t>
      </w:r>
      <w:r w:rsidR="00262FD3">
        <w:t>t</w:t>
      </w:r>
      <w:r w:rsidR="002900A2" w:rsidRPr="00B05CC9">
        <w:t>herapy</w:t>
      </w:r>
      <w:bookmarkEnd w:id="110"/>
      <w:bookmarkEnd w:id="111"/>
      <w:bookmarkEnd w:id="112"/>
    </w:p>
    <w:p w:rsidR="002900A2" w:rsidRPr="00B05CC9" w:rsidRDefault="002900A2" w:rsidP="00EE5E53">
      <w:r w:rsidRPr="00B05CC9">
        <w:t xml:space="preserve">Please explain the difference between the </w:t>
      </w:r>
      <w:r w:rsidR="00B9756C" w:rsidRPr="00C2083E">
        <w:t>Interactive voice response system</w:t>
      </w:r>
      <w:r w:rsidR="00B9756C" w:rsidRPr="00B05CC9">
        <w:t xml:space="preserve"> </w:t>
      </w:r>
      <w:r w:rsidR="00B9756C">
        <w:t>(</w:t>
      </w:r>
      <w:r w:rsidRPr="00B05CC9">
        <w:t>IVR</w:t>
      </w:r>
      <w:r w:rsidR="00B9756C">
        <w:t>S)</w:t>
      </w:r>
      <w:r w:rsidRPr="00B05CC9">
        <w:t xml:space="preserve"> and </w:t>
      </w:r>
      <w:r w:rsidR="00B9756C">
        <w:t>electronic case report form (</w:t>
      </w:r>
      <w:r w:rsidRPr="00B05CC9">
        <w:t>eCRF</w:t>
      </w:r>
      <w:r w:rsidR="00B9756C">
        <w:t>)</w:t>
      </w:r>
      <w:r w:rsidRPr="00B05CC9">
        <w:t xml:space="preserve"> recorded numbers for those who had received prior anti-</w:t>
      </w:r>
      <w:proofErr w:type="spellStart"/>
      <w:r w:rsidRPr="00B05CC9">
        <w:t>angiogenic</w:t>
      </w:r>
      <w:proofErr w:type="spellEnd"/>
      <w:r w:rsidRPr="00B05CC9">
        <w:t xml:space="preserve"> therapy and justify which is more likely to be accurate? In what percentage was the prior treatment unknown due to blinding from the previous trial?</w:t>
      </w:r>
    </w:p>
    <w:p w:rsidR="002900A2" w:rsidRPr="00B05CC9" w:rsidRDefault="005F7DCB" w:rsidP="00EE5E53">
      <w:pPr>
        <w:pStyle w:val="Heading6"/>
      </w:pPr>
      <w:bookmarkStart w:id="113" w:name="_Toc393534564"/>
      <w:r>
        <w:t xml:space="preserve">11. </w:t>
      </w:r>
      <w:r w:rsidR="002900A2" w:rsidRPr="00B05CC9">
        <w:t xml:space="preserve">PFS in </w:t>
      </w:r>
      <w:r w:rsidR="00262FD3">
        <w:t>s</w:t>
      </w:r>
      <w:r w:rsidR="002900A2" w:rsidRPr="00B05CC9">
        <w:t xml:space="preserve">ubgroups of </w:t>
      </w:r>
      <w:r w:rsidR="00262FD3">
        <w:t>p</w:t>
      </w:r>
      <w:r w:rsidR="002900A2" w:rsidRPr="00B05CC9">
        <w:t>atients</w:t>
      </w:r>
      <w:bookmarkEnd w:id="113"/>
    </w:p>
    <w:p w:rsidR="002900A2" w:rsidRPr="00B05CC9" w:rsidRDefault="002900A2" w:rsidP="00EE5E53">
      <w:pPr>
        <w:pStyle w:val="Numberbullet0"/>
        <w:numPr>
          <w:ilvl w:val="0"/>
          <w:numId w:val="40"/>
        </w:numPr>
      </w:pPr>
      <w:r w:rsidRPr="00B05CC9">
        <w:t xml:space="preserve">Was there an improvement in PFS with </w:t>
      </w:r>
      <w:proofErr w:type="spellStart"/>
      <w:r w:rsidRPr="00B05CC9">
        <w:t>bevacizumab</w:t>
      </w:r>
      <w:proofErr w:type="spellEnd"/>
      <w:r w:rsidRPr="00B05CC9">
        <w:t xml:space="preserve">/PDL </w:t>
      </w:r>
      <w:proofErr w:type="spellStart"/>
      <w:r w:rsidRPr="00B05CC9">
        <w:t>cf</w:t>
      </w:r>
      <w:proofErr w:type="spellEnd"/>
      <w:r w:rsidRPr="00B05CC9">
        <w:t xml:space="preserve"> PDL alone?</w:t>
      </w:r>
    </w:p>
    <w:p w:rsidR="002900A2" w:rsidRPr="00B05CC9" w:rsidRDefault="002900A2" w:rsidP="00EE5E53">
      <w:pPr>
        <w:pStyle w:val="Numberbullet0"/>
      </w:pPr>
      <w:r w:rsidRPr="00B05CC9">
        <w:t xml:space="preserve">Was there an improvement in PFS for those with ascites at baseline with addition of </w:t>
      </w:r>
      <w:proofErr w:type="spellStart"/>
      <w:r w:rsidRPr="00B05CC9">
        <w:t>bevacizumab</w:t>
      </w:r>
      <w:proofErr w:type="spellEnd"/>
      <w:r w:rsidRPr="00B05CC9">
        <w:t xml:space="preserve"> to treatment?</w:t>
      </w:r>
    </w:p>
    <w:p w:rsidR="002900A2" w:rsidRPr="00B05CC9" w:rsidRDefault="005F7DCB" w:rsidP="00EE5E53">
      <w:pPr>
        <w:pStyle w:val="Heading6"/>
      </w:pPr>
      <w:bookmarkStart w:id="114" w:name="_Toc393534565"/>
      <w:r>
        <w:t xml:space="preserve">12. </w:t>
      </w:r>
      <w:r w:rsidR="002900A2" w:rsidRPr="00B05CC9">
        <w:t xml:space="preserve">Independent </w:t>
      </w:r>
      <w:r w:rsidR="00262FD3">
        <w:t>r</w:t>
      </w:r>
      <w:r w:rsidR="002900A2" w:rsidRPr="00B05CC9">
        <w:t xml:space="preserve">eview of </w:t>
      </w:r>
      <w:r w:rsidR="00262FD3">
        <w:t>s</w:t>
      </w:r>
      <w:r w:rsidR="002900A2" w:rsidRPr="00B05CC9">
        <w:t>cans</w:t>
      </w:r>
      <w:bookmarkEnd w:id="114"/>
    </w:p>
    <w:p w:rsidR="002900A2" w:rsidRPr="00B05CC9" w:rsidRDefault="002900A2" w:rsidP="00EE5E53">
      <w:r w:rsidRPr="00B05CC9">
        <w:t xml:space="preserve">Please clarify whether an independent review of scans was undertaken as specified in the protocol amendment, and if not, provide a justification for this not </w:t>
      </w:r>
      <w:r w:rsidR="00262FD3">
        <w:t>being done.</w:t>
      </w:r>
    </w:p>
    <w:p w:rsidR="002900A2" w:rsidRPr="00B05CC9" w:rsidRDefault="002900A2" w:rsidP="001F54C4">
      <w:pPr>
        <w:pStyle w:val="Heading5"/>
      </w:pPr>
      <w:bookmarkStart w:id="115" w:name="_Toc272414705"/>
      <w:bookmarkStart w:id="116" w:name="_Toc290846345"/>
      <w:bookmarkStart w:id="117" w:name="_Toc393534566"/>
      <w:bookmarkStart w:id="118" w:name="_Toc415046267"/>
      <w:r w:rsidRPr="00B05CC9">
        <w:lastRenderedPageBreak/>
        <w:t>Safety</w:t>
      </w:r>
      <w:bookmarkEnd w:id="115"/>
      <w:bookmarkEnd w:id="116"/>
      <w:bookmarkEnd w:id="117"/>
      <w:bookmarkEnd w:id="118"/>
    </w:p>
    <w:p w:rsidR="002900A2" w:rsidRPr="00B05CC9" w:rsidRDefault="005F7DCB" w:rsidP="00EE5E53">
      <w:pPr>
        <w:pStyle w:val="Heading6"/>
      </w:pPr>
      <w:bookmarkStart w:id="119" w:name="_Ref379041349"/>
      <w:bookmarkStart w:id="120" w:name="_Ref379041368"/>
      <w:bookmarkStart w:id="121" w:name="_Toc393534567"/>
      <w:r>
        <w:t xml:space="preserve">13. </w:t>
      </w:r>
      <w:r w:rsidR="002900A2" w:rsidRPr="00B05CC9">
        <w:t xml:space="preserve">Absence of data </w:t>
      </w:r>
      <w:r w:rsidR="002900A2" w:rsidRPr="00624A82">
        <w:t>on</w:t>
      </w:r>
      <w:r w:rsidR="002900A2" w:rsidRPr="00B05CC9">
        <w:t xml:space="preserve"> the relationship of trial drug administration to the occurrence of adverse events</w:t>
      </w:r>
      <w:bookmarkEnd w:id="119"/>
      <w:bookmarkEnd w:id="120"/>
      <w:bookmarkEnd w:id="121"/>
    </w:p>
    <w:p w:rsidR="002900A2" w:rsidRPr="00B05CC9" w:rsidRDefault="002900A2" w:rsidP="001F54C4">
      <w:pPr>
        <w:keepNext/>
        <w:keepLines/>
      </w:pPr>
      <w:r w:rsidRPr="00B05CC9">
        <w:t xml:space="preserve">While causal relationship was provided for AEs of special interest, this information was not provided for AEs as a whole in the CSR, the </w:t>
      </w:r>
      <w:r w:rsidR="00624A82">
        <w:t xml:space="preserve">sponsor’s </w:t>
      </w:r>
      <w:r w:rsidRPr="00B05CC9">
        <w:t xml:space="preserve">Clinical Overview, the </w:t>
      </w:r>
      <w:r w:rsidR="00624A82">
        <w:t xml:space="preserve">sponsor’s </w:t>
      </w:r>
      <w:r w:rsidRPr="00B05CC9">
        <w:t xml:space="preserve">Summary of Clinical Safety and the SAP Amendment 2. The wording in </w:t>
      </w:r>
      <w:r w:rsidRPr="00624A82">
        <w:rPr>
          <w:i/>
        </w:rPr>
        <w:t>Overall Adverse Events</w:t>
      </w:r>
      <w:r w:rsidRPr="00B05CC9">
        <w:t xml:space="preserve"> however indicates that all AEs reported as above (as in the CSR) were to</w:t>
      </w:r>
      <w:r w:rsidR="00624A82">
        <w:t xml:space="preserve"> be taken as treatment-related. </w:t>
      </w:r>
      <w:r w:rsidRPr="00B05CC9">
        <w:t>Please give r</w:t>
      </w:r>
      <w:r w:rsidR="00262FD3">
        <w:t>easons for this omission.</w:t>
      </w:r>
    </w:p>
    <w:p w:rsidR="002900A2" w:rsidRPr="00B05CC9" w:rsidRDefault="005F7DCB" w:rsidP="00EE5E53">
      <w:pPr>
        <w:pStyle w:val="Heading6"/>
      </w:pPr>
      <w:bookmarkStart w:id="122" w:name="_Toc393534568"/>
      <w:r>
        <w:t xml:space="preserve">14. </w:t>
      </w:r>
      <w:r w:rsidR="002900A2" w:rsidRPr="00B05CC9">
        <w:t xml:space="preserve">Grouping of </w:t>
      </w:r>
      <w:r w:rsidR="00262FD3">
        <w:t>g</w:t>
      </w:r>
      <w:r w:rsidR="002900A2" w:rsidRPr="00B05CC9">
        <w:t>rades of AEs</w:t>
      </w:r>
      <w:bookmarkEnd w:id="122"/>
    </w:p>
    <w:p w:rsidR="002900A2" w:rsidRPr="00B05CC9" w:rsidRDefault="002900A2" w:rsidP="00EE5E53">
      <w:r w:rsidRPr="00B05CC9">
        <w:t>The grades of AEs were grouped as Grades 2</w:t>
      </w:r>
      <w:r w:rsidR="00624A82">
        <w:t xml:space="preserve"> to </w:t>
      </w:r>
      <w:r w:rsidRPr="00B05CC9">
        <w:t>5, Grades 3</w:t>
      </w:r>
      <w:r w:rsidR="00624A82">
        <w:t xml:space="preserve"> to </w:t>
      </w:r>
      <w:r w:rsidRPr="00B05CC9">
        <w:t>5, and Grade 5. Please indicate where the data for the adverse events and serious adverse events for each arm, according to following grading can be found: Grade</w:t>
      </w:r>
      <w:r w:rsidR="00624A82">
        <w:t xml:space="preserve"> </w:t>
      </w:r>
      <w:r w:rsidRPr="00B05CC9">
        <w:t>1</w:t>
      </w:r>
      <w:r w:rsidR="00624A82">
        <w:t xml:space="preserve"> to </w:t>
      </w:r>
      <w:r w:rsidRPr="00B05CC9">
        <w:t>2, Grade</w:t>
      </w:r>
      <w:r w:rsidR="00624A82">
        <w:t xml:space="preserve"> </w:t>
      </w:r>
      <w:r w:rsidRPr="00B05CC9">
        <w:t>3</w:t>
      </w:r>
      <w:r w:rsidR="00624A82">
        <w:t xml:space="preserve"> to </w:t>
      </w:r>
      <w:r w:rsidRPr="00B05CC9">
        <w:t>4, Grade 5. If the data have not been presented in this way, please provide two tables with these data.</w:t>
      </w:r>
    </w:p>
    <w:p w:rsidR="002900A2" w:rsidRPr="00B05CC9" w:rsidRDefault="005F7DCB" w:rsidP="00EE5E53">
      <w:pPr>
        <w:pStyle w:val="Heading6"/>
      </w:pPr>
      <w:bookmarkStart w:id="123" w:name="_Ref379041125"/>
      <w:bookmarkStart w:id="124" w:name="_Ref379041137"/>
      <w:bookmarkStart w:id="125" w:name="_Ref379041484"/>
      <w:bookmarkStart w:id="126" w:name="_Ref379041535"/>
      <w:bookmarkStart w:id="127" w:name="_Ref379041542"/>
      <w:bookmarkStart w:id="128" w:name="_Toc393534569"/>
      <w:r>
        <w:t xml:space="preserve">15. </w:t>
      </w:r>
      <w:r w:rsidR="002900A2" w:rsidRPr="00B05CC9">
        <w:t xml:space="preserve">Absence of </w:t>
      </w:r>
      <w:r w:rsidR="00262FD3">
        <w:t>a</w:t>
      </w:r>
      <w:r w:rsidR="002900A2" w:rsidRPr="00B05CC9">
        <w:t xml:space="preserve">ssessments of </w:t>
      </w:r>
      <w:r w:rsidR="00262FD3">
        <w:t>l</w:t>
      </w:r>
      <w:r w:rsidR="002900A2" w:rsidRPr="00B05CC9">
        <w:t xml:space="preserve">aboratory </w:t>
      </w:r>
      <w:r w:rsidR="00262FD3">
        <w:t>t</w:t>
      </w:r>
      <w:r w:rsidR="002900A2" w:rsidRPr="00B05CC9">
        <w:t>ests</w:t>
      </w:r>
      <w:bookmarkEnd w:id="123"/>
      <w:bookmarkEnd w:id="124"/>
      <w:bookmarkEnd w:id="125"/>
      <w:bookmarkEnd w:id="126"/>
      <w:bookmarkEnd w:id="127"/>
      <w:bookmarkEnd w:id="128"/>
    </w:p>
    <w:p w:rsidR="002900A2" w:rsidRPr="00B05CC9" w:rsidRDefault="002900A2" w:rsidP="00EE5E53">
      <w:r w:rsidRPr="00B05CC9">
        <w:t xml:space="preserve">No results for laboratory tests were presented. However the listing of AEs (Listing 709,) included the preferred terms that are defined from laboratory tests, such as neutropenia, and </w:t>
      </w:r>
      <w:r w:rsidRPr="00624A82">
        <w:t xml:space="preserve">Grade 3 </w:t>
      </w:r>
      <w:r w:rsidR="00624A82" w:rsidRPr="00624A82">
        <w:t>gamma-</w:t>
      </w:r>
      <w:proofErr w:type="spellStart"/>
      <w:r w:rsidR="00624A82" w:rsidRPr="00624A82">
        <w:t>glutamyl</w:t>
      </w:r>
      <w:proofErr w:type="spellEnd"/>
      <w:r w:rsidR="00624A82" w:rsidRPr="00624A82">
        <w:t xml:space="preserve"> </w:t>
      </w:r>
      <w:proofErr w:type="spellStart"/>
      <w:r w:rsidR="00624A82" w:rsidRPr="00624A82">
        <w:t>transpeptidase</w:t>
      </w:r>
      <w:proofErr w:type="spellEnd"/>
      <w:r w:rsidR="00624A82" w:rsidRPr="00624A82">
        <w:t xml:space="preserve"> (</w:t>
      </w:r>
      <w:r w:rsidRPr="00624A82">
        <w:t>GGT</w:t>
      </w:r>
      <w:r w:rsidR="00624A82" w:rsidRPr="00624A82">
        <w:t>)</w:t>
      </w:r>
      <w:r w:rsidRPr="00624A82">
        <w:t xml:space="preserve"> increase. Presumably the investigators used their local data to define such events and then</w:t>
      </w:r>
      <w:r w:rsidRPr="00B05CC9">
        <w:t xml:space="preserve"> reported them as AEs, with causality. To assess the risk-benefit of the proposed treatment in this group of patients, the AEs related to haematology, liver function and renal function needs to be considered. Please provide these data, including possible relationship</w:t>
      </w:r>
      <w:r w:rsidR="00262FD3">
        <w:t xml:space="preserve"> to </w:t>
      </w:r>
      <w:proofErr w:type="spellStart"/>
      <w:r w:rsidR="00262FD3">
        <w:t>bevacizumab</w:t>
      </w:r>
      <w:proofErr w:type="spellEnd"/>
      <w:r w:rsidR="00262FD3">
        <w:t xml:space="preserve"> administration.</w:t>
      </w:r>
    </w:p>
    <w:p w:rsidR="002900A2" w:rsidRPr="00B05CC9" w:rsidRDefault="005F7DCB" w:rsidP="00EE5E53">
      <w:pPr>
        <w:pStyle w:val="Heading6"/>
      </w:pPr>
      <w:bookmarkStart w:id="129" w:name="_Ref379041862"/>
      <w:bookmarkStart w:id="130" w:name="_Toc393534570"/>
      <w:r>
        <w:t xml:space="preserve">16. </w:t>
      </w:r>
      <w:r w:rsidR="002900A2" w:rsidRPr="00B05CC9">
        <w:t xml:space="preserve">Adverse </w:t>
      </w:r>
      <w:r w:rsidR="00262FD3">
        <w:t>e</w:t>
      </w:r>
      <w:r w:rsidR="002900A2" w:rsidRPr="00B05CC9">
        <w:t xml:space="preserve">vent of </w:t>
      </w:r>
      <w:r w:rsidR="00262FD3">
        <w:t>s</w:t>
      </w:r>
      <w:r w:rsidR="002900A2" w:rsidRPr="00B05CC9">
        <w:t xml:space="preserve">pecial </w:t>
      </w:r>
      <w:r w:rsidR="00262FD3">
        <w:t>i</w:t>
      </w:r>
      <w:r w:rsidR="002900A2" w:rsidRPr="00B05CC9">
        <w:t xml:space="preserve">nterest – </w:t>
      </w:r>
      <w:r w:rsidR="00262FD3">
        <w:t>a</w:t>
      </w:r>
      <w:r w:rsidR="002900A2" w:rsidRPr="00B05CC9">
        <w:t xml:space="preserve">bscess and </w:t>
      </w:r>
      <w:r w:rsidR="00262FD3">
        <w:t>f</w:t>
      </w:r>
      <w:r w:rsidR="002900A2" w:rsidRPr="00B05CC9">
        <w:t>istula</w:t>
      </w:r>
      <w:bookmarkEnd w:id="129"/>
      <w:bookmarkEnd w:id="130"/>
    </w:p>
    <w:p w:rsidR="002900A2" w:rsidRPr="00B05CC9" w:rsidRDefault="002900A2" w:rsidP="00EE5E53">
      <w:r w:rsidRPr="00B05CC9">
        <w:t xml:space="preserve">The difference in incidence between the two arms, CT and CT+BV, of this AE is striking for an AE known to be associated with </w:t>
      </w:r>
      <w:proofErr w:type="spellStart"/>
      <w:r w:rsidRPr="00B05CC9">
        <w:t>bevacizumab</w:t>
      </w:r>
      <w:proofErr w:type="spellEnd"/>
      <w:r w:rsidRPr="00B05CC9">
        <w:t xml:space="preserve"> treatment. Two of the events were assessed by investigators as unrelated to </w:t>
      </w:r>
      <w:proofErr w:type="spellStart"/>
      <w:r w:rsidRPr="00B05CC9">
        <w:t>bevacizumab</w:t>
      </w:r>
      <w:proofErr w:type="spellEnd"/>
      <w:r w:rsidRPr="00B05CC9">
        <w:t xml:space="preserve"> treatment. The lack of relationship to </w:t>
      </w:r>
      <w:proofErr w:type="spellStart"/>
      <w:r w:rsidRPr="00B05CC9">
        <w:t>bevacizumab</w:t>
      </w:r>
      <w:proofErr w:type="spellEnd"/>
      <w:r w:rsidRPr="00B05CC9">
        <w:t xml:space="preserve"> would be more convincing if information were given whether the patients were receiving treatment at the time of first occurrence of the AE, what the</w:t>
      </w:r>
      <w:r w:rsidR="00B51A1A">
        <w:t xml:space="preserve"> </w:t>
      </w:r>
      <w:r w:rsidRPr="00B05CC9">
        <w:t>chemotherapy agent(s) was, and whether the patients’ disease was res</w:t>
      </w:r>
      <w:r w:rsidR="00262FD3">
        <w:t>ponding, stable or progressing.</w:t>
      </w:r>
    </w:p>
    <w:p w:rsidR="002900A2" w:rsidRPr="00B05CC9" w:rsidRDefault="002900A2" w:rsidP="00EE5E53">
      <w:r w:rsidRPr="00B05CC9">
        <w:t>Please provide this information.</w:t>
      </w:r>
    </w:p>
    <w:p w:rsidR="002900A2" w:rsidRPr="00B05CC9" w:rsidRDefault="005F7DCB" w:rsidP="00EE5E53">
      <w:pPr>
        <w:pStyle w:val="Heading6"/>
      </w:pPr>
      <w:bookmarkStart w:id="131" w:name="_Ref379042148"/>
      <w:bookmarkStart w:id="132" w:name="_Toc393534571"/>
      <w:r>
        <w:t xml:space="preserve">17. </w:t>
      </w:r>
      <w:r w:rsidR="002900A2" w:rsidRPr="00B05CC9">
        <w:t xml:space="preserve">Adverse </w:t>
      </w:r>
      <w:r w:rsidR="00262FD3">
        <w:t>e</w:t>
      </w:r>
      <w:r w:rsidR="002900A2" w:rsidRPr="00B05CC9">
        <w:t xml:space="preserve">vents in the </w:t>
      </w:r>
      <w:r w:rsidR="00262FD3">
        <w:t>s</w:t>
      </w:r>
      <w:r w:rsidR="002900A2" w:rsidRPr="00B05CC9">
        <w:t xml:space="preserve">ub-group of </w:t>
      </w:r>
      <w:r w:rsidR="00262FD3">
        <w:t>p</w:t>
      </w:r>
      <w:r w:rsidR="002900A2" w:rsidRPr="00B05CC9">
        <w:t xml:space="preserve">atients with </w:t>
      </w:r>
      <w:r w:rsidR="00262FD3">
        <w:t>a</w:t>
      </w:r>
      <w:r w:rsidR="002900A2" w:rsidRPr="00B05CC9">
        <w:t>scites</w:t>
      </w:r>
      <w:bookmarkEnd w:id="131"/>
      <w:bookmarkEnd w:id="132"/>
    </w:p>
    <w:p w:rsidR="002900A2" w:rsidRPr="00B05CC9" w:rsidRDefault="002900A2" w:rsidP="00EE5E53">
      <w:r w:rsidRPr="00B05CC9">
        <w:t xml:space="preserve">Addition of </w:t>
      </w:r>
      <w:proofErr w:type="spellStart"/>
      <w:r w:rsidRPr="00B05CC9">
        <w:t>bevacizumab</w:t>
      </w:r>
      <w:proofErr w:type="spellEnd"/>
      <w:r w:rsidRPr="00B05CC9">
        <w:t xml:space="preserve"> to paclitaxel and PLD increased the frequency of s</w:t>
      </w:r>
      <w:r w:rsidR="00262FD3">
        <w:t>erious AEs by approximately 8%.</w:t>
      </w:r>
    </w:p>
    <w:p w:rsidR="002900A2" w:rsidRPr="00B05CC9" w:rsidRDefault="002900A2" w:rsidP="00EE5E53">
      <w:r w:rsidRPr="00B05CC9">
        <w:t>No assessment of the frequency of serious AEs in the subgroup of patients with ascites was reported. This is important since</w:t>
      </w:r>
      <w:r w:rsidR="00B51A1A">
        <w:t xml:space="preserve"> </w:t>
      </w:r>
      <w:r w:rsidRPr="00B05CC9">
        <w:t xml:space="preserve">31.3% of patients had ascites when receiving chemotherapy and no pharmacokinetic studies were done on these patients to determine whether the PK parameters of </w:t>
      </w:r>
      <w:proofErr w:type="spellStart"/>
      <w:r w:rsidRPr="00B05CC9">
        <w:t>bevacixumab</w:t>
      </w:r>
      <w:proofErr w:type="spellEnd"/>
      <w:r w:rsidRPr="00B05CC9">
        <w:t xml:space="preserve"> were altered, especially whether the ascites formed a third space with </w:t>
      </w:r>
      <w:r w:rsidR="00262FD3">
        <w:t>prolongation of drug clearance.</w:t>
      </w:r>
    </w:p>
    <w:p w:rsidR="002900A2" w:rsidRPr="00B05CC9" w:rsidRDefault="002900A2" w:rsidP="00EE5E53">
      <w:r w:rsidRPr="00B05CC9">
        <w:t>Please provide the frequency and nature of the serious AEs in this subgroup of patients</w:t>
      </w:r>
      <w:r w:rsidR="0082131B">
        <w:t>.</w:t>
      </w:r>
    </w:p>
    <w:p w:rsidR="002900A2" w:rsidRPr="00B05CC9" w:rsidRDefault="005F7DCB" w:rsidP="00EE5E53">
      <w:pPr>
        <w:pStyle w:val="Heading6"/>
      </w:pPr>
      <w:bookmarkStart w:id="133" w:name="_Ref393375333"/>
      <w:bookmarkStart w:id="134" w:name="_Ref393375338"/>
      <w:bookmarkStart w:id="135" w:name="_Toc393534572"/>
      <w:r>
        <w:t xml:space="preserve">18. </w:t>
      </w:r>
      <w:r w:rsidR="002900A2" w:rsidRPr="00B05CC9">
        <w:t>Why was a Grade 4 event (GI haemorrhage) not classified as a Grade 5 event?</w:t>
      </w:r>
      <w:bookmarkEnd w:id="133"/>
      <w:bookmarkEnd w:id="134"/>
      <w:bookmarkEnd w:id="135"/>
    </w:p>
    <w:p w:rsidR="002900A2" w:rsidRPr="00B05CC9" w:rsidRDefault="002900A2" w:rsidP="00EE5E53">
      <w:r w:rsidRPr="00B05CC9">
        <w:t xml:space="preserve">Patient </w:t>
      </w:r>
      <w:r w:rsidR="0082131B">
        <w:t>[information redacted]</w:t>
      </w:r>
      <w:r w:rsidRPr="00B05CC9">
        <w:t xml:space="preserve"> was the patient with the Grade 4 GI haemorrhage. The event is not listed in the Listings or Narratives of Grade 5 Events (Patient Deaths) but is</w:t>
      </w:r>
      <w:r w:rsidR="0082131B">
        <w:t xml:space="preserve"> in Listing 715</w:t>
      </w:r>
      <w:r w:rsidRPr="00B05CC9">
        <w:t xml:space="preserve">, in which the Primary Cause of Death is given as ‘Ovarian cancer progression’ with the </w:t>
      </w:r>
      <w:r w:rsidR="0082131B" w:rsidRPr="0082131B">
        <w:t>Medical Dictionary for Regulatory Activities</w:t>
      </w:r>
      <w:r w:rsidR="0082131B" w:rsidRPr="00B05CC9">
        <w:t xml:space="preserve"> </w:t>
      </w:r>
      <w:r w:rsidR="0082131B">
        <w:t>(</w:t>
      </w:r>
      <w:r w:rsidRPr="00B05CC9">
        <w:t>MedDRA</w:t>
      </w:r>
      <w:r w:rsidR="0082131B">
        <w:t>)</w:t>
      </w:r>
      <w:r w:rsidRPr="00B05CC9">
        <w:t xml:space="preserve"> term ‘Ovarian Cancer’. Please explain why this death should not be classified as Grade 5, resulting from the AE of GI bleeding and why if GI bleeding was still occurring at the time death, this was not the </w:t>
      </w:r>
      <w:r w:rsidRPr="00B05CC9">
        <w:lastRenderedPageBreak/>
        <w:t>cause of death rather than ‘ovarian cancer’.</w:t>
      </w:r>
      <w:r w:rsidR="00B51A1A">
        <w:t xml:space="preserve"> </w:t>
      </w:r>
      <w:r w:rsidRPr="00B05CC9">
        <w:t>The arbitrary time of a 30 day cut-off does not change the cause of death.</w:t>
      </w:r>
    </w:p>
    <w:p w:rsidR="002900A2" w:rsidRPr="00B05CC9" w:rsidRDefault="005F7DCB" w:rsidP="00EE5E53">
      <w:pPr>
        <w:pStyle w:val="Heading6"/>
      </w:pPr>
      <w:bookmarkStart w:id="136" w:name="_Ref379104690"/>
      <w:bookmarkStart w:id="137" w:name="_Toc393534573"/>
      <w:r>
        <w:t xml:space="preserve">19. </w:t>
      </w:r>
      <w:r w:rsidR="002900A2" w:rsidRPr="00B05CC9">
        <w:t>Frequency of the preferred terms in the following SOC-</w:t>
      </w:r>
      <w:r w:rsidR="00B51A1A">
        <w:t xml:space="preserve"> </w:t>
      </w:r>
      <w:r w:rsidR="002900A2" w:rsidRPr="00B05CC9">
        <w:t>GI disorders, vascular disorders and nervous system disorders</w:t>
      </w:r>
      <w:bookmarkEnd w:id="136"/>
      <w:bookmarkEnd w:id="137"/>
    </w:p>
    <w:p w:rsidR="002900A2" w:rsidRPr="00B05CC9" w:rsidRDefault="002900A2" w:rsidP="00EE5E53">
      <w:r w:rsidRPr="00B05CC9">
        <w:t xml:space="preserve">Table 20, Summary of Adverse Events by System Organ Class in Patients Receiving </w:t>
      </w:r>
      <w:proofErr w:type="spellStart"/>
      <w:r w:rsidRPr="00B05CC9">
        <w:t>Bevacizumab</w:t>
      </w:r>
      <w:proofErr w:type="spellEnd"/>
      <w:r w:rsidRPr="00B05CC9">
        <w:t xml:space="preserve">: Post-Marketing Data, </w:t>
      </w:r>
      <w:r w:rsidR="0082131B">
        <w:t>in</w:t>
      </w:r>
      <w:r w:rsidRPr="00B05CC9">
        <w:t xml:space="preserve"> the </w:t>
      </w:r>
      <w:r w:rsidR="0082131B">
        <w:t xml:space="preserve">sponsor’s </w:t>
      </w:r>
      <w:r w:rsidRPr="00B05CC9">
        <w:t>Summary of Clinical Safety, does not give the prefer</w:t>
      </w:r>
      <w:r w:rsidR="00262FD3">
        <w:t>red terms for the AEs reported.</w:t>
      </w:r>
    </w:p>
    <w:p w:rsidR="002900A2" w:rsidRPr="00B05CC9" w:rsidRDefault="002900A2" w:rsidP="00EE5E53">
      <w:r w:rsidRPr="00B05CC9">
        <w:t>To allow a comparison of frequency of these AEs with that in the pivotal study, please provide the frequency of preferred terms for the following SOCs referred to in the PMD – GI disorders, vascular disorders and nervous system disorders.</w:t>
      </w:r>
    </w:p>
    <w:p w:rsidR="002900A2" w:rsidRPr="00B05CC9" w:rsidRDefault="005F7DCB" w:rsidP="00EE5E53">
      <w:pPr>
        <w:pStyle w:val="Heading6"/>
      </w:pPr>
      <w:bookmarkStart w:id="138" w:name="_Toc393534574"/>
      <w:r>
        <w:t xml:space="preserve">20. </w:t>
      </w:r>
      <w:r w:rsidR="002900A2" w:rsidRPr="00B05CC9">
        <w:t xml:space="preserve">Information on </w:t>
      </w:r>
      <w:r w:rsidR="00262FD3">
        <w:t>o</w:t>
      </w:r>
      <w:r w:rsidR="002900A2" w:rsidRPr="00B05CC9">
        <w:t xml:space="preserve">ther </w:t>
      </w:r>
      <w:r w:rsidR="00262FD3">
        <w:t>t</w:t>
      </w:r>
      <w:r w:rsidR="002900A2" w:rsidRPr="00B05CC9">
        <w:t>rials</w:t>
      </w:r>
      <w:bookmarkEnd w:id="138"/>
    </w:p>
    <w:p w:rsidR="002900A2" w:rsidRPr="00B05CC9" w:rsidRDefault="002900A2" w:rsidP="00EE5E53">
      <w:r w:rsidRPr="00B05CC9">
        <w:t xml:space="preserve">Aside from those submitted to the TGA with this submission or previous submissions by </w:t>
      </w:r>
      <w:r w:rsidR="00B51A1A">
        <w:t>the sponsor</w:t>
      </w:r>
      <w:r w:rsidRPr="00B05CC9">
        <w:t xml:space="preserve"> for </w:t>
      </w:r>
      <w:proofErr w:type="spellStart"/>
      <w:r w:rsidRPr="00B05CC9">
        <w:t>bevacizumab</w:t>
      </w:r>
      <w:proofErr w:type="spellEnd"/>
      <w:r w:rsidRPr="00B05CC9">
        <w:t xml:space="preserve"> in ovarian cancer, is </w:t>
      </w:r>
      <w:r w:rsidR="00B51A1A">
        <w:t>the sponsor</w:t>
      </w:r>
      <w:r w:rsidRPr="00B05CC9">
        <w:t xml:space="preserve"> aware of any other trials that have been or are being conducted comparing the addition of </w:t>
      </w:r>
      <w:proofErr w:type="spellStart"/>
      <w:r w:rsidRPr="00B05CC9">
        <w:t>bevacizumab</w:t>
      </w:r>
      <w:proofErr w:type="spellEnd"/>
      <w:r w:rsidRPr="00B05CC9">
        <w:t xml:space="preserve"> to standard treatment in patients with advanced ovarian cancer?</w:t>
      </w:r>
    </w:p>
    <w:p w:rsidR="005F7DCB" w:rsidRDefault="005F7DCB" w:rsidP="00EE5E53">
      <w:pPr>
        <w:pStyle w:val="Heading3"/>
      </w:pPr>
      <w:bookmarkStart w:id="139" w:name="_Ref290644801"/>
      <w:bookmarkStart w:id="140" w:name="_Toc290846347"/>
      <w:bookmarkStart w:id="141" w:name="_Toc393534576"/>
      <w:bookmarkStart w:id="142" w:name="_Toc415046268"/>
      <w:r w:rsidRPr="00B05CC9">
        <w:t>Second round evaluation of clinical data submitted in response to questions</w:t>
      </w:r>
      <w:bookmarkEnd w:id="139"/>
      <w:bookmarkEnd w:id="140"/>
      <w:bookmarkEnd w:id="141"/>
      <w:bookmarkEnd w:id="142"/>
    </w:p>
    <w:p w:rsidR="005F7DCB" w:rsidRPr="005F7DCB" w:rsidRDefault="005F7DCB" w:rsidP="005F7DCB">
      <w:r>
        <w:t xml:space="preserve">The evaluator’s comments on the sponsor’s responses </w:t>
      </w:r>
      <w:r w:rsidR="00621D8D">
        <w:t>are</w:t>
      </w:r>
      <w:r>
        <w:t xml:space="preserve"> included under </w:t>
      </w:r>
      <w:r w:rsidRPr="005F7DCB">
        <w:rPr>
          <w:i/>
        </w:rPr>
        <w:t>Clinical questions</w:t>
      </w:r>
      <w:r w:rsidR="00262FD3">
        <w:t xml:space="preserve"> in Attachment 2.</w:t>
      </w:r>
    </w:p>
    <w:p w:rsidR="00605AD4" w:rsidRPr="00605AD4" w:rsidRDefault="00605AD4" w:rsidP="00EE5E53">
      <w:pPr>
        <w:pStyle w:val="Heading3"/>
        <w:rPr>
          <w:rFonts w:eastAsia="Cambria"/>
        </w:rPr>
      </w:pPr>
      <w:bookmarkStart w:id="143" w:name="_Toc415046269"/>
      <w:r w:rsidRPr="00605AD4">
        <w:rPr>
          <w:rFonts w:eastAsia="Cambria"/>
        </w:rPr>
        <w:t xml:space="preserve">Second </w:t>
      </w:r>
      <w:r w:rsidR="00262FD3">
        <w:rPr>
          <w:rFonts w:eastAsia="Cambria"/>
        </w:rPr>
        <w:t>r</w:t>
      </w:r>
      <w:r w:rsidRPr="00605AD4">
        <w:rPr>
          <w:rFonts w:eastAsia="Cambria"/>
        </w:rPr>
        <w:t xml:space="preserve">ound </w:t>
      </w:r>
      <w:r w:rsidR="00262FD3">
        <w:rPr>
          <w:rFonts w:eastAsia="Cambria"/>
        </w:rPr>
        <w:t>b</w:t>
      </w:r>
      <w:r w:rsidRPr="00605AD4">
        <w:rPr>
          <w:rFonts w:eastAsia="Cambria"/>
        </w:rPr>
        <w:t>enefit-</w:t>
      </w:r>
      <w:r w:rsidR="00262FD3">
        <w:rPr>
          <w:rFonts w:eastAsia="Cambria"/>
        </w:rPr>
        <w:t>r</w:t>
      </w:r>
      <w:r w:rsidRPr="00605AD4">
        <w:rPr>
          <w:rFonts w:eastAsia="Cambria"/>
        </w:rPr>
        <w:t xml:space="preserve">isk </w:t>
      </w:r>
      <w:r w:rsidR="00262FD3">
        <w:rPr>
          <w:rFonts w:eastAsia="Cambria"/>
        </w:rPr>
        <w:t>a</w:t>
      </w:r>
      <w:r w:rsidRPr="00605AD4">
        <w:rPr>
          <w:rFonts w:eastAsia="Cambria"/>
        </w:rPr>
        <w:t>ssessment</w:t>
      </w:r>
      <w:bookmarkEnd w:id="143"/>
    </w:p>
    <w:p w:rsidR="002900A2" w:rsidRPr="00B05CC9" w:rsidRDefault="002900A2" w:rsidP="00EE5E53">
      <w:pPr>
        <w:pStyle w:val="Heading4"/>
      </w:pPr>
      <w:bookmarkStart w:id="144" w:name="_Toc272414709"/>
      <w:bookmarkStart w:id="145" w:name="_Toc290846349"/>
      <w:bookmarkStart w:id="146" w:name="_Toc393534578"/>
      <w:r w:rsidRPr="00B05CC9">
        <w:t>Second round assessment of benefits</w:t>
      </w:r>
      <w:bookmarkEnd w:id="144"/>
      <w:bookmarkEnd w:id="145"/>
      <w:bookmarkEnd w:id="146"/>
    </w:p>
    <w:p w:rsidR="002900A2" w:rsidRPr="00B05CC9" w:rsidRDefault="002900A2" w:rsidP="00EE5E53">
      <w:r w:rsidRPr="00B05CC9">
        <w:t xml:space="preserve">After consideration of the responses to clinical questions, the benefits of </w:t>
      </w:r>
      <w:proofErr w:type="spellStart"/>
      <w:r w:rsidRPr="00B05CC9">
        <w:t>bevacizumab</w:t>
      </w:r>
      <w:proofErr w:type="spellEnd"/>
      <w:r w:rsidRPr="00B05CC9">
        <w:t xml:space="preserve"> in the proposed usage were reduced as follows</w:t>
      </w:r>
      <w:r w:rsidR="00262FD3">
        <w:t>:</w:t>
      </w:r>
    </w:p>
    <w:p w:rsidR="002900A2" w:rsidRPr="00B05CC9" w:rsidRDefault="002900A2" w:rsidP="00EE5E53">
      <w:pPr>
        <w:pStyle w:val="ListBullet"/>
      </w:pPr>
      <w:r w:rsidRPr="00B05CC9">
        <w:t xml:space="preserve">Time to Treatment Failure (section </w:t>
      </w:r>
      <w:r w:rsidR="00621D8D" w:rsidRPr="00621D8D">
        <w:rPr>
          <w:i/>
        </w:rPr>
        <w:t>The effect if any of discontinuation from treatment on progression free survival</w:t>
      </w:r>
      <w:r w:rsidRPr="00B05CC9">
        <w:t xml:space="preserve">) provided in the responses showed a reduction in benefit when this parameter was compared to the period of </w:t>
      </w:r>
      <w:r w:rsidR="00262FD3">
        <w:t>Progression Free Survival (PFS)</w:t>
      </w:r>
    </w:p>
    <w:p w:rsidR="002900A2" w:rsidRPr="00B05CC9" w:rsidRDefault="002900A2" w:rsidP="00EE5E53">
      <w:pPr>
        <w:pStyle w:val="ListBullet"/>
      </w:pPr>
      <w:r w:rsidRPr="00B05CC9">
        <w:t xml:space="preserve">The benefit to the PFS of adding </w:t>
      </w:r>
      <w:proofErr w:type="spellStart"/>
      <w:r w:rsidRPr="00B05CC9">
        <w:t>bevacizumab</w:t>
      </w:r>
      <w:proofErr w:type="spellEnd"/>
      <w:r w:rsidRPr="00B05CC9">
        <w:t xml:space="preserve"> to PD chemotherapy, as shown by investigators’ assessments was not confirmed by the assessments of the Independent Review Committee</w:t>
      </w:r>
      <w:r w:rsidR="00262FD3">
        <w:t>.</w:t>
      </w:r>
    </w:p>
    <w:p w:rsidR="002900A2" w:rsidRPr="00B05CC9" w:rsidRDefault="002900A2" w:rsidP="0030208D">
      <w:pPr>
        <w:pStyle w:val="Heading4"/>
      </w:pPr>
      <w:bookmarkStart w:id="147" w:name="_Toc272414710"/>
      <w:bookmarkStart w:id="148" w:name="_Toc290846350"/>
      <w:bookmarkStart w:id="149" w:name="_Toc393534579"/>
      <w:r w:rsidRPr="00B05CC9">
        <w:t>Second round assessment of risks</w:t>
      </w:r>
      <w:bookmarkEnd w:id="147"/>
      <w:bookmarkEnd w:id="148"/>
      <w:bookmarkEnd w:id="149"/>
    </w:p>
    <w:p w:rsidR="002900A2" w:rsidRPr="00B05CC9" w:rsidRDefault="002900A2" w:rsidP="0030208D">
      <w:r w:rsidRPr="00B05CC9">
        <w:t xml:space="preserve">After consideration of the responses to clinical questions, the risks in the proposed usage of </w:t>
      </w:r>
      <w:proofErr w:type="spellStart"/>
      <w:r w:rsidRPr="00B05CC9">
        <w:t>bevacizumab</w:t>
      </w:r>
      <w:proofErr w:type="spellEnd"/>
      <w:r w:rsidRPr="00B05CC9">
        <w:t xml:space="preserve"> are reduced in the case of patients with ascites at baseline whose safety profile was shown to be the same as for patien</w:t>
      </w:r>
      <w:r w:rsidR="00255358">
        <w:t>ts without ascites at baseline</w:t>
      </w:r>
      <w:r w:rsidRPr="00B05CC9">
        <w:t>.</w:t>
      </w:r>
    </w:p>
    <w:p w:rsidR="002900A2" w:rsidRPr="00B05CC9" w:rsidRDefault="002900A2" w:rsidP="0030208D">
      <w:pPr>
        <w:pStyle w:val="Heading4"/>
      </w:pPr>
      <w:bookmarkStart w:id="150" w:name="_Toc272414711"/>
      <w:bookmarkStart w:id="151" w:name="_Toc290846351"/>
      <w:bookmarkStart w:id="152" w:name="_Toc393534580"/>
      <w:r w:rsidRPr="00B05CC9">
        <w:t>Second round assessment of benefit-risk balance</w:t>
      </w:r>
      <w:bookmarkEnd w:id="150"/>
      <w:bookmarkEnd w:id="151"/>
      <w:bookmarkEnd w:id="152"/>
    </w:p>
    <w:p w:rsidR="002900A2" w:rsidRPr="00B05CC9" w:rsidRDefault="002900A2" w:rsidP="0030208D">
      <w:r w:rsidRPr="00B05CC9">
        <w:t xml:space="preserve">The benefit-risk balance of </w:t>
      </w:r>
      <w:proofErr w:type="spellStart"/>
      <w:r w:rsidRPr="00B05CC9">
        <w:t>bevacizumab</w:t>
      </w:r>
      <w:proofErr w:type="spellEnd"/>
      <w:r w:rsidRPr="00B05CC9">
        <w:t xml:space="preserve"> is unfavourable given the proposed usage but would become favourable if the changes recommended </w:t>
      </w:r>
      <w:r w:rsidR="004A4DD6">
        <w:t xml:space="preserve">below </w:t>
      </w:r>
      <w:r w:rsidRPr="00B05CC9">
        <w:t>are adopted.</w:t>
      </w:r>
    </w:p>
    <w:p w:rsidR="002900A2" w:rsidRPr="00B05CC9" w:rsidRDefault="00D12795" w:rsidP="0030208D">
      <w:pPr>
        <w:pStyle w:val="Heading3"/>
      </w:pPr>
      <w:bookmarkStart w:id="153" w:name="_Ref272160677"/>
      <w:bookmarkStart w:id="154" w:name="_Toc272414713"/>
      <w:bookmarkStart w:id="155" w:name="_Toc290846352"/>
      <w:bookmarkStart w:id="156" w:name="_Toc393534581"/>
      <w:bookmarkStart w:id="157" w:name="_Toc415046270"/>
      <w:r w:rsidRPr="00B05CC9">
        <w:lastRenderedPageBreak/>
        <w:t xml:space="preserve">Second round recommendation regarding </w:t>
      </w:r>
      <w:r w:rsidRPr="00D12795">
        <w:t>authorisation</w:t>
      </w:r>
      <w:bookmarkEnd w:id="153"/>
      <w:bookmarkEnd w:id="154"/>
      <w:bookmarkEnd w:id="155"/>
      <w:bookmarkEnd w:id="156"/>
      <w:bookmarkEnd w:id="157"/>
    </w:p>
    <w:p w:rsidR="002900A2" w:rsidRPr="00B05CC9" w:rsidRDefault="002900A2" w:rsidP="0030208D">
      <w:pPr>
        <w:pStyle w:val="Numberbullet0"/>
        <w:keepNext/>
        <w:keepLines/>
        <w:numPr>
          <w:ilvl w:val="0"/>
          <w:numId w:val="41"/>
        </w:numPr>
      </w:pPr>
      <w:r w:rsidRPr="00B05CC9">
        <w:t>The following change to the proposed indication would make the product approvable</w:t>
      </w:r>
      <w:r w:rsidR="0030208D">
        <w:t>:</w:t>
      </w:r>
    </w:p>
    <w:p w:rsidR="002900A2" w:rsidRPr="00451D82" w:rsidRDefault="00B51A1A" w:rsidP="00451D82">
      <w:pPr>
        <w:ind w:left="425"/>
        <w:rPr>
          <w:i/>
          <w:lang w:val="en-US"/>
        </w:rPr>
      </w:pPr>
      <w:r w:rsidRPr="00451D82">
        <w:rPr>
          <w:i/>
        </w:rPr>
        <w:t>‘</w:t>
      </w:r>
      <w:proofErr w:type="spellStart"/>
      <w:r w:rsidR="004A4DD6" w:rsidRPr="00451D82">
        <w:rPr>
          <w:i/>
          <w:lang w:val="en-US"/>
        </w:rPr>
        <w:t>Avastin</w:t>
      </w:r>
      <w:proofErr w:type="spellEnd"/>
      <w:r w:rsidR="004A4DD6" w:rsidRPr="00451D82">
        <w:rPr>
          <w:i/>
          <w:lang w:val="en-US"/>
        </w:rPr>
        <w:t xml:space="preserve"> </w:t>
      </w:r>
      <w:r w:rsidR="002900A2" w:rsidRPr="00451D82">
        <w:rPr>
          <w:i/>
          <w:lang w:val="en-US"/>
        </w:rPr>
        <w:t>(</w:t>
      </w:r>
      <w:proofErr w:type="spellStart"/>
      <w:r w:rsidR="002900A2" w:rsidRPr="00451D82">
        <w:rPr>
          <w:i/>
          <w:lang w:val="en-US"/>
        </w:rPr>
        <w:t>bevacizumab</w:t>
      </w:r>
      <w:proofErr w:type="spellEnd"/>
      <w:r w:rsidR="002900A2" w:rsidRPr="00451D82">
        <w:rPr>
          <w:i/>
          <w:lang w:val="en-US"/>
        </w:rPr>
        <w:t xml:space="preserve">) in combination with paclitaxel or </w:t>
      </w:r>
      <w:proofErr w:type="spellStart"/>
      <w:r w:rsidR="002900A2" w:rsidRPr="00451D82">
        <w:rPr>
          <w:i/>
          <w:lang w:val="en-US"/>
        </w:rPr>
        <w:t>topotecan</w:t>
      </w:r>
      <w:proofErr w:type="spellEnd"/>
      <w:r w:rsidR="002900A2" w:rsidRPr="00451D82">
        <w:rPr>
          <w:i/>
          <w:lang w:val="en-US"/>
        </w:rPr>
        <w:t xml:space="preserve"> is indicated for the treatment of patients who present with ascites associated with recurrent, platinum-resistant epithelial ovarian, fallopian tube, or primary peritoneal cancer who received no more than two prior chemotherapy regimens.</w:t>
      </w:r>
      <w:r w:rsidRPr="00451D82">
        <w:rPr>
          <w:i/>
          <w:lang w:val="en-US"/>
        </w:rPr>
        <w:t>’</w:t>
      </w:r>
    </w:p>
    <w:p w:rsidR="002900A2" w:rsidRDefault="002900A2" w:rsidP="0030208D">
      <w:r w:rsidRPr="00B05CC9">
        <w:t>The recommended change is based on the demonstrated efficacy of the treatment of the one-third of patients with ascites on presentation</w:t>
      </w:r>
      <w:r>
        <w:t xml:space="preserve"> and the associated relief of symptoms</w:t>
      </w:r>
      <w:r w:rsidR="00341162">
        <w:t>.</w:t>
      </w:r>
    </w:p>
    <w:p w:rsidR="002900A2" w:rsidRPr="00B05CC9" w:rsidRDefault="002900A2" w:rsidP="0030208D">
      <w:r>
        <w:t xml:space="preserve">Although the PFS is accepted under International Guidelines as a surrogate measure of efficacy, any associated clinical benefit must be sufficient to provide an acceptable risk benefit ratio. </w:t>
      </w:r>
      <w:r w:rsidRPr="00B05CC9">
        <w:t>The measure of T</w:t>
      </w:r>
      <w:r>
        <w:t>ime to Treatment Failure (TTF) includes</w:t>
      </w:r>
      <w:r w:rsidR="00B51A1A">
        <w:t xml:space="preserve"> </w:t>
      </w:r>
      <w:r>
        <w:t xml:space="preserve">important clinical reasons why patients stop treatment that are not considered in the measure of PFS and becomes more important when other clinical benefits from the treatment with </w:t>
      </w:r>
      <w:proofErr w:type="spellStart"/>
      <w:r>
        <w:t>bevacizumab</w:t>
      </w:r>
      <w:proofErr w:type="spellEnd"/>
      <w:r>
        <w:t xml:space="preserve"> are in question.</w:t>
      </w:r>
      <w:r w:rsidR="00B51A1A">
        <w:t xml:space="preserve"> </w:t>
      </w:r>
      <w:r>
        <w:t xml:space="preserve">Also the TTF </w:t>
      </w:r>
      <w:r w:rsidRPr="00B05CC9">
        <w:t>appears closer to the situation in real life oncology practice than the PFS</w:t>
      </w:r>
      <w:r>
        <w:t>.</w:t>
      </w:r>
      <w:r w:rsidR="00B51A1A">
        <w:t xml:space="preserve"> </w:t>
      </w:r>
      <w:r>
        <w:t xml:space="preserve">Treatment of </w:t>
      </w:r>
      <w:r w:rsidRPr="004A4DD6">
        <w:rPr>
          <w:i/>
        </w:rPr>
        <w:t>all patients</w:t>
      </w:r>
      <w:r>
        <w:t xml:space="preserve"> did not result in an acceptable risk-benefit </w:t>
      </w:r>
      <w:r w:rsidRPr="00B05CC9">
        <w:t>because of the short increase of 2 m</w:t>
      </w:r>
      <w:r w:rsidR="004A4DD6">
        <w:t>on</w:t>
      </w:r>
      <w:r w:rsidRPr="00B05CC9">
        <w:t>ths in the Time to Treatment Failure, from 3.4 to 5.4 m</w:t>
      </w:r>
      <w:r w:rsidR="004A4DD6">
        <w:t>on</w:t>
      </w:r>
      <w:r w:rsidRPr="00B05CC9">
        <w:t xml:space="preserve">ths, </w:t>
      </w:r>
      <w:r>
        <w:t>the response rate of 28.2%, and</w:t>
      </w:r>
      <w:r w:rsidRPr="00B05CC9">
        <w:t xml:space="preserve"> </w:t>
      </w:r>
      <w:r>
        <w:t xml:space="preserve">an </w:t>
      </w:r>
      <w:r w:rsidRPr="00B05CC9">
        <w:t>Overall Survival of 16.6 m</w:t>
      </w:r>
      <w:r w:rsidR="004A4DD6">
        <w:t>on</w:t>
      </w:r>
      <w:r w:rsidRPr="00B05CC9">
        <w:t>ths</w:t>
      </w:r>
      <w:r>
        <w:t xml:space="preserve">, </w:t>
      </w:r>
      <w:r w:rsidRPr="00B05CC9">
        <w:t>not significant</w:t>
      </w:r>
      <w:r>
        <w:t>ly different from the 13 months in the chemotherapy alone arm</w:t>
      </w:r>
      <w:r w:rsidRPr="00B05CC9">
        <w:t xml:space="preserve">. The toxicity of adding </w:t>
      </w:r>
      <w:proofErr w:type="spellStart"/>
      <w:r w:rsidRPr="00B05CC9">
        <w:t>bevacizumab</w:t>
      </w:r>
      <w:proofErr w:type="spellEnd"/>
      <w:r w:rsidRPr="00B05CC9">
        <w:t xml:space="preserve"> is clearly show</w:t>
      </w:r>
      <w:r>
        <w:t>n</w:t>
      </w:r>
      <w:r w:rsidRPr="00B05CC9">
        <w:t xml:space="preserve"> by the much higher frequency of serious adverse events</w:t>
      </w:r>
      <w:r>
        <w:t>,</w:t>
      </w:r>
      <w:r w:rsidRPr="00B05CC9">
        <w:t xml:space="preserve"> </w:t>
      </w:r>
      <w:r>
        <w:t>adverse events</w:t>
      </w:r>
      <w:r w:rsidRPr="00B05CC9">
        <w:t xml:space="preserve"> </w:t>
      </w:r>
      <w:r>
        <w:t>unique</w:t>
      </w:r>
      <w:r w:rsidRPr="00B05CC9">
        <w:t xml:space="preserve"> to the drug and the high rate of discontinuation </w:t>
      </w:r>
      <w:r>
        <w:t>from</w:t>
      </w:r>
      <w:r w:rsidRPr="00B05CC9">
        <w:t xml:space="preserve"> adverse events due to </w:t>
      </w:r>
      <w:proofErr w:type="spellStart"/>
      <w:r w:rsidRPr="00B05CC9">
        <w:t>bevacizumab</w:t>
      </w:r>
      <w:proofErr w:type="spellEnd"/>
      <w:r>
        <w:t xml:space="preserve">, noting that 72 patients out of every 100 receiving added </w:t>
      </w:r>
      <w:proofErr w:type="spellStart"/>
      <w:r>
        <w:t>bevacizumab</w:t>
      </w:r>
      <w:proofErr w:type="spellEnd"/>
      <w:r>
        <w:t xml:space="preserve"> did not respond to the treatment</w:t>
      </w:r>
      <w:r w:rsidR="00341162">
        <w:t>.</w:t>
      </w:r>
    </w:p>
    <w:p w:rsidR="002900A2" w:rsidRDefault="002900A2" w:rsidP="0030208D">
      <w:r w:rsidRPr="00B05CC9">
        <w:t xml:space="preserve">Treatment with </w:t>
      </w:r>
      <w:proofErr w:type="spellStart"/>
      <w:r w:rsidRPr="00B05CC9">
        <w:t>pegylated</w:t>
      </w:r>
      <w:proofErr w:type="spellEnd"/>
      <w:r w:rsidRPr="00B05CC9">
        <w:t xml:space="preserve"> liposomal doxorubicin (PD) is not recommended because of the increased frequency of Palmar-Plantar </w:t>
      </w:r>
      <w:proofErr w:type="spellStart"/>
      <w:r w:rsidRPr="00B05CC9">
        <w:t>Erythrodysaesthesia</w:t>
      </w:r>
      <w:proofErr w:type="spellEnd"/>
      <w:r w:rsidR="00B51A1A">
        <w:t xml:space="preserve"> </w:t>
      </w:r>
      <w:r w:rsidRPr="00B05CC9">
        <w:t>Syndrome with BV (PD arm</w:t>
      </w:r>
      <w:r w:rsidR="00B51A1A">
        <w:rPr>
          <w:rFonts w:ascii="CourierStd" w:hAnsi="CourierStd"/>
          <w:sz w:val="14"/>
          <w:szCs w:val="14"/>
        </w:rPr>
        <w:t xml:space="preserve"> </w:t>
      </w:r>
      <w:r w:rsidRPr="00B05CC9">
        <w:t xml:space="preserve">12.7%; PD+BV arm 27.4%), the overall high frequency of </w:t>
      </w:r>
      <w:proofErr w:type="spellStart"/>
      <w:r w:rsidRPr="00B05CC9">
        <w:t>Gd</w:t>
      </w:r>
      <w:proofErr w:type="spellEnd"/>
      <w:r w:rsidRPr="00B05CC9">
        <w:t xml:space="preserve"> 5 AEs in the PD+BV arm</w:t>
      </w:r>
      <w:r w:rsidR="0022044E">
        <w:t xml:space="preserve"> (</w:t>
      </w:r>
      <w:r w:rsidRPr="00B05CC9">
        <w:t>6.3% PD alone; 8.1% PD+BV</w:t>
      </w:r>
      <w:r w:rsidR="0022044E">
        <w:t>)</w:t>
      </w:r>
      <w:r w:rsidRPr="00B05CC9">
        <w:t xml:space="preserve"> and the failure to show any benefit in the PFS for patients treated with </w:t>
      </w:r>
      <w:proofErr w:type="spellStart"/>
      <w:r w:rsidRPr="00B05CC9">
        <w:t>bevacizumab</w:t>
      </w:r>
      <w:proofErr w:type="spellEnd"/>
      <w:r w:rsidRPr="00B05CC9">
        <w:t xml:space="preserve"> added to PD chemotherapy (Independent Review of PFS).</w:t>
      </w:r>
    </w:p>
    <w:p w:rsidR="002900A2" w:rsidRPr="00B05CC9" w:rsidRDefault="002900A2" w:rsidP="0030208D">
      <w:pPr>
        <w:pStyle w:val="Numberbullet0"/>
      </w:pPr>
      <w:r>
        <w:t xml:space="preserve">Changes to the Product Information </w:t>
      </w:r>
      <w:r w:rsidR="0022044E">
        <w:t>were also</w:t>
      </w:r>
      <w:r>
        <w:t xml:space="preserve"> recommended </w:t>
      </w:r>
      <w:r w:rsidR="0022044E">
        <w:t>to the Delegate</w:t>
      </w:r>
      <w:r w:rsidR="00255358">
        <w:t xml:space="preserve"> but the details of these are beyond the scope of this AusPAR</w:t>
      </w:r>
      <w:r>
        <w:t>.</w:t>
      </w:r>
    </w:p>
    <w:p w:rsidR="008E7846" w:rsidRPr="00E41208" w:rsidRDefault="008E7846" w:rsidP="0030208D">
      <w:pPr>
        <w:pStyle w:val="Heading2"/>
      </w:pPr>
      <w:bookmarkStart w:id="158" w:name="_Toc415046271"/>
      <w:r w:rsidRPr="00E41208">
        <w:t xml:space="preserve">V. Pharmacovigilance </w:t>
      </w:r>
      <w:r>
        <w:t>f</w:t>
      </w:r>
      <w:r w:rsidRPr="00E41208">
        <w:t>indings</w:t>
      </w:r>
      <w:bookmarkEnd w:id="78"/>
      <w:bookmarkEnd w:id="79"/>
      <w:bookmarkEnd w:id="158"/>
    </w:p>
    <w:p w:rsidR="008E7846" w:rsidRDefault="00386150" w:rsidP="0030208D">
      <w:pPr>
        <w:pStyle w:val="Heading3"/>
        <w:rPr>
          <w:lang w:eastAsia="en-AU"/>
        </w:rPr>
      </w:pPr>
      <w:bookmarkStart w:id="159" w:name="_Toc247691526"/>
      <w:bookmarkStart w:id="160" w:name="_Toc314842509"/>
      <w:bookmarkStart w:id="161" w:name="_Toc415046272"/>
      <w:r>
        <w:rPr>
          <w:lang w:eastAsia="en-AU"/>
        </w:rPr>
        <w:t>Risk m</w:t>
      </w:r>
      <w:r w:rsidR="008E7846">
        <w:rPr>
          <w:lang w:eastAsia="en-AU"/>
        </w:rPr>
        <w:t xml:space="preserve">anagement </w:t>
      </w:r>
      <w:r>
        <w:rPr>
          <w:lang w:eastAsia="en-AU"/>
        </w:rPr>
        <w:t>p</w:t>
      </w:r>
      <w:r w:rsidR="008E7846">
        <w:rPr>
          <w:lang w:eastAsia="en-AU"/>
        </w:rPr>
        <w:t>lan</w:t>
      </w:r>
      <w:bookmarkEnd w:id="159"/>
      <w:bookmarkEnd w:id="160"/>
      <w:bookmarkEnd w:id="161"/>
    </w:p>
    <w:p w:rsidR="008E7846" w:rsidRDefault="008E7846" w:rsidP="0030208D">
      <w:pPr>
        <w:rPr>
          <w:lang w:eastAsia="en-AU"/>
        </w:rPr>
      </w:pPr>
      <w:r>
        <w:rPr>
          <w:lang w:eastAsia="en-AU"/>
        </w:rPr>
        <w:t>The sponsor submitted a Risk Management Plan</w:t>
      </w:r>
      <w:r w:rsidR="006F25B8">
        <w:rPr>
          <w:lang w:eastAsia="en-AU"/>
        </w:rPr>
        <w:t xml:space="preserve"> </w:t>
      </w:r>
      <w:proofErr w:type="spellStart"/>
      <w:r w:rsidR="00D74E25" w:rsidRPr="00E453B2">
        <w:t>Avastin</w:t>
      </w:r>
      <w:proofErr w:type="spellEnd"/>
      <w:r w:rsidR="00D74E25" w:rsidRPr="00E453B2">
        <w:t xml:space="preserve"> EU RMP v14.0 (data lock point 2 August 2013) </w:t>
      </w:r>
      <w:r w:rsidR="0022044E">
        <w:t>and an</w:t>
      </w:r>
      <w:r w:rsidR="00D74E25" w:rsidRPr="00E453B2">
        <w:t xml:space="preserve"> Australian Specific Annex (Version 4.0 dated November 2013)</w:t>
      </w:r>
      <w:r w:rsidR="00D74E25">
        <w:t xml:space="preserve"> </w:t>
      </w:r>
      <w:r>
        <w:rPr>
          <w:lang w:eastAsia="en-AU"/>
        </w:rPr>
        <w:t>which was reviewed by the TGA’s Office of Product Review (OPR).</w:t>
      </w:r>
    </w:p>
    <w:p w:rsidR="008E7846" w:rsidRDefault="003A7F6C" w:rsidP="0030208D">
      <w:pPr>
        <w:pStyle w:val="Heading4"/>
        <w:rPr>
          <w:lang w:eastAsia="en-AU"/>
        </w:rPr>
      </w:pPr>
      <w:r>
        <w:rPr>
          <w:lang w:eastAsia="en-AU"/>
        </w:rPr>
        <w:t>Safety s</w:t>
      </w:r>
      <w:r w:rsidR="008E7846">
        <w:rPr>
          <w:lang w:eastAsia="en-AU"/>
        </w:rPr>
        <w:t>pecification</w:t>
      </w:r>
    </w:p>
    <w:p w:rsidR="008E7846" w:rsidRDefault="008E7846" w:rsidP="0030208D">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24121F">
        <w:rPr>
          <w:lang w:eastAsia="en-AU"/>
        </w:rPr>
        <w:t>3</w:t>
      </w:r>
      <w:r>
        <w:rPr>
          <w:lang w:eastAsia="en-AU"/>
        </w:rPr>
        <w:t>.</w:t>
      </w:r>
    </w:p>
    <w:p w:rsidR="008E7846" w:rsidRDefault="00D74E25" w:rsidP="0030208D">
      <w:pPr>
        <w:pStyle w:val="TableTitle"/>
        <w:rPr>
          <w:lang w:eastAsia="en-AU"/>
        </w:rPr>
      </w:pPr>
      <w:r>
        <w:rPr>
          <w:lang w:eastAsia="en-AU"/>
        </w:rPr>
        <w:lastRenderedPageBreak/>
        <w:t xml:space="preserve">Table </w:t>
      </w:r>
      <w:r w:rsidR="0024121F">
        <w:rPr>
          <w:lang w:eastAsia="en-AU"/>
        </w:rPr>
        <w:t xml:space="preserve">3: </w:t>
      </w:r>
      <w:r>
        <w:rPr>
          <w:lang w:eastAsia="en-AU"/>
        </w:rPr>
        <w:t>Ongoing safety concerns</w:t>
      </w:r>
    </w:p>
    <w:p w:rsidR="00D74E25" w:rsidRDefault="00D74E25" w:rsidP="0030208D">
      <w:pPr>
        <w:rPr>
          <w:lang w:eastAsia="en-AU"/>
        </w:rPr>
      </w:pPr>
      <w:r>
        <w:rPr>
          <w:noProof/>
          <w:lang w:eastAsia="en-AU"/>
        </w:rPr>
        <w:drawing>
          <wp:inline distT="0" distB="0" distL="0" distR="0" wp14:anchorId="5EAA85FA" wp14:editId="4EE2AD6C">
            <wp:extent cx="3800310" cy="3796263"/>
            <wp:effectExtent l="0" t="0" r="0" b="0"/>
            <wp:docPr id="2" name="Picture 2" descr="Table 3: Ongoing safet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00310" cy="3796263"/>
                    </a:xfrm>
                    <a:prstGeom prst="rect">
                      <a:avLst/>
                    </a:prstGeom>
                    <a:noFill/>
                    <a:ln>
                      <a:noFill/>
                    </a:ln>
                  </pic:spPr>
                </pic:pic>
              </a:graphicData>
            </a:graphic>
          </wp:inline>
        </w:drawing>
      </w:r>
    </w:p>
    <w:p w:rsidR="008E7846" w:rsidRDefault="008E7846" w:rsidP="0030208D">
      <w:pPr>
        <w:pStyle w:val="Heading4"/>
        <w:rPr>
          <w:lang w:eastAsia="en-AU"/>
        </w:rPr>
      </w:pPr>
      <w:r>
        <w:rPr>
          <w:lang w:eastAsia="en-AU"/>
        </w:rPr>
        <w:t xml:space="preserve">Pharmacovigilance </w:t>
      </w:r>
      <w:r w:rsidR="003A7F6C">
        <w:rPr>
          <w:lang w:eastAsia="en-AU"/>
        </w:rPr>
        <w:t>p</w:t>
      </w:r>
      <w:r>
        <w:rPr>
          <w:lang w:eastAsia="en-AU"/>
        </w:rPr>
        <w:t>lan</w:t>
      </w:r>
    </w:p>
    <w:p w:rsidR="00D74E25" w:rsidRDefault="00D74E25" w:rsidP="00AD677A">
      <w:r>
        <w:t>The sponsor proposes routine pharmacovigilance for all safety concerns.</w:t>
      </w:r>
      <w:r w:rsidR="00B51A1A">
        <w:t xml:space="preserve"> </w:t>
      </w:r>
      <w:r>
        <w:t>According to the Australian-specific Annex (ASA) routine pharmacovigilance includes the use of guided questionnaires for the important identified risks ‘arterial thromboembolic events’ and ‘congestive heart failure’ and important missing information ‘safety profile of the different treatment combinations in patients with non-squamous NSCLC’.</w:t>
      </w:r>
      <w:r w:rsidR="00B51A1A">
        <w:t xml:space="preserve"> </w:t>
      </w:r>
      <w:r>
        <w:t>These questionnaires are provided as annexes to the RMP and are acceptable.</w:t>
      </w:r>
    </w:p>
    <w:p w:rsidR="008E7846" w:rsidRDefault="008E7846" w:rsidP="00AD677A">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D74E25" w:rsidRDefault="00D74E25" w:rsidP="00AD677A">
      <w:bookmarkStart w:id="162" w:name="_Toc247691527"/>
      <w:r>
        <w:t>Routine pharmacovigilance is proposed by the sponsor to mitigate all safety concerns.</w:t>
      </w:r>
      <w:r w:rsidR="00B51A1A">
        <w:t xml:space="preserve"> </w:t>
      </w:r>
      <w:r>
        <w:t>No additional risk minimisation is proposed.</w:t>
      </w:r>
    </w:p>
    <w:p w:rsidR="006F25B8" w:rsidRDefault="006F25B8" w:rsidP="00AD677A">
      <w:pPr>
        <w:pStyle w:val="Heading4"/>
        <w:rPr>
          <w:lang w:eastAsia="en-AU"/>
        </w:rPr>
      </w:pPr>
      <w:r w:rsidRPr="006F25B8">
        <w:rPr>
          <w:lang w:eastAsia="en-AU"/>
        </w:rPr>
        <w:t>Reconciliation of is</w:t>
      </w:r>
      <w:r w:rsidR="00341162">
        <w:rPr>
          <w:lang w:eastAsia="en-AU"/>
        </w:rPr>
        <w:t>sues outlined in the RMP report</w:t>
      </w:r>
    </w:p>
    <w:p w:rsidR="006F25B8" w:rsidRDefault="006F25B8" w:rsidP="00AD677A">
      <w:pPr>
        <w:rPr>
          <w:lang w:eastAsia="en-AU"/>
        </w:rPr>
      </w:pPr>
      <w:r>
        <w:rPr>
          <w:lang w:eastAsia="en-AU"/>
        </w:rPr>
        <w:t xml:space="preserve">Table </w:t>
      </w:r>
      <w:r w:rsidR="0024121F">
        <w:rPr>
          <w:lang w:eastAsia="en-AU"/>
        </w:rPr>
        <w:t>4</w:t>
      </w:r>
      <w:r>
        <w:rPr>
          <w:lang w:eastAsia="en-AU"/>
        </w:rPr>
        <w:t xml:space="preserve"> summarises the OPR’s first round evaluation of the RMP, the sponsor’s responses to issues raised by the OPR and the OPR’s evaluation of the sponsor’s responses.</w:t>
      </w:r>
    </w:p>
    <w:p w:rsidR="00D74E25" w:rsidRPr="007848B3" w:rsidRDefault="00D12795" w:rsidP="00AD677A">
      <w:pPr>
        <w:pStyle w:val="TableTitle"/>
      </w:pPr>
      <w:r>
        <w:t xml:space="preserve">Table </w:t>
      </w:r>
      <w:r w:rsidR="0024121F">
        <w:t xml:space="preserve">4: </w:t>
      </w:r>
      <w:r w:rsidR="00D74E25" w:rsidRPr="00107999">
        <w:t>Reconciliation of issues outlined in the RMP report</w:t>
      </w:r>
    </w:p>
    <w:tbl>
      <w:tblPr>
        <w:tblStyle w:val="TableTGAblue"/>
        <w:tblW w:w="4935" w:type="pct"/>
        <w:tblLayout w:type="fixed"/>
        <w:tblLook w:val="04A0" w:firstRow="1" w:lastRow="0" w:firstColumn="1" w:lastColumn="0" w:noHBand="0" w:noVBand="1"/>
      </w:tblPr>
      <w:tblGrid>
        <w:gridCol w:w="3928"/>
        <w:gridCol w:w="9"/>
        <w:gridCol w:w="2778"/>
        <w:gridCol w:w="1892"/>
      </w:tblGrid>
      <w:tr w:rsidR="00D74E25" w:rsidRPr="00107999" w:rsidTr="00AD677A">
        <w:trPr>
          <w:cnfStyle w:val="100000000000" w:firstRow="1" w:lastRow="0" w:firstColumn="0" w:lastColumn="0" w:oddVBand="0" w:evenVBand="0" w:oddHBand="0" w:evenHBand="0" w:firstRowFirstColumn="0" w:firstRowLastColumn="0" w:lastRowFirstColumn="0" w:lastRowLastColumn="0"/>
        </w:trPr>
        <w:tc>
          <w:tcPr>
            <w:tcW w:w="2282" w:type="pct"/>
            <w:noWrap/>
          </w:tcPr>
          <w:p w:rsidR="00D74E25" w:rsidRPr="00107999" w:rsidRDefault="00D74E25" w:rsidP="00451D82">
            <w:r w:rsidRPr="00107999">
              <w:t>Recommendation in RMP evaluation report</w:t>
            </w:r>
          </w:p>
        </w:tc>
        <w:tc>
          <w:tcPr>
            <w:tcW w:w="1619" w:type="pct"/>
            <w:gridSpan w:val="2"/>
            <w:noWrap/>
          </w:tcPr>
          <w:p w:rsidR="00D74E25" w:rsidRPr="00107999" w:rsidRDefault="00D74E25" w:rsidP="00451D82">
            <w:r w:rsidRPr="00107999">
              <w:t>Sponsor’s response</w:t>
            </w:r>
          </w:p>
        </w:tc>
        <w:tc>
          <w:tcPr>
            <w:tcW w:w="1099" w:type="pct"/>
            <w:noWrap/>
          </w:tcPr>
          <w:p w:rsidR="00D74E25" w:rsidRPr="00107999" w:rsidRDefault="00D74E25" w:rsidP="00451D82">
            <w:r w:rsidRPr="00107999">
              <w:t>OPR evaluator’s comment</w:t>
            </w:r>
          </w:p>
        </w:tc>
      </w:tr>
      <w:tr w:rsidR="00D74E25" w:rsidRPr="00107999" w:rsidTr="00451D82">
        <w:tc>
          <w:tcPr>
            <w:tcW w:w="2287" w:type="pct"/>
            <w:gridSpan w:val="2"/>
            <w:noWrap/>
          </w:tcPr>
          <w:p w:rsidR="00D74E25" w:rsidRPr="00F006C7" w:rsidRDefault="00D74E25" w:rsidP="00451D82">
            <w:r w:rsidRPr="00F006C7">
              <w:t xml:space="preserve">Safety considerations may be raised by the nonclinical and clinical evaluators through the consolidated section 31 request </w:t>
            </w:r>
            <w:r w:rsidRPr="00F006C7">
              <w:lastRenderedPageBreak/>
              <w:t>and/or the Nonclinical and Clinical Evaluation Reports respectively. It is important to ensure that the information provided in response to these includes consideration of the relevance for the Risk Management Plan, and any specific information needed to address this issue in the RMP. For any safety considerations so raised, the sponsor should provide information that is relevant and necessary to address the issue in the RMP.</w:t>
            </w:r>
          </w:p>
        </w:tc>
        <w:tc>
          <w:tcPr>
            <w:tcW w:w="1614" w:type="pct"/>
            <w:noWrap/>
          </w:tcPr>
          <w:p w:rsidR="00D74E25" w:rsidRPr="00451D82" w:rsidRDefault="00D74E25" w:rsidP="00451D82">
            <w:pPr>
              <w:rPr>
                <w:i/>
              </w:rPr>
            </w:pPr>
            <w:r w:rsidRPr="00451D82">
              <w:rPr>
                <w:i/>
              </w:rPr>
              <w:lastRenderedPageBreak/>
              <w:t xml:space="preserve">The </w:t>
            </w:r>
            <w:r w:rsidR="0022044E" w:rsidRPr="00451D82">
              <w:rPr>
                <w:i/>
              </w:rPr>
              <w:t>s</w:t>
            </w:r>
            <w:r w:rsidRPr="00451D82">
              <w:rPr>
                <w:i/>
              </w:rPr>
              <w:t>ponsor acknowledges this requirement.</w:t>
            </w:r>
          </w:p>
        </w:tc>
        <w:tc>
          <w:tcPr>
            <w:tcW w:w="1099" w:type="pct"/>
            <w:noWrap/>
          </w:tcPr>
          <w:p w:rsidR="00D74E25" w:rsidRPr="00F006C7" w:rsidRDefault="00D74E25" w:rsidP="00451D82">
            <w:r w:rsidRPr="00F006C7">
              <w:t>This is acceptable.</w:t>
            </w:r>
          </w:p>
        </w:tc>
      </w:tr>
      <w:tr w:rsidR="00D74E25" w:rsidRPr="00107999" w:rsidTr="00451D82">
        <w:tc>
          <w:tcPr>
            <w:tcW w:w="2287" w:type="pct"/>
            <w:gridSpan w:val="2"/>
            <w:noWrap/>
          </w:tcPr>
          <w:p w:rsidR="00D74E25" w:rsidRPr="00F006C7" w:rsidRDefault="00D74E25" w:rsidP="00451D82">
            <w:r w:rsidRPr="00F006C7">
              <w:lastRenderedPageBreak/>
              <w:t xml:space="preserve">In a previous evaluation the evaluator sought clarification regarding </w:t>
            </w:r>
            <w:proofErr w:type="gramStart"/>
            <w:r w:rsidRPr="00F006C7">
              <w:t>the</w:t>
            </w:r>
            <w:r w:rsidR="00B51A1A">
              <w:t xml:space="preserve">  ‘</w:t>
            </w:r>
            <w:r w:rsidRPr="00F006C7">
              <w:t>safety</w:t>
            </w:r>
            <w:proofErr w:type="gramEnd"/>
            <w:r w:rsidRPr="00F006C7">
              <w:t xml:space="preserve"> monitoring plan</w:t>
            </w:r>
            <w:r w:rsidR="00B51A1A">
              <w:t>’</w:t>
            </w:r>
            <w:r w:rsidR="0022044E">
              <w:t xml:space="preserve"> </w:t>
            </w:r>
            <w:r w:rsidRPr="00F006C7">
              <w:t>assigned to the important identified risk ‘congestive heart failure’. The sponsor provided appropriate clarification in their response and it is noted that the evaluator recommended that the sponsor should include the titles of the studies attributed to this activity within the pharmacovigilance plan in the RMP and/or ASA. This recommendation is maintained.</w:t>
            </w:r>
          </w:p>
        </w:tc>
        <w:tc>
          <w:tcPr>
            <w:tcW w:w="1614" w:type="pct"/>
            <w:noWrap/>
          </w:tcPr>
          <w:p w:rsidR="00D74E25" w:rsidRPr="00F006C7" w:rsidRDefault="00D74E25" w:rsidP="00451D82">
            <w:pPr>
              <w:rPr>
                <w:i/>
              </w:rPr>
            </w:pPr>
            <w:r w:rsidRPr="00F006C7">
              <w:rPr>
                <w:i/>
              </w:rPr>
              <w:t xml:space="preserve">The </w:t>
            </w:r>
            <w:r w:rsidR="0022044E">
              <w:rPr>
                <w:i/>
              </w:rPr>
              <w:t>s</w:t>
            </w:r>
            <w:r w:rsidRPr="00F006C7">
              <w:rPr>
                <w:i/>
              </w:rPr>
              <w:t>ponsor acknowledges the evaluator’s recommendation. Reference to the studies will be included in the ASA.</w:t>
            </w:r>
          </w:p>
        </w:tc>
        <w:tc>
          <w:tcPr>
            <w:tcW w:w="1099" w:type="pct"/>
            <w:noWrap/>
          </w:tcPr>
          <w:p w:rsidR="00D74E25" w:rsidRPr="00F006C7" w:rsidRDefault="00D74E25" w:rsidP="00451D82">
            <w:r w:rsidRPr="00F006C7">
              <w:t>This is acceptable.</w:t>
            </w:r>
            <w:r w:rsidR="00B51A1A">
              <w:t xml:space="preserve"> </w:t>
            </w:r>
            <w:r w:rsidRPr="00F006C7">
              <w:t>The sponsor should provide the TGA with an updated version of the ASA with their pre-ACPM response.</w:t>
            </w:r>
          </w:p>
        </w:tc>
      </w:tr>
      <w:tr w:rsidR="00D74E25" w:rsidRPr="00107999" w:rsidTr="00451D82">
        <w:tc>
          <w:tcPr>
            <w:tcW w:w="2287" w:type="pct"/>
            <w:gridSpan w:val="2"/>
            <w:noWrap/>
          </w:tcPr>
          <w:p w:rsidR="00D74E25" w:rsidRPr="00F006C7" w:rsidRDefault="00D74E25" w:rsidP="00451D82">
            <w:r w:rsidRPr="00F006C7">
              <w:t>In the previous evaluation it was also recommended that the ASA should include an attachment setting out all the forthcoming studies (that comprise the pharmacovigilance program) and the anticipated dates for their submission in Australia to clarify these milestones in the Australian context. This recommendation is also maintained.</w:t>
            </w:r>
          </w:p>
        </w:tc>
        <w:tc>
          <w:tcPr>
            <w:tcW w:w="1614" w:type="pct"/>
            <w:noWrap/>
          </w:tcPr>
          <w:p w:rsidR="00D74E25" w:rsidRPr="00F006C7" w:rsidRDefault="00D74E25" w:rsidP="00451D82">
            <w:pPr>
              <w:rPr>
                <w:i/>
              </w:rPr>
            </w:pPr>
            <w:r w:rsidRPr="00F006C7">
              <w:rPr>
                <w:i/>
              </w:rPr>
              <w:t xml:space="preserve">The </w:t>
            </w:r>
            <w:r w:rsidR="0022044E">
              <w:rPr>
                <w:i/>
              </w:rPr>
              <w:t>s</w:t>
            </w:r>
            <w:r w:rsidRPr="00F006C7">
              <w:rPr>
                <w:i/>
              </w:rPr>
              <w:t>ponsor acknowledges the evaluator’s recommendation. A table of studies will be added to the ASA.</w:t>
            </w:r>
          </w:p>
        </w:tc>
        <w:tc>
          <w:tcPr>
            <w:tcW w:w="1099" w:type="pct"/>
            <w:noWrap/>
          </w:tcPr>
          <w:p w:rsidR="00D74E25" w:rsidRPr="00F006C7" w:rsidRDefault="00D74E25" w:rsidP="00451D82">
            <w:r w:rsidRPr="00F006C7">
              <w:t>This is acceptable.</w:t>
            </w:r>
            <w:r w:rsidR="00B51A1A">
              <w:t xml:space="preserve"> </w:t>
            </w:r>
            <w:r w:rsidRPr="00F006C7">
              <w:t>The sponsor should provide the TGA with an updated version of the ASA with their pre-ACPM response.</w:t>
            </w:r>
          </w:p>
        </w:tc>
      </w:tr>
      <w:tr w:rsidR="00D74E25" w:rsidRPr="00107999" w:rsidTr="00451D82">
        <w:tc>
          <w:tcPr>
            <w:tcW w:w="2287" w:type="pct"/>
            <w:gridSpan w:val="2"/>
            <w:noWrap/>
          </w:tcPr>
          <w:p w:rsidR="00D74E25" w:rsidRPr="00F006C7" w:rsidRDefault="00D74E25" w:rsidP="00451D82">
            <w:r w:rsidRPr="00F006C7">
              <w:t xml:space="preserve">The evaluator notes that several milestones relating to studies outlined in the RMP and in previous evaluations have passed. The sponsor is reminded that a summary of the CSR of these </w:t>
            </w:r>
            <w:r w:rsidRPr="00F006C7">
              <w:lastRenderedPageBreak/>
              <w:t>studies, including pharmacovigilance outcomes, should be outlined in PSURs accordingly. These studies include BO21990 (</w:t>
            </w:r>
            <w:proofErr w:type="spellStart"/>
            <w:r w:rsidRPr="00F006C7">
              <w:t>AVAglio</w:t>
            </w:r>
            <w:proofErr w:type="spellEnd"/>
            <w:r w:rsidRPr="00F006C7">
              <w:t>), AVF3991n (ARIES), AVF4349n (VIRGO), AVF4095g, MO19286 (AVEX), ML21823, NSABP C-08 and B02541.</w:t>
            </w:r>
          </w:p>
        </w:tc>
        <w:tc>
          <w:tcPr>
            <w:tcW w:w="1614" w:type="pct"/>
            <w:noWrap/>
          </w:tcPr>
          <w:p w:rsidR="00D74E25" w:rsidRPr="00F006C7" w:rsidRDefault="00D74E25" w:rsidP="00451D82">
            <w:pPr>
              <w:rPr>
                <w:i/>
              </w:rPr>
            </w:pPr>
            <w:r w:rsidRPr="00F006C7">
              <w:rPr>
                <w:i/>
              </w:rPr>
              <w:lastRenderedPageBreak/>
              <w:t xml:space="preserve">The </w:t>
            </w:r>
            <w:r w:rsidR="0022044E">
              <w:rPr>
                <w:i/>
              </w:rPr>
              <w:t>s</w:t>
            </w:r>
            <w:r w:rsidRPr="00F006C7">
              <w:rPr>
                <w:i/>
              </w:rPr>
              <w:t xml:space="preserve">ponsor acknowledges the TGA’s reminder. Study milestone dates will be revised in future versions of the EU-RMP </w:t>
            </w:r>
            <w:r w:rsidRPr="00F006C7">
              <w:rPr>
                <w:i/>
              </w:rPr>
              <w:lastRenderedPageBreak/>
              <w:t>submitted to TGA.</w:t>
            </w:r>
          </w:p>
          <w:p w:rsidR="00D74E25" w:rsidRPr="00F006C7" w:rsidRDefault="00D74E25" w:rsidP="00451D82">
            <w:r w:rsidRPr="00F006C7">
              <w:t>The sponsor has also provided a list of studies that have been included in PSURs and those to be included in future PSURs.</w:t>
            </w:r>
          </w:p>
        </w:tc>
        <w:tc>
          <w:tcPr>
            <w:tcW w:w="1099" w:type="pct"/>
            <w:noWrap/>
          </w:tcPr>
          <w:p w:rsidR="00D74E25" w:rsidRPr="00F006C7" w:rsidRDefault="00D74E25" w:rsidP="00451D82">
            <w:r w:rsidRPr="00F006C7">
              <w:lastRenderedPageBreak/>
              <w:t>This is acceptable.</w:t>
            </w:r>
          </w:p>
        </w:tc>
      </w:tr>
      <w:tr w:rsidR="00D74E25" w:rsidRPr="00107999" w:rsidTr="00451D82">
        <w:tc>
          <w:tcPr>
            <w:tcW w:w="2287" w:type="pct"/>
            <w:gridSpan w:val="2"/>
            <w:noWrap/>
          </w:tcPr>
          <w:p w:rsidR="00D74E25" w:rsidRPr="00F006C7" w:rsidRDefault="00D74E25" w:rsidP="00451D82">
            <w:r w:rsidRPr="00F006C7">
              <w:lastRenderedPageBreak/>
              <w:t>In the ASA for the important identified risks ‘fistulae (other than GI)’ and ‘cardiac disorders (exc. CHF and ATE)’ a proposed pharmacovigilance activity includes</w:t>
            </w:r>
            <w:r w:rsidR="00B51A1A">
              <w:t xml:space="preserve">  ‘</w:t>
            </w:r>
            <w:r w:rsidRPr="00F006C7">
              <w:t>data collection in study BO17920</w:t>
            </w:r>
            <w:r w:rsidR="00B51A1A">
              <w:t xml:space="preserve"> ‘</w:t>
            </w:r>
            <w:r w:rsidRPr="00F006C7">
              <w:t>. According to the RMP, this refers to a study completed in 2010. In the response the sponsor should provide information on whether this activity is completed and should therefore be removed from the pharmacovigilance plan.</w:t>
            </w:r>
          </w:p>
        </w:tc>
        <w:tc>
          <w:tcPr>
            <w:tcW w:w="1614" w:type="pct"/>
            <w:noWrap/>
          </w:tcPr>
          <w:p w:rsidR="00D74E25" w:rsidRPr="00F006C7" w:rsidRDefault="00D74E25" w:rsidP="00451D82">
            <w:pPr>
              <w:rPr>
                <w:i/>
              </w:rPr>
            </w:pPr>
            <w:r w:rsidRPr="00F006C7">
              <w:rPr>
                <w:i/>
              </w:rPr>
              <w:t xml:space="preserve">The </w:t>
            </w:r>
            <w:r w:rsidR="0022044E">
              <w:rPr>
                <w:i/>
              </w:rPr>
              <w:t>s</w:t>
            </w:r>
            <w:r w:rsidRPr="00F006C7">
              <w:rPr>
                <w:i/>
              </w:rPr>
              <w:t>ponsor confirms BO17920 has been completed and will be removed from the ASA pharmacovigilance plan as a PV activity for the risks ‘fistulae (other than GI)’ and ‘cardiac disorders (exc. CHF and ATE)’.</w:t>
            </w:r>
          </w:p>
        </w:tc>
        <w:tc>
          <w:tcPr>
            <w:tcW w:w="1099" w:type="pct"/>
            <w:noWrap/>
          </w:tcPr>
          <w:p w:rsidR="00D74E25" w:rsidRPr="00F006C7" w:rsidRDefault="00D74E25" w:rsidP="00451D82">
            <w:r w:rsidRPr="00F006C7">
              <w:t>This is acceptable.</w:t>
            </w:r>
            <w:r w:rsidR="00B51A1A">
              <w:t xml:space="preserve"> </w:t>
            </w:r>
            <w:r w:rsidRPr="00F006C7">
              <w:t>The sponsor should provide the TGA with the updated version of the ASA with their pre-ACPM response.</w:t>
            </w:r>
          </w:p>
        </w:tc>
      </w:tr>
      <w:tr w:rsidR="00D74E25" w:rsidRPr="00107999" w:rsidTr="00451D82">
        <w:tc>
          <w:tcPr>
            <w:tcW w:w="2287" w:type="pct"/>
            <w:gridSpan w:val="2"/>
            <w:noWrap/>
          </w:tcPr>
          <w:p w:rsidR="00D74E25" w:rsidRPr="00F006C7" w:rsidRDefault="00D74E25" w:rsidP="00451D82">
            <w:r w:rsidRPr="00F006C7">
              <w:t>The evaluator maintains the following recommendations regarding the draft product information made in a previous evalua</w:t>
            </w:r>
            <w:r w:rsidR="0022044E">
              <w:t xml:space="preserve">tion </w:t>
            </w:r>
            <w:r w:rsidRPr="00F006C7">
              <w:t xml:space="preserve">for </w:t>
            </w:r>
            <w:proofErr w:type="spellStart"/>
            <w:r w:rsidRPr="00F006C7">
              <w:t>bevacizumab</w:t>
            </w:r>
            <w:proofErr w:type="spellEnd"/>
            <w:r w:rsidRPr="00F006C7">
              <w:t>:</w:t>
            </w:r>
            <w:r w:rsidR="00AD677A">
              <w:br/>
            </w:r>
            <w:r w:rsidRPr="00F006C7">
              <w:t>That the specific term</w:t>
            </w:r>
            <w:r w:rsidR="00B51A1A">
              <w:t xml:space="preserve">  ‘</w:t>
            </w:r>
            <w:proofErr w:type="spellStart"/>
            <w:r w:rsidRPr="00F006C7">
              <w:t>physeal</w:t>
            </w:r>
            <w:proofErr w:type="spellEnd"/>
            <w:r w:rsidRPr="00F006C7">
              <w:t xml:space="preserve"> </w:t>
            </w:r>
            <w:proofErr w:type="spellStart"/>
            <w:r w:rsidRPr="00F006C7">
              <w:t>dysplasia</w:t>
            </w:r>
            <w:r w:rsidR="00B51A1A">
              <w:t>’</w:t>
            </w:r>
            <w:r w:rsidRPr="00F006C7">
              <w:t>should</w:t>
            </w:r>
            <w:proofErr w:type="spellEnd"/>
            <w:r w:rsidRPr="00F006C7">
              <w:t xml:space="preserve"> be added to the nonclinical section of the PI to be consistent with the EU </w:t>
            </w:r>
            <w:r w:rsidR="0022044E">
              <w:t>Summary of Product Characteristics (</w:t>
            </w:r>
            <w:r w:rsidRPr="00F006C7">
              <w:t>SmPC</w:t>
            </w:r>
            <w:r w:rsidR="0022044E">
              <w:t>)</w:t>
            </w:r>
            <w:r w:rsidRPr="00F006C7">
              <w:t xml:space="preserve"> and communicate this important potential risk.</w:t>
            </w:r>
            <w:r w:rsidR="00AD677A">
              <w:br/>
            </w:r>
            <w:r w:rsidRPr="00F006C7">
              <w:t>That under</w:t>
            </w:r>
            <w:r w:rsidR="00B51A1A">
              <w:t xml:space="preserve"> ‘</w:t>
            </w:r>
            <w:r w:rsidRPr="00F006C7">
              <w:t>Precautions-wound healing</w:t>
            </w:r>
            <w:r w:rsidR="00B51A1A">
              <w:t>’</w:t>
            </w:r>
            <w:r w:rsidR="0022044E">
              <w:t xml:space="preserve"> </w:t>
            </w:r>
            <w:r w:rsidRPr="00F006C7">
              <w:t>a statement such as the following found in the SmPC should be added:</w:t>
            </w:r>
            <w:r w:rsidR="00B51A1A">
              <w:t xml:space="preserve">  ‘</w:t>
            </w:r>
            <w:r w:rsidRPr="0022044E">
              <w:rPr>
                <w:i/>
              </w:rPr>
              <w:t>Serious wound healing complications, including anastomotic complications, have been reported, some of which had a fatal outcome</w:t>
            </w:r>
            <w:r w:rsidR="00B51A1A">
              <w:t xml:space="preserve"> ‘</w:t>
            </w:r>
            <w:r w:rsidRPr="00F006C7">
              <w:t>.</w:t>
            </w:r>
          </w:p>
        </w:tc>
        <w:tc>
          <w:tcPr>
            <w:tcW w:w="1614" w:type="pct"/>
            <w:noWrap/>
          </w:tcPr>
          <w:p w:rsidR="00451D82" w:rsidRDefault="00D74E25" w:rsidP="00451D82">
            <w:pPr>
              <w:rPr>
                <w:i/>
              </w:rPr>
            </w:pPr>
            <w:r w:rsidRPr="00F006C7">
              <w:rPr>
                <w:i/>
              </w:rPr>
              <w:t xml:space="preserve">The following statement has been proposed for inclusion in the Precautions section of the </w:t>
            </w:r>
            <w:proofErr w:type="spellStart"/>
            <w:r w:rsidRPr="00F006C7">
              <w:rPr>
                <w:i/>
              </w:rPr>
              <w:t>Avastin</w:t>
            </w:r>
            <w:proofErr w:type="spellEnd"/>
            <w:r w:rsidRPr="00F006C7">
              <w:rPr>
                <w:i/>
              </w:rPr>
              <w:t xml:space="preserve"> PI via Safety-Related Request which is currently under review by TGA:</w:t>
            </w:r>
          </w:p>
          <w:p w:rsidR="00451D82" w:rsidRDefault="00B51A1A" w:rsidP="00451D82">
            <w:pPr>
              <w:rPr>
                <w:i/>
              </w:rPr>
            </w:pPr>
            <w:r>
              <w:rPr>
                <w:i/>
              </w:rPr>
              <w:t>‘</w:t>
            </w:r>
            <w:r w:rsidR="00D74E25" w:rsidRPr="00F006C7">
              <w:rPr>
                <w:i/>
              </w:rPr>
              <w:t xml:space="preserve">In a 26 week pre-clinical study in </w:t>
            </w:r>
            <w:proofErr w:type="spellStart"/>
            <w:r w:rsidR="00D74E25" w:rsidRPr="00F006C7">
              <w:rPr>
                <w:i/>
              </w:rPr>
              <w:t>cynomolgus</w:t>
            </w:r>
            <w:proofErr w:type="spellEnd"/>
            <w:r w:rsidR="00D74E25" w:rsidRPr="00F006C7">
              <w:rPr>
                <w:i/>
              </w:rPr>
              <w:t xml:space="preserve"> monkeys, </w:t>
            </w:r>
            <w:proofErr w:type="spellStart"/>
            <w:r w:rsidR="00D74E25" w:rsidRPr="00F006C7">
              <w:rPr>
                <w:i/>
              </w:rPr>
              <w:t>physeal</w:t>
            </w:r>
            <w:proofErr w:type="spellEnd"/>
            <w:r w:rsidR="00D74E25" w:rsidRPr="00F006C7">
              <w:rPr>
                <w:i/>
              </w:rPr>
              <w:t xml:space="preserve"> dysplasia was observed in young animals with open growth plates, at </w:t>
            </w:r>
            <w:proofErr w:type="spellStart"/>
            <w:r w:rsidR="00D74E25" w:rsidRPr="00F006C7">
              <w:rPr>
                <w:i/>
              </w:rPr>
              <w:t>bevacizumab</w:t>
            </w:r>
            <w:proofErr w:type="spellEnd"/>
            <w:r w:rsidR="00D74E25" w:rsidRPr="00F006C7">
              <w:rPr>
                <w:i/>
              </w:rPr>
              <w:t xml:space="preserve"> average serum concentrations below the expected human therapeutic average serum concentrations.</w:t>
            </w:r>
            <w:r w:rsidR="00451D82">
              <w:rPr>
                <w:i/>
              </w:rPr>
              <w:t>’</w:t>
            </w:r>
          </w:p>
          <w:p w:rsidR="00451D82" w:rsidRDefault="00D74E25" w:rsidP="00451D82">
            <w:pPr>
              <w:rPr>
                <w:i/>
              </w:rPr>
            </w:pPr>
            <w:r w:rsidRPr="00F006C7">
              <w:rPr>
                <w:i/>
              </w:rPr>
              <w:t xml:space="preserve">The following statement has been proposed for inclusion in the Precautions section of </w:t>
            </w:r>
            <w:r w:rsidRPr="00F006C7">
              <w:rPr>
                <w:i/>
              </w:rPr>
              <w:lastRenderedPageBreak/>
              <w:t xml:space="preserve">the </w:t>
            </w:r>
            <w:proofErr w:type="spellStart"/>
            <w:r w:rsidRPr="00F006C7">
              <w:rPr>
                <w:i/>
              </w:rPr>
              <w:t>Avastin</w:t>
            </w:r>
            <w:proofErr w:type="spellEnd"/>
            <w:r w:rsidRPr="00F006C7">
              <w:rPr>
                <w:i/>
              </w:rPr>
              <w:t xml:space="preserve"> PI via Safety-Related Request PM-2014-01869-1-4 which is currently under review by TGA:</w:t>
            </w:r>
          </w:p>
          <w:p w:rsidR="00D74E25" w:rsidRPr="00F006C7" w:rsidRDefault="00B51A1A" w:rsidP="00451D82">
            <w:r>
              <w:rPr>
                <w:i/>
              </w:rPr>
              <w:t>‘</w:t>
            </w:r>
            <w:r w:rsidR="00D74E25" w:rsidRPr="00F006C7">
              <w:rPr>
                <w:i/>
              </w:rPr>
              <w:t>Serious wound healing complications, including anastomotic complications, have been reported, some of which had a fatal outcome.</w:t>
            </w:r>
            <w:r>
              <w:rPr>
                <w:i/>
              </w:rPr>
              <w:t xml:space="preserve"> ‘</w:t>
            </w:r>
          </w:p>
        </w:tc>
        <w:tc>
          <w:tcPr>
            <w:tcW w:w="1099" w:type="pct"/>
            <w:noWrap/>
          </w:tcPr>
          <w:p w:rsidR="00D74E25" w:rsidRPr="00F006C7" w:rsidRDefault="00D74E25" w:rsidP="00451D82">
            <w:r w:rsidRPr="00F006C7">
              <w:lastRenderedPageBreak/>
              <w:t>This is acceptable.</w:t>
            </w:r>
          </w:p>
        </w:tc>
      </w:tr>
    </w:tbl>
    <w:p w:rsidR="00D74E25" w:rsidRDefault="008E7846" w:rsidP="00AD677A">
      <w:pPr>
        <w:pStyle w:val="Heading4"/>
        <w:rPr>
          <w:rFonts w:asciiTheme="minorHAnsi" w:hAnsiTheme="minorHAnsi" w:cstheme="majorHAnsi"/>
        </w:rPr>
      </w:pPr>
      <w:r>
        <w:rPr>
          <w:lang w:eastAsia="en-AU"/>
        </w:rPr>
        <w:lastRenderedPageBreak/>
        <w:t xml:space="preserve">Summary of </w:t>
      </w:r>
      <w:r w:rsidR="003A7F6C">
        <w:rPr>
          <w:lang w:eastAsia="en-AU"/>
        </w:rPr>
        <w:t>r</w:t>
      </w:r>
      <w:r>
        <w:rPr>
          <w:lang w:eastAsia="en-AU"/>
        </w:rPr>
        <w:t>ecommendations</w:t>
      </w:r>
    </w:p>
    <w:p w:rsidR="00D74E25" w:rsidRDefault="00D74E25" w:rsidP="00AD677A">
      <w:r w:rsidRPr="00E453B2">
        <w:t>It is considered that the sponsor’s response to the TGA</w:t>
      </w:r>
      <w:r w:rsidR="0022044E">
        <w:t>’s</w:t>
      </w:r>
      <w:r w:rsidRPr="00E453B2">
        <w:t xml:space="preserve"> </w:t>
      </w:r>
      <w:r w:rsidR="0022044E">
        <w:t>r</w:t>
      </w:r>
      <w:r w:rsidRPr="00E453B2">
        <w:t xml:space="preserve">equest </w:t>
      </w:r>
      <w:r w:rsidR="0022044E">
        <w:t xml:space="preserve">for further information </w:t>
      </w:r>
      <w:r w:rsidRPr="00E453B2">
        <w:t>has adequately addressed all of the issues identified in the RMP evaluation report</w:t>
      </w:r>
      <w:bookmarkStart w:id="163" w:name="_Toc314842510"/>
      <w:r>
        <w:t>.</w:t>
      </w:r>
    </w:p>
    <w:p w:rsidR="00D74E25" w:rsidRPr="00107999" w:rsidRDefault="00D74E25" w:rsidP="00AD677A">
      <w:pPr>
        <w:pStyle w:val="Heading5"/>
      </w:pPr>
      <w:r w:rsidRPr="00107999">
        <w:t>Outstanding issues</w:t>
      </w:r>
    </w:p>
    <w:p w:rsidR="00D74E25" w:rsidRPr="00107999" w:rsidRDefault="00341162" w:rsidP="00AD677A">
      <w:pPr>
        <w:pStyle w:val="Heading6"/>
      </w:pPr>
      <w:r>
        <w:t>Issues in relation to the RMP</w:t>
      </w:r>
    </w:p>
    <w:p w:rsidR="00D74E25" w:rsidRPr="00107999" w:rsidRDefault="00D74E25" w:rsidP="00AD677A">
      <w:r w:rsidRPr="00124ED9">
        <w:t>There are no outstanding issues in relation to the RMP for this submission.</w:t>
      </w:r>
      <w:r w:rsidR="00B51A1A">
        <w:t xml:space="preserve"> </w:t>
      </w:r>
      <w:r>
        <w:t>The sponsor has committed to updating the ASA in response to the RMP evaluation report.</w:t>
      </w:r>
      <w:r w:rsidR="00B51A1A">
        <w:t xml:space="preserve"> </w:t>
      </w:r>
      <w:r>
        <w:t>The updated ASA should be provided to the TGA with the pre-ACPM response.</w:t>
      </w:r>
    </w:p>
    <w:p w:rsidR="00D74E25" w:rsidRPr="00107999" w:rsidRDefault="00D74E25" w:rsidP="00AD677A">
      <w:pPr>
        <w:pStyle w:val="Heading6"/>
        <w:rPr>
          <w:b/>
        </w:rPr>
      </w:pPr>
      <w:r w:rsidRPr="00897A00">
        <w:t>Advice from the Advisory</w:t>
      </w:r>
      <w:r w:rsidRPr="00F006C7">
        <w:t xml:space="preserve"> Committee on the Safety of Medicines (ACSOM)</w:t>
      </w:r>
    </w:p>
    <w:p w:rsidR="00D74E25" w:rsidRPr="00107999" w:rsidRDefault="00D74E25" w:rsidP="00AD677A">
      <w:r w:rsidRPr="00B9242C">
        <w:t>ACSOM advice was not sought for this submission.</w:t>
      </w:r>
    </w:p>
    <w:p w:rsidR="00D74E25" w:rsidRPr="00107999" w:rsidRDefault="00D74E25" w:rsidP="00AD677A">
      <w:pPr>
        <w:pStyle w:val="Heading5"/>
      </w:pPr>
      <w:r w:rsidRPr="00107999">
        <w:t>Suggested wording</w:t>
      </w:r>
      <w:r w:rsidR="00341162">
        <w:t xml:space="preserve"> for conditions of registration</w:t>
      </w:r>
    </w:p>
    <w:p w:rsidR="00D74E25" w:rsidRPr="00107999" w:rsidRDefault="00D74E25" w:rsidP="00AD677A">
      <w:pPr>
        <w:pStyle w:val="Heading6"/>
      </w:pPr>
      <w:r w:rsidRPr="00107999">
        <w:t>RMP</w:t>
      </w:r>
    </w:p>
    <w:p w:rsidR="00D74E25" w:rsidRPr="00107999" w:rsidRDefault="00D74E25" w:rsidP="00AD677A">
      <w:r w:rsidRPr="005704F2">
        <w:t xml:space="preserve">Implement </w:t>
      </w:r>
      <w:proofErr w:type="spellStart"/>
      <w:r w:rsidRPr="005704F2">
        <w:t>Avastin</w:t>
      </w:r>
      <w:proofErr w:type="spellEnd"/>
      <w:r w:rsidRPr="005704F2">
        <w:t xml:space="preserve"> EU RMP v14.0 (data lock point 2 August 2013) + Australian Specific Annex (Version 4.0 dated November 2013) </w:t>
      </w:r>
      <w:r>
        <w:t>with revisions as agr</w:t>
      </w:r>
      <w:r w:rsidR="0022044E">
        <w:t>eed</w:t>
      </w:r>
      <w:r w:rsidRPr="005704F2">
        <w:t>.</w:t>
      </w:r>
    </w:p>
    <w:p w:rsidR="008E7846" w:rsidRPr="00792A32" w:rsidRDefault="008E7846" w:rsidP="00AD677A">
      <w:pPr>
        <w:pStyle w:val="Heading2"/>
      </w:pPr>
      <w:bookmarkStart w:id="164" w:name="_Toc415046273"/>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80"/>
      <w:bookmarkEnd w:id="162"/>
      <w:bookmarkEnd w:id="163"/>
      <w:bookmarkEnd w:id="164"/>
    </w:p>
    <w:p w:rsidR="008E7846" w:rsidRDefault="008E7846" w:rsidP="00AD677A">
      <w:bookmarkStart w:id="165"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AD677A">
      <w:pPr>
        <w:pStyle w:val="Heading3"/>
      </w:pPr>
      <w:bookmarkStart w:id="166" w:name="_Toc314842511"/>
      <w:bookmarkStart w:id="167" w:name="_Toc415046274"/>
      <w:r>
        <w:t>Quality</w:t>
      </w:r>
      <w:bookmarkEnd w:id="165"/>
      <w:bookmarkEnd w:id="166"/>
      <w:bookmarkEnd w:id="167"/>
    </w:p>
    <w:p w:rsidR="00E45619" w:rsidRDefault="008E7846" w:rsidP="00AD677A">
      <w:r>
        <w:t>There was no requirement for a quality evaluation in a submission of this type.</w:t>
      </w:r>
    </w:p>
    <w:p w:rsidR="008E7846" w:rsidRDefault="008E7846" w:rsidP="00AD677A">
      <w:pPr>
        <w:pStyle w:val="Heading3"/>
      </w:pPr>
      <w:bookmarkStart w:id="168" w:name="_Toc314842512"/>
      <w:bookmarkStart w:id="169" w:name="_Toc415046275"/>
      <w:r>
        <w:t>Nonclinical</w:t>
      </w:r>
      <w:bookmarkEnd w:id="168"/>
      <w:bookmarkEnd w:id="169"/>
    </w:p>
    <w:p w:rsidR="008E7846" w:rsidRDefault="008E7846" w:rsidP="00AD677A">
      <w:r>
        <w:t>There was no requirement for a nonclinical evaluation in a submission of this type.</w:t>
      </w:r>
    </w:p>
    <w:p w:rsidR="008E7846" w:rsidRDefault="008E7846" w:rsidP="00AD677A">
      <w:pPr>
        <w:pStyle w:val="Heading3"/>
      </w:pPr>
      <w:bookmarkStart w:id="170" w:name="_Toc247691530"/>
      <w:bookmarkStart w:id="171" w:name="_Toc314842513"/>
      <w:bookmarkStart w:id="172" w:name="_Toc415046276"/>
      <w:r>
        <w:lastRenderedPageBreak/>
        <w:t>Clinical</w:t>
      </w:r>
      <w:bookmarkEnd w:id="170"/>
      <w:bookmarkEnd w:id="171"/>
      <w:bookmarkEnd w:id="172"/>
    </w:p>
    <w:p w:rsidR="00D74E25" w:rsidRPr="00D77879" w:rsidRDefault="00D74E25" w:rsidP="00AD677A">
      <w:pPr>
        <w:rPr>
          <w:lang w:eastAsia="ja-JP"/>
        </w:rPr>
      </w:pPr>
      <w:r w:rsidRPr="00D77879">
        <w:rPr>
          <w:lang w:eastAsia="ja-JP"/>
        </w:rPr>
        <w:t>The clinical evaluator has reviewed the submitted data, which included:</w:t>
      </w:r>
    </w:p>
    <w:p w:rsidR="00D74E25" w:rsidRPr="00AC5BAB" w:rsidRDefault="00255358" w:rsidP="00AD677A">
      <w:pPr>
        <w:pStyle w:val="ListBullet"/>
      </w:pPr>
      <w:r>
        <w:t>Two</w:t>
      </w:r>
      <w:r w:rsidR="00D74E25" w:rsidRPr="00AC5BAB">
        <w:t xml:space="preserve"> population PK reports</w:t>
      </w:r>
    </w:p>
    <w:p w:rsidR="00D74E25" w:rsidRPr="00AC5BAB" w:rsidRDefault="00D74E25" w:rsidP="00AD677A">
      <w:pPr>
        <w:pStyle w:val="ListBullet2"/>
      </w:pPr>
      <w:r w:rsidRPr="00AC5BAB">
        <w:rPr>
          <w:rFonts w:cs="Arial"/>
        </w:rPr>
        <w:t>BO17706, PopPK AVITA</w:t>
      </w:r>
      <w:r w:rsidR="00B51A1A">
        <w:rPr>
          <w:rFonts w:cs="Arial"/>
        </w:rPr>
        <w:t xml:space="preserve"> ‘</w:t>
      </w:r>
      <w:r w:rsidRPr="00AC5BAB">
        <w:rPr>
          <w:rStyle w:val="QuoteChar"/>
          <w:rFonts w:eastAsia="Cambria"/>
        </w:rPr>
        <w:t>Population Pharmacokinetic Analysis BO17706</w:t>
      </w:r>
      <w:r w:rsidR="00B51A1A">
        <w:rPr>
          <w:rStyle w:val="QuoteChar"/>
          <w:rFonts w:eastAsia="Cambria"/>
        </w:rPr>
        <w:t xml:space="preserve"> ‘</w:t>
      </w:r>
      <w:r w:rsidRPr="00AC5BAB">
        <w:rPr>
          <w:rFonts w:cs="Arial"/>
        </w:rPr>
        <w:t>, March 28, 2008.</w:t>
      </w:r>
    </w:p>
    <w:p w:rsidR="00D74E25" w:rsidRPr="0022044E" w:rsidRDefault="00D74E25" w:rsidP="00AD677A">
      <w:pPr>
        <w:pStyle w:val="ListBullet2"/>
      </w:pPr>
      <w:r w:rsidRPr="00AC5BAB">
        <w:t xml:space="preserve">Report </w:t>
      </w:r>
      <w:r w:rsidRPr="0022044E">
        <w:t>1031796</w:t>
      </w:r>
      <w:r w:rsidR="00B51A1A" w:rsidRPr="0022044E">
        <w:t xml:space="preserve"> ‘</w:t>
      </w:r>
      <w:r w:rsidRPr="0022044E">
        <w:rPr>
          <w:rStyle w:val="QuoteChar"/>
          <w:rFonts w:eastAsia="Cambria"/>
          <w:color w:val="auto"/>
        </w:rPr>
        <w:t xml:space="preserve">Population Pharmacokinetic Analysis of </w:t>
      </w:r>
      <w:proofErr w:type="spellStart"/>
      <w:r w:rsidRPr="0022044E">
        <w:rPr>
          <w:rStyle w:val="QuoteChar"/>
          <w:rFonts w:eastAsia="Cambria"/>
          <w:color w:val="auto"/>
        </w:rPr>
        <w:t>Bevacizumab</w:t>
      </w:r>
      <w:proofErr w:type="spellEnd"/>
      <w:r w:rsidRPr="0022044E">
        <w:rPr>
          <w:rStyle w:val="QuoteChar"/>
          <w:rFonts w:eastAsia="Cambria"/>
          <w:color w:val="auto"/>
        </w:rPr>
        <w:t>. Final Analysis Report</w:t>
      </w:r>
      <w:r w:rsidR="00B51A1A" w:rsidRPr="0022044E">
        <w:rPr>
          <w:rStyle w:val="QuoteChar"/>
          <w:rFonts w:eastAsia="Cambria"/>
          <w:color w:val="auto"/>
        </w:rPr>
        <w:t xml:space="preserve"> ‘</w:t>
      </w:r>
      <w:r w:rsidRPr="0022044E">
        <w:rPr>
          <w:rStyle w:val="QuoteChar"/>
          <w:rFonts w:eastAsia="Cambria"/>
          <w:color w:val="auto"/>
        </w:rPr>
        <w:t xml:space="preserve">, </w:t>
      </w:r>
      <w:r w:rsidRPr="0022044E">
        <w:rPr>
          <w:rStyle w:val="QuoteChar"/>
          <w:rFonts w:eastAsia="Cambria"/>
          <w:i w:val="0"/>
          <w:color w:val="auto"/>
        </w:rPr>
        <w:t>January 9, 2008</w:t>
      </w:r>
    </w:p>
    <w:p w:rsidR="00D74E25" w:rsidRPr="00AC5BAB" w:rsidRDefault="00255358" w:rsidP="00AD677A">
      <w:pPr>
        <w:pStyle w:val="ListBullet"/>
        <w:rPr>
          <w:rStyle w:val="QuoteChar"/>
          <w:rFonts w:eastAsia="Cambria"/>
        </w:rPr>
      </w:pPr>
      <w:r>
        <w:t>One</w:t>
      </w:r>
      <w:r w:rsidR="00D74E25" w:rsidRPr="00AC5BAB">
        <w:t xml:space="preserve"> pivotal </w:t>
      </w:r>
      <w:r>
        <w:t>P</w:t>
      </w:r>
      <w:r w:rsidR="00D74E25" w:rsidRPr="00AC5BAB">
        <w:t xml:space="preserve">hase III </w:t>
      </w:r>
      <w:r w:rsidR="00D74E25" w:rsidRPr="00AC5BAB">
        <w:rPr>
          <w:bCs/>
        </w:rPr>
        <w:t>Study MO</w:t>
      </w:r>
      <w:r w:rsidR="00341162">
        <w:t>22224 (AURELIA)</w:t>
      </w:r>
    </w:p>
    <w:p w:rsidR="00D74E25" w:rsidRPr="00AC5BAB" w:rsidRDefault="00D74E25" w:rsidP="00AD677A">
      <w:r w:rsidRPr="00AC5BAB">
        <w:t xml:space="preserve">The submitted data was evaluated using TGA adopted </w:t>
      </w:r>
      <w:r w:rsidR="00255358">
        <w:t>European medicines Agency (</w:t>
      </w:r>
      <w:r w:rsidRPr="00AC5BAB">
        <w:t>EMA</w:t>
      </w:r>
      <w:r w:rsidR="00255358">
        <w:t>)</w:t>
      </w:r>
      <w:r w:rsidRPr="00AC5BAB">
        <w:t xml:space="preserve"> </w:t>
      </w:r>
      <w:r w:rsidR="00255358">
        <w:t>g</w:t>
      </w:r>
      <w:r w:rsidRPr="00AC5BAB">
        <w:t>uidelines as follows:</w:t>
      </w:r>
    </w:p>
    <w:p w:rsidR="00D74E25" w:rsidRPr="00255358" w:rsidRDefault="00255358" w:rsidP="00AD677A">
      <w:pPr>
        <w:pStyle w:val="ListBullet"/>
      </w:pPr>
      <w:r w:rsidRPr="00255358">
        <w:t xml:space="preserve">EMA/CHMP/205/95 </w:t>
      </w:r>
      <w:r w:rsidR="00D74E25" w:rsidRPr="00255358">
        <w:t>Guideline on the evaluation of anticancer medicinal products in man</w:t>
      </w:r>
    </w:p>
    <w:p w:rsidR="00D74E25" w:rsidRPr="00255358" w:rsidRDefault="00255358" w:rsidP="00AD677A">
      <w:pPr>
        <w:pStyle w:val="ListBullet"/>
      </w:pPr>
      <w:r w:rsidRPr="00255358">
        <w:t xml:space="preserve">CHMP/EWP/89249/2004 </w:t>
      </w:r>
      <w:r w:rsidR="00D74E25" w:rsidRPr="00255358">
        <w:t>Guideline on the</w:t>
      </w:r>
      <w:r w:rsidRPr="00255358">
        <w:t xml:space="preserve"> clinical</w:t>
      </w:r>
      <w:r w:rsidR="00D74E25" w:rsidRPr="00255358">
        <w:t xml:space="preserve"> investigation of pharmacokinetics of therapeutic proteins.</w:t>
      </w:r>
    </w:p>
    <w:p w:rsidR="00D74E25" w:rsidRPr="00AC5BAB" w:rsidRDefault="00D74E25" w:rsidP="00AD677A">
      <w:pPr>
        <w:pStyle w:val="Heading4"/>
      </w:pPr>
      <w:r w:rsidRPr="00AC5BAB">
        <w:t xml:space="preserve">Clinical </w:t>
      </w:r>
      <w:r w:rsidR="0022044E">
        <w:t>e</w:t>
      </w:r>
      <w:r w:rsidRPr="00AC5BAB">
        <w:t>valuator’s recommendation</w:t>
      </w:r>
    </w:p>
    <w:p w:rsidR="00D74E25" w:rsidRPr="00B05CC9" w:rsidRDefault="00D74E25" w:rsidP="00AD677A">
      <w:bookmarkStart w:id="173" w:name="_Toc290846235"/>
      <w:bookmarkStart w:id="174" w:name="_Toc224202687"/>
      <w:r w:rsidRPr="00AC5BAB">
        <w:rPr>
          <w:rFonts w:asciiTheme="minorHAnsi" w:hAnsiTheme="minorHAnsi"/>
        </w:rPr>
        <w:t xml:space="preserve">The </w:t>
      </w:r>
      <w:r w:rsidR="0022044E" w:rsidRPr="00AC5BAB">
        <w:rPr>
          <w:rFonts w:asciiTheme="minorHAnsi" w:hAnsiTheme="minorHAnsi"/>
        </w:rPr>
        <w:t xml:space="preserve">clinical evaluator </w:t>
      </w:r>
      <w:r w:rsidRPr="00AC5BAB">
        <w:rPr>
          <w:rFonts w:asciiTheme="minorHAnsi" w:hAnsiTheme="minorHAnsi"/>
        </w:rPr>
        <w:t xml:space="preserve">recommended that </w:t>
      </w:r>
      <w:r>
        <w:rPr>
          <w:rFonts w:asciiTheme="minorHAnsi" w:hAnsiTheme="minorHAnsi"/>
        </w:rPr>
        <w:t xml:space="preserve">the </w:t>
      </w:r>
      <w:r w:rsidRPr="00B05CC9">
        <w:t>following change</w:t>
      </w:r>
      <w:r>
        <w:t xml:space="preserve">, </w:t>
      </w:r>
      <w:r w:rsidRPr="00B05CC9">
        <w:t>based on the demons</w:t>
      </w:r>
      <w:r>
        <w:t xml:space="preserve">trated efficacy of treating </w:t>
      </w:r>
      <w:r w:rsidRPr="00B05CC9">
        <w:t>patients with ascites on presentation</w:t>
      </w:r>
      <w:r>
        <w:t xml:space="preserve"> and the likely associated relief of symptoms,</w:t>
      </w:r>
      <w:r w:rsidRPr="00B05CC9">
        <w:t xml:space="preserve"> to the proposed indication would make the product approvable</w:t>
      </w:r>
      <w:r>
        <w:t>:</w:t>
      </w:r>
    </w:p>
    <w:p w:rsidR="00D74E25" w:rsidRPr="00AD677A" w:rsidRDefault="00B51A1A" w:rsidP="00AD677A">
      <w:pPr>
        <w:ind w:left="720"/>
        <w:rPr>
          <w:i/>
          <w:lang w:val="en-US"/>
        </w:rPr>
      </w:pPr>
      <w:r w:rsidRPr="00AD677A">
        <w:rPr>
          <w:i/>
        </w:rPr>
        <w:t>‘</w:t>
      </w:r>
      <w:proofErr w:type="spellStart"/>
      <w:r w:rsidR="0022044E" w:rsidRPr="00AD677A">
        <w:rPr>
          <w:i/>
          <w:lang w:val="en-US"/>
        </w:rPr>
        <w:t>Avastin</w:t>
      </w:r>
      <w:proofErr w:type="spellEnd"/>
      <w:r w:rsidR="0022044E" w:rsidRPr="00AD677A">
        <w:rPr>
          <w:i/>
          <w:lang w:val="en-US"/>
        </w:rPr>
        <w:t xml:space="preserve"> </w:t>
      </w:r>
      <w:r w:rsidR="00D74E25" w:rsidRPr="00AD677A">
        <w:rPr>
          <w:i/>
          <w:lang w:val="en-US"/>
        </w:rPr>
        <w:t>(</w:t>
      </w:r>
      <w:proofErr w:type="spellStart"/>
      <w:r w:rsidR="00D74E25" w:rsidRPr="00AD677A">
        <w:rPr>
          <w:i/>
          <w:lang w:val="en-US"/>
        </w:rPr>
        <w:t>bevacizumab</w:t>
      </w:r>
      <w:proofErr w:type="spellEnd"/>
      <w:r w:rsidR="00D74E25" w:rsidRPr="00AD677A">
        <w:rPr>
          <w:i/>
          <w:lang w:val="en-US"/>
        </w:rPr>
        <w:t xml:space="preserve">) in combination with paclitaxel or </w:t>
      </w:r>
      <w:proofErr w:type="spellStart"/>
      <w:r w:rsidR="00D74E25" w:rsidRPr="00AD677A">
        <w:rPr>
          <w:i/>
          <w:lang w:val="en-US"/>
        </w:rPr>
        <w:t>topotecan</w:t>
      </w:r>
      <w:proofErr w:type="spellEnd"/>
      <w:r w:rsidR="00D74E25" w:rsidRPr="00AD677A">
        <w:rPr>
          <w:i/>
          <w:lang w:val="en-US"/>
        </w:rPr>
        <w:t xml:space="preserve"> is indicated for the treatment of patients who present with ascites associated with recurrent, platinum-resistant epithelial ovarian, fallopian tube, or primary peritoneal cancer who received no more than two prior chemotherapy regimens.</w:t>
      </w:r>
      <w:r w:rsidRPr="00AD677A">
        <w:rPr>
          <w:i/>
          <w:lang w:val="en-US"/>
        </w:rPr>
        <w:t>’</w:t>
      </w:r>
    </w:p>
    <w:bookmarkEnd w:id="173"/>
    <w:bookmarkEnd w:id="174"/>
    <w:p w:rsidR="00D74E25" w:rsidRPr="00AC5BAB" w:rsidRDefault="00D74E25" w:rsidP="00AD677A">
      <w:pPr>
        <w:pStyle w:val="Heading4"/>
        <w:rPr>
          <w:lang w:eastAsia="ja-JP"/>
        </w:rPr>
      </w:pPr>
      <w:r w:rsidRPr="00AC5BAB">
        <w:rPr>
          <w:lang w:eastAsia="ja-JP"/>
        </w:rPr>
        <w:t>Pharmacokinetics/</w:t>
      </w:r>
      <w:r w:rsidR="00341162">
        <w:rPr>
          <w:lang w:eastAsia="ja-JP"/>
        </w:rPr>
        <w:t>p</w:t>
      </w:r>
      <w:r w:rsidRPr="00AC5BAB">
        <w:rPr>
          <w:lang w:eastAsia="ja-JP"/>
        </w:rPr>
        <w:t>harmacodynamics</w:t>
      </w:r>
    </w:p>
    <w:p w:rsidR="00D74E25" w:rsidRPr="00AC5BAB" w:rsidRDefault="00D74E25" w:rsidP="00AD677A">
      <w:r w:rsidRPr="00AC5BAB">
        <w:t>No PK studies were submitted on patients with ovarian cancer and no changes are proposed to the PK sect</w:t>
      </w:r>
      <w:r w:rsidR="00341162">
        <w:t>ion of the Product Information.</w:t>
      </w:r>
    </w:p>
    <w:p w:rsidR="00D74E25" w:rsidRPr="007A7ECB" w:rsidRDefault="00341162" w:rsidP="00AD677A">
      <w:pPr>
        <w:pStyle w:val="Heading4"/>
      </w:pPr>
      <w:r>
        <w:t>Summary of PK data</w:t>
      </w:r>
    </w:p>
    <w:p w:rsidR="00D74E25" w:rsidRPr="00AC5BAB" w:rsidRDefault="00D74E25" w:rsidP="00AD677A">
      <w:r w:rsidRPr="00AC5BAB">
        <w:t xml:space="preserve">The population PK data have been previously evaluated in other applications for malignancies other than ovarian cancer and the clinical evaluator noted that this had been used to support an earlier application for </w:t>
      </w:r>
      <w:proofErr w:type="spellStart"/>
      <w:r w:rsidRPr="00AC5BAB">
        <w:t>beva</w:t>
      </w:r>
      <w:r w:rsidR="0022044E">
        <w:t>cizumab</w:t>
      </w:r>
      <w:proofErr w:type="spellEnd"/>
      <w:r w:rsidR="0022044E">
        <w:t xml:space="preserve"> in ovarian cancer. The c</w:t>
      </w:r>
      <w:r w:rsidRPr="00AC5BAB">
        <w:t xml:space="preserve">linical </w:t>
      </w:r>
      <w:r w:rsidR="0022044E">
        <w:t>e</w:t>
      </w:r>
      <w:r w:rsidRPr="00AC5BAB">
        <w:t>valuator identified two issues potentially arising from the population PK data:</w:t>
      </w:r>
    </w:p>
    <w:p w:rsidR="00D74E25" w:rsidRPr="00AC5BAB" w:rsidRDefault="00D74E25" w:rsidP="00AD677A">
      <w:pPr>
        <w:pStyle w:val="Numberbullet0"/>
        <w:numPr>
          <w:ilvl w:val="0"/>
          <w:numId w:val="26"/>
        </w:numPr>
      </w:pPr>
      <w:r w:rsidRPr="00AC5BAB">
        <w:t xml:space="preserve">The </w:t>
      </w:r>
      <w:r w:rsidR="0022044E" w:rsidRPr="00AC5BAB">
        <w:t xml:space="preserve">clinical evaluator </w:t>
      </w:r>
      <w:r w:rsidRPr="00AC5BAB">
        <w:t xml:space="preserve">noted a 40% increase in </w:t>
      </w:r>
      <w:r w:rsidR="0022044E">
        <w:t>half-life (</w:t>
      </w:r>
      <w:r w:rsidRPr="00AC5BAB">
        <w:t>t</w:t>
      </w:r>
      <w:r w:rsidRPr="00AD677A">
        <w:rPr>
          <w:vertAlign w:val="subscript"/>
        </w:rPr>
        <w:t>½</w:t>
      </w:r>
      <w:r w:rsidR="0022044E">
        <w:t xml:space="preserve">) </w:t>
      </w:r>
      <w:r w:rsidRPr="00AC5BAB">
        <w:t xml:space="preserve">from 20 to 28 days when </w:t>
      </w:r>
      <w:proofErr w:type="spellStart"/>
      <w:r w:rsidRPr="00AC5BAB">
        <w:t>bevacizumab</w:t>
      </w:r>
      <w:proofErr w:type="spellEnd"/>
      <w:r w:rsidRPr="00AC5BAB">
        <w:t xml:space="preserve"> was co-administered with chemotherapy. The </w:t>
      </w:r>
      <w:r w:rsidR="0022044E">
        <w:t>s</w:t>
      </w:r>
      <w:r w:rsidRPr="00AC5BAB">
        <w:t>ponsor</w:t>
      </w:r>
      <w:r w:rsidR="0022044E">
        <w:t xml:space="preserve"> responded with a population PK </w:t>
      </w:r>
      <w:r w:rsidRPr="00AC5BAB">
        <w:t xml:space="preserve">modelled effect on steady-state concentrations of </w:t>
      </w:r>
      <w:proofErr w:type="spellStart"/>
      <w:r w:rsidRPr="00AC5BAB">
        <w:t>bevacizumab</w:t>
      </w:r>
      <w:proofErr w:type="spellEnd"/>
      <w:r w:rsidRPr="00AC5BAB">
        <w:t xml:space="preserve"> at the proposed dose and did not believe a dose reduction was required.</w:t>
      </w:r>
    </w:p>
    <w:p w:rsidR="00D74E25" w:rsidRPr="00AC5BAB" w:rsidRDefault="00D74E25" w:rsidP="00AD677A">
      <w:pPr>
        <w:pStyle w:val="Numberbullet0"/>
        <w:numPr>
          <w:ilvl w:val="0"/>
          <w:numId w:val="26"/>
        </w:numPr>
      </w:pPr>
      <w:r w:rsidRPr="00AC5BAB">
        <w:t>The population PK model is based upon a two-compartment model and the impact of ascites (31% of subjects in this study) has not been studied. It is uncertain what effect this would have upon the reported c</w:t>
      </w:r>
      <w:r w:rsidR="0022044E">
        <w:t>learance, and t</w:t>
      </w:r>
      <w:r w:rsidRPr="00AD677A">
        <w:rPr>
          <w:vertAlign w:val="subscript"/>
        </w:rPr>
        <w:t xml:space="preserve">½ </w:t>
      </w:r>
      <w:r w:rsidRPr="00AC5BAB">
        <w:t xml:space="preserve">of 18 days for a female subject. Based upon a 2-compartment model, albumin levels and body weight were reported to have the greatest clinical effect on clearance with an increase seen in those with low albumin, and with higher body weight. Although the mechanism for ascites in ovarian </w:t>
      </w:r>
      <w:proofErr w:type="gramStart"/>
      <w:r w:rsidRPr="00AC5BAB">
        <w:t>cancer,</w:t>
      </w:r>
      <w:proofErr w:type="gramEnd"/>
      <w:r w:rsidRPr="00AC5BAB">
        <w:t xml:space="preserve"> at least initially may not be related to a low albumin level, with progressive disease and repeated </w:t>
      </w:r>
      <w:proofErr w:type="spellStart"/>
      <w:r w:rsidRPr="00AC5BAB">
        <w:t>paracenteses</w:t>
      </w:r>
      <w:proofErr w:type="spellEnd"/>
      <w:r w:rsidRPr="00AC5BAB">
        <w:t xml:space="preserve">, a low albumin may develop. The </w:t>
      </w:r>
      <w:r w:rsidR="0022044E">
        <w:lastRenderedPageBreak/>
        <w:t>s</w:t>
      </w:r>
      <w:r w:rsidRPr="00AC5BAB">
        <w:t xml:space="preserve">ponsor indicated that the toxicity from any potential sequestration of </w:t>
      </w:r>
      <w:proofErr w:type="spellStart"/>
      <w:r w:rsidRPr="00AC5BAB">
        <w:t>bevacizumab</w:t>
      </w:r>
      <w:proofErr w:type="spellEnd"/>
      <w:r w:rsidRPr="00AC5BAB">
        <w:t xml:space="preserve"> in the </w:t>
      </w:r>
      <w:r w:rsidR="0022044E">
        <w:t>third</w:t>
      </w:r>
      <w:r w:rsidRPr="00AC5BAB">
        <w:t xml:space="preserve"> space would not be significant.</w:t>
      </w:r>
    </w:p>
    <w:p w:rsidR="00D74E25" w:rsidRPr="007A7ECB" w:rsidRDefault="00D74E25" w:rsidP="00AD677A">
      <w:pPr>
        <w:pStyle w:val="Heading4"/>
      </w:pPr>
      <w:r w:rsidRPr="007A7ECB">
        <w:t xml:space="preserve">Dosage </w:t>
      </w:r>
      <w:r w:rsidR="00341162">
        <w:t>s</w:t>
      </w:r>
      <w:r w:rsidRPr="007A7ECB">
        <w:t>election</w:t>
      </w:r>
    </w:p>
    <w:p w:rsidR="00D74E25" w:rsidRPr="00632BB7" w:rsidRDefault="00D74E25" w:rsidP="00AD677A">
      <w:r w:rsidRPr="00AC5BAB">
        <w:t>The proposed dose regimen is consistent with that used in other indications and for previous approvals in ovarian cancer</w:t>
      </w:r>
      <w:r>
        <w:t xml:space="preserve">. </w:t>
      </w:r>
      <w:proofErr w:type="spellStart"/>
      <w:r>
        <w:t>B</w:t>
      </w:r>
      <w:r w:rsidRPr="00AC5BAB">
        <w:t>evacizumab</w:t>
      </w:r>
      <w:proofErr w:type="spellEnd"/>
      <w:r w:rsidRPr="00AC5BAB">
        <w:t xml:space="preserve"> could be continued as monotherapy in the combination arm if the chemotherapy was discontinued due to toxicity</w:t>
      </w:r>
      <w:r w:rsidR="00341162">
        <w:t>.</w:t>
      </w:r>
    </w:p>
    <w:p w:rsidR="00D74E25" w:rsidRPr="00632BB7" w:rsidRDefault="00D74E25" w:rsidP="00AD677A">
      <w:pPr>
        <w:pStyle w:val="Heading4"/>
      </w:pPr>
      <w:r w:rsidRPr="00632BB7">
        <w:t xml:space="preserve">Clinical </w:t>
      </w:r>
      <w:r w:rsidR="00341162">
        <w:t>e</w:t>
      </w:r>
      <w:r w:rsidRPr="00632BB7">
        <w:t>fficacy</w:t>
      </w:r>
    </w:p>
    <w:p w:rsidR="00D74E25" w:rsidRPr="0024121F" w:rsidRDefault="00D74E25" w:rsidP="00AD677A">
      <w:r w:rsidRPr="00632BB7">
        <w:t xml:space="preserve">Study MO22224 was an open-label, randomized, two-arm Phase III study carried out in 96 centres in 14 European </w:t>
      </w:r>
      <w:r w:rsidRPr="0024121F">
        <w:t xml:space="preserve">countries (see Figure </w:t>
      </w:r>
      <w:r w:rsidR="0024121F" w:rsidRPr="0024121F">
        <w:t>3</w:t>
      </w:r>
      <w:r w:rsidRPr="0024121F">
        <w:t xml:space="preserve">) comparing </w:t>
      </w:r>
      <w:proofErr w:type="spellStart"/>
      <w:r w:rsidRPr="0024121F">
        <w:t>bevacizumab</w:t>
      </w:r>
      <w:proofErr w:type="spellEnd"/>
      <w:r w:rsidRPr="0024121F">
        <w:t xml:space="preserve"> (BV) plus chemotherapy (CT+BV) versus chemotherapy (CT) alone </w:t>
      </w:r>
      <w:r w:rsidRPr="0024121F">
        <w:rPr>
          <w:lang w:val="en-US"/>
        </w:rPr>
        <w:t>to treat recurrent, platinum-resistant epithelial ovarian, fallopian tube, or primary peritoneal cancer in patients who received no more than two prior chemotherapy regimens</w:t>
      </w:r>
      <w:r w:rsidRPr="0024121F">
        <w:t>. The vast majority had not received prior anti-</w:t>
      </w:r>
      <w:proofErr w:type="spellStart"/>
      <w:r w:rsidRPr="0024121F">
        <w:t>angiogenic</w:t>
      </w:r>
      <w:proofErr w:type="spellEnd"/>
      <w:r w:rsidRPr="0024121F">
        <w:t xml:space="preserve"> therapies, including </w:t>
      </w:r>
      <w:proofErr w:type="spellStart"/>
      <w:r w:rsidRPr="0024121F">
        <w:t>bevacizumab</w:t>
      </w:r>
      <w:proofErr w:type="spellEnd"/>
      <w:r w:rsidRPr="0024121F">
        <w:t>.</w:t>
      </w:r>
    </w:p>
    <w:p w:rsidR="00780E55" w:rsidRPr="00255358" w:rsidRDefault="00D74E25" w:rsidP="00AD677A">
      <w:pPr>
        <w:pStyle w:val="Heading5"/>
        <w:rPr>
          <w:rStyle w:val="Heading5Char"/>
          <w:rFonts w:eastAsia="Cambria"/>
          <w:b/>
          <w:bCs/>
          <w:i/>
        </w:rPr>
      </w:pPr>
      <w:r w:rsidRPr="00255358">
        <w:rPr>
          <w:rStyle w:val="Heading5Char"/>
          <w:rFonts w:eastAsia="Cambria"/>
          <w:b/>
          <w:bCs/>
          <w:i/>
        </w:rPr>
        <w:t>Eligibility</w:t>
      </w:r>
    </w:p>
    <w:p w:rsidR="00D74E25" w:rsidRPr="00632BB7" w:rsidRDefault="00780E55" w:rsidP="00AD677A">
      <w:r w:rsidRPr="0024121F">
        <w:rPr>
          <w:rStyle w:val="Heading5Char"/>
          <w:rFonts w:eastAsia="Cambria"/>
          <w:b w:val="0"/>
          <w:i w:val="0"/>
        </w:rPr>
        <w:t>O</w:t>
      </w:r>
      <w:r w:rsidR="00D74E25" w:rsidRPr="0024121F">
        <w:t>varian, fallopian tube or primary peritoneal cancer that recurred within</w:t>
      </w:r>
      <w:r w:rsidR="00D74E25" w:rsidRPr="0024121F">
        <w:rPr>
          <w:rFonts w:eastAsia="SymbolMT" w:cs="SymbolMT"/>
        </w:rPr>
        <w:t xml:space="preserve"> </w:t>
      </w:r>
      <w:r w:rsidR="00D74E25" w:rsidRPr="0024121F">
        <w:t>6 months of previous platinum therapy, but refractory disease was excluded (</w:t>
      </w:r>
      <w:r w:rsidR="0022044E" w:rsidRPr="0024121F">
        <w:t>that is,</w:t>
      </w:r>
      <w:r w:rsidR="00D74E25" w:rsidRPr="0024121F">
        <w:t xml:space="preserve"> progression while on therapy). Prior</w:t>
      </w:r>
      <w:r w:rsidR="00B51A1A" w:rsidRPr="0024121F">
        <w:t xml:space="preserve"> </w:t>
      </w:r>
      <w:r w:rsidR="00D74E25" w:rsidRPr="0024121F">
        <w:t>anti-</w:t>
      </w:r>
      <w:proofErr w:type="spellStart"/>
      <w:r w:rsidR="00D74E25" w:rsidRPr="0024121F">
        <w:t>angiogenic</w:t>
      </w:r>
      <w:proofErr w:type="spellEnd"/>
      <w:r w:rsidR="00D74E25" w:rsidRPr="0024121F">
        <w:t xml:space="preserve"> therapies were permitted, including participation in a blinded trial, where the therapy was not known. Investigators could choose one of three chemotherapy agents (see Figure </w:t>
      </w:r>
      <w:r w:rsidR="0024121F" w:rsidRPr="0024121F">
        <w:t>3</w:t>
      </w:r>
      <w:r w:rsidR="00D74E25" w:rsidRPr="0024121F">
        <w:t>).</w:t>
      </w:r>
    </w:p>
    <w:p w:rsidR="00D74E25" w:rsidRDefault="00D74E25" w:rsidP="00AD677A">
      <w:pPr>
        <w:pStyle w:val="FigureTitle"/>
      </w:pPr>
      <w:r w:rsidRPr="00632BB7">
        <w:t>Figure</w:t>
      </w:r>
      <w:r w:rsidRPr="00632BB7">
        <w:rPr>
          <w:spacing w:val="-6"/>
        </w:rPr>
        <w:t xml:space="preserve"> </w:t>
      </w:r>
      <w:r w:rsidR="0024121F">
        <w:rPr>
          <w:spacing w:val="-6"/>
        </w:rPr>
        <w:t>3</w:t>
      </w:r>
      <w:r w:rsidR="0022044E">
        <w:t>:</w:t>
      </w:r>
      <w:r w:rsidRPr="00632BB7">
        <w:rPr>
          <w:spacing w:val="65"/>
        </w:rPr>
        <w:t xml:space="preserve"> </w:t>
      </w:r>
      <w:r w:rsidRPr="00632BB7">
        <w:t>MO22224</w:t>
      </w:r>
      <w:r w:rsidRPr="00632BB7">
        <w:rPr>
          <w:spacing w:val="-5"/>
        </w:rPr>
        <w:t xml:space="preserve"> </w:t>
      </w:r>
      <w:r w:rsidRPr="00632BB7">
        <w:t>Study</w:t>
      </w:r>
      <w:r w:rsidRPr="00632BB7">
        <w:rPr>
          <w:spacing w:val="-11"/>
        </w:rPr>
        <w:t xml:space="preserve"> </w:t>
      </w:r>
      <w:r w:rsidRPr="00632BB7">
        <w:t>Design</w:t>
      </w:r>
    </w:p>
    <w:p w:rsidR="00451D82" w:rsidRDefault="0022044E" w:rsidP="00451D82">
      <w:r>
        <w:rPr>
          <w:noProof/>
          <w:lang w:eastAsia="en-AU"/>
        </w:rPr>
        <w:drawing>
          <wp:inline distT="0" distB="0" distL="0" distR="0" wp14:anchorId="33A58C8F" wp14:editId="710E06F0">
            <wp:extent cx="5221904" cy="1971964"/>
            <wp:effectExtent l="0" t="0" r="0" b="9525"/>
            <wp:docPr id="6" name="Picture 6" descr="Figure 3: MO22224 Stud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357"/>
                    <a:stretch/>
                  </pic:blipFill>
                  <pic:spPr bwMode="auto">
                    <a:xfrm>
                      <a:off x="0" y="0"/>
                      <a:ext cx="5218780" cy="1970784"/>
                    </a:xfrm>
                    <a:prstGeom prst="rect">
                      <a:avLst/>
                    </a:prstGeom>
                    <a:ln>
                      <a:noFill/>
                    </a:ln>
                    <a:extLst>
                      <a:ext uri="{53640926-AAD7-44D8-BBD7-CCE9431645EC}">
                        <a14:shadowObscured xmlns:a14="http://schemas.microsoft.com/office/drawing/2010/main"/>
                      </a:ext>
                    </a:extLst>
                  </pic:spPr>
                </pic:pic>
              </a:graphicData>
            </a:graphic>
          </wp:inline>
        </w:drawing>
      </w:r>
    </w:p>
    <w:p w:rsidR="00D74E25" w:rsidRPr="00255358" w:rsidRDefault="00D74E25" w:rsidP="00451D82">
      <w:pPr>
        <w:pStyle w:val="FigureDescription"/>
      </w:pPr>
      <w:r w:rsidRPr="00255358">
        <w:t>OC</w:t>
      </w:r>
      <w:r w:rsidR="00255358" w:rsidRPr="00255358">
        <w:t>=</w:t>
      </w:r>
      <w:r w:rsidRPr="00255358">
        <w:t>ovarian cancer; PD</w:t>
      </w:r>
      <w:r w:rsidR="00255358" w:rsidRPr="00255358">
        <w:t>=</w:t>
      </w:r>
      <w:r w:rsidRPr="00255358">
        <w:t>progressive disease; BV</w:t>
      </w:r>
      <w:r w:rsidR="00255358" w:rsidRPr="00255358">
        <w:t>=</w:t>
      </w:r>
      <w:proofErr w:type="spellStart"/>
      <w:r w:rsidRPr="00255358">
        <w:t>bevacizumab</w:t>
      </w:r>
      <w:proofErr w:type="spellEnd"/>
      <w:r w:rsidRPr="00255358">
        <w:t>; q2w</w:t>
      </w:r>
      <w:r w:rsidR="00255358" w:rsidRPr="00255358">
        <w:t>=</w:t>
      </w:r>
      <w:r w:rsidRPr="00255358">
        <w:t>every 2 weeks; q3w</w:t>
      </w:r>
      <w:r w:rsidR="00255358" w:rsidRPr="00255358">
        <w:t>=</w:t>
      </w:r>
      <w:r w:rsidRPr="00255358">
        <w:t>every</w:t>
      </w:r>
      <w:r w:rsidR="00255358" w:rsidRPr="00255358">
        <w:t xml:space="preserve"> </w:t>
      </w:r>
      <w:r w:rsidRPr="00255358">
        <w:t>3 weeks; SOC</w:t>
      </w:r>
      <w:r w:rsidR="00255358" w:rsidRPr="00255358">
        <w:t>=</w:t>
      </w:r>
      <w:r w:rsidRPr="00255358">
        <w:t>standard</w:t>
      </w:r>
      <w:r w:rsidRPr="00255358">
        <w:rPr>
          <w:spacing w:val="-4"/>
        </w:rPr>
        <w:t xml:space="preserve"> </w:t>
      </w:r>
      <w:r w:rsidRPr="00255358">
        <w:t>of</w:t>
      </w:r>
      <w:r w:rsidRPr="00255358">
        <w:rPr>
          <w:spacing w:val="-3"/>
        </w:rPr>
        <w:t xml:space="preserve"> </w:t>
      </w:r>
      <w:r w:rsidRPr="00255358">
        <w:t>care.</w:t>
      </w:r>
      <w:r w:rsidR="0022044E" w:rsidRPr="00255358">
        <w:t xml:space="preserve"> </w:t>
      </w:r>
      <w:proofErr w:type="spellStart"/>
      <w:proofErr w:type="gramStart"/>
      <w:r w:rsidRPr="00255358">
        <w:rPr>
          <w:vertAlign w:val="superscript"/>
        </w:rPr>
        <w:t>a</w:t>
      </w:r>
      <w:r w:rsidRPr="00255358">
        <w:t>Epithelial</w:t>
      </w:r>
      <w:proofErr w:type="spellEnd"/>
      <w:proofErr w:type="gramEnd"/>
      <w:r w:rsidRPr="00255358">
        <w:rPr>
          <w:spacing w:val="-4"/>
        </w:rPr>
        <w:t xml:space="preserve"> </w:t>
      </w:r>
      <w:r w:rsidRPr="00255358">
        <w:t>ovarian,</w:t>
      </w:r>
      <w:r w:rsidRPr="00255358">
        <w:rPr>
          <w:spacing w:val="-4"/>
        </w:rPr>
        <w:t xml:space="preserve"> </w:t>
      </w:r>
      <w:r w:rsidRPr="00255358">
        <w:t>primary</w:t>
      </w:r>
      <w:r w:rsidRPr="00255358">
        <w:rPr>
          <w:spacing w:val="-5"/>
        </w:rPr>
        <w:t xml:space="preserve"> </w:t>
      </w:r>
      <w:r w:rsidRPr="00255358">
        <w:t>peritoneal,</w:t>
      </w:r>
      <w:r w:rsidRPr="00255358">
        <w:rPr>
          <w:spacing w:val="-4"/>
        </w:rPr>
        <w:t xml:space="preserve"> </w:t>
      </w:r>
      <w:r w:rsidRPr="00255358">
        <w:t>or</w:t>
      </w:r>
      <w:r w:rsidRPr="00255358">
        <w:rPr>
          <w:spacing w:val="-6"/>
        </w:rPr>
        <w:t xml:space="preserve"> </w:t>
      </w:r>
      <w:r w:rsidRPr="00255358">
        <w:t>fallopian</w:t>
      </w:r>
      <w:r w:rsidRPr="00255358">
        <w:rPr>
          <w:spacing w:val="-4"/>
        </w:rPr>
        <w:t xml:space="preserve"> </w:t>
      </w:r>
      <w:r w:rsidRPr="00255358">
        <w:t>tube</w:t>
      </w:r>
      <w:r w:rsidRPr="00255358">
        <w:rPr>
          <w:spacing w:val="-6"/>
        </w:rPr>
        <w:t xml:space="preserve"> </w:t>
      </w:r>
      <w:r w:rsidRPr="00255358">
        <w:t>cancer</w:t>
      </w:r>
      <w:r w:rsidR="0022044E" w:rsidRPr="00255358">
        <w:t xml:space="preserve">. </w:t>
      </w:r>
      <w:proofErr w:type="spellStart"/>
      <w:proofErr w:type="gramStart"/>
      <w:r w:rsidRPr="00255358">
        <w:rPr>
          <w:vertAlign w:val="superscript"/>
        </w:rPr>
        <w:t>b</w:t>
      </w:r>
      <w:r w:rsidRPr="00255358">
        <w:t>Bevacizumab</w:t>
      </w:r>
      <w:proofErr w:type="spellEnd"/>
      <w:proofErr w:type="gramEnd"/>
      <w:r w:rsidRPr="00255358">
        <w:rPr>
          <w:spacing w:val="-5"/>
        </w:rPr>
        <w:t xml:space="preserve"> </w:t>
      </w:r>
      <w:r w:rsidRPr="00255358">
        <w:t>monotherapy</w:t>
      </w:r>
      <w:r w:rsidRPr="00255358">
        <w:rPr>
          <w:spacing w:val="-6"/>
        </w:rPr>
        <w:t xml:space="preserve"> </w:t>
      </w:r>
      <w:r w:rsidRPr="00255358">
        <w:t>permitted</w:t>
      </w:r>
      <w:r w:rsidRPr="00255358">
        <w:rPr>
          <w:spacing w:val="-5"/>
        </w:rPr>
        <w:t xml:space="preserve"> </w:t>
      </w:r>
      <w:r w:rsidRPr="00255358">
        <w:t>on</w:t>
      </w:r>
      <w:r w:rsidRPr="00255358">
        <w:rPr>
          <w:spacing w:val="-4"/>
        </w:rPr>
        <w:t xml:space="preserve"> </w:t>
      </w:r>
      <w:r w:rsidRPr="00255358">
        <w:t>clear</w:t>
      </w:r>
      <w:r w:rsidRPr="00255358">
        <w:rPr>
          <w:spacing w:val="-7"/>
        </w:rPr>
        <w:t xml:space="preserve"> </w:t>
      </w:r>
      <w:r w:rsidRPr="00255358">
        <w:t>evidence</w:t>
      </w:r>
      <w:r w:rsidRPr="00255358">
        <w:rPr>
          <w:spacing w:val="-5"/>
        </w:rPr>
        <w:t xml:space="preserve"> </w:t>
      </w:r>
      <w:r w:rsidRPr="00255358">
        <w:t>of</w:t>
      </w:r>
      <w:r w:rsidRPr="00255358">
        <w:rPr>
          <w:spacing w:val="-5"/>
        </w:rPr>
        <w:t xml:space="preserve"> </w:t>
      </w:r>
      <w:r w:rsidRPr="00255358">
        <w:t>disease</w:t>
      </w:r>
      <w:r w:rsidR="00897A00" w:rsidRPr="00255358">
        <w:t xml:space="preserve"> </w:t>
      </w:r>
      <w:r w:rsidR="0022044E" w:rsidRPr="00255358">
        <w:t>p</w:t>
      </w:r>
      <w:r w:rsidRPr="00255358">
        <w:t>rogression</w:t>
      </w:r>
      <w:r w:rsidRPr="00255358">
        <w:rPr>
          <w:spacing w:val="65"/>
          <w:w w:val="99"/>
        </w:rPr>
        <w:t xml:space="preserve"> </w:t>
      </w:r>
      <w:r w:rsidRPr="00255358">
        <w:t>Stratification</w:t>
      </w:r>
      <w:r w:rsidRPr="00255358">
        <w:rPr>
          <w:spacing w:val="-18"/>
        </w:rPr>
        <w:t xml:space="preserve"> </w:t>
      </w:r>
      <w:r w:rsidRPr="00255358">
        <w:t>factors:</w:t>
      </w:r>
      <w:r w:rsidR="00780E55" w:rsidRPr="00255358">
        <w:t xml:space="preserve"> </w:t>
      </w:r>
      <w:r w:rsidRPr="00255358">
        <w:t>Chemotherapy</w:t>
      </w:r>
      <w:r w:rsidRPr="00255358">
        <w:rPr>
          <w:spacing w:val="-20"/>
        </w:rPr>
        <w:t xml:space="preserve"> </w:t>
      </w:r>
      <w:r w:rsidRPr="00255358">
        <w:t>selected</w:t>
      </w:r>
      <w:r w:rsidR="00780E55" w:rsidRPr="00255358">
        <w:t xml:space="preserve">, </w:t>
      </w:r>
      <w:r w:rsidRPr="00255358">
        <w:t>Prior anti-</w:t>
      </w:r>
      <w:proofErr w:type="spellStart"/>
      <w:r w:rsidRPr="00255358">
        <w:t>angiogenic</w:t>
      </w:r>
      <w:proofErr w:type="spellEnd"/>
      <w:r w:rsidRPr="00255358">
        <w:t xml:space="preserve"> therapy</w:t>
      </w:r>
      <w:r w:rsidR="00780E55" w:rsidRPr="00255358">
        <w:t xml:space="preserve">, </w:t>
      </w:r>
      <w:r w:rsidRPr="00255358">
        <w:t xml:space="preserve">Platinum-free interval (&lt;3 </w:t>
      </w:r>
      <w:r w:rsidR="000F70F6" w:rsidRPr="00255358">
        <w:t>versus</w:t>
      </w:r>
      <w:r w:rsidRPr="00255358">
        <w:t xml:space="preserve"> 3-6 months from previous platinum to</w:t>
      </w:r>
      <w:r w:rsidR="00255358" w:rsidRPr="00255358">
        <w:t xml:space="preserve"> </w:t>
      </w:r>
      <w:r w:rsidRPr="00255358">
        <w:t>subsequent PD)</w:t>
      </w:r>
      <w:r w:rsidR="00255358" w:rsidRPr="00255358">
        <w:t>. C</w:t>
      </w:r>
      <w:r w:rsidRPr="00255358">
        <w:t>hemotherapy options (investigator’s choice):</w:t>
      </w:r>
      <w:r w:rsidR="00780E55" w:rsidRPr="00255358">
        <w:t xml:space="preserve"> </w:t>
      </w:r>
      <w:r w:rsidRPr="00255358">
        <w:t>Paclitaxel 80 mg/m</w:t>
      </w:r>
      <w:r w:rsidRPr="00255358">
        <w:rPr>
          <w:vertAlign w:val="superscript"/>
        </w:rPr>
        <w:t>2</w:t>
      </w:r>
      <w:r w:rsidRPr="00255358">
        <w:t>; Days 1, 8, 15, 22 q4w</w:t>
      </w:r>
      <w:r w:rsidR="00780E55" w:rsidRPr="00255358">
        <w:t xml:space="preserve"> </w:t>
      </w:r>
      <w:proofErr w:type="spellStart"/>
      <w:r w:rsidRPr="00255358">
        <w:t>Topotecan</w:t>
      </w:r>
      <w:proofErr w:type="spellEnd"/>
      <w:r w:rsidRPr="00255358">
        <w:t xml:space="preserve"> 4 mg/m</w:t>
      </w:r>
      <w:r w:rsidRPr="00255358">
        <w:rPr>
          <w:vertAlign w:val="superscript"/>
        </w:rPr>
        <w:t>2</w:t>
      </w:r>
      <w:r w:rsidRPr="00255358">
        <w:t>; Days 1, 8, 15 q4w (or 1.25 mg/m</w:t>
      </w:r>
      <w:r w:rsidRPr="00255358">
        <w:rPr>
          <w:vertAlign w:val="superscript"/>
        </w:rPr>
        <w:t>2</w:t>
      </w:r>
      <w:r w:rsidRPr="00255358">
        <w:t>; Days 1-5 q3w)</w:t>
      </w:r>
      <w:r w:rsidR="00780E55" w:rsidRPr="00255358">
        <w:t xml:space="preserve"> </w:t>
      </w:r>
      <w:r w:rsidRPr="00255358">
        <w:t>PLD 40 mg/m</w:t>
      </w:r>
      <w:r w:rsidRPr="00255358">
        <w:rPr>
          <w:vertAlign w:val="superscript"/>
        </w:rPr>
        <w:t>2</w:t>
      </w:r>
      <w:r w:rsidRPr="00255358">
        <w:t>; Day 1 q4w</w:t>
      </w:r>
    </w:p>
    <w:p w:rsidR="00D74E25" w:rsidRPr="00780E55" w:rsidRDefault="00341162" w:rsidP="00AD677A">
      <w:pPr>
        <w:pStyle w:val="Heading5"/>
      </w:pPr>
      <w:r>
        <w:t>Analysis populations</w:t>
      </w:r>
    </w:p>
    <w:p w:rsidR="00D74E25" w:rsidRPr="00632BB7" w:rsidRDefault="00D74E25" w:rsidP="00AD677A">
      <w:r w:rsidRPr="00632BB7">
        <w:t xml:space="preserve">ITT – all who were </w:t>
      </w:r>
      <w:proofErr w:type="gramStart"/>
      <w:r w:rsidRPr="00632BB7">
        <w:t>randomized</w:t>
      </w:r>
      <w:r w:rsidR="00AD677A">
        <w:t>.</w:t>
      </w:r>
      <w:proofErr w:type="gramEnd"/>
    </w:p>
    <w:p w:rsidR="00D74E25" w:rsidRPr="00632BB7" w:rsidRDefault="00D74E25" w:rsidP="00AD677A">
      <w:r w:rsidRPr="00632BB7">
        <w:t xml:space="preserve">HRQoL – all who completed baseline and at least one post-baseline </w:t>
      </w:r>
      <w:proofErr w:type="gramStart"/>
      <w:r w:rsidRPr="00632BB7">
        <w:t>assessment</w:t>
      </w:r>
      <w:r w:rsidR="00AD677A">
        <w:t>.</w:t>
      </w:r>
      <w:proofErr w:type="gramEnd"/>
    </w:p>
    <w:p w:rsidR="00D74E25" w:rsidRPr="00632BB7" w:rsidRDefault="00D74E25" w:rsidP="00AD677A">
      <w:r w:rsidRPr="00632BB7">
        <w:t xml:space="preserve">Safety – any dose of either chemo or </w:t>
      </w:r>
      <w:proofErr w:type="spellStart"/>
      <w:r w:rsidRPr="00632BB7">
        <w:t>bevacizumab</w:t>
      </w:r>
      <w:proofErr w:type="spellEnd"/>
      <w:r w:rsidR="00AD677A">
        <w:t>.</w:t>
      </w:r>
    </w:p>
    <w:p w:rsidR="00AD561C" w:rsidRPr="00AD677A" w:rsidRDefault="00D74E25" w:rsidP="00AD677A">
      <w:pPr>
        <w:rPr>
          <w:b/>
        </w:rPr>
      </w:pPr>
      <w:r w:rsidRPr="00AD677A">
        <w:rPr>
          <w:b/>
        </w:rPr>
        <w:t>Delegate comment:</w:t>
      </w:r>
    </w:p>
    <w:p w:rsidR="00D74E25" w:rsidRPr="00632BB7" w:rsidRDefault="00255358" w:rsidP="008037E0">
      <w:pPr>
        <w:ind w:left="720"/>
      </w:pPr>
      <w:r>
        <w:t>T</w:t>
      </w:r>
      <w:r w:rsidR="00D74E25" w:rsidRPr="00632BB7">
        <w:t>here was no Per Protocol population</w:t>
      </w:r>
      <w:r>
        <w:t xml:space="preserve">, so it is not known how many </w:t>
      </w:r>
      <w:r w:rsidR="008037E0">
        <w:t xml:space="preserve">patients were lost or </w:t>
      </w:r>
      <w:r w:rsidR="00D74E25">
        <w:t>key endpoint data were missing in each of the arms.</w:t>
      </w:r>
    </w:p>
    <w:p w:rsidR="00D74E25" w:rsidRPr="00420F28" w:rsidRDefault="00D74E25" w:rsidP="00865456">
      <w:proofErr w:type="gramStart"/>
      <w:r w:rsidRPr="002B2DCC">
        <w:rPr>
          <w:i/>
        </w:rPr>
        <w:lastRenderedPageBreak/>
        <w:t>Cross-over to BV monotherapy from CT arm.</w:t>
      </w:r>
      <w:proofErr w:type="gramEnd"/>
      <w:r>
        <w:t xml:space="preserve"> The</w:t>
      </w:r>
      <w:r w:rsidRPr="00632BB7">
        <w:t xml:space="preserve"> strict criteria governing cross-over, mostly to select patients fit for further treatment with BV, which would also potentially have biased the results in that only those who were more fit would have been allowed to cross over. N</w:t>
      </w:r>
      <w:r w:rsidR="00780E55">
        <w:t>ote:</w:t>
      </w:r>
      <w:r w:rsidRPr="00632BB7">
        <w:t xml:space="preserve"> </w:t>
      </w:r>
      <w:proofErr w:type="spellStart"/>
      <w:r w:rsidRPr="00632BB7">
        <w:t>Bevacizumab</w:t>
      </w:r>
      <w:proofErr w:type="spellEnd"/>
      <w:r w:rsidRPr="00632BB7">
        <w:t xml:space="preserve"> monotherapy also occurred in the CT+BV arm when chemotherapy was discontinued due to toxicity but in an unknown number and these cases were not captured or analysed separately as monotherapy.</w:t>
      </w:r>
      <w:bookmarkStart w:id="175" w:name="1._OVERVIEW"/>
      <w:bookmarkStart w:id="176" w:name="1.1_BACKGROUND"/>
      <w:bookmarkStart w:id="177" w:name="Figure_1_MO22224_Study_Design"/>
      <w:bookmarkStart w:id="178" w:name="CSR_MO22224_(IRC_Addendum).pdf|8"/>
      <w:bookmarkStart w:id="179" w:name="bookmark0"/>
      <w:bookmarkEnd w:id="175"/>
      <w:bookmarkEnd w:id="176"/>
      <w:bookmarkEnd w:id="177"/>
      <w:bookmarkEnd w:id="178"/>
      <w:bookmarkEnd w:id="179"/>
    </w:p>
    <w:p w:rsidR="00865456" w:rsidRPr="00865456" w:rsidRDefault="00D74E25" w:rsidP="00865456">
      <w:pPr>
        <w:pStyle w:val="Heading5"/>
      </w:pPr>
      <w:r w:rsidRPr="00865456">
        <w:rPr>
          <w:rFonts w:eastAsia="Cambria"/>
        </w:rPr>
        <w:t>Primary objective</w:t>
      </w:r>
    </w:p>
    <w:p w:rsidR="00D74E25" w:rsidRDefault="00D74E25" w:rsidP="00865456">
      <w:r w:rsidRPr="0038247B">
        <w:rPr>
          <w:rFonts w:cs="ArialMT"/>
          <w:b/>
        </w:rPr>
        <w:t>Progression Free Survival (PFS</w:t>
      </w:r>
      <w:r w:rsidRPr="00632BB7">
        <w:rPr>
          <w:rFonts w:cs="ArialMT"/>
        </w:rPr>
        <w:t xml:space="preserve">) as determined </w:t>
      </w:r>
      <w:r w:rsidRPr="00632BB7">
        <w:t xml:space="preserve">by the investigator according to RECIST Version 1.0 or by symptomatic deterioration, whichever occurred </w:t>
      </w:r>
      <w:proofErr w:type="gramStart"/>
      <w:r w:rsidRPr="00632BB7">
        <w:t>first.</w:t>
      </w:r>
      <w:proofErr w:type="gramEnd"/>
      <w:r w:rsidRPr="00632BB7">
        <w:t xml:space="preserve"> C</w:t>
      </w:r>
      <w:r w:rsidR="00780E55">
        <w:t>A</w:t>
      </w:r>
      <w:r w:rsidRPr="00632BB7">
        <w:t>125 concentrations were not used to assess PD in the trial as this had not been validated in patients receiving combination therapy with a molecular targeting agent has not been validated as an in</w:t>
      </w:r>
      <w:r w:rsidR="00341162">
        <w:t>dicator of progressive disease.</w:t>
      </w:r>
    </w:p>
    <w:p w:rsidR="00865456" w:rsidRPr="00865456" w:rsidRDefault="00D74E25" w:rsidP="00865456">
      <w:pPr>
        <w:pStyle w:val="Heading5"/>
      </w:pPr>
      <w:r w:rsidRPr="00865456">
        <w:rPr>
          <w:rFonts w:eastAsia="Cambria"/>
        </w:rPr>
        <w:t>Secondary objectives</w:t>
      </w:r>
    </w:p>
    <w:p w:rsidR="00D74E25" w:rsidRPr="00632BB7" w:rsidRDefault="00D74E25" w:rsidP="00865456">
      <w:r w:rsidRPr="0038247B">
        <w:rPr>
          <w:b/>
          <w:bCs/>
        </w:rPr>
        <w:t>Objective Response Rate</w:t>
      </w:r>
      <w:r w:rsidRPr="00632BB7">
        <w:rPr>
          <w:bCs/>
        </w:rPr>
        <w:t xml:space="preserve"> </w:t>
      </w:r>
      <w:r w:rsidRPr="002B2DCC">
        <w:rPr>
          <w:b/>
          <w:bCs/>
        </w:rPr>
        <w:t>per RECIST</w:t>
      </w:r>
      <w:r w:rsidR="00780E55">
        <w:rPr>
          <w:bCs/>
        </w:rPr>
        <w:t>:</w:t>
      </w:r>
      <w:r w:rsidRPr="00632BB7">
        <w:rPr>
          <w:bCs/>
        </w:rPr>
        <w:t xml:space="preserve"> PR/CR </w:t>
      </w:r>
      <w:r w:rsidRPr="00632BB7">
        <w:t>as determined by i</w:t>
      </w:r>
      <w:r>
        <w:t>nvestigators</w:t>
      </w:r>
      <w:r w:rsidRPr="00632BB7">
        <w:t xml:space="preserve">. Best objective response was determined and confirmed as described in </w:t>
      </w:r>
      <w:r w:rsidR="00780E55">
        <w:t>Attachment 2</w:t>
      </w:r>
      <w:r w:rsidRPr="00632BB7">
        <w:t>.</w:t>
      </w:r>
    </w:p>
    <w:p w:rsidR="00865456" w:rsidRPr="00865456" w:rsidRDefault="00D74E25" w:rsidP="00865456">
      <w:pPr>
        <w:pStyle w:val="Heading5"/>
        <w:rPr>
          <w:rFonts w:eastAsia="Cambria"/>
        </w:rPr>
      </w:pPr>
      <w:r w:rsidRPr="00865456">
        <w:rPr>
          <w:rFonts w:eastAsia="Cambria"/>
        </w:rPr>
        <w:t xml:space="preserve">Duration of </w:t>
      </w:r>
      <w:r w:rsidR="00865456" w:rsidRPr="00865456">
        <w:rPr>
          <w:rFonts w:eastAsia="Cambria"/>
        </w:rPr>
        <w:t>o</w:t>
      </w:r>
      <w:r w:rsidRPr="00865456">
        <w:rPr>
          <w:rFonts w:eastAsia="Cambria"/>
        </w:rPr>
        <w:t xml:space="preserve">bjective </w:t>
      </w:r>
      <w:r w:rsidR="00865456" w:rsidRPr="00865456">
        <w:rPr>
          <w:rFonts w:eastAsia="Cambria"/>
        </w:rPr>
        <w:t>r</w:t>
      </w:r>
      <w:r w:rsidRPr="00865456">
        <w:rPr>
          <w:rFonts w:eastAsia="Cambria"/>
        </w:rPr>
        <w:t>esponse</w:t>
      </w:r>
    </w:p>
    <w:p w:rsidR="00D74E25" w:rsidRPr="00632BB7" w:rsidRDefault="00D74E25" w:rsidP="00865456">
      <w:proofErr w:type="gramStart"/>
      <w:r w:rsidRPr="00865456">
        <w:rPr>
          <w:b/>
          <w:bCs/>
        </w:rPr>
        <w:t>per</w:t>
      </w:r>
      <w:proofErr w:type="gramEnd"/>
      <w:r w:rsidRPr="00865456">
        <w:rPr>
          <w:b/>
          <w:bCs/>
        </w:rPr>
        <w:t xml:space="preserve"> RECIST</w:t>
      </w:r>
      <w:r w:rsidR="00780E55">
        <w:rPr>
          <w:bCs/>
        </w:rPr>
        <w:t>:</w:t>
      </w:r>
      <w:r w:rsidRPr="00632BB7">
        <w:rPr>
          <w:bCs/>
        </w:rPr>
        <w:t xml:space="preserve"> </w:t>
      </w:r>
      <w:r w:rsidRPr="00632BB7">
        <w:t>For randomi</w:t>
      </w:r>
      <w:r w:rsidR="00780E55">
        <w:t>s</w:t>
      </w:r>
      <w:r w:rsidRPr="00632BB7">
        <w:t>ed patients who achieved an</w:t>
      </w:r>
      <w:r>
        <w:t xml:space="preserve"> objective response per RECIST = </w:t>
      </w:r>
      <w:r w:rsidRPr="00632BB7">
        <w:t xml:space="preserve">date of the first occurrence of a CR or PR (whichever occurred first) until the date that PD or death was documented (whichever occurred first). </w:t>
      </w:r>
      <w:r>
        <w:t xml:space="preserve">The </w:t>
      </w:r>
      <w:r w:rsidRPr="00632BB7">
        <w:t xml:space="preserve">duration of objective response was not censored at the start of </w:t>
      </w:r>
      <w:r w:rsidR="00780E55" w:rsidRPr="00C2083E">
        <w:t>non</w:t>
      </w:r>
      <w:r w:rsidR="00780E55" w:rsidRPr="00C2083E">
        <w:rPr>
          <w:rFonts w:hint="eastAsia"/>
        </w:rPr>
        <w:t>−</w:t>
      </w:r>
      <w:r w:rsidR="00780E55" w:rsidRPr="00C2083E">
        <w:t xml:space="preserve">protocol specified anticancer therapy </w:t>
      </w:r>
      <w:r w:rsidR="00780E55">
        <w:t>(</w:t>
      </w:r>
      <w:r w:rsidRPr="00632BB7">
        <w:t>NPT</w:t>
      </w:r>
      <w:r w:rsidR="00780E55">
        <w:t>)</w:t>
      </w:r>
      <w:r w:rsidRPr="00632BB7">
        <w:t xml:space="preserve"> or crossover to </w:t>
      </w:r>
      <w:proofErr w:type="spellStart"/>
      <w:r w:rsidRPr="00632BB7">
        <w:t>bevacizumab</w:t>
      </w:r>
      <w:proofErr w:type="spellEnd"/>
      <w:r w:rsidRPr="00632BB7">
        <w:t xml:space="preserve"> monotherapy before disease progression.</w:t>
      </w:r>
    </w:p>
    <w:p w:rsidR="00865456" w:rsidRPr="00865456" w:rsidRDefault="00D74E25" w:rsidP="00865456">
      <w:pPr>
        <w:pStyle w:val="Heading5"/>
        <w:rPr>
          <w:rFonts w:eastAsia="Cambria"/>
        </w:rPr>
      </w:pPr>
      <w:r w:rsidRPr="00865456">
        <w:rPr>
          <w:rFonts w:eastAsia="Cambria"/>
        </w:rPr>
        <w:t xml:space="preserve">Overall </w:t>
      </w:r>
      <w:r w:rsidR="00865456" w:rsidRPr="00865456">
        <w:rPr>
          <w:rFonts w:eastAsia="Cambria"/>
        </w:rPr>
        <w:t>s</w:t>
      </w:r>
      <w:r w:rsidRPr="00865456">
        <w:rPr>
          <w:rFonts w:eastAsia="Cambria"/>
        </w:rPr>
        <w:t>urvival (OS)</w:t>
      </w:r>
    </w:p>
    <w:p w:rsidR="00865456" w:rsidRDefault="00D74E25" w:rsidP="00865456">
      <w:r w:rsidRPr="00632BB7">
        <w:rPr>
          <w:bCs/>
        </w:rPr>
        <w:t xml:space="preserve"> </w:t>
      </w:r>
      <w:r>
        <w:rPr>
          <w:bCs/>
        </w:rPr>
        <w:t>=</w:t>
      </w:r>
      <w:r w:rsidRPr="00632BB7">
        <w:t xml:space="preserve"> time from randomi</w:t>
      </w:r>
      <w:r w:rsidR="00780E55">
        <w:t>s</w:t>
      </w:r>
      <w:r w:rsidR="00865456">
        <w:t>ation to death from any cause.</w:t>
      </w:r>
    </w:p>
    <w:p w:rsidR="00D74E25" w:rsidRPr="00632BB7" w:rsidRDefault="00D74E25" w:rsidP="00865456">
      <w:pPr>
        <w:rPr>
          <w:kern w:val="16"/>
        </w:rPr>
      </w:pPr>
      <w:r w:rsidRPr="00632BB7">
        <w:t xml:space="preserve">Health-Related Quality of Life (HRQoL) Measurements - The HRQoL instruments used to assess </w:t>
      </w:r>
      <w:proofErr w:type="spellStart"/>
      <w:r w:rsidRPr="00632BB7">
        <w:t>HRQoL</w:t>
      </w:r>
      <w:proofErr w:type="spellEnd"/>
      <w:r w:rsidRPr="00632BB7">
        <w:t xml:space="preserve"> were</w:t>
      </w:r>
      <w:r w:rsidR="00341162">
        <w:t>:</w:t>
      </w:r>
    </w:p>
    <w:p w:rsidR="00D74E25" w:rsidRPr="00632BB7" w:rsidRDefault="00D74E25" w:rsidP="00865456">
      <w:pPr>
        <w:pStyle w:val="ListBullet"/>
      </w:pPr>
      <w:r w:rsidRPr="00632BB7">
        <w:t>The symptom and functional scales, and Global Health Status (GHS)/QoL scale of EORTC QLQ-C30</w:t>
      </w:r>
    </w:p>
    <w:p w:rsidR="00D74E25" w:rsidRPr="00632BB7" w:rsidRDefault="00D74E25" w:rsidP="00865456">
      <w:pPr>
        <w:pStyle w:val="ListBullet"/>
      </w:pPr>
      <w:r w:rsidRPr="00632BB7">
        <w:t>European Organization for Research and Treatment of Cancer (EORTC) Quality-of-Life Questionnaire (QLQ) ovarian cancer module with 28 items (OV28)</w:t>
      </w:r>
    </w:p>
    <w:p w:rsidR="00D74E25" w:rsidRPr="00632BB7" w:rsidRDefault="00D74E25" w:rsidP="00865456">
      <w:pPr>
        <w:pStyle w:val="ListBullet"/>
      </w:pPr>
      <w:r w:rsidRPr="00632BB7">
        <w:t>Total score from the National Comprehensive Cancer Network (NCCN)/FA</w:t>
      </w:r>
      <w:r w:rsidR="00341162">
        <w:t>CT Ovarian Symptom Index (FOSI)</w:t>
      </w:r>
    </w:p>
    <w:p w:rsidR="00D74E25" w:rsidRPr="00632BB7" w:rsidRDefault="00D74E25" w:rsidP="00865456">
      <w:pPr>
        <w:pStyle w:val="ListBullet"/>
      </w:pPr>
      <w:r w:rsidRPr="00632BB7">
        <w:t xml:space="preserve">The depression and anxiety scale from the Hospital </w:t>
      </w:r>
      <w:r w:rsidR="00341162">
        <w:t>Anxiety Depression Scale (HADS)</w:t>
      </w:r>
    </w:p>
    <w:p w:rsidR="00AD561C" w:rsidRPr="00865456" w:rsidRDefault="00D74E25" w:rsidP="00865456">
      <w:pPr>
        <w:rPr>
          <w:b/>
        </w:rPr>
      </w:pPr>
      <w:r w:rsidRPr="00865456">
        <w:rPr>
          <w:b/>
        </w:rPr>
        <w:t>Delegate comment:</w:t>
      </w:r>
    </w:p>
    <w:p w:rsidR="00D74E25" w:rsidRPr="0038247B" w:rsidRDefault="00D74E25" w:rsidP="00865456">
      <w:pPr>
        <w:ind w:left="720"/>
        <w:rPr>
          <w:b/>
        </w:rPr>
      </w:pPr>
      <w:r w:rsidRPr="00AC5BAB">
        <w:t xml:space="preserve">Statistical analysis plan amendments were made at very late stages </w:t>
      </w:r>
      <w:r w:rsidR="00780E55">
        <w:t>for example</w:t>
      </w:r>
      <w:r w:rsidRPr="00AC5BAB">
        <w:t xml:space="preserve"> 1 month after the closure of the database when the outcomes for some parameters would be known</w:t>
      </w:r>
      <w:r>
        <w:t xml:space="preserve"> </w:t>
      </w:r>
      <w:r w:rsidR="00780E55">
        <w:t>for example</w:t>
      </w:r>
      <w:r>
        <w:t xml:space="preserve"> quality of life data</w:t>
      </w:r>
      <w:r w:rsidRPr="00AC5BAB">
        <w:t xml:space="preserve">. While most changes would have no effect on the outcomes, the </w:t>
      </w:r>
      <w:r w:rsidR="00780E55" w:rsidRPr="00AC5BAB">
        <w:t xml:space="preserve">clinical evaluator </w:t>
      </w:r>
      <w:r w:rsidRPr="00AC5BAB">
        <w:t>noted the potential for bias to have occurred when post hoc making</w:t>
      </w:r>
      <w:r>
        <w:t xml:space="preserve"> selected</w:t>
      </w:r>
      <w:r w:rsidRPr="00AC5BAB">
        <w:t xml:space="preserve"> patient reported outcomes (PROs) a secondary outcome, and </w:t>
      </w:r>
      <w:r>
        <w:t>the remainder exploratory</w:t>
      </w:r>
      <w:r w:rsidRPr="00AC5BAB">
        <w:t>. This is particularly so, when the selected questions focus</w:t>
      </w:r>
      <w:r>
        <w:t>ing</w:t>
      </w:r>
      <w:r w:rsidRPr="00AC5BAB">
        <w:t xml:space="preserve"> on abdominal symptoms</w:t>
      </w:r>
      <w:r>
        <w:t xml:space="preserve"> from one QoL questionnaire (EORTC-OV28) were made a secondary outcome and all other parts of that questionnaire and outcomes from the other three tools were relegated to being exploratory only. This amendment</w:t>
      </w:r>
      <w:r w:rsidRPr="00AC5BAB">
        <w:t xml:space="preserve"> </w:t>
      </w:r>
      <w:r>
        <w:t>specifies examining only</w:t>
      </w:r>
      <w:r w:rsidRPr="00AC5BAB">
        <w:t xml:space="preserve"> a change in the disease-related symptoms from treatment</w:t>
      </w:r>
      <w:r>
        <w:t xml:space="preserve"> (which may have been known at the time of the amendment)</w:t>
      </w:r>
      <w:r w:rsidRPr="00AC5BAB">
        <w:t xml:space="preserve"> but </w:t>
      </w:r>
      <w:r>
        <w:t xml:space="preserve">will </w:t>
      </w:r>
      <w:r w:rsidRPr="00AC5BAB">
        <w:t>miss other quality of life issues that may arise from complications of the treatment (</w:t>
      </w:r>
      <w:r w:rsidR="00780E55">
        <w:t>such as</w:t>
      </w:r>
      <w:r w:rsidRPr="00AC5BAB">
        <w:t xml:space="preserve"> </w:t>
      </w:r>
      <w:r w:rsidR="00780E55">
        <w:t>deep vein thrombosis (</w:t>
      </w:r>
      <w:r w:rsidRPr="00AC5BAB">
        <w:t>DVT</w:t>
      </w:r>
      <w:r w:rsidR="00780E55">
        <w:t>) or</w:t>
      </w:r>
      <w:r>
        <w:t xml:space="preserve"> fatigue</w:t>
      </w:r>
      <w:r w:rsidRPr="00AC5BAB">
        <w:t>). The justification of this being done to be more likely to meet</w:t>
      </w:r>
      <w:r w:rsidR="00B51A1A">
        <w:t xml:space="preserve"> </w:t>
      </w:r>
      <w:r w:rsidR="0024121F">
        <w:t xml:space="preserve">the </w:t>
      </w:r>
      <w:r w:rsidR="00B51A1A">
        <w:lastRenderedPageBreak/>
        <w:t>‘</w:t>
      </w:r>
      <w:r w:rsidRPr="00AC5BAB">
        <w:t>expectations of Regulatory Agencies</w:t>
      </w:r>
      <w:r w:rsidR="00B51A1A">
        <w:t>’</w:t>
      </w:r>
      <w:r w:rsidR="00780E55">
        <w:t xml:space="preserve"> </w:t>
      </w:r>
      <w:r w:rsidRPr="00AC5BAB">
        <w:t xml:space="preserve">reinforces this concern identified by the </w:t>
      </w:r>
      <w:r w:rsidR="00780E55" w:rsidRPr="00AC5BAB">
        <w:t>clinical evaluator</w:t>
      </w:r>
      <w:r w:rsidR="00341162">
        <w:t>.</w:t>
      </w:r>
    </w:p>
    <w:p w:rsidR="00D74E25" w:rsidRPr="00A72F10" w:rsidRDefault="00D74E25" w:rsidP="00865456">
      <w:bookmarkStart w:id="180" w:name="_Toc290846278"/>
      <w:bookmarkStart w:id="181" w:name="_Toc290888815"/>
      <w:bookmarkStart w:id="182" w:name="_Toc371611811"/>
      <w:bookmarkStart w:id="183" w:name="_Toc371612393"/>
      <w:bookmarkStart w:id="184" w:name="_Toc371612657"/>
      <w:bookmarkStart w:id="185" w:name="_Toc371613188"/>
      <w:r w:rsidRPr="00780E55">
        <w:rPr>
          <w:i/>
        </w:rPr>
        <w:t>Baseline demographics</w:t>
      </w:r>
      <w:r w:rsidRPr="00A72F10">
        <w:t xml:space="preserve"> were balanced (and the majority of subjects had primary ovarian carcinoma</w:t>
      </w:r>
      <w:r>
        <w:t xml:space="preserve"> </w:t>
      </w:r>
      <w:r w:rsidRPr="00A72F10">
        <w:t xml:space="preserve">(90%), most commonly serous epithelial carcinoma, most were FIGO Stage IIIC (55.2%), with the second most common FIGO Stage IV (26.2%). The majority (62.4%) of tumours were histologic Grade 3 (poorly differentiated). Most subjects had measurable disease at baseline (79.2%) and baseline CA-125 levels </w:t>
      </w:r>
      <w:r w:rsidR="00780E55">
        <w:rPr>
          <w:rFonts w:eastAsia="SymbolMT" w:cs="SymbolMT"/>
        </w:rPr>
        <w:t>≥</w:t>
      </w:r>
      <w:r w:rsidRPr="00A72F10">
        <w:t xml:space="preserve">2 </w:t>
      </w:r>
      <w:r w:rsidRPr="00A72F10">
        <w:rPr>
          <w:rFonts w:eastAsia="SymbolMT" w:cs="SymbolMT"/>
        </w:rPr>
        <w:t xml:space="preserve">× </w:t>
      </w:r>
      <w:r w:rsidR="00780E55">
        <w:rPr>
          <w:rFonts w:eastAsia="SymbolMT" w:cs="SymbolMT"/>
        </w:rPr>
        <w:t>upper limit of normal (</w:t>
      </w:r>
      <w:r w:rsidRPr="00A72F10">
        <w:t>ULN</w:t>
      </w:r>
      <w:r w:rsidR="00780E55">
        <w:t>)</w:t>
      </w:r>
      <w:r w:rsidRPr="00A72F10">
        <w:t xml:space="preserve"> (87.0%).</w:t>
      </w:r>
      <w:r w:rsidR="00B51A1A">
        <w:t xml:space="preserve"> </w:t>
      </w:r>
      <w:r w:rsidRPr="00A72F10">
        <w:t>Approximately one-third of randomized patients h</w:t>
      </w:r>
      <w:r w:rsidR="00341162">
        <w:t>ad ascites at baseline (31.3%).</w:t>
      </w:r>
    </w:p>
    <w:p w:rsidR="00D74E25" w:rsidRPr="00AC5BAB" w:rsidRDefault="00D74E25" w:rsidP="00865456">
      <w:r w:rsidRPr="00780E55">
        <w:rPr>
          <w:i/>
        </w:rPr>
        <w:t>Previous Treatment and Procedures</w:t>
      </w:r>
      <w:r w:rsidRPr="00A72F10">
        <w:t xml:space="preserve">: </w:t>
      </w:r>
      <w:r>
        <w:t>All</w:t>
      </w:r>
      <w:r w:rsidR="00780E55">
        <w:t xml:space="preserve"> randomis</w:t>
      </w:r>
      <w:r w:rsidRPr="00AC5BAB">
        <w:t xml:space="preserve">ed patients had received first-line platinum-based chemotherapy treatment for ovarian cancer. </w:t>
      </w:r>
      <w:r w:rsidRPr="00A72F10">
        <w:t>Most patients had a PFI of 3</w:t>
      </w:r>
      <w:r w:rsidR="00780E55">
        <w:t xml:space="preserve"> to </w:t>
      </w:r>
      <w:r w:rsidRPr="00A72F10">
        <w:t xml:space="preserve">6 months (72.6%) compared with a PFI of </w:t>
      </w:r>
      <w:r w:rsidRPr="00A72F10">
        <w:rPr>
          <w:rFonts w:eastAsia="SymbolMT" w:cs="SymbolMT"/>
        </w:rPr>
        <w:t>&lt;</w:t>
      </w:r>
      <w:r w:rsidRPr="00A72F10">
        <w:t>3 months (27.4%).</w:t>
      </w:r>
      <w:r>
        <w:t xml:space="preserve"> </w:t>
      </w:r>
      <w:r w:rsidRPr="00AC5BAB">
        <w:t>87% of all randomi</w:t>
      </w:r>
      <w:r w:rsidR="00780E55">
        <w:t>s</w:t>
      </w:r>
      <w:r w:rsidRPr="00AC5BAB">
        <w:t>ed patients had received initial surgical management for their ovarian cancer</w:t>
      </w:r>
      <w:r w:rsidR="00780E55">
        <w:t>. Less than half of all randomis</w:t>
      </w:r>
      <w:r w:rsidRPr="00AC5BAB">
        <w:t xml:space="preserve">ed patients (CT: 42.9% </w:t>
      </w:r>
      <w:r w:rsidR="000F70F6">
        <w:t>versus</w:t>
      </w:r>
      <w:r w:rsidRPr="00AC5BAB">
        <w:t xml:space="preserve"> CT+BV: 40.2%) had received second-line chemotherapy treatment. Of these patients, the majority (88.0%) had received a platinum-based regimen.</w:t>
      </w:r>
    </w:p>
    <w:p w:rsidR="00D74E25" w:rsidRPr="00AC5BAB" w:rsidRDefault="00D74E25" w:rsidP="00865456">
      <w:r w:rsidRPr="00AC5BAB">
        <w:t>7.5% had received prior anti</w:t>
      </w:r>
      <w:r>
        <w:t>-</w:t>
      </w:r>
      <w:proofErr w:type="spellStart"/>
      <w:r w:rsidRPr="00AC5BAB">
        <w:t>angiogenic</w:t>
      </w:r>
      <w:proofErr w:type="spellEnd"/>
      <w:r w:rsidRPr="00AC5BAB">
        <w:t xml:space="preserve"> therapies including </w:t>
      </w:r>
      <w:proofErr w:type="spellStart"/>
      <w:r w:rsidRPr="00AC5BAB">
        <w:t>bevacizumab</w:t>
      </w:r>
      <w:proofErr w:type="spellEnd"/>
      <w:r w:rsidRPr="00AC5BAB">
        <w:t xml:space="preserve"> at </w:t>
      </w:r>
      <w:proofErr w:type="spellStart"/>
      <w:r w:rsidRPr="00AC5BAB">
        <w:t>baselin</w:t>
      </w:r>
      <w:proofErr w:type="spellEnd"/>
      <w:r w:rsidRPr="00AC5BAB">
        <w:t>, but due to blinding in clinical trials, the treatment was not known in one third of these subjects.</w:t>
      </w:r>
    </w:p>
    <w:p w:rsidR="00AD561C" w:rsidRPr="008037E0" w:rsidRDefault="00D74E25" w:rsidP="008037E0">
      <w:pPr>
        <w:pStyle w:val="Comment1"/>
        <w:keepNext/>
        <w:keepLines/>
        <w:tabs>
          <w:tab w:val="clear" w:pos="1134"/>
        </w:tabs>
        <w:ind w:left="1985" w:hanging="1985"/>
        <w:jc w:val="both"/>
        <w:rPr>
          <w:rFonts w:ascii="Cambria" w:hAnsi="Cambria"/>
          <w:b/>
        </w:rPr>
      </w:pPr>
      <w:r w:rsidRPr="008037E0">
        <w:rPr>
          <w:rFonts w:ascii="Cambria" w:hAnsi="Cambria"/>
          <w:b/>
        </w:rPr>
        <w:t>Delegate comment:</w:t>
      </w:r>
    </w:p>
    <w:p w:rsidR="00D74E25" w:rsidRPr="00AC5BAB" w:rsidRDefault="00780E55" w:rsidP="008037E0">
      <w:pPr>
        <w:keepNext/>
        <w:keepLines/>
        <w:ind w:left="720"/>
      </w:pPr>
      <w:r>
        <w:t>T</w:t>
      </w:r>
      <w:r w:rsidR="00D74E25" w:rsidRPr="00AC5BAB">
        <w:t>he vast majority of subjects</w:t>
      </w:r>
      <w:r w:rsidR="00D74E25">
        <w:t xml:space="preserve"> (at least 92.5%)</w:t>
      </w:r>
      <w:r w:rsidR="00D74E25" w:rsidRPr="00AC5BAB">
        <w:t xml:space="preserve"> had not been previously treated with anti</w:t>
      </w:r>
      <w:r w:rsidR="00D74E25">
        <w:t>-</w:t>
      </w:r>
      <w:proofErr w:type="spellStart"/>
      <w:r w:rsidR="00D74E25" w:rsidRPr="00AC5BAB">
        <w:t>angiogenic</w:t>
      </w:r>
      <w:proofErr w:type="spellEnd"/>
      <w:r w:rsidR="00D74E25" w:rsidRPr="00AC5BAB">
        <w:t xml:space="preserve"> therapies and this needs to be reflected in the indication</w:t>
      </w:r>
      <w:r w:rsidR="00D74E25">
        <w:t xml:space="preserve">, as there are no data to support that re-treating with </w:t>
      </w:r>
      <w:proofErr w:type="spellStart"/>
      <w:r w:rsidR="00D74E25">
        <w:t>bevacizumab</w:t>
      </w:r>
      <w:proofErr w:type="spellEnd"/>
      <w:r w:rsidR="00D74E25">
        <w:t xml:space="preserve"> therapy will be efficacious.</w:t>
      </w:r>
    </w:p>
    <w:p w:rsidR="00D74E25" w:rsidRPr="00061503" w:rsidRDefault="00D74E25" w:rsidP="00865456">
      <w:pPr>
        <w:pStyle w:val="Heading5"/>
      </w:pPr>
      <w:r w:rsidRPr="00061503">
        <w:t>Results for the primary efficacy outcome</w:t>
      </w:r>
      <w:bookmarkEnd w:id="180"/>
      <w:bookmarkEnd w:id="181"/>
      <w:bookmarkEnd w:id="182"/>
      <w:bookmarkEnd w:id="183"/>
      <w:bookmarkEnd w:id="184"/>
      <w:bookmarkEnd w:id="185"/>
    </w:p>
    <w:p w:rsidR="00D74E25" w:rsidRPr="00AC5BAB" w:rsidRDefault="00D74E25" w:rsidP="00865456">
      <w:r w:rsidRPr="00AC5BAB">
        <w:t>At the time of data cut-off of the primary efficacy analysis (14 November 2011), 168 PFS events (92.3%) in the CT arm and 14</w:t>
      </w:r>
      <w:r>
        <w:t>1</w:t>
      </w:r>
      <w:r w:rsidRPr="00AC5BAB">
        <w:t xml:space="preserve"> PFS events (78.8%) in the CT+BV arm had occurred. The efficacy results for PFS were as follows, for the CT and CT+BV arms respectively:</w:t>
      </w:r>
    </w:p>
    <w:p w:rsidR="00D74E25" w:rsidRPr="00AC5BAB" w:rsidRDefault="00D74E25" w:rsidP="00865456">
      <w:r w:rsidRPr="00AC5BAB">
        <w:t>N</w:t>
      </w:r>
      <w:r w:rsidR="00780E55">
        <w:t>umber (N</w:t>
      </w:r>
      <w:r w:rsidRPr="00AC5BAB">
        <w:t>o.</w:t>
      </w:r>
      <w:r w:rsidR="00780E55">
        <w:t>)</w:t>
      </w:r>
      <w:r w:rsidRPr="00AC5BAB">
        <w:t xml:space="preserve"> (%) patients with progression:</w:t>
      </w:r>
      <w:r w:rsidR="00B51A1A">
        <w:t xml:space="preserve">  </w:t>
      </w:r>
      <w:r w:rsidRPr="00AC5BAB">
        <w:t xml:space="preserve">168 (92.3%) </w:t>
      </w:r>
      <w:r w:rsidR="00780E55">
        <w:t>compared to</w:t>
      </w:r>
      <w:r w:rsidRPr="00AC5BAB">
        <w:t xml:space="preserve"> 141 (78.8%)</w:t>
      </w:r>
    </w:p>
    <w:p w:rsidR="00D74E25" w:rsidRPr="00AC5BAB" w:rsidRDefault="00D74E25" w:rsidP="00865456">
      <w:r w:rsidRPr="00AC5BAB">
        <w:t>No. (%) patients without progression:</w:t>
      </w:r>
      <w:r w:rsidR="00B51A1A">
        <w:t xml:space="preserve"> </w:t>
      </w:r>
      <w:r w:rsidRPr="00AC5BAB">
        <w:t xml:space="preserve">14 (7.7%) </w:t>
      </w:r>
      <w:r w:rsidR="00780E55">
        <w:t>compared to</w:t>
      </w:r>
      <w:r w:rsidRPr="00AC5BAB">
        <w:t xml:space="preserve"> 38 (21.2%)</w:t>
      </w:r>
    </w:p>
    <w:p w:rsidR="00D74E25" w:rsidRPr="00AC5BAB" w:rsidRDefault="00D74E25" w:rsidP="00865456">
      <w:r w:rsidRPr="00AC5BAB">
        <w:t>Median time to</w:t>
      </w:r>
      <w:r>
        <w:t xml:space="preserve"> event, months:</w:t>
      </w:r>
      <w:r w:rsidR="00B51A1A">
        <w:t xml:space="preserve"> </w:t>
      </w:r>
      <w:r w:rsidRPr="00AC5BAB">
        <w:t>3.4 (95% CI 2.10, 3.75)</w:t>
      </w:r>
      <w:r w:rsidR="00B51A1A">
        <w:t xml:space="preserve"> </w:t>
      </w:r>
      <w:r w:rsidR="00780E55">
        <w:t>compared to</w:t>
      </w:r>
      <w:r w:rsidR="00B51A1A">
        <w:t xml:space="preserve"> </w:t>
      </w:r>
      <w:r w:rsidRPr="00AC5BAB">
        <w:t>6.7 (5.62, 7.79)</w:t>
      </w:r>
    </w:p>
    <w:p w:rsidR="00D74E25" w:rsidRPr="00AC5BAB" w:rsidRDefault="00D74E25" w:rsidP="00865456">
      <w:r w:rsidRPr="00AC5BAB">
        <w:t>Hazard Ratio, relative t</w:t>
      </w:r>
      <w:r>
        <w:t>o CT</w:t>
      </w:r>
      <w:r w:rsidR="00780E55">
        <w:t xml:space="preserve"> </w:t>
      </w:r>
      <w:r w:rsidRPr="00AC5BAB">
        <w:t>0.379(95% CI: 0.296, 0.485)</w:t>
      </w:r>
    </w:p>
    <w:p w:rsidR="00D74E25" w:rsidRPr="00AC5BAB" w:rsidRDefault="00D74E25" w:rsidP="00865456">
      <w:r w:rsidRPr="00AC5BAB">
        <w:t>Log-rank p-value</w:t>
      </w:r>
      <w:r w:rsidR="00B51A1A">
        <w:t xml:space="preserve"> </w:t>
      </w:r>
      <w:r w:rsidRPr="00AC5BAB">
        <w:t>&lt; 0.0001</w:t>
      </w:r>
    </w:p>
    <w:p w:rsidR="00D74E25" w:rsidRDefault="00D74E25" w:rsidP="00865456">
      <w:pPr>
        <w:rPr>
          <w:rFonts w:cs="Arial"/>
        </w:rPr>
      </w:pPr>
      <w:r>
        <w:t>Adding</w:t>
      </w:r>
      <w:r w:rsidRPr="00AC5BAB">
        <w:t xml:space="preserve"> </w:t>
      </w:r>
      <w:proofErr w:type="spellStart"/>
      <w:r w:rsidRPr="00AC5BAB">
        <w:t>bevacizumab</w:t>
      </w:r>
      <w:proofErr w:type="spellEnd"/>
      <w:r w:rsidRPr="00AC5BAB">
        <w:t xml:space="preserve"> to chemotherapy significantly improves PFS. Sensitivity analyses, taking into account potential impact of missing tumour assessments, discontinuation because of toxicity and non-protocol therapies including cross over to </w:t>
      </w:r>
      <w:proofErr w:type="spellStart"/>
      <w:r w:rsidRPr="00AC5BAB">
        <w:t>bevacizumab</w:t>
      </w:r>
      <w:proofErr w:type="spellEnd"/>
      <w:r w:rsidRPr="00AC5BAB">
        <w:t xml:space="preserve"> monotherapy consistently supported the primary PFS finding</w:t>
      </w:r>
      <w:r w:rsidR="00341162">
        <w:rPr>
          <w:rFonts w:cs="Arial"/>
        </w:rPr>
        <w:t>.</w:t>
      </w:r>
    </w:p>
    <w:p w:rsidR="00D74E25" w:rsidRDefault="00D74E25" w:rsidP="00865456">
      <w:pPr>
        <w:rPr>
          <w:rFonts w:cs="CourierStd"/>
        </w:rPr>
      </w:pPr>
      <w:r>
        <w:rPr>
          <w:rFonts w:cs="Arial"/>
        </w:rPr>
        <w:t>While the i</w:t>
      </w:r>
      <w:r w:rsidRPr="00AC5BAB">
        <w:rPr>
          <w:rFonts w:cs="Arial"/>
        </w:rPr>
        <w:t>ndependent review of the data</w:t>
      </w:r>
      <w:r>
        <w:rPr>
          <w:rFonts w:cs="Arial"/>
        </w:rPr>
        <w:t xml:space="preserve">, requested in the </w:t>
      </w:r>
      <w:r w:rsidR="00780E55">
        <w:rPr>
          <w:rFonts w:cs="Arial"/>
        </w:rPr>
        <w:t>TGA’s</w:t>
      </w:r>
      <w:r>
        <w:rPr>
          <w:rFonts w:cs="Arial"/>
        </w:rPr>
        <w:t xml:space="preserve"> questions,</w:t>
      </w:r>
      <w:r w:rsidRPr="00AC5BAB">
        <w:rPr>
          <w:rFonts w:cs="Arial"/>
        </w:rPr>
        <w:t xml:space="preserve"> confirmed a</w:t>
      </w:r>
      <w:r w:rsidRPr="00AC5BAB">
        <w:t xml:space="preserve"> PFS 3.9 months (95% CI: 3.4, 5.2) in the CT arm and 8.1 months (95% CI: 6.9, 9.6) in the CT+BV arm; HR of 0.484 (95</w:t>
      </w:r>
      <w:r>
        <w:t>% CI: 0.370, 0.632; p &lt; 0.0001), it failed to show</w:t>
      </w:r>
      <w:r w:rsidRPr="00B05CC9">
        <w:rPr>
          <w:rFonts w:cs="CourierStd"/>
        </w:rPr>
        <w:t xml:space="preserve"> any benefit in the PFS for patients treated with </w:t>
      </w:r>
      <w:proofErr w:type="spellStart"/>
      <w:r w:rsidRPr="00B05CC9">
        <w:rPr>
          <w:rFonts w:cs="CourierStd"/>
        </w:rPr>
        <w:t>bevacizumab</w:t>
      </w:r>
      <w:proofErr w:type="spellEnd"/>
      <w:r w:rsidRPr="00B05CC9">
        <w:rPr>
          <w:rFonts w:cs="CourierStd"/>
        </w:rPr>
        <w:t xml:space="preserve"> added to </w:t>
      </w:r>
      <w:r>
        <w:rPr>
          <w:rFonts w:cs="CourierStd"/>
        </w:rPr>
        <w:t>PLD</w:t>
      </w:r>
      <w:r w:rsidRPr="00B05CC9">
        <w:rPr>
          <w:rFonts w:cs="CourierStd"/>
        </w:rPr>
        <w:t xml:space="preserve"> chemotherapy.</w:t>
      </w:r>
      <w:r>
        <w:rPr>
          <w:rFonts w:cs="CourierStd"/>
        </w:rPr>
        <w:t xml:space="preserve"> </w:t>
      </w:r>
      <w:r w:rsidRPr="00AC5BAB">
        <w:rPr>
          <w:rFonts w:asciiTheme="minorHAnsi" w:hAnsiTheme="minorHAnsi"/>
        </w:rPr>
        <w:t xml:space="preserve">The </w:t>
      </w:r>
      <w:r>
        <w:rPr>
          <w:rFonts w:asciiTheme="minorHAnsi" w:hAnsiTheme="minorHAnsi"/>
        </w:rPr>
        <w:t>investigator</w:t>
      </w:r>
      <w:r w:rsidR="00780E55">
        <w:rPr>
          <w:rFonts w:asciiTheme="minorHAnsi" w:hAnsiTheme="minorHAnsi"/>
        </w:rPr>
        <w:t xml:space="preserve"> </w:t>
      </w:r>
      <w:r>
        <w:rPr>
          <w:rFonts w:asciiTheme="minorHAnsi" w:hAnsiTheme="minorHAnsi"/>
        </w:rPr>
        <w:t xml:space="preserve">reported </w:t>
      </w:r>
      <w:r w:rsidRPr="00AC5BAB">
        <w:rPr>
          <w:rFonts w:asciiTheme="minorHAnsi" w:hAnsiTheme="minorHAnsi"/>
        </w:rPr>
        <w:t>improvement in PFS for those on PLD/</w:t>
      </w:r>
      <w:proofErr w:type="spellStart"/>
      <w:r w:rsidRPr="00AC5BAB">
        <w:rPr>
          <w:rFonts w:asciiTheme="minorHAnsi" w:hAnsiTheme="minorHAnsi"/>
        </w:rPr>
        <w:t>bevacizumab</w:t>
      </w:r>
      <w:proofErr w:type="spellEnd"/>
      <w:r w:rsidRPr="00AC5BAB">
        <w:rPr>
          <w:rFonts w:asciiTheme="minorHAnsi" w:hAnsiTheme="minorHAnsi"/>
        </w:rPr>
        <w:t xml:space="preserve"> of 5.1 months v</w:t>
      </w:r>
      <w:r w:rsidR="00780E55">
        <w:rPr>
          <w:rFonts w:asciiTheme="minorHAnsi" w:hAnsiTheme="minorHAnsi"/>
        </w:rPr>
        <w:t>ersu</w:t>
      </w:r>
      <w:r w:rsidRPr="00AC5BAB">
        <w:rPr>
          <w:rFonts w:asciiTheme="minorHAnsi" w:hAnsiTheme="minorHAnsi"/>
        </w:rPr>
        <w:t>s 3.5 months PLD alone (HR 0.53; 95% CI 0.36, 0.77)</w:t>
      </w:r>
      <w:r>
        <w:rPr>
          <w:rFonts w:asciiTheme="minorHAnsi" w:hAnsiTheme="minorHAnsi"/>
        </w:rPr>
        <w:t xml:space="preserve"> was not supported by the independent review </w:t>
      </w:r>
      <w:r w:rsidRPr="00360070">
        <w:t>wh</w:t>
      </w:r>
      <w:r>
        <w:t xml:space="preserve">ich yielded 95% </w:t>
      </w:r>
      <w:r w:rsidRPr="00360070">
        <w:t>CI for the HR</w:t>
      </w:r>
      <w:r>
        <w:t xml:space="preserve"> of 0.46 and 1.06</w:t>
      </w:r>
      <w:r w:rsidRPr="00360070">
        <w:t>.</w:t>
      </w:r>
      <w:r w:rsidR="00B51A1A">
        <w:t xml:space="preserve"> </w:t>
      </w:r>
      <w:r>
        <w:rPr>
          <w:rFonts w:cs="CourierStd"/>
        </w:rPr>
        <w:t xml:space="preserve">This needs to be stated clearly in the PI and registration for this combination is not supported by the Delegate or the </w:t>
      </w:r>
      <w:r w:rsidR="00780E55">
        <w:rPr>
          <w:rFonts w:cs="CourierStd"/>
        </w:rPr>
        <w:t>clinical evaluator</w:t>
      </w:r>
      <w:r>
        <w:rPr>
          <w:rFonts w:cs="CourierStd"/>
        </w:rPr>
        <w:t>.</w:t>
      </w:r>
    </w:p>
    <w:p w:rsidR="00AD561C" w:rsidRPr="008037E0" w:rsidRDefault="00D74E25" w:rsidP="00451D82">
      <w:pPr>
        <w:keepNext/>
        <w:ind w:left="1985" w:hanging="1985"/>
        <w:jc w:val="both"/>
        <w:rPr>
          <w:rFonts w:cs="CourierStd"/>
          <w:b/>
        </w:rPr>
      </w:pPr>
      <w:r w:rsidRPr="008037E0">
        <w:rPr>
          <w:rFonts w:cs="CourierStd"/>
          <w:b/>
        </w:rPr>
        <w:lastRenderedPageBreak/>
        <w:t>Delegate comment:</w:t>
      </w:r>
    </w:p>
    <w:p w:rsidR="00D74E25" w:rsidRPr="00AC5BAB" w:rsidRDefault="00780E55" w:rsidP="008037E0">
      <w:pPr>
        <w:ind w:left="720"/>
      </w:pPr>
      <w:r>
        <w:t>T</w:t>
      </w:r>
      <w:r w:rsidR="00D74E25">
        <w:t>his demonstrates the importance of both undertaking and reporting the independent scan review results. The simulated independent review presented in the submitted dossier did not reveal this discordance.</w:t>
      </w:r>
    </w:p>
    <w:p w:rsidR="00D74E25" w:rsidRPr="00AC5BAB" w:rsidRDefault="00D74E25" w:rsidP="008037E0">
      <w:pPr>
        <w:ind w:left="720"/>
        <w:rPr>
          <w:rFonts w:asciiTheme="minorHAnsi" w:hAnsiTheme="minorHAnsi"/>
        </w:rPr>
      </w:pPr>
      <w:r w:rsidRPr="00AC5BAB">
        <w:rPr>
          <w:rFonts w:asciiTheme="minorHAnsi" w:hAnsiTheme="minorHAnsi"/>
        </w:rPr>
        <w:t>Subgroup analyses</w:t>
      </w:r>
      <w:r>
        <w:rPr>
          <w:rFonts w:asciiTheme="minorHAnsi" w:hAnsiTheme="minorHAnsi"/>
        </w:rPr>
        <w:t xml:space="preserve"> (other than by chemotherapy regimen)</w:t>
      </w:r>
      <w:r w:rsidRPr="00AC5BAB">
        <w:rPr>
          <w:rFonts w:asciiTheme="minorHAnsi" w:hAnsiTheme="minorHAnsi"/>
        </w:rPr>
        <w:t xml:space="preserve"> were difficult to interpret due to small numbers but two groups where no significant benefit was apparent were those with ECOG&gt;2 and those with prior anti</w:t>
      </w:r>
      <w:r>
        <w:rPr>
          <w:rFonts w:asciiTheme="minorHAnsi" w:hAnsiTheme="minorHAnsi"/>
        </w:rPr>
        <w:t>-</w:t>
      </w:r>
      <w:proofErr w:type="spellStart"/>
      <w:r w:rsidRPr="00AC5BAB">
        <w:rPr>
          <w:rFonts w:asciiTheme="minorHAnsi" w:hAnsiTheme="minorHAnsi"/>
        </w:rPr>
        <w:t>angiogenic</w:t>
      </w:r>
      <w:proofErr w:type="spellEnd"/>
      <w:r w:rsidRPr="00AC5BAB">
        <w:rPr>
          <w:rFonts w:asciiTheme="minorHAnsi" w:hAnsiTheme="minorHAnsi"/>
        </w:rPr>
        <w:t xml:space="preserve"> therapy.</w:t>
      </w:r>
    </w:p>
    <w:p w:rsidR="00D74E25" w:rsidRPr="00857C70" w:rsidRDefault="00D74E25" w:rsidP="00865456">
      <w:pPr>
        <w:pStyle w:val="Heading5"/>
      </w:pPr>
      <w:r w:rsidRPr="00857C70">
        <w:t>Other efficacy outcomes</w:t>
      </w:r>
    </w:p>
    <w:p w:rsidR="00780E55" w:rsidRDefault="00D74E25" w:rsidP="00865456">
      <w:pPr>
        <w:pStyle w:val="Heading6"/>
      </w:pPr>
      <w:r w:rsidRPr="00780E55">
        <w:rPr>
          <w:rFonts w:asciiTheme="minorHAnsi" w:hAnsiTheme="minorHAnsi"/>
        </w:rPr>
        <w:t>Overall survival</w:t>
      </w:r>
      <w:r w:rsidRPr="00AC5BAB">
        <w:rPr>
          <w:rFonts w:asciiTheme="minorHAnsi" w:hAnsiTheme="minorHAnsi"/>
        </w:rPr>
        <w:t xml:space="preserve"> (</w:t>
      </w:r>
      <w:r w:rsidR="00341162">
        <w:t>cut-off date 25 January 2013)</w:t>
      </w:r>
    </w:p>
    <w:p w:rsidR="00D74E25" w:rsidRDefault="00D74E25" w:rsidP="00865456">
      <w:r>
        <w:t>No</w:t>
      </w:r>
      <w:r w:rsidRPr="00AC5BAB">
        <w:t xml:space="preserve"> significant difference in median OS : 13.3 months (95% CI 11.89,16.43months) in the CT arm v</w:t>
      </w:r>
      <w:r w:rsidR="00780E55">
        <w:t>ersu</w:t>
      </w:r>
      <w:r w:rsidRPr="00AC5BAB">
        <w:t>s 16.6 months (95% CI 13.70,18.99</w:t>
      </w:r>
      <w:r w:rsidR="00780E55">
        <w:t xml:space="preserve"> </w:t>
      </w:r>
      <w:r w:rsidRPr="00AC5BAB">
        <w:t>months) in the CT+BV arm, with a HR (stratified) of 0.87 (CI 0.68-1.12), and a p value of 0.27 (log-rank).</w:t>
      </w:r>
    </w:p>
    <w:p w:rsidR="00D74E25" w:rsidRPr="00780E55" w:rsidRDefault="00D74E25" w:rsidP="00865456">
      <w:pPr>
        <w:pStyle w:val="Heading6"/>
      </w:pPr>
      <w:r w:rsidRPr="00780E55">
        <w:t>Cross-over</w:t>
      </w:r>
    </w:p>
    <w:p w:rsidR="00D74E25" w:rsidRPr="00AC5BAB" w:rsidRDefault="00780E55" w:rsidP="00865456">
      <w:r>
        <w:t xml:space="preserve">Some </w:t>
      </w:r>
      <w:r w:rsidR="00D74E25" w:rsidRPr="00AC5BAB">
        <w:t xml:space="preserve">72 patients crossed over from the chemotherapy alone arm due to toxicity or progression; an uncertain number of patients discontinued chemotherapy in the combined arm but continued </w:t>
      </w:r>
      <w:proofErr w:type="spellStart"/>
      <w:r w:rsidR="00D74E25" w:rsidRPr="00AC5BAB">
        <w:t>bevacizumab</w:t>
      </w:r>
      <w:proofErr w:type="spellEnd"/>
      <w:r w:rsidR="00D74E25" w:rsidRPr="00AC5BAB">
        <w:t xml:space="preserve"> as monotherapy but these patients were not captured nor analysed separately from those who continued with chemotherapy in this group.</w:t>
      </w:r>
      <w:r w:rsidR="00D74E25">
        <w:t xml:space="preserve"> Thus the potential impact of cross over is unknown. The median duration of treatment after cross over was 11.6 weeks (which may also be the interval before the first scan detecting progression).</w:t>
      </w:r>
    </w:p>
    <w:p w:rsidR="00D74E25" w:rsidRPr="00780E55" w:rsidRDefault="00D74E25" w:rsidP="00865456">
      <w:pPr>
        <w:pStyle w:val="Heading6"/>
      </w:pPr>
      <w:r w:rsidRPr="00780E55">
        <w:t xml:space="preserve">Quality of </w:t>
      </w:r>
      <w:r w:rsidR="00341162">
        <w:t>l</w:t>
      </w:r>
      <w:r w:rsidRPr="00780E55">
        <w:t>ife</w:t>
      </w:r>
    </w:p>
    <w:p w:rsidR="00D74E25" w:rsidRDefault="00D74E25" w:rsidP="00865456">
      <w:r w:rsidRPr="00AC5BAB">
        <w:t xml:space="preserve">The </w:t>
      </w:r>
      <w:r w:rsidR="00780E55" w:rsidRPr="00AC5BAB">
        <w:t xml:space="preserve">clinical evaluator </w:t>
      </w:r>
      <w:r>
        <w:t>did not accept,</w:t>
      </w:r>
      <w:r w:rsidRPr="00AC5BAB">
        <w:t xml:space="preserve"> </w:t>
      </w:r>
      <w:r>
        <w:t xml:space="preserve">on the grounds of a high risk of bias, </w:t>
      </w:r>
      <w:r w:rsidR="00B51A1A">
        <w:t>the sponsor</w:t>
      </w:r>
      <w:r w:rsidRPr="00AC5BAB">
        <w:t>’s presentation of a QoL data analysis amended to include only abdominal symptoms data (</w:t>
      </w:r>
      <w:r>
        <w:t xml:space="preserve">based on an </w:t>
      </w:r>
      <w:r w:rsidRPr="00AC5BAB">
        <w:t xml:space="preserve">amendment </w:t>
      </w:r>
      <w:r>
        <w:t xml:space="preserve">to the Statistical Analysis Plan </w:t>
      </w:r>
      <w:r w:rsidRPr="00AC5BAB">
        <w:t xml:space="preserve">made after cut-off for closure of the trial). The Delegate is in agreement that this amendment introduced significant potential for bias, as well as potentially missing the impact of </w:t>
      </w:r>
      <w:r>
        <w:t xml:space="preserve">treatment and </w:t>
      </w:r>
      <w:r w:rsidRPr="00AC5BAB">
        <w:t>adverse events</w:t>
      </w:r>
      <w:r w:rsidRPr="00F867A4">
        <w:t xml:space="preserve"> </w:t>
      </w:r>
      <w:r w:rsidRPr="00AC5BAB">
        <w:t>on general wellbeing.</w:t>
      </w:r>
    </w:p>
    <w:p w:rsidR="00D74E25" w:rsidRPr="00AC5BAB" w:rsidRDefault="00D74E25" w:rsidP="00865456">
      <w:r>
        <w:t>An additional source of bias is the open label design of the trial where patients knew what they were receiving which may have influenced their responses.</w:t>
      </w:r>
    </w:p>
    <w:p w:rsidR="00D74E25" w:rsidRPr="00AC5BAB" w:rsidRDefault="00D74E25" w:rsidP="00865456">
      <w:r>
        <w:t>However,</w:t>
      </w:r>
      <w:r w:rsidRPr="00AC5BAB">
        <w:t xml:space="preserve"> compliance was poor across all four assessment tools with missing data in more than </w:t>
      </w:r>
      <w:r>
        <w:t>50% (84/182 evaluable)</w:t>
      </w:r>
      <w:r w:rsidRPr="00AC5BAB">
        <w:t xml:space="preserve"> in the CT arm </w:t>
      </w:r>
      <w:r>
        <w:t xml:space="preserve">by </w:t>
      </w:r>
      <w:r w:rsidR="00780E55">
        <w:t>W</w:t>
      </w:r>
      <w:r>
        <w:t>eek 8/9 (the first time point for comparison with baseline)</w:t>
      </w:r>
      <w:r w:rsidRPr="00AC5BAB">
        <w:t xml:space="preserve">, </w:t>
      </w:r>
      <w:r>
        <w:t>and only 43/182 with questionnaires available in this arm at week 16/18 c</w:t>
      </w:r>
      <w:r w:rsidR="00780E55">
        <w:t>ompared to</w:t>
      </w:r>
      <w:r>
        <w:t xml:space="preserve"> 86/179 in CT+BV arm. This</w:t>
      </w:r>
      <w:r w:rsidRPr="00AC5BAB">
        <w:t xml:space="preserve"> is a</w:t>
      </w:r>
      <w:r>
        <w:t>nother</w:t>
      </w:r>
      <w:r w:rsidRPr="00AC5BAB">
        <w:t xml:space="preserve"> significant potential source of bias </w:t>
      </w:r>
      <w:r>
        <w:t>as data from those progressing were not captured</w:t>
      </w:r>
      <w:r w:rsidR="00780E55">
        <w:rPr>
          <w:rStyle w:val="FootnoteReference"/>
          <w:rFonts w:asciiTheme="minorHAnsi" w:hAnsiTheme="minorHAnsi"/>
        </w:rPr>
        <w:footnoteReference w:id="7"/>
      </w:r>
      <w:r w:rsidRPr="00AC5BAB">
        <w:t xml:space="preserve">. </w:t>
      </w:r>
      <w:r>
        <w:t xml:space="preserve">Those who discontinued due to an AE (high rate in CT+BV arm) may have experienced an improvement in QoL with discontinuation and management of symptoms. </w:t>
      </w:r>
      <w:r w:rsidRPr="00AC5BAB">
        <w:t>Thus, quality of life has not been adequately assessed and it is not possible draw any conclusi</w:t>
      </w:r>
      <w:r w:rsidR="00341162">
        <w:t>ons from the results presented.</w:t>
      </w:r>
    </w:p>
    <w:p w:rsidR="00AD561C" w:rsidRPr="008037E0" w:rsidRDefault="00D74E25" w:rsidP="00780E55">
      <w:pPr>
        <w:ind w:left="1985" w:hanging="1985"/>
        <w:jc w:val="both"/>
        <w:rPr>
          <w:rFonts w:asciiTheme="minorHAnsi" w:hAnsiTheme="minorHAnsi"/>
          <w:b/>
        </w:rPr>
      </w:pPr>
      <w:r w:rsidRPr="008037E0">
        <w:rPr>
          <w:rFonts w:asciiTheme="minorHAnsi" w:hAnsiTheme="minorHAnsi"/>
          <w:b/>
        </w:rPr>
        <w:t>Delegate comment</w:t>
      </w:r>
      <w:r w:rsidR="00780E55" w:rsidRPr="008037E0">
        <w:rPr>
          <w:rFonts w:asciiTheme="minorHAnsi" w:hAnsiTheme="minorHAnsi"/>
          <w:b/>
        </w:rPr>
        <w:t>:</w:t>
      </w:r>
    </w:p>
    <w:p w:rsidR="00D74E25" w:rsidRPr="00AC5BAB" w:rsidRDefault="00D74E25" w:rsidP="008037E0">
      <w:pPr>
        <w:ind w:left="720"/>
      </w:pPr>
      <w:r w:rsidRPr="00AC5BAB">
        <w:t>The information in Table 13 in the PI regarding quality of life needs to be removed.</w:t>
      </w:r>
    </w:p>
    <w:p w:rsidR="00D74E25" w:rsidRPr="00A72F10" w:rsidRDefault="00D74E25" w:rsidP="00865456">
      <w:pPr>
        <w:pStyle w:val="Heading6"/>
      </w:pPr>
      <w:proofErr w:type="spellStart"/>
      <w:r w:rsidRPr="00A72F10">
        <w:t>Paracentesis</w:t>
      </w:r>
      <w:proofErr w:type="spellEnd"/>
      <w:r w:rsidRPr="00A72F10">
        <w:t xml:space="preserve"> requirement</w:t>
      </w:r>
      <w:r>
        <w:t xml:space="preserve"> (exploratory endpoint)</w:t>
      </w:r>
    </w:p>
    <w:p w:rsidR="00D74E25" w:rsidRPr="00AC5BAB" w:rsidRDefault="002C4798" w:rsidP="00865456">
      <w:r>
        <w:t>One out of 59</w:t>
      </w:r>
      <w:r w:rsidR="00D74E25" w:rsidRPr="00AC5BAB">
        <w:t xml:space="preserve"> patients with ascites at baseline in the combination arm required </w:t>
      </w:r>
      <w:proofErr w:type="spellStart"/>
      <w:r w:rsidR="00D74E25" w:rsidRPr="00AC5BAB">
        <w:t>paracenteses</w:t>
      </w:r>
      <w:proofErr w:type="spellEnd"/>
      <w:r w:rsidR="00D74E25" w:rsidRPr="00AC5BAB">
        <w:t xml:space="preserve"> (&gt;1, but exact number of procedures not presented) c</w:t>
      </w:r>
      <w:r>
        <w:t>ompared to</w:t>
      </w:r>
      <w:r w:rsidR="00D74E25" w:rsidRPr="00AC5BAB">
        <w:t xml:space="preserve"> 12/54 in the CT alone arm, with half of these needing &gt;1 </w:t>
      </w:r>
      <w:proofErr w:type="spellStart"/>
      <w:r w:rsidR="00D74E25" w:rsidRPr="00AC5BAB">
        <w:t>paracentesis</w:t>
      </w:r>
      <w:proofErr w:type="spellEnd"/>
      <w:r w:rsidR="00D74E25" w:rsidRPr="00AC5BAB">
        <w:t xml:space="preserve">. It was not stated how many </w:t>
      </w:r>
      <w:r w:rsidR="00D74E25" w:rsidRPr="00AC5BAB">
        <w:lastRenderedPageBreak/>
        <w:t xml:space="preserve">of these patients had required </w:t>
      </w:r>
      <w:proofErr w:type="spellStart"/>
      <w:r w:rsidR="00D74E25" w:rsidRPr="00AC5BAB">
        <w:t>paracenteses</w:t>
      </w:r>
      <w:proofErr w:type="spellEnd"/>
      <w:r w:rsidR="00D74E25" w:rsidRPr="00AC5BAB">
        <w:t xml:space="preserve"> prior to treatment to establish a reduction in the rate as a treatment benefit.</w:t>
      </w:r>
    </w:p>
    <w:p w:rsidR="00D74E25" w:rsidRPr="00A72F10" w:rsidRDefault="00D74E25" w:rsidP="00865456">
      <w:pPr>
        <w:pStyle w:val="Heading6"/>
      </w:pPr>
      <w:r w:rsidRPr="00A72F10">
        <w:t>Objective response rate</w:t>
      </w:r>
    </w:p>
    <w:p w:rsidR="00D74E25" w:rsidRPr="00AC5BAB" w:rsidRDefault="002C4798" w:rsidP="00865456">
      <w:r>
        <w:t xml:space="preserve">Some </w:t>
      </w:r>
      <w:r w:rsidR="00D74E25">
        <w:t>79.2% had measurable disease at baseline. Of those, t</w:t>
      </w:r>
      <w:r w:rsidR="00D74E25" w:rsidRPr="00AC5BAB">
        <w:t>he ORR with combination treatment was 28.2% v</w:t>
      </w:r>
      <w:r>
        <w:t>ersu</w:t>
      </w:r>
      <w:r w:rsidR="00D74E25" w:rsidRPr="00AC5BAB">
        <w:t>s 12.5% in the CT alone group. Difference in ORRs of 15.7% (95% CI: 6.5%, 24.8%; p = 0.0007). CR was equal in both arms</w:t>
      </w:r>
      <w:r w:rsidR="00D74E25">
        <w:t xml:space="preserve"> </w:t>
      </w:r>
      <w:proofErr w:type="spellStart"/>
      <w:r w:rsidR="00D74E25">
        <w:t>ie</w:t>
      </w:r>
      <w:proofErr w:type="spellEnd"/>
      <w:r w:rsidR="00D74E25">
        <w:t xml:space="preserve"> no improvement with addition of </w:t>
      </w:r>
      <w:proofErr w:type="spellStart"/>
      <w:r w:rsidR="00D74E25">
        <w:t>bevacizumab</w:t>
      </w:r>
      <w:proofErr w:type="spellEnd"/>
      <w:r w:rsidR="00D74E25">
        <w:t>,</w:t>
      </w:r>
      <w:r w:rsidR="00D74E25" w:rsidRPr="00AC5BAB">
        <w:t xml:space="preserve"> but more subjects experienced a PR wit</w:t>
      </w:r>
      <w:r w:rsidR="00D74E25">
        <w:t xml:space="preserve">h the combination treatment. </w:t>
      </w:r>
      <w:r w:rsidR="00D74E25" w:rsidRPr="00AC5BAB">
        <w:t xml:space="preserve">ORR </w:t>
      </w:r>
      <w:r w:rsidR="00D74E25">
        <w:t>was not assessed</w:t>
      </w:r>
      <w:r w:rsidR="00D74E25" w:rsidRPr="00AC5BAB">
        <w:t xml:space="preserve"> for those who crossed over</w:t>
      </w:r>
      <w:r w:rsidR="00D74E25">
        <w:t>, nor considered separately for those in the CT+BV who discontinued only the chemotherapy component</w:t>
      </w:r>
      <w:r w:rsidR="00D74E25" w:rsidRPr="00AC5BAB">
        <w:t>.</w:t>
      </w:r>
    </w:p>
    <w:p w:rsidR="00AD561C" w:rsidRPr="008037E0" w:rsidRDefault="00D74E25" w:rsidP="002C4798">
      <w:pPr>
        <w:ind w:left="1985" w:hanging="1985"/>
        <w:jc w:val="both"/>
        <w:rPr>
          <w:rFonts w:asciiTheme="minorHAnsi" w:hAnsiTheme="minorHAnsi"/>
          <w:b/>
        </w:rPr>
      </w:pPr>
      <w:r w:rsidRPr="008037E0">
        <w:rPr>
          <w:rFonts w:asciiTheme="minorHAnsi" w:hAnsiTheme="minorHAnsi"/>
          <w:b/>
        </w:rPr>
        <w:t>Delegate comment:</w:t>
      </w:r>
    </w:p>
    <w:p w:rsidR="00D74E25" w:rsidRPr="00AC5BAB" w:rsidRDefault="002C4798" w:rsidP="008037E0">
      <w:pPr>
        <w:ind w:left="720"/>
      </w:pPr>
      <w:r w:rsidRPr="002C4798">
        <w:t>T</w:t>
      </w:r>
      <w:r w:rsidR="00D74E25" w:rsidRPr="00AC5BAB">
        <w:t xml:space="preserve">he </w:t>
      </w:r>
      <w:r w:rsidR="00D74E25">
        <w:t>failure to improve CR rates</w:t>
      </w:r>
      <w:r w:rsidR="00D74E25" w:rsidRPr="00AC5BAB">
        <w:t xml:space="preserve"> may </w:t>
      </w:r>
      <w:r w:rsidR="00D74E25">
        <w:t xml:space="preserve">well </w:t>
      </w:r>
      <w:r w:rsidR="00D74E25" w:rsidRPr="00AC5BAB">
        <w:t xml:space="preserve">explain the failure to </w:t>
      </w:r>
      <w:r w:rsidR="00D74E25">
        <w:t xml:space="preserve">effect a statistically significant improvement in OS with inclusion of </w:t>
      </w:r>
      <w:proofErr w:type="spellStart"/>
      <w:r w:rsidR="00D74E25">
        <w:t>bevacizumab</w:t>
      </w:r>
      <w:proofErr w:type="spellEnd"/>
      <w:r w:rsidR="00D74E25">
        <w:t>.</w:t>
      </w:r>
    </w:p>
    <w:p w:rsidR="00D74E25" w:rsidRPr="00A72F10" w:rsidRDefault="00D74E25" w:rsidP="00865456">
      <w:pPr>
        <w:pStyle w:val="Heading6"/>
      </w:pPr>
      <w:r w:rsidRPr="00A72F10">
        <w:t>Duration of objective response</w:t>
      </w:r>
    </w:p>
    <w:p w:rsidR="00D74E25" w:rsidRPr="00AC5BAB" w:rsidRDefault="00D74E25" w:rsidP="00865456">
      <w:r w:rsidRPr="00AC5BAB">
        <w:t>The CI overlapped and the numbers were relatively small so little can be drawn from this analysis.</w:t>
      </w:r>
    </w:p>
    <w:p w:rsidR="00D74E25" w:rsidRPr="00CB200E" w:rsidRDefault="00D74E25" w:rsidP="00865456">
      <w:pPr>
        <w:pStyle w:val="Heading5"/>
      </w:pPr>
      <w:r w:rsidRPr="00CB200E">
        <w:t>Efficacy summary</w:t>
      </w:r>
    </w:p>
    <w:p w:rsidR="00D74E25" w:rsidRPr="00AC5BAB" w:rsidRDefault="00D74E25" w:rsidP="00865456">
      <w:r>
        <w:t>Adding</w:t>
      </w:r>
      <w:r w:rsidRPr="00AC5BAB">
        <w:t xml:space="preserve"> </w:t>
      </w:r>
      <w:proofErr w:type="spellStart"/>
      <w:r w:rsidRPr="00AC5BAB">
        <w:t>bevacizumab</w:t>
      </w:r>
      <w:proofErr w:type="spellEnd"/>
      <w:r w:rsidRPr="00AC5BAB">
        <w:t xml:space="preserve"> to chemotherapy in this population</w:t>
      </w:r>
      <w:r>
        <w:t xml:space="preserve"> led to</w:t>
      </w:r>
      <w:r w:rsidRPr="00AC5BAB">
        <w:t xml:space="preserve"> a statistically significant </w:t>
      </w:r>
      <w:r>
        <w:t>increase</w:t>
      </w:r>
      <w:r w:rsidRPr="00AC5BAB">
        <w:t xml:space="preserve"> in partial response rates but no additional complete responses. This led to a statistically significant improvement in PFS</w:t>
      </w:r>
      <w:r>
        <w:t xml:space="preserve"> but did not translate into a</w:t>
      </w:r>
      <w:r w:rsidRPr="00AC5BAB">
        <w:t xml:space="preserve"> statistically significant gain in OS</w:t>
      </w:r>
      <w:r>
        <w:t xml:space="preserve">. An independent review of the scans confirmed the overall PFS findings but did not confirm that those on PLD plus </w:t>
      </w:r>
      <w:proofErr w:type="spellStart"/>
      <w:r>
        <w:t>bevacizumab</w:t>
      </w:r>
      <w:proofErr w:type="spellEnd"/>
      <w:r>
        <w:t xml:space="preserve"> had a statistically significant increase in PFS.</w:t>
      </w:r>
      <w:r w:rsidR="00B51A1A">
        <w:t xml:space="preserve"> </w:t>
      </w:r>
      <w:r w:rsidR="002C4798">
        <w:t xml:space="preserve">Some </w:t>
      </w:r>
      <w:r>
        <w:t>92.5%</w:t>
      </w:r>
      <w:r w:rsidRPr="00AC5BAB">
        <w:t xml:space="preserve"> had not had prior anti</w:t>
      </w:r>
      <w:r>
        <w:t>-</w:t>
      </w:r>
      <w:proofErr w:type="spellStart"/>
      <w:r w:rsidRPr="00AC5BAB">
        <w:t>angiogenic</w:t>
      </w:r>
      <w:proofErr w:type="spellEnd"/>
      <w:r w:rsidRPr="00AC5BAB">
        <w:t xml:space="preserve"> therapy. The quality of life data were incomplete and therefore it is not known whether this was accompanied by an improvement in quality of life, although there was a decrease in the number of patients requiring </w:t>
      </w:r>
      <w:proofErr w:type="spellStart"/>
      <w:r w:rsidRPr="00AC5BAB">
        <w:t>paracenteses</w:t>
      </w:r>
      <w:proofErr w:type="spellEnd"/>
      <w:r w:rsidRPr="00AC5BAB">
        <w:t>.</w:t>
      </w:r>
    </w:p>
    <w:p w:rsidR="00D74E25" w:rsidRPr="00A72F10" w:rsidRDefault="00D74E25" w:rsidP="00865456">
      <w:pPr>
        <w:pStyle w:val="Heading4"/>
      </w:pPr>
      <w:r w:rsidRPr="00A72F10">
        <w:t>Safety data</w:t>
      </w:r>
    </w:p>
    <w:p w:rsidR="00D74E25" w:rsidRPr="00AC5BAB" w:rsidRDefault="00D74E25" w:rsidP="00865456">
      <w:r w:rsidRPr="00AC5BAB">
        <w:t xml:space="preserve">The pivotal efficacy trial, MO22224, provided the safety data for analysis. Only Grade 2-5 treatment-emergent adverse events were reported, and there was no summary presentation of data for those adverse events considered related to the study treatment. When the </w:t>
      </w:r>
      <w:r w:rsidR="002C4798" w:rsidRPr="00AC5BAB">
        <w:t xml:space="preserve">clinical evaluator </w:t>
      </w:r>
      <w:r w:rsidRPr="00AC5BAB">
        <w:t xml:space="preserve">requested this information, </w:t>
      </w:r>
      <w:r w:rsidR="00B51A1A">
        <w:t>the sponsor</w:t>
      </w:r>
      <w:r w:rsidRPr="00AC5BAB">
        <w:t xml:space="preserve"> did not prepare a response but directed the evaluator to the 80 pages of individual </w:t>
      </w:r>
      <w:r>
        <w:t xml:space="preserve">patient AE </w:t>
      </w:r>
      <w:r w:rsidRPr="00AC5BAB">
        <w:t>data to determine causality. Laboratory tests, including haematology, serum chemistry, and urinalysis were performed by local laboratories, with the</w:t>
      </w:r>
      <w:r>
        <w:t xml:space="preserve"> </w:t>
      </w:r>
      <w:r w:rsidRPr="00AC5BAB">
        <w:t xml:space="preserve">adverse events reported in the CRF but </w:t>
      </w:r>
      <w:r>
        <w:t>no data</w:t>
      </w:r>
      <w:r w:rsidRPr="00AC5BAB">
        <w:t xml:space="preserve"> included in the clinical database for the CSR and thus are not available for evaluation.</w:t>
      </w:r>
    </w:p>
    <w:p w:rsidR="00D74E25" w:rsidRPr="00AC5BAB" w:rsidRDefault="00D74E25" w:rsidP="00865456">
      <w:r w:rsidRPr="00AC5BAB">
        <w:t xml:space="preserve">Special adverse events of </w:t>
      </w:r>
      <w:r>
        <w:t>interest (commonly recognised</w:t>
      </w:r>
      <w:r w:rsidRPr="00AC5BAB">
        <w:t xml:space="preserve"> side effects of </w:t>
      </w:r>
      <w:proofErr w:type="spellStart"/>
      <w:r w:rsidRPr="00AC5BAB">
        <w:t>bevacizumab</w:t>
      </w:r>
      <w:proofErr w:type="spellEnd"/>
      <w:r>
        <w:t>)</w:t>
      </w:r>
      <w:r w:rsidRPr="00AC5BAB">
        <w:t xml:space="preserve"> were analysed separately. These included all Grade 2 or greater posterior reversible </w:t>
      </w:r>
      <w:r>
        <w:t>encephalopathy syndrome</w:t>
      </w:r>
      <w:r w:rsidRPr="00AC5BAB">
        <w:t xml:space="preserve"> (PRES), ATE (arterial thromboembolic event), </w:t>
      </w:r>
      <w:r w:rsidR="002C4798">
        <w:t>central nervous system (</w:t>
      </w:r>
      <w:r w:rsidRPr="00AC5BAB">
        <w:t>CNS</w:t>
      </w:r>
      <w:r w:rsidR="002C4798">
        <w:t>)</w:t>
      </w:r>
      <w:r w:rsidRPr="00AC5BAB">
        <w:t xml:space="preserve"> bleeding, GI perforation, fistula or abscess, and febrile neutropenia; and Grade 3 or greater hypertension (HTN), proteinuria, wound healing complication, non-CNS bleeding, venous thromboembolic event (VTE), </w:t>
      </w:r>
      <w:r w:rsidR="002C4798">
        <w:t>congestive heart failure (</w:t>
      </w:r>
      <w:r w:rsidRPr="00AC5BAB">
        <w:t>CHF</w:t>
      </w:r>
      <w:r w:rsidR="002C4798">
        <w:t>)</w:t>
      </w:r>
      <w:r w:rsidRPr="00AC5BAB">
        <w:t>, and peripheral sensory neuropathy.</w:t>
      </w:r>
    </w:p>
    <w:p w:rsidR="00AD561C" w:rsidRPr="008037E0" w:rsidRDefault="00D74E25" w:rsidP="005F7DCB">
      <w:pPr>
        <w:pStyle w:val="TextTi12"/>
        <w:spacing w:after="0" w:line="240" w:lineRule="auto"/>
        <w:ind w:left="1843" w:hanging="1843"/>
        <w:rPr>
          <w:rFonts w:ascii="Cambria" w:hAnsi="Cambria"/>
          <w:b/>
          <w:sz w:val="22"/>
          <w:szCs w:val="22"/>
        </w:rPr>
      </w:pPr>
      <w:r w:rsidRPr="008037E0">
        <w:rPr>
          <w:rFonts w:ascii="Cambria" w:hAnsi="Cambria"/>
          <w:b/>
          <w:sz w:val="22"/>
          <w:szCs w:val="22"/>
        </w:rPr>
        <w:t>Delegate comment:</w:t>
      </w:r>
    </w:p>
    <w:p w:rsidR="00D74E25" w:rsidRPr="004B35B0" w:rsidRDefault="002C4798" w:rsidP="008037E0">
      <w:pPr>
        <w:ind w:left="720"/>
        <w:rPr>
          <w:b/>
          <w:i/>
        </w:rPr>
      </w:pPr>
      <w:r>
        <w:t>T</w:t>
      </w:r>
      <w:r w:rsidR="00D74E25" w:rsidRPr="004B35B0">
        <w:t xml:space="preserve">he safety reporting has captured, analyzed and presented limited data from a randomised Phase III trial. While there have been multiple randomised controlled trials, including in ovarian cancer, there is a risk with this approach that new or rare adverse events will not be recognised. This is especially important as neither </w:t>
      </w:r>
      <w:proofErr w:type="spellStart"/>
      <w:r w:rsidR="00D74E25" w:rsidRPr="004B35B0">
        <w:lastRenderedPageBreak/>
        <w:t>topotecan</w:t>
      </w:r>
      <w:proofErr w:type="spellEnd"/>
      <w:r w:rsidR="00D74E25" w:rsidRPr="004B35B0">
        <w:t xml:space="preserve"> nor PLD in combination with </w:t>
      </w:r>
      <w:proofErr w:type="spellStart"/>
      <w:r w:rsidR="00D74E25" w:rsidRPr="004B35B0">
        <w:t>bevacizumab</w:t>
      </w:r>
      <w:proofErr w:type="spellEnd"/>
      <w:r w:rsidR="00D74E25" w:rsidRPr="004B35B0">
        <w:t xml:space="preserve"> has been previously evaluated. The total AEs have not been reported as Grade 1 AEs were not recorded which renders the </w:t>
      </w:r>
      <w:r w:rsidR="00D74E25" w:rsidRPr="002C4798">
        <w:rPr>
          <w:i/>
        </w:rPr>
        <w:t>All Grade Reactions (≥ 10% difference between the study arms in at least one clinical trial)</w:t>
      </w:r>
      <w:r w:rsidR="00D74E25" w:rsidRPr="004B35B0">
        <w:rPr>
          <w:b/>
          <w:i/>
        </w:rPr>
        <w:t xml:space="preserve"> </w:t>
      </w:r>
      <w:r w:rsidR="00D74E25" w:rsidRPr="004B35B0">
        <w:t>heading in Table 14 in the PI inaccurate</w:t>
      </w:r>
      <w:r>
        <w:t>;</w:t>
      </w:r>
      <w:r w:rsidR="00D74E25" w:rsidRPr="004B35B0">
        <w:t xml:space="preserve"> it is likely for this trial that more AEs would have reached the &gt;10% threshold for inclusion’ had Grade 1 AEs been recorded. The heading requires amendment in the PI</w:t>
      </w:r>
      <w:r w:rsidR="00D74E25">
        <w:t xml:space="preserve"> (to Grade 2-5)</w:t>
      </w:r>
      <w:r w:rsidR="00D74E25" w:rsidRPr="004B35B0">
        <w:t xml:space="preserve">, as </w:t>
      </w:r>
      <w:r w:rsidR="00D74E25">
        <w:t xml:space="preserve">it is not an accurate summary of this trial, as </w:t>
      </w:r>
      <w:r w:rsidR="00D74E25" w:rsidRPr="004B35B0">
        <w:t>Grade 1 events w</w:t>
      </w:r>
      <w:r w:rsidR="00341162">
        <w:t>ere not recorded in this trial.</w:t>
      </w:r>
    </w:p>
    <w:p w:rsidR="00D74E25" w:rsidRPr="004B35B0" w:rsidRDefault="00D74E25" w:rsidP="00865456">
      <w:pPr>
        <w:pStyle w:val="Heading5"/>
      </w:pPr>
      <w:r w:rsidRPr="004B35B0">
        <w:t>Duration of therapy</w:t>
      </w:r>
    </w:p>
    <w:p w:rsidR="00D74E25" w:rsidRPr="00AC5BAB" w:rsidRDefault="00D74E25" w:rsidP="00865456">
      <w:r w:rsidRPr="00AC5BAB">
        <w:t>For the CT and CT+BV arms, the median duration of treatment was 10.3 and 19.9</w:t>
      </w:r>
      <w:r w:rsidR="00365EF1">
        <w:t xml:space="preserve"> </w:t>
      </w:r>
      <w:r w:rsidRPr="00AC5BAB">
        <w:t>weeks respecti</w:t>
      </w:r>
      <w:r w:rsidR="00365EF1">
        <w:t>vely, and the median number of C</w:t>
      </w:r>
      <w:r w:rsidRPr="00AC5BAB">
        <w:t xml:space="preserve">ycles 3.0 and 6.0 respectively. Only patients in the CT+BV arm received </w:t>
      </w:r>
      <w:proofErr w:type="spellStart"/>
      <w:r w:rsidRPr="00AC5BAB">
        <w:t>bevacizumab</w:t>
      </w:r>
      <w:proofErr w:type="spellEnd"/>
      <w:r w:rsidRPr="00AC5BAB">
        <w:t xml:space="preserve"> prior to disease progression. The median number of treatment cycles was 6.0 cycles (range: 1−32). The median duration of </w:t>
      </w:r>
      <w:proofErr w:type="spellStart"/>
      <w:r w:rsidRPr="00AC5BAB">
        <w:t>bevacizumab</w:t>
      </w:r>
      <w:proofErr w:type="spellEnd"/>
      <w:r w:rsidRPr="00AC5BAB">
        <w:t xml:space="preserve"> treatment was 22.1 weeks. Of 72 patients who received crossover </w:t>
      </w:r>
      <w:proofErr w:type="spellStart"/>
      <w:r w:rsidRPr="00AC5BAB">
        <w:t>bevacizumab</w:t>
      </w:r>
      <w:proofErr w:type="spellEnd"/>
      <w:r w:rsidRPr="00AC5BAB">
        <w:t xml:space="preserve"> monotherapy after documented disease progression (optional cross-over phase), the median number of cycles received was 4.5 cycles (range: 1−19). The median duration of </w:t>
      </w:r>
      <w:proofErr w:type="spellStart"/>
      <w:r w:rsidRPr="00AC5BAB">
        <w:t>bevacizumab</w:t>
      </w:r>
      <w:proofErr w:type="spellEnd"/>
      <w:r w:rsidRPr="00AC5BAB">
        <w:t xml:space="preserve"> treatment was 11.6 weeks.</w:t>
      </w:r>
    </w:p>
    <w:p w:rsidR="00D74E25" w:rsidRDefault="00D74E25" w:rsidP="00865456">
      <w:r w:rsidRPr="00AC5BAB">
        <w:t xml:space="preserve">Patients completed </w:t>
      </w:r>
      <w:r>
        <w:t>more</w:t>
      </w:r>
      <w:r w:rsidRPr="00AC5BAB">
        <w:t xml:space="preserve"> cycles of chemotherapy wh</w:t>
      </w:r>
      <w:r>
        <w:t xml:space="preserve">en receiving </w:t>
      </w:r>
      <w:proofErr w:type="spellStart"/>
      <w:r>
        <w:t>bevacizumab</w:t>
      </w:r>
      <w:proofErr w:type="spellEnd"/>
      <w:r>
        <w:t xml:space="preserve"> with</w:t>
      </w:r>
      <w:r w:rsidRPr="00AC5BAB">
        <w:t xml:space="preserve"> paclitaxel </w:t>
      </w:r>
      <w:r>
        <w:t xml:space="preserve">(median 6 </w:t>
      </w:r>
      <w:r w:rsidR="00365EF1">
        <w:t>compared to</w:t>
      </w:r>
      <w:r>
        <w:t xml:space="preserve"> 4) </w:t>
      </w:r>
      <w:r w:rsidRPr="00AC5BAB">
        <w:t xml:space="preserve">and </w:t>
      </w:r>
      <w:proofErr w:type="spellStart"/>
      <w:r w:rsidRPr="00AC5BAB">
        <w:t>topotecan</w:t>
      </w:r>
      <w:proofErr w:type="spellEnd"/>
      <w:r w:rsidRPr="00AC5BAB">
        <w:t xml:space="preserve"> </w:t>
      </w:r>
      <w:r>
        <w:t xml:space="preserve">(median 6 </w:t>
      </w:r>
      <w:r w:rsidR="00365EF1">
        <w:t xml:space="preserve">compared to </w:t>
      </w:r>
      <w:r>
        <w:t>3)</w:t>
      </w:r>
      <w:r w:rsidRPr="00AC5BAB">
        <w:t xml:space="preserve">, but those on PLD received only a single additional cycle </w:t>
      </w:r>
      <w:r w:rsidR="00365EF1">
        <w:t>compared to</w:t>
      </w:r>
      <w:r w:rsidRPr="00AC5BAB">
        <w:t xml:space="preserve"> chemotherapy alone, suggestive of less benefit with the combination (either decreased efficacy </w:t>
      </w:r>
      <w:r>
        <w:t>and/</w:t>
      </w:r>
      <w:r w:rsidRPr="00AC5BAB">
        <w:t>or increased toxicity</w:t>
      </w:r>
      <w:r>
        <w:t xml:space="preserve"> </w:t>
      </w:r>
      <w:proofErr w:type="spellStart"/>
      <w:r>
        <w:t>cf</w:t>
      </w:r>
      <w:proofErr w:type="spellEnd"/>
      <w:r>
        <w:t xml:space="preserve"> other regimens</w:t>
      </w:r>
      <w:r w:rsidRPr="00AC5BAB">
        <w:t xml:space="preserve">). The </w:t>
      </w:r>
      <w:r>
        <w:t xml:space="preserve">investigator-reported </w:t>
      </w:r>
      <w:r w:rsidRPr="00AC5BAB">
        <w:t>improvement in PFS for those on PLD/</w:t>
      </w:r>
      <w:proofErr w:type="spellStart"/>
      <w:r w:rsidRPr="00AC5BAB">
        <w:t>bevacizumab</w:t>
      </w:r>
      <w:proofErr w:type="spellEnd"/>
      <w:r w:rsidRPr="00AC5BAB">
        <w:t xml:space="preserve"> of 5.1 months v</w:t>
      </w:r>
      <w:r w:rsidR="00365EF1">
        <w:t>ersu</w:t>
      </w:r>
      <w:r w:rsidRPr="00AC5BAB">
        <w:t>s 3.5 months PLD alone (HR 0.53; 95% CI 0.36, 0.77)</w:t>
      </w:r>
      <w:r>
        <w:t xml:space="preserve"> was not supported by the independent review </w:t>
      </w:r>
      <w:r w:rsidRPr="00360070">
        <w:t>wh</w:t>
      </w:r>
      <w:r>
        <w:t xml:space="preserve">ich yielded 95% </w:t>
      </w:r>
      <w:r w:rsidRPr="00360070">
        <w:t>CI for the HR</w:t>
      </w:r>
      <w:r>
        <w:t xml:space="preserve"> of 0.46 and 1.06</w:t>
      </w:r>
      <w:r w:rsidRPr="00360070">
        <w:t xml:space="preserve">. </w:t>
      </w:r>
      <w:r>
        <w:t>This independent review result is consistent with the minor median single cycle increase achieved, and the</w:t>
      </w:r>
      <w:r w:rsidRPr="00360070">
        <w:t xml:space="preserve"> patient numbers</w:t>
      </w:r>
      <w:r>
        <w:t xml:space="preserve"> in these two groups</w:t>
      </w:r>
      <w:r w:rsidRPr="00360070">
        <w:t xml:space="preserve"> were adequate for analysis (51 events CT and 49 CT+BV)</w:t>
      </w:r>
      <w:r w:rsidR="00341162">
        <w:t xml:space="preserve"> by the independent committee.</w:t>
      </w:r>
    </w:p>
    <w:p w:rsidR="00D74E25" w:rsidRPr="008037E0" w:rsidRDefault="00341162" w:rsidP="005F7DCB">
      <w:pPr>
        <w:keepNext/>
        <w:jc w:val="both"/>
        <w:rPr>
          <w:b/>
        </w:rPr>
      </w:pPr>
      <w:r w:rsidRPr="008037E0">
        <w:rPr>
          <w:b/>
        </w:rPr>
        <w:t>Delegate comments:</w:t>
      </w:r>
    </w:p>
    <w:p w:rsidR="00D74E25" w:rsidRPr="008037E0" w:rsidRDefault="00365EF1" w:rsidP="008037E0">
      <w:pPr>
        <w:pStyle w:val="Numberbullet0"/>
        <w:numPr>
          <w:ilvl w:val="0"/>
          <w:numId w:val="27"/>
        </w:numPr>
        <w:ind w:left="850"/>
      </w:pPr>
      <w:r w:rsidRPr="008037E0">
        <w:t>T</w:t>
      </w:r>
      <w:r w:rsidR="00D74E25" w:rsidRPr="008037E0">
        <w:t xml:space="preserve">he Delegate and </w:t>
      </w:r>
      <w:r w:rsidRPr="008037E0">
        <w:t xml:space="preserve">clinical evaluator </w:t>
      </w:r>
      <w:r w:rsidR="00D74E25" w:rsidRPr="008037E0">
        <w:t xml:space="preserve">are in agreement that efficacy has not been established for the combination of PLD and </w:t>
      </w:r>
      <w:proofErr w:type="spellStart"/>
      <w:r w:rsidR="00D74E25" w:rsidRPr="008037E0">
        <w:t>bevacizumab</w:t>
      </w:r>
      <w:proofErr w:type="spellEnd"/>
      <w:r w:rsidR="00D74E25" w:rsidRPr="008037E0">
        <w:t xml:space="preserve"> (s</w:t>
      </w:r>
      <w:r w:rsidR="00341162" w:rsidRPr="008037E0">
        <w:t>ee also Safety concerns below).</w:t>
      </w:r>
    </w:p>
    <w:p w:rsidR="00D74E25" w:rsidRPr="008037E0" w:rsidRDefault="00D74E25" w:rsidP="008037E0">
      <w:pPr>
        <w:pStyle w:val="Numberbullet0"/>
        <w:ind w:left="850"/>
      </w:pPr>
      <w:r w:rsidRPr="008037E0">
        <w:t xml:space="preserve">It is not possible to determine that there was a benefit from crossing over to </w:t>
      </w:r>
      <w:proofErr w:type="spellStart"/>
      <w:r w:rsidRPr="008037E0">
        <w:t>bevacizumab</w:t>
      </w:r>
      <w:proofErr w:type="spellEnd"/>
      <w:r w:rsidRPr="008037E0">
        <w:t xml:space="preserve"> after chemotherapy as the median treatment duration reported is likely to be the interval before the first scan after cross-over (</w:t>
      </w:r>
      <w:r w:rsidR="00365EF1" w:rsidRPr="008037E0">
        <w:t xml:space="preserve">that is, </w:t>
      </w:r>
      <w:r w:rsidRPr="008037E0">
        <w:t>3 months). Furthermore, only those with good performance status were permitted to cross over. No claims are being made for any such benefit of monotherapy which is appropriate but it underscores the loss of important information for OS from allowing cross over when there was an uncertain benefit with doing so. The Delegate is uncertain that cross over would be an explanation for the failure to demonstrate a statistically significant OS.</w:t>
      </w:r>
    </w:p>
    <w:p w:rsidR="00D74E25" w:rsidRDefault="00D74E25" w:rsidP="00865456">
      <w:pPr>
        <w:pStyle w:val="Heading5"/>
      </w:pPr>
      <w:r w:rsidRPr="00FC3DE4">
        <w:t>Adverse events</w:t>
      </w:r>
    </w:p>
    <w:p w:rsidR="00D74E25" w:rsidRPr="00AC5BAB" w:rsidRDefault="00D74E25" w:rsidP="00865456">
      <w:r>
        <w:t>A</w:t>
      </w:r>
      <w:r w:rsidRPr="00AC5BAB">
        <w:t xml:space="preserve">ll AEs </w:t>
      </w:r>
      <w:r>
        <w:t xml:space="preserve">presented in the dossier </w:t>
      </w:r>
      <w:r w:rsidRPr="00AC5BAB">
        <w:t>were treatment-emergent with no presentation or discussion of trea</w:t>
      </w:r>
      <w:r>
        <w:t xml:space="preserve">tment-related AEs by </w:t>
      </w:r>
      <w:r w:rsidR="00B51A1A">
        <w:t>the sponsor</w:t>
      </w:r>
      <w:r>
        <w:t>. The safety section of the PI needs to be updated with the AEs from this trial where they exceed those currently reported in the PI.</w:t>
      </w:r>
    </w:p>
    <w:p w:rsidR="00D74E25" w:rsidRPr="00AC5BAB" w:rsidRDefault="00D74E25" w:rsidP="00865456">
      <w:r>
        <w:t>AEs</w:t>
      </w:r>
      <w:r w:rsidRPr="00AC5BAB">
        <w:t xml:space="preserve"> occurring in </w:t>
      </w:r>
      <w:r w:rsidR="00365EF1">
        <w:t xml:space="preserve">≥ </w:t>
      </w:r>
      <w:r w:rsidRPr="00AC5BAB">
        <w:t xml:space="preserve">20% of patients in either arm were fatigue (CT: 26.5% </w:t>
      </w:r>
      <w:r w:rsidR="000F70F6">
        <w:t>versus</w:t>
      </w:r>
      <w:r w:rsidRPr="00AC5BAB">
        <w:t xml:space="preserve"> CT+BV: 27.4%), anaemia (CT: 26.5% </w:t>
      </w:r>
      <w:r w:rsidR="000F70F6">
        <w:t>versus</w:t>
      </w:r>
      <w:r w:rsidRPr="00AC5BAB">
        <w:t xml:space="preserve"> CT+BV: 19.6%) and neutropenia (CT: 25.4% </w:t>
      </w:r>
      <w:r w:rsidR="000F70F6">
        <w:t>versus</w:t>
      </w:r>
      <w:r w:rsidR="00341162">
        <w:t xml:space="preserve"> CT+BV: 30.7%).</w:t>
      </w:r>
    </w:p>
    <w:p w:rsidR="00D74E25" w:rsidRPr="00365EF1" w:rsidRDefault="00D74E25" w:rsidP="00865456">
      <w:r w:rsidRPr="00365EF1">
        <w:t xml:space="preserve">Grade 2–5 AEs with &gt;5% greater </w:t>
      </w:r>
      <w:proofErr w:type="gramStart"/>
      <w:r w:rsidRPr="00365EF1">
        <w:t>i</w:t>
      </w:r>
      <w:r w:rsidR="00341162">
        <w:t>ncidence in the CT+BV arm were</w:t>
      </w:r>
      <w:proofErr w:type="gramEnd"/>
      <w:r w:rsidR="00341162">
        <w:t>:</w:t>
      </w:r>
    </w:p>
    <w:p w:rsidR="00D74E25" w:rsidRPr="00AC5BAB" w:rsidRDefault="00D74E25" w:rsidP="00865456">
      <w:pPr>
        <w:pStyle w:val="ListBullet"/>
      </w:pPr>
      <w:proofErr w:type="gramStart"/>
      <w:r w:rsidRPr="00AC5BAB">
        <w:lastRenderedPageBreak/>
        <w:t>hypertension</w:t>
      </w:r>
      <w:proofErr w:type="gramEnd"/>
      <w:r w:rsidRPr="00AC5BAB">
        <w:t xml:space="preserve"> (19.0% v</w:t>
      </w:r>
      <w:r w:rsidR="00365EF1">
        <w:t>ersu</w:t>
      </w:r>
      <w:r w:rsidRPr="00AC5BAB">
        <w:t>s</w:t>
      </w:r>
      <w:r w:rsidR="00B51A1A">
        <w:t xml:space="preserve"> </w:t>
      </w:r>
      <w:r w:rsidRPr="00AC5BAB">
        <w:t>5.5%)</w:t>
      </w:r>
    </w:p>
    <w:p w:rsidR="00D74E25" w:rsidRPr="00AC5BAB" w:rsidRDefault="00D74E25" w:rsidP="00865456">
      <w:pPr>
        <w:pStyle w:val="ListBullet"/>
      </w:pPr>
      <w:proofErr w:type="gramStart"/>
      <w:r w:rsidRPr="00AC5BAB">
        <w:t>proteinuria</w:t>
      </w:r>
      <w:proofErr w:type="gramEnd"/>
      <w:r w:rsidRPr="00AC5BAB">
        <w:t xml:space="preserve"> (12.3% v</w:t>
      </w:r>
      <w:r w:rsidR="00365EF1">
        <w:t>ersu</w:t>
      </w:r>
      <w:r w:rsidRPr="00AC5BAB">
        <w:t>s 0.6%)</w:t>
      </w:r>
    </w:p>
    <w:p w:rsidR="00D74E25" w:rsidRPr="00AC5BAB" w:rsidRDefault="00D74E25" w:rsidP="00865456">
      <w:pPr>
        <w:pStyle w:val="ListBullet"/>
      </w:pPr>
      <w:proofErr w:type="gramStart"/>
      <w:r w:rsidRPr="00AC5BAB">
        <w:t>peripheral</w:t>
      </w:r>
      <w:proofErr w:type="gramEnd"/>
      <w:r w:rsidRPr="00AC5BAB">
        <w:t xml:space="preserve"> sensory neuropathy (17.9% </w:t>
      </w:r>
      <w:r w:rsidR="00365EF1" w:rsidRPr="00AC5BAB">
        <w:t>v</w:t>
      </w:r>
      <w:r w:rsidR="00365EF1">
        <w:t>ersu</w:t>
      </w:r>
      <w:r w:rsidR="00365EF1" w:rsidRPr="00AC5BAB">
        <w:t>s</w:t>
      </w:r>
      <w:r w:rsidRPr="00AC5BAB">
        <w:t xml:space="preserve"> 7.2%).</w:t>
      </w:r>
    </w:p>
    <w:p w:rsidR="00D74E25" w:rsidRPr="00AC5BAB" w:rsidRDefault="00D74E25" w:rsidP="00865456">
      <w:pPr>
        <w:pStyle w:val="ListBullet"/>
      </w:pPr>
      <w:proofErr w:type="gramStart"/>
      <w:r w:rsidRPr="00AC5BAB">
        <w:t>mucosal</w:t>
      </w:r>
      <w:proofErr w:type="gramEnd"/>
      <w:r w:rsidRPr="00AC5BAB">
        <w:t xml:space="preserve"> inflammation (12.8% </w:t>
      </w:r>
      <w:r w:rsidR="00365EF1" w:rsidRPr="00AC5BAB">
        <w:t>v</w:t>
      </w:r>
      <w:r w:rsidR="00365EF1">
        <w:t>ersu</w:t>
      </w:r>
      <w:r w:rsidR="00365EF1" w:rsidRPr="00AC5BAB">
        <w:t>s</w:t>
      </w:r>
      <w:r w:rsidRPr="00AC5BAB">
        <w:t xml:space="preserve"> 5.5%)</w:t>
      </w:r>
    </w:p>
    <w:p w:rsidR="00D74E25" w:rsidRPr="00AC5BAB" w:rsidRDefault="00D74E25" w:rsidP="00865456">
      <w:pPr>
        <w:pStyle w:val="ListBullet"/>
      </w:pPr>
      <w:proofErr w:type="gramStart"/>
      <w:r w:rsidRPr="00AC5BAB">
        <w:t>infection</w:t>
      </w:r>
      <w:proofErr w:type="gramEnd"/>
      <w:r w:rsidRPr="00AC5BAB">
        <w:t xml:space="preserve"> (10.6% </w:t>
      </w:r>
      <w:r w:rsidR="00365EF1" w:rsidRPr="00AC5BAB">
        <w:t>v</w:t>
      </w:r>
      <w:r w:rsidR="00365EF1">
        <w:t>ersu</w:t>
      </w:r>
      <w:r w:rsidR="00365EF1" w:rsidRPr="00AC5BAB">
        <w:t>s</w:t>
      </w:r>
      <w:r w:rsidRPr="00AC5BAB">
        <w:t xml:space="preserve"> 4.4%)</w:t>
      </w:r>
    </w:p>
    <w:p w:rsidR="00D74E25" w:rsidRPr="00AC5BAB" w:rsidRDefault="00D74E25" w:rsidP="00865456">
      <w:pPr>
        <w:pStyle w:val="ListBullet"/>
      </w:pPr>
      <w:proofErr w:type="gramStart"/>
      <w:r w:rsidRPr="00AC5BAB">
        <w:t>palmar-plantar</w:t>
      </w:r>
      <w:proofErr w:type="gramEnd"/>
      <w:r w:rsidRPr="00AC5BAB">
        <w:t xml:space="preserve"> </w:t>
      </w:r>
      <w:proofErr w:type="spellStart"/>
      <w:r w:rsidRPr="00AC5BAB">
        <w:t>erythrodysaesthesia</w:t>
      </w:r>
      <w:proofErr w:type="spellEnd"/>
      <w:r w:rsidRPr="00AC5BAB">
        <w:t xml:space="preserve"> syndrome</w:t>
      </w:r>
      <w:r w:rsidR="00B51A1A">
        <w:t xml:space="preserve"> </w:t>
      </w:r>
      <w:r w:rsidRPr="00AC5BAB">
        <w:t xml:space="preserve">(10.6% </w:t>
      </w:r>
      <w:r w:rsidR="00365EF1" w:rsidRPr="00AC5BAB">
        <w:t>v</w:t>
      </w:r>
      <w:r w:rsidR="00365EF1">
        <w:t>ersu</w:t>
      </w:r>
      <w:r w:rsidR="00365EF1" w:rsidRPr="00AC5BAB">
        <w:t>s</w:t>
      </w:r>
      <w:r w:rsidRPr="00AC5BAB">
        <w:t xml:space="preserve"> 5.0%)</w:t>
      </w:r>
    </w:p>
    <w:p w:rsidR="00D74E25" w:rsidRPr="00AC5BAB" w:rsidRDefault="00D74E25" w:rsidP="00865456">
      <w:pPr>
        <w:pStyle w:val="ListBullet"/>
      </w:pPr>
      <w:proofErr w:type="gramStart"/>
      <w:r w:rsidRPr="00AC5BAB">
        <w:t>neutropenia</w:t>
      </w:r>
      <w:proofErr w:type="gramEnd"/>
      <w:r w:rsidRPr="00AC5BAB">
        <w:t xml:space="preserve"> (30.7% </w:t>
      </w:r>
      <w:r w:rsidR="00365EF1" w:rsidRPr="00AC5BAB">
        <w:t>v</w:t>
      </w:r>
      <w:r w:rsidR="00365EF1">
        <w:t>ersu</w:t>
      </w:r>
      <w:r w:rsidR="00365EF1" w:rsidRPr="00AC5BAB">
        <w:t>s</w:t>
      </w:r>
      <w:r w:rsidRPr="00AC5BAB">
        <w:t xml:space="preserve"> 25.4%)</w:t>
      </w:r>
    </w:p>
    <w:p w:rsidR="00D74E25" w:rsidRPr="00AC5BAB" w:rsidRDefault="00D74E25" w:rsidP="00865456">
      <w:pPr>
        <w:pStyle w:val="ListBullet"/>
      </w:pPr>
      <w:proofErr w:type="gramStart"/>
      <w:r w:rsidRPr="00AC5BAB">
        <w:t>epistaxis</w:t>
      </w:r>
      <w:proofErr w:type="gramEnd"/>
      <w:r w:rsidRPr="00AC5BAB">
        <w:t xml:space="preserve"> (5.0% </w:t>
      </w:r>
      <w:r w:rsidR="00365EF1" w:rsidRPr="00AC5BAB">
        <w:t>v</w:t>
      </w:r>
      <w:r w:rsidR="00365EF1">
        <w:t>ersu</w:t>
      </w:r>
      <w:r w:rsidR="00365EF1" w:rsidRPr="00AC5BAB">
        <w:t>s</w:t>
      </w:r>
      <w:r w:rsidRPr="00AC5BAB">
        <w:t xml:space="preserve"> 0%)</w:t>
      </w:r>
    </w:p>
    <w:p w:rsidR="00D74E25" w:rsidRPr="00AC5BAB" w:rsidRDefault="00D74E25" w:rsidP="00351603">
      <w:r w:rsidRPr="00AC5BAB">
        <w:t xml:space="preserve">The only Grade 2–5 adverse event that showed a difference of at least 5% higher incidence in the CT arm was anaemia (CT: 26.5% </w:t>
      </w:r>
      <w:r w:rsidR="000F70F6">
        <w:t>versus</w:t>
      </w:r>
      <w:r w:rsidRPr="00AC5BAB">
        <w:t xml:space="preserve"> CT+BV: 19.6%).</w:t>
      </w:r>
    </w:p>
    <w:p w:rsidR="00D74E25" w:rsidRPr="00E3028A" w:rsidRDefault="00D74E25" w:rsidP="00351603">
      <w:r>
        <w:t>Grade 3–5 AEs</w:t>
      </w:r>
    </w:p>
    <w:p w:rsidR="00D74E25" w:rsidRPr="00AC5BAB" w:rsidRDefault="00D74E25" w:rsidP="00351603">
      <w:r w:rsidRPr="00AC5BAB">
        <w:t>Before Cross-over Treatment: CT+BV 59.2%</w:t>
      </w:r>
      <w:r w:rsidR="00B51A1A">
        <w:t xml:space="preserve"> </w:t>
      </w:r>
      <w:r w:rsidRPr="00AC5BAB">
        <w:t>c</w:t>
      </w:r>
      <w:r w:rsidR="00365EF1">
        <w:t>ompared to</w:t>
      </w:r>
      <w:r w:rsidR="00B51A1A">
        <w:t xml:space="preserve"> </w:t>
      </w:r>
      <w:r w:rsidRPr="00AC5BAB">
        <w:t>53.0% i</w:t>
      </w:r>
      <w:r w:rsidR="00341162">
        <w:t>n the CT arm.</w:t>
      </w:r>
    </w:p>
    <w:p w:rsidR="00D74E25" w:rsidRPr="00AC5BAB" w:rsidRDefault="00D74E25" w:rsidP="00351603">
      <w:r w:rsidRPr="00365EF1">
        <w:rPr>
          <w:i/>
        </w:rPr>
        <w:t>With</w:t>
      </w:r>
      <w:r w:rsidR="009E60C8">
        <w:rPr>
          <w:i/>
        </w:rPr>
        <w:t xml:space="preserve"> </w:t>
      </w:r>
      <w:r w:rsidRPr="00365EF1">
        <w:rPr>
          <w:i/>
        </w:rPr>
        <w:t>≥2% higher</w:t>
      </w:r>
      <w:r w:rsidR="00365EF1" w:rsidRPr="00365EF1">
        <w:rPr>
          <w:i/>
        </w:rPr>
        <w:t xml:space="preserve"> </w:t>
      </w:r>
      <w:r w:rsidRPr="00365EF1">
        <w:rPr>
          <w:i/>
        </w:rPr>
        <w:t>in the CT+BV arm</w:t>
      </w:r>
      <w:r w:rsidRPr="00AC5BAB">
        <w:t xml:space="preserve">: hypertension, palmar-plantar </w:t>
      </w:r>
      <w:proofErr w:type="spellStart"/>
      <w:r w:rsidRPr="00AC5BAB">
        <w:t>erythrodysaesthesia</w:t>
      </w:r>
      <w:proofErr w:type="spellEnd"/>
      <w:r w:rsidRPr="00AC5BAB">
        <w:t xml:space="preserve"> syndrome, and general physical health deterioration.</w:t>
      </w:r>
    </w:p>
    <w:p w:rsidR="00D74E25" w:rsidRPr="00AC5BAB" w:rsidRDefault="00351603" w:rsidP="00351603">
      <w:r>
        <w:rPr>
          <w:i/>
        </w:rPr>
        <w:t>W</w:t>
      </w:r>
      <w:r w:rsidR="00D74E25" w:rsidRPr="00365EF1">
        <w:rPr>
          <w:i/>
        </w:rPr>
        <w:t>ith ≥2% higher in the CT arm</w:t>
      </w:r>
      <w:r w:rsidR="00365EF1">
        <w:rPr>
          <w:i/>
        </w:rPr>
        <w:t>:</w:t>
      </w:r>
      <w:r w:rsidR="00D74E25" w:rsidRPr="00AC5BAB">
        <w:t xml:space="preserve"> </w:t>
      </w:r>
      <w:proofErr w:type="spellStart"/>
      <w:r w:rsidR="00D74E25" w:rsidRPr="00AC5BAB">
        <w:t>leucopenia</w:t>
      </w:r>
      <w:proofErr w:type="spellEnd"/>
      <w:r w:rsidR="00D74E25" w:rsidRPr="00AC5BAB">
        <w:t>, abdominal pain, ascites, vomiting, fatigue and dyspnoea.</w:t>
      </w:r>
    </w:p>
    <w:p w:rsidR="00D74E25" w:rsidRPr="00AC5BAB" w:rsidRDefault="00D74E25" w:rsidP="00351603">
      <w:r w:rsidRPr="00AC5BAB">
        <w:t xml:space="preserve">After cross-over to </w:t>
      </w:r>
      <w:proofErr w:type="spellStart"/>
      <w:r w:rsidRPr="00AC5BAB">
        <w:t>bevacizumab</w:t>
      </w:r>
      <w:proofErr w:type="spellEnd"/>
      <w:r w:rsidRPr="00AC5BAB">
        <w:t xml:space="preserve"> monotherapy, 26.4% experienced a Grade 3-5 AE, including 1 case of PRES (Grade 4) a</w:t>
      </w:r>
      <w:r w:rsidR="00341162">
        <w:t>nd a death from GI haemorrhage.</w:t>
      </w:r>
    </w:p>
    <w:p w:rsidR="00AD561C" w:rsidRPr="008037E0" w:rsidRDefault="00D74E25" w:rsidP="008037E0">
      <w:pPr>
        <w:keepNext/>
        <w:keepLines/>
        <w:ind w:left="1985" w:hanging="1985"/>
        <w:jc w:val="both"/>
        <w:rPr>
          <w:b/>
        </w:rPr>
      </w:pPr>
      <w:r w:rsidRPr="008037E0">
        <w:rPr>
          <w:b/>
        </w:rPr>
        <w:t>Delegate comment</w:t>
      </w:r>
      <w:r w:rsidR="00365EF1" w:rsidRPr="008037E0">
        <w:rPr>
          <w:b/>
        </w:rPr>
        <w:t>:</w:t>
      </w:r>
    </w:p>
    <w:p w:rsidR="00D74E25" w:rsidRPr="00AC5BAB" w:rsidRDefault="00365EF1" w:rsidP="008037E0">
      <w:pPr>
        <w:keepNext/>
        <w:keepLines/>
        <w:ind w:left="720"/>
      </w:pPr>
      <w:r>
        <w:t>T</w:t>
      </w:r>
      <w:r w:rsidR="00D74E25" w:rsidRPr="00AC5BAB">
        <w:t>his case of PRES needs to be included in the Precautions section of the PI</w:t>
      </w:r>
      <w:r w:rsidR="00D74E25">
        <w:t>, including that it occurred when treating ovarian cancer</w:t>
      </w:r>
      <w:r w:rsidR="00D74E25" w:rsidRPr="00AC5BAB">
        <w:t>.</w:t>
      </w:r>
    </w:p>
    <w:p w:rsidR="00D74E25" w:rsidRPr="0017383A" w:rsidRDefault="00D74E25" w:rsidP="00351603">
      <w:pPr>
        <w:pStyle w:val="Heading5"/>
      </w:pPr>
      <w:bookmarkStart w:id="186" w:name="Table_2.7.4.2.1-1_Summary_of_Adverse_Eve"/>
      <w:bookmarkEnd w:id="186"/>
      <w:r w:rsidRPr="0017383A">
        <w:t>Deaths</w:t>
      </w:r>
    </w:p>
    <w:p w:rsidR="00D74E25" w:rsidRPr="00AC5BAB" w:rsidRDefault="00D74E25" w:rsidP="00351603">
      <w:r w:rsidRPr="00AC5BAB">
        <w:t>Most deaths were due to progressive disease. There were 9 deaths</w:t>
      </w:r>
      <w:r>
        <w:t xml:space="preserve"> reported</w:t>
      </w:r>
      <w:r w:rsidRPr="00AC5BAB">
        <w:t xml:space="preserve"> from AEs in the </w:t>
      </w:r>
      <w:r>
        <w:t>CT+BV arm and</w:t>
      </w:r>
      <w:r w:rsidRPr="00AC5BAB">
        <w:t xml:space="preserve"> </w:t>
      </w:r>
      <w:r>
        <w:t xml:space="preserve">while </w:t>
      </w:r>
      <w:r w:rsidRPr="00AC5BAB">
        <w:t>6</w:t>
      </w:r>
      <w:r>
        <w:t xml:space="preserve"> were reported in the CT arm</w:t>
      </w:r>
      <w:r w:rsidR="00365EF1">
        <w:t>;</w:t>
      </w:r>
      <w:r>
        <w:t xml:space="preserve"> one</w:t>
      </w:r>
      <w:r w:rsidRPr="00AC5BAB">
        <w:t xml:space="preserve"> </w:t>
      </w:r>
      <w:r>
        <w:t xml:space="preserve">of these </w:t>
      </w:r>
      <w:r w:rsidRPr="00AC5BAB">
        <w:t xml:space="preserve">occurred after </w:t>
      </w:r>
      <w:r>
        <w:t>crossing over</w:t>
      </w:r>
      <w:r w:rsidRPr="00AC5BAB">
        <w:t xml:space="preserve"> to </w:t>
      </w:r>
      <w:proofErr w:type="spellStart"/>
      <w:r w:rsidRPr="00AC5BAB">
        <w:t>bevacizumab</w:t>
      </w:r>
      <w:proofErr w:type="spellEnd"/>
      <w:r w:rsidRPr="00AC5BAB">
        <w:t xml:space="preserve"> monotherapy</w:t>
      </w:r>
      <w:r>
        <w:t>. T</w:t>
      </w:r>
      <w:r w:rsidRPr="00AC5BAB">
        <w:t>he D</w:t>
      </w:r>
      <w:r>
        <w:t>elegate considers this</w:t>
      </w:r>
      <w:r w:rsidRPr="00AC5BAB">
        <w:t xml:space="preserve"> a </w:t>
      </w:r>
      <w:proofErr w:type="spellStart"/>
      <w:r w:rsidRPr="00AC5BAB">
        <w:t>bevacizumab</w:t>
      </w:r>
      <w:proofErr w:type="spellEnd"/>
      <w:r w:rsidRPr="00AC5BAB">
        <w:t>-related death</w:t>
      </w:r>
      <w:r>
        <w:t xml:space="preserve"> (and should not be included with the CT group). </w:t>
      </w:r>
      <w:proofErr w:type="gramStart"/>
      <w:r>
        <w:t>These treatment</w:t>
      </w:r>
      <w:proofErr w:type="gramEnd"/>
      <w:r w:rsidR="00365EF1">
        <w:t xml:space="preserve"> </w:t>
      </w:r>
      <w:r>
        <w:t>related deaths should be stated in the Clinical Trials section (as was done for the first line ovarian cancer section in the PI). Thus there were 5 deaths due to CT-related AEs and 9 from CT+BV, with a furt</w:t>
      </w:r>
      <w:r w:rsidR="00341162">
        <w:t>her death after crossing to BV.</w:t>
      </w:r>
    </w:p>
    <w:p w:rsidR="00D74E25" w:rsidRPr="00463F17" w:rsidRDefault="00D74E25" w:rsidP="00351603">
      <w:pPr>
        <w:pStyle w:val="Heading5"/>
      </w:pPr>
      <w:r w:rsidRPr="00463F17">
        <w:t xml:space="preserve">Serious </w:t>
      </w:r>
      <w:r w:rsidR="00341162">
        <w:t>a</w:t>
      </w:r>
      <w:r w:rsidRPr="00463F17">
        <w:t xml:space="preserve">dverse </w:t>
      </w:r>
      <w:r w:rsidR="00341162">
        <w:t>e</w:t>
      </w:r>
      <w:r w:rsidRPr="00463F17">
        <w:t>vents</w:t>
      </w:r>
    </w:p>
    <w:p w:rsidR="00D74E25" w:rsidRPr="00AC5BAB" w:rsidRDefault="00D74E25" w:rsidP="00351603">
      <w:r>
        <w:t>SAEs</w:t>
      </w:r>
      <w:r w:rsidRPr="00AC5BAB">
        <w:t xml:space="preserve"> </w:t>
      </w:r>
      <w:r>
        <w:t>were</w:t>
      </w:r>
      <w:r w:rsidRPr="00AC5BAB">
        <w:t xml:space="preserve"> </w:t>
      </w:r>
      <w:r>
        <w:t xml:space="preserve">both </w:t>
      </w:r>
      <w:r w:rsidRPr="00AC5BAB">
        <w:t>mor</w:t>
      </w:r>
      <w:r>
        <w:t>e frequent and more severe</w:t>
      </w:r>
      <w:r w:rsidRPr="00AC5BAB">
        <w:t xml:space="preserve"> in the </w:t>
      </w:r>
      <w:proofErr w:type="spellStart"/>
      <w:r w:rsidRPr="00AC5BAB">
        <w:t>CT+Bev</w:t>
      </w:r>
      <w:proofErr w:type="spellEnd"/>
      <w:r w:rsidRPr="00AC5BAB">
        <w:t xml:space="preserve"> arm (31.3% vs 27.1%)</w:t>
      </w:r>
      <w:r>
        <w:t>.</w:t>
      </w:r>
    </w:p>
    <w:p w:rsidR="00D74E25" w:rsidRPr="00463F17" w:rsidRDefault="00D74E25" w:rsidP="00351603">
      <w:pPr>
        <w:ind w:left="720"/>
      </w:pPr>
      <w:bookmarkStart w:id="187" w:name="_Toc381783652"/>
      <w:r>
        <w:t>Grade 5</w:t>
      </w:r>
      <w:r>
        <w:tab/>
        <w:t xml:space="preserve">3.4% </w:t>
      </w:r>
      <w:r w:rsidR="00365EF1" w:rsidRPr="00365EF1">
        <w:rPr>
          <w:rFonts w:asciiTheme="minorHAnsi" w:hAnsiTheme="minorHAnsi"/>
        </w:rPr>
        <w:t>compared to</w:t>
      </w:r>
      <w:r w:rsidRPr="00463F17">
        <w:t xml:space="preserve"> 2.8%</w:t>
      </w:r>
    </w:p>
    <w:p w:rsidR="00D74E25" w:rsidRPr="00463F17" w:rsidRDefault="00D74E25" w:rsidP="00351603">
      <w:pPr>
        <w:ind w:left="720"/>
      </w:pPr>
      <w:r>
        <w:t>Grade 4</w:t>
      </w:r>
      <w:r>
        <w:tab/>
        <w:t xml:space="preserve">5.6% </w:t>
      </w:r>
      <w:r w:rsidR="00365EF1">
        <w:t>compared to</w:t>
      </w:r>
      <w:r w:rsidRPr="00463F17">
        <w:t xml:space="preserve"> 3.3</w:t>
      </w:r>
    </w:p>
    <w:p w:rsidR="00D74E25" w:rsidRDefault="00451D82" w:rsidP="00351603">
      <w:pPr>
        <w:ind w:left="720"/>
      </w:pPr>
      <w:r>
        <w:t>Grade 3</w:t>
      </w:r>
      <w:r w:rsidR="00D74E25">
        <w:tab/>
        <w:t xml:space="preserve">15.6% </w:t>
      </w:r>
      <w:r w:rsidR="00365EF1">
        <w:t>compared to</w:t>
      </w:r>
      <w:r w:rsidR="00365EF1" w:rsidRPr="00463F17">
        <w:t xml:space="preserve"> </w:t>
      </w:r>
      <w:r w:rsidR="00D74E25" w:rsidRPr="00463F17">
        <w:t>13.3%</w:t>
      </w:r>
    </w:p>
    <w:p w:rsidR="00D74E25" w:rsidRPr="00463F17" w:rsidRDefault="00D74E25" w:rsidP="00351603">
      <w:r w:rsidRPr="00AC5BAB">
        <w:t xml:space="preserve">Known </w:t>
      </w:r>
      <w:proofErr w:type="spellStart"/>
      <w:r w:rsidRPr="00AC5BAB">
        <w:t>bevacizumab</w:t>
      </w:r>
      <w:proofErr w:type="spellEnd"/>
      <w:r w:rsidRPr="00AC5BAB">
        <w:t xml:space="preserve">-related complications such as fistulae (2.2% </w:t>
      </w:r>
      <w:r w:rsidR="00365EF1">
        <w:t>versus</w:t>
      </w:r>
      <w:r w:rsidRPr="00AC5BAB">
        <w:t xml:space="preserve"> 0) and hypertension (2.2% </w:t>
      </w:r>
      <w:r w:rsidR="00365EF1">
        <w:t>versus</w:t>
      </w:r>
      <w:r w:rsidRPr="00AC5BAB">
        <w:t xml:space="preserve"> 0) occurred more frequently, while vomiting occurred more frequently in the CT alone group.</w:t>
      </w:r>
      <w:r>
        <w:t xml:space="preserve"> The PI contains a lower figure for the risk of fistulae and this </w:t>
      </w:r>
      <w:r w:rsidR="0024121F">
        <w:t xml:space="preserve">will </w:t>
      </w:r>
      <w:r>
        <w:t>need to be updated with the rate observed in this trial.</w:t>
      </w:r>
    </w:p>
    <w:p w:rsidR="00D74E25" w:rsidRPr="00701A30" w:rsidRDefault="00D74E25" w:rsidP="00351603">
      <w:pPr>
        <w:pStyle w:val="Heading5"/>
      </w:pPr>
      <w:r w:rsidRPr="00701A30">
        <w:t>Discontinuations (total)</w:t>
      </w:r>
    </w:p>
    <w:p w:rsidR="00D74E25" w:rsidRPr="00AC5BAB" w:rsidRDefault="00D74E25" w:rsidP="00351603">
      <w:pPr>
        <w:pStyle w:val="Heading6"/>
      </w:pPr>
      <w:r w:rsidRPr="00AC5BAB">
        <w:t>Chemotherapy discontinuation at the cut-off date for the primary analysis of PFS</w:t>
      </w:r>
    </w:p>
    <w:p w:rsidR="00D74E25" w:rsidRPr="006C691A" w:rsidRDefault="00D74E25" w:rsidP="00351603">
      <w:pPr>
        <w:pStyle w:val="ListBullet"/>
      </w:pPr>
      <w:r w:rsidRPr="006C691A">
        <w:t>CT: 97.8% versus CT+BV: 92.7% had disc</w:t>
      </w:r>
      <w:r w:rsidR="00001F85">
        <w:t>ontinued chemotherapy treatment</w:t>
      </w:r>
    </w:p>
    <w:p w:rsidR="00D74E25" w:rsidRPr="006C691A" w:rsidRDefault="00D74E25" w:rsidP="00351603">
      <w:pPr>
        <w:pStyle w:val="ListBullet"/>
      </w:pPr>
      <w:r w:rsidRPr="006C691A">
        <w:lastRenderedPageBreak/>
        <w:t>Discontinuations due to RECIST</w:t>
      </w:r>
      <w:r w:rsidR="00365EF1">
        <w:t xml:space="preserve"> </w:t>
      </w:r>
      <w:r w:rsidRPr="006C691A">
        <w:t xml:space="preserve">defined disease progression were more common in the CT arm 72.0% </w:t>
      </w:r>
      <w:r w:rsidR="00365EF1">
        <w:t>versus</w:t>
      </w:r>
      <w:r w:rsidRPr="006C691A">
        <w:t xml:space="preserve"> 39.7% while unacceptable toxicity, adverse events and ‘other’ (</w:t>
      </w:r>
      <w:r w:rsidR="00365EF1">
        <w:t>such as</w:t>
      </w:r>
      <w:r w:rsidRPr="006C691A">
        <w:t xml:space="preserve"> physician’s choice) were much more common reasons in the CT+BV arm 43.6% </w:t>
      </w:r>
      <w:r w:rsidR="00365EF1">
        <w:t>versus</w:t>
      </w:r>
      <w:r w:rsidRPr="006C691A">
        <w:t xml:space="preserve"> 15.3 %.</w:t>
      </w:r>
    </w:p>
    <w:p w:rsidR="00D74E25" w:rsidRPr="00AC5BAB" w:rsidRDefault="00D74E25" w:rsidP="00351603">
      <w:pPr>
        <w:pStyle w:val="Heading6"/>
      </w:pPr>
      <w:proofErr w:type="spellStart"/>
      <w:r w:rsidRPr="00AC5BAB">
        <w:t>Bevacizumab</w:t>
      </w:r>
      <w:proofErr w:type="spellEnd"/>
      <w:r w:rsidRPr="00AC5BAB">
        <w:t xml:space="preserve"> discontinuation</w:t>
      </w:r>
    </w:p>
    <w:p w:rsidR="00D74E25" w:rsidRPr="00701A30" w:rsidRDefault="00D74E25" w:rsidP="00351603">
      <w:pPr>
        <w:pStyle w:val="ListBullet"/>
      </w:pPr>
      <w:r w:rsidRPr="00AC5BAB">
        <w:t xml:space="preserve">86.0% in the CT+BV discontinued </w:t>
      </w:r>
      <w:proofErr w:type="spellStart"/>
      <w:r w:rsidRPr="00AC5BAB">
        <w:t>bevacizumab</w:t>
      </w:r>
      <w:proofErr w:type="spellEnd"/>
      <w:r w:rsidRPr="00AC5BAB">
        <w:t xml:space="preserve"> treatment: 42.5% due to disease </w:t>
      </w:r>
      <w:r w:rsidRPr="00A72F10">
        <w:t>progression and 25.7% due to adverse events or unacceptable toxicity.</w:t>
      </w:r>
    </w:p>
    <w:p w:rsidR="00D74E25" w:rsidRPr="006B3F30" w:rsidRDefault="00D74E25" w:rsidP="00351603">
      <w:pPr>
        <w:pStyle w:val="Heading5"/>
      </w:pPr>
      <w:r w:rsidRPr="006B3F30">
        <w:t>Discontinuations due to AEs</w:t>
      </w:r>
      <w:r>
        <w:t xml:space="preserve"> (before cross over)</w:t>
      </w:r>
    </w:p>
    <w:p w:rsidR="00D74E25" w:rsidRDefault="00D74E25" w:rsidP="00351603">
      <w:pPr>
        <w:pStyle w:val="ListBullet"/>
      </w:pPr>
      <w:r>
        <w:t xml:space="preserve">43.6% in the CT+BV </w:t>
      </w:r>
      <w:r w:rsidR="00365EF1">
        <w:t>compared to</w:t>
      </w:r>
      <w:r>
        <w:t xml:space="preserve"> 8.8% in the CT arm </w:t>
      </w:r>
      <w:r w:rsidRPr="00B05CC9">
        <w:t xml:space="preserve">experienced Grade 2–5 adverse events that led to withdrawal of study treatment with chemotherapy or </w:t>
      </w:r>
      <w:proofErr w:type="spellStart"/>
      <w:r w:rsidRPr="00B05CC9">
        <w:t>bevacizumab</w:t>
      </w:r>
      <w:proofErr w:type="spellEnd"/>
      <w:r w:rsidRPr="00B05CC9">
        <w:t xml:space="preserve">. </w:t>
      </w:r>
      <w:r>
        <w:t>The follow</w:t>
      </w:r>
      <w:r w:rsidR="00001F85">
        <w:t>ing were all higher with CT+BV:</w:t>
      </w:r>
    </w:p>
    <w:p w:rsidR="00D74E25" w:rsidRDefault="00D74E25" w:rsidP="00351603">
      <w:pPr>
        <w:tabs>
          <w:tab w:val="left" w:pos="5103"/>
        </w:tabs>
        <w:ind w:left="360"/>
      </w:pPr>
      <w:proofErr w:type="gramStart"/>
      <w:r w:rsidRPr="00B05CC9">
        <w:t>per</w:t>
      </w:r>
      <w:r w:rsidR="00351603">
        <w:t>ipheral</w:t>
      </w:r>
      <w:proofErr w:type="gramEnd"/>
      <w:r w:rsidR="00351603">
        <w:t xml:space="preserve"> sensory neuropathy</w:t>
      </w:r>
      <w:r>
        <w:tab/>
        <w:t xml:space="preserve">4.5% </w:t>
      </w:r>
      <w:r w:rsidR="00365EF1">
        <w:t>compared to</w:t>
      </w:r>
      <w:r w:rsidR="00001F85">
        <w:t xml:space="preserve"> 1.7%</w:t>
      </w:r>
    </w:p>
    <w:p w:rsidR="00D74E25" w:rsidRPr="00B05CC9" w:rsidRDefault="00D74E25" w:rsidP="00351603">
      <w:pPr>
        <w:tabs>
          <w:tab w:val="left" w:pos="5103"/>
        </w:tabs>
        <w:ind w:left="360"/>
      </w:pPr>
      <w:proofErr w:type="gramStart"/>
      <w:r w:rsidRPr="00B05CC9">
        <w:t>palmar-plantar</w:t>
      </w:r>
      <w:proofErr w:type="gramEnd"/>
      <w:r w:rsidRPr="00B05CC9">
        <w:t xml:space="preserve"> </w:t>
      </w:r>
      <w:proofErr w:type="spellStart"/>
      <w:r w:rsidRPr="00B05CC9">
        <w:t>er</w:t>
      </w:r>
      <w:r>
        <w:t>ythrodysaesthesia</w:t>
      </w:r>
      <w:proofErr w:type="spellEnd"/>
      <w:r>
        <w:t xml:space="preserve"> syndrome</w:t>
      </w:r>
      <w:r>
        <w:tab/>
        <w:t>3.4% v</w:t>
      </w:r>
      <w:r w:rsidR="00365EF1">
        <w:t>ersu</w:t>
      </w:r>
      <w:r>
        <w:t xml:space="preserve">s </w:t>
      </w:r>
      <w:r w:rsidR="00001F85">
        <w:t>0.6%</w:t>
      </w:r>
    </w:p>
    <w:p w:rsidR="00D74E25" w:rsidRDefault="00351603" w:rsidP="00351603">
      <w:pPr>
        <w:tabs>
          <w:tab w:val="left" w:pos="5103"/>
        </w:tabs>
        <w:ind w:left="360"/>
      </w:pPr>
      <w:proofErr w:type="gramStart"/>
      <w:r>
        <w:t>fatigue</w:t>
      </w:r>
      <w:proofErr w:type="gramEnd"/>
      <w:r w:rsidR="00D74E25">
        <w:tab/>
        <w:t>3.4%</w:t>
      </w:r>
      <w:r w:rsidR="00D74E25" w:rsidRPr="00B05CC9">
        <w:t xml:space="preserve"> </w:t>
      </w:r>
      <w:r w:rsidR="00365EF1">
        <w:t>compared to</w:t>
      </w:r>
      <w:r w:rsidR="00D74E25">
        <w:t xml:space="preserve"> </w:t>
      </w:r>
      <w:r w:rsidR="00001F85">
        <w:t>0%</w:t>
      </w:r>
    </w:p>
    <w:p w:rsidR="00D74E25" w:rsidRDefault="00351603" w:rsidP="00351603">
      <w:pPr>
        <w:tabs>
          <w:tab w:val="left" w:pos="5103"/>
        </w:tabs>
        <w:ind w:left="360"/>
      </w:pPr>
      <w:r>
        <w:t>HTN</w:t>
      </w:r>
      <w:r w:rsidR="00D74E25">
        <w:tab/>
        <w:t xml:space="preserve">2.8% </w:t>
      </w:r>
      <w:r w:rsidR="00365EF1">
        <w:t>compared to</w:t>
      </w:r>
      <w:r w:rsidR="00D74E25" w:rsidRPr="00B05CC9">
        <w:t xml:space="preserve"> </w:t>
      </w:r>
      <w:r w:rsidR="00D74E25">
        <w:t>0%</w:t>
      </w:r>
    </w:p>
    <w:p w:rsidR="00D74E25" w:rsidRDefault="00351603" w:rsidP="00351603">
      <w:pPr>
        <w:tabs>
          <w:tab w:val="left" w:pos="5103"/>
        </w:tabs>
        <w:ind w:left="360"/>
      </w:pPr>
      <w:proofErr w:type="gramStart"/>
      <w:r>
        <w:t>neutropenia</w:t>
      </w:r>
      <w:proofErr w:type="gramEnd"/>
      <w:r w:rsidR="00D74E25">
        <w:tab/>
        <w:t xml:space="preserve">2.2% </w:t>
      </w:r>
      <w:r w:rsidR="00365EF1">
        <w:t>versus</w:t>
      </w:r>
      <w:r w:rsidR="00D74E25">
        <w:t xml:space="preserve"> 0%</w:t>
      </w:r>
    </w:p>
    <w:p w:rsidR="00D74E25" w:rsidRPr="00B05CC9" w:rsidRDefault="00351603" w:rsidP="00351603">
      <w:pPr>
        <w:tabs>
          <w:tab w:val="left" w:pos="5103"/>
        </w:tabs>
        <w:ind w:left="360"/>
      </w:pPr>
      <w:proofErr w:type="gramStart"/>
      <w:r>
        <w:t>proteinuria</w:t>
      </w:r>
      <w:proofErr w:type="gramEnd"/>
      <w:r>
        <w:tab/>
      </w:r>
      <w:r w:rsidR="00D74E25">
        <w:t xml:space="preserve">2.2% </w:t>
      </w:r>
      <w:r w:rsidR="00365EF1">
        <w:t>versus</w:t>
      </w:r>
      <w:r w:rsidR="00B51A1A">
        <w:t xml:space="preserve"> </w:t>
      </w:r>
      <w:r w:rsidR="00D74E25">
        <w:t>0%</w:t>
      </w:r>
    </w:p>
    <w:p w:rsidR="00D74E25" w:rsidRPr="00B05CC9" w:rsidRDefault="00D74E25" w:rsidP="00351603">
      <w:r>
        <w:t xml:space="preserve">Discontinuation rates of the combination treatment were most common in patients receiving paclitaxel and </w:t>
      </w:r>
      <w:proofErr w:type="spellStart"/>
      <w:r>
        <w:t>bevacizumab</w:t>
      </w:r>
      <w:proofErr w:type="spellEnd"/>
      <w:r>
        <w:t xml:space="preserve"> (29% more likely to discontinue the combination </w:t>
      </w:r>
      <w:r w:rsidR="00365EF1">
        <w:t>compared to</w:t>
      </w:r>
      <w:r>
        <w:t xml:space="preserve"> paclitaxel alone (45% </w:t>
      </w:r>
      <w:r w:rsidR="00365EF1">
        <w:t>versus</w:t>
      </w:r>
      <w:r>
        <w:t xml:space="preserve"> 16.4%)), 18% for the PLD plus </w:t>
      </w:r>
      <w:proofErr w:type="spellStart"/>
      <w:r>
        <w:t>bevacizumab</w:t>
      </w:r>
      <w:proofErr w:type="spellEnd"/>
      <w:r>
        <w:t xml:space="preserve"> arm (21% </w:t>
      </w:r>
      <w:r w:rsidR="00365EF1">
        <w:t>versus</w:t>
      </w:r>
      <w:r>
        <w:t xml:space="preserve"> 3.2%cf PLD alone) and 13% higher in the </w:t>
      </w:r>
      <w:proofErr w:type="spellStart"/>
      <w:r>
        <w:t>topotecan</w:t>
      </w:r>
      <w:proofErr w:type="spellEnd"/>
      <w:r>
        <w:t xml:space="preserve"> group (21% </w:t>
      </w:r>
      <w:r w:rsidR="00365EF1">
        <w:t>versus</w:t>
      </w:r>
      <w:r>
        <w:t xml:space="preserve"> 3.2%)</w:t>
      </w:r>
      <w:r w:rsidR="00351603">
        <w:t>.</w:t>
      </w:r>
    </w:p>
    <w:p w:rsidR="00D74E25" w:rsidRPr="00B05CC9" w:rsidRDefault="00D74E25" w:rsidP="00351603">
      <w:pPr>
        <w:ind w:left="720"/>
      </w:pPr>
      <w:r>
        <w:t>AEs</w:t>
      </w:r>
      <w:r w:rsidR="00B51A1A">
        <w:t xml:space="preserve"> </w:t>
      </w:r>
      <w:r>
        <w:t xml:space="preserve">in the CT+BV arm that occurred with </w:t>
      </w:r>
      <w:r w:rsidRPr="004735D6">
        <w:rPr>
          <w:u w:val="single"/>
        </w:rPr>
        <w:t>&gt;</w:t>
      </w:r>
      <w:r>
        <w:t xml:space="preserve"> 5% frequency than </w:t>
      </w:r>
      <w:r w:rsidRPr="00B05CC9">
        <w:t>the CT arm were as follows for each of the three drugs</w:t>
      </w:r>
      <w:r>
        <w:t>:</w:t>
      </w:r>
    </w:p>
    <w:p w:rsidR="00D74E25" w:rsidRPr="00B05CC9" w:rsidRDefault="00D74E25" w:rsidP="00351603">
      <w:pPr>
        <w:ind w:left="720"/>
      </w:pPr>
      <w:r w:rsidRPr="00365EF1">
        <w:rPr>
          <w:i/>
        </w:rPr>
        <w:t>Paclitaxel</w:t>
      </w:r>
      <w:r w:rsidR="00365EF1">
        <w:rPr>
          <w:i/>
        </w:rPr>
        <w:t>:</w:t>
      </w:r>
      <w:r w:rsidRPr="00B05CC9">
        <w:t xml:space="preserve"> neutropenia (+5%), fatigue (+6.7%), peripheral sensory neuropathy (+6.2%), nail disorders (+11.6%).</w:t>
      </w:r>
    </w:p>
    <w:p w:rsidR="00D74E25" w:rsidRPr="00B05CC9" w:rsidRDefault="00D74E25" w:rsidP="00351603">
      <w:pPr>
        <w:ind w:left="720"/>
        <w:rPr>
          <w:u w:val="single"/>
        </w:rPr>
      </w:pPr>
      <w:proofErr w:type="spellStart"/>
      <w:r w:rsidRPr="00365EF1">
        <w:t>Topotecan</w:t>
      </w:r>
      <w:proofErr w:type="spellEnd"/>
      <w:r w:rsidR="00365EF1">
        <w:t>:</w:t>
      </w:r>
      <w:r w:rsidRPr="00B05CC9">
        <w:t xml:space="preserve"> 0</w:t>
      </w:r>
    </w:p>
    <w:p w:rsidR="00D74E25" w:rsidRPr="00B05CC9" w:rsidRDefault="00D74E25" w:rsidP="00351603">
      <w:pPr>
        <w:ind w:left="720"/>
      </w:pPr>
      <w:r w:rsidRPr="00365EF1">
        <w:t>PLD</w:t>
      </w:r>
      <w:proofErr w:type="gramStart"/>
      <w:r w:rsidR="00365EF1">
        <w:t>:</w:t>
      </w:r>
      <w:r w:rsidRPr="00365EF1">
        <w:t>-</w:t>
      </w:r>
      <w:proofErr w:type="gramEnd"/>
      <w:r w:rsidR="00B51A1A" w:rsidRPr="00365EF1">
        <w:t xml:space="preserve"> </w:t>
      </w:r>
      <w:r w:rsidRPr="00365EF1">
        <w:t xml:space="preserve">Palmar-Plantar </w:t>
      </w:r>
      <w:proofErr w:type="spellStart"/>
      <w:r w:rsidRPr="00365EF1">
        <w:t>Erythrodysaesthesia</w:t>
      </w:r>
      <w:proofErr w:type="spellEnd"/>
      <w:r w:rsidR="00001F85">
        <w:t xml:space="preserve"> Syndrome (+6.5%).</w:t>
      </w:r>
    </w:p>
    <w:p w:rsidR="00D74E25" w:rsidRPr="00B05CC9" w:rsidRDefault="00D74E25" w:rsidP="00351603">
      <w:pPr>
        <w:pStyle w:val="ListBullet"/>
      </w:pPr>
      <w:r>
        <w:t xml:space="preserve">27.4% discontinued </w:t>
      </w:r>
      <w:proofErr w:type="spellStart"/>
      <w:r>
        <w:t>bevacizumab</w:t>
      </w:r>
      <w:proofErr w:type="spellEnd"/>
      <w:r>
        <w:t xml:space="preserve"> due to Grades 2-5 AEs</w:t>
      </w:r>
      <w:r w:rsidR="00B51A1A">
        <w:t xml:space="preserve"> </w:t>
      </w:r>
      <w:r>
        <w:t xml:space="preserve">patients: 8.4% gastrointestinal, 6.1% </w:t>
      </w:r>
      <w:r w:rsidRPr="00B05CC9">
        <w:t xml:space="preserve">vascular disorders </w:t>
      </w:r>
      <w:r>
        <w:t xml:space="preserve">(including </w:t>
      </w:r>
      <w:r w:rsidRPr="00B05CC9">
        <w:t xml:space="preserve">HTN crisis n=6), and </w:t>
      </w:r>
      <w:r>
        <w:t xml:space="preserve">4.5% </w:t>
      </w:r>
      <w:r w:rsidR="00001F85">
        <w:t>renal and urinary disorders.</w:t>
      </w:r>
    </w:p>
    <w:p w:rsidR="00AD561C" w:rsidRPr="008037E0" w:rsidRDefault="00D74E25" w:rsidP="002B2DCC">
      <w:pPr>
        <w:ind w:left="1843" w:hanging="1843"/>
        <w:jc w:val="both"/>
        <w:rPr>
          <w:b/>
        </w:rPr>
      </w:pPr>
      <w:r w:rsidRPr="008037E0">
        <w:rPr>
          <w:b/>
        </w:rPr>
        <w:t>Delegate comment:</w:t>
      </w:r>
    </w:p>
    <w:p w:rsidR="00D74E25" w:rsidRPr="00AC5BAB" w:rsidRDefault="00365EF1" w:rsidP="008037E0">
      <w:pPr>
        <w:ind w:left="720"/>
      </w:pPr>
      <w:r>
        <w:t>J</w:t>
      </w:r>
      <w:r w:rsidR="00D74E25">
        <w:t xml:space="preserve">ust over half of those starting the </w:t>
      </w:r>
      <w:proofErr w:type="spellStart"/>
      <w:r w:rsidR="00D74E25">
        <w:t>bevacizumab</w:t>
      </w:r>
      <w:proofErr w:type="spellEnd"/>
      <w:r w:rsidR="00D74E25">
        <w:t xml:space="preserve"> and chemotherapy are able to continue treatment until disease progression or death. </w:t>
      </w:r>
      <w:proofErr w:type="spellStart"/>
      <w:r w:rsidR="00D74E25">
        <w:t>Topotecan</w:t>
      </w:r>
      <w:proofErr w:type="spellEnd"/>
      <w:r w:rsidR="00D74E25">
        <w:t xml:space="preserve"> and BV combination appears to be the best tolerated, although the median number of cycles was the same as for paclitaxel.</w:t>
      </w:r>
    </w:p>
    <w:p w:rsidR="00D74E25" w:rsidRPr="00924702" w:rsidRDefault="00D74E25" w:rsidP="00351603">
      <w:pPr>
        <w:pStyle w:val="Heading5"/>
      </w:pPr>
      <w:r w:rsidRPr="00924702">
        <w:t>Clinical laboratory tests</w:t>
      </w:r>
      <w:bookmarkEnd w:id="187"/>
    </w:p>
    <w:p w:rsidR="00D74E25" w:rsidRDefault="00D74E25" w:rsidP="00351603">
      <w:r>
        <w:t>No</w:t>
      </w:r>
      <w:bookmarkStart w:id="188" w:name="Table_12.2.3.10-3:_Adverse_Events_in_the"/>
      <w:bookmarkStart w:id="189" w:name="12.2.5_Safety_in_Patient_Subgroups"/>
      <w:bookmarkStart w:id="190" w:name="12.2.4_Listing_of_Adverse_Events_by_Pati"/>
      <w:bookmarkStart w:id="191" w:name="12.2.3.11_Vascular_Disorders"/>
      <w:bookmarkEnd w:id="188"/>
      <w:bookmarkEnd w:id="189"/>
      <w:bookmarkEnd w:id="190"/>
      <w:bookmarkEnd w:id="191"/>
      <w:r>
        <w:t xml:space="preserve"> information was provided except for</w:t>
      </w:r>
      <w:r w:rsidRPr="00B05CC9">
        <w:t xml:space="preserve"> haematological AEs of special interest</w:t>
      </w:r>
      <w:r w:rsidR="00365EF1">
        <w:t>;</w:t>
      </w:r>
      <w:r w:rsidRPr="00B05CC9">
        <w:t xml:space="preserve"> b</w:t>
      </w:r>
      <w:r>
        <w:t>leeding and febrile neutropenia. The following is taken from the Round 2 Clinical Evaluation Report:</w:t>
      </w:r>
    </w:p>
    <w:p w:rsidR="00AD561C" w:rsidRPr="008037E0" w:rsidRDefault="00D74E25" w:rsidP="002B2DCC">
      <w:pPr>
        <w:ind w:left="1843" w:hanging="1843"/>
        <w:jc w:val="both"/>
        <w:rPr>
          <w:b/>
        </w:rPr>
      </w:pPr>
      <w:r w:rsidRPr="008037E0">
        <w:rPr>
          <w:b/>
        </w:rPr>
        <w:t>Delegate comment:</w:t>
      </w:r>
    </w:p>
    <w:p w:rsidR="00D74E25" w:rsidRPr="00B05CC9" w:rsidRDefault="00365EF1" w:rsidP="008037E0">
      <w:pPr>
        <w:ind w:left="720"/>
      </w:pPr>
      <w:r>
        <w:t>T</w:t>
      </w:r>
      <w:r w:rsidR="00D74E25">
        <w:t xml:space="preserve">his is a very limited and unsatisfactory presentation of safety data for evaluation, particularly for combinations of treatments previously untested and currently approved in combination. In an open label trial, the reliance upon investigator </w:t>
      </w:r>
      <w:r w:rsidR="00D74E25">
        <w:lastRenderedPageBreak/>
        <w:t xml:space="preserve">opinion as to the importance of laboratory abnormalities introduces the potential bias for abnormalities and AEs to go unreported and uncaptured </w:t>
      </w:r>
      <w:r>
        <w:t>for example</w:t>
      </w:r>
      <w:r w:rsidR="00D74E25">
        <w:t xml:space="preserve"> those contributing to less specific symptoms such as fatigue, which wa</w:t>
      </w:r>
      <w:r w:rsidR="00001F85">
        <w:t>s a prominent AE in this trial.</w:t>
      </w:r>
    </w:p>
    <w:p w:rsidR="00D74E25" w:rsidRDefault="00D74E25" w:rsidP="00351603">
      <w:pPr>
        <w:pStyle w:val="Heading5"/>
      </w:pPr>
      <w:r w:rsidRPr="00EA357F">
        <w:t xml:space="preserve">AEs of </w:t>
      </w:r>
      <w:r w:rsidR="00001F85">
        <w:t>s</w:t>
      </w:r>
      <w:r w:rsidRPr="00EA357F">
        <w:t xml:space="preserve">pecial </w:t>
      </w:r>
      <w:r w:rsidR="00001F85">
        <w:t>i</w:t>
      </w:r>
      <w:r w:rsidRPr="00EA357F">
        <w:t>nterest</w:t>
      </w:r>
    </w:p>
    <w:p w:rsidR="00D74E25" w:rsidRDefault="00D74E25" w:rsidP="00351603">
      <w:pPr>
        <w:pStyle w:val="ListBullet"/>
      </w:pPr>
      <w:r w:rsidRPr="00CB200E">
        <w:rPr>
          <w:u w:val="single"/>
        </w:rPr>
        <w:t>&gt;</w:t>
      </w:r>
      <w:r>
        <w:t>Grade 2</w:t>
      </w:r>
      <w:r w:rsidRPr="00AC5BAB">
        <w:t xml:space="preserve"> </w:t>
      </w:r>
      <w:r>
        <w:t>PRES</w:t>
      </w:r>
      <w:r w:rsidRPr="00AC5BAB">
        <w:t>, ATE (arterial thromboembolic event), CNS bleeding, GI perforation, fistula or a</w:t>
      </w:r>
      <w:r>
        <w:t>bscess, and febrile neutropenia</w:t>
      </w:r>
    </w:p>
    <w:p w:rsidR="00D74E25" w:rsidRPr="00EA357F" w:rsidRDefault="00D74E25" w:rsidP="00351603">
      <w:pPr>
        <w:pStyle w:val="ListBullet"/>
        <w:rPr>
          <w:b/>
        </w:rPr>
      </w:pPr>
      <w:r w:rsidRPr="00CB200E">
        <w:rPr>
          <w:u w:val="single"/>
        </w:rPr>
        <w:t>&gt;</w:t>
      </w:r>
      <w:r w:rsidRPr="00AC5BAB">
        <w:t>Grade 3 or greater hypertension (HTN), proteinuria, wound healing complication, non-CNS bleeding, VTE, CHF, and peripheral sensory neuropathy</w:t>
      </w:r>
    </w:p>
    <w:p w:rsidR="00D74E25" w:rsidRDefault="00D74E25" w:rsidP="00351603">
      <w:pPr>
        <w:pStyle w:val="Heading5"/>
      </w:pPr>
      <w:r w:rsidRPr="00B05CC9">
        <w:t xml:space="preserve">Before </w:t>
      </w:r>
      <w:r w:rsidR="00001F85">
        <w:t>c</w:t>
      </w:r>
      <w:r w:rsidRPr="00B05CC9">
        <w:t xml:space="preserve">ross-over </w:t>
      </w:r>
      <w:r w:rsidR="00001F85">
        <w:t>t</w:t>
      </w:r>
      <w:r w:rsidRPr="00B05CC9">
        <w:t>reatment</w:t>
      </w:r>
    </w:p>
    <w:p w:rsidR="00D74E25" w:rsidRPr="00B05CC9" w:rsidRDefault="00D74E25" w:rsidP="00351603">
      <w:pPr>
        <w:pStyle w:val="ListBullet"/>
      </w:pPr>
      <w:r>
        <w:t xml:space="preserve">21.8% in the CT+BV arm experienced an AE of special interest </w:t>
      </w:r>
      <w:r w:rsidR="00365EF1">
        <w:t>compared to</w:t>
      </w:r>
      <w:r w:rsidRPr="00B05CC9">
        <w:t xml:space="preserve"> 5.1% of patients </w:t>
      </w:r>
      <w:r>
        <w:t xml:space="preserve">in CT arm. The following </w:t>
      </w:r>
      <w:r w:rsidRPr="00B05CC9">
        <w:t xml:space="preserve">were observed </w:t>
      </w:r>
      <w:r>
        <w:t xml:space="preserve">at a higher rate in </w:t>
      </w:r>
      <w:proofErr w:type="spellStart"/>
      <w:r>
        <w:t>bevacizumab</w:t>
      </w:r>
      <w:proofErr w:type="spellEnd"/>
      <w:r>
        <w:t>-</w:t>
      </w:r>
      <w:r w:rsidRPr="00B05CC9">
        <w:t>treated patients by the percentage show</w:t>
      </w:r>
      <w:r w:rsidR="00001F85">
        <w:t>n for the following categories:</w:t>
      </w:r>
    </w:p>
    <w:p w:rsidR="00D74E25" w:rsidRPr="00B05CC9" w:rsidRDefault="00D74E25" w:rsidP="00351603">
      <w:pPr>
        <w:pStyle w:val="ListBullet2"/>
      </w:pPr>
      <w:r w:rsidRPr="00CB200E">
        <w:rPr>
          <w:u w:val="single"/>
        </w:rPr>
        <w:t>&gt;</w:t>
      </w:r>
      <w:r w:rsidR="002B2DCC">
        <w:rPr>
          <w:u w:val="single"/>
        </w:rPr>
        <w:t xml:space="preserve"> </w:t>
      </w:r>
      <w:r w:rsidRPr="00B05CC9">
        <w:t>Grade 2</w:t>
      </w:r>
      <w:r w:rsidRPr="00AD3209">
        <w:rPr>
          <w:i/>
        </w:rPr>
        <w:t>: GI perforation</w:t>
      </w:r>
      <w:r w:rsidRPr="00B05CC9">
        <w:t xml:space="preserve"> (+1.1%), </w:t>
      </w:r>
      <w:r w:rsidRPr="00AD3209">
        <w:rPr>
          <w:i/>
        </w:rPr>
        <w:t>fistula and abscess</w:t>
      </w:r>
      <w:r>
        <w:t xml:space="preserve"> (+2.2%),</w:t>
      </w:r>
      <w:r w:rsidR="00AD3209">
        <w:t xml:space="preserve"> </w:t>
      </w:r>
      <w:r w:rsidRPr="00B05CC9">
        <w:t>PRES (</w:t>
      </w:r>
      <w:r>
        <w:t>+0.6%)(n=1)</w:t>
      </w:r>
    </w:p>
    <w:p w:rsidR="00D74E25" w:rsidRPr="00B05CC9" w:rsidRDefault="00D74E25" w:rsidP="00351603">
      <w:pPr>
        <w:pStyle w:val="ListBullet2"/>
      </w:pPr>
      <w:r w:rsidRPr="00CB200E">
        <w:rPr>
          <w:u w:val="single"/>
        </w:rPr>
        <w:t>&gt;</w:t>
      </w:r>
      <w:r w:rsidR="002B2DCC">
        <w:rPr>
          <w:u w:val="single"/>
        </w:rPr>
        <w:t xml:space="preserve"> </w:t>
      </w:r>
      <w:r>
        <w:t>Grade 3:</w:t>
      </w:r>
      <w:r w:rsidRPr="00B05CC9">
        <w:t xml:space="preserve"> </w:t>
      </w:r>
      <w:r w:rsidRPr="00AD3209">
        <w:t>HTN</w:t>
      </w:r>
      <w:r w:rsidRPr="00B05CC9">
        <w:t xml:space="preserve"> (+6.7%), </w:t>
      </w:r>
      <w:r w:rsidRPr="00AD3209">
        <w:t>peripheral sensory neuropathy</w:t>
      </w:r>
      <w:r w:rsidRPr="00B05CC9">
        <w:t xml:space="preserve"> (+1.7%), </w:t>
      </w:r>
      <w:r w:rsidRPr="00AD3209">
        <w:t>proteinuria</w:t>
      </w:r>
      <w:r w:rsidRPr="00B05CC9">
        <w:t xml:space="preserve"> (+2.2%), </w:t>
      </w:r>
      <w:r w:rsidRPr="00AD3209">
        <w:t>ATE</w:t>
      </w:r>
      <w:r w:rsidRPr="00B05CC9">
        <w:t xml:space="preserve"> (+1.1%), and </w:t>
      </w:r>
      <w:r w:rsidRPr="00AD3209">
        <w:t>wound healing complications</w:t>
      </w:r>
      <w:r w:rsidRPr="00B05CC9">
        <w:t xml:space="preserve"> (+1.1%).</w:t>
      </w:r>
    </w:p>
    <w:p w:rsidR="00AD3209" w:rsidRDefault="00D74E25" w:rsidP="00351603">
      <w:pPr>
        <w:pStyle w:val="Heading5"/>
      </w:pPr>
      <w:r w:rsidRPr="00B05CC9">
        <w:t xml:space="preserve">After </w:t>
      </w:r>
      <w:r w:rsidR="00001F85">
        <w:t>c</w:t>
      </w:r>
      <w:r w:rsidRPr="00B05CC9">
        <w:t xml:space="preserve">ross-over </w:t>
      </w:r>
      <w:r w:rsidR="00001F85">
        <w:t>t</w:t>
      </w:r>
      <w:r w:rsidRPr="00B05CC9">
        <w:t>reatment</w:t>
      </w:r>
    </w:p>
    <w:p w:rsidR="00D74E25" w:rsidRPr="00B05CC9" w:rsidRDefault="00D74E25" w:rsidP="00351603">
      <w:r w:rsidRPr="00B05CC9">
        <w:t xml:space="preserve">Of the 72 patients who received monotherapy with </w:t>
      </w:r>
      <w:proofErr w:type="spellStart"/>
      <w:r w:rsidRPr="00B05CC9">
        <w:t>bevacizumab</w:t>
      </w:r>
      <w:proofErr w:type="spellEnd"/>
      <w:r w:rsidRPr="00B05CC9">
        <w:t xml:space="preserve"> after disease progression, the frequency of special interest AEs was less that the in the Before Cr</w:t>
      </w:r>
      <w:r>
        <w:t xml:space="preserve">oss-Over group, except for </w:t>
      </w:r>
      <w:r w:rsidRPr="00B05CC9">
        <w:t>PRES with a frequency of 4.2% (n=1).</w:t>
      </w:r>
    </w:p>
    <w:p w:rsidR="00D74E25" w:rsidRPr="00D5138E" w:rsidRDefault="00D74E25" w:rsidP="00351603">
      <w:pPr>
        <w:pStyle w:val="Heading6"/>
        <w:rPr>
          <w:rFonts w:eastAsia="MS Mincho"/>
          <w:lang w:eastAsia="ja-JP"/>
        </w:rPr>
      </w:pPr>
      <w:r w:rsidRPr="00D5138E">
        <w:rPr>
          <w:rFonts w:eastAsia="MS Mincho"/>
          <w:lang w:eastAsia="ja-JP"/>
        </w:rPr>
        <w:t>SAEs by sub-group</w:t>
      </w:r>
    </w:p>
    <w:p w:rsidR="00D74E25" w:rsidRDefault="00D74E25" w:rsidP="00351603">
      <w:pPr>
        <w:rPr>
          <w:lang w:eastAsia="ja-JP"/>
        </w:rPr>
      </w:pPr>
      <w:r>
        <w:rPr>
          <w:lang w:eastAsia="ja-JP"/>
        </w:rPr>
        <w:t xml:space="preserve">SAEs were increased in those over 65 and PI changes have been made by </w:t>
      </w:r>
      <w:r w:rsidR="00B51A1A">
        <w:rPr>
          <w:lang w:eastAsia="ja-JP"/>
        </w:rPr>
        <w:t>the sponsor</w:t>
      </w:r>
      <w:r>
        <w:rPr>
          <w:lang w:eastAsia="ja-JP"/>
        </w:rPr>
        <w:t xml:space="preserve"> in response to the clinical evaluator to reflect this. However, the actual statistics need to be included to demonstrate the risk: </w:t>
      </w:r>
      <w:r>
        <w:t xml:space="preserve">38.6% </w:t>
      </w:r>
      <w:r w:rsidR="00AD3209">
        <w:t xml:space="preserve">versus </w:t>
      </w:r>
      <w:r>
        <w:t>26.6%.</w:t>
      </w:r>
    </w:p>
    <w:p w:rsidR="00D74E25" w:rsidRPr="00AC5BAB" w:rsidRDefault="00D74E25" w:rsidP="00351603">
      <w:pPr>
        <w:rPr>
          <w:lang w:eastAsia="ja-JP"/>
        </w:rPr>
      </w:pPr>
      <w:r>
        <w:rPr>
          <w:lang w:eastAsia="ja-JP"/>
        </w:rPr>
        <w:t xml:space="preserve">The </w:t>
      </w:r>
      <w:r w:rsidR="00AD3209">
        <w:rPr>
          <w:lang w:eastAsia="ja-JP"/>
        </w:rPr>
        <w:t xml:space="preserve">clinical evaluator </w:t>
      </w:r>
      <w:r>
        <w:rPr>
          <w:lang w:eastAsia="ja-JP"/>
        </w:rPr>
        <w:t xml:space="preserve">also sought information about those with ascites. Although their baseline level of AEs was higher, there did not appear to be an increase when treated with </w:t>
      </w:r>
      <w:proofErr w:type="spellStart"/>
      <w:r>
        <w:rPr>
          <w:lang w:eastAsia="ja-JP"/>
        </w:rPr>
        <w:t>bevacizumab</w:t>
      </w:r>
      <w:proofErr w:type="spellEnd"/>
      <w:r>
        <w:rPr>
          <w:lang w:eastAsia="ja-JP"/>
        </w:rPr>
        <w:t xml:space="preserve"> as well.</w:t>
      </w:r>
    </w:p>
    <w:p w:rsidR="00D74E25" w:rsidRPr="002447FB" w:rsidRDefault="00D74E25" w:rsidP="00351603">
      <w:pPr>
        <w:pStyle w:val="Heading4"/>
        <w:rPr>
          <w:lang w:eastAsia="ja-JP"/>
        </w:rPr>
      </w:pPr>
      <w:r w:rsidRPr="002447FB">
        <w:rPr>
          <w:lang w:eastAsia="ja-JP"/>
        </w:rPr>
        <w:t>Safety discussion</w:t>
      </w:r>
    </w:p>
    <w:p w:rsidR="00D74E25" w:rsidRDefault="00D74E25" w:rsidP="00351603">
      <w:r>
        <w:t xml:space="preserve">An increase in AEs is to be expected when adding in a therapy. The addition of </w:t>
      </w:r>
      <w:proofErr w:type="spellStart"/>
      <w:r>
        <w:t>bevacizumab</w:t>
      </w:r>
      <w:proofErr w:type="spellEnd"/>
      <w:r>
        <w:t xml:space="preserve"> to che</w:t>
      </w:r>
      <w:r w:rsidR="00AD3209">
        <w:t xml:space="preserve">motherapy led to more treatment </w:t>
      </w:r>
      <w:r>
        <w:t xml:space="preserve">related deaths, higher rates of discontinuation, a greater number of and more severe SAEs and the introduction of risks specific to </w:t>
      </w:r>
      <w:proofErr w:type="spellStart"/>
      <w:r>
        <w:t>bevacizumab</w:t>
      </w:r>
      <w:proofErr w:type="spellEnd"/>
      <w:r>
        <w:t xml:space="preserve"> such as fistula formation, hypertension and proteinuria. The increase in AEs was highest with paclitaxel AEs and was lowest with </w:t>
      </w:r>
      <w:proofErr w:type="spellStart"/>
      <w:r>
        <w:t>topotecan</w:t>
      </w:r>
      <w:proofErr w:type="spellEnd"/>
      <w:r>
        <w:t xml:space="preserve">. Addition to PLD increased the risk of hand-foot syndrome and there were a number of deaths recorded with PLD alone and in combination with </w:t>
      </w:r>
      <w:proofErr w:type="spellStart"/>
      <w:r>
        <w:t>bevacizumab</w:t>
      </w:r>
      <w:proofErr w:type="spellEnd"/>
      <w:r>
        <w:t>.</w:t>
      </w:r>
    </w:p>
    <w:p w:rsidR="00D74E25" w:rsidRDefault="00D74E25" w:rsidP="00351603">
      <w:r>
        <w:t>The absence of collection of laboratory data and reliance upon the abnormalities to be reported only if causing symptoms or necessitating treatment changes</w:t>
      </w:r>
      <w:r w:rsidR="00AD3209">
        <w:t>,</w:t>
      </w:r>
      <w:r>
        <w:t xml:space="preserve"> lacks rigour, especially for new combinations, where</w:t>
      </w:r>
      <w:r w:rsidR="00001F85">
        <w:t xml:space="preserve"> such information is not known.</w:t>
      </w:r>
    </w:p>
    <w:p w:rsidR="00D74E25" w:rsidRDefault="00D74E25" w:rsidP="00351603">
      <w:r>
        <w:t xml:space="preserve">In general, the Clinical Trial section and Precautions section of the PI lack detail and do not adequately quantify risks </w:t>
      </w:r>
      <w:r w:rsidR="00AD3209">
        <w:t>for example</w:t>
      </w:r>
      <w:r>
        <w:t xml:space="preserve"> that the trial population was selected on the basis that the GI perforation rate was too high for those with &gt;2 lines of prior chemotherapy needs to be included. Presentation of the absolute statistics for SAEs in the &gt;65 year old women may deter some from considering the risk balanced against there being no change in survival.</w:t>
      </w:r>
    </w:p>
    <w:p w:rsidR="00D74E25" w:rsidRPr="00592C1F" w:rsidRDefault="00D74E25" w:rsidP="00351603">
      <w:pPr>
        <w:pStyle w:val="Heading4"/>
      </w:pPr>
      <w:r w:rsidRPr="00592C1F">
        <w:lastRenderedPageBreak/>
        <w:t xml:space="preserve">Efficacy and </w:t>
      </w:r>
      <w:r w:rsidR="00001F85">
        <w:t>s</w:t>
      </w:r>
      <w:r w:rsidRPr="00592C1F">
        <w:t xml:space="preserve">afety </w:t>
      </w:r>
      <w:r w:rsidR="00001F85">
        <w:t>s</w:t>
      </w:r>
      <w:r w:rsidRPr="00592C1F">
        <w:t>ummary</w:t>
      </w:r>
    </w:p>
    <w:p w:rsidR="00D74E25" w:rsidRDefault="00D74E25" w:rsidP="00351603">
      <w:r>
        <w:t xml:space="preserve">Overall, the addition of </w:t>
      </w:r>
      <w:proofErr w:type="spellStart"/>
      <w:r>
        <w:t>bevacizumab</w:t>
      </w:r>
      <w:proofErr w:type="spellEnd"/>
      <w:r>
        <w:t xml:space="preserve"> to chemotherapy led a 15.7% increase in partial response rates (but no CRs) as determined by RECIST criteria, a statistically significant increase in PFS but no statistically significant increase in overall survival.</w:t>
      </w:r>
      <w:r w:rsidR="00B51A1A">
        <w:t xml:space="preserve"> </w:t>
      </w:r>
      <w:r>
        <w:t xml:space="preserve">The time to treatment failure, which incorporates other factors for discontinuing therapy rather than progressive disease or death, is a valid tool for assessing the impact of treatment, especially where the discontinuation rate is high: and there was an increase of 2 months from </w:t>
      </w:r>
      <w:r w:rsidRPr="004C0BCF">
        <w:t>3.4 to 5.4 months</w:t>
      </w:r>
      <w:r>
        <w:t xml:space="preserve">, with an overall response rate of 28.2%. Discontinuations due to adverse events, toxicities, physician decision were high (43.6%) in those receiving </w:t>
      </w:r>
      <w:proofErr w:type="spellStart"/>
      <w:r>
        <w:t>bevacizumab</w:t>
      </w:r>
      <w:proofErr w:type="spellEnd"/>
      <w:r>
        <w:t>.</w:t>
      </w:r>
    </w:p>
    <w:p w:rsidR="00D74E25" w:rsidRDefault="00D74E25" w:rsidP="00351603">
      <w:r>
        <w:t>The quality of life data collection was incomplete and thus did not permit an assessment of any specific or general symptomatic improvement; consequently, the meaningfulness of this PFS, or indeed the harm from AEs to patients’ wellbeing are unknown. The Anticancer Guidelines adopted by the TGA indicate that PFS, where there is no OS, should ideally be supported by quality of life data.</w:t>
      </w:r>
    </w:p>
    <w:p w:rsidR="00D74E25" w:rsidRDefault="00D74E25" w:rsidP="00351603">
      <w:r>
        <w:t xml:space="preserve">There was no statistically significant improvement in PFS in those receiving PLD with </w:t>
      </w:r>
      <w:proofErr w:type="spellStart"/>
      <w:r>
        <w:t>bevacizumab</w:t>
      </w:r>
      <w:proofErr w:type="spellEnd"/>
      <w:r>
        <w:t xml:space="preserve"> on independent review, which is consistent with the evaluation finding of only a marginal increase in the number of treatment cycles completed (3 </w:t>
      </w:r>
      <w:r w:rsidR="00AD3209">
        <w:t>versus</w:t>
      </w:r>
      <w:r w:rsidR="00001F85">
        <w:t xml:space="preserve"> 4).</w:t>
      </w:r>
    </w:p>
    <w:p w:rsidR="00D74E25" w:rsidRDefault="00D74E25" w:rsidP="00351603">
      <w:r>
        <w:t xml:space="preserve">A subgroup </w:t>
      </w:r>
      <w:proofErr w:type="gramStart"/>
      <w:r>
        <w:t>who</w:t>
      </w:r>
      <w:proofErr w:type="gramEnd"/>
      <w:r>
        <w:t xml:space="preserve"> appeared to derive benefit were those presenting with ascites, with lower numbers in the </w:t>
      </w:r>
      <w:proofErr w:type="spellStart"/>
      <w:r>
        <w:t>bevacizumab</w:t>
      </w:r>
      <w:proofErr w:type="spellEnd"/>
      <w:r>
        <w:t xml:space="preserve"> plus chemotherapy group requiring </w:t>
      </w:r>
      <w:proofErr w:type="spellStart"/>
      <w:r>
        <w:t>paracenteses</w:t>
      </w:r>
      <w:proofErr w:type="spellEnd"/>
      <w:r>
        <w:t xml:space="preserve">. The </w:t>
      </w:r>
      <w:r w:rsidR="00AD3209">
        <w:t xml:space="preserve">clinical evaluator </w:t>
      </w:r>
      <w:r>
        <w:t>recommended restricting the approval to this particular group where there appeared to be clearer evidence for a symptomatic and clinically meaningful benefit.</w:t>
      </w:r>
    </w:p>
    <w:p w:rsidR="00D74E25" w:rsidRDefault="00D74E25" w:rsidP="00351603">
      <w:r>
        <w:t>Subjects with platinum-resistant ovarian cancer have few effective options remaining for palliative treatment. The potential 3.4</w:t>
      </w:r>
      <w:r w:rsidR="00AD3209">
        <w:t xml:space="preserve"> </w:t>
      </w:r>
      <w:r>
        <w:t xml:space="preserve">month gain in PFS with </w:t>
      </w:r>
      <w:proofErr w:type="spellStart"/>
      <w:r>
        <w:t>bevacizumab</w:t>
      </w:r>
      <w:proofErr w:type="spellEnd"/>
      <w:r>
        <w:t xml:space="preserve"> will be spent on active treatment to achieve this.</w:t>
      </w:r>
      <w:r w:rsidR="00B51A1A">
        <w:t xml:space="preserve"> </w:t>
      </w:r>
      <w:r>
        <w:t xml:space="preserve">Evaluable quality of life data would have assisted the patient’s decision as to whether the side effects of the treatment with </w:t>
      </w:r>
      <w:proofErr w:type="spellStart"/>
      <w:r>
        <w:t>bevacizumab</w:t>
      </w:r>
      <w:proofErr w:type="spellEnd"/>
      <w:r>
        <w:t xml:space="preserve"> are outweighed by the potential for there to be no disease progression for a median of 3.4 months. The </w:t>
      </w:r>
      <w:r w:rsidR="00AD3209">
        <w:t>s</w:t>
      </w:r>
      <w:r>
        <w:t>ponsor limited the analysis of quality of life data to abdominal symptoms and demonstrated an improvement (albeit with large amount of data missing), although 35% of subjects were without abdominal symptoms at baseline. The Delegate considers that some patients would be prepared to take the risk of suffering adverse events risk, to have a period of better control of their disease, following an informed discussion.</w:t>
      </w:r>
    </w:p>
    <w:p w:rsidR="00D74E25" w:rsidRDefault="00D74E25" w:rsidP="00351603">
      <w:r>
        <w:t xml:space="preserve">The </w:t>
      </w:r>
      <w:r w:rsidR="00AD3209">
        <w:t>s</w:t>
      </w:r>
      <w:r>
        <w:t>ponsor is requested to make the changes to the safety profile and to include a brief summary sentence of the key safety (deaths, SAEs</w:t>
      </w:r>
      <w:r w:rsidR="00AD3209">
        <w:t xml:space="preserve"> and</w:t>
      </w:r>
      <w:r>
        <w:t xml:space="preserve"> discontinuations) beneath the efficacy table to ensure a balanced presentation of the risks for the prescriber to convey to the patient. The PI currently contains statements about specific adverse event risks without rates to support these which does not provide sufficient detail for prescribers to inform patients so they can make an informed choice (</w:t>
      </w:r>
      <w:r w:rsidR="00AD3209">
        <w:t>for example</w:t>
      </w:r>
      <w:r>
        <w:t xml:space="preserve"> Use in the Elderly). An updated </w:t>
      </w:r>
      <w:r w:rsidR="00AD3209">
        <w:t>Consumer medicine Information (</w:t>
      </w:r>
      <w:r>
        <w:t>CMI</w:t>
      </w:r>
      <w:r w:rsidR="00AD3209">
        <w:t>)</w:t>
      </w:r>
      <w:r>
        <w:t xml:space="preserve"> will need to be reviewed, and the </w:t>
      </w:r>
      <w:r w:rsidR="00AD3209">
        <w:t>TGA’s Advisory Committee on Prescription Medicines’ (</w:t>
      </w:r>
      <w:r>
        <w:t>ACPM’s</w:t>
      </w:r>
      <w:r w:rsidR="00AD3209">
        <w:t>)</w:t>
      </w:r>
      <w:r>
        <w:t xml:space="preserve"> a</w:t>
      </w:r>
      <w:r w:rsidR="00001F85">
        <w:t>dvice on its content is sought.</w:t>
      </w:r>
    </w:p>
    <w:p w:rsidR="00D74E25" w:rsidRDefault="00D74E25" w:rsidP="00351603">
      <w:r>
        <w:t>This population had not been pre-treated with anti-</w:t>
      </w:r>
      <w:proofErr w:type="spellStart"/>
      <w:r>
        <w:t>angiogenic</w:t>
      </w:r>
      <w:proofErr w:type="spellEnd"/>
      <w:r>
        <w:t xml:space="preserve"> therapies and it cannot be assumed that re-treatment would yield the same median PFS improvement. This is reflected in the Delegate’s modified indication.</w:t>
      </w:r>
    </w:p>
    <w:p w:rsidR="00D74E25" w:rsidRDefault="00D74E25" w:rsidP="00351603">
      <w:r>
        <w:t xml:space="preserve">Both the Delegate and the </w:t>
      </w:r>
      <w:r w:rsidR="00D93173">
        <w:t>c</w:t>
      </w:r>
      <w:r>
        <w:t xml:space="preserve">linical </w:t>
      </w:r>
      <w:r w:rsidR="00D93173">
        <w:t>e</w:t>
      </w:r>
      <w:r>
        <w:t xml:space="preserve">valuator consider that the efficacy and safety of treatment </w:t>
      </w:r>
      <w:r w:rsidRPr="00B05CC9">
        <w:t>with</w:t>
      </w:r>
      <w:r>
        <w:t xml:space="preserve"> </w:t>
      </w:r>
      <w:proofErr w:type="spellStart"/>
      <w:r>
        <w:t>bevacizumab</w:t>
      </w:r>
      <w:proofErr w:type="spellEnd"/>
      <w:r>
        <w:t xml:space="preserve"> and</w:t>
      </w:r>
      <w:r w:rsidRPr="00B05CC9">
        <w:t xml:space="preserve"> </w:t>
      </w:r>
      <w:proofErr w:type="spellStart"/>
      <w:r w:rsidRPr="00B05CC9">
        <w:t>pegylated</w:t>
      </w:r>
      <w:proofErr w:type="spellEnd"/>
      <w:r w:rsidRPr="00B05CC9">
        <w:t xml:space="preserve"> liposomal doxorubicin (P</w:t>
      </w:r>
      <w:r>
        <w:t>L</w:t>
      </w:r>
      <w:r w:rsidRPr="00B05CC9">
        <w:t xml:space="preserve">D) </w:t>
      </w:r>
      <w:r>
        <w:t>have not been demonstrated satisfactorily for the proposed usage, as evidenced by the following:</w:t>
      </w:r>
    </w:p>
    <w:p w:rsidR="00D74E25" w:rsidRPr="00CC2F4E" w:rsidRDefault="00A961D1" w:rsidP="00351603">
      <w:pPr>
        <w:pStyle w:val="Numberbullet0"/>
        <w:numPr>
          <w:ilvl w:val="0"/>
          <w:numId w:val="28"/>
        </w:numPr>
      </w:pPr>
      <w:r>
        <w:t>T</w:t>
      </w:r>
      <w:r w:rsidR="00D74E25" w:rsidRPr="00CC2F4E">
        <w:t xml:space="preserve">he failure of an independent review to demonstrate increased PFS for patients treated with </w:t>
      </w:r>
      <w:proofErr w:type="spellStart"/>
      <w:r w:rsidR="00D74E25" w:rsidRPr="00CC2F4E">
        <w:t>bevacizumab</w:t>
      </w:r>
      <w:proofErr w:type="spellEnd"/>
      <w:r w:rsidR="00D74E25" w:rsidRPr="00CC2F4E">
        <w:t xml:space="preserve"> added t</w:t>
      </w:r>
      <w:r w:rsidR="00001F85">
        <w:t>o PLD chemotherapy</w:t>
      </w:r>
    </w:p>
    <w:p w:rsidR="00D74E25" w:rsidRPr="00CC2F4E" w:rsidRDefault="00A961D1" w:rsidP="00351603">
      <w:pPr>
        <w:pStyle w:val="Numberbullet0"/>
        <w:numPr>
          <w:ilvl w:val="0"/>
          <w:numId w:val="28"/>
        </w:numPr>
      </w:pPr>
      <w:r>
        <w:t>T</w:t>
      </w:r>
      <w:r w:rsidR="00D74E25" w:rsidRPr="00CC2F4E">
        <w:t>he median treatment duration being increased by only a single further cycle before discontinuation due to either disease progr</w:t>
      </w:r>
      <w:r w:rsidR="00001F85">
        <w:t>ession, death or adverse events</w:t>
      </w:r>
    </w:p>
    <w:p w:rsidR="00D74E25" w:rsidRPr="00CC2F4E" w:rsidRDefault="00A961D1" w:rsidP="00351603">
      <w:pPr>
        <w:pStyle w:val="Numberbullet0"/>
        <w:numPr>
          <w:ilvl w:val="0"/>
          <w:numId w:val="28"/>
        </w:numPr>
      </w:pPr>
      <w:r>
        <w:lastRenderedPageBreak/>
        <w:t>T</w:t>
      </w:r>
      <w:r w:rsidR="00D74E25" w:rsidRPr="00CC2F4E">
        <w:t>he adverse safety profi</w:t>
      </w:r>
      <w:r w:rsidR="00001F85">
        <w:t>le with the combination with BV</w:t>
      </w:r>
    </w:p>
    <w:p w:rsidR="00D74E25" w:rsidRPr="00CC2F4E" w:rsidRDefault="00D74E25" w:rsidP="00351603">
      <w:pPr>
        <w:pStyle w:val="Numberbullet2"/>
      </w:pPr>
      <w:r w:rsidRPr="00CC2F4E">
        <w:t xml:space="preserve">increased deaths in the PLD+BV 8.1% </w:t>
      </w:r>
      <w:r w:rsidR="00A961D1">
        <w:t>compared to</w:t>
      </w:r>
      <w:r w:rsidR="00001F85">
        <w:t xml:space="preserve"> 6.3% PLD alone</w:t>
      </w:r>
    </w:p>
    <w:p w:rsidR="00D74E25" w:rsidRPr="00CC2F4E" w:rsidRDefault="00D74E25" w:rsidP="00351603">
      <w:pPr>
        <w:pStyle w:val="Numberbullet2"/>
      </w:pPr>
      <w:r w:rsidRPr="00CC2F4E">
        <w:t xml:space="preserve">frequency of palmar-plantar </w:t>
      </w:r>
      <w:proofErr w:type="spellStart"/>
      <w:r w:rsidRPr="00CC2F4E">
        <w:t>erythrodysaesthesia</w:t>
      </w:r>
      <w:proofErr w:type="spellEnd"/>
      <w:r w:rsidR="00B51A1A">
        <w:t xml:space="preserve"> </w:t>
      </w:r>
      <w:r w:rsidRPr="00CC2F4E">
        <w:t xml:space="preserve">with BV+PLD 27.4% </w:t>
      </w:r>
      <w:r w:rsidR="00A961D1">
        <w:t>versus</w:t>
      </w:r>
      <w:r w:rsidR="00B51A1A">
        <w:t xml:space="preserve"> </w:t>
      </w:r>
      <w:r w:rsidR="00001F85">
        <w:t>12.7% PLD alone for this cohort</w:t>
      </w:r>
    </w:p>
    <w:p w:rsidR="00D74E25" w:rsidRPr="00CC2F4E" w:rsidRDefault="00D74E25" w:rsidP="00351603">
      <w:pPr>
        <w:pStyle w:val="Numberbullet0"/>
      </w:pPr>
      <w:proofErr w:type="gramStart"/>
      <w:r w:rsidRPr="00CC2F4E">
        <w:t>the</w:t>
      </w:r>
      <w:proofErr w:type="gramEnd"/>
      <w:r w:rsidRPr="00CC2F4E">
        <w:t xml:space="preserve"> absence of supportive QoL data to indicate any patient-reported benefits with this treatment to offs</w:t>
      </w:r>
      <w:r w:rsidR="00001F85">
        <w:t>et the above concerns.</w:t>
      </w:r>
    </w:p>
    <w:p w:rsidR="00D74E25" w:rsidRPr="003B223B" w:rsidRDefault="00D74E25" w:rsidP="00C32FBB">
      <w:pPr>
        <w:rPr>
          <w:lang w:eastAsia="ja-JP"/>
        </w:rPr>
      </w:pPr>
      <w:r w:rsidRPr="003B223B">
        <w:rPr>
          <w:lang w:eastAsia="ja-JP"/>
        </w:rPr>
        <w:t>Consideration of registration of the combination of PLD+BV requires the demonstration of adequate safety and efficacy through further randomised studies.</w:t>
      </w:r>
    </w:p>
    <w:p w:rsidR="008E7846" w:rsidRDefault="00386150" w:rsidP="00C32FBB">
      <w:pPr>
        <w:pStyle w:val="Heading3"/>
        <w:rPr>
          <w:lang w:eastAsia="en-AU"/>
        </w:rPr>
      </w:pPr>
      <w:bookmarkStart w:id="192" w:name="_Toc314842514"/>
      <w:bookmarkStart w:id="193" w:name="_Toc415046277"/>
      <w:r>
        <w:rPr>
          <w:lang w:eastAsia="en-AU"/>
        </w:rPr>
        <w:t>Risk m</w:t>
      </w:r>
      <w:r w:rsidR="008E7846">
        <w:rPr>
          <w:lang w:eastAsia="en-AU"/>
        </w:rPr>
        <w:t xml:space="preserve">anagement </w:t>
      </w:r>
      <w:r>
        <w:rPr>
          <w:lang w:eastAsia="en-AU"/>
        </w:rPr>
        <w:t>p</w:t>
      </w:r>
      <w:r w:rsidR="008E7846">
        <w:rPr>
          <w:lang w:eastAsia="en-AU"/>
        </w:rPr>
        <w:t>lan</w:t>
      </w:r>
      <w:bookmarkEnd w:id="192"/>
      <w:bookmarkEnd w:id="193"/>
    </w:p>
    <w:p w:rsidR="00D74E25" w:rsidRPr="003B223B" w:rsidRDefault="00D74E25" w:rsidP="00C32FBB">
      <w:r w:rsidRPr="003B223B">
        <w:t xml:space="preserve">There were no outstanding issues identified in the </w:t>
      </w:r>
      <w:r w:rsidR="00A961D1">
        <w:t>second round</w:t>
      </w:r>
      <w:r w:rsidRPr="003B223B">
        <w:t xml:space="preserve"> report by the RMP evaluator.</w:t>
      </w:r>
    </w:p>
    <w:p w:rsidR="00D74E25" w:rsidRPr="003B223B" w:rsidRDefault="00D74E25" w:rsidP="00C32FBB">
      <w:r w:rsidRPr="003B223B">
        <w:t>A number of recommendations for the RMP have been provided by the RMP evaluator and the sponsor should address these matters in the Pre-ACPM Response and follow up where appropriate with the</w:t>
      </w:r>
      <w:r w:rsidR="00A961D1">
        <w:t xml:space="preserve"> TGA</w:t>
      </w:r>
      <w:r w:rsidRPr="003B223B">
        <w:t>.</w:t>
      </w:r>
    </w:p>
    <w:p w:rsidR="008E7846" w:rsidRDefault="00AA0ED0" w:rsidP="00C32FBB">
      <w:pPr>
        <w:pStyle w:val="Heading3"/>
      </w:pPr>
      <w:bookmarkStart w:id="194" w:name="_Toc247691531"/>
      <w:bookmarkStart w:id="195" w:name="_Toc314842515"/>
      <w:bookmarkStart w:id="196" w:name="_Toc415046278"/>
      <w:bookmarkStart w:id="197" w:name="_Toc196046505"/>
      <w:bookmarkStart w:id="198" w:name="_Toc196046949"/>
      <w:r>
        <w:t>Risk-benefit a</w:t>
      </w:r>
      <w:r w:rsidR="008E7846">
        <w:t>nalysis</w:t>
      </w:r>
      <w:bookmarkEnd w:id="194"/>
      <w:bookmarkEnd w:id="195"/>
      <w:bookmarkEnd w:id="196"/>
    </w:p>
    <w:p w:rsidR="00D23139" w:rsidRPr="00A961D1" w:rsidRDefault="00D23139" w:rsidP="00C32FBB">
      <w:pPr>
        <w:pStyle w:val="Heading4"/>
      </w:pPr>
      <w:r w:rsidRPr="00D23139">
        <w:t>Del</w:t>
      </w:r>
      <w:r w:rsidR="00001F85">
        <w:t>egate’s considerations</w:t>
      </w:r>
    </w:p>
    <w:p w:rsidR="00D74E25" w:rsidRPr="00A961D1" w:rsidRDefault="00D74E25" w:rsidP="00C32FBB">
      <w:pPr>
        <w:pStyle w:val="Heading5"/>
        <w:rPr>
          <w:rFonts w:eastAsia="MS Mincho"/>
        </w:rPr>
      </w:pPr>
      <w:r w:rsidRPr="003B223B">
        <w:rPr>
          <w:rFonts w:eastAsia="MS Mincho"/>
          <w:lang w:eastAsia="ja-JP"/>
        </w:rPr>
        <w:t xml:space="preserve">Data </w:t>
      </w:r>
      <w:r w:rsidR="009E60C8">
        <w:rPr>
          <w:rFonts w:eastAsia="MS Mincho"/>
          <w:lang w:eastAsia="ja-JP"/>
        </w:rPr>
        <w:t>d</w:t>
      </w:r>
      <w:r w:rsidRPr="003B223B">
        <w:rPr>
          <w:rFonts w:eastAsia="MS Mincho"/>
          <w:lang w:eastAsia="ja-JP"/>
        </w:rPr>
        <w:t>eficiencies/</w:t>
      </w:r>
      <w:r w:rsidR="009E60C8">
        <w:rPr>
          <w:rFonts w:eastAsia="MS Mincho"/>
          <w:lang w:eastAsia="ja-JP"/>
        </w:rPr>
        <w:t>l</w:t>
      </w:r>
      <w:r w:rsidRPr="003B223B">
        <w:rPr>
          <w:rFonts w:eastAsia="MS Mincho"/>
          <w:lang w:eastAsia="ja-JP"/>
        </w:rPr>
        <w:t>imitations</w:t>
      </w:r>
    </w:p>
    <w:p w:rsidR="00D74E25" w:rsidRPr="003B223B" w:rsidRDefault="00D74E25" w:rsidP="00C32FBB">
      <w:pPr>
        <w:rPr>
          <w:lang w:eastAsia="ja-JP"/>
        </w:rPr>
      </w:pPr>
      <w:r w:rsidRPr="003B223B">
        <w:rPr>
          <w:lang w:eastAsia="ja-JP"/>
        </w:rPr>
        <w:t>There are no laboratory data measurements recorded</w:t>
      </w:r>
      <w:r w:rsidR="00A961D1">
        <w:rPr>
          <w:lang w:eastAsia="ja-JP"/>
        </w:rPr>
        <w:t xml:space="preserve">; investigator </w:t>
      </w:r>
      <w:r w:rsidRPr="003B223B">
        <w:rPr>
          <w:lang w:eastAsia="ja-JP"/>
        </w:rPr>
        <w:t>reported classification of AEs has been relied upon.</w:t>
      </w:r>
    </w:p>
    <w:p w:rsidR="00D74E25" w:rsidRPr="003B223B" w:rsidRDefault="00D74E25" w:rsidP="00C32FBB">
      <w:pPr>
        <w:rPr>
          <w:lang w:eastAsia="ja-JP"/>
        </w:rPr>
      </w:pPr>
      <w:r w:rsidRPr="003B223B">
        <w:rPr>
          <w:lang w:eastAsia="ja-JP"/>
        </w:rPr>
        <w:t>The QoL data were insufficient due to low completion rates, especially in the chemotherapy alone arm.</w:t>
      </w:r>
    </w:p>
    <w:p w:rsidR="00897A00" w:rsidRDefault="00D74E25" w:rsidP="00C32FBB">
      <w:pPr>
        <w:rPr>
          <w:rFonts w:asciiTheme="minorHAnsi" w:hAnsiTheme="minorHAnsi"/>
          <w:lang w:eastAsia="ja-JP"/>
        </w:rPr>
      </w:pPr>
      <w:r w:rsidRPr="003B223B">
        <w:rPr>
          <w:lang w:eastAsia="ja-JP"/>
        </w:rPr>
        <w:t>The PI currently does not include statistics to explain adequately the risks to prescriber or patients of undertaking treatment in this population.</w:t>
      </w:r>
    </w:p>
    <w:p w:rsidR="00897A00" w:rsidRDefault="00897A00" w:rsidP="00C32FBB">
      <w:pPr>
        <w:pStyle w:val="Heading5"/>
      </w:pPr>
      <w:r w:rsidRPr="00AC5BAB">
        <w:rPr>
          <w:rFonts w:eastAsia="MS Mincho"/>
          <w:lang w:eastAsia="ja-JP"/>
        </w:rPr>
        <w:t xml:space="preserve">Summary of </w:t>
      </w:r>
      <w:r w:rsidR="00001F85">
        <w:rPr>
          <w:rFonts w:eastAsia="MS Mincho"/>
          <w:lang w:eastAsia="ja-JP"/>
        </w:rPr>
        <w:t>i</w:t>
      </w:r>
      <w:r w:rsidRPr="00AC5BAB">
        <w:rPr>
          <w:rFonts w:eastAsia="MS Mincho"/>
          <w:lang w:eastAsia="ja-JP"/>
        </w:rPr>
        <w:t>ssues</w:t>
      </w:r>
    </w:p>
    <w:p w:rsidR="00897A00" w:rsidRPr="00D80BE4" w:rsidRDefault="00897A00" w:rsidP="00C32FBB">
      <w:r w:rsidRPr="00D80BE4">
        <w:t xml:space="preserve">Adding </w:t>
      </w:r>
      <w:proofErr w:type="spellStart"/>
      <w:r w:rsidRPr="00D80BE4">
        <w:t>bevacizumab</w:t>
      </w:r>
      <w:proofErr w:type="spellEnd"/>
      <w:r w:rsidRPr="00D80BE4">
        <w:t xml:space="preserve"> to </w:t>
      </w:r>
      <w:r>
        <w:t xml:space="preserve">paclitaxel or </w:t>
      </w:r>
      <w:proofErr w:type="spellStart"/>
      <w:r>
        <w:t>topotecan</w:t>
      </w:r>
      <w:proofErr w:type="spellEnd"/>
      <w:r>
        <w:t xml:space="preserve"> increased the response rate by 15.7%, which were partial responses or stable disease only (no complete responses) improved</w:t>
      </w:r>
      <w:r w:rsidRPr="00D80BE4">
        <w:t xml:space="preserve"> PFS by 3.3 months (statistically significant) but not OS. No improvement in either PFS or OS </w:t>
      </w:r>
      <w:r w:rsidR="00001F85">
        <w:t>was seen on independent review.</w:t>
      </w:r>
    </w:p>
    <w:p w:rsidR="00897A00" w:rsidRPr="00D80BE4" w:rsidRDefault="00897A00" w:rsidP="00C32FBB">
      <w:r>
        <w:t xml:space="preserve">Those receiving </w:t>
      </w:r>
      <w:proofErr w:type="spellStart"/>
      <w:r w:rsidRPr="00D80BE4">
        <w:t>pegylated</w:t>
      </w:r>
      <w:proofErr w:type="spellEnd"/>
      <w:r w:rsidRPr="00D80BE4">
        <w:t xml:space="preserve"> liposomal doxorubicin</w:t>
      </w:r>
      <w:r>
        <w:t xml:space="preserve"> (PLD) managed only a median of 1 extra cycle with </w:t>
      </w:r>
      <w:proofErr w:type="spellStart"/>
      <w:r>
        <w:t>bevacizumab</w:t>
      </w:r>
      <w:proofErr w:type="spellEnd"/>
      <w:r>
        <w:t>, and the i</w:t>
      </w:r>
      <w:r w:rsidRPr="00D80BE4">
        <w:t>ndependent review of the scans revealed no statistically significant increase in PFS or OS with</w:t>
      </w:r>
      <w:r>
        <w:t xml:space="preserve"> this combination</w:t>
      </w:r>
      <w:r w:rsidRPr="00D80BE4">
        <w:t>, so registration is not supported.</w:t>
      </w:r>
    </w:p>
    <w:p w:rsidR="00897A00" w:rsidRPr="00D80BE4" w:rsidRDefault="00897A00" w:rsidP="00C32FBB">
      <w:r w:rsidRPr="00D80BE4">
        <w:t>Quality of life data were missing</w:t>
      </w:r>
      <w:r w:rsidR="00A961D1">
        <w:t>,</w:t>
      </w:r>
      <w:r w:rsidRPr="00D80BE4">
        <w:t xml:space="preserve"> so whether there is specific and</w:t>
      </w:r>
      <w:r>
        <w:t>/or general</w:t>
      </w:r>
      <w:r w:rsidRPr="00D80BE4">
        <w:t xml:space="preserve"> symptomatic improvement</w:t>
      </w:r>
      <w:r>
        <w:t xml:space="preserve"> or harm to wellbeing</w:t>
      </w:r>
      <w:r w:rsidR="00001F85">
        <w:t xml:space="preserve"> is unknown.</w:t>
      </w:r>
    </w:p>
    <w:p w:rsidR="00897A00" w:rsidRPr="00D80BE4" w:rsidRDefault="00897A00" w:rsidP="00C32FBB">
      <w:r w:rsidRPr="00D80BE4">
        <w:t xml:space="preserve">Deaths, SAEs and AEs were more common with </w:t>
      </w:r>
      <w:r>
        <w:t xml:space="preserve">the study </w:t>
      </w:r>
      <w:r w:rsidR="00001F85">
        <w:t>treatment.</w:t>
      </w:r>
    </w:p>
    <w:p w:rsidR="00D74E25" w:rsidRDefault="00D23139" w:rsidP="00C32FBB">
      <w:pPr>
        <w:pStyle w:val="Heading4"/>
      </w:pPr>
      <w:r w:rsidRPr="00D23139">
        <w:t>Proposed action</w:t>
      </w:r>
    </w:p>
    <w:p w:rsidR="00D74E25" w:rsidRPr="003B223B" w:rsidRDefault="00A961D1" w:rsidP="00C32FBB">
      <w:r>
        <w:t>The Delegate</w:t>
      </w:r>
      <w:r w:rsidR="00D74E25" w:rsidRPr="003B223B">
        <w:t xml:space="preserve"> ha</w:t>
      </w:r>
      <w:r>
        <w:t>d</w:t>
      </w:r>
      <w:r w:rsidR="00D74E25" w:rsidRPr="003B223B">
        <w:t xml:space="preserve"> no reason to say, at this time, that the application for </w:t>
      </w:r>
      <w:proofErr w:type="spellStart"/>
      <w:r w:rsidRPr="003B223B">
        <w:t>Avastin</w:t>
      </w:r>
      <w:proofErr w:type="spellEnd"/>
      <w:r w:rsidRPr="003B223B">
        <w:t xml:space="preserve"> </w:t>
      </w:r>
      <w:r w:rsidR="00D74E25" w:rsidRPr="003B223B">
        <w:t>should be approved for the proposed indication. The following amended indication</w:t>
      </w:r>
      <w:r w:rsidR="00D74E25">
        <w:t xml:space="preserve"> could be considered for registration</w:t>
      </w:r>
      <w:r w:rsidR="00D74E25" w:rsidRPr="003B223B">
        <w:t>:</w:t>
      </w:r>
    </w:p>
    <w:p w:rsidR="00D74E25" w:rsidRPr="00C32FBB" w:rsidRDefault="00D74E25" w:rsidP="00C32FBB">
      <w:pPr>
        <w:ind w:left="720"/>
        <w:rPr>
          <w:i/>
          <w:lang w:val="en-US"/>
        </w:rPr>
      </w:pPr>
      <w:proofErr w:type="spellStart"/>
      <w:r w:rsidRPr="00C32FBB">
        <w:rPr>
          <w:i/>
          <w:lang w:val="en-US"/>
        </w:rPr>
        <w:t>A</w:t>
      </w:r>
      <w:r w:rsidR="00897A00" w:rsidRPr="00C32FBB">
        <w:rPr>
          <w:i/>
          <w:lang w:val="en-US"/>
        </w:rPr>
        <w:t>vastin</w:t>
      </w:r>
      <w:proofErr w:type="spellEnd"/>
      <w:r w:rsidRPr="00C32FBB">
        <w:rPr>
          <w:i/>
          <w:lang w:val="en-US"/>
        </w:rPr>
        <w:t xml:space="preserve"> (</w:t>
      </w:r>
      <w:proofErr w:type="spellStart"/>
      <w:r w:rsidRPr="00C32FBB">
        <w:rPr>
          <w:i/>
          <w:lang w:val="en-US"/>
        </w:rPr>
        <w:t>bevacizumab</w:t>
      </w:r>
      <w:proofErr w:type="spellEnd"/>
      <w:r w:rsidRPr="00C32FBB">
        <w:rPr>
          <w:i/>
          <w:lang w:val="en-US"/>
        </w:rPr>
        <w:t xml:space="preserve">) in combination with paclitaxel or </w:t>
      </w:r>
      <w:proofErr w:type="spellStart"/>
      <w:r w:rsidRPr="00C32FBB">
        <w:rPr>
          <w:i/>
          <w:lang w:val="en-US"/>
        </w:rPr>
        <w:t>topotecan</w:t>
      </w:r>
      <w:proofErr w:type="spellEnd"/>
      <w:r w:rsidRPr="00C32FBB">
        <w:rPr>
          <w:i/>
          <w:lang w:val="en-US"/>
        </w:rPr>
        <w:t xml:space="preserve"> is indicated for the treatment of patients with recurrent, platinum-resistant epithelial ovarian, </w:t>
      </w:r>
      <w:r w:rsidRPr="00C32FBB">
        <w:rPr>
          <w:i/>
          <w:lang w:val="en-US"/>
        </w:rPr>
        <w:lastRenderedPageBreak/>
        <w:t>fallopian tube, or primary peritoneal cancer who have received no more than two prior chemotherapy regimens, and who have not received any prior anti-</w:t>
      </w:r>
      <w:proofErr w:type="spellStart"/>
      <w:r w:rsidRPr="00C32FBB">
        <w:rPr>
          <w:i/>
          <w:lang w:val="en-US"/>
        </w:rPr>
        <w:t>angiogenic</w:t>
      </w:r>
      <w:proofErr w:type="spellEnd"/>
      <w:r w:rsidRPr="00C32FBB">
        <w:rPr>
          <w:i/>
          <w:lang w:val="en-US"/>
        </w:rPr>
        <w:t xml:space="preserve"> therapy including </w:t>
      </w:r>
      <w:proofErr w:type="spellStart"/>
      <w:r w:rsidRPr="00C32FBB">
        <w:rPr>
          <w:i/>
          <w:lang w:val="en-US"/>
        </w:rPr>
        <w:t>bevacizumab</w:t>
      </w:r>
      <w:proofErr w:type="spellEnd"/>
      <w:r w:rsidRPr="00C32FBB">
        <w:rPr>
          <w:i/>
          <w:lang w:val="en-US"/>
        </w:rPr>
        <w:t>.</w:t>
      </w:r>
    </w:p>
    <w:p w:rsidR="00D74E25" w:rsidRPr="003B223B" w:rsidRDefault="00D74E25" w:rsidP="00C32FBB">
      <w:pPr>
        <w:pStyle w:val="Heading5"/>
        <w:rPr>
          <w:lang w:eastAsia="ja-JP"/>
        </w:rPr>
      </w:pPr>
      <w:r w:rsidRPr="003B223B">
        <w:rPr>
          <w:lang w:eastAsia="ja-JP"/>
        </w:rPr>
        <w:t xml:space="preserve">Conditions of </w:t>
      </w:r>
      <w:r w:rsidR="00001F85">
        <w:rPr>
          <w:lang w:eastAsia="ja-JP"/>
        </w:rPr>
        <w:t>r</w:t>
      </w:r>
      <w:r w:rsidRPr="003B223B">
        <w:rPr>
          <w:lang w:eastAsia="ja-JP"/>
        </w:rPr>
        <w:t>egistration</w:t>
      </w:r>
    </w:p>
    <w:p w:rsidR="00D74E25" w:rsidRPr="003B223B" w:rsidRDefault="00D74E25" w:rsidP="00C32FBB">
      <w:r w:rsidRPr="003B223B">
        <w:t xml:space="preserve">Implement </w:t>
      </w:r>
      <w:proofErr w:type="spellStart"/>
      <w:r w:rsidRPr="003B223B">
        <w:t>Avastin</w:t>
      </w:r>
      <w:proofErr w:type="spellEnd"/>
      <w:r w:rsidRPr="003B223B">
        <w:t xml:space="preserve"> EU RMP v14.0 (data lock point 2 August 2013) </w:t>
      </w:r>
      <w:r w:rsidR="0028770B">
        <w:t>and</w:t>
      </w:r>
      <w:r w:rsidRPr="003B223B">
        <w:t xml:space="preserve"> Australian Specific Annex (Version 4.0 dated November 2013) with revisions as agreed.</w:t>
      </w:r>
    </w:p>
    <w:p w:rsidR="00D23139" w:rsidRDefault="00D23139" w:rsidP="00C32FBB">
      <w:pPr>
        <w:pStyle w:val="Heading4"/>
      </w:pPr>
      <w:r w:rsidRPr="00A961D1">
        <w:t>Request</w:t>
      </w:r>
      <w:r w:rsidRPr="00D23139">
        <w:t xml:space="preserve"> for ACPM advice</w:t>
      </w:r>
    </w:p>
    <w:p w:rsidR="00D74E25" w:rsidRDefault="001F3902" w:rsidP="00C32FBB">
      <w:r w:rsidRPr="00A961D1">
        <w:t xml:space="preserve">Whether the improvement in PFS alone is sufficient to support registration for the </w:t>
      </w:r>
      <w:r w:rsidR="00A961D1" w:rsidRPr="00A961D1">
        <w:t>D</w:t>
      </w:r>
      <w:r w:rsidRPr="00A961D1">
        <w:t>elegate’s modified indication</w:t>
      </w:r>
      <w:r>
        <w:t>.</w:t>
      </w:r>
    </w:p>
    <w:p w:rsidR="00D74E25" w:rsidRPr="003B223B" w:rsidRDefault="00D74E25" w:rsidP="00C32FBB">
      <w:pPr>
        <w:pStyle w:val="Heading4"/>
        <w:rPr>
          <w:lang w:eastAsia="ja-JP"/>
        </w:rPr>
      </w:pPr>
      <w:r w:rsidRPr="003B223B">
        <w:rPr>
          <w:lang w:eastAsia="ja-JP"/>
        </w:rPr>
        <w:t xml:space="preserve">Questions for </w:t>
      </w:r>
      <w:r w:rsidR="00B51A1A">
        <w:rPr>
          <w:lang w:eastAsia="ja-JP"/>
        </w:rPr>
        <w:t>the sponsor</w:t>
      </w:r>
    </w:p>
    <w:p w:rsidR="00D74E25" w:rsidRPr="003B223B" w:rsidRDefault="00D74E25" w:rsidP="00C32FBB">
      <w:pPr>
        <w:rPr>
          <w:lang w:eastAsia="ja-JP"/>
        </w:rPr>
      </w:pPr>
      <w:r w:rsidRPr="003B223B">
        <w:rPr>
          <w:lang w:eastAsia="ja-JP"/>
        </w:rPr>
        <w:t xml:space="preserve">The </w:t>
      </w:r>
      <w:r w:rsidR="00A961D1">
        <w:rPr>
          <w:lang w:eastAsia="ja-JP"/>
        </w:rPr>
        <w:t>s</w:t>
      </w:r>
      <w:r w:rsidRPr="003B223B">
        <w:rPr>
          <w:lang w:eastAsia="ja-JP"/>
        </w:rPr>
        <w:t xml:space="preserve">ponsor is requested to confirm the number of cases of PRES in the study, including those that developed after crossing over to </w:t>
      </w:r>
      <w:proofErr w:type="spellStart"/>
      <w:r w:rsidRPr="003B223B">
        <w:rPr>
          <w:lang w:eastAsia="ja-JP"/>
        </w:rPr>
        <w:t>bevacizumab</w:t>
      </w:r>
      <w:proofErr w:type="spellEnd"/>
      <w:r w:rsidRPr="003B223B">
        <w:rPr>
          <w:lang w:eastAsia="ja-JP"/>
        </w:rPr>
        <w:t xml:space="preserve"> monotherapy and to incorporate these into the PI, stating specifically that they occurred in this trial population.</w:t>
      </w:r>
    </w:p>
    <w:p w:rsidR="00D74E25" w:rsidRPr="003B223B" w:rsidRDefault="00D74E25" w:rsidP="00C32FBB">
      <w:pPr>
        <w:rPr>
          <w:lang w:eastAsia="ja-JP"/>
        </w:rPr>
      </w:pPr>
      <w:r w:rsidRPr="003B223B">
        <w:rPr>
          <w:lang w:eastAsia="ja-JP"/>
        </w:rPr>
        <w:t>Please provide a justification for the proposed PI change restricting to physicians</w:t>
      </w:r>
      <w:r>
        <w:rPr>
          <w:lang w:eastAsia="ja-JP"/>
        </w:rPr>
        <w:t xml:space="preserve"> who</w:t>
      </w:r>
      <w:r w:rsidRPr="003B223B">
        <w:rPr>
          <w:lang w:eastAsia="ja-JP"/>
        </w:rPr>
        <w:t xml:space="preserve"> treat cancer.</w:t>
      </w:r>
    </w:p>
    <w:p w:rsidR="00D23139" w:rsidRDefault="00D23139" w:rsidP="00C32FBB">
      <w:pPr>
        <w:pStyle w:val="Heading4"/>
      </w:pPr>
      <w:r w:rsidRPr="00D23139">
        <w:t xml:space="preserve">Response from </w:t>
      </w:r>
      <w:r w:rsidR="00001F85">
        <w:t>s</w:t>
      </w:r>
      <w:r w:rsidRPr="00D23139">
        <w:t xml:space="preserve">ponsor </w:t>
      </w:r>
    </w:p>
    <w:p w:rsidR="001F3902" w:rsidRDefault="001F3902" w:rsidP="00C32FBB">
      <w:pPr>
        <w:pStyle w:val="Heading5"/>
      </w:pPr>
      <w:r>
        <w:t xml:space="preserve">Comment on the </w:t>
      </w:r>
      <w:r w:rsidR="00001F85">
        <w:t>d</w:t>
      </w:r>
      <w:r>
        <w:t xml:space="preserve">elegate’s </w:t>
      </w:r>
      <w:r w:rsidR="00A961D1">
        <w:t>p</w:t>
      </w:r>
      <w:r>
        <w:t xml:space="preserve">roposed </w:t>
      </w:r>
      <w:r w:rsidR="00A961D1">
        <w:t>a</w:t>
      </w:r>
      <w:r w:rsidR="00001F85">
        <w:t>ction</w:t>
      </w:r>
    </w:p>
    <w:p w:rsidR="00C32FBB" w:rsidRDefault="001F3902" w:rsidP="00897A00">
      <w:r>
        <w:t>The Delegate’s Pre-ACPM preliminary assessment for the application is:</w:t>
      </w:r>
    </w:p>
    <w:p w:rsidR="001F3902" w:rsidRDefault="001F3902" w:rsidP="00C32FBB">
      <w:pPr>
        <w:ind w:left="720"/>
      </w:pPr>
      <w:r>
        <w:t>‘</w:t>
      </w:r>
      <w:r w:rsidRPr="00D642FB">
        <w:rPr>
          <w:i/>
        </w:rPr>
        <w:t xml:space="preserve">I am not in a position to say that </w:t>
      </w:r>
      <w:proofErr w:type="spellStart"/>
      <w:r w:rsidR="00D642FB" w:rsidRPr="00D642FB">
        <w:rPr>
          <w:i/>
        </w:rPr>
        <w:t>Avastin</w:t>
      </w:r>
      <w:proofErr w:type="spellEnd"/>
      <w:r w:rsidR="00D642FB" w:rsidRPr="00D642FB">
        <w:rPr>
          <w:i/>
        </w:rPr>
        <w:t xml:space="preserve"> </w:t>
      </w:r>
      <w:r w:rsidRPr="00D642FB">
        <w:rPr>
          <w:i/>
        </w:rPr>
        <w:t>should be approved for the proposed indication. However the following indication could be considered for registration:</w:t>
      </w:r>
      <w:r w:rsidR="00B51A1A" w:rsidRPr="00D642FB">
        <w:rPr>
          <w:i/>
        </w:rPr>
        <w:t xml:space="preserve">  ‘</w:t>
      </w:r>
      <w:proofErr w:type="spellStart"/>
      <w:r w:rsidR="00D642FB" w:rsidRPr="00D642FB">
        <w:rPr>
          <w:i/>
        </w:rPr>
        <w:t>Avastin</w:t>
      </w:r>
      <w:proofErr w:type="spellEnd"/>
      <w:r w:rsidR="00D642FB" w:rsidRPr="00D642FB">
        <w:rPr>
          <w:i/>
        </w:rPr>
        <w:t xml:space="preserve"> </w:t>
      </w:r>
      <w:r w:rsidRPr="00D642FB">
        <w:rPr>
          <w:i/>
        </w:rPr>
        <w:t>(</w:t>
      </w:r>
      <w:proofErr w:type="spellStart"/>
      <w:r w:rsidRPr="00D642FB">
        <w:rPr>
          <w:i/>
        </w:rPr>
        <w:t>bevacizumab</w:t>
      </w:r>
      <w:proofErr w:type="spellEnd"/>
      <w:r w:rsidRPr="00D642FB">
        <w:rPr>
          <w:i/>
        </w:rPr>
        <w:t xml:space="preserve">) in combination with paclitaxel or </w:t>
      </w:r>
      <w:proofErr w:type="spellStart"/>
      <w:r w:rsidRPr="00D642FB">
        <w:rPr>
          <w:i/>
        </w:rPr>
        <w:t>topotecan</w:t>
      </w:r>
      <w:proofErr w:type="spellEnd"/>
      <w:r w:rsidRPr="00D642FB">
        <w:rPr>
          <w:i/>
        </w:rPr>
        <w:t xml:space="preserve"> is indicated for the treatment of patients with recurrent, platinum-resistant epithelial ovarian, fallopian tube, or primary peritoneal cancer who have received no more than two prior chemotherapy regimens, and who have not received any prior anti-</w:t>
      </w:r>
      <w:proofErr w:type="spellStart"/>
      <w:r w:rsidRPr="00D642FB">
        <w:rPr>
          <w:i/>
        </w:rPr>
        <w:t>angiogenic</w:t>
      </w:r>
      <w:proofErr w:type="spellEnd"/>
      <w:r w:rsidRPr="00D642FB">
        <w:rPr>
          <w:i/>
        </w:rPr>
        <w:t xml:space="preserve"> therapy including </w:t>
      </w:r>
      <w:proofErr w:type="spellStart"/>
      <w:r w:rsidRPr="00D642FB">
        <w:rPr>
          <w:i/>
        </w:rPr>
        <w:t>bevacizumab</w:t>
      </w:r>
      <w:proofErr w:type="spellEnd"/>
      <w:r>
        <w:t>.</w:t>
      </w:r>
      <w:r w:rsidR="00B51A1A">
        <w:t>’</w:t>
      </w:r>
    </w:p>
    <w:p w:rsidR="001F3902" w:rsidRDefault="001F3902" w:rsidP="00C32FBB">
      <w:r>
        <w:t xml:space="preserve">The </w:t>
      </w:r>
      <w:r w:rsidR="00D642FB">
        <w:t>s</w:t>
      </w:r>
      <w:r>
        <w:t>ponsor concurs with the Delegate’s recommendation to limit the indication to patients who have not received prior anti-</w:t>
      </w:r>
      <w:proofErr w:type="spellStart"/>
      <w:r>
        <w:t>angiogenic</w:t>
      </w:r>
      <w:proofErr w:type="spellEnd"/>
      <w:r>
        <w:t xml:space="preserve"> therapy. The </w:t>
      </w:r>
      <w:r w:rsidR="00D642FB">
        <w:t>s</w:t>
      </w:r>
      <w:r>
        <w:t xml:space="preserve">ponsor does not concur with the Delegate’s recommendation to remove </w:t>
      </w:r>
      <w:proofErr w:type="spellStart"/>
      <w:r>
        <w:t>pegylated</w:t>
      </w:r>
      <w:proofErr w:type="spellEnd"/>
      <w:r>
        <w:t xml:space="preserve"> liposomal doxorubicin (PLD) from the indication as a chemotherapy treatment option in combination with </w:t>
      </w:r>
      <w:proofErr w:type="spellStart"/>
      <w:r>
        <w:t>Avastin</w:t>
      </w:r>
      <w:proofErr w:type="spellEnd"/>
      <w:r>
        <w:t xml:space="preserve">. The </w:t>
      </w:r>
      <w:r w:rsidR="00D642FB">
        <w:t>s</w:t>
      </w:r>
      <w:r>
        <w:t>ponsor proposes the following modifi</w:t>
      </w:r>
      <w:r w:rsidR="00001F85">
        <w:t>ed indication for registration:</w:t>
      </w:r>
    </w:p>
    <w:p w:rsidR="001F3902" w:rsidRDefault="00B51A1A" w:rsidP="00D642FB">
      <w:pPr>
        <w:ind w:left="567"/>
      </w:pPr>
      <w:r>
        <w:t>‘</w:t>
      </w:r>
      <w:proofErr w:type="spellStart"/>
      <w:r w:rsidR="00D642FB" w:rsidRPr="00D642FB">
        <w:rPr>
          <w:i/>
        </w:rPr>
        <w:t>Avastin</w:t>
      </w:r>
      <w:proofErr w:type="spellEnd"/>
      <w:r w:rsidR="00D642FB" w:rsidRPr="00D642FB">
        <w:rPr>
          <w:i/>
        </w:rPr>
        <w:t xml:space="preserve"> </w:t>
      </w:r>
      <w:r w:rsidR="001F3902" w:rsidRPr="00D642FB">
        <w:rPr>
          <w:i/>
        </w:rPr>
        <w:t>(</w:t>
      </w:r>
      <w:proofErr w:type="spellStart"/>
      <w:r w:rsidR="001F3902" w:rsidRPr="00D642FB">
        <w:rPr>
          <w:i/>
        </w:rPr>
        <w:t>bevacizumab</w:t>
      </w:r>
      <w:proofErr w:type="spellEnd"/>
      <w:r w:rsidR="001F3902" w:rsidRPr="00D642FB">
        <w:rPr>
          <w:i/>
        </w:rPr>
        <w:t xml:space="preserve">) in combination with paclitaxel, </w:t>
      </w:r>
      <w:proofErr w:type="spellStart"/>
      <w:r w:rsidR="001F3902" w:rsidRPr="00D642FB">
        <w:rPr>
          <w:i/>
        </w:rPr>
        <w:t>topotecan</w:t>
      </w:r>
      <w:proofErr w:type="spellEnd"/>
      <w:r w:rsidR="001F3902" w:rsidRPr="00D642FB">
        <w:rPr>
          <w:i/>
        </w:rPr>
        <w:t xml:space="preserve"> or </w:t>
      </w:r>
      <w:proofErr w:type="spellStart"/>
      <w:r w:rsidR="001F3902" w:rsidRPr="00D642FB">
        <w:rPr>
          <w:i/>
        </w:rPr>
        <w:t>pegylated</w:t>
      </w:r>
      <w:proofErr w:type="spellEnd"/>
      <w:r w:rsidR="001F3902" w:rsidRPr="00D642FB">
        <w:rPr>
          <w:i/>
        </w:rPr>
        <w:t xml:space="preserve"> liposomal doxorubicin is indicated for the treatment of patients with recurrent, platinum-resistant epithelial ovarian, fallopian tube, or primary peritoneal cancer who have received no more than two prior chemotherapy regimens, and who have not received any prior anti-</w:t>
      </w:r>
      <w:proofErr w:type="spellStart"/>
      <w:r w:rsidR="001F3902" w:rsidRPr="00D642FB">
        <w:rPr>
          <w:i/>
        </w:rPr>
        <w:t>angiogenic</w:t>
      </w:r>
      <w:proofErr w:type="spellEnd"/>
      <w:r w:rsidR="001F3902" w:rsidRPr="00D642FB">
        <w:rPr>
          <w:i/>
        </w:rPr>
        <w:t xml:space="preserve"> therapy including </w:t>
      </w:r>
      <w:proofErr w:type="spellStart"/>
      <w:r w:rsidR="001F3902" w:rsidRPr="00D642FB">
        <w:rPr>
          <w:i/>
        </w:rPr>
        <w:t>bevacizumab</w:t>
      </w:r>
      <w:proofErr w:type="spellEnd"/>
      <w:r w:rsidR="001F3902">
        <w:t>.</w:t>
      </w:r>
      <w:r>
        <w:t>’</w:t>
      </w:r>
    </w:p>
    <w:p w:rsidR="00C32FBB" w:rsidRDefault="001F3902" w:rsidP="00897A00">
      <w:r>
        <w:t xml:space="preserve">The following statement is made </w:t>
      </w:r>
      <w:r w:rsidR="00D642FB">
        <w:t>in</w:t>
      </w:r>
      <w:r>
        <w:t xml:space="preserve"> the Delegate’s Overview, under </w:t>
      </w:r>
      <w:r w:rsidRPr="00D642FB">
        <w:rPr>
          <w:i/>
        </w:rPr>
        <w:t>Summary of Issues</w:t>
      </w:r>
      <w:r>
        <w:t>:</w:t>
      </w:r>
    </w:p>
    <w:p w:rsidR="001F3902" w:rsidRDefault="00B51A1A" w:rsidP="00C32FBB">
      <w:pPr>
        <w:tabs>
          <w:tab w:val="left" w:pos="567"/>
        </w:tabs>
        <w:ind w:left="567"/>
      </w:pPr>
      <w:r>
        <w:t>‘</w:t>
      </w:r>
      <w:r w:rsidR="001F3902" w:rsidRPr="00D642FB">
        <w:rPr>
          <w:i/>
        </w:rPr>
        <w:t xml:space="preserve">Adding </w:t>
      </w:r>
      <w:proofErr w:type="spellStart"/>
      <w:r w:rsidR="001F3902" w:rsidRPr="00D642FB">
        <w:rPr>
          <w:i/>
        </w:rPr>
        <w:t>bevacizumab</w:t>
      </w:r>
      <w:proofErr w:type="spellEnd"/>
      <w:r w:rsidR="001F3902" w:rsidRPr="00D642FB">
        <w:rPr>
          <w:i/>
        </w:rPr>
        <w:t xml:space="preserve"> to paclitaxel or </w:t>
      </w:r>
      <w:proofErr w:type="spellStart"/>
      <w:r w:rsidR="001F3902" w:rsidRPr="00D642FB">
        <w:rPr>
          <w:i/>
        </w:rPr>
        <w:t>topotecan</w:t>
      </w:r>
      <w:proofErr w:type="spellEnd"/>
      <w:r w:rsidR="001F3902" w:rsidRPr="00D642FB">
        <w:rPr>
          <w:i/>
        </w:rPr>
        <w:t xml:space="preserve"> increased the response rate by 15.7%, which were partial responses or stable disease only trio complete responses) improved PFS by 3.3 months (statistically significant) but not OS. No improvement in either PFS or OS was seen on independent review</w:t>
      </w:r>
      <w:r w:rsidR="001F3902">
        <w:t>.</w:t>
      </w:r>
      <w:r>
        <w:t>’</w:t>
      </w:r>
      <w:r w:rsidR="00D642FB">
        <w:t xml:space="preserve"> </w:t>
      </w:r>
      <w:r w:rsidR="001F3902">
        <w:t xml:space="preserve">The </w:t>
      </w:r>
      <w:r w:rsidR="00D642FB">
        <w:t>s</w:t>
      </w:r>
      <w:r w:rsidR="001F3902">
        <w:t>ponsor wishes to highlight this statement is incorrect. Improvement in PFS was confirmed by independent</w:t>
      </w:r>
      <w:r w:rsidR="00001F85">
        <w:t xml:space="preserve"> review and is discussed below.</w:t>
      </w:r>
    </w:p>
    <w:p w:rsidR="001F3902" w:rsidRDefault="00001F85" w:rsidP="00C32FBB">
      <w:pPr>
        <w:pStyle w:val="Heading5"/>
      </w:pPr>
      <w:r>
        <w:lastRenderedPageBreak/>
        <w:t>Benefit/risk assessment</w:t>
      </w:r>
    </w:p>
    <w:p w:rsidR="001F3902" w:rsidRDefault="001F3902" w:rsidP="00C32FBB">
      <w:r>
        <w:t xml:space="preserve">Study MO22224 was designed to evaluate the efficacy and safety of </w:t>
      </w:r>
      <w:proofErr w:type="spellStart"/>
      <w:r>
        <w:t>bevacizumab</w:t>
      </w:r>
      <w:proofErr w:type="spellEnd"/>
      <w:r>
        <w:t xml:space="preserve"> (B</w:t>
      </w:r>
      <w:r w:rsidR="00D642FB">
        <w:t>V</w:t>
      </w:r>
      <w:r>
        <w:t xml:space="preserve">) in combination with chemotherapy (CT) for recurrent platinum-resistant ovarian cancer with the main objective to compare progression-free survival (PFS) of patients randomised to selected CT (paclitaxel, </w:t>
      </w:r>
      <w:proofErr w:type="spellStart"/>
      <w:r>
        <w:t>topotecan</w:t>
      </w:r>
      <w:proofErr w:type="spellEnd"/>
      <w:r>
        <w:t>, or PLD) or to selected CT plus B</w:t>
      </w:r>
      <w:r w:rsidR="00D642FB">
        <w:t>V</w:t>
      </w:r>
      <w:r>
        <w:t xml:space="preserve">. The data from MO22224 are the best efficacy results to date of any currently available treatment options in the setting of recurrent platinum-resistant disease and </w:t>
      </w:r>
      <w:r w:rsidR="00B51A1A">
        <w:t>the sponsor</w:t>
      </w:r>
      <w:r>
        <w:t xml:space="preserve"> consider</w:t>
      </w:r>
      <w:r w:rsidR="00D642FB">
        <w:t>s the benefit/risk profile of BV</w:t>
      </w:r>
      <w:r>
        <w:t xml:space="preserve"> use in this setting to be positive.</w:t>
      </w:r>
    </w:p>
    <w:p w:rsidR="001F3902" w:rsidRDefault="001F3902" w:rsidP="00C32FBB">
      <w:r>
        <w:t>The results of the investigator-assessed PFS, which was the primary endpoint, showed a 62.1% reduction in</w:t>
      </w:r>
      <w:r w:rsidR="00D642FB">
        <w:t xml:space="preserve"> the risk of a PFS event when BV</w:t>
      </w:r>
      <w:r>
        <w:t xml:space="preserve"> was added to any CT, </w:t>
      </w:r>
      <w:r w:rsidR="00D642FB">
        <w:t>that is,</w:t>
      </w:r>
      <w:r>
        <w:t xml:space="preserve"> paclitaxel, </w:t>
      </w:r>
      <w:proofErr w:type="spellStart"/>
      <w:r>
        <w:t>topotecan</w:t>
      </w:r>
      <w:proofErr w:type="spellEnd"/>
      <w:r>
        <w:t xml:space="preserve"> or PLD, (hazard ratio [HR] 0.379; 95% CI: 0.296, 0.485; log-rank p-value 0.0001), with a corresponding increase of 3.3 months in median duration of PFS. Moreover, the results of the retrospective independent review committee (IRC) for all randomised patients confirmed the clinically meaningful and statistically significant improvement observed in investigator-assessed PFS when B</w:t>
      </w:r>
      <w:r w:rsidR="00D642FB">
        <w:t>V</w:t>
      </w:r>
      <w:r>
        <w:t xml:space="preserve"> was added to any CT (HR 0.484; 95% CI: 0.370, 0.632; log-rank p 0.0001). These results are of significant clinical relevance because it is the first time a prolongation in PFS has been observed in this extremely poor prognosis disease setting with limited treatment options. The robustness of the PFS result was supported by all the sensitivity analyses and the majority of subgroups (MO22224 clinical study report (CSR) and IRC st</w:t>
      </w:r>
      <w:r w:rsidR="00001F85">
        <w:t>atistical analysis plan (SAP)).</w:t>
      </w:r>
    </w:p>
    <w:p w:rsidR="001F3902" w:rsidRDefault="001F3902" w:rsidP="00C32FBB">
      <w:r>
        <w:t>The improvement in the PFS primary efficacy endpoint was also supported by secondary endpoints: a statistically significant and clinically meaningful improvement in overall response rate (ORR), with a difference in ORR of 15.7% in favour of the B</w:t>
      </w:r>
      <w:r w:rsidR="00D642FB">
        <w:t>V</w:t>
      </w:r>
      <w:r>
        <w:t xml:space="preserve"> arm when </w:t>
      </w:r>
      <w:r w:rsidR="00D642FB">
        <w:t>BV</w:t>
      </w:r>
      <w:r>
        <w:t xml:space="preserve"> was added to any CT (95% CI: 6.5%, 24.8%; p </w:t>
      </w:r>
      <w:bookmarkStart w:id="199" w:name="_GoBack"/>
      <w:bookmarkEnd w:id="199"/>
      <w:r>
        <w:t>0.0007); and a reduction in the risk of death of 13% (HR 0.870; 95% CI: 0.678, 1.116; log-rank p 0.2711), with a corresponding 3.3 month improvement in median overall survival (OS) (from 13.3 months in the CT arm to 16.6 months in the CT B</w:t>
      </w:r>
      <w:r w:rsidR="00D642FB">
        <w:t>V</w:t>
      </w:r>
      <w:r>
        <w:t xml:space="preserve"> arm), though this was not statistically significant. The improvement in median OS compared favourably to the median OS reported in prior trials of the CT agents used in this trial (paclitaxel, </w:t>
      </w:r>
      <w:proofErr w:type="spellStart"/>
      <w:r>
        <w:t>topotecan</w:t>
      </w:r>
      <w:proofErr w:type="spellEnd"/>
      <w:r>
        <w:t>, and PLD) which ranged from 8.3 to 14.1 months (36 to 61 weeks)</w:t>
      </w:r>
      <w:r w:rsidR="0011732E">
        <w:t>.</w:t>
      </w:r>
      <w:r>
        <w:t xml:space="preserve"> </w:t>
      </w:r>
      <w:bookmarkStart w:id="200" w:name="_Ref411859568"/>
      <w:r w:rsidR="0011732E">
        <w:rPr>
          <w:rStyle w:val="FootnoteReference"/>
        </w:rPr>
        <w:footnoteReference w:id="8"/>
      </w:r>
      <w:bookmarkEnd w:id="200"/>
    </w:p>
    <w:p w:rsidR="001F3902" w:rsidRDefault="001F3902" w:rsidP="00C32FBB">
      <w:r>
        <w:t>In this platinum-resistant patient population, the safety profile of B</w:t>
      </w:r>
      <w:r w:rsidR="00D642FB">
        <w:t>V</w:t>
      </w:r>
      <w:r>
        <w:t xml:space="preserve"> when added to CT was consistent with that seen in trials of B</w:t>
      </w:r>
      <w:r w:rsidR="00D642FB">
        <w:t>V</w:t>
      </w:r>
      <w:r>
        <w:t xml:space="preserve"> across tumour types. Although safety analyses suggest that B</w:t>
      </w:r>
      <w:r w:rsidR="00D642FB">
        <w:t>V</w:t>
      </w:r>
      <w:r>
        <w:t xml:space="preserve"> may exacerbate certain adverse reactions associated with the CT agents used in this study, such as palmar-plantar </w:t>
      </w:r>
      <w:proofErr w:type="spellStart"/>
      <w:r>
        <w:t>erythrodysaesthesia</w:t>
      </w:r>
      <w:proofErr w:type="spellEnd"/>
      <w:r>
        <w:t xml:space="preserve"> (PPE) syndrome with PLD; peripheral sensory neuropathy (PSN), nail disorders, or alopecia with paclitaxel, these adverse reactions are well known to prescribers and no new safety signals were observed for B</w:t>
      </w:r>
      <w:r w:rsidR="00D642FB">
        <w:t>V</w:t>
      </w:r>
      <w:r>
        <w:t xml:space="preserve"> in this study. Importantly, MO22224 demonstrated that well</w:t>
      </w:r>
      <w:r w:rsidR="00D642FB">
        <w:t xml:space="preserve"> </w:t>
      </w:r>
      <w:r>
        <w:t>selected platinum-resistant recurrent ovarian cancer patients can safely and effectively be treated with B</w:t>
      </w:r>
      <w:r w:rsidR="00D642FB">
        <w:t>V</w:t>
      </w:r>
      <w:r>
        <w:t xml:space="preserve"> without additional concerns regar</w:t>
      </w:r>
      <w:r w:rsidR="00001F85">
        <w:t>ding GI perforation.</w:t>
      </w:r>
    </w:p>
    <w:p w:rsidR="001F3902" w:rsidRDefault="001F3902" w:rsidP="00C32FBB">
      <w:r>
        <w:t>For health-related quality of life (HRQoL) outcomes the abdominal/GI symptoms scale of the EORTC QLQ-OV28 module was the only pre-specified secondary endpoint, however the other scores of the EORTC QLQ-OV28 and the scores of the EORTC QLQ-30, the Functional Assessment of Cancer Therapy-Ovarian (FACT-O) Symptom Index (FOSI) and the Hospital Anxiety and Depression Scale (HADS) were analysed and descriptive results of change from ba</w:t>
      </w:r>
      <w:r w:rsidR="00D642FB">
        <w:t>seline were provided in the CSR</w:t>
      </w:r>
      <w:r>
        <w:t>. No notable difference was observed between treatment groups demonstrating that the addition of B</w:t>
      </w:r>
      <w:r w:rsidR="00D642FB">
        <w:t>V</w:t>
      </w:r>
      <w:r>
        <w:t xml:space="preserve"> did not negatively impact the overall HRQoL of patients but did provide relief for abdominal/GI symptoms, one of the most important symptoms of ovarian cancer. Further discussion of the HRQoL data is prov</w:t>
      </w:r>
      <w:r w:rsidR="00001F85">
        <w:t>ided later on is this response.</w:t>
      </w:r>
    </w:p>
    <w:p w:rsidR="001F3902" w:rsidRDefault="001F3902" w:rsidP="00C32FBB">
      <w:pPr>
        <w:pStyle w:val="Heading5"/>
      </w:pPr>
      <w:r>
        <w:lastRenderedPageBreak/>
        <w:t>Retenti</w:t>
      </w:r>
      <w:r w:rsidR="00001F85">
        <w:t>on of PLD as a treatment option</w:t>
      </w:r>
    </w:p>
    <w:p w:rsidR="001F3902" w:rsidRDefault="001F3902" w:rsidP="00C32FBB">
      <w:r>
        <w:t>The Sponsor considers the efficacy and safety data in MO22224 t</w:t>
      </w:r>
      <w:r w:rsidR="00D642FB">
        <w:t>o be supportive of the use of BV</w:t>
      </w:r>
      <w:r>
        <w:t xml:space="preserve"> in combination with PLD, </w:t>
      </w:r>
      <w:proofErr w:type="spellStart"/>
      <w:r>
        <w:t>topotecan</w:t>
      </w:r>
      <w:proofErr w:type="spellEnd"/>
      <w:r>
        <w:t xml:space="preserve"> or paclitaxel. The exploratory PFS analysis by CT cohort showed improved PFS in all 3 cohorts with the addition of </w:t>
      </w:r>
      <w:r w:rsidR="00D642FB">
        <w:t>BV</w:t>
      </w:r>
      <w:r>
        <w:t xml:space="preserve">. Of note, previous randomised </w:t>
      </w:r>
      <w:r w:rsidR="00D642FB">
        <w:t>P</w:t>
      </w:r>
      <w:r>
        <w:t xml:space="preserve">hase II/III trials of single-agent PLD have shown median PFS ranging from 2 </w:t>
      </w:r>
      <w:r w:rsidR="00D642FB">
        <w:t>to</w:t>
      </w:r>
      <w:r>
        <w:t xml:space="preserve"> 5 months.</w:t>
      </w:r>
      <w:r w:rsidR="0011732E" w:rsidRPr="0011732E">
        <w:rPr>
          <w:vertAlign w:val="superscript"/>
        </w:rPr>
        <w:fldChar w:fldCharType="begin"/>
      </w:r>
      <w:r w:rsidR="0011732E" w:rsidRPr="0011732E">
        <w:rPr>
          <w:vertAlign w:val="superscript"/>
        </w:rPr>
        <w:instrText xml:space="preserve"> NOTEREF _Ref411859568 \h </w:instrText>
      </w:r>
      <w:r w:rsidR="0011732E">
        <w:rPr>
          <w:vertAlign w:val="superscript"/>
        </w:rPr>
        <w:instrText xml:space="preserve"> \* MERGEFORMAT </w:instrText>
      </w:r>
      <w:r w:rsidR="0011732E" w:rsidRPr="0011732E">
        <w:rPr>
          <w:vertAlign w:val="superscript"/>
        </w:rPr>
      </w:r>
      <w:r w:rsidR="0011732E" w:rsidRPr="0011732E">
        <w:rPr>
          <w:vertAlign w:val="superscript"/>
        </w:rPr>
        <w:fldChar w:fldCharType="separate"/>
      </w:r>
      <w:r w:rsidR="0045430B">
        <w:rPr>
          <w:vertAlign w:val="superscript"/>
        </w:rPr>
        <w:t>8</w:t>
      </w:r>
      <w:r w:rsidR="0011732E" w:rsidRPr="0011732E">
        <w:rPr>
          <w:vertAlign w:val="superscript"/>
        </w:rPr>
        <w:fldChar w:fldCharType="end"/>
      </w:r>
      <w:r>
        <w:t xml:space="preserve"> In the MO22224 PLD cohort, median PFS was improved from 3.5 months in the PLD alone arm (in line with published data for PLD) to 5.1 months in the PLD </w:t>
      </w:r>
      <w:r w:rsidR="00D642FB">
        <w:t>+</w:t>
      </w:r>
      <w:r>
        <w:t xml:space="preserve"> </w:t>
      </w:r>
      <w:r w:rsidR="00D642FB">
        <w:t>BV</w:t>
      </w:r>
      <w:r>
        <w:t xml:space="preserve"> arm and the </w:t>
      </w:r>
      <w:proofErr w:type="spellStart"/>
      <w:r>
        <w:t>unstratified</w:t>
      </w:r>
      <w:proofErr w:type="spellEnd"/>
      <w:r>
        <w:t xml:space="preserve"> HR was 0.53 (95% confidence interval [CI]: 0.36, 0.77). As mentioned above, when </w:t>
      </w:r>
      <w:r w:rsidR="00D642FB">
        <w:t>BV</w:t>
      </w:r>
      <w:r>
        <w:t xml:space="preserve"> is added to CT (paclitaxel, </w:t>
      </w:r>
      <w:proofErr w:type="spellStart"/>
      <w:r>
        <w:t>topotecan</w:t>
      </w:r>
      <w:proofErr w:type="spellEnd"/>
      <w:r>
        <w:t>, or PLD) in the treatment of patients with recurrent platinum-resistant epithelial ovarian, fallopian tube, or primary peritoneal cancer, the statistical and clinical improvement in the primary efficacy endpoint was confirmed by the IRC</w:t>
      </w:r>
      <w:r w:rsidR="00D642FB">
        <w:t xml:space="preserve"> </w:t>
      </w:r>
      <w:r>
        <w:t xml:space="preserve">assessed PFS. The results of the retrospective IRC for all randomised patients confirmed the clinically meaningful and statistically significant improvement observed in investigator-assessed PFS when </w:t>
      </w:r>
      <w:r w:rsidR="00D642FB">
        <w:t>BV</w:t>
      </w:r>
      <w:r>
        <w:t xml:space="preserve"> was added to any chemotherapy (HR 0.484; 95% CI: 0.</w:t>
      </w:r>
      <w:r w:rsidR="00001F85">
        <w:t>370, 0.632; log-rank p 0.0001).</w:t>
      </w:r>
    </w:p>
    <w:p w:rsidR="001F3902" w:rsidRDefault="001F3902" w:rsidP="00C32FBB">
      <w:r>
        <w:t xml:space="preserve">OS was one of the secondary objectives in MO22224. The OS analysis, though not statistically significant, showed a reduction in the risk of death of 13% (HR 0.870; 95% CI: 0.678, 1.116), when patients were treated with </w:t>
      </w:r>
      <w:r w:rsidR="00D642FB">
        <w:t>BV</w:t>
      </w:r>
      <w:r>
        <w:t xml:space="preserve"> in combination with PLD, </w:t>
      </w:r>
      <w:proofErr w:type="spellStart"/>
      <w:r>
        <w:t>topotecan</w:t>
      </w:r>
      <w:proofErr w:type="spellEnd"/>
      <w:r>
        <w:t xml:space="preserve"> or paclitaxel compared with CT alone. The exploratory OS analysis by CT cohort showed HRs ranging from 0.64 to 1.07. There is no clear reason for the observed numerical differences between CT cohorts. Considering the widely overlapping CIs, the numerical differences may have occurred by chance. The demographic and baseline characteristics were generally well balanced across treatment arms overall and within CT cohorts because of stratified </w:t>
      </w:r>
      <w:r w:rsidR="000D3561">
        <w:t>randomisation by the CT cohort</w:t>
      </w:r>
      <w:r>
        <w:t xml:space="preserve">. However, a possible explanation may be that the OS results are confounded by post-progression therapy and by likely differences in subsequent therapy between the CT cohorts. In particular, the exploratory PFS analysis by CT subgroups suggested that the median PFS was extended beyond 6 months in the paclitaxel </w:t>
      </w:r>
      <w:r w:rsidR="000D3561">
        <w:t xml:space="preserve">+ </w:t>
      </w:r>
      <w:r w:rsidR="00D642FB">
        <w:t>BV</w:t>
      </w:r>
      <w:r>
        <w:t xml:space="preserve"> arm; thus, some patients in the paclitaxel cohort may potentially have been considered platinum-sensitive again and benefited from further platinum-based therapy; this could have potentially led to an improved numerical OS outcome in the paclitaxel </w:t>
      </w:r>
      <w:r w:rsidR="000D3561">
        <w:t>+</w:t>
      </w:r>
      <w:r>
        <w:t xml:space="preserve"> </w:t>
      </w:r>
      <w:r w:rsidR="00D642FB">
        <w:t>BV</w:t>
      </w:r>
      <w:r>
        <w:t xml:space="preserve"> arm compared with eithe</w:t>
      </w:r>
      <w:r w:rsidR="00001F85">
        <w:t xml:space="preserve">r the </w:t>
      </w:r>
      <w:proofErr w:type="spellStart"/>
      <w:r w:rsidR="00001F85">
        <w:t>topotecan</w:t>
      </w:r>
      <w:proofErr w:type="spellEnd"/>
      <w:r w:rsidR="00001F85">
        <w:t xml:space="preserve"> or PLD cohorts.</w:t>
      </w:r>
    </w:p>
    <w:p w:rsidR="001F3902" w:rsidRDefault="001F3902" w:rsidP="00C32FBB">
      <w:pPr>
        <w:ind w:right="-143"/>
      </w:pPr>
      <w:r>
        <w:t>With regard to safety in the PLD cohort, the rates of Grade 2</w:t>
      </w:r>
      <w:r w:rsidR="000D3561">
        <w:t xml:space="preserve"> to </w:t>
      </w:r>
      <w:r>
        <w:t xml:space="preserve">5 adverse events (AEs) in the PLD cohort (PLD: 85.7%; PLD + BV 90.3%) are comparable with those of the Grade 2-5 AEs in the overall safety population (CT: 87.3%; CT </w:t>
      </w:r>
      <w:r w:rsidR="000D3561">
        <w:t>+</w:t>
      </w:r>
      <w:r>
        <w:t xml:space="preserve"> BV: 91.1%). The </w:t>
      </w:r>
      <w:r w:rsidR="000D3561">
        <w:t>s</w:t>
      </w:r>
      <w:r>
        <w:t xml:space="preserve">ponsor acknowledges that 9 out of 11 Grade 5 AEs occurred in the PLD cohort (4 in the PLD alone arm and 5 in the PLD </w:t>
      </w:r>
      <w:r w:rsidR="000D3561">
        <w:t>+</w:t>
      </w:r>
      <w:r>
        <w:t xml:space="preserve"> </w:t>
      </w:r>
      <w:r w:rsidR="00D642FB">
        <w:t>BV</w:t>
      </w:r>
      <w:r>
        <w:t xml:space="preserve"> arm). The rates of Grade 5 AEs in the two treatment arms, although numerically higher in the PLD </w:t>
      </w:r>
      <w:r w:rsidR="000D3561">
        <w:t>+</w:t>
      </w:r>
      <w:r>
        <w:t xml:space="preserve"> </w:t>
      </w:r>
      <w:r w:rsidR="00D642FB">
        <w:t>BV</w:t>
      </w:r>
      <w:r>
        <w:t xml:space="preserve"> cohort due to one additional event, are comparable (PLD: 6.3%; PLD </w:t>
      </w:r>
      <w:r w:rsidR="000D3561">
        <w:t>+</w:t>
      </w:r>
      <w:r>
        <w:t xml:space="preserve"> </w:t>
      </w:r>
      <w:r w:rsidR="00D642FB">
        <w:t>BV</w:t>
      </w:r>
      <w:r>
        <w:t xml:space="preserve">: 8.1%), indicating that </w:t>
      </w:r>
      <w:r w:rsidR="00D642FB">
        <w:t>BV</w:t>
      </w:r>
      <w:r>
        <w:t xml:space="preserve"> in combination with PLD did not lead to a higher risk of treatment-related deaths than PLD alone. Furthermore, the investigators’ assessments of relationship of the Grade 5 AEs to study treatment further substantiates that the combination of PLD and </w:t>
      </w:r>
      <w:r w:rsidR="00D642FB">
        <w:t>BV</w:t>
      </w:r>
      <w:r>
        <w:t xml:space="preserve"> did not demonstrate a safety concern for </w:t>
      </w:r>
      <w:r w:rsidR="00D642FB">
        <w:t>BV</w:t>
      </w:r>
      <w:r>
        <w:t xml:space="preserve">. As described in the CSR narratives for these patients, in the PLD alone arm 2 of the 4 Grade 5 AEs were assessed as possibly related to PLD, while in the PLD </w:t>
      </w:r>
      <w:r w:rsidR="000D3561">
        <w:t>+</w:t>
      </w:r>
      <w:r>
        <w:t xml:space="preserve"> </w:t>
      </w:r>
      <w:r w:rsidR="00D642FB">
        <w:t>BV</w:t>
      </w:r>
      <w:r>
        <w:t xml:space="preserve"> arm, only 1 of the 5 AEs was assessed as possibly related to study treatment. It is important to note that one Grade 5 sepsis in the PLD </w:t>
      </w:r>
      <w:r w:rsidR="000D3561">
        <w:t>+</w:t>
      </w:r>
      <w:r>
        <w:t xml:space="preserve"> </w:t>
      </w:r>
      <w:r w:rsidR="00D642FB">
        <w:t>BV</w:t>
      </w:r>
      <w:r>
        <w:t xml:space="preserve"> arm occurred after the patient had started subsequent non-protocol therapy with doxorubicin, </w:t>
      </w:r>
      <w:proofErr w:type="spellStart"/>
      <w:r>
        <w:t>topoteca</w:t>
      </w:r>
      <w:r w:rsidR="00001F85">
        <w:t>n</w:t>
      </w:r>
      <w:proofErr w:type="spellEnd"/>
      <w:r w:rsidR="00001F85">
        <w:t>, and paclitaxel following PD.</w:t>
      </w:r>
    </w:p>
    <w:p w:rsidR="001F3902" w:rsidRDefault="001F3902" w:rsidP="00C32FBB">
      <w:r>
        <w:t xml:space="preserve">The </w:t>
      </w:r>
      <w:r w:rsidR="000D3561">
        <w:t>s</w:t>
      </w:r>
      <w:r>
        <w:t xml:space="preserve">ponsor acknowledges that there is a higher incidence of PPE in the PLD cohort (PLD: 12.7%; PLD </w:t>
      </w:r>
      <w:r w:rsidR="000D3561">
        <w:t>+</w:t>
      </w:r>
      <w:r>
        <w:t xml:space="preserve"> BV: 27.4%) with the majority of events Grade 2 in severity. The safety result from MO22224 suggests that </w:t>
      </w:r>
      <w:r w:rsidR="00D642FB">
        <w:t>BV</w:t>
      </w:r>
      <w:r>
        <w:t xml:space="preserve"> could exacerbate PPE which is a common adverse reaction with PLD treatment. To capture this outcome </w:t>
      </w:r>
      <w:r w:rsidR="00B51A1A">
        <w:t>the sponsor</w:t>
      </w:r>
      <w:r>
        <w:t xml:space="preserve"> has proposed the following update to the </w:t>
      </w:r>
      <w:r w:rsidR="000D3561" w:rsidRPr="000D3561">
        <w:rPr>
          <w:i/>
        </w:rPr>
        <w:t>Adverse Effects</w:t>
      </w:r>
      <w:r w:rsidR="000D3561">
        <w:t xml:space="preserve"> </w:t>
      </w:r>
      <w:r>
        <w:t>section of the Product Information (PI):</w:t>
      </w:r>
      <w:r w:rsidR="00B51A1A">
        <w:t xml:space="preserve">  ‘</w:t>
      </w:r>
      <w:r w:rsidRPr="000D3561">
        <w:rPr>
          <w:i/>
        </w:rPr>
        <w:t xml:space="preserve">Some of the adverse reactions are reactions commonly seen with chemotherapy however </w:t>
      </w:r>
      <w:proofErr w:type="spellStart"/>
      <w:r w:rsidR="000D3561" w:rsidRPr="000D3561">
        <w:rPr>
          <w:i/>
        </w:rPr>
        <w:t>Avastin</w:t>
      </w:r>
      <w:proofErr w:type="spellEnd"/>
      <w:r w:rsidR="000D3561" w:rsidRPr="000D3561">
        <w:rPr>
          <w:i/>
        </w:rPr>
        <w:t xml:space="preserve"> </w:t>
      </w:r>
      <w:r w:rsidRPr="000D3561">
        <w:rPr>
          <w:i/>
        </w:rPr>
        <w:t xml:space="preserve">may </w:t>
      </w:r>
      <w:r w:rsidRPr="000D3561">
        <w:rPr>
          <w:i/>
        </w:rPr>
        <w:lastRenderedPageBreak/>
        <w:t xml:space="preserve">exacerbate these reactions when combined with chemotherapeutic agents. Examples include palmar-plantar </w:t>
      </w:r>
      <w:proofErr w:type="spellStart"/>
      <w:r w:rsidRPr="000D3561">
        <w:rPr>
          <w:i/>
        </w:rPr>
        <w:t>erythrodysaesthesia</w:t>
      </w:r>
      <w:proofErr w:type="spellEnd"/>
      <w:r w:rsidRPr="000D3561">
        <w:rPr>
          <w:i/>
        </w:rPr>
        <w:t xml:space="preserve"> syndrome with </w:t>
      </w:r>
      <w:proofErr w:type="spellStart"/>
      <w:r w:rsidRPr="000D3561">
        <w:rPr>
          <w:i/>
        </w:rPr>
        <w:t>pegylated</w:t>
      </w:r>
      <w:proofErr w:type="spellEnd"/>
      <w:r w:rsidRPr="000D3561">
        <w:rPr>
          <w:i/>
        </w:rPr>
        <w:t xml:space="preserve"> liposomal doxorubicin or </w:t>
      </w:r>
      <w:proofErr w:type="spellStart"/>
      <w:r w:rsidRPr="000D3561">
        <w:rPr>
          <w:i/>
        </w:rPr>
        <w:t>capecitabine</w:t>
      </w:r>
      <w:proofErr w:type="spellEnd"/>
      <w:r w:rsidRPr="000D3561">
        <w:rPr>
          <w:i/>
        </w:rPr>
        <w:t xml:space="preserve">, peripheral sensory neuropathy with paclitaxel or </w:t>
      </w:r>
      <w:proofErr w:type="spellStart"/>
      <w:r w:rsidRPr="000D3561">
        <w:rPr>
          <w:i/>
        </w:rPr>
        <w:t>oxaliplatin</w:t>
      </w:r>
      <w:proofErr w:type="spellEnd"/>
      <w:r w:rsidRPr="000D3561">
        <w:rPr>
          <w:i/>
        </w:rPr>
        <w:t>, and nail disorders or alopecia with paclitaxel</w:t>
      </w:r>
      <w:r>
        <w:t>.</w:t>
      </w:r>
      <w:r w:rsidR="00B51A1A">
        <w:t>’</w:t>
      </w:r>
    </w:p>
    <w:p w:rsidR="001F3902" w:rsidRPr="000D3561" w:rsidRDefault="001F3902" w:rsidP="00C32FBB">
      <w:r w:rsidRPr="000D3561">
        <w:t xml:space="preserve">With regard to the clinical evaluator’s suggestion to limit the indication statement to patients with ascites only, </w:t>
      </w:r>
      <w:r w:rsidR="00B51A1A" w:rsidRPr="000D3561">
        <w:t>the sponsor</w:t>
      </w:r>
      <w:r w:rsidRPr="000D3561">
        <w:t xml:space="preserve"> would like to emphasise that the data on the effect of </w:t>
      </w:r>
      <w:r w:rsidR="00D642FB" w:rsidRPr="000D3561">
        <w:t>BV</w:t>
      </w:r>
      <w:r w:rsidRPr="000D3561">
        <w:t xml:space="preserve"> in patients with ascites is limited. An exploratory analysis in MO22224 showed a reduction in the requirement for </w:t>
      </w:r>
      <w:proofErr w:type="spellStart"/>
      <w:r w:rsidRPr="000D3561">
        <w:t>paracentesis</w:t>
      </w:r>
      <w:proofErr w:type="spellEnd"/>
      <w:r w:rsidRPr="000D3561">
        <w:t xml:space="preserve"> among patients treated with CT </w:t>
      </w:r>
      <w:r w:rsidR="000D3561" w:rsidRPr="000D3561">
        <w:t>+</w:t>
      </w:r>
      <w:r w:rsidRPr="000D3561">
        <w:t xml:space="preserve"> </w:t>
      </w:r>
      <w:r w:rsidR="00D642FB" w:rsidRPr="000D3561">
        <w:t>BV</w:t>
      </w:r>
      <w:r w:rsidRPr="000D3561">
        <w:t xml:space="preserve"> suggesting a clinical benefit of a reduction in ascites in these patients. However, there were only few patients and no formal statistical analysis was done. Moreover, there is no data that would indicate that patients without ascites will not benefit from </w:t>
      </w:r>
      <w:r w:rsidR="00D642FB" w:rsidRPr="000D3561">
        <w:t>BV</w:t>
      </w:r>
      <w:r w:rsidRPr="000D3561">
        <w:t xml:space="preserve"> treatment. In fact, the analysis on PFS by baseline risk factor (CSR erratum) shows that patients benefit from </w:t>
      </w:r>
      <w:r w:rsidR="00D642FB" w:rsidRPr="000D3561">
        <w:t>BV</w:t>
      </w:r>
      <w:r w:rsidRPr="000D3561">
        <w:t xml:space="preserve"> treatment regardless of the presence of ascites at baseline; no ascites at baseline HR 0.47 (95% CI: 0.35, 0.62) versus with ascites at baseline HR 0.38 (95% CI: 0.25, 0.58). For these reasons, </w:t>
      </w:r>
      <w:r w:rsidR="00B51A1A" w:rsidRPr="000D3561">
        <w:t>the sponsor</w:t>
      </w:r>
      <w:r w:rsidRPr="000D3561">
        <w:t xml:space="preserve"> considers the recommendation to limit treatment with </w:t>
      </w:r>
      <w:r w:rsidR="00D642FB" w:rsidRPr="000D3561">
        <w:t>BV</w:t>
      </w:r>
      <w:r w:rsidRPr="000D3561">
        <w:t xml:space="preserve"> to patients with ascites only cannot be justified.</w:t>
      </w:r>
    </w:p>
    <w:p w:rsidR="001F3902" w:rsidRPr="000D3561" w:rsidRDefault="001F3902" w:rsidP="00C32FBB">
      <w:r w:rsidRPr="000D3561">
        <w:t xml:space="preserve">Patients with platinum-resistant disease are often heavily </w:t>
      </w:r>
      <w:proofErr w:type="spellStart"/>
      <w:r w:rsidRPr="000D3561">
        <w:t>pretreated</w:t>
      </w:r>
      <w:proofErr w:type="spellEnd"/>
      <w:r w:rsidRPr="000D3561">
        <w:t xml:space="preserve"> and have limited treatment options. Thus, access to more treatment agents for this patient population would enable the clinician to determine the best possible choice for each patient based on toxicity profile and dosing schedule convenience. With regard to the safety profile of each CT regimen, treatment</w:t>
      </w:r>
      <w:r w:rsidR="00660C6D">
        <w:t xml:space="preserve"> of patients with</w:t>
      </w:r>
      <w:r w:rsidR="00660C6D" w:rsidRPr="00660C6D">
        <w:t xml:space="preserve"> </w:t>
      </w:r>
      <w:r w:rsidR="00660C6D" w:rsidRPr="000D3561">
        <w:t>paclitaxel</w:t>
      </w:r>
      <w:r w:rsidRPr="000D3561">
        <w:t xml:space="preserve"> known to</w:t>
      </w:r>
      <w:r w:rsidR="00660C6D">
        <w:t xml:space="preserve"> be at an</w:t>
      </w:r>
      <w:r w:rsidRPr="000D3561">
        <w:t xml:space="preserve"> increase</w:t>
      </w:r>
      <w:r w:rsidR="00660C6D">
        <w:t>d</w:t>
      </w:r>
      <w:r w:rsidRPr="000D3561">
        <w:t xml:space="preserve"> the risk of PSN and patients with pre-existing peripheral neuropathy common toxicity criteria (CTC) </w:t>
      </w:r>
      <w:r w:rsidR="000D3561">
        <w:t>G</w:t>
      </w:r>
      <w:r w:rsidRPr="000D3561">
        <w:t xml:space="preserve">rade 2 or higher were excluded from the paclitaxel cohort per protocol exclusion criteria. PLD and </w:t>
      </w:r>
      <w:proofErr w:type="spellStart"/>
      <w:r w:rsidRPr="000D3561">
        <w:t>topotecan</w:t>
      </w:r>
      <w:proofErr w:type="spellEnd"/>
      <w:r w:rsidRPr="000D3561">
        <w:t xml:space="preserve"> remain important treatment options for patients with previous </w:t>
      </w:r>
      <w:proofErr w:type="spellStart"/>
      <w:r w:rsidRPr="000D3561">
        <w:t>taxane</w:t>
      </w:r>
      <w:proofErr w:type="spellEnd"/>
      <w:r w:rsidRPr="000D3561">
        <w:t>-induced neuropathy. On the other hand, patients who are at risk of haematologic</w:t>
      </w:r>
      <w:r w:rsidR="000D3561">
        <w:t>al</w:t>
      </w:r>
      <w:r w:rsidRPr="000D3561">
        <w:t xml:space="preserve"> toxicities may not have optimal treatment with </w:t>
      </w:r>
      <w:proofErr w:type="spellStart"/>
      <w:r w:rsidRPr="000D3561">
        <w:t>topotecan</w:t>
      </w:r>
      <w:proofErr w:type="spellEnd"/>
      <w:r w:rsidRPr="000D3561">
        <w:t>, thus other CT regimens</w:t>
      </w:r>
      <w:r w:rsidR="00660C6D">
        <w:t xml:space="preserve"> that are </w:t>
      </w:r>
      <w:r w:rsidRPr="000D3561">
        <w:t>available</w:t>
      </w:r>
      <w:r w:rsidR="00660C6D" w:rsidRPr="00660C6D">
        <w:t xml:space="preserve"> </w:t>
      </w:r>
      <w:r w:rsidR="00660C6D" w:rsidRPr="000D3561">
        <w:t>should be</w:t>
      </w:r>
      <w:r w:rsidR="00660C6D">
        <w:t xml:space="preserve"> considered</w:t>
      </w:r>
      <w:r w:rsidR="00001F85">
        <w:t>.</w:t>
      </w:r>
    </w:p>
    <w:p w:rsidR="001F3902" w:rsidRPr="001F3902" w:rsidRDefault="001F3902" w:rsidP="00C32FBB">
      <w:pPr>
        <w:rPr>
          <w:rFonts w:ascii="Times New Roman" w:eastAsiaTheme="minorHAnsi" w:hAnsi="Times New Roman"/>
          <w:color w:val="000000"/>
        </w:rPr>
      </w:pPr>
      <w:r w:rsidRPr="000D3561">
        <w:t xml:space="preserve">In summary, the efficacy and safety data of </w:t>
      </w:r>
      <w:r w:rsidR="00D642FB" w:rsidRPr="000D3561">
        <w:t>BV</w:t>
      </w:r>
      <w:r w:rsidRPr="000D3561">
        <w:t xml:space="preserve"> in combination with PLD, </w:t>
      </w:r>
      <w:proofErr w:type="spellStart"/>
      <w:r w:rsidRPr="000D3561">
        <w:t>topotecan</w:t>
      </w:r>
      <w:proofErr w:type="spellEnd"/>
      <w:r w:rsidRPr="000D3561">
        <w:t xml:space="preserve">, or paclitaxel support a positive benefit-risk assessment in patients with recurrent platinum-resistant ovarian cancer. Given the poor prognosis in this patient population, the limited treatment options and the PFS benefit seen in all cohorts, </w:t>
      </w:r>
      <w:r w:rsidR="00D642FB" w:rsidRPr="000D3561">
        <w:t>BV</w:t>
      </w:r>
      <w:r w:rsidRPr="000D3561">
        <w:t xml:space="preserve"> in combination </w:t>
      </w:r>
      <w:r w:rsidR="00660C6D">
        <w:t xml:space="preserve">PLD </w:t>
      </w:r>
      <w:r w:rsidRPr="000D3561">
        <w:t xml:space="preserve">with either </w:t>
      </w:r>
      <w:proofErr w:type="spellStart"/>
      <w:r w:rsidRPr="000D3561">
        <w:t>topotecan</w:t>
      </w:r>
      <w:proofErr w:type="spellEnd"/>
      <w:r w:rsidRPr="000D3561">
        <w:t xml:space="preserve"> or paclitaxel should be available as treatment options for patients with platinum-resistant</w:t>
      </w:r>
      <w:r w:rsidR="00001F85">
        <w:rPr>
          <w:rFonts w:ascii="Times New Roman" w:eastAsiaTheme="minorHAnsi" w:hAnsi="Times New Roman"/>
          <w:color w:val="000000"/>
        </w:rPr>
        <w:t xml:space="preserve"> recurrent ovarian cancer.</w:t>
      </w:r>
    </w:p>
    <w:p w:rsidR="001F3902" w:rsidRPr="00897A00" w:rsidRDefault="00001F85" w:rsidP="00C32FBB">
      <w:pPr>
        <w:pStyle w:val="Heading5"/>
        <w:rPr>
          <w:rStyle w:val="Heading5Char"/>
          <w:rFonts w:eastAsiaTheme="minorHAnsi"/>
        </w:rPr>
      </w:pPr>
      <w:proofErr w:type="spellStart"/>
      <w:r>
        <w:rPr>
          <w:rFonts w:eastAsiaTheme="minorHAnsi"/>
        </w:rPr>
        <w:t>HRQoL</w:t>
      </w:r>
      <w:proofErr w:type="spellEnd"/>
      <w:r>
        <w:rPr>
          <w:rFonts w:eastAsiaTheme="minorHAnsi"/>
        </w:rPr>
        <w:t xml:space="preserve"> data collection</w:t>
      </w:r>
    </w:p>
    <w:p w:rsidR="001F3902" w:rsidRPr="001F3902" w:rsidRDefault="001F3902" w:rsidP="00C32FBB">
      <w:r w:rsidRPr="001F3902">
        <w:t xml:space="preserve">The Delegate has raised concerns regarding the validity of the HRQoL data collected. Due to the fact that the HRQoL analyses were planned in the SAP prior to the first database lock, including the definition of the EORTC QLQ-OV28 abdominal/GI symptoms scale as the primary QOL analysis (due to the clinical importance of this scale), </w:t>
      </w:r>
      <w:r w:rsidR="00B51A1A">
        <w:t>the sponsor</w:t>
      </w:r>
      <w:r w:rsidRPr="001F3902">
        <w:t xml:space="preserve"> believes that the analysis of the HRQoL was adequately pre-specified and that the focus should be on the abdominal/GI symptoms scale with the other QOL endpoints treated as exploratory. Discussion is provided below supporting the validity of the HRQoL results and their adequacy to support the PFS result</w:t>
      </w:r>
      <w:r w:rsidR="00001F85">
        <w:t>s.</w:t>
      </w:r>
    </w:p>
    <w:p w:rsidR="001F3902" w:rsidRPr="001F3902" w:rsidRDefault="001F3902" w:rsidP="00C32FBB">
      <w:r w:rsidRPr="001F3902">
        <w:t>The abdominal/GI symptoms scale of the EORTC QLQ-OV28 was pre-specified as the primary QoL analysis on 13 January 2012 prior to the database lock. This scale was prioritised based on the clinical importance of abdominal symptoms in ovarian cancer</w:t>
      </w:r>
      <w:r w:rsidR="0011732E">
        <w:rPr>
          <w:rStyle w:val="FootnoteReference"/>
        </w:rPr>
        <w:footnoteReference w:id="9"/>
      </w:r>
      <w:r w:rsidR="0011732E" w:rsidRPr="0011732E">
        <w:rPr>
          <w:vertAlign w:val="superscript"/>
        </w:rPr>
        <w:t>,</w:t>
      </w:r>
      <w:r w:rsidR="0011732E">
        <w:rPr>
          <w:rStyle w:val="FootnoteReference"/>
        </w:rPr>
        <w:footnoteReference w:id="10"/>
      </w:r>
      <w:r w:rsidRPr="001F3902">
        <w:t xml:space="preserve"> and recommendations for the control of cancer-related symptoms in the late stages of this </w:t>
      </w:r>
      <w:r w:rsidRPr="001F3902">
        <w:lastRenderedPageBreak/>
        <w:t>cancer</w:t>
      </w:r>
      <w:r w:rsidR="0011732E">
        <w:rPr>
          <w:rStyle w:val="FootnoteReference"/>
        </w:rPr>
        <w:footnoteReference w:id="11"/>
      </w:r>
      <w:proofErr w:type="gramStart"/>
      <w:r w:rsidR="0011732E" w:rsidRPr="0011732E">
        <w:rPr>
          <w:vertAlign w:val="superscript"/>
        </w:rPr>
        <w:t>,</w:t>
      </w:r>
      <w:r w:rsidR="0011732E">
        <w:rPr>
          <w:rStyle w:val="FootnoteReference"/>
        </w:rPr>
        <w:footnoteReference w:id="12"/>
      </w:r>
      <w:r w:rsidRPr="001F3902">
        <w:t>.</w:t>
      </w:r>
      <w:proofErr w:type="gramEnd"/>
      <w:r w:rsidRPr="001F3902">
        <w:t xml:space="preserve"> The independent academic group which oversaw </w:t>
      </w:r>
      <w:r w:rsidR="000D3561">
        <w:t>S</w:t>
      </w:r>
      <w:r w:rsidRPr="001F3902">
        <w:t xml:space="preserve">tudy MO22224 (Group </w:t>
      </w:r>
      <w:proofErr w:type="spellStart"/>
      <w:r w:rsidRPr="001F3902">
        <w:t>d’Investigateurs</w:t>
      </w:r>
      <w:proofErr w:type="spellEnd"/>
      <w:r w:rsidRPr="001F3902">
        <w:t xml:space="preserve"> </w:t>
      </w:r>
      <w:proofErr w:type="spellStart"/>
      <w:r w:rsidRPr="001F3902">
        <w:t>Nationaux</w:t>
      </w:r>
      <w:proofErr w:type="spellEnd"/>
      <w:r w:rsidRPr="001F3902">
        <w:t xml:space="preserve"> pour </w:t>
      </w:r>
      <w:proofErr w:type="spellStart"/>
      <w:r w:rsidRPr="001F3902">
        <w:t>l’Etude</w:t>
      </w:r>
      <w:proofErr w:type="spellEnd"/>
      <w:r w:rsidRPr="001F3902">
        <w:t xml:space="preserve"> des Cancers </w:t>
      </w:r>
      <w:proofErr w:type="spellStart"/>
      <w:r w:rsidRPr="001F3902">
        <w:t>Ovariens</w:t>
      </w:r>
      <w:proofErr w:type="spellEnd"/>
      <w:r w:rsidRPr="001F3902">
        <w:t xml:space="preserve"> [GINECO]) also chose to test difference in response on the abdominal/GI symptoms scale of the EORTC as the primary hypothesis in their independent analysis of the HRQoL data.</w:t>
      </w:r>
      <w:r w:rsidR="0011732E">
        <w:rPr>
          <w:rStyle w:val="FootnoteReference"/>
        </w:rPr>
        <w:footnoteReference w:id="13"/>
      </w:r>
    </w:p>
    <w:p w:rsidR="001F3902" w:rsidRPr="001F3902" w:rsidRDefault="001F3902" w:rsidP="00C32FBB">
      <w:r w:rsidRPr="001F3902">
        <w:t>The correlation between HRQoL and the study’s objective clinical measure (PFS) was analysed</w:t>
      </w:r>
      <w:r w:rsidR="0011732E">
        <w:rPr>
          <w:rStyle w:val="FootnoteReference"/>
        </w:rPr>
        <w:footnoteReference w:id="14"/>
      </w:r>
      <w:r w:rsidRPr="001F3902">
        <w:rPr>
          <w:b/>
          <w:bCs/>
        </w:rPr>
        <w:t xml:space="preserve"> </w:t>
      </w:r>
      <w:r w:rsidRPr="001F3902">
        <w:t>to assess potential bias, given the open-label study design and potential bias that may result from knowledge of treatment allocation. Specifically, the association of symptom progression with disease progression (PD) was assessed. Within a 6</w:t>
      </w:r>
      <w:r w:rsidR="000D3561">
        <w:t xml:space="preserve"> </w:t>
      </w:r>
      <w:r w:rsidRPr="001F3902">
        <w:t>week window around PD, scores of the abdominal/GI symptom scale increased</w:t>
      </w:r>
      <w:r w:rsidR="009B1371">
        <w:t xml:space="preserve"> in patients</w:t>
      </w:r>
      <w:r w:rsidRPr="001F3902">
        <w:t xml:space="preserve">, indicating a worsening from the previous assessment in both the CT </w:t>
      </w:r>
      <w:r w:rsidR="000D3561">
        <w:t>+</w:t>
      </w:r>
      <w:r w:rsidRPr="001F3902">
        <w:t xml:space="preserve"> BV and CT arms</w:t>
      </w:r>
      <w:r w:rsidR="009B1371">
        <w:t xml:space="preserve"> of the study</w:t>
      </w:r>
      <w:r w:rsidRPr="001F3902">
        <w:t xml:space="preserve">. Symptoms worsened to the same magnitude around PD in both arms indicating correlation with progression. Exploratory analysis in reduction of </w:t>
      </w:r>
      <w:proofErr w:type="spellStart"/>
      <w:r w:rsidRPr="001F3902">
        <w:t>paracentesis</w:t>
      </w:r>
      <w:proofErr w:type="spellEnd"/>
      <w:r w:rsidRPr="001F3902">
        <w:t xml:space="preserve"> in the ascites subgroup also correlated with clinically meaningful changes on the abdominal/GI symptom scale. Additionally, responses on the other HRQoL measures were evaluated to assess potential systematic trends that may have resulted from the open-label design. No treatment effect was observed on the HADS or FOSI QoL measures. These results further support that patients’ knowledge of treatment assignme</w:t>
      </w:r>
      <w:r w:rsidR="00001F85">
        <w:t>nt did not influence responses.</w:t>
      </w:r>
    </w:p>
    <w:p w:rsidR="001F3902" w:rsidRPr="001F3902" w:rsidRDefault="001F3902" w:rsidP="00C32FBB">
      <w:r w:rsidRPr="001F3902">
        <w:t>The completion of HRQoL measures is affected by the poor and deteriorating health status of the patients, particularly in late stage oncology trials with poor prognosis such as platinum-resistant ovarian</w:t>
      </w:r>
      <w:r>
        <w:t xml:space="preserve"> </w:t>
      </w:r>
      <w:r w:rsidRPr="001F3902">
        <w:t>cancers with a median PFS of 2</w:t>
      </w:r>
      <w:r w:rsidR="000D3561">
        <w:t xml:space="preserve"> to </w:t>
      </w:r>
      <w:r w:rsidRPr="001F3902">
        <w:t xml:space="preserve">5 months and a median </w:t>
      </w:r>
      <w:proofErr w:type="gramStart"/>
      <w:r w:rsidRPr="001F3902">
        <w:t>OS  12</w:t>
      </w:r>
      <w:proofErr w:type="gramEnd"/>
      <w:r w:rsidRPr="001F3902">
        <w:t xml:space="preserve"> months.</w:t>
      </w:r>
      <w:r w:rsidR="0011732E">
        <w:rPr>
          <w:rStyle w:val="FootnoteReference"/>
        </w:rPr>
        <w:footnoteReference w:id="15"/>
      </w:r>
      <w:r w:rsidR="0011732E" w:rsidRPr="0011732E">
        <w:rPr>
          <w:vertAlign w:val="superscript"/>
        </w:rPr>
        <w:t>,</w:t>
      </w:r>
      <w:r w:rsidR="0011732E">
        <w:rPr>
          <w:rStyle w:val="FootnoteReference"/>
        </w:rPr>
        <w:footnoteReference w:id="16"/>
      </w:r>
      <w:r w:rsidRPr="001F3902">
        <w:t xml:space="preserve"> Completion rates similar to MO22224 have been reported including in the validation study of the EORTC QLQ-OV28 (86% at baseline and 72% for the second assessment).</w:t>
      </w:r>
      <w:r w:rsidR="0011732E">
        <w:rPr>
          <w:rStyle w:val="FootnoteReference"/>
        </w:rPr>
        <w:footnoteReference w:id="17"/>
      </w:r>
      <w:r w:rsidRPr="001F3902">
        <w:t xml:space="preserve"> In another </w:t>
      </w:r>
      <w:proofErr w:type="spellStart"/>
      <w:r w:rsidRPr="001F3902">
        <w:t>gynecological</w:t>
      </w:r>
      <w:proofErr w:type="spellEnd"/>
      <w:r w:rsidRPr="001F3902">
        <w:t xml:space="preserve"> cancer study, the drop in completion rates observed over time was similar to MO22224.</w:t>
      </w:r>
      <w:r w:rsidR="0011732E">
        <w:rPr>
          <w:rStyle w:val="FootnoteReference"/>
        </w:rPr>
        <w:footnoteReference w:id="18"/>
      </w:r>
      <w:r w:rsidRPr="001F3902">
        <w:t xml:space="preserve"> In MO22224, the completion rate was calculated for all the patients who did not die, were not withdrawn from the study, did not enter the safety follow-up period, did not start non-protocol-specified anti-cancer therapy (NPT), or did not switch from the CT arm to the CT </w:t>
      </w:r>
      <w:r w:rsidR="000D3561">
        <w:t>+</w:t>
      </w:r>
      <w:r w:rsidRPr="001F3902">
        <w:t xml:space="preserve"> BV arm at the start of the assessment window. Since the completion of the HRQoL assessments after PD was not mandatory, patients who completed HRQoL assessments after PD were excluded as well. Completion rates between the CT and CT </w:t>
      </w:r>
      <w:r w:rsidR="000D3561">
        <w:t>+</w:t>
      </w:r>
      <w:r w:rsidRPr="001F3902">
        <w:t xml:space="preserve"> BV arms were similar at baseline (89.0% </w:t>
      </w:r>
      <w:r w:rsidR="000F70F6">
        <w:t>versus</w:t>
      </w:r>
      <w:r w:rsidRPr="001F3902">
        <w:t xml:space="preserve"> 88.3%), Week 16/18 (63.4% </w:t>
      </w:r>
      <w:r w:rsidR="000F70F6">
        <w:t>versus</w:t>
      </w:r>
      <w:r w:rsidRPr="001F3902">
        <w:t xml:space="preserve"> 64.8%), Week 24 (52.9% </w:t>
      </w:r>
      <w:r w:rsidR="000F70F6">
        <w:t>versus</w:t>
      </w:r>
      <w:r w:rsidRPr="001F3902">
        <w:t xml:space="preserve"> 55.0%), and Week 30 (54.2% </w:t>
      </w:r>
      <w:r w:rsidR="000F70F6">
        <w:t>versus</w:t>
      </w:r>
      <w:r w:rsidRPr="001F3902">
        <w:t xml:space="preserve"> 60.3%). The difference observed in the completion rates between the CT and CT </w:t>
      </w:r>
      <w:r w:rsidR="000D3561">
        <w:t>+</w:t>
      </w:r>
      <w:r w:rsidRPr="001F3902">
        <w:t xml:space="preserve"> BV at Week 8/9 reflect the faster deteriorating health status of a higher number of the patients in the CT arm before month 3 as shown in the Kaplan-Meier plot of PFS. In summary, the main difference observed in the completion rate of HRQoL was due to the </w:t>
      </w:r>
      <w:r w:rsidRPr="001F3902">
        <w:lastRenderedPageBreak/>
        <w:t>differences in PD at this time point. Lastly, the independent academic group GINECO which oversaw the study decided not to make the completion of HRQoL mandatory after PD considering the potential burden to patients. This decision was made before the release of the</w:t>
      </w:r>
      <w:r w:rsidR="00B51A1A">
        <w:t xml:space="preserve"> ‘</w:t>
      </w:r>
      <w:r w:rsidRPr="000D3561">
        <w:rPr>
          <w:i/>
        </w:rPr>
        <w:t>Reflection Paper on the use of patient reported outcome measures in oncology studies</w:t>
      </w:r>
      <w:r w:rsidR="00B51A1A">
        <w:t>’</w:t>
      </w:r>
      <w:r w:rsidR="000D3561">
        <w:t xml:space="preserve"> </w:t>
      </w:r>
      <w:r w:rsidR="00001F85">
        <w:t>by the EMA (22 May 2014).</w:t>
      </w:r>
    </w:p>
    <w:p w:rsidR="001F3902" w:rsidRPr="001F3902" w:rsidRDefault="00001F85" w:rsidP="00C32FBB">
      <w:pPr>
        <w:pStyle w:val="Heading5"/>
        <w:rPr>
          <w:rFonts w:eastAsiaTheme="minorHAnsi"/>
        </w:rPr>
      </w:pPr>
      <w:r>
        <w:rPr>
          <w:rFonts w:eastAsiaTheme="minorHAnsi"/>
        </w:rPr>
        <w:t>Safety data limitations</w:t>
      </w:r>
    </w:p>
    <w:p w:rsidR="001F3902" w:rsidRPr="001F3902" w:rsidRDefault="001F3902" w:rsidP="00C32FBB">
      <w:r w:rsidRPr="001F3902">
        <w:t xml:space="preserve">The </w:t>
      </w:r>
      <w:r w:rsidR="000D3561">
        <w:t>s</w:t>
      </w:r>
      <w:r w:rsidRPr="001F3902">
        <w:t xml:space="preserve">ponsor provides a response here to the Delegate’s comments regarding the safety data collected in MO22224. At the time MO22224 was designed in 2009, the general safety profile of </w:t>
      </w:r>
      <w:r w:rsidR="00D642FB">
        <w:t>BV</w:t>
      </w:r>
      <w:r w:rsidRPr="001F3902">
        <w:t xml:space="preserve"> across various indications was already well established. The data from three pivotal ovarian cancer trials, GOG-0218, BO17707/ ICON7 and AVF4095g (OCEANS), which have all been submitted to the TGA and supported registration of </w:t>
      </w:r>
      <w:r w:rsidR="00D642FB">
        <w:t>BV</w:t>
      </w:r>
      <w:r w:rsidRPr="001F3902">
        <w:t xml:space="preserve"> in the first-line and recurrent platinum-sensitive disease settings, provided insight into the safety profile specific to ovarian cancer. In MO22224, it was decided to collect only Grade 2</w:t>
      </w:r>
      <w:r w:rsidR="000D3561">
        <w:t xml:space="preserve"> to </w:t>
      </w:r>
      <w:r w:rsidRPr="001F3902">
        <w:t xml:space="preserve">5 AEs because Grade 1 events were not considered highly clinically relevant in the studied population. With regard to the lack of data on clinical laboratory tests, </w:t>
      </w:r>
      <w:r w:rsidR="00B51A1A">
        <w:t>the sponsor</w:t>
      </w:r>
      <w:r w:rsidRPr="001F3902">
        <w:t xml:space="preserve"> acknowledges this limitation given the method of reporting laboratory parameters specified in the protocol. The aggregate analysis of safety results of MO22224 included all treatment emergent Grade 2</w:t>
      </w:r>
      <w:r w:rsidR="000D3561">
        <w:t xml:space="preserve"> to </w:t>
      </w:r>
      <w:r w:rsidRPr="001F3902">
        <w:t xml:space="preserve">5 AEs regardless of causality assessment. The </w:t>
      </w:r>
      <w:r w:rsidR="000D3561">
        <w:t>s</w:t>
      </w:r>
      <w:r w:rsidRPr="001F3902">
        <w:t>ponsor believes that the aggregate analysis of safety results of MO22224 is robust and the safety results support a positive benefit/risk balance in this patient population. Laboratory measurements, including haematology, serum chemistry and urinalysis were performed by local laboratories per local standard of care. Laboratory parameters were not collected in the clinical database for this study. Information about AEs leading to dose interruption or reduction by study treatment arms was collected and the results show that the profile of the most common AEs leading to dose interruption or reduction is consistent with the profile of the most common AEs leading to s</w:t>
      </w:r>
      <w:r w:rsidR="00001F85">
        <w:t>tudy treatment discontinuation.</w:t>
      </w:r>
    </w:p>
    <w:p w:rsidR="001F3902" w:rsidRPr="001F3902" w:rsidRDefault="00001F85" w:rsidP="00C32FBB">
      <w:pPr>
        <w:pStyle w:val="Heading5"/>
        <w:rPr>
          <w:rFonts w:eastAsiaTheme="minorHAnsi"/>
        </w:rPr>
      </w:pPr>
      <w:r>
        <w:rPr>
          <w:rFonts w:eastAsiaTheme="minorHAnsi"/>
        </w:rPr>
        <w:t>Questions asked by the delegate</w:t>
      </w:r>
    </w:p>
    <w:p w:rsidR="001F3902" w:rsidRPr="001F3902" w:rsidRDefault="001F3902" w:rsidP="00C32FBB">
      <w:r w:rsidRPr="001F3902">
        <w:t xml:space="preserve">The </w:t>
      </w:r>
      <w:r w:rsidR="000D3561">
        <w:t>s</w:t>
      </w:r>
      <w:r w:rsidRPr="001F3902">
        <w:t xml:space="preserve">ponsor is requested to confirm the number of cases of PRES in the study, including those that developed after crossing over to </w:t>
      </w:r>
      <w:proofErr w:type="spellStart"/>
      <w:r w:rsidRPr="001F3902">
        <w:t>bevacizumab</w:t>
      </w:r>
      <w:proofErr w:type="spellEnd"/>
      <w:r w:rsidRPr="001F3902">
        <w:t xml:space="preserve"> monotherapy, and to incorporate these into the PI, stating specifically that they occ</w:t>
      </w:r>
      <w:r w:rsidR="00001F85">
        <w:t>urred in this trial population.</w:t>
      </w:r>
    </w:p>
    <w:p w:rsidR="00457B63" w:rsidRPr="00815ECF" w:rsidRDefault="001F3902" w:rsidP="00C32FBB">
      <w:pPr>
        <w:rPr>
          <w:rFonts w:ascii="Times New Roman" w:hAnsi="Times New Roman"/>
          <w:sz w:val="24"/>
        </w:rPr>
      </w:pPr>
      <w:r w:rsidRPr="001F3902">
        <w:t xml:space="preserve">There were two cases of PRES reported in MO22224 study. </w:t>
      </w:r>
      <w:r w:rsidR="000D3561">
        <w:t>One patient</w:t>
      </w:r>
      <w:r w:rsidRPr="001F3902">
        <w:t xml:space="preserve"> developed Grade 3 PRES with accompanying high blood pressure during study treatment with PLD and </w:t>
      </w:r>
      <w:r w:rsidR="00D642FB">
        <w:t>BV</w:t>
      </w:r>
      <w:r w:rsidRPr="001F3902">
        <w:t xml:space="preserve">. </w:t>
      </w:r>
      <w:r w:rsidR="00D642FB">
        <w:t>BV</w:t>
      </w:r>
      <w:r w:rsidRPr="001F3902">
        <w:t xml:space="preserve"> treatment was permanently discontinued due to the event and the event of PRES resolved. </w:t>
      </w:r>
      <w:r w:rsidR="000D3561">
        <w:t>Another patient</w:t>
      </w:r>
      <w:r w:rsidRPr="001F3902">
        <w:t xml:space="preserve"> developed </w:t>
      </w:r>
      <w:r w:rsidR="000D3561">
        <w:t>G</w:t>
      </w:r>
      <w:r w:rsidRPr="001F3902">
        <w:t xml:space="preserve">rade 4 PRES with accompanying hypertension during </w:t>
      </w:r>
      <w:r w:rsidR="00D642FB">
        <w:t>BV</w:t>
      </w:r>
      <w:r w:rsidRPr="001F3902">
        <w:t xml:space="preserve"> monotherapy after crossing over from the </w:t>
      </w:r>
      <w:proofErr w:type="spellStart"/>
      <w:r w:rsidRPr="001F3902">
        <w:t>topotecan</w:t>
      </w:r>
      <w:proofErr w:type="spellEnd"/>
      <w:r w:rsidRPr="001F3902">
        <w:t xml:space="preserve"> treatment arm. </w:t>
      </w:r>
      <w:r w:rsidR="00D642FB">
        <w:t>BV</w:t>
      </w:r>
      <w:r w:rsidRPr="001F3902">
        <w:t xml:space="preserve"> treatment was permanently discontinued due to the event of PRES and the event resolved with sequelae. Further medical details of these two cases are provided in the</w:t>
      </w:r>
      <w:r w:rsidR="00457B63">
        <w:t xml:space="preserve"> </w:t>
      </w:r>
      <w:r w:rsidR="00457B63" w:rsidRPr="00D541B2">
        <w:rPr>
          <w:rFonts w:ascii="Times New Roman" w:hAnsi="Times New Roman"/>
          <w:sz w:val="24"/>
        </w:rPr>
        <w:t xml:space="preserve">narratives in the primary CSR. </w:t>
      </w:r>
      <w:r w:rsidR="00457B63">
        <w:rPr>
          <w:rFonts w:ascii="Times New Roman" w:hAnsi="Times New Roman"/>
          <w:sz w:val="24"/>
        </w:rPr>
        <w:t xml:space="preserve">As </w:t>
      </w:r>
      <w:r w:rsidR="00457B63" w:rsidRPr="00815ECF">
        <w:rPr>
          <w:rFonts w:ascii="Times New Roman" w:hAnsi="Times New Roman"/>
          <w:sz w:val="24"/>
        </w:rPr>
        <w:t>requested, the two cases of PRES reported in the study have been described in</w:t>
      </w:r>
      <w:r w:rsidR="00457B63">
        <w:rPr>
          <w:rFonts w:ascii="Times New Roman" w:hAnsi="Times New Roman"/>
          <w:sz w:val="24"/>
        </w:rPr>
        <w:t xml:space="preserve"> the proposed</w:t>
      </w:r>
      <w:r w:rsidR="00457B63" w:rsidRPr="00815ECF">
        <w:rPr>
          <w:rFonts w:ascii="Times New Roman" w:hAnsi="Times New Roman"/>
          <w:sz w:val="24"/>
        </w:rPr>
        <w:t xml:space="preserve"> PI</w:t>
      </w:r>
      <w:r w:rsidR="00457B63">
        <w:rPr>
          <w:rFonts w:ascii="Times New Roman" w:hAnsi="Times New Roman"/>
          <w:sz w:val="24"/>
        </w:rPr>
        <w:t xml:space="preserve"> </w:t>
      </w:r>
      <w:r w:rsidR="00457B63" w:rsidRPr="00815ECF">
        <w:rPr>
          <w:rFonts w:ascii="Times New Roman" w:hAnsi="Times New Roman"/>
          <w:sz w:val="24"/>
        </w:rPr>
        <w:t>under th</w:t>
      </w:r>
      <w:r w:rsidR="00457B63">
        <w:rPr>
          <w:rFonts w:ascii="Times New Roman" w:hAnsi="Times New Roman"/>
          <w:sz w:val="24"/>
        </w:rPr>
        <w:t xml:space="preserve">e </w:t>
      </w:r>
      <w:r w:rsidR="000D3561" w:rsidRPr="000D3561">
        <w:rPr>
          <w:rFonts w:ascii="Times New Roman" w:hAnsi="Times New Roman"/>
          <w:i/>
          <w:sz w:val="24"/>
        </w:rPr>
        <w:t>Precautions</w:t>
      </w:r>
      <w:r w:rsidR="000D3561" w:rsidRPr="00815ECF">
        <w:rPr>
          <w:rFonts w:ascii="Times New Roman" w:hAnsi="Times New Roman"/>
          <w:sz w:val="24"/>
        </w:rPr>
        <w:t xml:space="preserve"> </w:t>
      </w:r>
      <w:r w:rsidR="00457B63" w:rsidRPr="00815ECF">
        <w:rPr>
          <w:rFonts w:ascii="Times New Roman" w:hAnsi="Times New Roman"/>
          <w:sz w:val="24"/>
        </w:rPr>
        <w:t>section. As the signs and symptoms, management of the events</w:t>
      </w:r>
      <w:r w:rsidR="00457B63">
        <w:rPr>
          <w:rFonts w:ascii="Times New Roman" w:hAnsi="Times New Roman"/>
          <w:sz w:val="24"/>
        </w:rPr>
        <w:t xml:space="preserve"> including discontinuation of </w:t>
      </w:r>
      <w:r w:rsidR="00D642FB">
        <w:rPr>
          <w:rFonts w:ascii="Times New Roman" w:hAnsi="Times New Roman"/>
          <w:sz w:val="24"/>
        </w:rPr>
        <w:t>BV</w:t>
      </w:r>
      <w:r w:rsidR="00457B63" w:rsidRPr="00815ECF">
        <w:rPr>
          <w:rFonts w:ascii="Times New Roman" w:hAnsi="Times New Roman"/>
          <w:sz w:val="24"/>
        </w:rPr>
        <w:t xml:space="preserve"> and outcome of the two </w:t>
      </w:r>
      <w:r w:rsidR="00457B63">
        <w:rPr>
          <w:rFonts w:ascii="Times New Roman" w:hAnsi="Times New Roman"/>
          <w:sz w:val="24"/>
        </w:rPr>
        <w:t xml:space="preserve">events are consistent with the description already included in the </w:t>
      </w:r>
      <w:r w:rsidR="000D3561" w:rsidRPr="000D3561">
        <w:rPr>
          <w:rFonts w:ascii="Times New Roman" w:hAnsi="Times New Roman"/>
          <w:i/>
          <w:sz w:val="24"/>
        </w:rPr>
        <w:t>Precautions</w:t>
      </w:r>
      <w:r w:rsidR="000D3561">
        <w:rPr>
          <w:rFonts w:ascii="Times New Roman" w:hAnsi="Times New Roman"/>
          <w:sz w:val="24"/>
        </w:rPr>
        <w:t xml:space="preserve"> </w:t>
      </w:r>
      <w:r w:rsidR="00457B63">
        <w:rPr>
          <w:rFonts w:ascii="Times New Roman" w:hAnsi="Times New Roman"/>
          <w:sz w:val="24"/>
        </w:rPr>
        <w:t>section</w:t>
      </w:r>
      <w:r w:rsidR="00457B63" w:rsidRPr="00815ECF">
        <w:rPr>
          <w:rFonts w:ascii="Times New Roman" w:hAnsi="Times New Roman"/>
          <w:sz w:val="24"/>
        </w:rPr>
        <w:t xml:space="preserve">, the </w:t>
      </w:r>
      <w:r w:rsidR="000D3561">
        <w:rPr>
          <w:rFonts w:ascii="Times New Roman" w:hAnsi="Times New Roman"/>
          <w:sz w:val="24"/>
        </w:rPr>
        <w:t>s</w:t>
      </w:r>
      <w:r w:rsidR="00457B63" w:rsidRPr="00815ECF">
        <w:rPr>
          <w:rFonts w:ascii="Times New Roman" w:hAnsi="Times New Roman"/>
          <w:sz w:val="24"/>
        </w:rPr>
        <w:t xml:space="preserve">ponsor believes that the inclusion of the </w:t>
      </w:r>
      <w:r w:rsidR="00457B63">
        <w:rPr>
          <w:rFonts w:ascii="Times New Roman" w:hAnsi="Times New Roman"/>
          <w:sz w:val="24"/>
        </w:rPr>
        <w:t>2</w:t>
      </w:r>
      <w:r w:rsidR="00457B63" w:rsidRPr="00815ECF">
        <w:rPr>
          <w:rFonts w:ascii="Times New Roman" w:hAnsi="Times New Roman"/>
          <w:sz w:val="24"/>
        </w:rPr>
        <w:t xml:space="preserve"> events in the PI provides sufficient information for the treating physicians.</w:t>
      </w:r>
    </w:p>
    <w:p w:rsidR="00457B63" w:rsidRPr="00C32FBB" w:rsidRDefault="00457B63" w:rsidP="00C32FBB">
      <w:pPr>
        <w:rPr>
          <w:i/>
          <w:lang w:val="en-GB"/>
        </w:rPr>
      </w:pPr>
      <w:r w:rsidRPr="00C32FBB">
        <w:rPr>
          <w:i/>
          <w:lang w:val="en-GB"/>
        </w:rPr>
        <w:t>Please provide a justification for the proposed PI change restricting to physicians who treat cancer.</w:t>
      </w:r>
    </w:p>
    <w:p w:rsidR="001F3902" w:rsidRPr="001F3902" w:rsidRDefault="00457B63" w:rsidP="00C32FBB">
      <w:r w:rsidRPr="00815ECF">
        <w:rPr>
          <w:lang w:val="en-GB"/>
        </w:rPr>
        <w:t xml:space="preserve">This PI revision was previously requested by the RMP evaluator during an </w:t>
      </w:r>
      <w:r>
        <w:rPr>
          <w:lang w:val="en-GB"/>
        </w:rPr>
        <w:t xml:space="preserve">earlier </w:t>
      </w:r>
      <w:proofErr w:type="spellStart"/>
      <w:r>
        <w:rPr>
          <w:lang w:val="en-GB"/>
        </w:rPr>
        <w:t>Avastin</w:t>
      </w:r>
      <w:proofErr w:type="spellEnd"/>
      <w:r>
        <w:rPr>
          <w:lang w:val="en-GB"/>
        </w:rPr>
        <w:t xml:space="preserve"> application</w:t>
      </w:r>
      <w:r w:rsidRPr="00815ECF">
        <w:rPr>
          <w:lang w:val="en-GB"/>
        </w:rPr>
        <w:t>. It aligns the PI with the same statement in the EU S</w:t>
      </w:r>
      <w:r w:rsidR="000D3561">
        <w:rPr>
          <w:lang w:val="en-GB"/>
        </w:rPr>
        <w:t>m</w:t>
      </w:r>
      <w:r w:rsidRPr="00815ECF">
        <w:rPr>
          <w:lang w:val="en-GB"/>
        </w:rPr>
        <w:t>PC and as stated by the RMP evaluator enhances the safe use of the medicine.</w:t>
      </w:r>
      <w:bookmarkStart w:id="201" w:name="_Ref377646227"/>
      <w:bookmarkEnd w:id="201"/>
    </w:p>
    <w:p w:rsidR="008E7846" w:rsidRDefault="008E7846" w:rsidP="00C32FBB">
      <w:pPr>
        <w:pStyle w:val="Heading4"/>
      </w:pPr>
      <w:r>
        <w:lastRenderedPageBreak/>
        <w:t xml:space="preserve">Advisory </w:t>
      </w:r>
      <w:r w:rsidR="00451D82">
        <w:t>c</w:t>
      </w:r>
      <w:r>
        <w:t xml:space="preserve">ommittee </w:t>
      </w:r>
      <w:r w:rsidR="00451D82">
        <w:t>c</w:t>
      </w:r>
      <w:r>
        <w:t>onsiderations</w:t>
      </w:r>
    </w:p>
    <w:p w:rsidR="008E7846" w:rsidRDefault="00D23139" w:rsidP="00C32FBB">
      <w:r w:rsidRPr="00D23139">
        <w:t>The Advisory Committee on Prescription Medicines (ACPM), having considered the evaluations and the Delegate’s overview, as well as the sponsor’s response to these documents, advised the following:</w:t>
      </w:r>
    </w:p>
    <w:p w:rsidR="003D7ABB" w:rsidRPr="00384076" w:rsidRDefault="003D7ABB" w:rsidP="00C32FBB">
      <w:r w:rsidRPr="00384076">
        <w:t>The submission seeks to register an extension of indications for a currently registered product.</w:t>
      </w:r>
    </w:p>
    <w:p w:rsidR="003D7ABB" w:rsidRPr="00384076" w:rsidRDefault="003D7ABB" w:rsidP="00C32FBB">
      <w:r w:rsidRPr="00384076">
        <w:t xml:space="preserve">The ACPM, taking into account the submitted evidence of efficacy, safety and quality, considered </w:t>
      </w:r>
      <w:proofErr w:type="spellStart"/>
      <w:r w:rsidR="000D3561" w:rsidRPr="00384076">
        <w:rPr>
          <w:bCs/>
        </w:rPr>
        <w:t>Avastin</w:t>
      </w:r>
      <w:proofErr w:type="spellEnd"/>
      <w:r w:rsidRPr="00384076">
        <w:rPr>
          <w:bCs/>
        </w:rPr>
        <w:t>,</w:t>
      </w:r>
      <w:r w:rsidRPr="00384076">
        <w:t xml:space="preserve"> </w:t>
      </w:r>
      <w:r w:rsidRPr="00384076">
        <w:rPr>
          <w:bCs/>
        </w:rPr>
        <w:t xml:space="preserve">concentrate for intravenous infusion, containing </w:t>
      </w:r>
      <w:proofErr w:type="spellStart"/>
      <w:r w:rsidRPr="00384076">
        <w:rPr>
          <w:bCs/>
        </w:rPr>
        <w:t>bevacizumab</w:t>
      </w:r>
      <w:proofErr w:type="spellEnd"/>
      <w:r w:rsidRPr="00384076">
        <w:rPr>
          <w:bCs/>
        </w:rPr>
        <w:t xml:space="preserve"> 100</w:t>
      </w:r>
      <w:r>
        <w:rPr>
          <w:bCs/>
        </w:rPr>
        <w:t> </w:t>
      </w:r>
      <w:r w:rsidRPr="00384076">
        <w:rPr>
          <w:bCs/>
        </w:rPr>
        <w:t xml:space="preserve">mg/4 mL and 400 mg/16 mL </w:t>
      </w:r>
      <w:r w:rsidRPr="00384076">
        <w:t>to have an overall positive benefit–risk profile for the amended indication:</w:t>
      </w:r>
    </w:p>
    <w:p w:rsidR="003D7ABB" w:rsidRPr="00402C34" w:rsidRDefault="00897A00" w:rsidP="003D7ABB">
      <w:pPr>
        <w:ind w:left="567"/>
        <w:rPr>
          <w:rFonts w:cs="Arial"/>
          <w:bCs/>
          <w:i/>
          <w:iCs/>
        </w:rPr>
      </w:pPr>
      <w:proofErr w:type="spellStart"/>
      <w:r>
        <w:rPr>
          <w:rFonts w:cs="Arial"/>
          <w:bCs/>
          <w:i/>
          <w:iCs/>
        </w:rPr>
        <w:t>Avastin</w:t>
      </w:r>
      <w:proofErr w:type="spellEnd"/>
      <w:r w:rsidR="003D7ABB" w:rsidRPr="00402C34">
        <w:rPr>
          <w:rFonts w:cs="Arial"/>
          <w:bCs/>
          <w:i/>
          <w:iCs/>
        </w:rPr>
        <w:t xml:space="preserve"> (</w:t>
      </w:r>
      <w:proofErr w:type="spellStart"/>
      <w:r w:rsidR="003D7ABB" w:rsidRPr="00402C34">
        <w:rPr>
          <w:rFonts w:cs="Arial"/>
          <w:bCs/>
          <w:i/>
          <w:iCs/>
        </w:rPr>
        <w:t>bevacizumab</w:t>
      </w:r>
      <w:proofErr w:type="spellEnd"/>
      <w:r w:rsidR="003D7ABB" w:rsidRPr="00402C34">
        <w:rPr>
          <w:rFonts w:cs="Arial"/>
          <w:bCs/>
          <w:i/>
          <w:iCs/>
        </w:rPr>
        <w:t xml:space="preserve">) in combination with paclitaxel, </w:t>
      </w:r>
      <w:proofErr w:type="spellStart"/>
      <w:r w:rsidR="003D7ABB" w:rsidRPr="00402C34">
        <w:rPr>
          <w:rFonts w:cs="Arial"/>
          <w:bCs/>
          <w:i/>
          <w:iCs/>
        </w:rPr>
        <w:t>topotecan</w:t>
      </w:r>
      <w:proofErr w:type="spellEnd"/>
      <w:r w:rsidR="003D7ABB" w:rsidRPr="00402C34">
        <w:rPr>
          <w:rFonts w:cs="Arial"/>
          <w:bCs/>
          <w:i/>
          <w:iCs/>
        </w:rPr>
        <w:t xml:space="preserve"> or </w:t>
      </w:r>
      <w:proofErr w:type="spellStart"/>
      <w:r w:rsidR="003D7ABB" w:rsidRPr="00402C34">
        <w:rPr>
          <w:rFonts w:cs="Arial"/>
          <w:bCs/>
          <w:i/>
          <w:iCs/>
        </w:rPr>
        <w:t>pegylated</w:t>
      </w:r>
      <w:proofErr w:type="spellEnd"/>
      <w:r w:rsidR="003D7ABB" w:rsidRPr="00402C34">
        <w:rPr>
          <w:rFonts w:cs="Arial"/>
          <w:bCs/>
          <w:i/>
          <w:iCs/>
        </w:rPr>
        <w:t xml:space="preserve"> </w:t>
      </w:r>
      <w:proofErr w:type="spellStart"/>
      <w:r w:rsidR="003D7ABB" w:rsidRPr="00402C34">
        <w:rPr>
          <w:rFonts w:cs="Arial"/>
          <w:bCs/>
          <w:i/>
          <w:iCs/>
        </w:rPr>
        <w:t>lioposomal</w:t>
      </w:r>
      <w:proofErr w:type="spellEnd"/>
      <w:r w:rsidR="003D7ABB" w:rsidRPr="00402C34">
        <w:rPr>
          <w:rFonts w:cs="Arial"/>
          <w:bCs/>
          <w:i/>
          <w:iCs/>
        </w:rPr>
        <w:t xml:space="preserve"> doxorubicin is indicated for the treatment of patients with recurrent, platinum-resistant epithelial ovarian, fallopian tube, or primary peritoneal cancer who have received no more than two prior chemotherapy regimens, and have not received any prior anti-</w:t>
      </w:r>
      <w:proofErr w:type="spellStart"/>
      <w:r w:rsidR="003D7ABB" w:rsidRPr="00402C34">
        <w:rPr>
          <w:rFonts w:cs="Arial"/>
          <w:bCs/>
          <w:i/>
          <w:iCs/>
        </w:rPr>
        <w:t>angiogenic</w:t>
      </w:r>
      <w:proofErr w:type="spellEnd"/>
      <w:r w:rsidR="00001F85">
        <w:rPr>
          <w:rFonts w:cs="Arial"/>
          <w:bCs/>
          <w:i/>
          <w:iCs/>
        </w:rPr>
        <w:t xml:space="preserve"> therapy including </w:t>
      </w:r>
      <w:proofErr w:type="spellStart"/>
      <w:r w:rsidR="00001F85">
        <w:rPr>
          <w:rFonts w:cs="Arial"/>
          <w:bCs/>
          <w:i/>
          <w:iCs/>
        </w:rPr>
        <w:t>bevacizumab</w:t>
      </w:r>
      <w:proofErr w:type="spellEnd"/>
      <w:r w:rsidR="00001F85">
        <w:rPr>
          <w:rFonts w:cs="Arial"/>
          <w:bCs/>
          <w:i/>
          <w:iCs/>
        </w:rPr>
        <w:t>.</w:t>
      </w:r>
    </w:p>
    <w:p w:rsidR="003D7ABB" w:rsidRPr="00402C34" w:rsidRDefault="003D7ABB" w:rsidP="003D7ABB">
      <w:pPr>
        <w:ind w:left="567"/>
        <w:rPr>
          <w:rFonts w:cs="Calibri"/>
          <w:i/>
        </w:rPr>
      </w:pPr>
      <w:r w:rsidRPr="00402C34">
        <w:rPr>
          <w:rFonts w:cs="Arial"/>
          <w:bCs/>
          <w:i/>
          <w:iCs/>
        </w:rPr>
        <w:t>Patients should not have a history of bowel obstruction, abdominal fistulae or clinical or radiological evidence of recto-sigmoid involvement.</w:t>
      </w:r>
    </w:p>
    <w:p w:rsidR="003D7ABB" w:rsidRPr="00402C34" w:rsidRDefault="003D7ABB" w:rsidP="00C32FBB">
      <w:r w:rsidRPr="00402C34">
        <w:t>In making this recommendation the ACPM was concerned at the modifications made in the statistical analysis of the pivotal trial, particularly on the quality of life assessments and the lateness of the submission to the TGA of the independent statistical analysis.</w:t>
      </w:r>
    </w:p>
    <w:p w:rsidR="003D7ABB" w:rsidRPr="00384076" w:rsidRDefault="003D7ABB" w:rsidP="00C32FBB">
      <w:r w:rsidRPr="00402C34">
        <w:t xml:space="preserve">The ACPM was also of the view that use of </w:t>
      </w:r>
      <w:proofErr w:type="spellStart"/>
      <w:r w:rsidRPr="00402C34">
        <w:t>bevacizumab</w:t>
      </w:r>
      <w:proofErr w:type="spellEnd"/>
      <w:r w:rsidRPr="00402C34">
        <w:t xml:space="preserve"> in combination with </w:t>
      </w:r>
      <w:proofErr w:type="spellStart"/>
      <w:r w:rsidRPr="00402C34">
        <w:t>pegylated</w:t>
      </w:r>
      <w:proofErr w:type="spellEnd"/>
      <w:r w:rsidRPr="00402C34">
        <w:t xml:space="preserve"> liposomal doxorubicin (PLD) should not be excluded from the indication on the basis of results from an exploratory analysis. However, the results of the relative efficacy of the different combinations in the clinical trial should be clearly stated in the PI. In addition,</w:t>
      </w:r>
      <w:r w:rsidRPr="00384076">
        <w:t xml:space="preserve"> the indication should reflect the exclusion criteria of the pivotal trial in order to limit severe adverse events.</w:t>
      </w:r>
    </w:p>
    <w:p w:rsidR="003D7ABB" w:rsidRPr="00384076" w:rsidRDefault="003D7ABB" w:rsidP="00C32FBB">
      <w:pPr>
        <w:pStyle w:val="Heading5"/>
      </w:pPr>
      <w:r w:rsidRPr="00384076">
        <w:t>Proposed conditions of registration</w:t>
      </w:r>
    </w:p>
    <w:p w:rsidR="003D7ABB" w:rsidRPr="00384076" w:rsidRDefault="000D3561" w:rsidP="00C32FBB">
      <w:r>
        <w:t>The ACPM agreed with the D</w:t>
      </w:r>
      <w:r w:rsidR="003D7ABB" w:rsidRPr="00384076">
        <w:t>elegate on the propo</w:t>
      </w:r>
      <w:r w:rsidR="00001F85">
        <w:t>sed conditions of registration.</w:t>
      </w:r>
    </w:p>
    <w:p w:rsidR="003D7ABB" w:rsidRPr="00384076" w:rsidRDefault="003D7ABB" w:rsidP="00C32FBB">
      <w:pPr>
        <w:pStyle w:val="Heading5"/>
        <w:rPr>
          <w:u w:val="single"/>
        </w:rPr>
      </w:pPr>
      <w:r w:rsidRPr="00384076">
        <w:t>Proposed Product Information (PI)/Consumer Medicine Information (CMI) amendments</w:t>
      </w:r>
    </w:p>
    <w:p w:rsidR="003D7ABB" w:rsidRPr="00384076" w:rsidRDefault="003D7ABB" w:rsidP="00C32FBB">
      <w:r w:rsidRPr="00384076">
        <w:t xml:space="preserve">The ACPM agreed with the </w:t>
      </w:r>
      <w:r w:rsidR="000D3561">
        <w:t>D</w:t>
      </w:r>
      <w:r w:rsidRPr="00384076">
        <w:t xml:space="preserve">elegate to the proposed amendments to the Product Information (PI) and Consumer Medicine Information (CMI) and specifically advised on </w:t>
      </w:r>
      <w:r w:rsidR="00001F85">
        <w:t>the inclusion of the following:</w:t>
      </w:r>
    </w:p>
    <w:p w:rsidR="003D7ABB" w:rsidRPr="00384076" w:rsidRDefault="003D7ABB" w:rsidP="00C32FBB">
      <w:pPr>
        <w:pStyle w:val="ListBullet"/>
        <w:rPr>
          <w:lang w:val="en-GB"/>
        </w:rPr>
      </w:pPr>
      <w:r>
        <w:rPr>
          <w:lang w:val="en-GB"/>
        </w:rPr>
        <w:t xml:space="preserve">The addition of a statement to the effect that </w:t>
      </w:r>
      <w:proofErr w:type="spellStart"/>
      <w:r>
        <w:rPr>
          <w:lang w:val="en-GB"/>
        </w:rPr>
        <w:t>b</w:t>
      </w:r>
      <w:r w:rsidRPr="00384076">
        <w:rPr>
          <w:lang w:val="en-GB"/>
        </w:rPr>
        <w:t>evacizumab</w:t>
      </w:r>
      <w:proofErr w:type="spellEnd"/>
      <w:r w:rsidRPr="00384076">
        <w:rPr>
          <w:lang w:val="en-GB"/>
        </w:rPr>
        <w:t xml:space="preserve"> should not be used in </w:t>
      </w:r>
      <w:r w:rsidRPr="00512820">
        <w:rPr>
          <w:lang w:val="en-GB"/>
        </w:rPr>
        <w:t>patients who have a history of bowel obstruction, abdominal fistulae or clinical or radiological evidence of recto-sigmoid involvement.</w:t>
      </w:r>
    </w:p>
    <w:p w:rsidR="003D7ABB" w:rsidRPr="00384076" w:rsidRDefault="003D7ABB" w:rsidP="00C32FBB">
      <w:pPr>
        <w:pStyle w:val="Heading5"/>
        <w:rPr>
          <w:szCs w:val="22"/>
          <w:highlight w:val="yellow"/>
          <w:lang w:val="en-GB"/>
        </w:rPr>
      </w:pPr>
      <w:r w:rsidRPr="00384076">
        <w:rPr>
          <w:lang w:val="en-GB"/>
        </w:rPr>
        <w:t xml:space="preserve">Specific </w:t>
      </w:r>
      <w:r w:rsidR="00001F85">
        <w:rPr>
          <w:lang w:val="en-GB"/>
        </w:rPr>
        <w:t>a</w:t>
      </w:r>
      <w:r w:rsidRPr="00384076">
        <w:rPr>
          <w:lang w:val="en-GB"/>
        </w:rPr>
        <w:t>dvice</w:t>
      </w:r>
    </w:p>
    <w:p w:rsidR="003D7ABB" w:rsidRPr="00384076" w:rsidRDefault="003D7ABB" w:rsidP="003D7ABB">
      <w:pPr>
        <w:rPr>
          <w:b/>
          <w:bCs/>
          <w:iCs/>
          <w:highlight w:val="yellow"/>
        </w:rPr>
      </w:pPr>
      <w:r w:rsidRPr="00384076">
        <w:rPr>
          <w:rFonts w:cs="Arial"/>
        </w:rPr>
        <w:t>The ACPM advised th</w:t>
      </w:r>
      <w:r w:rsidR="000D3561">
        <w:rPr>
          <w:rFonts w:cs="Arial"/>
        </w:rPr>
        <w:t>e following in response to the D</w:t>
      </w:r>
      <w:r w:rsidRPr="00384076">
        <w:rPr>
          <w:rFonts w:cs="Arial"/>
        </w:rPr>
        <w:t>elegate’s specific questions on this submission:</w:t>
      </w:r>
    </w:p>
    <w:p w:rsidR="003D7ABB" w:rsidRPr="00C32FBB" w:rsidRDefault="003D7ABB" w:rsidP="00C32FBB">
      <w:pPr>
        <w:pStyle w:val="Numberbullet0"/>
        <w:numPr>
          <w:ilvl w:val="0"/>
          <w:numId w:val="31"/>
        </w:numPr>
        <w:rPr>
          <w:i/>
          <w:lang w:val="en-GB"/>
        </w:rPr>
      </w:pPr>
      <w:r w:rsidRPr="00C32FBB">
        <w:rPr>
          <w:lang w:val="en-GB"/>
        </w:rPr>
        <w:t xml:space="preserve">Whether the improvement in progression free survival (PFS) alone is sufficient to support registration for the delegate’s modified indication: </w:t>
      </w:r>
      <w:proofErr w:type="spellStart"/>
      <w:r w:rsidR="0011732E" w:rsidRPr="00C32FBB">
        <w:rPr>
          <w:i/>
          <w:lang w:val="en-GB"/>
        </w:rPr>
        <w:t>Avastin</w:t>
      </w:r>
      <w:proofErr w:type="spellEnd"/>
      <w:r w:rsidR="0011732E" w:rsidRPr="00C32FBB">
        <w:rPr>
          <w:i/>
          <w:lang w:val="en-GB"/>
        </w:rPr>
        <w:t xml:space="preserve"> </w:t>
      </w:r>
      <w:r w:rsidRPr="00C32FBB">
        <w:rPr>
          <w:i/>
          <w:lang w:val="en-GB"/>
        </w:rPr>
        <w:t>(</w:t>
      </w:r>
      <w:proofErr w:type="spellStart"/>
      <w:r w:rsidRPr="00C32FBB">
        <w:rPr>
          <w:i/>
          <w:lang w:val="en-GB"/>
        </w:rPr>
        <w:t>bevacizumab</w:t>
      </w:r>
      <w:proofErr w:type="spellEnd"/>
      <w:r w:rsidRPr="00C32FBB">
        <w:rPr>
          <w:i/>
          <w:lang w:val="en-GB"/>
        </w:rPr>
        <w:t xml:space="preserve">) in combination with paclitaxel or </w:t>
      </w:r>
      <w:proofErr w:type="spellStart"/>
      <w:r w:rsidRPr="00C32FBB">
        <w:rPr>
          <w:i/>
          <w:lang w:val="en-GB"/>
        </w:rPr>
        <w:t>topotecan</w:t>
      </w:r>
      <w:proofErr w:type="spellEnd"/>
      <w:r w:rsidRPr="00C32FBB">
        <w:rPr>
          <w:i/>
          <w:lang w:val="en-GB"/>
        </w:rPr>
        <w:t xml:space="preserve"> is indicated for the treatment of patients with recurrent, platinum-resistant epithelial ovarian, fallopian tube, or primary peritoneal cancer who have received no more than two prior chemotherapy regimens, and who have not received any prior anti-</w:t>
      </w:r>
      <w:proofErr w:type="spellStart"/>
      <w:r w:rsidRPr="00C32FBB">
        <w:rPr>
          <w:i/>
          <w:lang w:val="en-GB"/>
        </w:rPr>
        <w:t>angiogenic</w:t>
      </w:r>
      <w:proofErr w:type="spellEnd"/>
      <w:r w:rsidRPr="00C32FBB">
        <w:rPr>
          <w:i/>
          <w:lang w:val="en-GB"/>
        </w:rPr>
        <w:t xml:space="preserve"> therapy including </w:t>
      </w:r>
      <w:proofErr w:type="spellStart"/>
      <w:r w:rsidRPr="00C32FBB">
        <w:rPr>
          <w:i/>
          <w:lang w:val="en-GB"/>
        </w:rPr>
        <w:t>bevacizumab</w:t>
      </w:r>
      <w:proofErr w:type="spellEnd"/>
      <w:r w:rsidRPr="00C32FBB">
        <w:rPr>
          <w:lang w:val="en-GB"/>
        </w:rPr>
        <w:t>?</w:t>
      </w:r>
    </w:p>
    <w:p w:rsidR="003D7ABB" w:rsidRPr="0011732E" w:rsidRDefault="003D7ABB" w:rsidP="00C32FBB">
      <w:r w:rsidRPr="0011732E">
        <w:t xml:space="preserve">The ACPM advised that the addition of </w:t>
      </w:r>
      <w:proofErr w:type="spellStart"/>
      <w:r w:rsidRPr="0011732E">
        <w:t>bevacizumab</w:t>
      </w:r>
      <w:proofErr w:type="spellEnd"/>
      <w:r w:rsidRPr="0011732E">
        <w:t xml:space="preserve"> to chemotherapy led to a statistically significant and clinically meaningful improvement in PFS survival, but not overall survival </w:t>
      </w:r>
      <w:r w:rsidRPr="0011732E">
        <w:lastRenderedPageBreak/>
        <w:t xml:space="preserve">(OS) in this poor prognostic patient group. The ACPM noted that crossover was allowed in the clinical trials and considered this was ethically appropriate, noting however, that this would dilute any OS outcomes. The ACPM considered that PFS rather than OS </w:t>
      </w:r>
      <w:proofErr w:type="gramStart"/>
      <w:r w:rsidRPr="0011732E">
        <w:t>is</w:t>
      </w:r>
      <w:proofErr w:type="gramEnd"/>
      <w:r w:rsidRPr="0011732E">
        <w:t xml:space="preserve"> the more appropriate outcome in this circumstance.</w:t>
      </w:r>
    </w:p>
    <w:p w:rsidR="003D7ABB" w:rsidRPr="0011732E" w:rsidRDefault="003D7ABB" w:rsidP="00C32FBB">
      <w:pPr>
        <w:rPr>
          <w:highlight w:val="yellow"/>
        </w:rPr>
      </w:pPr>
      <w:r w:rsidRPr="0011732E">
        <w:t xml:space="preserve">The ACPM noted the </w:t>
      </w:r>
      <w:r w:rsidR="0011732E">
        <w:t>D</w:t>
      </w:r>
      <w:r w:rsidRPr="0011732E">
        <w:t xml:space="preserve">elegate’s proposed indication (see above) omitted </w:t>
      </w:r>
      <w:proofErr w:type="spellStart"/>
      <w:r w:rsidRPr="0011732E">
        <w:t>pegylated</w:t>
      </w:r>
      <w:proofErr w:type="spellEnd"/>
      <w:r w:rsidRPr="0011732E">
        <w:t xml:space="preserve"> liposomal doxorubicin (PLD). The ACPM acknowledged:</w:t>
      </w:r>
    </w:p>
    <w:p w:rsidR="003D7ABB" w:rsidRPr="0011732E" w:rsidRDefault="003D7ABB" w:rsidP="00C32FBB">
      <w:pPr>
        <w:pStyle w:val="ListBullet"/>
      </w:pPr>
      <w:r w:rsidRPr="0011732E">
        <w:t xml:space="preserve">The study showed there appeared to be less benefit for patients on </w:t>
      </w:r>
      <w:proofErr w:type="spellStart"/>
      <w:r w:rsidRPr="0011732E">
        <w:t>bevacizumab</w:t>
      </w:r>
      <w:proofErr w:type="spellEnd"/>
      <w:r w:rsidRPr="0011732E">
        <w:t xml:space="preserve"> + PLD [the median extension of treatment duration by 1 cycle of chemotherapy (compared to the median increase of 3 with </w:t>
      </w:r>
      <w:r w:rsidR="00001F85">
        <w:t>the other 2 chemotherapy arms)]</w:t>
      </w:r>
    </w:p>
    <w:p w:rsidR="003D7ABB" w:rsidRPr="0011732E" w:rsidRDefault="003D7ABB" w:rsidP="00C32FBB">
      <w:pPr>
        <w:pStyle w:val="ListBullet"/>
      </w:pPr>
      <w:r w:rsidRPr="0011732E">
        <w:t>There were 9 deaths in PLD patients (11 in total for the study) but only 1 ext</w:t>
      </w:r>
      <w:r w:rsidR="00001F85">
        <w:t xml:space="preserve">ra in the PLD + </w:t>
      </w:r>
      <w:proofErr w:type="spellStart"/>
      <w:r w:rsidR="00001F85">
        <w:t>bevacizumab</w:t>
      </w:r>
      <w:proofErr w:type="spellEnd"/>
      <w:r w:rsidR="00001F85">
        <w:t xml:space="preserve"> arm</w:t>
      </w:r>
    </w:p>
    <w:p w:rsidR="003D7ABB" w:rsidRPr="0011732E" w:rsidRDefault="003D7ABB" w:rsidP="00C32FBB">
      <w:pPr>
        <w:pStyle w:val="ListBullet"/>
      </w:pPr>
      <w:r w:rsidRPr="0011732E">
        <w:t>Increase in side effects with this combination</w:t>
      </w:r>
    </w:p>
    <w:p w:rsidR="003D7ABB" w:rsidRPr="0011732E" w:rsidRDefault="003D7ABB" w:rsidP="00C32FBB">
      <w:pPr>
        <w:pStyle w:val="ListBullet"/>
      </w:pPr>
      <w:r w:rsidRPr="0011732E">
        <w:t>The improvement in PFS, on independent review, did not</w:t>
      </w:r>
      <w:r w:rsidR="00001F85">
        <w:t xml:space="preserve"> reach statistical significance</w:t>
      </w:r>
    </w:p>
    <w:p w:rsidR="003D7ABB" w:rsidRPr="0011732E" w:rsidRDefault="003D7ABB" w:rsidP="00C32FBB">
      <w:pPr>
        <w:pStyle w:val="ListBullet"/>
      </w:pPr>
      <w:r w:rsidRPr="0011732E">
        <w:t xml:space="preserve">The benefit-risk profile for this combination is more </w:t>
      </w:r>
      <w:proofErr w:type="gramStart"/>
      <w:r w:rsidRPr="0011732E">
        <w:t>borderline</w:t>
      </w:r>
      <w:proofErr w:type="gramEnd"/>
      <w:r w:rsidRPr="0011732E">
        <w:t>; however, while the ACPM considered that PLD should not be excluded from the indication on the basis of results from an exploratory analysis these differences in benefit should be stated clearly in the PI and the decision should be open to the clinician.</w:t>
      </w:r>
    </w:p>
    <w:p w:rsidR="003D7ABB" w:rsidRPr="0011732E" w:rsidRDefault="003D7ABB" w:rsidP="00C32FBB">
      <w:r w:rsidRPr="0011732E">
        <w:t>Regarding assessment of quality of life, the ACPM agreed that gastrointestinal symptoms are an effective measure of clinical benefit and therefore are a valid measure of quality of life for this patient group.</w:t>
      </w:r>
    </w:p>
    <w:p w:rsidR="003D7ABB" w:rsidRPr="0011732E" w:rsidRDefault="003D7ABB" w:rsidP="00C32FBB">
      <w:r w:rsidRPr="0011732E">
        <w:t>The ACPM noted that the ascites subgroup results are also based on an exploratory analysis. The ACPM considered that although it appears those with ascites benefit particularly, overall response rate was also improved in those with measureable disease which did not include ascites. The ACPM therefore advised that treatment should not be li</w:t>
      </w:r>
      <w:r w:rsidR="00001F85">
        <w:t>mited to patients with ascites.</w:t>
      </w:r>
    </w:p>
    <w:p w:rsidR="003D7ABB" w:rsidRPr="0011732E" w:rsidRDefault="003D7ABB" w:rsidP="00C32FBB">
      <w:r w:rsidRPr="0011732E">
        <w:t>The ACPM noted that the sponsor had agreed to restrict treatment to patients who had not received prior anti-</w:t>
      </w:r>
      <w:proofErr w:type="spellStart"/>
      <w:r w:rsidRPr="0011732E">
        <w:t>angiogenic</w:t>
      </w:r>
      <w:proofErr w:type="spellEnd"/>
      <w:r w:rsidRPr="0011732E">
        <w:t xml:space="preserve"> therapies.</w:t>
      </w:r>
    </w:p>
    <w:p w:rsidR="003D7ABB" w:rsidRPr="0011732E" w:rsidRDefault="003D7ABB" w:rsidP="00C32FBB">
      <w:r w:rsidRPr="0011732E">
        <w:t xml:space="preserve">The ACPM noted the addition of </w:t>
      </w:r>
      <w:proofErr w:type="spellStart"/>
      <w:r w:rsidRPr="0011732E">
        <w:t>bevacizumab</w:t>
      </w:r>
      <w:proofErr w:type="spellEnd"/>
      <w:r w:rsidRPr="0011732E">
        <w:t xml:space="preserve"> to chemotherapy increased toxicity with more frequent and severe adverse events (AEs). The ACPM noted that the pivotal trial MO22224 (AURELIA) excluded patients that had a history of bowel obstruction, history of abdominal fistula, gastrointestinal perforation, intra-abdominal abscess or evidence of recto-sigmoid involvement. The ACPM considered that careful selection of patients could lessen severe AEs as was the case in the pivotal trial where the rate of bowel obstruction and fistula formation was low. The ACPM advised that </w:t>
      </w:r>
      <w:proofErr w:type="spellStart"/>
      <w:r w:rsidRPr="0011732E">
        <w:t>bevacizumab</w:t>
      </w:r>
      <w:proofErr w:type="spellEnd"/>
      <w:r w:rsidRPr="0011732E">
        <w:t xml:space="preserve"> should not be used in these patients in order to limit severe complications and toxicities occurring.</w:t>
      </w:r>
    </w:p>
    <w:p w:rsidR="003D7ABB" w:rsidRPr="00512820" w:rsidRDefault="003D7ABB" w:rsidP="00C32FBB">
      <w:r w:rsidRPr="00512820">
        <w:t>The ACPM advised that the implementation by the sponsor of the recommendations outlined above to the satisfaction of the TGA, in addition to the evidence of efficacy and safety provided would support the safe and</w:t>
      </w:r>
      <w:r w:rsidR="00001F85">
        <w:t xml:space="preserve"> effective use of this product.</w:t>
      </w:r>
    </w:p>
    <w:p w:rsidR="008E7846" w:rsidRDefault="008E7846" w:rsidP="00C32FBB">
      <w:pPr>
        <w:pStyle w:val="Heading3"/>
      </w:pPr>
      <w:bookmarkStart w:id="202" w:name="_Toc247691532"/>
      <w:bookmarkStart w:id="203" w:name="_Toc314842516"/>
      <w:bookmarkStart w:id="204" w:name="_Toc415046279"/>
      <w:bookmarkEnd w:id="81"/>
      <w:bookmarkEnd w:id="197"/>
      <w:bookmarkEnd w:id="198"/>
      <w:r w:rsidRPr="00837028">
        <w:t>Outcome</w:t>
      </w:r>
      <w:bookmarkEnd w:id="202"/>
      <w:bookmarkEnd w:id="203"/>
      <w:bookmarkEnd w:id="204"/>
    </w:p>
    <w:p w:rsidR="00897A00" w:rsidRDefault="00D23139" w:rsidP="00C32FBB">
      <w:pPr>
        <w:rPr>
          <w:rFonts w:asciiTheme="minorHAnsi" w:hAnsiTheme="minorHAnsi"/>
        </w:rPr>
      </w:pPr>
      <w:bookmarkStart w:id="205" w:name="_Toc247691533"/>
      <w:bookmarkStart w:id="206" w:name="_Toc314842517"/>
      <w:r w:rsidRPr="00897A00">
        <w:t xml:space="preserve">Based on a review of quality, safety and efficacy, TGA approved the registration of </w:t>
      </w:r>
      <w:proofErr w:type="spellStart"/>
      <w:r w:rsidR="00897A00" w:rsidRPr="00897A00">
        <w:t>Avastin</w:t>
      </w:r>
      <w:proofErr w:type="spellEnd"/>
      <w:r w:rsidR="003D7ABB" w:rsidRPr="00897A00">
        <w:rPr>
          <w:rFonts w:asciiTheme="minorHAnsi" w:hAnsiTheme="minorHAnsi"/>
          <w:vertAlign w:val="superscript"/>
        </w:rPr>
        <w:t xml:space="preserve"> </w:t>
      </w:r>
      <w:r w:rsidR="003D7ABB" w:rsidRPr="00897A00">
        <w:rPr>
          <w:rFonts w:asciiTheme="minorHAnsi" w:hAnsiTheme="minorHAnsi"/>
        </w:rPr>
        <w:t xml:space="preserve">containing </w:t>
      </w:r>
      <w:proofErr w:type="spellStart"/>
      <w:r w:rsidR="003D7ABB" w:rsidRPr="00897A00">
        <w:rPr>
          <w:rFonts w:asciiTheme="minorHAnsi" w:hAnsiTheme="minorHAnsi"/>
        </w:rPr>
        <w:t>bevacizumab</w:t>
      </w:r>
      <w:proofErr w:type="spellEnd"/>
      <w:r w:rsidR="003D7ABB" w:rsidRPr="00897A00">
        <w:rPr>
          <w:rFonts w:asciiTheme="minorHAnsi" w:hAnsiTheme="minorHAnsi"/>
        </w:rPr>
        <w:t xml:space="preserve"> 100</w:t>
      </w:r>
      <w:r w:rsidR="00897A00">
        <w:rPr>
          <w:rFonts w:asciiTheme="minorHAnsi" w:hAnsiTheme="minorHAnsi"/>
        </w:rPr>
        <w:t xml:space="preserve"> </w:t>
      </w:r>
      <w:r w:rsidR="003D7ABB" w:rsidRPr="00897A00">
        <w:rPr>
          <w:rFonts w:asciiTheme="minorHAnsi" w:hAnsiTheme="minorHAnsi"/>
        </w:rPr>
        <w:t>mg/4</w:t>
      </w:r>
      <w:r w:rsidR="00897A00">
        <w:rPr>
          <w:rFonts w:asciiTheme="minorHAnsi" w:hAnsiTheme="minorHAnsi"/>
        </w:rPr>
        <w:t xml:space="preserve"> </w:t>
      </w:r>
      <w:r w:rsidR="003D7ABB" w:rsidRPr="00897A00">
        <w:rPr>
          <w:rFonts w:asciiTheme="minorHAnsi" w:hAnsiTheme="minorHAnsi"/>
        </w:rPr>
        <w:t>mL and 400</w:t>
      </w:r>
      <w:r w:rsidR="00897A00">
        <w:rPr>
          <w:rFonts w:asciiTheme="minorHAnsi" w:hAnsiTheme="minorHAnsi"/>
        </w:rPr>
        <w:t xml:space="preserve"> </w:t>
      </w:r>
      <w:r w:rsidR="003D7ABB" w:rsidRPr="00897A00">
        <w:rPr>
          <w:rFonts w:asciiTheme="minorHAnsi" w:hAnsiTheme="minorHAnsi"/>
        </w:rPr>
        <w:t>mg/16</w:t>
      </w:r>
      <w:r w:rsidR="00897A00">
        <w:rPr>
          <w:rFonts w:asciiTheme="minorHAnsi" w:hAnsiTheme="minorHAnsi"/>
        </w:rPr>
        <w:t xml:space="preserve"> </w:t>
      </w:r>
      <w:r w:rsidR="00001F85">
        <w:rPr>
          <w:rFonts w:asciiTheme="minorHAnsi" w:hAnsiTheme="minorHAnsi"/>
        </w:rPr>
        <w:t>mL for the new indication:</w:t>
      </w:r>
    </w:p>
    <w:p w:rsidR="003D7ABB" w:rsidRPr="00C32FBB" w:rsidRDefault="00897A00" w:rsidP="00C32FBB">
      <w:pPr>
        <w:ind w:left="720"/>
        <w:rPr>
          <w:i/>
          <w:lang w:val="en-US"/>
        </w:rPr>
      </w:pPr>
      <w:proofErr w:type="spellStart"/>
      <w:r w:rsidRPr="00C32FBB">
        <w:rPr>
          <w:i/>
          <w:lang w:val="en-US"/>
        </w:rPr>
        <w:t>Avastin</w:t>
      </w:r>
      <w:proofErr w:type="spellEnd"/>
      <w:r w:rsidR="003D7ABB" w:rsidRPr="00C32FBB">
        <w:rPr>
          <w:i/>
          <w:lang w:val="en-US"/>
        </w:rPr>
        <w:t xml:space="preserve"> (</w:t>
      </w:r>
      <w:proofErr w:type="spellStart"/>
      <w:r w:rsidR="003D7ABB" w:rsidRPr="00C32FBB">
        <w:rPr>
          <w:i/>
          <w:lang w:val="en-US"/>
        </w:rPr>
        <w:t>bevacizumab</w:t>
      </w:r>
      <w:proofErr w:type="spellEnd"/>
      <w:r w:rsidR="003D7ABB" w:rsidRPr="00C32FBB">
        <w:rPr>
          <w:i/>
          <w:lang w:val="en-US"/>
        </w:rPr>
        <w:t xml:space="preserve">) in combination with paclitaxel, </w:t>
      </w:r>
      <w:proofErr w:type="spellStart"/>
      <w:r w:rsidR="003D7ABB" w:rsidRPr="00C32FBB">
        <w:rPr>
          <w:i/>
          <w:lang w:val="en-US"/>
        </w:rPr>
        <w:t>topotecan</w:t>
      </w:r>
      <w:proofErr w:type="spellEnd"/>
      <w:r w:rsidR="003D7ABB" w:rsidRPr="00C32FBB">
        <w:rPr>
          <w:i/>
          <w:lang w:val="en-US"/>
        </w:rPr>
        <w:t xml:space="preserve"> or </w:t>
      </w:r>
      <w:proofErr w:type="spellStart"/>
      <w:r w:rsidR="003D7ABB" w:rsidRPr="00C32FBB">
        <w:rPr>
          <w:i/>
          <w:lang w:val="en-US"/>
        </w:rPr>
        <w:t>pegylated</w:t>
      </w:r>
      <w:proofErr w:type="spellEnd"/>
      <w:r w:rsidR="003D7ABB" w:rsidRPr="00C32FBB">
        <w:rPr>
          <w:i/>
          <w:lang w:val="en-US"/>
        </w:rPr>
        <w:t xml:space="preserve"> liposomal doxorubicin is indicated for the treatment of patients with recurrent, platinum-resistant epithelial ovarian, fallopian tube, or primary peritoneal cancer who have received no more than two prior chemotherapy regimens, and have not received any prior anti-</w:t>
      </w:r>
      <w:proofErr w:type="spellStart"/>
      <w:r w:rsidR="003D7ABB" w:rsidRPr="00C32FBB">
        <w:rPr>
          <w:i/>
          <w:lang w:val="en-US"/>
        </w:rPr>
        <w:t>angiogenic</w:t>
      </w:r>
      <w:proofErr w:type="spellEnd"/>
      <w:r w:rsidR="003D7ABB" w:rsidRPr="00C32FBB">
        <w:rPr>
          <w:i/>
          <w:lang w:val="en-US"/>
        </w:rPr>
        <w:t xml:space="preserve"> therapy including </w:t>
      </w:r>
      <w:proofErr w:type="spellStart"/>
      <w:r w:rsidR="003D7ABB" w:rsidRPr="00C32FBB">
        <w:rPr>
          <w:i/>
          <w:lang w:val="en-US"/>
        </w:rPr>
        <w:t>bevacizumab</w:t>
      </w:r>
      <w:proofErr w:type="spellEnd"/>
      <w:r w:rsidR="003D7ABB" w:rsidRPr="00C32FBB">
        <w:rPr>
          <w:i/>
          <w:lang w:val="en-US"/>
        </w:rPr>
        <w:t>.</w:t>
      </w:r>
    </w:p>
    <w:p w:rsidR="00D23139" w:rsidRPr="00D23139" w:rsidRDefault="00D23139" w:rsidP="00C32FBB">
      <w:pPr>
        <w:pStyle w:val="Heading4"/>
      </w:pPr>
      <w:r w:rsidRPr="00D23139">
        <w:lastRenderedPageBreak/>
        <w:t>Specific conditions of registration applying to these goods</w:t>
      </w:r>
    </w:p>
    <w:p w:rsidR="003D7ABB" w:rsidRPr="00BB374A" w:rsidRDefault="003D7ABB" w:rsidP="00C32FBB">
      <w:pPr>
        <w:ind w:right="-143"/>
      </w:pPr>
      <w:r w:rsidRPr="00BB374A">
        <w:t xml:space="preserve">The </w:t>
      </w:r>
      <w:proofErr w:type="spellStart"/>
      <w:r w:rsidRPr="00BB374A">
        <w:t>Avastin</w:t>
      </w:r>
      <w:proofErr w:type="spellEnd"/>
      <w:r w:rsidRPr="00BB374A">
        <w:rPr>
          <w:vertAlign w:val="superscript"/>
        </w:rPr>
        <w:t>®</w:t>
      </w:r>
      <w:r w:rsidRPr="00BB374A">
        <w:t xml:space="preserve"> EU Risk Management Plan (RMP), version 14.0, data lock point 2 August</w:t>
      </w:r>
      <w:r w:rsidR="00C32FBB">
        <w:t xml:space="preserve"> </w:t>
      </w:r>
      <w:r w:rsidRPr="00BB374A">
        <w:t>2013 and Australian Specific Annex (Version 4.0 dated November 2013)</w:t>
      </w:r>
      <w:proofErr w:type="gramStart"/>
      <w:r w:rsidRPr="00BB374A">
        <w:t>,</w:t>
      </w:r>
      <w:proofErr w:type="gramEnd"/>
      <w:r w:rsidRPr="00BB374A">
        <w:t xml:space="preserve"> included with submission PM-2013-03227-1-4, and any subsequent revisions, as agreed with the TGA will be implemented in Australia.</w:t>
      </w:r>
    </w:p>
    <w:p w:rsidR="008E7846" w:rsidRDefault="00A80B5B" w:rsidP="00C32FBB">
      <w:pPr>
        <w:pStyle w:val="Heading2"/>
      </w:pPr>
      <w:bookmarkStart w:id="207" w:name="_Toc415046280"/>
      <w:proofErr w:type="gramStart"/>
      <w:r>
        <w:t>Attachment 1.</w:t>
      </w:r>
      <w:proofErr w:type="gramEnd"/>
      <w:r>
        <w:t xml:space="preserve"> </w:t>
      </w:r>
      <w:r w:rsidR="008E7846">
        <w:t xml:space="preserve">Product </w:t>
      </w:r>
      <w:r w:rsidR="00AA0ED0">
        <w:t>I</w:t>
      </w:r>
      <w:r w:rsidR="008E7846">
        <w:t>nformation</w:t>
      </w:r>
      <w:bookmarkEnd w:id="205"/>
      <w:bookmarkEnd w:id="206"/>
      <w:bookmarkEnd w:id="207"/>
    </w:p>
    <w:p w:rsidR="00C80137" w:rsidRDefault="002B3624" w:rsidP="00C80137">
      <w:pPr>
        <w:rPr>
          <w:color w:val="000000"/>
          <w:lang w:eastAsia="en-AU"/>
        </w:rPr>
      </w:pPr>
      <w:r w:rsidRPr="002B3624">
        <w:t xml:space="preserve">The Product Information approved for main </w:t>
      </w:r>
      <w:proofErr w:type="spellStart"/>
      <w:r w:rsidR="003D7ABB">
        <w:t>Avastin</w:t>
      </w:r>
      <w:proofErr w:type="spellEnd"/>
      <w:r w:rsidRPr="002B3624">
        <w:t xml:space="preserve"> at the time this AusPAR was published is at Attachment 1. For the most recent Product Information please refer to the TGA website at &lt;</w:t>
      </w:r>
      <w:hyperlink r:id="rId17" w:history="1">
        <w:r w:rsidR="00383221">
          <w:rPr>
            <w:rStyle w:val="Hyperlink"/>
          </w:rPr>
          <w:t>https://www.tga.gov.au/product-information-pi</w:t>
        </w:r>
      </w:hyperlink>
      <w:r w:rsidR="00001F85">
        <w:t>&gt;.</w:t>
      </w:r>
    </w:p>
    <w:p w:rsidR="00C80137" w:rsidRDefault="00C80137" w:rsidP="00C80137">
      <w:pPr>
        <w:pStyle w:val="Heading2"/>
        <w:rPr>
          <w:lang w:eastAsia="en-AU"/>
        </w:rPr>
      </w:pPr>
      <w:bookmarkStart w:id="208" w:name="_Toc415046281"/>
      <w:proofErr w:type="gramStart"/>
      <w:r>
        <w:rPr>
          <w:lang w:eastAsia="en-AU"/>
        </w:rPr>
        <w:t>Attachment 2.</w:t>
      </w:r>
      <w:proofErr w:type="gramEnd"/>
      <w:r w:rsidR="00A80B5B">
        <w:rPr>
          <w:lang w:eastAsia="en-AU"/>
        </w:rPr>
        <w:t xml:space="preserve"> </w:t>
      </w:r>
      <w:r>
        <w:rPr>
          <w:lang w:eastAsia="en-AU"/>
        </w:rPr>
        <w:t>Extract from the Clinical Evaluation Report</w:t>
      </w:r>
      <w:bookmarkEnd w:id="208"/>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2900A2">
        <w:trPr>
          <w:trHeight w:hRule="exact" w:val="704"/>
        </w:trPr>
        <w:tc>
          <w:tcPr>
            <w:tcW w:w="9175" w:type="dxa"/>
          </w:tcPr>
          <w:p w:rsidR="001C32CD" w:rsidRPr="00487162" w:rsidRDefault="001C32CD" w:rsidP="002900A2">
            <w:pPr>
              <w:pStyle w:val="TGASignoff"/>
            </w:pPr>
            <w:r w:rsidRPr="00487162">
              <w:lastRenderedPageBreak/>
              <w:t>Therapeutic Goods Administration</w:t>
            </w:r>
          </w:p>
        </w:tc>
      </w:tr>
      <w:tr w:rsidR="001C32CD" w:rsidRPr="004C239D" w:rsidTr="002900A2">
        <w:trPr>
          <w:trHeight w:val="1221"/>
        </w:trPr>
        <w:tc>
          <w:tcPr>
            <w:tcW w:w="9175" w:type="dxa"/>
            <w:tcMar>
              <w:top w:w="28" w:type="dxa"/>
            </w:tcMar>
          </w:tcPr>
          <w:p w:rsidR="001C32CD" w:rsidRPr="00487162" w:rsidRDefault="001C32CD" w:rsidP="002900A2">
            <w:pPr>
              <w:pStyle w:val="Address"/>
            </w:pPr>
            <w:r w:rsidRPr="00487162">
              <w:t>PO Box 100 Woden ACT 2606 Australia</w:t>
            </w:r>
          </w:p>
          <w:p w:rsidR="001C32CD" w:rsidRPr="00487162" w:rsidRDefault="001C32CD" w:rsidP="002900A2">
            <w:pPr>
              <w:pStyle w:val="Address"/>
            </w:pPr>
            <w:r w:rsidRPr="00487162">
              <w:t xml:space="preserve">Email: </w:t>
            </w:r>
            <w:hyperlink r:id="rId22" w:history="1">
              <w:r w:rsidRPr="004C239D">
                <w:rPr>
                  <w:rStyle w:val="Hyperlink"/>
                </w:rPr>
                <w:t>info@tga.gov.au</w:t>
              </w:r>
            </w:hyperlink>
            <w:r w:rsidR="00B51A1A">
              <w:t xml:space="preserve"> </w:t>
            </w:r>
            <w:r w:rsidRPr="00487162">
              <w:t>Phone: 1800 020 653</w:t>
            </w:r>
            <w:r w:rsidR="00B51A1A">
              <w:t xml:space="preserve"> </w:t>
            </w:r>
            <w:r w:rsidRPr="00487162">
              <w:t>Fax: 02 6232 8605</w:t>
            </w:r>
          </w:p>
          <w:p w:rsidR="001C32CD" w:rsidRPr="004C239D" w:rsidRDefault="008C156A" w:rsidP="002900A2">
            <w:pPr>
              <w:pStyle w:val="Address"/>
              <w:spacing w:line="260" w:lineRule="atLeast"/>
              <w:rPr>
                <w:b/>
                <w:color w:val="0000FF"/>
                <w:u w:val="single"/>
              </w:rPr>
            </w:pPr>
            <w:hyperlink r:id="rId23" w:history="1">
              <w:r w:rsidR="004F47D6">
                <w:rPr>
                  <w:rStyle w:val="Hyperlink"/>
                  <w:b/>
                </w:rPr>
                <w:t>https://www.tga.gov.au</w:t>
              </w:r>
            </w:hyperlink>
          </w:p>
        </w:tc>
      </w:tr>
    </w:tbl>
    <w:p w:rsidR="00774E1D" w:rsidRPr="008A5E0B" w:rsidRDefault="00774E1D" w:rsidP="004C239D"/>
    <w:sectPr w:rsidR="00774E1D" w:rsidRPr="008A5E0B"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D82" w:rsidRDefault="00451D82" w:rsidP="00C40A36">
      <w:pPr>
        <w:spacing w:after="0"/>
      </w:pPr>
      <w:r>
        <w:separator/>
      </w:r>
    </w:p>
  </w:endnote>
  <w:endnote w:type="continuationSeparator" w:id="0">
    <w:p w:rsidR="00451D82" w:rsidRDefault="00451D8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yriadPro-Light">
    <w:panose1 w:val="00000000000000000000"/>
    <w:charset w:val="00"/>
    <w:family w:val="swiss"/>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1" w:usb1="08070000" w:usb2="00000010" w:usb3="00000000" w:csb0="00020000" w:csb1="00000000"/>
  </w:font>
  <w:font w:name="Minion-Italic">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Std">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83" w:usb1="08070000" w:usb2="00000010" w:usb3="00000000" w:csb0="0002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451D82" w:rsidRPr="00487162" w:rsidTr="00DB750B">
      <w:trPr>
        <w:trHeight w:val="269"/>
      </w:trPr>
      <w:tc>
        <w:tcPr>
          <w:tcW w:w="7371" w:type="dxa"/>
          <w:tcMar>
            <w:top w:w="142" w:type="dxa"/>
            <w:bottom w:w="0" w:type="dxa"/>
          </w:tcMar>
        </w:tcPr>
        <w:p w:rsidR="00451D82" w:rsidRPr="00487162" w:rsidRDefault="00451D82" w:rsidP="005D311F">
          <w:pPr>
            <w:pStyle w:val="Footer"/>
          </w:pPr>
          <w:proofErr w:type="spellStart"/>
          <w:r w:rsidRPr="00487162">
            <w:t>AusPAR</w:t>
          </w:r>
          <w:proofErr w:type="spellEnd"/>
          <w:r w:rsidRPr="00487162">
            <w:t xml:space="preserve"> </w:t>
          </w:r>
          <w:proofErr w:type="spellStart"/>
          <w:r>
            <w:t>Avastin</w:t>
          </w:r>
          <w:proofErr w:type="spellEnd"/>
          <w:r w:rsidRPr="00487162">
            <w:t xml:space="preserve"> </w:t>
          </w:r>
          <w:proofErr w:type="spellStart"/>
          <w:r w:rsidRPr="00B05CC9">
            <w:t>Bevacizumab</w:t>
          </w:r>
          <w:proofErr w:type="spellEnd"/>
          <w:r w:rsidRPr="00487162">
            <w:t xml:space="preserve"> </w:t>
          </w:r>
          <w:r w:rsidRPr="002900A2">
            <w:rPr>
              <w:rFonts w:asciiTheme="minorHAnsi" w:hAnsiTheme="minorHAnsi" w:cs="Arial"/>
              <w:szCs w:val="17"/>
            </w:rPr>
            <w:t>Roche Products Pty Ltd</w:t>
          </w:r>
          <w:r w:rsidRPr="00487162">
            <w:t xml:space="preserve"> PM-20</w:t>
          </w:r>
          <w:r>
            <w:t>13</w:t>
          </w:r>
          <w:r w:rsidRPr="00487162">
            <w:t>-</w:t>
          </w:r>
          <w:r>
            <w:t>03227</w:t>
          </w:r>
          <w:r w:rsidRPr="00487162">
            <w:t>-</w:t>
          </w:r>
          <w:r>
            <w:t>1-4</w:t>
          </w:r>
          <w:r>
            <w:br/>
            <w:t>Final 11 March 2015</w:t>
          </w:r>
        </w:p>
      </w:tc>
      <w:tc>
        <w:tcPr>
          <w:tcW w:w="1490" w:type="dxa"/>
          <w:tcMar>
            <w:top w:w="142" w:type="dxa"/>
            <w:bottom w:w="0" w:type="dxa"/>
          </w:tcMar>
        </w:tcPr>
        <w:p w:rsidR="00451D82" w:rsidRPr="00487162" w:rsidRDefault="00451D82" w:rsidP="00DB750B">
          <w:pPr>
            <w:pStyle w:val="Footer"/>
            <w:jc w:val="right"/>
          </w:pPr>
          <w:r w:rsidRPr="00487162">
            <w:t xml:space="preserve">Page </w:t>
          </w:r>
          <w:r>
            <w:fldChar w:fldCharType="begin"/>
          </w:r>
          <w:r>
            <w:instrText xml:space="preserve"> PAGE  \* Arabic </w:instrText>
          </w:r>
          <w:r>
            <w:fldChar w:fldCharType="separate"/>
          </w:r>
          <w:r w:rsidR="008C156A">
            <w:rPr>
              <w:noProof/>
            </w:rPr>
            <w:t>45</w:t>
          </w:r>
          <w:r>
            <w:fldChar w:fldCharType="end"/>
          </w:r>
          <w:r w:rsidRPr="00487162">
            <w:t xml:space="preserve"> of </w:t>
          </w:r>
          <w:fldSimple w:instr=" NUMPAGES  \* Arabic ">
            <w:r w:rsidR="008C156A">
              <w:rPr>
                <w:noProof/>
              </w:rPr>
              <w:t>53</w:t>
            </w:r>
          </w:fldSimple>
        </w:p>
      </w:tc>
    </w:tr>
  </w:tbl>
  <w:p w:rsidR="00451D82" w:rsidRDefault="00451D82"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451D82" w:rsidRPr="00487162" w:rsidTr="00E45619">
      <w:trPr>
        <w:trHeight w:val="269"/>
      </w:trPr>
      <w:tc>
        <w:tcPr>
          <w:tcW w:w="4519" w:type="dxa"/>
          <w:tcBorders>
            <w:top w:val="single" w:sz="4" w:space="0" w:color="auto"/>
          </w:tcBorders>
          <w:tcMar>
            <w:top w:w="142" w:type="dxa"/>
            <w:bottom w:w="0" w:type="dxa"/>
          </w:tcMar>
        </w:tcPr>
        <w:p w:rsidR="00451D82" w:rsidRPr="00487162" w:rsidRDefault="00451D82" w:rsidP="00FE1DEE">
          <w:pPr>
            <w:pStyle w:val="Footer"/>
          </w:pPr>
          <w:r w:rsidRPr="00487162">
            <w:t>Document title, Part #, Section # - Section title</w:t>
          </w:r>
        </w:p>
        <w:p w:rsidR="00451D82" w:rsidRPr="00487162" w:rsidRDefault="00451D82" w:rsidP="00FE1DEE">
          <w:pPr>
            <w:pStyle w:val="Footer"/>
          </w:pPr>
          <w:r w:rsidRPr="00487162">
            <w:t>V1.0 October 2010</w:t>
          </w:r>
        </w:p>
      </w:tc>
      <w:tc>
        <w:tcPr>
          <w:tcW w:w="4342" w:type="dxa"/>
          <w:tcBorders>
            <w:top w:val="single" w:sz="4" w:space="0" w:color="auto"/>
          </w:tcBorders>
          <w:tcMar>
            <w:top w:w="142" w:type="dxa"/>
            <w:bottom w:w="0" w:type="dxa"/>
          </w:tcMar>
        </w:tcPr>
        <w:p w:rsidR="00451D82" w:rsidRPr="00487162" w:rsidRDefault="00451D82"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54</w:t>
            </w:r>
          </w:fldSimple>
        </w:p>
      </w:tc>
    </w:tr>
  </w:tbl>
  <w:p w:rsidR="00451D82" w:rsidRDefault="00451D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D82" w:rsidRPr="001C32CD" w:rsidRDefault="00451D82"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451D82" w:rsidTr="0010601F">
      <w:trPr>
        <w:trHeight w:val="108"/>
      </w:trPr>
      <w:tc>
        <w:tcPr>
          <w:tcW w:w="8875" w:type="dxa"/>
          <w:gridSpan w:val="2"/>
          <w:tcBorders>
            <w:bottom w:val="single" w:sz="4" w:space="0" w:color="auto"/>
          </w:tcBorders>
          <w:tcMar>
            <w:right w:w="284" w:type="dxa"/>
          </w:tcMar>
        </w:tcPr>
        <w:p w:rsidR="00451D82" w:rsidRDefault="00451D82" w:rsidP="006E08B3">
          <w:pPr>
            <w:pStyle w:val="Heading3"/>
          </w:pPr>
          <w:r>
            <w:t>Copyright</w:t>
          </w:r>
        </w:p>
        <w:p w:rsidR="00451D82" w:rsidRDefault="00451D82" w:rsidP="006E08B3">
          <w:r>
            <w:rPr>
              <w:rFonts w:cs="Arial"/>
            </w:rPr>
            <w:t>©</w:t>
          </w:r>
          <w:r>
            <w:t xml:space="preserve"> Commonwealth of Australia [add year]</w:t>
          </w:r>
        </w:p>
        <w:p w:rsidR="00451D82" w:rsidRDefault="00451D82" w:rsidP="006E08B3"/>
        <w:p w:rsidR="00451D82" w:rsidRDefault="00451D8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451D82" w:rsidRDefault="00451D82" w:rsidP="006E08B3"/>
        <w:p w:rsidR="00451D82" w:rsidRDefault="00451D82" w:rsidP="006E08B3">
          <w:pPr>
            <w:pStyle w:val="Heading3"/>
          </w:pPr>
          <w:r>
            <w:t>Confidentiality</w:t>
          </w:r>
        </w:p>
        <w:p w:rsidR="00451D82" w:rsidRDefault="00451D82" w:rsidP="006E08B3">
          <w:r>
            <w:t xml:space="preserve">All submissions received will be placed on the TGA’s Internet site, unless marked confidential. Any confidential material contained within your submission should be provided under a separate cover and clearly </w:t>
          </w:r>
          <w:proofErr w:type="gramStart"/>
          <w:r>
            <w:t>marked  ‘IN</w:t>
          </w:r>
          <w:proofErr w:type="gramEnd"/>
          <w:r>
            <w:t xml:space="preserve"> CONFIDENCE ‘. Reasons for a claim to confidentiality must be included in the space provided on the TGA submission coversheet.</w:t>
          </w:r>
        </w:p>
        <w:p w:rsidR="00451D82" w:rsidRDefault="00451D82" w:rsidP="006E08B3"/>
        <w:p w:rsidR="00451D82" w:rsidRDefault="00451D82" w:rsidP="006E08B3">
          <w:r>
            <w:t>For submission made by individuals, all personal details, other than your name, will be removed from your submission before it is published on the TGA’s Internet site.</w:t>
          </w:r>
        </w:p>
        <w:p w:rsidR="00451D82" w:rsidRDefault="00451D82" w:rsidP="006E08B3"/>
        <w:p w:rsidR="00451D82" w:rsidRDefault="00451D82" w:rsidP="006E08B3">
          <w:r>
            <w:t>In addition, a list of parties making submissions will be published. If you do not wish to be identified with your submission you must specifically request this in the space provided ib the submission coversheet.</w:t>
          </w:r>
        </w:p>
      </w:tc>
    </w:tr>
    <w:tr w:rsidR="00451D82" w:rsidTr="0010601F">
      <w:trPr>
        <w:trHeight w:val="417"/>
      </w:trPr>
      <w:tc>
        <w:tcPr>
          <w:tcW w:w="4519" w:type="dxa"/>
          <w:tcBorders>
            <w:top w:val="single" w:sz="4" w:space="0" w:color="auto"/>
          </w:tcBorders>
          <w:tcMar>
            <w:top w:w="142" w:type="dxa"/>
            <w:bottom w:w="0" w:type="dxa"/>
          </w:tcMar>
        </w:tcPr>
        <w:p w:rsidR="00451D82" w:rsidRDefault="00451D82" w:rsidP="006E08B3">
          <w:r>
            <w:t>Document title, Part #, Section # - Section title</w:t>
          </w:r>
        </w:p>
        <w:p w:rsidR="00451D82" w:rsidRDefault="00451D82" w:rsidP="006E08B3">
          <w:r>
            <w:t>V1.0 October 2010</w:t>
          </w:r>
        </w:p>
      </w:tc>
      <w:tc>
        <w:tcPr>
          <w:tcW w:w="4356" w:type="dxa"/>
          <w:tcBorders>
            <w:top w:val="single" w:sz="4" w:space="0" w:color="auto"/>
          </w:tcBorders>
          <w:tcMar>
            <w:top w:w="142" w:type="dxa"/>
            <w:bottom w:w="0" w:type="dxa"/>
          </w:tcMar>
        </w:tcPr>
        <w:p w:rsidR="00451D82" w:rsidRDefault="00451D82"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54</w:t>
            </w:r>
          </w:fldSimple>
          <w:r>
            <w:t xml:space="preserve">  </w:t>
          </w:r>
        </w:p>
      </w:tc>
    </w:tr>
  </w:tbl>
  <w:p w:rsidR="00451D82" w:rsidRDefault="00451D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D82" w:rsidRDefault="00451D82" w:rsidP="00C40A36">
      <w:pPr>
        <w:spacing w:after="0"/>
      </w:pPr>
      <w:r>
        <w:separator/>
      </w:r>
    </w:p>
  </w:footnote>
  <w:footnote w:type="continuationSeparator" w:id="0">
    <w:p w:rsidR="00451D82" w:rsidRDefault="00451D82" w:rsidP="00C40A36">
      <w:pPr>
        <w:spacing w:after="0"/>
      </w:pPr>
      <w:r>
        <w:continuationSeparator/>
      </w:r>
    </w:p>
  </w:footnote>
  <w:footnote w:id="1">
    <w:p w:rsidR="00451D82" w:rsidRPr="00920597" w:rsidRDefault="00451D82" w:rsidP="004B1C15">
      <w:pPr>
        <w:pStyle w:val="FootnoteText"/>
      </w:pPr>
      <w:r w:rsidRPr="00920597">
        <w:rPr>
          <w:rStyle w:val="FootnoteReference"/>
          <w:rFonts w:asciiTheme="minorHAnsi" w:hAnsiTheme="minorHAnsi"/>
          <w:szCs w:val="18"/>
        </w:rPr>
        <w:footnoteRef/>
      </w:r>
      <w:proofErr w:type="gramStart"/>
      <w:r w:rsidRPr="00920597">
        <w:t>Cancer Australia.</w:t>
      </w:r>
      <w:proofErr w:type="gramEnd"/>
      <w:r w:rsidRPr="00920597">
        <w:t xml:space="preserve"> Report to the nation - ovarian cancer 2012, Cancer Australia, Surry Hills, NSW, 2012</w:t>
      </w:r>
    </w:p>
  </w:footnote>
  <w:footnote w:id="2">
    <w:p w:rsidR="00451D82" w:rsidRPr="00920597" w:rsidRDefault="00451D82" w:rsidP="00451D82">
      <w:pPr>
        <w:pStyle w:val="FootnoteText"/>
      </w:pPr>
      <w:r w:rsidRPr="00920597">
        <w:rPr>
          <w:rStyle w:val="FootnoteReference"/>
          <w:rFonts w:asciiTheme="minorHAnsi" w:hAnsiTheme="minorHAnsi"/>
        </w:rPr>
        <w:footnoteRef/>
      </w:r>
      <w:r w:rsidRPr="00920597">
        <w:rPr>
          <w:rFonts w:cs="MyriadPro-Light"/>
          <w:szCs w:val="18"/>
        </w:rPr>
        <w:t>B</w:t>
      </w:r>
      <w:r w:rsidRPr="00920597">
        <w:t>urger RA, Sill MW</w:t>
      </w:r>
      <w:proofErr w:type="gramStart"/>
      <w:r w:rsidRPr="00920597">
        <w:t>,  Monk</w:t>
      </w:r>
      <w:proofErr w:type="gramEnd"/>
      <w:r w:rsidRPr="00920597">
        <w:t xml:space="preserve"> BJ, et al. Phase II Trial of </w:t>
      </w:r>
      <w:proofErr w:type="spellStart"/>
      <w:r w:rsidRPr="00920597">
        <w:t>Bevacizumab</w:t>
      </w:r>
      <w:proofErr w:type="spellEnd"/>
      <w:r w:rsidRPr="00920597">
        <w:t xml:space="preserve"> in Persistent or Recurrent Epithelial Ovarian Cancer or Primary </w:t>
      </w:r>
      <w:r w:rsidRPr="00451D82">
        <w:t>Peritoneal</w:t>
      </w:r>
      <w:r w:rsidRPr="00920597">
        <w:t xml:space="preserve"> Cancer: A </w:t>
      </w:r>
      <w:proofErr w:type="spellStart"/>
      <w:r w:rsidRPr="00920597">
        <w:t>Gynecologic</w:t>
      </w:r>
      <w:proofErr w:type="spellEnd"/>
      <w:r w:rsidRPr="00920597">
        <w:t xml:space="preserve"> Oncology Group Study. </w:t>
      </w:r>
      <w:proofErr w:type="gramStart"/>
      <w:r w:rsidRPr="00920597">
        <w:t xml:space="preserve">J </w:t>
      </w:r>
      <w:proofErr w:type="spellStart"/>
      <w:r w:rsidRPr="00920597">
        <w:t>Clin</w:t>
      </w:r>
      <w:proofErr w:type="spellEnd"/>
      <w:r w:rsidRPr="00920597">
        <w:t xml:space="preserve"> </w:t>
      </w:r>
      <w:proofErr w:type="spellStart"/>
      <w:r w:rsidRPr="00920597">
        <w:t>Oncol</w:t>
      </w:r>
      <w:proofErr w:type="spellEnd"/>
      <w:r w:rsidRPr="00920597">
        <w:t>.</w:t>
      </w:r>
      <w:proofErr w:type="gramEnd"/>
      <w:r w:rsidRPr="00920597">
        <w:t xml:space="preserve"> 2007; 25(33):5165-5171</w:t>
      </w:r>
    </w:p>
  </w:footnote>
  <w:footnote w:id="3">
    <w:p w:rsidR="00451D82" w:rsidRPr="00920597" w:rsidRDefault="00451D82" w:rsidP="004B1C15">
      <w:pPr>
        <w:pStyle w:val="FootnoteText"/>
      </w:pPr>
      <w:r w:rsidRPr="00920597">
        <w:rPr>
          <w:rStyle w:val="FootnoteReference"/>
          <w:szCs w:val="18"/>
        </w:rPr>
        <w:footnoteRef/>
      </w:r>
      <w:proofErr w:type="spellStart"/>
      <w:r w:rsidRPr="00920597">
        <w:rPr>
          <w:rFonts w:cs="Minion-Italic"/>
          <w:iCs/>
        </w:rPr>
        <w:t>Cannistra</w:t>
      </w:r>
      <w:proofErr w:type="spellEnd"/>
      <w:r w:rsidRPr="00920597">
        <w:rPr>
          <w:rFonts w:cs="Minion-Italic"/>
          <w:iCs/>
        </w:rPr>
        <w:t xml:space="preserve"> SA, </w:t>
      </w:r>
      <w:proofErr w:type="spellStart"/>
      <w:r w:rsidRPr="00920597">
        <w:rPr>
          <w:rFonts w:cs="Minion-Italic"/>
          <w:iCs/>
        </w:rPr>
        <w:t>Matulonis</w:t>
      </w:r>
      <w:proofErr w:type="spellEnd"/>
      <w:r w:rsidRPr="00920597">
        <w:rPr>
          <w:rFonts w:cs="Minion-Italic"/>
          <w:iCs/>
        </w:rPr>
        <w:t xml:space="preserve"> UA, </w:t>
      </w:r>
      <w:proofErr w:type="spellStart"/>
      <w:r w:rsidRPr="00920597">
        <w:rPr>
          <w:rFonts w:cs="Minion-Italic"/>
          <w:iCs/>
        </w:rPr>
        <w:t>Penson</w:t>
      </w:r>
      <w:proofErr w:type="spellEnd"/>
      <w:r w:rsidRPr="00920597">
        <w:rPr>
          <w:rFonts w:cs="Minion-Italic"/>
          <w:iCs/>
        </w:rPr>
        <w:t xml:space="preserve"> RT, et al. </w:t>
      </w:r>
      <w:r w:rsidRPr="00920597">
        <w:t xml:space="preserve">Phase II Study of </w:t>
      </w:r>
      <w:proofErr w:type="spellStart"/>
      <w:r w:rsidRPr="00920597">
        <w:t>Bevacizumab</w:t>
      </w:r>
      <w:proofErr w:type="spellEnd"/>
      <w:r w:rsidRPr="00920597">
        <w:t xml:space="preserve"> in Patients With Platinum-Resistant Ovarian Cancer or Peritoneal Serous Cancer. 2007; 25(33):5180-5186.</w:t>
      </w:r>
    </w:p>
  </w:footnote>
  <w:footnote w:id="4">
    <w:p w:rsidR="00451D82" w:rsidRDefault="00451D82" w:rsidP="004B1C15">
      <w:pPr>
        <w:pStyle w:val="FootnoteText"/>
      </w:pPr>
      <w:r>
        <w:rPr>
          <w:rStyle w:val="FootnoteReference"/>
        </w:rPr>
        <w:footnoteRef/>
      </w:r>
      <w:r w:rsidRPr="00B05CC9">
        <w:t xml:space="preserve">Garcia AA, </w:t>
      </w:r>
      <w:proofErr w:type="spellStart"/>
      <w:r w:rsidRPr="00B05CC9">
        <w:t>Hirte</w:t>
      </w:r>
      <w:proofErr w:type="spellEnd"/>
      <w:r w:rsidRPr="00B05CC9">
        <w:t xml:space="preserve"> H, </w:t>
      </w:r>
      <w:proofErr w:type="gramStart"/>
      <w:r w:rsidRPr="00B05CC9">
        <w:t>Fleming</w:t>
      </w:r>
      <w:proofErr w:type="gramEnd"/>
      <w:r w:rsidRPr="00B05CC9">
        <w:t xml:space="preserve"> G, et al.: Phase II clinical trial of </w:t>
      </w:r>
      <w:proofErr w:type="spellStart"/>
      <w:r w:rsidRPr="00B05CC9">
        <w:t>bevacizumab</w:t>
      </w:r>
      <w:proofErr w:type="spellEnd"/>
      <w:r w:rsidRPr="00B05CC9">
        <w:t xml:space="preserve"> and low-dose metronomic oral cyclophosphamide in recurrent ovarian cancer: a trial of the California, Chicago, and Princess Margaret Hospital phase II consortia. J </w:t>
      </w:r>
      <w:proofErr w:type="spellStart"/>
      <w:r w:rsidRPr="00B05CC9">
        <w:t>Clin</w:t>
      </w:r>
      <w:proofErr w:type="spellEnd"/>
      <w:r w:rsidRPr="00B05CC9">
        <w:t xml:space="preserve"> </w:t>
      </w:r>
      <w:proofErr w:type="spellStart"/>
      <w:r w:rsidRPr="00B05CC9">
        <w:t>Oncol</w:t>
      </w:r>
      <w:proofErr w:type="spellEnd"/>
      <w:r w:rsidRPr="00B05CC9">
        <w:t xml:space="preserve"> 26 (1): 76-82, 2008</w:t>
      </w:r>
    </w:p>
  </w:footnote>
  <w:footnote w:id="5">
    <w:p w:rsidR="00451D82" w:rsidRPr="00451D82" w:rsidRDefault="00451D82" w:rsidP="00451D82">
      <w:pPr>
        <w:pStyle w:val="FootnoteText"/>
      </w:pPr>
      <w:r w:rsidRPr="00451D82">
        <w:rPr>
          <w:rStyle w:val="FootnoteReference"/>
        </w:rPr>
        <w:footnoteRef/>
      </w:r>
      <w:r w:rsidRPr="00451D82">
        <w:t xml:space="preserve"> EORTC QLQ-30: A questionnaire designed to measure</w:t>
      </w:r>
      <w:r w:rsidRPr="00451D82">
        <w:rPr>
          <w:rStyle w:val="st1"/>
        </w:rPr>
        <w:t xml:space="preserve"> </w:t>
      </w:r>
      <w:r w:rsidRPr="00451D82">
        <w:t>the</w:t>
      </w:r>
      <w:r w:rsidRPr="00451D82">
        <w:rPr>
          <w:rStyle w:val="st1"/>
        </w:rPr>
        <w:t xml:space="preserve"> </w:t>
      </w:r>
      <w:r w:rsidRPr="00451D82">
        <w:t>quality of life of patients with</w:t>
      </w:r>
      <w:r w:rsidRPr="00451D82">
        <w:rPr>
          <w:rStyle w:val="st1"/>
        </w:rPr>
        <w:t xml:space="preserve"> </w:t>
      </w:r>
      <w:r w:rsidRPr="00451D82">
        <w:t>ovarian cancer.</w:t>
      </w:r>
    </w:p>
  </w:footnote>
  <w:footnote w:id="6">
    <w:p w:rsidR="00451D82" w:rsidRPr="005F7DCB" w:rsidRDefault="00451D82" w:rsidP="00262FD3">
      <w:pPr>
        <w:pStyle w:val="FootnoteText"/>
      </w:pPr>
      <w:r w:rsidRPr="005F7DCB">
        <w:rPr>
          <w:rStyle w:val="FootnoteReference"/>
          <w:szCs w:val="18"/>
        </w:rPr>
        <w:footnoteRef/>
      </w:r>
      <w:r w:rsidRPr="005F7DCB">
        <w:t xml:space="preserve"> Rustin GJS, </w:t>
      </w:r>
      <w:proofErr w:type="spellStart"/>
      <w:r w:rsidRPr="005F7DCB">
        <w:t>Vergote</w:t>
      </w:r>
      <w:proofErr w:type="spellEnd"/>
      <w:r w:rsidRPr="005F7DCB">
        <w:t xml:space="preserve"> I, </w:t>
      </w:r>
      <w:proofErr w:type="spellStart"/>
      <w:r w:rsidRPr="005F7DCB">
        <w:t>Eisenhauer</w:t>
      </w:r>
      <w:proofErr w:type="spellEnd"/>
      <w:r w:rsidRPr="005F7DCB">
        <w:t xml:space="preserve"> E et al, Definitions for Response and Progression in Ovarian Cancer Clinical Trials Incorporating RECIST 1.1 and CA 125 Agreed by the </w:t>
      </w:r>
      <w:proofErr w:type="spellStart"/>
      <w:r w:rsidRPr="005F7DCB">
        <w:t>Gynecological</w:t>
      </w:r>
      <w:proofErr w:type="spellEnd"/>
      <w:r w:rsidRPr="005F7DCB">
        <w:t xml:space="preserve"> Cancer Intergroup (GCIG): </w:t>
      </w:r>
      <w:proofErr w:type="spellStart"/>
      <w:r w:rsidRPr="005F7DCB">
        <w:t>Int</w:t>
      </w:r>
      <w:proofErr w:type="spellEnd"/>
      <w:r w:rsidRPr="005F7DCB">
        <w:t xml:space="preserve"> J </w:t>
      </w:r>
      <w:proofErr w:type="spellStart"/>
      <w:r w:rsidRPr="005F7DCB">
        <w:t>Gynecol</w:t>
      </w:r>
      <w:proofErr w:type="spellEnd"/>
      <w:r w:rsidRPr="005F7DCB">
        <w:t xml:space="preserve"> Cancer 2011;21: 419-423</w:t>
      </w:r>
    </w:p>
  </w:footnote>
  <w:footnote w:id="7">
    <w:p w:rsidR="00451D82" w:rsidRDefault="00451D82" w:rsidP="00341162">
      <w:pPr>
        <w:pStyle w:val="FootnoteText"/>
      </w:pPr>
      <w:r>
        <w:rPr>
          <w:rStyle w:val="FootnoteReference"/>
        </w:rPr>
        <w:footnoteRef/>
      </w:r>
      <w:r>
        <w:t xml:space="preserve"> </w:t>
      </w:r>
      <w:r w:rsidRPr="00780E55">
        <w:t xml:space="preserve">as per TGA adopted EU guideline: CPMP/EWP/1776/99 </w:t>
      </w:r>
      <w:r w:rsidRPr="00780E55">
        <w:rPr>
          <w:rFonts w:asciiTheme="minorHAnsi" w:hAnsiTheme="minorHAnsi"/>
          <w:i/>
        </w:rPr>
        <w:t>Guidelines on Points to consider on missing data</w:t>
      </w:r>
    </w:p>
  </w:footnote>
  <w:footnote w:id="8">
    <w:p w:rsidR="00451D82" w:rsidRPr="0011732E" w:rsidRDefault="00451D82" w:rsidP="00001F85">
      <w:pPr>
        <w:pStyle w:val="FootnoteText"/>
      </w:pPr>
      <w:r>
        <w:rPr>
          <w:rStyle w:val="FootnoteReference"/>
        </w:rPr>
        <w:footnoteRef/>
      </w:r>
      <w:proofErr w:type="spellStart"/>
      <w:proofErr w:type="gramStart"/>
      <w:r>
        <w:t>Naumann</w:t>
      </w:r>
      <w:proofErr w:type="spellEnd"/>
      <w:r>
        <w:t xml:space="preserve"> R et al. Management Strategies for Recurrent Platinum-Resistant Ovarian Cancer.</w:t>
      </w:r>
      <w:proofErr w:type="gramEnd"/>
      <w:r>
        <w:t xml:space="preserve"> Drugs 2011; 71 (11): 1397-1412</w:t>
      </w:r>
    </w:p>
  </w:footnote>
  <w:footnote w:id="9">
    <w:p w:rsidR="00451D82" w:rsidRPr="0011732E" w:rsidRDefault="00451D82" w:rsidP="00001F85">
      <w:pPr>
        <w:pStyle w:val="FootnoteText"/>
      </w:pPr>
      <w:r>
        <w:rPr>
          <w:rStyle w:val="FootnoteReference"/>
        </w:rPr>
        <w:footnoteRef/>
      </w:r>
      <w:proofErr w:type="gramStart"/>
      <w:r>
        <w:t>Olson S et al. Symptoms of Ovarian Cancer.</w:t>
      </w:r>
      <w:proofErr w:type="gramEnd"/>
      <w:r>
        <w:t xml:space="preserve"> Am </w:t>
      </w:r>
      <w:proofErr w:type="spellStart"/>
      <w:r>
        <w:t>Coll</w:t>
      </w:r>
      <w:proofErr w:type="spellEnd"/>
      <w:r>
        <w:t xml:space="preserve"> </w:t>
      </w:r>
      <w:proofErr w:type="spellStart"/>
      <w:r>
        <w:t>Obs</w:t>
      </w:r>
      <w:proofErr w:type="spellEnd"/>
      <w:r>
        <w:t xml:space="preserve"> </w:t>
      </w:r>
      <w:proofErr w:type="spellStart"/>
      <w:r>
        <w:t>Gyn</w:t>
      </w:r>
      <w:proofErr w:type="spellEnd"/>
      <w:r>
        <w:t xml:space="preserve"> 2001; 98 (2): 212-217</w:t>
      </w:r>
    </w:p>
  </w:footnote>
  <w:footnote w:id="10">
    <w:p w:rsidR="00451D82" w:rsidRPr="0011732E" w:rsidRDefault="00451D82" w:rsidP="00001F85">
      <w:pPr>
        <w:pStyle w:val="FootnoteText"/>
      </w:pPr>
      <w:r>
        <w:rPr>
          <w:rStyle w:val="FootnoteReference"/>
        </w:rPr>
        <w:footnoteRef/>
      </w:r>
      <w:r>
        <w:t xml:space="preserve">Price M et al. Physical symptoms, coping styles and quality of life in recurrent ovarian cancer: A prospective population-based study over the last year of life. J </w:t>
      </w:r>
      <w:proofErr w:type="spellStart"/>
      <w:r>
        <w:t>Gyn</w:t>
      </w:r>
      <w:proofErr w:type="spellEnd"/>
      <w:r>
        <w:t xml:space="preserve"> </w:t>
      </w:r>
      <w:proofErr w:type="spellStart"/>
      <w:r>
        <w:t>Oncol</w:t>
      </w:r>
      <w:proofErr w:type="spellEnd"/>
      <w:r>
        <w:t xml:space="preserve"> 2013; 130: 162-168</w:t>
      </w:r>
    </w:p>
  </w:footnote>
  <w:footnote w:id="11">
    <w:p w:rsidR="00451D82" w:rsidRPr="0011732E" w:rsidRDefault="00451D82" w:rsidP="00001F85">
      <w:pPr>
        <w:pStyle w:val="FootnoteText"/>
      </w:pPr>
      <w:r>
        <w:rPr>
          <w:rStyle w:val="FootnoteReference"/>
        </w:rPr>
        <w:footnoteRef/>
      </w:r>
      <w:proofErr w:type="spellStart"/>
      <w:r>
        <w:t>Ledermann</w:t>
      </w:r>
      <w:proofErr w:type="spellEnd"/>
      <w:r>
        <w:t xml:space="preserve"> J et al. </w:t>
      </w:r>
      <w:proofErr w:type="gramStart"/>
      <w:r>
        <w:t>Newly</w:t>
      </w:r>
      <w:proofErr w:type="gramEnd"/>
      <w:r>
        <w:t xml:space="preserve"> diagnosed and relapsed epithelial ovarian carcinoma: ESMO Clinical Practice Guidelines for diagnosis, treatment and follow-up. Annals </w:t>
      </w:r>
      <w:proofErr w:type="spellStart"/>
      <w:r>
        <w:t>Oncol</w:t>
      </w:r>
      <w:proofErr w:type="spellEnd"/>
      <w:r>
        <w:t xml:space="preserve"> 2013; 24 (Supplement 6): vi24–vi32</w:t>
      </w:r>
    </w:p>
  </w:footnote>
  <w:footnote w:id="12">
    <w:p w:rsidR="00451D82" w:rsidRPr="0011732E" w:rsidRDefault="00451D82" w:rsidP="00001F85">
      <w:pPr>
        <w:pStyle w:val="FootnoteText"/>
      </w:pPr>
      <w:r>
        <w:rPr>
          <w:rStyle w:val="FootnoteReference"/>
        </w:rPr>
        <w:footnoteRef/>
      </w:r>
      <w:r>
        <w:t xml:space="preserve">Friedlander M et al. Symptom Control in Patients </w:t>
      </w:r>
      <w:proofErr w:type="gramStart"/>
      <w:r>
        <w:t>With</w:t>
      </w:r>
      <w:proofErr w:type="gramEnd"/>
      <w:r>
        <w:t xml:space="preserve"> Recurrent Ovarian Cancer. Measuring the Benefit of Palliative Chemotherapy in Women </w:t>
      </w:r>
      <w:proofErr w:type="gramStart"/>
      <w:r>
        <w:t>With</w:t>
      </w:r>
      <w:proofErr w:type="gramEnd"/>
      <w:r>
        <w:t xml:space="preserve"> Platinum Refractory/Resistant Ovarian Cancer. </w:t>
      </w:r>
      <w:proofErr w:type="spellStart"/>
      <w:r>
        <w:t>Int</w:t>
      </w:r>
      <w:proofErr w:type="spellEnd"/>
      <w:r>
        <w:t xml:space="preserve"> J </w:t>
      </w:r>
      <w:proofErr w:type="spellStart"/>
      <w:r>
        <w:t>Gyn</w:t>
      </w:r>
      <w:proofErr w:type="spellEnd"/>
      <w:r>
        <w:t xml:space="preserve"> Cancer 2009; 19, (S2), S44-S48</w:t>
      </w:r>
    </w:p>
  </w:footnote>
  <w:footnote w:id="13">
    <w:p w:rsidR="00451D82" w:rsidRPr="0011732E" w:rsidRDefault="00451D82" w:rsidP="00001F85">
      <w:pPr>
        <w:pStyle w:val="FootnoteText"/>
      </w:pPr>
      <w:r>
        <w:rPr>
          <w:rStyle w:val="FootnoteReference"/>
        </w:rPr>
        <w:footnoteRef/>
      </w:r>
      <w:proofErr w:type="spellStart"/>
      <w:r>
        <w:t>Stockler</w:t>
      </w:r>
      <w:proofErr w:type="spellEnd"/>
      <w:r>
        <w:t xml:space="preserve"> M et al. Patient-Reported Outcome Results From the Open-Label Phase III AURELIA Trial Evaluating </w:t>
      </w:r>
      <w:proofErr w:type="spellStart"/>
      <w:r>
        <w:t>Bevacizumab</w:t>
      </w:r>
      <w:proofErr w:type="spellEnd"/>
      <w:r>
        <w:t xml:space="preserve">-Containing Therapy for Platinum-Resistant Ovarian Cancer. J </w:t>
      </w:r>
      <w:proofErr w:type="spellStart"/>
      <w:r>
        <w:t>Clin</w:t>
      </w:r>
      <w:proofErr w:type="spellEnd"/>
      <w:r>
        <w:t xml:space="preserve"> </w:t>
      </w:r>
      <w:proofErr w:type="spellStart"/>
      <w:r>
        <w:t>Oncol</w:t>
      </w:r>
      <w:proofErr w:type="spellEnd"/>
      <w:r>
        <w:t xml:space="preserve"> 2014; </w:t>
      </w:r>
      <w:proofErr w:type="spellStart"/>
      <w:r>
        <w:t>epub</w:t>
      </w:r>
      <w:proofErr w:type="spellEnd"/>
      <w:r>
        <w:t xml:space="preserve"> ahead of print </w:t>
      </w:r>
      <w:r>
        <w:rPr>
          <w:bCs/>
          <w:lang w:eastAsia="en-AU"/>
        </w:rPr>
        <w:t>http://jco.ascopubs.org/cgi/doi/10.1200/JCO.2013.51.4240</w:t>
      </w:r>
    </w:p>
  </w:footnote>
  <w:footnote w:id="14">
    <w:p w:rsidR="00451D82" w:rsidRPr="0011732E" w:rsidRDefault="00451D82" w:rsidP="00001F85">
      <w:pPr>
        <w:pStyle w:val="FootnoteText"/>
      </w:pPr>
      <w:r>
        <w:rPr>
          <w:rStyle w:val="FootnoteReference"/>
        </w:rPr>
        <w:footnoteRef/>
      </w:r>
      <w:proofErr w:type="gramStart"/>
      <w:r>
        <w:t>Sloan J et al. Analysis and Interpretation of Results Based on Patient-Reported Outcomes.</w:t>
      </w:r>
      <w:proofErr w:type="gramEnd"/>
      <w:r>
        <w:t xml:space="preserve"> ISPOR 2007; 10 (</w:t>
      </w:r>
      <w:proofErr w:type="spellStart"/>
      <w:r>
        <w:t>Supp</w:t>
      </w:r>
      <w:proofErr w:type="spellEnd"/>
      <w:r>
        <w:t xml:space="preserve"> 2), S106-S115</w:t>
      </w:r>
    </w:p>
  </w:footnote>
  <w:footnote w:id="15">
    <w:p w:rsidR="00451D82" w:rsidRPr="0011732E" w:rsidRDefault="00451D82" w:rsidP="00001F85">
      <w:pPr>
        <w:pStyle w:val="FootnoteText"/>
      </w:pPr>
      <w:r>
        <w:rPr>
          <w:rStyle w:val="FootnoteReference"/>
        </w:rPr>
        <w:footnoteRef/>
      </w:r>
      <w:proofErr w:type="spellStart"/>
      <w:proofErr w:type="gramStart"/>
      <w:r>
        <w:t>Naumann</w:t>
      </w:r>
      <w:proofErr w:type="spellEnd"/>
      <w:r>
        <w:t xml:space="preserve"> R et al. Management Strategies for Recurrent Platinum-Resistant Ovarian Cancer.</w:t>
      </w:r>
      <w:proofErr w:type="gramEnd"/>
      <w:r>
        <w:t xml:space="preserve"> Drugs 2011; 71 (11): 1397-1412</w:t>
      </w:r>
    </w:p>
  </w:footnote>
  <w:footnote w:id="16">
    <w:p w:rsidR="00451D82" w:rsidRPr="003A094D" w:rsidRDefault="00451D82" w:rsidP="00001F85">
      <w:pPr>
        <w:pStyle w:val="FootnoteText"/>
      </w:pPr>
      <w:r w:rsidRPr="003A094D">
        <w:rPr>
          <w:rStyle w:val="FootnoteReference"/>
          <w:szCs w:val="18"/>
        </w:rPr>
        <w:footnoteRef/>
      </w:r>
      <w:r w:rsidRPr="003A094D">
        <w:t xml:space="preserve">Gordon A et al. Recurrent Epithelial Ovarian Carcinoma: A Randomized Phase III Study of </w:t>
      </w:r>
      <w:proofErr w:type="spellStart"/>
      <w:r w:rsidRPr="003A094D">
        <w:t>Pegylated</w:t>
      </w:r>
      <w:proofErr w:type="spellEnd"/>
      <w:r w:rsidRPr="003A094D">
        <w:t xml:space="preserve"> Liposomal Doxorubicin </w:t>
      </w:r>
      <w:proofErr w:type="gramStart"/>
      <w:r w:rsidRPr="003A094D">
        <w:t>Versus</w:t>
      </w:r>
      <w:proofErr w:type="gramEnd"/>
      <w:r w:rsidRPr="003A094D">
        <w:t xml:space="preserve"> </w:t>
      </w:r>
      <w:proofErr w:type="spellStart"/>
      <w:r w:rsidRPr="003A094D">
        <w:t>Topotecan</w:t>
      </w:r>
      <w:proofErr w:type="spellEnd"/>
      <w:r w:rsidRPr="003A094D">
        <w:t xml:space="preserve">. J </w:t>
      </w:r>
      <w:proofErr w:type="spellStart"/>
      <w:r w:rsidRPr="003A094D">
        <w:t>Clin</w:t>
      </w:r>
      <w:proofErr w:type="spellEnd"/>
      <w:r w:rsidRPr="003A094D">
        <w:t xml:space="preserve"> </w:t>
      </w:r>
      <w:proofErr w:type="spellStart"/>
      <w:r w:rsidRPr="003A094D">
        <w:t>Oncol</w:t>
      </w:r>
      <w:proofErr w:type="spellEnd"/>
      <w:r w:rsidRPr="003A094D">
        <w:t xml:space="preserve"> 2001; </w:t>
      </w:r>
      <w:proofErr w:type="spellStart"/>
      <w:r w:rsidRPr="003A094D">
        <w:t>Vol</w:t>
      </w:r>
      <w:proofErr w:type="spellEnd"/>
      <w:r w:rsidRPr="003A094D">
        <w:t xml:space="preserve"> 19, (14) 3312-3322</w:t>
      </w:r>
    </w:p>
  </w:footnote>
  <w:footnote w:id="17">
    <w:p w:rsidR="00451D82" w:rsidRPr="003A094D" w:rsidRDefault="00451D82" w:rsidP="00001F85">
      <w:pPr>
        <w:pStyle w:val="FootnoteText"/>
      </w:pPr>
      <w:r w:rsidRPr="003A094D">
        <w:rPr>
          <w:rStyle w:val="FootnoteReference"/>
          <w:szCs w:val="18"/>
        </w:rPr>
        <w:footnoteRef/>
      </w:r>
      <w:proofErr w:type="spellStart"/>
      <w:r w:rsidRPr="003A094D">
        <w:t>Greimel</w:t>
      </w:r>
      <w:proofErr w:type="spellEnd"/>
      <w:r w:rsidRPr="003A094D">
        <w:t xml:space="preserve"> E et al. An international field study of the reliability and validity of a disease-specific questionnaire module (the QLQ-OV28) in assessing the quality of life of patients with ovarian cancer. </w:t>
      </w:r>
      <w:proofErr w:type="spellStart"/>
      <w:r w:rsidRPr="003A094D">
        <w:t>Europ</w:t>
      </w:r>
      <w:proofErr w:type="spellEnd"/>
      <w:r w:rsidRPr="003A094D">
        <w:t xml:space="preserve"> J Cancer 2003; 39, 1402-1408</w:t>
      </w:r>
    </w:p>
  </w:footnote>
  <w:footnote w:id="18">
    <w:p w:rsidR="00451D82" w:rsidRPr="003A094D" w:rsidRDefault="00451D82" w:rsidP="00001F85">
      <w:pPr>
        <w:pStyle w:val="FootnoteText"/>
      </w:pPr>
      <w:r w:rsidRPr="003A094D">
        <w:rPr>
          <w:rStyle w:val="FootnoteReference"/>
          <w:szCs w:val="18"/>
        </w:rPr>
        <w:footnoteRef/>
      </w:r>
      <w:proofErr w:type="spellStart"/>
      <w:r w:rsidRPr="003A094D">
        <w:t>Cella</w:t>
      </w:r>
      <w:proofErr w:type="spellEnd"/>
      <w:r w:rsidRPr="003A094D">
        <w:t xml:space="preserve"> D et al. Health-related quality of life outcomes associated with four </w:t>
      </w:r>
      <w:proofErr w:type="spellStart"/>
      <w:r w:rsidRPr="003A094D">
        <w:t>cisplatin</w:t>
      </w:r>
      <w:proofErr w:type="spellEnd"/>
      <w:r w:rsidRPr="003A094D">
        <w:t xml:space="preserve">-based doublet chemotherapy regimens for stage IVB recurrent or persistent cervical cancer: A </w:t>
      </w:r>
      <w:proofErr w:type="spellStart"/>
      <w:r w:rsidRPr="003A094D">
        <w:t>Gynecologic</w:t>
      </w:r>
      <w:proofErr w:type="spellEnd"/>
      <w:r w:rsidRPr="003A094D">
        <w:t xml:space="preserve"> Oncology Group study. </w:t>
      </w:r>
      <w:proofErr w:type="spellStart"/>
      <w:r w:rsidRPr="003A094D">
        <w:t>Gyn</w:t>
      </w:r>
      <w:proofErr w:type="spellEnd"/>
      <w:r w:rsidRPr="003A094D">
        <w:t xml:space="preserve"> </w:t>
      </w:r>
      <w:proofErr w:type="spellStart"/>
      <w:r w:rsidRPr="003A094D">
        <w:t>Oncol</w:t>
      </w:r>
      <w:proofErr w:type="spellEnd"/>
      <w:r w:rsidRPr="003A094D">
        <w:t xml:space="preserve"> 2010; 119, 531-537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D82" w:rsidRDefault="00451D82"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D82" w:rsidRDefault="00451D82">
    <w:pPr>
      <w:rPr>
        <w:noProof/>
        <w:lang w:eastAsia="en-AU"/>
      </w:rPr>
    </w:pPr>
    <w:r w:rsidRPr="00347824">
      <w:rPr>
        <w:noProof/>
        <w:lang w:eastAsia="en-AU"/>
      </w:rPr>
      <w:drawing>
        <wp:anchor distT="0" distB="0" distL="114300" distR="114300" simplePos="0" relativeHeight="251659264" behindDoc="1" locked="0" layoutInCell="1" allowOverlap="1" wp14:anchorId="3DFFAE9E" wp14:editId="14DABE5D">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451D82" w:rsidRDefault="00451D82" w:rsidP="00593AD1">
    <w:pPr>
      <w:pStyle w:val="HeaderNoLine"/>
    </w:pPr>
    <w:r>
      <w:rPr>
        <w:noProof/>
        <w:lang w:eastAsia="en-AU"/>
      </w:rPr>
      <w:drawing>
        <wp:inline distT="0" distB="0" distL="0" distR="0" wp14:anchorId="26C5BCE5" wp14:editId="0AEC5F22">
          <wp:extent cx="5400675" cy="7639050"/>
          <wp:effectExtent l="0" t="0" r="9525" b="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D82" w:rsidRDefault="00451D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D82" w:rsidRDefault="00451D82">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D82" w:rsidRDefault="00451D82">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D82" w:rsidRDefault="00451D8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D82" w:rsidRDefault="00451D82"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D82" w:rsidRDefault="00451D82" w:rsidP="006E08B3">
    <w:r>
      <w:t>Therapeutic Goods Administration</w:t>
    </w:r>
  </w:p>
  <w:p w:rsidR="00451D82" w:rsidRDefault="00451D82"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0384C"/>
    <w:lvl w:ilvl="0">
      <w:start w:val="1"/>
      <w:numFmt w:val="decimal"/>
      <w:lvlText w:val="%1."/>
      <w:lvlJc w:val="left"/>
      <w:pPr>
        <w:tabs>
          <w:tab w:val="num" w:pos="1492"/>
        </w:tabs>
        <w:ind w:left="1492" w:hanging="360"/>
      </w:pPr>
    </w:lvl>
  </w:abstractNum>
  <w:abstractNum w:abstractNumId="1">
    <w:nsid w:val="FFFFFF7D"/>
    <w:multiLevelType w:val="singleLevel"/>
    <w:tmpl w:val="783E84FA"/>
    <w:lvl w:ilvl="0">
      <w:start w:val="1"/>
      <w:numFmt w:val="decimal"/>
      <w:lvlText w:val="%1."/>
      <w:lvlJc w:val="left"/>
      <w:pPr>
        <w:tabs>
          <w:tab w:val="num" w:pos="1209"/>
        </w:tabs>
        <w:ind w:left="1209" w:hanging="360"/>
      </w:pPr>
    </w:lvl>
  </w:abstractNum>
  <w:abstractNum w:abstractNumId="2">
    <w:nsid w:val="FFFFFF7E"/>
    <w:multiLevelType w:val="singleLevel"/>
    <w:tmpl w:val="412A7184"/>
    <w:lvl w:ilvl="0">
      <w:start w:val="1"/>
      <w:numFmt w:val="decimal"/>
      <w:lvlText w:val="%1."/>
      <w:lvlJc w:val="left"/>
      <w:pPr>
        <w:tabs>
          <w:tab w:val="num" w:pos="926"/>
        </w:tabs>
        <w:ind w:left="926" w:hanging="360"/>
      </w:pPr>
    </w:lvl>
  </w:abstractNum>
  <w:abstractNum w:abstractNumId="3">
    <w:nsid w:val="FFFFFF7F"/>
    <w:multiLevelType w:val="singleLevel"/>
    <w:tmpl w:val="6ECE51BE"/>
    <w:lvl w:ilvl="0">
      <w:start w:val="1"/>
      <w:numFmt w:val="decimal"/>
      <w:lvlText w:val="%1."/>
      <w:lvlJc w:val="left"/>
      <w:pPr>
        <w:tabs>
          <w:tab w:val="num" w:pos="643"/>
        </w:tabs>
        <w:ind w:left="643" w:hanging="360"/>
      </w:pPr>
    </w:lvl>
  </w:abstractNum>
  <w:abstractNum w:abstractNumId="4">
    <w:nsid w:val="FFFFFF80"/>
    <w:multiLevelType w:val="singleLevel"/>
    <w:tmpl w:val="0AD619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1C83FC"/>
    <w:lvl w:ilvl="0">
      <w:start w:val="1"/>
      <w:numFmt w:val="bullet"/>
      <w:lvlText w:val=""/>
      <w:lvlJc w:val="left"/>
      <w:pPr>
        <w:tabs>
          <w:tab w:val="num" w:pos="1209"/>
        </w:tabs>
        <w:ind w:left="1209" w:hanging="360"/>
      </w:pPr>
      <w:rPr>
        <w:rFonts w:ascii="Symbol" w:hAnsi="Symbol" w:hint="default"/>
      </w:rPr>
    </w:lvl>
  </w:abstractNum>
  <w:abstractNum w:abstractNumId="6">
    <w:nsid w:val="FFFFFF83"/>
    <w:multiLevelType w:val="singleLevel"/>
    <w:tmpl w:val="C6BA79C6"/>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8AD237E0"/>
    <w:lvl w:ilvl="0">
      <w:start w:val="1"/>
      <w:numFmt w:val="decimal"/>
      <w:lvlText w:val="%1."/>
      <w:lvlJc w:val="left"/>
      <w:pPr>
        <w:tabs>
          <w:tab w:val="num" w:pos="360"/>
        </w:tabs>
        <w:ind w:left="360" w:hanging="360"/>
      </w:pPr>
    </w:lvl>
  </w:abstractNum>
  <w:abstractNum w:abstractNumId="8">
    <w:nsid w:val="FFFFFF89"/>
    <w:multiLevelType w:val="singleLevel"/>
    <w:tmpl w:val="4F84155C"/>
    <w:lvl w:ilvl="0">
      <w:start w:val="1"/>
      <w:numFmt w:val="bullet"/>
      <w:lvlText w:val=""/>
      <w:lvlJc w:val="left"/>
      <w:pPr>
        <w:tabs>
          <w:tab w:val="num" w:pos="360"/>
        </w:tabs>
        <w:ind w:left="360" w:hanging="360"/>
      </w:pPr>
      <w:rPr>
        <w:rFonts w:ascii="Symbol" w:hAnsi="Symbol" w:hint="default"/>
      </w:rPr>
    </w:lvl>
  </w:abstractNum>
  <w:abstractNum w:abstractNumId="9">
    <w:nsid w:val="00000402"/>
    <w:multiLevelType w:val="multilevel"/>
    <w:tmpl w:val="00000885"/>
    <w:lvl w:ilvl="0">
      <w:numFmt w:val="bullet"/>
      <w:lvlText w:val=""/>
      <w:lvlJc w:val="left"/>
      <w:pPr>
        <w:ind w:left="61" w:hanging="159"/>
      </w:pPr>
      <w:rPr>
        <w:rFonts w:ascii="Symbol" w:hAnsi="Symbol" w:cs="Symbol"/>
        <w:b w:val="0"/>
        <w:bCs w:val="0"/>
        <w:w w:val="54"/>
        <w:sz w:val="20"/>
        <w:szCs w:val="20"/>
      </w:rPr>
    </w:lvl>
    <w:lvl w:ilvl="1">
      <w:numFmt w:val="bullet"/>
      <w:lvlText w:val="•"/>
      <w:lvlJc w:val="left"/>
      <w:pPr>
        <w:ind w:left="279" w:hanging="159"/>
      </w:pPr>
    </w:lvl>
    <w:lvl w:ilvl="2">
      <w:numFmt w:val="bullet"/>
      <w:lvlText w:val="•"/>
      <w:lvlJc w:val="left"/>
      <w:pPr>
        <w:ind w:left="498" w:hanging="159"/>
      </w:pPr>
    </w:lvl>
    <w:lvl w:ilvl="3">
      <w:numFmt w:val="bullet"/>
      <w:lvlText w:val="•"/>
      <w:lvlJc w:val="left"/>
      <w:pPr>
        <w:ind w:left="716" w:hanging="159"/>
      </w:pPr>
    </w:lvl>
    <w:lvl w:ilvl="4">
      <w:numFmt w:val="bullet"/>
      <w:lvlText w:val="•"/>
      <w:lvlJc w:val="left"/>
      <w:pPr>
        <w:ind w:left="935" w:hanging="159"/>
      </w:pPr>
    </w:lvl>
    <w:lvl w:ilvl="5">
      <w:numFmt w:val="bullet"/>
      <w:lvlText w:val="•"/>
      <w:lvlJc w:val="left"/>
      <w:pPr>
        <w:ind w:left="1153" w:hanging="159"/>
      </w:pPr>
    </w:lvl>
    <w:lvl w:ilvl="6">
      <w:numFmt w:val="bullet"/>
      <w:lvlText w:val="•"/>
      <w:lvlJc w:val="left"/>
      <w:pPr>
        <w:ind w:left="1372" w:hanging="159"/>
      </w:pPr>
    </w:lvl>
    <w:lvl w:ilvl="7">
      <w:numFmt w:val="bullet"/>
      <w:lvlText w:val="•"/>
      <w:lvlJc w:val="left"/>
      <w:pPr>
        <w:ind w:left="1591" w:hanging="159"/>
      </w:pPr>
    </w:lvl>
    <w:lvl w:ilvl="8">
      <w:numFmt w:val="bullet"/>
      <w:lvlText w:val="•"/>
      <w:lvlJc w:val="left"/>
      <w:pPr>
        <w:ind w:left="1809" w:hanging="159"/>
      </w:pPr>
    </w:lvl>
  </w:abstractNum>
  <w:abstractNum w:abstractNumId="10">
    <w:nsid w:val="00000403"/>
    <w:multiLevelType w:val="multilevel"/>
    <w:tmpl w:val="00000886"/>
    <w:lvl w:ilvl="0">
      <w:numFmt w:val="bullet"/>
      <w:lvlText w:val=""/>
      <w:lvlJc w:val="left"/>
      <w:pPr>
        <w:ind w:left="468" w:hanging="360"/>
      </w:pPr>
      <w:rPr>
        <w:rFonts w:ascii="Symbol" w:hAnsi="Symbol" w:cs="Symbol"/>
        <w:b w:val="0"/>
        <w:bCs w:val="0"/>
        <w:w w:val="76"/>
        <w:sz w:val="18"/>
        <w:szCs w:val="18"/>
      </w:rPr>
    </w:lvl>
    <w:lvl w:ilvl="1">
      <w:numFmt w:val="bullet"/>
      <w:lvlText w:val="•"/>
      <w:lvlJc w:val="left"/>
      <w:pPr>
        <w:ind w:left="1347" w:hanging="360"/>
      </w:pPr>
    </w:lvl>
    <w:lvl w:ilvl="2">
      <w:numFmt w:val="bullet"/>
      <w:lvlText w:val="•"/>
      <w:lvlJc w:val="left"/>
      <w:pPr>
        <w:ind w:left="2227" w:hanging="360"/>
      </w:pPr>
    </w:lvl>
    <w:lvl w:ilvl="3">
      <w:numFmt w:val="bullet"/>
      <w:lvlText w:val="•"/>
      <w:lvlJc w:val="left"/>
      <w:pPr>
        <w:ind w:left="3106" w:hanging="360"/>
      </w:pPr>
    </w:lvl>
    <w:lvl w:ilvl="4">
      <w:numFmt w:val="bullet"/>
      <w:lvlText w:val="•"/>
      <w:lvlJc w:val="left"/>
      <w:pPr>
        <w:ind w:left="3985" w:hanging="360"/>
      </w:pPr>
    </w:lvl>
    <w:lvl w:ilvl="5">
      <w:numFmt w:val="bullet"/>
      <w:lvlText w:val="•"/>
      <w:lvlJc w:val="left"/>
      <w:pPr>
        <w:ind w:left="4864" w:hanging="360"/>
      </w:pPr>
    </w:lvl>
    <w:lvl w:ilvl="6">
      <w:numFmt w:val="bullet"/>
      <w:lvlText w:val="•"/>
      <w:lvlJc w:val="left"/>
      <w:pPr>
        <w:ind w:left="5743" w:hanging="360"/>
      </w:pPr>
    </w:lvl>
    <w:lvl w:ilvl="7">
      <w:numFmt w:val="bullet"/>
      <w:lvlText w:val="•"/>
      <w:lvlJc w:val="left"/>
      <w:pPr>
        <w:ind w:left="6622" w:hanging="360"/>
      </w:pPr>
    </w:lvl>
    <w:lvl w:ilvl="8">
      <w:numFmt w:val="bullet"/>
      <w:lvlText w:val="•"/>
      <w:lvlJc w:val="left"/>
      <w:pPr>
        <w:ind w:left="7501" w:hanging="360"/>
      </w:pPr>
    </w:lvl>
  </w:abstractNum>
  <w:abstractNum w:abstractNumId="11">
    <w:nsid w:val="00000404"/>
    <w:multiLevelType w:val="multilevel"/>
    <w:tmpl w:val="00000887"/>
    <w:lvl w:ilvl="0">
      <w:numFmt w:val="bullet"/>
      <w:lvlText w:val=""/>
      <w:lvlJc w:val="left"/>
      <w:pPr>
        <w:ind w:left="1188" w:hanging="360"/>
      </w:pPr>
      <w:rPr>
        <w:rFonts w:ascii="Symbol" w:hAnsi="Symbol" w:cs="Symbol"/>
        <w:b w:val="0"/>
        <w:bCs w:val="0"/>
        <w:w w:val="76"/>
        <w:sz w:val="20"/>
        <w:szCs w:val="20"/>
      </w:rPr>
    </w:lvl>
    <w:lvl w:ilvl="1">
      <w:numFmt w:val="bullet"/>
      <w:lvlText w:val="•"/>
      <w:lvlJc w:val="left"/>
      <w:pPr>
        <w:ind w:left="1995" w:hanging="360"/>
      </w:pPr>
    </w:lvl>
    <w:lvl w:ilvl="2">
      <w:numFmt w:val="bullet"/>
      <w:lvlText w:val="•"/>
      <w:lvlJc w:val="left"/>
      <w:pPr>
        <w:ind w:left="2803" w:hanging="360"/>
      </w:pPr>
    </w:lvl>
    <w:lvl w:ilvl="3">
      <w:numFmt w:val="bullet"/>
      <w:lvlText w:val="•"/>
      <w:lvlJc w:val="left"/>
      <w:pPr>
        <w:ind w:left="3610" w:hanging="360"/>
      </w:pPr>
    </w:lvl>
    <w:lvl w:ilvl="4">
      <w:numFmt w:val="bullet"/>
      <w:lvlText w:val="•"/>
      <w:lvlJc w:val="left"/>
      <w:pPr>
        <w:ind w:left="4417" w:hanging="360"/>
      </w:pPr>
    </w:lvl>
    <w:lvl w:ilvl="5">
      <w:numFmt w:val="bullet"/>
      <w:lvlText w:val="•"/>
      <w:lvlJc w:val="left"/>
      <w:pPr>
        <w:ind w:left="5224" w:hanging="360"/>
      </w:pPr>
    </w:lvl>
    <w:lvl w:ilvl="6">
      <w:numFmt w:val="bullet"/>
      <w:lvlText w:val="•"/>
      <w:lvlJc w:val="left"/>
      <w:pPr>
        <w:ind w:left="6031" w:hanging="360"/>
      </w:pPr>
    </w:lvl>
    <w:lvl w:ilvl="7">
      <w:numFmt w:val="bullet"/>
      <w:lvlText w:val="•"/>
      <w:lvlJc w:val="left"/>
      <w:pPr>
        <w:ind w:left="6838" w:hanging="360"/>
      </w:pPr>
    </w:lvl>
    <w:lvl w:ilvl="8">
      <w:numFmt w:val="bullet"/>
      <w:lvlText w:val="•"/>
      <w:lvlJc w:val="left"/>
      <w:pPr>
        <w:ind w:left="7645" w:hanging="360"/>
      </w:pPr>
    </w:lvl>
  </w:abstractNum>
  <w:abstractNum w:abstractNumId="12">
    <w:nsid w:val="08794615"/>
    <w:multiLevelType w:val="hybridMultilevel"/>
    <w:tmpl w:val="A7561688"/>
    <w:lvl w:ilvl="0" w:tplc="75BE7E8A">
      <w:start w:val="1"/>
      <w:numFmt w:val="bullet"/>
      <w:pStyle w:val="CommentDo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nsid w:val="1C6F07F1"/>
    <w:multiLevelType w:val="hybridMultilevel"/>
    <w:tmpl w:val="C70A4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2387532"/>
    <w:multiLevelType w:val="hybridMultilevel"/>
    <w:tmpl w:val="801AD0F6"/>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066740A"/>
    <w:multiLevelType w:val="hybridMultilevel"/>
    <w:tmpl w:val="5E403506"/>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8">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9">
    <w:nsid w:val="403B4F9A"/>
    <w:multiLevelType w:val="hybridMultilevel"/>
    <w:tmpl w:val="368299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89B15D7"/>
    <w:multiLevelType w:val="hybridMultilevel"/>
    <w:tmpl w:val="15F6F434"/>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4432E24"/>
    <w:multiLevelType w:val="hybridMultilevel"/>
    <w:tmpl w:val="CB4243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4FD7A04"/>
    <w:multiLevelType w:val="hybridMultilevel"/>
    <w:tmpl w:val="D61CA5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63F595D"/>
    <w:multiLevelType w:val="hybridMultilevel"/>
    <w:tmpl w:val="86B69502"/>
    <w:lvl w:ilvl="0" w:tplc="D3142EF2">
      <w:start w:val="1"/>
      <w:numFmt w:val="bullet"/>
      <w:pStyle w:val="Instructions2"/>
      <w:lvlText w:val="­"/>
      <w:lvlJc w:val="left"/>
      <w:pPr>
        <w:ind w:left="644" w:hanging="360"/>
      </w:pPr>
      <w:rPr>
        <w:rFonts w:ascii="Calibri" w:hAnsi="Calibri"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4">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71D25BAF"/>
    <w:multiLevelType w:val="multilevel"/>
    <w:tmpl w:val="305E0CF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78D95DF3"/>
    <w:multiLevelType w:val="hybridMultilevel"/>
    <w:tmpl w:val="CB4243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3"/>
  </w:num>
  <w:num w:numId="3">
    <w:abstractNumId w:val="14"/>
  </w:num>
  <w:num w:numId="4">
    <w:abstractNumId w:val="13"/>
    <w:lvlOverride w:ilvl="1">
      <w:lvl w:ilvl="1">
        <w:start w:val="1"/>
        <w:numFmt w:val="lowerLetter"/>
        <w:pStyle w:val="Numberbullet2"/>
        <w:lvlText w:val="%2."/>
        <w:lvlJc w:val="left"/>
        <w:pPr>
          <w:ind w:left="851" w:hanging="426"/>
        </w:pPr>
        <w:rPr>
          <w:rFonts w:hint="default"/>
        </w:rPr>
      </w:lvl>
    </w:lvlOverride>
  </w:num>
  <w:num w:numId="5">
    <w:abstractNumId w:val="17"/>
  </w:num>
  <w:num w:numId="6">
    <w:abstractNumId w:val="18"/>
  </w:num>
  <w:num w:numId="7">
    <w:abstractNumId w:val="21"/>
  </w:num>
  <w:num w:numId="8">
    <w:abstractNumId w:val="26"/>
  </w:num>
  <w:num w:numId="9">
    <w:abstractNumId w:val="20"/>
  </w:num>
  <w:num w:numId="10">
    <w:abstractNumId w:val="24"/>
  </w:num>
  <w:num w:numId="11">
    <w:abstractNumId w:val="12"/>
  </w:num>
  <w:num w:numId="12">
    <w:abstractNumId w:val="23"/>
  </w:num>
  <w:num w:numId="13">
    <w:abstractNumId w:val="22"/>
  </w:num>
  <w:num w:numId="14">
    <w:abstractNumId w:val="19"/>
  </w:num>
  <w:num w:numId="15">
    <w:abstractNumId w:val="11"/>
  </w:num>
  <w:num w:numId="16">
    <w:abstractNumId w:val="10"/>
  </w:num>
  <w:num w:numId="17">
    <w:abstractNumId w:val="9"/>
  </w:num>
  <w:num w:numId="18">
    <w:abstractNumId w:val="16"/>
  </w:num>
  <w:num w:numId="19">
    <w:abstractNumId w:val="1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6"/>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4"/>
  </w:num>
  <w:num w:numId="34">
    <w:abstractNumId w:val="7"/>
  </w:num>
  <w:num w:numId="35">
    <w:abstractNumId w:val="3"/>
  </w:num>
  <w:num w:numId="36">
    <w:abstractNumId w:val="2"/>
  </w:num>
  <w:num w:numId="37">
    <w:abstractNumId w:val="1"/>
  </w:num>
  <w:num w:numId="38">
    <w:abstractNumId w:val="0"/>
  </w:num>
  <w:num w:numId="39">
    <w:abstractNumId w:val="25"/>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A2"/>
    <w:rsid w:val="00001F85"/>
    <w:rsid w:val="00002031"/>
    <w:rsid w:val="00004734"/>
    <w:rsid w:val="00006B22"/>
    <w:rsid w:val="0001276A"/>
    <w:rsid w:val="000246AE"/>
    <w:rsid w:val="00025C67"/>
    <w:rsid w:val="00044772"/>
    <w:rsid w:val="0005559E"/>
    <w:rsid w:val="000604D6"/>
    <w:rsid w:val="000734D8"/>
    <w:rsid w:val="00074A1D"/>
    <w:rsid w:val="00077775"/>
    <w:rsid w:val="00083E23"/>
    <w:rsid w:val="00090471"/>
    <w:rsid w:val="00096AA7"/>
    <w:rsid w:val="000A3AED"/>
    <w:rsid w:val="000B3532"/>
    <w:rsid w:val="000B3A75"/>
    <w:rsid w:val="000C690F"/>
    <w:rsid w:val="000D1295"/>
    <w:rsid w:val="000D3561"/>
    <w:rsid w:val="000D391B"/>
    <w:rsid w:val="000D3D6D"/>
    <w:rsid w:val="000D4FC7"/>
    <w:rsid w:val="000F4869"/>
    <w:rsid w:val="000F5B42"/>
    <w:rsid w:val="000F6E6F"/>
    <w:rsid w:val="000F70F6"/>
    <w:rsid w:val="001054B8"/>
    <w:rsid w:val="0010601F"/>
    <w:rsid w:val="0010788A"/>
    <w:rsid w:val="00107A31"/>
    <w:rsid w:val="00110EA5"/>
    <w:rsid w:val="00112F56"/>
    <w:rsid w:val="00114563"/>
    <w:rsid w:val="0011732E"/>
    <w:rsid w:val="00123068"/>
    <w:rsid w:val="00125318"/>
    <w:rsid w:val="001305A2"/>
    <w:rsid w:val="00133238"/>
    <w:rsid w:val="0014197B"/>
    <w:rsid w:val="001447CD"/>
    <w:rsid w:val="001516B1"/>
    <w:rsid w:val="00154EBB"/>
    <w:rsid w:val="00156316"/>
    <w:rsid w:val="00162D14"/>
    <w:rsid w:val="00165389"/>
    <w:rsid w:val="00165A8D"/>
    <w:rsid w:val="0017693F"/>
    <w:rsid w:val="0018110E"/>
    <w:rsid w:val="00181684"/>
    <w:rsid w:val="001843C6"/>
    <w:rsid w:val="001850E0"/>
    <w:rsid w:val="001A2158"/>
    <w:rsid w:val="001A525F"/>
    <w:rsid w:val="001B09F9"/>
    <w:rsid w:val="001B5C90"/>
    <w:rsid w:val="001B6448"/>
    <w:rsid w:val="001C32CD"/>
    <w:rsid w:val="001D2984"/>
    <w:rsid w:val="001E07CF"/>
    <w:rsid w:val="001E59F1"/>
    <w:rsid w:val="001F2F4A"/>
    <w:rsid w:val="001F3902"/>
    <w:rsid w:val="001F49EB"/>
    <w:rsid w:val="001F54C4"/>
    <w:rsid w:val="001F6CBA"/>
    <w:rsid w:val="00201D4E"/>
    <w:rsid w:val="002076C9"/>
    <w:rsid w:val="0022044E"/>
    <w:rsid w:val="00220B8A"/>
    <w:rsid w:val="002257F3"/>
    <w:rsid w:val="00233456"/>
    <w:rsid w:val="002339A5"/>
    <w:rsid w:val="0024121F"/>
    <w:rsid w:val="00255358"/>
    <w:rsid w:val="00257848"/>
    <w:rsid w:val="00260E27"/>
    <w:rsid w:val="00262FD3"/>
    <w:rsid w:val="0027084A"/>
    <w:rsid w:val="002725CD"/>
    <w:rsid w:val="00277534"/>
    <w:rsid w:val="00286434"/>
    <w:rsid w:val="00286C59"/>
    <w:rsid w:val="0028770B"/>
    <w:rsid w:val="002900A2"/>
    <w:rsid w:val="00291957"/>
    <w:rsid w:val="002942D1"/>
    <w:rsid w:val="0029501A"/>
    <w:rsid w:val="002B1638"/>
    <w:rsid w:val="002B2DCC"/>
    <w:rsid w:val="002B3624"/>
    <w:rsid w:val="002C4798"/>
    <w:rsid w:val="002E40B3"/>
    <w:rsid w:val="002E4C9A"/>
    <w:rsid w:val="002F11F8"/>
    <w:rsid w:val="002F3F56"/>
    <w:rsid w:val="002F44B5"/>
    <w:rsid w:val="0030208D"/>
    <w:rsid w:val="00311AC0"/>
    <w:rsid w:val="0032583B"/>
    <w:rsid w:val="00327883"/>
    <w:rsid w:val="00335504"/>
    <w:rsid w:val="00341162"/>
    <w:rsid w:val="00347824"/>
    <w:rsid w:val="00350567"/>
    <w:rsid w:val="00351603"/>
    <w:rsid w:val="003521E8"/>
    <w:rsid w:val="00365EF1"/>
    <w:rsid w:val="003728F3"/>
    <w:rsid w:val="0037496E"/>
    <w:rsid w:val="00383221"/>
    <w:rsid w:val="00386150"/>
    <w:rsid w:val="003874CE"/>
    <w:rsid w:val="00390900"/>
    <w:rsid w:val="003A094D"/>
    <w:rsid w:val="003A7F6C"/>
    <w:rsid w:val="003B2EED"/>
    <w:rsid w:val="003B4D60"/>
    <w:rsid w:val="003B7E39"/>
    <w:rsid w:val="003C58DC"/>
    <w:rsid w:val="003D1E62"/>
    <w:rsid w:val="003D7ABB"/>
    <w:rsid w:val="003E0B99"/>
    <w:rsid w:val="003E2486"/>
    <w:rsid w:val="003E3208"/>
    <w:rsid w:val="003F0B04"/>
    <w:rsid w:val="003F1E6E"/>
    <w:rsid w:val="0040134E"/>
    <w:rsid w:val="004334C7"/>
    <w:rsid w:val="00440A2D"/>
    <w:rsid w:val="00451D82"/>
    <w:rsid w:val="0045430B"/>
    <w:rsid w:val="004564A7"/>
    <w:rsid w:val="00457B63"/>
    <w:rsid w:val="004617BF"/>
    <w:rsid w:val="00463658"/>
    <w:rsid w:val="004637A0"/>
    <w:rsid w:val="004722CC"/>
    <w:rsid w:val="004936E4"/>
    <w:rsid w:val="00494E60"/>
    <w:rsid w:val="00497487"/>
    <w:rsid w:val="004A4DD6"/>
    <w:rsid w:val="004A7390"/>
    <w:rsid w:val="004A7472"/>
    <w:rsid w:val="004B1C15"/>
    <w:rsid w:val="004B7B76"/>
    <w:rsid w:val="004C239D"/>
    <w:rsid w:val="004C2DCA"/>
    <w:rsid w:val="004F0C4A"/>
    <w:rsid w:val="004F0F38"/>
    <w:rsid w:val="004F47D6"/>
    <w:rsid w:val="00501921"/>
    <w:rsid w:val="00530354"/>
    <w:rsid w:val="0053625B"/>
    <w:rsid w:val="005434C6"/>
    <w:rsid w:val="00543B39"/>
    <w:rsid w:val="00546154"/>
    <w:rsid w:val="00550096"/>
    <w:rsid w:val="00555280"/>
    <w:rsid w:val="00557FF9"/>
    <w:rsid w:val="00563191"/>
    <w:rsid w:val="00573F26"/>
    <w:rsid w:val="00576378"/>
    <w:rsid w:val="00577130"/>
    <w:rsid w:val="00577945"/>
    <w:rsid w:val="00577E38"/>
    <w:rsid w:val="00585322"/>
    <w:rsid w:val="005857C6"/>
    <w:rsid w:val="00592F6E"/>
    <w:rsid w:val="00593AD1"/>
    <w:rsid w:val="005A68B6"/>
    <w:rsid w:val="005C5570"/>
    <w:rsid w:val="005C79A4"/>
    <w:rsid w:val="005D311F"/>
    <w:rsid w:val="005D5442"/>
    <w:rsid w:val="005F7DCB"/>
    <w:rsid w:val="00603F32"/>
    <w:rsid w:val="00605AD4"/>
    <w:rsid w:val="00621D8D"/>
    <w:rsid w:val="00624A82"/>
    <w:rsid w:val="00625A6E"/>
    <w:rsid w:val="00632398"/>
    <w:rsid w:val="00640FC3"/>
    <w:rsid w:val="00642020"/>
    <w:rsid w:val="0065337B"/>
    <w:rsid w:val="0065419D"/>
    <w:rsid w:val="006604D8"/>
    <w:rsid w:val="00660C6D"/>
    <w:rsid w:val="00664A5B"/>
    <w:rsid w:val="006763D2"/>
    <w:rsid w:val="00680C08"/>
    <w:rsid w:val="006931B1"/>
    <w:rsid w:val="006A15C0"/>
    <w:rsid w:val="006C3E2A"/>
    <w:rsid w:val="006C642F"/>
    <w:rsid w:val="006D03E5"/>
    <w:rsid w:val="006D5D3E"/>
    <w:rsid w:val="006E08B3"/>
    <w:rsid w:val="006F17AC"/>
    <w:rsid w:val="006F25B8"/>
    <w:rsid w:val="006F572E"/>
    <w:rsid w:val="007046D6"/>
    <w:rsid w:val="00705DB0"/>
    <w:rsid w:val="00722B57"/>
    <w:rsid w:val="00730F8A"/>
    <w:rsid w:val="0074253D"/>
    <w:rsid w:val="0074429B"/>
    <w:rsid w:val="007615BC"/>
    <w:rsid w:val="00762F05"/>
    <w:rsid w:val="007652FF"/>
    <w:rsid w:val="00770EF1"/>
    <w:rsid w:val="00773EF7"/>
    <w:rsid w:val="00774E1D"/>
    <w:rsid w:val="007765D8"/>
    <w:rsid w:val="0077675A"/>
    <w:rsid w:val="00780355"/>
    <w:rsid w:val="00780E55"/>
    <w:rsid w:val="007819FD"/>
    <w:rsid w:val="00785721"/>
    <w:rsid w:val="0079183F"/>
    <w:rsid w:val="00793A59"/>
    <w:rsid w:val="007B6132"/>
    <w:rsid w:val="007B6E9F"/>
    <w:rsid w:val="007C1216"/>
    <w:rsid w:val="007C1AF7"/>
    <w:rsid w:val="008037E0"/>
    <w:rsid w:val="00803B5F"/>
    <w:rsid w:val="00805D27"/>
    <w:rsid w:val="0082131B"/>
    <w:rsid w:val="00821776"/>
    <w:rsid w:val="00825E8D"/>
    <w:rsid w:val="008321F5"/>
    <w:rsid w:val="00832369"/>
    <w:rsid w:val="00834660"/>
    <w:rsid w:val="00836BC2"/>
    <w:rsid w:val="00837028"/>
    <w:rsid w:val="0085156D"/>
    <w:rsid w:val="0085641B"/>
    <w:rsid w:val="00857136"/>
    <w:rsid w:val="00865456"/>
    <w:rsid w:val="00885B11"/>
    <w:rsid w:val="00886D15"/>
    <w:rsid w:val="00887DD8"/>
    <w:rsid w:val="00891BA9"/>
    <w:rsid w:val="00896018"/>
    <w:rsid w:val="008960DD"/>
    <w:rsid w:val="0089635C"/>
    <w:rsid w:val="00897A00"/>
    <w:rsid w:val="008A2B9D"/>
    <w:rsid w:val="008A3D9F"/>
    <w:rsid w:val="008A5E0B"/>
    <w:rsid w:val="008A6D59"/>
    <w:rsid w:val="008B4B03"/>
    <w:rsid w:val="008B596F"/>
    <w:rsid w:val="008C156A"/>
    <w:rsid w:val="008C159F"/>
    <w:rsid w:val="008C1623"/>
    <w:rsid w:val="008C1850"/>
    <w:rsid w:val="008C2305"/>
    <w:rsid w:val="008C51A9"/>
    <w:rsid w:val="008D1B25"/>
    <w:rsid w:val="008E7846"/>
    <w:rsid w:val="008F1CCC"/>
    <w:rsid w:val="008F2967"/>
    <w:rsid w:val="008F6943"/>
    <w:rsid w:val="00902A21"/>
    <w:rsid w:val="00905D1A"/>
    <w:rsid w:val="00920330"/>
    <w:rsid w:val="00920597"/>
    <w:rsid w:val="009219D7"/>
    <w:rsid w:val="00922D53"/>
    <w:rsid w:val="00923B70"/>
    <w:rsid w:val="00924482"/>
    <w:rsid w:val="00930237"/>
    <w:rsid w:val="00940A89"/>
    <w:rsid w:val="00946EA5"/>
    <w:rsid w:val="00963C08"/>
    <w:rsid w:val="0098585A"/>
    <w:rsid w:val="009A31F5"/>
    <w:rsid w:val="009A4CED"/>
    <w:rsid w:val="009A690D"/>
    <w:rsid w:val="009A7C11"/>
    <w:rsid w:val="009B1371"/>
    <w:rsid w:val="009B1D12"/>
    <w:rsid w:val="009B416B"/>
    <w:rsid w:val="009C4BD5"/>
    <w:rsid w:val="009D75D2"/>
    <w:rsid w:val="009D7B77"/>
    <w:rsid w:val="009E0BB0"/>
    <w:rsid w:val="009E3FBB"/>
    <w:rsid w:val="009E60C8"/>
    <w:rsid w:val="00A04F85"/>
    <w:rsid w:val="00A102E4"/>
    <w:rsid w:val="00A12C42"/>
    <w:rsid w:val="00A14DF7"/>
    <w:rsid w:val="00A264A8"/>
    <w:rsid w:val="00A3246D"/>
    <w:rsid w:val="00A36FA7"/>
    <w:rsid w:val="00A44DDB"/>
    <w:rsid w:val="00A475B7"/>
    <w:rsid w:val="00A47AF7"/>
    <w:rsid w:val="00A47C3E"/>
    <w:rsid w:val="00A50226"/>
    <w:rsid w:val="00A60BAD"/>
    <w:rsid w:val="00A80B5B"/>
    <w:rsid w:val="00A84E36"/>
    <w:rsid w:val="00A94CF3"/>
    <w:rsid w:val="00A961D1"/>
    <w:rsid w:val="00A964D1"/>
    <w:rsid w:val="00AA0ED0"/>
    <w:rsid w:val="00AB6693"/>
    <w:rsid w:val="00AC2B40"/>
    <w:rsid w:val="00AC2BB2"/>
    <w:rsid w:val="00AC2C3C"/>
    <w:rsid w:val="00AC512D"/>
    <w:rsid w:val="00AD0083"/>
    <w:rsid w:val="00AD3209"/>
    <w:rsid w:val="00AD3935"/>
    <w:rsid w:val="00AD561C"/>
    <w:rsid w:val="00AD677A"/>
    <w:rsid w:val="00AE65EB"/>
    <w:rsid w:val="00AE67A7"/>
    <w:rsid w:val="00AF1D94"/>
    <w:rsid w:val="00AF60C5"/>
    <w:rsid w:val="00B009C6"/>
    <w:rsid w:val="00B01548"/>
    <w:rsid w:val="00B10524"/>
    <w:rsid w:val="00B21D29"/>
    <w:rsid w:val="00B25034"/>
    <w:rsid w:val="00B33588"/>
    <w:rsid w:val="00B33863"/>
    <w:rsid w:val="00B37D17"/>
    <w:rsid w:val="00B4175E"/>
    <w:rsid w:val="00B452CE"/>
    <w:rsid w:val="00B51A1A"/>
    <w:rsid w:val="00B54C25"/>
    <w:rsid w:val="00B76B91"/>
    <w:rsid w:val="00B77EB1"/>
    <w:rsid w:val="00B811C6"/>
    <w:rsid w:val="00B855B0"/>
    <w:rsid w:val="00B92E08"/>
    <w:rsid w:val="00B9756C"/>
    <w:rsid w:val="00BC622A"/>
    <w:rsid w:val="00BE0A78"/>
    <w:rsid w:val="00BE79F0"/>
    <w:rsid w:val="00BF046D"/>
    <w:rsid w:val="00BF1190"/>
    <w:rsid w:val="00BF5D04"/>
    <w:rsid w:val="00C0635E"/>
    <w:rsid w:val="00C1164D"/>
    <w:rsid w:val="00C16861"/>
    <w:rsid w:val="00C32FBB"/>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9747E"/>
    <w:rsid w:val="00CB6BC0"/>
    <w:rsid w:val="00CC0147"/>
    <w:rsid w:val="00CC1B7C"/>
    <w:rsid w:val="00CC727F"/>
    <w:rsid w:val="00CF15C3"/>
    <w:rsid w:val="00CF2B6F"/>
    <w:rsid w:val="00CF58B6"/>
    <w:rsid w:val="00D017ED"/>
    <w:rsid w:val="00D040D3"/>
    <w:rsid w:val="00D04C65"/>
    <w:rsid w:val="00D12795"/>
    <w:rsid w:val="00D201D2"/>
    <w:rsid w:val="00D224FE"/>
    <w:rsid w:val="00D23139"/>
    <w:rsid w:val="00D425BB"/>
    <w:rsid w:val="00D642FB"/>
    <w:rsid w:val="00D6493E"/>
    <w:rsid w:val="00D7195D"/>
    <w:rsid w:val="00D7301E"/>
    <w:rsid w:val="00D74E25"/>
    <w:rsid w:val="00D83AE1"/>
    <w:rsid w:val="00D855D4"/>
    <w:rsid w:val="00D93173"/>
    <w:rsid w:val="00D93466"/>
    <w:rsid w:val="00DA1124"/>
    <w:rsid w:val="00DB6124"/>
    <w:rsid w:val="00DB750B"/>
    <w:rsid w:val="00DB75B7"/>
    <w:rsid w:val="00DC6E02"/>
    <w:rsid w:val="00DE02AE"/>
    <w:rsid w:val="00DF1D7F"/>
    <w:rsid w:val="00DF4BE4"/>
    <w:rsid w:val="00E02FB4"/>
    <w:rsid w:val="00E122E2"/>
    <w:rsid w:val="00E13FC7"/>
    <w:rsid w:val="00E175C9"/>
    <w:rsid w:val="00E20571"/>
    <w:rsid w:val="00E235F7"/>
    <w:rsid w:val="00E23659"/>
    <w:rsid w:val="00E239D4"/>
    <w:rsid w:val="00E26130"/>
    <w:rsid w:val="00E40B22"/>
    <w:rsid w:val="00E44ED1"/>
    <w:rsid w:val="00E45136"/>
    <w:rsid w:val="00E45619"/>
    <w:rsid w:val="00E4588F"/>
    <w:rsid w:val="00E46DA3"/>
    <w:rsid w:val="00E51BB1"/>
    <w:rsid w:val="00E624A5"/>
    <w:rsid w:val="00E64BA4"/>
    <w:rsid w:val="00E7344E"/>
    <w:rsid w:val="00E94BA1"/>
    <w:rsid w:val="00EB0798"/>
    <w:rsid w:val="00EB40AD"/>
    <w:rsid w:val="00EB586E"/>
    <w:rsid w:val="00EB5FC8"/>
    <w:rsid w:val="00EC3993"/>
    <w:rsid w:val="00EC7A85"/>
    <w:rsid w:val="00ED3CAD"/>
    <w:rsid w:val="00ED5A41"/>
    <w:rsid w:val="00EE1DE8"/>
    <w:rsid w:val="00EE5E53"/>
    <w:rsid w:val="00EF2990"/>
    <w:rsid w:val="00F006C7"/>
    <w:rsid w:val="00F033EC"/>
    <w:rsid w:val="00F04F68"/>
    <w:rsid w:val="00F12670"/>
    <w:rsid w:val="00F14B27"/>
    <w:rsid w:val="00F3148D"/>
    <w:rsid w:val="00F325C5"/>
    <w:rsid w:val="00F32FE0"/>
    <w:rsid w:val="00F35298"/>
    <w:rsid w:val="00F3677D"/>
    <w:rsid w:val="00F47333"/>
    <w:rsid w:val="00F47E37"/>
    <w:rsid w:val="00F53C07"/>
    <w:rsid w:val="00F54B65"/>
    <w:rsid w:val="00F640B6"/>
    <w:rsid w:val="00F646A2"/>
    <w:rsid w:val="00F76A06"/>
    <w:rsid w:val="00F80E40"/>
    <w:rsid w:val="00F848D9"/>
    <w:rsid w:val="00FA5B82"/>
    <w:rsid w:val="00FA639E"/>
    <w:rsid w:val="00FB7D87"/>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semiHidden="0" w:unhideWhenUsed="0"/>
    <w:lsdException w:name="FollowedHyperlink" w:uiPriority="0"/>
    <w:lsdException w:name="Strong" w:semiHidden="0" w:uiPriority="22" w:unhideWhenUsed="0"/>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8"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uiPriority w:val="1"/>
    <w:qFormat/>
    <w:rsid w:val="003B2EED"/>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nhideWhenUsed/>
    <w:qFormat/>
    <w:rsid w:val="00D74E2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D74E25"/>
    <w:pPr>
      <w:keepNext/>
      <w:spacing w:before="0" w:line="240" w:lineRule="auto"/>
      <w:outlineLvl w:val="8"/>
    </w:pPr>
    <w:rPr>
      <w:rFonts w:ascii="Arial" w:eastAsia="Times New Roman" w:hAnsi="Arial" w:cs="Arial"/>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2">
    <w:name w:val="Comment 2"/>
    <w:basedOn w:val="Normal"/>
    <w:qFormat/>
    <w:rsid w:val="002900A2"/>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2900A2"/>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Bullet1">
    <w:name w:val="Bullet 1"/>
    <w:basedOn w:val="Normal"/>
    <w:rsid w:val="002900A2"/>
    <w:pPr>
      <w:numPr>
        <w:numId w:val="5"/>
      </w:numPr>
      <w:tabs>
        <w:tab w:val="clear" w:pos="284"/>
      </w:tabs>
      <w:spacing w:after="0" w:line="240" w:lineRule="auto"/>
    </w:pPr>
    <w:rPr>
      <w:rFonts w:eastAsia="Times New Roman"/>
      <w:kern w:val="24"/>
      <w:szCs w:val="24"/>
      <w:lang w:eastAsia="en-AU"/>
    </w:rPr>
  </w:style>
  <w:style w:type="paragraph" w:customStyle="1" w:styleId="Bullet2">
    <w:name w:val="Bullet 2"/>
    <w:basedOn w:val="Bullet1"/>
    <w:rsid w:val="002900A2"/>
    <w:pPr>
      <w:numPr>
        <w:numId w:val="6"/>
      </w:numPr>
    </w:pPr>
  </w:style>
  <w:style w:type="paragraph" w:styleId="Quote">
    <w:name w:val="Quote"/>
    <w:basedOn w:val="Normal"/>
    <w:next w:val="Normal"/>
    <w:link w:val="QuoteChar"/>
    <w:uiPriority w:val="29"/>
    <w:qFormat/>
    <w:rsid w:val="002900A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0" w:after="160" w:line="240" w:lineRule="auto"/>
      <w:ind w:left="864" w:right="864"/>
      <w:jc w:val="center"/>
    </w:pPr>
    <w:rPr>
      <w:rFonts w:eastAsia="Times New Roman"/>
      <w:i/>
      <w:iCs/>
      <w:color w:val="404040" w:themeColor="text1" w:themeTint="BF"/>
      <w:kern w:val="16"/>
      <w:szCs w:val="24"/>
      <w:lang w:eastAsia="en-AU"/>
    </w:rPr>
  </w:style>
  <w:style w:type="character" w:customStyle="1" w:styleId="QuoteChar">
    <w:name w:val="Quote Char"/>
    <w:basedOn w:val="DefaultParagraphFont"/>
    <w:link w:val="Quote"/>
    <w:uiPriority w:val="29"/>
    <w:rsid w:val="002900A2"/>
    <w:rPr>
      <w:rFonts w:ascii="Cambria" w:eastAsia="Times New Roman" w:hAnsi="Cambria" w:cs="Times New Roman"/>
      <w:i/>
      <w:iCs/>
      <w:color w:val="404040" w:themeColor="text1" w:themeTint="BF"/>
      <w:kern w:val="16"/>
      <w:szCs w:val="24"/>
      <w:lang w:eastAsia="en-AU"/>
    </w:rPr>
  </w:style>
  <w:style w:type="paragraph" w:styleId="ListParagraph">
    <w:name w:val="List Paragraph"/>
    <w:basedOn w:val="Normal"/>
    <w:uiPriority w:val="34"/>
    <w:qFormat/>
    <w:rsid w:val="002900A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Default">
    <w:name w:val="Default"/>
    <w:rsid w:val="002900A2"/>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st1">
    <w:name w:val="st1"/>
    <w:basedOn w:val="DefaultParagraphFont"/>
    <w:rsid w:val="00D74E25"/>
  </w:style>
  <w:style w:type="character" w:customStyle="1" w:styleId="Heading8Char">
    <w:name w:val="Heading 8 Char"/>
    <w:basedOn w:val="DefaultParagraphFont"/>
    <w:link w:val="Heading8"/>
    <w:rsid w:val="00D74E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D74E25"/>
    <w:rPr>
      <w:rFonts w:ascii="Arial" w:eastAsia="Times New Roman" w:hAnsi="Arial" w:cs="Arial"/>
      <w:u w:val="single"/>
      <w:lang w:eastAsia="en-AU"/>
    </w:rPr>
  </w:style>
  <w:style w:type="paragraph" w:customStyle="1" w:styleId="FigureCaption">
    <w:name w:val="Figure Caption"/>
    <w:basedOn w:val="Normal"/>
    <w:qFormat/>
    <w:rsid w:val="00D74E25"/>
    <w:pPr>
      <w:spacing w:before="180" w:after="0"/>
    </w:pPr>
  </w:style>
  <w:style w:type="table" w:styleId="MediumGrid3-Accent2">
    <w:name w:val="Medium Grid 3 Accent 2"/>
    <w:basedOn w:val="TableNormal"/>
    <w:uiPriority w:val="60"/>
    <w:rsid w:val="00D74E25"/>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6">
    <w:name w:val="Medium Shading 1 Accent 6"/>
    <w:basedOn w:val="TableNormal"/>
    <w:uiPriority w:val="68"/>
    <w:rsid w:val="00D74E25"/>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TableCaption">
    <w:name w:val="Table Caption"/>
    <w:basedOn w:val="FigureCaption"/>
    <w:qFormat/>
    <w:rsid w:val="00D74E25"/>
    <w:pPr>
      <w:spacing w:after="240"/>
    </w:pPr>
    <w:rPr>
      <w:sz w:val="17"/>
    </w:rPr>
  </w:style>
  <w:style w:type="paragraph" w:customStyle="1" w:styleId="Subject">
    <w:name w:val="Subject"/>
    <w:basedOn w:val="Normal"/>
    <w:qFormat/>
    <w:rsid w:val="00D74E25"/>
    <w:pPr>
      <w:spacing w:before="180" w:after="180"/>
    </w:pPr>
    <w:rPr>
      <w:b/>
    </w:rPr>
  </w:style>
  <w:style w:type="paragraph" w:customStyle="1" w:styleId="Footnote">
    <w:name w:val="Footnote"/>
    <w:qFormat/>
    <w:rsid w:val="00D74E25"/>
    <w:pPr>
      <w:spacing w:after="0" w:line="240" w:lineRule="auto"/>
    </w:pPr>
    <w:rPr>
      <w:rFonts w:ascii="Cambria" w:eastAsia="Cambria" w:hAnsi="Cambria" w:cs="Times New Roman"/>
      <w:sz w:val="20"/>
      <w:szCs w:val="20"/>
    </w:rPr>
  </w:style>
  <w:style w:type="paragraph" w:customStyle="1" w:styleId="headinganchor1">
    <w:name w:val="headinganchor1"/>
    <w:basedOn w:val="Normal"/>
    <w:rsid w:val="00D74E25"/>
    <w:pPr>
      <w:spacing w:before="0" w:after="150" w:line="336" w:lineRule="auto"/>
    </w:pPr>
    <w:rPr>
      <w:rFonts w:ascii="Times New Roman" w:eastAsia="Times New Roman" w:hAnsi="Times New Roman"/>
      <w:sz w:val="24"/>
      <w:szCs w:val="24"/>
      <w:lang w:eastAsia="en-AU"/>
    </w:rPr>
  </w:style>
  <w:style w:type="paragraph" w:customStyle="1" w:styleId="ColorfulList-Accent11">
    <w:name w:val="Colorful List - Accent 11"/>
    <w:basedOn w:val="Normal"/>
    <w:uiPriority w:val="34"/>
    <w:qFormat/>
    <w:locked/>
    <w:rsid w:val="00D74E25"/>
    <w:pPr>
      <w:adjustRightInd w:val="0"/>
      <w:snapToGrid w:val="0"/>
      <w:spacing w:before="180" w:after="180"/>
      <w:ind w:left="720"/>
      <w:contextualSpacing/>
    </w:pPr>
    <w:rPr>
      <w:rFonts w:eastAsia="MS Mincho"/>
      <w:szCs w:val="20"/>
      <w:lang w:eastAsia="ja-JP"/>
    </w:rPr>
  </w:style>
  <w:style w:type="paragraph" w:customStyle="1" w:styleId="Standard">
    <w:name w:val="Standard"/>
    <w:basedOn w:val="Normal"/>
    <w:link w:val="StandardChar"/>
    <w:qFormat/>
    <w:rsid w:val="00D74E25"/>
    <w:pPr>
      <w:spacing w:before="0" w:after="220" w:line="252" w:lineRule="auto"/>
    </w:pPr>
    <w:rPr>
      <w:rFonts w:eastAsia="Times New Roman"/>
      <w:snapToGrid w:val="0"/>
      <w:kern w:val="16"/>
      <w:sz w:val="23"/>
      <w:szCs w:val="24"/>
    </w:rPr>
  </w:style>
  <w:style w:type="character" w:customStyle="1" w:styleId="StandardChar">
    <w:name w:val="Standard Char"/>
    <w:link w:val="Standard"/>
    <w:rsid w:val="00D74E25"/>
    <w:rPr>
      <w:rFonts w:ascii="Cambria" w:eastAsia="Times New Roman" w:hAnsi="Cambria" w:cs="Times New Roman"/>
      <w:snapToGrid w:val="0"/>
      <w:kern w:val="16"/>
      <w:sz w:val="23"/>
      <w:szCs w:val="24"/>
    </w:rPr>
  </w:style>
  <w:style w:type="paragraph" w:customStyle="1" w:styleId="Bulletpoint">
    <w:name w:val="Bullet point"/>
    <w:basedOn w:val="Standard"/>
    <w:rsid w:val="00D74E25"/>
    <w:pPr>
      <w:numPr>
        <w:numId w:val="9"/>
      </w:numPr>
      <w:tabs>
        <w:tab w:val="clear" w:pos="369"/>
        <w:tab w:val="left" w:pos="397"/>
      </w:tabs>
      <w:spacing w:after="180"/>
      <w:ind w:left="720" w:hanging="360"/>
    </w:pPr>
  </w:style>
  <w:style w:type="paragraph" w:customStyle="1" w:styleId="CM4">
    <w:name w:val="CM4"/>
    <w:basedOn w:val="Default"/>
    <w:next w:val="Default"/>
    <w:uiPriority w:val="99"/>
    <w:rsid w:val="00D74E25"/>
    <w:pPr>
      <w:spacing w:line="186" w:lineRule="atLeast"/>
    </w:pPr>
    <w:rPr>
      <w:rFonts w:ascii="Times New Roman" w:eastAsia="Cambria" w:hAnsi="Times New Roman" w:cs="Times New Roman"/>
      <w:color w:val="auto"/>
    </w:rPr>
  </w:style>
  <w:style w:type="paragraph" w:customStyle="1" w:styleId="CM5">
    <w:name w:val="CM5"/>
    <w:basedOn w:val="Default"/>
    <w:next w:val="Default"/>
    <w:uiPriority w:val="99"/>
    <w:rsid w:val="00D74E25"/>
    <w:pPr>
      <w:spacing w:line="186" w:lineRule="atLeast"/>
    </w:pPr>
    <w:rPr>
      <w:rFonts w:ascii="Times New Roman" w:eastAsia="Cambria" w:hAnsi="Times New Roman" w:cs="Times New Roman"/>
      <w:color w:val="auto"/>
    </w:rPr>
  </w:style>
  <w:style w:type="paragraph" w:customStyle="1" w:styleId="CM1">
    <w:name w:val="CM1"/>
    <w:basedOn w:val="Default"/>
    <w:next w:val="Default"/>
    <w:uiPriority w:val="99"/>
    <w:rsid w:val="00D74E25"/>
    <w:pPr>
      <w:spacing w:line="186" w:lineRule="atLeast"/>
    </w:pPr>
    <w:rPr>
      <w:rFonts w:ascii="Times New Roman" w:eastAsia="Cambria" w:hAnsi="Times New Roman" w:cs="Times New Roman"/>
      <w:color w:val="auto"/>
    </w:rPr>
  </w:style>
  <w:style w:type="paragraph" w:customStyle="1" w:styleId="BodytextAgency">
    <w:name w:val="Body text (Agency)"/>
    <w:basedOn w:val="Normal"/>
    <w:link w:val="BodytextAgencyChar"/>
    <w:qFormat/>
    <w:rsid w:val="00D74E25"/>
    <w:pPr>
      <w:spacing w:before="0" w:after="140" w:line="280" w:lineRule="atLeast"/>
    </w:pPr>
    <w:rPr>
      <w:rFonts w:ascii="Verdana" w:eastAsia="SimSun" w:hAnsi="Verdana" w:cs="Verdana"/>
      <w:sz w:val="18"/>
      <w:szCs w:val="18"/>
      <w:lang w:val="en-GB" w:eastAsia="en-GB"/>
    </w:rPr>
  </w:style>
  <w:style w:type="character" w:customStyle="1" w:styleId="BodytextAgencyChar">
    <w:name w:val="Body text (Agency) Char"/>
    <w:link w:val="BodytextAgency"/>
    <w:locked/>
    <w:rsid w:val="00D74E25"/>
    <w:rPr>
      <w:rFonts w:ascii="Verdana" w:eastAsia="SimSun" w:hAnsi="Verdana" w:cs="Verdana"/>
      <w:sz w:val="18"/>
      <w:szCs w:val="18"/>
      <w:lang w:val="en-GB" w:eastAsia="en-GB"/>
    </w:rPr>
  </w:style>
  <w:style w:type="paragraph" w:customStyle="1" w:styleId="PISubsection">
    <w:name w:val="PI Subsection"/>
    <w:basedOn w:val="Standard"/>
    <w:next w:val="Standard"/>
    <w:rsid w:val="00D74E25"/>
    <w:pPr>
      <w:spacing w:after="120"/>
    </w:pPr>
    <w:rPr>
      <w:b/>
      <w:i/>
      <w:kern w:val="2"/>
      <w:sz w:val="22"/>
    </w:rPr>
  </w:style>
  <w:style w:type="paragraph" w:customStyle="1" w:styleId="Source">
    <w:name w:val="Source"/>
    <w:basedOn w:val="Normal"/>
    <w:qFormat/>
    <w:rsid w:val="00D74E2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jc w:val="both"/>
    </w:pPr>
    <w:rPr>
      <w:rFonts w:eastAsia="Times New Roman"/>
      <w:kern w:val="16"/>
      <w:sz w:val="16"/>
      <w:szCs w:val="24"/>
      <w:lang w:val="en-US" w:eastAsia="en-AU"/>
    </w:rPr>
  </w:style>
  <w:style w:type="character" w:customStyle="1" w:styleId="nowrap1">
    <w:name w:val="nowrap1"/>
    <w:rsid w:val="00D74E25"/>
  </w:style>
  <w:style w:type="character" w:customStyle="1" w:styleId="A8">
    <w:name w:val="A8"/>
    <w:uiPriority w:val="99"/>
    <w:rsid w:val="00D74E25"/>
    <w:rPr>
      <w:rFonts w:cs="Garamond"/>
      <w:color w:val="221E1F"/>
      <w:sz w:val="22"/>
      <w:szCs w:val="22"/>
    </w:rPr>
  </w:style>
  <w:style w:type="paragraph" w:styleId="BodyText">
    <w:name w:val="Body Text"/>
    <w:basedOn w:val="Normal"/>
    <w:link w:val="BodyTextChar"/>
    <w:semiHidden/>
    <w:rsid w:val="00D74E2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b/>
      <w:bCs/>
      <w:lang w:val="en-US"/>
    </w:rPr>
  </w:style>
  <w:style w:type="character" w:customStyle="1" w:styleId="BodyTextChar">
    <w:name w:val="Body Text Char"/>
    <w:basedOn w:val="DefaultParagraphFont"/>
    <w:link w:val="BodyText"/>
    <w:semiHidden/>
    <w:rsid w:val="00D74E25"/>
    <w:rPr>
      <w:rFonts w:ascii="Cambria" w:eastAsia="Times New Roman" w:hAnsi="Cambria" w:cs="Times New Roman"/>
      <w:b/>
      <w:bCs/>
      <w:lang w:val="en-US"/>
    </w:rPr>
  </w:style>
  <w:style w:type="paragraph" w:customStyle="1" w:styleId="Heading0inTOC">
    <w:name w:val="Heading 0 (in TOC)"/>
    <w:basedOn w:val="Heading1"/>
    <w:next w:val="Normal"/>
    <w:rsid w:val="00D74E25"/>
    <w:pPr>
      <w:keepLines w:val="0"/>
      <w:spacing w:before="0" w:after="120" w:line="240" w:lineRule="auto"/>
    </w:pPr>
    <w:rPr>
      <w:rFonts w:ascii="Cambria" w:hAnsi="Cambria" w:cs="Times New Roman"/>
      <w:bCs w:val="0"/>
      <w:sz w:val="22"/>
      <w:szCs w:val="24"/>
      <w:lang w:eastAsia="en-AU"/>
    </w:rPr>
  </w:style>
  <w:style w:type="character" w:styleId="PageNumber">
    <w:name w:val="page number"/>
    <w:rsid w:val="00D74E25"/>
    <w:rPr>
      <w:sz w:val="20"/>
    </w:rPr>
  </w:style>
  <w:style w:type="paragraph" w:customStyle="1" w:styleId="TableBullet">
    <w:name w:val="Table Bullet"/>
    <w:basedOn w:val="Normal"/>
    <w:rsid w:val="00D74E25"/>
    <w:pPr>
      <w:numPr>
        <w:numId w:val="1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sz w:val="20"/>
      <w:szCs w:val="24"/>
      <w:lang w:eastAsia="en-AU"/>
    </w:rPr>
  </w:style>
  <w:style w:type="paragraph" w:styleId="TOC4">
    <w:name w:val="toc 4"/>
    <w:basedOn w:val="Normal"/>
    <w:next w:val="Normal"/>
    <w:uiPriority w:val="39"/>
    <w:rsid w:val="00D74E25"/>
    <w:pPr>
      <w:tabs>
        <w:tab w:val="left" w:pos="1247"/>
        <w:tab w:val="right" w:leader="dot" w:pos="9356"/>
      </w:tabs>
      <w:spacing w:before="0" w:after="0" w:line="240" w:lineRule="auto"/>
      <w:ind w:left="1247" w:hanging="907"/>
    </w:pPr>
    <w:rPr>
      <w:rFonts w:eastAsia="Times New Roman"/>
      <w:sz w:val="20"/>
      <w:szCs w:val="24"/>
      <w:lang w:eastAsia="en-AU"/>
    </w:rPr>
  </w:style>
  <w:style w:type="paragraph" w:styleId="TOC5">
    <w:name w:val="toc 5"/>
    <w:basedOn w:val="Normal"/>
    <w:next w:val="Normal"/>
    <w:uiPriority w:val="39"/>
    <w:rsid w:val="00D74E25"/>
    <w:pPr>
      <w:spacing w:before="0" w:after="0" w:line="240" w:lineRule="auto"/>
      <w:ind w:left="454"/>
    </w:pPr>
    <w:rPr>
      <w:rFonts w:eastAsia="Times New Roman"/>
      <w:sz w:val="20"/>
      <w:szCs w:val="24"/>
      <w:lang w:eastAsia="en-AU"/>
    </w:rPr>
  </w:style>
  <w:style w:type="paragraph" w:styleId="TOC6">
    <w:name w:val="toc 6"/>
    <w:basedOn w:val="Normal"/>
    <w:next w:val="Normal"/>
    <w:uiPriority w:val="39"/>
    <w:rsid w:val="00D74E25"/>
    <w:pPr>
      <w:spacing w:before="0" w:after="0" w:line="240" w:lineRule="auto"/>
      <w:ind w:left="567"/>
    </w:pPr>
    <w:rPr>
      <w:rFonts w:eastAsia="Times New Roman"/>
      <w:sz w:val="20"/>
      <w:szCs w:val="24"/>
      <w:lang w:eastAsia="en-AU"/>
    </w:rPr>
  </w:style>
  <w:style w:type="paragraph" w:styleId="TOC7">
    <w:name w:val="toc 7"/>
    <w:basedOn w:val="Normal"/>
    <w:next w:val="Normal"/>
    <w:uiPriority w:val="39"/>
    <w:rsid w:val="00D74E25"/>
    <w:pPr>
      <w:spacing w:before="0" w:after="0" w:line="240" w:lineRule="auto"/>
      <w:ind w:left="680"/>
    </w:pPr>
    <w:rPr>
      <w:rFonts w:eastAsia="Times New Roman"/>
      <w:sz w:val="20"/>
      <w:szCs w:val="24"/>
      <w:lang w:eastAsia="en-AU"/>
    </w:rPr>
  </w:style>
  <w:style w:type="paragraph" w:styleId="TOC8">
    <w:name w:val="toc 8"/>
    <w:basedOn w:val="Normal"/>
    <w:next w:val="Normal"/>
    <w:uiPriority w:val="39"/>
    <w:rsid w:val="00D74E25"/>
    <w:pPr>
      <w:spacing w:before="0" w:after="0" w:line="240" w:lineRule="auto"/>
      <w:ind w:left="907"/>
    </w:pPr>
    <w:rPr>
      <w:rFonts w:eastAsia="Times New Roman"/>
      <w:sz w:val="20"/>
      <w:szCs w:val="24"/>
      <w:lang w:eastAsia="en-AU"/>
    </w:rPr>
  </w:style>
  <w:style w:type="paragraph" w:styleId="TOC9">
    <w:name w:val="toc 9"/>
    <w:basedOn w:val="Normal"/>
    <w:next w:val="Normal"/>
    <w:uiPriority w:val="39"/>
    <w:rsid w:val="00D74E25"/>
    <w:pPr>
      <w:spacing w:before="0" w:after="0" w:line="240" w:lineRule="auto"/>
      <w:ind w:left="1134"/>
    </w:pPr>
    <w:rPr>
      <w:rFonts w:eastAsia="Times New Roman"/>
      <w:sz w:val="20"/>
      <w:szCs w:val="24"/>
      <w:lang w:eastAsia="en-AU"/>
    </w:rPr>
  </w:style>
  <w:style w:type="paragraph" w:styleId="EndnoteText">
    <w:name w:val="endnote text"/>
    <w:basedOn w:val="Normal"/>
    <w:link w:val="EndnoteTextChar"/>
    <w:semiHidden/>
    <w:rsid w:val="00D74E2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sz w:val="20"/>
      <w:szCs w:val="20"/>
      <w:lang w:eastAsia="en-AU"/>
    </w:rPr>
  </w:style>
  <w:style w:type="character" w:customStyle="1" w:styleId="EndnoteTextChar">
    <w:name w:val="Endnote Text Char"/>
    <w:basedOn w:val="DefaultParagraphFont"/>
    <w:link w:val="EndnoteText"/>
    <w:semiHidden/>
    <w:rsid w:val="00D74E25"/>
    <w:rPr>
      <w:rFonts w:ascii="Cambria" w:eastAsia="Times New Roman" w:hAnsi="Cambria" w:cs="Times New Roman"/>
      <w:sz w:val="20"/>
      <w:szCs w:val="20"/>
      <w:lang w:eastAsia="en-AU"/>
    </w:rPr>
  </w:style>
  <w:style w:type="character" w:styleId="EndnoteReference">
    <w:name w:val="endnote reference"/>
    <w:semiHidden/>
    <w:rsid w:val="00D74E25"/>
    <w:rPr>
      <w:dstrike w:val="0"/>
      <w:vertAlign w:val="baseline"/>
    </w:rPr>
  </w:style>
  <w:style w:type="paragraph" w:customStyle="1" w:styleId="Abbreviations">
    <w:name w:val="Abbreviations"/>
    <w:basedOn w:val="Normal"/>
    <w:rsid w:val="00D74E25"/>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szCs w:val="24"/>
      <w:lang w:eastAsia="en-AU"/>
    </w:rPr>
  </w:style>
  <w:style w:type="paragraph" w:styleId="TableofFigures">
    <w:name w:val="table of figures"/>
    <w:basedOn w:val="Normal"/>
    <w:next w:val="Normal"/>
    <w:uiPriority w:val="99"/>
    <w:rsid w:val="00D74E25"/>
    <w:pPr>
      <w:spacing w:before="0" w:after="0" w:line="240" w:lineRule="auto"/>
      <w:ind w:left="1134" w:hanging="1134"/>
    </w:pPr>
    <w:rPr>
      <w:rFonts w:eastAsia="Times New Roman" w:cs="Calibri"/>
      <w:szCs w:val="20"/>
      <w:lang w:eastAsia="en-AU"/>
    </w:rPr>
  </w:style>
  <w:style w:type="paragraph" w:customStyle="1" w:styleId="CommentDot">
    <w:name w:val="Comment Dot"/>
    <w:basedOn w:val="Comment2"/>
    <w:qFormat/>
    <w:rsid w:val="00D74E25"/>
    <w:pPr>
      <w:numPr>
        <w:numId w:val="11"/>
      </w:numPr>
      <w:tabs>
        <w:tab w:val="clear" w:pos="1134"/>
      </w:tabs>
      <w:spacing w:before="120"/>
      <w:ind w:left="1418" w:hanging="284"/>
    </w:pPr>
    <w:rPr>
      <w:kern w:val="0"/>
    </w:rPr>
  </w:style>
  <w:style w:type="paragraph" w:customStyle="1" w:styleId="Instructions1">
    <w:name w:val="Instructions 1"/>
    <w:basedOn w:val="Normal"/>
    <w:qFormat/>
    <w:rsid w:val="00D74E25"/>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lang w:eastAsia="en-AU"/>
    </w:rPr>
  </w:style>
  <w:style w:type="paragraph" w:customStyle="1" w:styleId="Instructions2">
    <w:name w:val="Instructions 2"/>
    <w:basedOn w:val="Normal"/>
    <w:qFormat/>
    <w:rsid w:val="00D74E25"/>
    <w:pPr>
      <w:numPr>
        <w:numId w:val="12"/>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lang w:eastAsia="en-AU"/>
    </w:rPr>
  </w:style>
  <w:style w:type="character" w:styleId="CommentReference">
    <w:name w:val="annotation reference"/>
    <w:rsid w:val="00D74E25"/>
    <w:rPr>
      <w:sz w:val="16"/>
      <w:szCs w:val="16"/>
    </w:rPr>
  </w:style>
  <w:style w:type="paragraph" w:styleId="CommentText">
    <w:name w:val="annotation text"/>
    <w:basedOn w:val="Normal"/>
    <w:link w:val="CommentTextChar"/>
    <w:rsid w:val="00D74E2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sz w:val="20"/>
      <w:szCs w:val="20"/>
      <w:lang w:eastAsia="en-AU"/>
    </w:rPr>
  </w:style>
  <w:style w:type="character" w:customStyle="1" w:styleId="CommentTextChar">
    <w:name w:val="Comment Text Char"/>
    <w:basedOn w:val="DefaultParagraphFont"/>
    <w:link w:val="CommentText"/>
    <w:rsid w:val="00D74E2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D74E25"/>
    <w:rPr>
      <w:b/>
      <w:bCs/>
    </w:rPr>
  </w:style>
  <w:style w:type="character" w:customStyle="1" w:styleId="CommentSubjectChar">
    <w:name w:val="Comment Subject Char"/>
    <w:basedOn w:val="CommentTextChar"/>
    <w:link w:val="CommentSubject"/>
    <w:rsid w:val="00D74E25"/>
    <w:rPr>
      <w:rFonts w:ascii="Times New Roman" w:eastAsia="Times New Roman" w:hAnsi="Times New Roman" w:cs="Times New Roman"/>
      <w:b/>
      <w:bCs/>
      <w:sz w:val="20"/>
      <w:szCs w:val="20"/>
      <w:lang w:eastAsia="en-AU"/>
    </w:rPr>
  </w:style>
  <w:style w:type="paragraph" w:customStyle="1" w:styleId="Contentslist1">
    <w:name w:val="Contents list 1"/>
    <w:basedOn w:val="Normal"/>
    <w:qFormat/>
    <w:rsid w:val="00D74E25"/>
    <w:pPr>
      <w:tabs>
        <w:tab w:val="right" w:leader="dot" w:pos="9356"/>
      </w:tabs>
      <w:spacing w:line="240" w:lineRule="auto"/>
    </w:pPr>
    <w:rPr>
      <w:rFonts w:eastAsia="Times New Roman"/>
      <w:b/>
      <w:sz w:val="20"/>
      <w:szCs w:val="24"/>
      <w:lang w:eastAsia="en-AU"/>
    </w:rPr>
  </w:style>
  <w:style w:type="paragraph" w:customStyle="1" w:styleId="Contentslist2">
    <w:name w:val="Contents list 2"/>
    <w:basedOn w:val="Contentslist1"/>
    <w:qFormat/>
    <w:rsid w:val="00D74E25"/>
    <w:pPr>
      <w:spacing w:before="0" w:after="0"/>
    </w:pPr>
    <w:rPr>
      <w:b w:val="0"/>
    </w:rPr>
  </w:style>
  <w:style w:type="character" w:customStyle="1" w:styleId="Char">
    <w:name w:val="Char"/>
    <w:rsid w:val="00D74E25"/>
    <w:rPr>
      <w:rFonts w:ascii="Cambria" w:eastAsia="MS Mincho" w:hAnsi="Cambria"/>
      <w:kern w:val="16"/>
      <w:sz w:val="22"/>
      <w:szCs w:val="24"/>
      <w:lang w:val="en-AU" w:eastAsia="en-AU" w:bidi="ar-SA"/>
    </w:rPr>
  </w:style>
  <w:style w:type="character" w:customStyle="1" w:styleId="Bullet1CharCharCharCharCharCharCharCharCharChar">
    <w:name w:val="Bullet 1 Char Char Char Char Char Char Char Char Char Char"/>
    <w:link w:val="Bullet1CharCharCharCharCharCharCharCharChar"/>
    <w:rsid w:val="00D74E25"/>
    <w:rPr>
      <w:kern w:val="24"/>
      <w:szCs w:val="24"/>
      <w:lang w:eastAsia="en-AU"/>
    </w:rPr>
  </w:style>
  <w:style w:type="paragraph" w:customStyle="1" w:styleId="Bullet1CharCharCharCharCharCharCharCharChar">
    <w:name w:val="Bullet 1 Char Char Char Char Char Char Char Char Char"/>
    <w:basedOn w:val="Normal"/>
    <w:link w:val="Bullet1CharCharCharCharCharCharCharCharCharChar"/>
    <w:rsid w:val="00D74E25"/>
    <w:pPr>
      <w:tabs>
        <w:tab w:val="num" w:pos="284"/>
      </w:tabs>
      <w:spacing w:after="0" w:line="240" w:lineRule="auto"/>
      <w:ind w:left="284" w:hanging="284"/>
    </w:pPr>
    <w:rPr>
      <w:rFonts w:asciiTheme="minorHAnsi" w:eastAsiaTheme="minorHAnsi" w:hAnsiTheme="minorHAnsi" w:cstheme="minorBidi"/>
      <w:kern w:val="24"/>
      <w:szCs w:val="24"/>
      <w:lang w:eastAsia="en-AU"/>
    </w:rPr>
  </w:style>
  <w:style w:type="paragraph" w:customStyle="1" w:styleId="t1">
    <w:name w:val="t1"/>
    <w:basedOn w:val="Normal"/>
    <w:rsid w:val="00D74E25"/>
    <w:pPr>
      <w:spacing w:before="0" w:after="0" w:line="280" w:lineRule="atLeast"/>
    </w:pPr>
    <w:rPr>
      <w:rFonts w:ascii="Times New Roman" w:eastAsia="Times New Roman" w:hAnsi="Times New Roman"/>
      <w:sz w:val="24"/>
      <w:szCs w:val="20"/>
      <w:lang w:val="en-US"/>
    </w:rPr>
  </w:style>
  <w:style w:type="paragraph" w:customStyle="1" w:styleId="p7">
    <w:name w:val="p7"/>
    <w:basedOn w:val="Normal"/>
    <w:rsid w:val="00D74E25"/>
    <w:pPr>
      <w:tabs>
        <w:tab w:val="left" w:pos="380"/>
      </w:tabs>
      <w:spacing w:before="0" w:after="0" w:line="280" w:lineRule="atLeast"/>
      <w:ind w:left="1008" w:hanging="432"/>
    </w:pPr>
    <w:rPr>
      <w:rFonts w:ascii="Times New Roman" w:eastAsia="Times New Roman" w:hAnsi="Times New Roman"/>
      <w:sz w:val="24"/>
      <w:szCs w:val="20"/>
      <w:lang w:val="en-US"/>
    </w:rPr>
  </w:style>
  <w:style w:type="paragraph" w:customStyle="1" w:styleId="TableParagraph">
    <w:name w:val="Table Paragraph"/>
    <w:basedOn w:val="Normal"/>
    <w:uiPriority w:val="1"/>
    <w:qFormat/>
    <w:rsid w:val="00D74E25"/>
    <w:pPr>
      <w:autoSpaceDE w:val="0"/>
      <w:autoSpaceDN w:val="0"/>
      <w:adjustRightInd w:val="0"/>
      <w:spacing w:before="0" w:after="0" w:line="240" w:lineRule="auto"/>
    </w:pPr>
    <w:rPr>
      <w:rFonts w:ascii="Times New Roman" w:hAnsi="Times New Roman"/>
      <w:sz w:val="24"/>
      <w:szCs w:val="24"/>
    </w:rPr>
  </w:style>
  <w:style w:type="paragraph" w:customStyle="1" w:styleId="SectionHeading">
    <w:name w:val="Section Heading"/>
    <w:basedOn w:val="Standard"/>
    <w:next w:val="Standard"/>
    <w:link w:val="SectionHeadingCharChar"/>
    <w:rsid w:val="00D74E25"/>
    <w:pPr>
      <w:keepNext/>
      <w:outlineLvl w:val="0"/>
    </w:pPr>
    <w:rPr>
      <w:b/>
      <w:caps/>
      <w:sz w:val="22"/>
    </w:rPr>
  </w:style>
  <w:style w:type="character" w:customStyle="1" w:styleId="SectionHeadingCharChar">
    <w:name w:val="Section Heading Char Char"/>
    <w:basedOn w:val="DefaultParagraphFont"/>
    <w:link w:val="SectionHeading"/>
    <w:rsid w:val="00D74E25"/>
    <w:rPr>
      <w:rFonts w:ascii="Cambria" w:eastAsia="Times New Roman" w:hAnsi="Cambria" w:cs="Times New Roman"/>
      <w:b/>
      <w:caps/>
      <w:snapToGrid w:val="0"/>
      <w:kern w:val="16"/>
      <w:szCs w:val="24"/>
    </w:rPr>
  </w:style>
  <w:style w:type="character" w:styleId="Emphasis">
    <w:name w:val="Emphasis"/>
    <w:basedOn w:val="DefaultParagraphFont"/>
    <w:uiPriority w:val="20"/>
    <w:qFormat/>
    <w:rsid w:val="00D74E25"/>
    <w:rPr>
      <w:i/>
      <w:iCs/>
    </w:rPr>
  </w:style>
  <w:style w:type="paragraph" w:customStyle="1" w:styleId="TextTi12">
    <w:name w:val="Text:Ti12"/>
    <w:basedOn w:val="Normal"/>
    <w:link w:val="TextTi12Char1"/>
    <w:rsid w:val="00D74E25"/>
    <w:pPr>
      <w:spacing w:before="0" w:after="170" w:line="280" w:lineRule="atLeast"/>
      <w:jc w:val="both"/>
    </w:pPr>
    <w:rPr>
      <w:rFonts w:ascii="Times New Roman" w:eastAsia="Times New Roman" w:hAnsi="Times New Roman"/>
      <w:sz w:val="24"/>
      <w:szCs w:val="20"/>
      <w:lang w:val="en-US" w:eastAsia="ja-JP"/>
    </w:rPr>
  </w:style>
  <w:style w:type="character" w:customStyle="1" w:styleId="TextTi12Char1">
    <w:name w:val="Text:Ti12 Char1"/>
    <w:link w:val="TextTi12"/>
    <w:rsid w:val="00D74E25"/>
    <w:rPr>
      <w:rFonts w:ascii="Times New Roman" w:eastAsia="Times New Roman" w:hAnsi="Times New Roman" w:cs="Times New Roman"/>
      <w:sz w:val="24"/>
      <w:szCs w:val="20"/>
      <w:lang w:val="en-US" w:eastAsia="ja-JP"/>
    </w:rPr>
  </w:style>
  <w:style w:type="paragraph" w:customStyle="1" w:styleId="Paragraph">
    <w:name w:val="Paragraph"/>
    <w:basedOn w:val="Normal"/>
    <w:link w:val="ParagraphChar"/>
    <w:rsid w:val="00457B63"/>
    <w:pPr>
      <w:spacing w:before="0" w:after="250" w:line="300" w:lineRule="atLeast"/>
    </w:pPr>
    <w:rPr>
      <w:rFonts w:ascii="Arial" w:eastAsia="SimSun" w:hAnsi="Arial"/>
      <w:szCs w:val="24"/>
      <w:lang w:val="en-US" w:eastAsia="zh-CN"/>
    </w:rPr>
  </w:style>
  <w:style w:type="character" w:customStyle="1" w:styleId="ParagraphChar">
    <w:name w:val="Paragraph Char"/>
    <w:link w:val="Paragraph"/>
    <w:rsid w:val="00457B63"/>
    <w:rPr>
      <w:rFonts w:ascii="Arial" w:eastAsia="SimSun" w:hAnsi="Arial" w:cs="Times New Roman"/>
      <w:szCs w:val="24"/>
      <w:lang w:val="en-US" w:eastAsia="zh-CN"/>
    </w:rPr>
  </w:style>
  <w:style w:type="paragraph" w:customStyle="1" w:styleId="ParagraphList">
    <w:name w:val="Paragraph List"/>
    <w:basedOn w:val="Paragraph"/>
    <w:next w:val="Paragraph"/>
    <w:rsid w:val="00457B63"/>
    <w:pPr>
      <w:keepNext/>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semiHidden="0" w:unhideWhenUsed="0"/>
    <w:lsdException w:name="FollowedHyperlink" w:uiPriority="0"/>
    <w:lsdException w:name="Strong" w:semiHidden="0" w:uiPriority="22" w:unhideWhenUsed="0"/>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8"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uiPriority w:val="1"/>
    <w:qFormat/>
    <w:rsid w:val="003B2EED"/>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nhideWhenUsed/>
    <w:qFormat/>
    <w:rsid w:val="00D74E2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D74E25"/>
    <w:pPr>
      <w:keepNext/>
      <w:spacing w:before="0" w:line="240" w:lineRule="auto"/>
      <w:outlineLvl w:val="8"/>
    </w:pPr>
    <w:rPr>
      <w:rFonts w:ascii="Arial" w:eastAsia="Times New Roman" w:hAnsi="Arial" w:cs="Arial"/>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2">
    <w:name w:val="Comment 2"/>
    <w:basedOn w:val="Normal"/>
    <w:qFormat/>
    <w:rsid w:val="002900A2"/>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2900A2"/>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Bullet1">
    <w:name w:val="Bullet 1"/>
    <w:basedOn w:val="Normal"/>
    <w:rsid w:val="002900A2"/>
    <w:pPr>
      <w:numPr>
        <w:numId w:val="5"/>
      </w:numPr>
      <w:tabs>
        <w:tab w:val="clear" w:pos="284"/>
      </w:tabs>
      <w:spacing w:after="0" w:line="240" w:lineRule="auto"/>
    </w:pPr>
    <w:rPr>
      <w:rFonts w:eastAsia="Times New Roman"/>
      <w:kern w:val="24"/>
      <w:szCs w:val="24"/>
      <w:lang w:eastAsia="en-AU"/>
    </w:rPr>
  </w:style>
  <w:style w:type="paragraph" w:customStyle="1" w:styleId="Bullet2">
    <w:name w:val="Bullet 2"/>
    <w:basedOn w:val="Bullet1"/>
    <w:rsid w:val="002900A2"/>
    <w:pPr>
      <w:numPr>
        <w:numId w:val="6"/>
      </w:numPr>
    </w:pPr>
  </w:style>
  <w:style w:type="paragraph" w:styleId="Quote">
    <w:name w:val="Quote"/>
    <w:basedOn w:val="Normal"/>
    <w:next w:val="Normal"/>
    <w:link w:val="QuoteChar"/>
    <w:uiPriority w:val="29"/>
    <w:qFormat/>
    <w:rsid w:val="002900A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200" w:after="160" w:line="240" w:lineRule="auto"/>
      <w:ind w:left="864" w:right="864"/>
      <w:jc w:val="center"/>
    </w:pPr>
    <w:rPr>
      <w:rFonts w:eastAsia="Times New Roman"/>
      <w:i/>
      <w:iCs/>
      <w:color w:val="404040" w:themeColor="text1" w:themeTint="BF"/>
      <w:kern w:val="16"/>
      <w:szCs w:val="24"/>
      <w:lang w:eastAsia="en-AU"/>
    </w:rPr>
  </w:style>
  <w:style w:type="character" w:customStyle="1" w:styleId="QuoteChar">
    <w:name w:val="Quote Char"/>
    <w:basedOn w:val="DefaultParagraphFont"/>
    <w:link w:val="Quote"/>
    <w:uiPriority w:val="29"/>
    <w:rsid w:val="002900A2"/>
    <w:rPr>
      <w:rFonts w:ascii="Cambria" w:eastAsia="Times New Roman" w:hAnsi="Cambria" w:cs="Times New Roman"/>
      <w:i/>
      <w:iCs/>
      <w:color w:val="404040" w:themeColor="text1" w:themeTint="BF"/>
      <w:kern w:val="16"/>
      <w:szCs w:val="24"/>
      <w:lang w:eastAsia="en-AU"/>
    </w:rPr>
  </w:style>
  <w:style w:type="paragraph" w:styleId="ListParagraph">
    <w:name w:val="List Paragraph"/>
    <w:basedOn w:val="Normal"/>
    <w:uiPriority w:val="34"/>
    <w:qFormat/>
    <w:rsid w:val="002900A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Default">
    <w:name w:val="Default"/>
    <w:rsid w:val="002900A2"/>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st1">
    <w:name w:val="st1"/>
    <w:basedOn w:val="DefaultParagraphFont"/>
    <w:rsid w:val="00D74E25"/>
  </w:style>
  <w:style w:type="character" w:customStyle="1" w:styleId="Heading8Char">
    <w:name w:val="Heading 8 Char"/>
    <w:basedOn w:val="DefaultParagraphFont"/>
    <w:link w:val="Heading8"/>
    <w:rsid w:val="00D74E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D74E25"/>
    <w:rPr>
      <w:rFonts w:ascii="Arial" w:eastAsia="Times New Roman" w:hAnsi="Arial" w:cs="Arial"/>
      <w:u w:val="single"/>
      <w:lang w:eastAsia="en-AU"/>
    </w:rPr>
  </w:style>
  <w:style w:type="paragraph" w:customStyle="1" w:styleId="FigureCaption">
    <w:name w:val="Figure Caption"/>
    <w:basedOn w:val="Normal"/>
    <w:qFormat/>
    <w:rsid w:val="00D74E25"/>
    <w:pPr>
      <w:spacing w:before="180" w:after="0"/>
    </w:pPr>
  </w:style>
  <w:style w:type="table" w:styleId="MediumGrid3-Accent2">
    <w:name w:val="Medium Grid 3 Accent 2"/>
    <w:basedOn w:val="TableNormal"/>
    <w:uiPriority w:val="60"/>
    <w:rsid w:val="00D74E25"/>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6">
    <w:name w:val="Medium Shading 1 Accent 6"/>
    <w:basedOn w:val="TableNormal"/>
    <w:uiPriority w:val="68"/>
    <w:rsid w:val="00D74E25"/>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TableCaption">
    <w:name w:val="Table Caption"/>
    <w:basedOn w:val="FigureCaption"/>
    <w:qFormat/>
    <w:rsid w:val="00D74E25"/>
    <w:pPr>
      <w:spacing w:after="240"/>
    </w:pPr>
    <w:rPr>
      <w:sz w:val="17"/>
    </w:rPr>
  </w:style>
  <w:style w:type="paragraph" w:customStyle="1" w:styleId="Subject">
    <w:name w:val="Subject"/>
    <w:basedOn w:val="Normal"/>
    <w:qFormat/>
    <w:rsid w:val="00D74E25"/>
    <w:pPr>
      <w:spacing w:before="180" w:after="180"/>
    </w:pPr>
    <w:rPr>
      <w:b/>
    </w:rPr>
  </w:style>
  <w:style w:type="paragraph" w:customStyle="1" w:styleId="Footnote">
    <w:name w:val="Footnote"/>
    <w:qFormat/>
    <w:rsid w:val="00D74E25"/>
    <w:pPr>
      <w:spacing w:after="0" w:line="240" w:lineRule="auto"/>
    </w:pPr>
    <w:rPr>
      <w:rFonts w:ascii="Cambria" w:eastAsia="Cambria" w:hAnsi="Cambria" w:cs="Times New Roman"/>
      <w:sz w:val="20"/>
      <w:szCs w:val="20"/>
    </w:rPr>
  </w:style>
  <w:style w:type="paragraph" w:customStyle="1" w:styleId="headinganchor1">
    <w:name w:val="headinganchor1"/>
    <w:basedOn w:val="Normal"/>
    <w:rsid w:val="00D74E25"/>
    <w:pPr>
      <w:spacing w:before="0" w:after="150" w:line="336" w:lineRule="auto"/>
    </w:pPr>
    <w:rPr>
      <w:rFonts w:ascii="Times New Roman" w:eastAsia="Times New Roman" w:hAnsi="Times New Roman"/>
      <w:sz w:val="24"/>
      <w:szCs w:val="24"/>
      <w:lang w:eastAsia="en-AU"/>
    </w:rPr>
  </w:style>
  <w:style w:type="paragraph" w:customStyle="1" w:styleId="ColorfulList-Accent11">
    <w:name w:val="Colorful List - Accent 11"/>
    <w:basedOn w:val="Normal"/>
    <w:uiPriority w:val="34"/>
    <w:qFormat/>
    <w:locked/>
    <w:rsid w:val="00D74E25"/>
    <w:pPr>
      <w:adjustRightInd w:val="0"/>
      <w:snapToGrid w:val="0"/>
      <w:spacing w:before="180" w:after="180"/>
      <w:ind w:left="720"/>
      <w:contextualSpacing/>
    </w:pPr>
    <w:rPr>
      <w:rFonts w:eastAsia="MS Mincho"/>
      <w:szCs w:val="20"/>
      <w:lang w:eastAsia="ja-JP"/>
    </w:rPr>
  </w:style>
  <w:style w:type="paragraph" w:customStyle="1" w:styleId="Standard">
    <w:name w:val="Standard"/>
    <w:basedOn w:val="Normal"/>
    <w:link w:val="StandardChar"/>
    <w:qFormat/>
    <w:rsid w:val="00D74E25"/>
    <w:pPr>
      <w:spacing w:before="0" w:after="220" w:line="252" w:lineRule="auto"/>
    </w:pPr>
    <w:rPr>
      <w:rFonts w:eastAsia="Times New Roman"/>
      <w:snapToGrid w:val="0"/>
      <w:kern w:val="16"/>
      <w:sz w:val="23"/>
      <w:szCs w:val="24"/>
    </w:rPr>
  </w:style>
  <w:style w:type="character" w:customStyle="1" w:styleId="StandardChar">
    <w:name w:val="Standard Char"/>
    <w:link w:val="Standard"/>
    <w:rsid w:val="00D74E25"/>
    <w:rPr>
      <w:rFonts w:ascii="Cambria" w:eastAsia="Times New Roman" w:hAnsi="Cambria" w:cs="Times New Roman"/>
      <w:snapToGrid w:val="0"/>
      <w:kern w:val="16"/>
      <w:sz w:val="23"/>
      <w:szCs w:val="24"/>
    </w:rPr>
  </w:style>
  <w:style w:type="paragraph" w:customStyle="1" w:styleId="Bulletpoint">
    <w:name w:val="Bullet point"/>
    <w:basedOn w:val="Standard"/>
    <w:rsid w:val="00D74E25"/>
    <w:pPr>
      <w:numPr>
        <w:numId w:val="9"/>
      </w:numPr>
      <w:tabs>
        <w:tab w:val="clear" w:pos="369"/>
        <w:tab w:val="left" w:pos="397"/>
      </w:tabs>
      <w:spacing w:after="180"/>
      <w:ind w:left="720" w:hanging="360"/>
    </w:pPr>
  </w:style>
  <w:style w:type="paragraph" w:customStyle="1" w:styleId="CM4">
    <w:name w:val="CM4"/>
    <w:basedOn w:val="Default"/>
    <w:next w:val="Default"/>
    <w:uiPriority w:val="99"/>
    <w:rsid w:val="00D74E25"/>
    <w:pPr>
      <w:spacing w:line="186" w:lineRule="atLeast"/>
    </w:pPr>
    <w:rPr>
      <w:rFonts w:ascii="Times New Roman" w:eastAsia="Cambria" w:hAnsi="Times New Roman" w:cs="Times New Roman"/>
      <w:color w:val="auto"/>
    </w:rPr>
  </w:style>
  <w:style w:type="paragraph" w:customStyle="1" w:styleId="CM5">
    <w:name w:val="CM5"/>
    <w:basedOn w:val="Default"/>
    <w:next w:val="Default"/>
    <w:uiPriority w:val="99"/>
    <w:rsid w:val="00D74E25"/>
    <w:pPr>
      <w:spacing w:line="186" w:lineRule="atLeast"/>
    </w:pPr>
    <w:rPr>
      <w:rFonts w:ascii="Times New Roman" w:eastAsia="Cambria" w:hAnsi="Times New Roman" w:cs="Times New Roman"/>
      <w:color w:val="auto"/>
    </w:rPr>
  </w:style>
  <w:style w:type="paragraph" w:customStyle="1" w:styleId="CM1">
    <w:name w:val="CM1"/>
    <w:basedOn w:val="Default"/>
    <w:next w:val="Default"/>
    <w:uiPriority w:val="99"/>
    <w:rsid w:val="00D74E25"/>
    <w:pPr>
      <w:spacing w:line="186" w:lineRule="atLeast"/>
    </w:pPr>
    <w:rPr>
      <w:rFonts w:ascii="Times New Roman" w:eastAsia="Cambria" w:hAnsi="Times New Roman" w:cs="Times New Roman"/>
      <w:color w:val="auto"/>
    </w:rPr>
  </w:style>
  <w:style w:type="paragraph" w:customStyle="1" w:styleId="BodytextAgency">
    <w:name w:val="Body text (Agency)"/>
    <w:basedOn w:val="Normal"/>
    <w:link w:val="BodytextAgencyChar"/>
    <w:qFormat/>
    <w:rsid w:val="00D74E25"/>
    <w:pPr>
      <w:spacing w:before="0" w:after="140" w:line="280" w:lineRule="atLeast"/>
    </w:pPr>
    <w:rPr>
      <w:rFonts w:ascii="Verdana" w:eastAsia="SimSun" w:hAnsi="Verdana" w:cs="Verdana"/>
      <w:sz w:val="18"/>
      <w:szCs w:val="18"/>
      <w:lang w:val="en-GB" w:eastAsia="en-GB"/>
    </w:rPr>
  </w:style>
  <w:style w:type="character" w:customStyle="1" w:styleId="BodytextAgencyChar">
    <w:name w:val="Body text (Agency) Char"/>
    <w:link w:val="BodytextAgency"/>
    <w:locked/>
    <w:rsid w:val="00D74E25"/>
    <w:rPr>
      <w:rFonts w:ascii="Verdana" w:eastAsia="SimSun" w:hAnsi="Verdana" w:cs="Verdana"/>
      <w:sz w:val="18"/>
      <w:szCs w:val="18"/>
      <w:lang w:val="en-GB" w:eastAsia="en-GB"/>
    </w:rPr>
  </w:style>
  <w:style w:type="paragraph" w:customStyle="1" w:styleId="PISubsection">
    <w:name w:val="PI Subsection"/>
    <w:basedOn w:val="Standard"/>
    <w:next w:val="Standard"/>
    <w:rsid w:val="00D74E25"/>
    <w:pPr>
      <w:spacing w:after="120"/>
    </w:pPr>
    <w:rPr>
      <w:b/>
      <w:i/>
      <w:kern w:val="2"/>
      <w:sz w:val="22"/>
    </w:rPr>
  </w:style>
  <w:style w:type="paragraph" w:customStyle="1" w:styleId="Source">
    <w:name w:val="Source"/>
    <w:basedOn w:val="Normal"/>
    <w:qFormat/>
    <w:rsid w:val="00D74E2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jc w:val="both"/>
    </w:pPr>
    <w:rPr>
      <w:rFonts w:eastAsia="Times New Roman"/>
      <w:kern w:val="16"/>
      <w:sz w:val="16"/>
      <w:szCs w:val="24"/>
      <w:lang w:val="en-US" w:eastAsia="en-AU"/>
    </w:rPr>
  </w:style>
  <w:style w:type="character" w:customStyle="1" w:styleId="nowrap1">
    <w:name w:val="nowrap1"/>
    <w:rsid w:val="00D74E25"/>
  </w:style>
  <w:style w:type="character" w:customStyle="1" w:styleId="A8">
    <w:name w:val="A8"/>
    <w:uiPriority w:val="99"/>
    <w:rsid w:val="00D74E25"/>
    <w:rPr>
      <w:rFonts w:cs="Garamond"/>
      <w:color w:val="221E1F"/>
      <w:sz w:val="22"/>
      <w:szCs w:val="22"/>
    </w:rPr>
  </w:style>
  <w:style w:type="paragraph" w:styleId="BodyText">
    <w:name w:val="Body Text"/>
    <w:basedOn w:val="Normal"/>
    <w:link w:val="BodyTextChar"/>
    <w:semiHidden/>
    <w:rsid w:val="00D74E2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b/>
      <w:bCs/>
      <w:lang w:val="en-US"/>
    </w:rPr>
  </w:style>
  <w:style w:type="character" w:customStyle="1" w:styleId="BodyTextChar">
    <w:name w:val="Body Text Char"/>
    <w:basedOn w:val="DefaultParagraphFont"/>
    <w:link w:val="BodyText"/>
    <w:semiHidden/>
    <w:rsid w:val="00D74E25"/>
    <w:rPr>
      <w:rFonts w:ascii="Cambria" w:eastAsia="Times New Roman" w:hAnsi="Cambria" w:cs="Times New Roman"/>
      <w:b/>
      <w:bCs/>
      <w:lang w:val="en-US"/>
    </w:rPr>
  </w:style>
  <w:style w:type="paragraph" w:customStyle="1" w:styleId="Heading0inTOC">
    <w:name w:val="Heading 0 (in TOC)"/>
    <w:basedOn w:val="Heading1"/>
    <w:next w:val="Normal"/>
    <w:rsid w:val="00D74E25"/>
    <w:pPr>
      <w:keepLines w:val="0"/>
      <w:spacing w:before="0" w:after="120" w:line="240" w:lineRule="auto"/>
    </w:pPr>
    <w:rPr>
      <w:rFonts w:ascii="Cambria" w:hAnsi="Cambria" w:cs="Times New Roman"/>
      <w:bCs w:val="0"/>
      <w:sz w:val="22"/>
      <w:szCs w:val="24"/>
      <w:lang w:eastAsia="en-AU"/>
    </w:rPr>
  </w:style>
  <w:style w:type="character" w:styleId="PageNumber">
    <w:name w:val="page number"/>
    <w:rsid w:val="00D74E25"/>
    <w:rPr>
      <w:sz w:val="20"/>
    </w:rPr>
  </w:style>
  <w:style w:type="paragraph" w:customStyle="1" w:styleId="TableBullet">
    <w:name w:val="Table Bullet"/>
    <w:basedOn w:val="Normal"/>
    <w:rsid w:val="00D74E25"/>
    <w:pPr>
      <w:numPr>
        <w:numId w:val="1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sz w:val="20"/>
      <w:szCs w:val="24"/>
      <w:lang w:eastAsia="en-AU"/>
    </w:rPr>
  </w:style>
  <w:style w:type="paragraph" w:styleId="TOC4">
    <w:name w:val="toc 4"/>
    <w:basedOn w:val="Normal"/>
    <w:next w:val="Normal"/>
    <w:uiPriority w:val="39"/>
    <w:rsid w:val="00D74E25"/>
    <w:pPr>
      <w:tabs>
        <w:tab w:val="left" w:pos="1247"/>
        <w:tab w:val="right" w:leader="dot" w:pos="9356"/>
      </w:tabs>
      <w:spacing w:before="0" w:after="0" w:line="240" w:lineRule="auto"/>
      <w:ind w:left="1247" w:hanging="907"/>
    </w:pPr>
    <w:rPr>
      <w:rFonts w:eastAsia="Times New Roman"/>
      <w:sz w:val="20"/>
      <w:szCs w:val="24"/>
      <w:lang w:eastAsia="en-AU"/>
    </w:rPr>
  </w:style>
  <w:style w:type="paragraph" w:styleId="TOC5">
    <w:name w:val="toc 5"/>
    <w:basedOn w:val="Normal"/>
    <w:next w:val="Normal"/>
    <w:uiPriority w:val="39"/>
    <w:rsid w:val="00D74E25"/>
    <w:pPr>
      <w:spacing w:before="0" w:after="0" w:line="240" w:lineRule="auto"/>
      <w:ind w:left="454"/>
    </w:pPr>
    <w:rPr>
      <w:rFonts w:eastAsia="Times New Roman"/>
      <w:sz w:val="20"/>
      <w:szCs w:val="24"/>
      <w:lang w:eastAsia="en-AU"/>
    </w:rPr>
  </w:style>
  <w:style w:type="paragraph" w:styleId="TOC6">
    <w:name w:val="toc 6"/>
    <w:basedOn w:val="Normal"/>
    <w:next w:val="Normal"/>
    <w:uiPriority w:val="39"/>
    <w:rsid w:val="00D74E25"/>
    <w:pPr>
      <w:spacing w:before="0" w:after="0" w:line="240" w:lineRule="auto"/>
      <w:ind w:left="567"/>
    </w:pPr>
    <w:rPr>
      <w:rFonts w:eastAsia="Times New Roman"/>
      <w:sz w:val="20"/>
      <w:szCs w:val="24"/>
      <w:lang w:eastAsia="en-AU"/>
    </w:rPr>
  </w:style>
  <w:style w:type="paragraph" w:styleId="TOC7">
    <w:name w:val="toc 7"/>
    <w:basedOn w:val="Normal"/>
    <w:next w:val="Normal"/>
    <w:uiPriority w:val="39"/>
    <w:rsid w:val="00D74E25"/>
    <w:pPr>
      <w:spacing w:before="0" w:after="0" w:line="240" w:lineRule="auto"/>
      <w:ind w:left="680"/>
    </w:pPr>
    <w:rPr>
      <w:rFonts w:eastAsia="Times New Roman"/>
      <w:sz w:val="20"/>
      <w:szCs w:val="24"/>
      <w:lang w:eastAsia="en-AU"/>
    </w:rPr>
  </w:style>
  <w:style w:type="paragraph" w:styleId="TOC8">
    <w:name w:val="toc 8"/>
    <w:basedOn w:val="Normal"/>
    <w:next w:val="Normal"/>
    <w:uiPriority w:val="39"/>
    <w:rsid w:val="00D74E25"/>
    <w:pPr>
      <w:spacing w:before="0" w:after="0" w:line="240" w:lineRule="auto"/>
      <w:ind w:left="907"/>
    </w:pPr>
    <w:rPr>
      <w:rFonts w:eastAsia="Times New Roman"/>
      <w:sz w:val="20"/>
      <w:szCs w:val="24"/>
      <w:lang w:eastAsia="en-AU"/>
    </w:rPr>
  </w:style>
  <w:style w:type="paragraph" w:styleId="TOC9">
    <w:name w:val="toc 9"/>
    <w:basedOn w:val="Normal"/>
    <w:next w:val="Normal"/>
    <w:uiPriority w:val="39"/>
    <w:rsid w:val="00D74E25"/>
    <w:pPr>
      <w:spacing w:before="0" w:after="0" w:line="240" w:lineRule="auto"/>
      <w:ind w:left="1134"/>
    </w:pPr>
    <w:rPr>
      <w:rFonts w:eastAsia="Times New Roman"/>
      <w:sz w:val="20"/>
      <w:szCs w:val="24"/>
      <w:lang w:eastAsia="en-AU"/>
    </w:rPr>
  </w:style>
  <w:style w:type="paragraph" w:styleId="EndnoteText">
    <w:name w:val="endnote text"/>
    <w:basedOn w:val="Normal"/>
    <w:link w:val="EndnoteTextChar"/>
    <w:semiHidden/>
    <w:rsid w:val="00D74E2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sz w:val="20"/>
      <w:szCs w:val="20"/>
      <w:lang w:eastAsia="en-AU"/>
    </w:rPr>
  </w:style>
  <w:style w:type="character" w:customStyle="1" w:styleId="EndnoteTextChar">
    <w:name w:val="Endnote Text Char"/>
    <w:basedOn w:val="DefaultParagraphFont"/>
    <w:link w:val="EndnoteText"/>
    <w:semiHidden/>
    <w:rsid w:val="00D74E25"/>
    <w:rPr>
      <w:rFonts w:ascii="Cambria" w:eastAsia="Times New Roman" w:hAnsi="Cambria" w:cs="Times New Roman"/>
      <w:sz w:val="20"/>
      <w:szCs w:val="20"/>
      <w:lang w:eastAsia="en-AU"/>
    </w:rPr>
  </w:style>
  <w:style w:type="character" w:styleId="EndnoteReference">
    <w:name w:val="endnote reference"/>
    <w:semiHidden/>
    <w:rsid w:val="00D74E25"/>
    <w:rPr>
      <w:dstrike w:val="0"/>
      <w:vertAlign w:val="baseline"/>
    </w:rPr>
  </w:style>
  <w:style w:type="paragraph" w:customStyle="1" w:styleId="Abbreviations">
    <w:name w:val="Abbreviations"/>
    <w:basedOn w:val="Normal"/>
    <w:rsid w:val="00D74E25"/>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szCs w:val="24"/>
      <w:lang w:eastAsia="en-AU"/>
    </w:rPr>
  </w:style>
  <w:style w:type="paragraph" w:styleId="TableofFigures">
    <w:name w:val="table of figures"/>
    <w:basedOn w:val="Normal"/>
    <w:next w:val="Normal"/>
    <w:uiPriority w:val="99"/>
    <w:rsid w:val="00D74E25"/>
    <w:pPr>
      <w:spacing w:before="0" w:after="0" w:line="240" w:lineRule="auto"/>
      <w:ind w:left="1134" w:hanging="1134"/>
    </w:pPr>
    <w:rPr>
      <w:rFonts w:eastAsia="Times New Roman" w:cs="Calibri"/>
      <w:szCs w:val="20"/>
      <w:lang w:eastAsia="en-AU"/>
    </w:rPr>
  </w:style>
  <w:style w:type="paragraph" w:customStyle="1" w:styleId="CommentDot">
    <w:name w:val="Comment Dot"/>
    <w:basedOn w:val="Comment2"/>
    <w:qFormat/>
    <w:rsid w:val="00D74E25"/>
    <w:pPr>
      <w:numPr>
        <w:numId w:val="11"/>
      </w:numPr>
      <w:tabs>
        <w:tab w:val="clear" w:pos="1134"/>
      </w:tabs>
      <w:spacing w:before="120"/>
      <w:ind w:left="1418" w:hanging="284"/>
    </w:pPr>
    <w:rPr>
      <w:kern w:val="0"/>
    </w:rPr>
  </w:style>
  <w:style w:type="paragraph" w:customStyle="1" w:styleId="Instructions1">
    <w:name w:val="Instructions 1"/>
    <w:basedOn w:val="Normal"/>
    <w:qFormat/>
    <w:rsid w:val="00D74E25"/>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lang w:eastAsia="en-AU"/>
    </w:rPr>
  </w:style>
  <w:style w:type="paragraph" w:customStyle="1" w:styleId="Instructions2">
    <w:name w:val="Instructions 2"/>
    <w:basedOn w:val="Normal"/>
    <w:qFormat/>
    <w:rsid w:val="00D74E25"/>
    <w:pPr>
      <w:numPr>
        <w:numId w:val="12"/>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lang w:eastAsia="en-AU"/>
    </w:rPr>
  </w:style>
  <w:style w:type="character" w:styleId="CommentReference">
    <w:name w:val="annotation reference"/>
    <w:rsid w:val="00D74E25"/>
    <w:rPr>
      <w:sz w:val="16"/>
      <w:szCs w:val="16"/>
    </w:rPr>
  </w:style>
  <w:style w:type="paragraph" w:styleId="CommentText">
    <w:name w:val="annotation text"/>
    <w:basedOn w:val="Normal"/>
    <w:link w:val="CommentTextChar"/>
    <w:rsid w:val="00D74E2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sz w:val="20"/>
      <w:szCs w:val="20"/>
      <w:lang w:eastAsia="en-AU"/>
    </w:rPr>
  </w:style>
  <w:style w:type="character" w:customStyle="1" w:styleId="CommentTextChar">
    <w:name w:val="Comment Text Char"/>
    <w:basedOn w:val="DefaultParagraphFont"/>
    <w:link w:val="CommentText"/>
    <w:rsid w:val="00D74E2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D74E25"/>
    <w:rPr>
      <w:b/>
      <w:bCs/>
    </w:rPr>
  </w:style>
  <w:style w:type="character" w:customStyle="1" w:styleId="CommentSubjectChar">
    <w:name w:val="Comment Subject Char"/>
    <w:basedOn w:val="CommentTextChar"/>
    <w:link w:val="CommentSubject"/>
    <w:rsid w:val="00D74E25"/>
    <w:rPr>
      <w:rFonts w:ascii="Times New Roman" w:eastAsia="Times New Roman" w:hAnsi="Times New Roman" w:cs="Times New Roman"/>
      <w:b/>
      <w:bCs/>
      <w:sz w:val="20"/>
      <w:szCs w:val="20"/>
      <w:lang w:eastAsia="en-AU"/>
    </w:rPr>
  </w:style>
  <w:style w:type="paragraph" w:customStyle="1" w:styleId="Contentslist1">
    <w:name w:val="Contents list 1"/>
    <w:basedOn w:val="Normal"/>
    <w:qFormat/>
    <w:rsid w:val="00D74E25"/>
    <w:pPr>
      <w:tabs>
        <w:tab w:val="right" w:leader="dot" w:pos="9356"/>
      </w:tabs>
      <w:spacing w:line="240" w:lineRule="auto"/>
    </w:pPr>
    <w:rPr>
      <w:rFonts w:eastAsia="Times New Roman"/>
      <w:b/>
      <w:sz w:val="20"/>
      <w:szCs w:val="24"/>
      <w:lang w:eastAsia="en-AU"/>
    </w:rPr>
  </w:style>
  <w:style w:type="paragraph" w:customStyle="1" w:styleId="Contentslist2">
    <w:name w:val="Contents list 2"/>
    <w:basedOn w:val="Contentslist1"/>
    <w:qFormat/>
    <w:rsid w:val="00D74E25"/>
    <w:pPr>
      <w:spacing w:before="0" w:after="0"/>
    </w:pPr>
    <w:rPr>
      <w:b w:val="0"/>
    </w:rPr>
  </w:style>
  <w:style w:type="character" w:customStyle="1" w:styleId="Char">
    <w:name w:val="Char"/>
    <w:rsid w:val="00D74E25"/>
    <w:rPr>
      <w:rFonts w:ascii="Cambria" w:eastAsia="MS Mincho" w:hAnsi="Cambria"/>
      <w:kern w:val="16"/>
      <w:sz w:val="22"/>
      <w:szCs w:val="24"/>
      <w:lang w:val="en-AU" w:eastAsia="en-AU" w:bidi="ar-SA"/>
    </w:rPr>
  </w:style>
  <w:style w:type="character" w:customStyle="1" w:styleId="Bullet1CharCharCharCharCharCharCharCharCharChar">
    <w:name w:val="Bullet 1 Char Char Char Char Char Char Char Char Char Char"/>
    <w:link w:val="Bullet1CharCharCharCharCharCharCharCharChar"/>
    <w:rsid w:val="00D74E25"/>
    <w:rPr>
      <w:kern w:val="24"/>
      <w:szCs w:val="24"/>
      <w:lang w:eastAsia="en-AU"/>
    </w:rPr>
  </w:style>
  <w:style w:type="paragraph" w:customStyle="1" w:styleId="Bullet1CharCharCharCharCharCharCharCharChar">
    <w:name w:val="Bullet 1 Char Char Char Char Char Char Char Char Char"/>
    <w:basedOn w:val="Normal"/>
    <w:link w:val="Bullet1CharCharCharCharCharCharCharCharCharChar"/>
    <w:rsid w:val="00D74E25"/>
    <w:pPr>
      <w:tabs>
        <w:tab w:val="num" w:pos="284"/>
      </w:tabs>
      <w:spacing w:after="0" w:line="240" w:lineRule="auto"/>
      <w:ind w:left="284" w:hanging="284"/>
    </w:pPr>
    <w:rPr>
      <w:rFonts w:asciiTheme="minorHAnsi" w:eastAsiaTheme="minorHAnsi" w:hAnsiTheme="minorHAnsi" w:cstheme="minorBidi"/>
      <w:kern w:val="24"/>
      <w:szCs w:val="24"/>
      <w:lang w:eastAsia="en-AU"/>
    </w:rPr>
  </w:style>
  <w:style w:type="paragraph" w:customStyle="1" w:styleId="t1">
    <w:name w:val="t1"/>
    <w:basedOn w:val="Normal"/>
    <w:rsid w:val="00D74E25"/>
    <w:pPr>
      <w:spacing w:before="0" w:after="0" w:line="280" w:lineRule="atLeast"/>
    </w:pPr>
    <w:rPr>
      <w:rFonts w:ascii="Times New Roman" w:eastAsia="Times New Roman" w:hAnsi="Times New Roman"/>
      <w:sz w:val="24"/>
      <w:szCs w:val="20"/>
      <w:lang w:val="en-US"/>
    </w:rPr>
  </w:style>
  <w:style w:type="paragraph" w:customStyle="1" w:styleId="p7">
    <w:name w:val="p7"/>
    <w:basedOn w:val="Normal"/>
    <w:rsid w:val="00D74E25"/>
    <w:pPr>
      <w:tabs>
        <w:tab w:val="left" w:pos="380"/>
      </w:tabs>
      <w:spacing w:before="0" w:after="0" w:line="280" w:lineRule="atLeast"/>
      <w:ind w:left="1008" w:hanging="432"/>
    </w:pPr>
    <w:rPr>
      <w:rFonts w:ascii="Times New Roman" w:eastAsia="Times New Roman" w:hAnsi="Times New Roman"/>
      <w:sz w:val="24"/>
      <w:szCs w:val="20"/>
      <w:lang w:val="en-US"/>
    </w:rPr>
  </w:style>
  <w:style w:type="paragraph" w:customStyle="1" w:styleId="TableParagraph">
    <w:name w:val="Table Paragraph"/>
    <w:basedOn w:val="Normal"/>
    <w:uiPriority w:val="1"/>
    <w:qFormat/>
    <w:rsid w:val="00D74E25"/>
    <w:pPr>
      <w:autoSpaceDE w:val="0"/>
      <w:autoSpaceDN w:val="0"/>
      <w:adjustRightInd w:val="0"/>
      <w:spacing w:before="0" w:after="0" w:line="240" w:lineRule="auto"/>
    </w:pPr>
    <w:rPr>
      <w:rFonts w:ascii="Times New Roman" w:hAnsi="Times New Roman"/>
      <w:sz w:val="24"/>
      <w:szCs w:val="24"/>
    </w:rPr>
  </w:style>
  <w:style w:type="paragraph" w:customStyle="1" w:styleId="SectionHeading">
    <w:name w:val="Section Heading"/>
    <w:basedOn w:val="Standard"/>
    <w:next w:val="Standard"/>
    <w:link w:val="SectionHeadingCharChar"/>
    <w:rsid w:val="00D74E25"/>
    <w:pPr>
      <w:keepNext/>
      <w:outlineLvl w:val="0"/>
    </w:pPr>
    <w:rPr>
      <w:b/>
      <w:caps/>
      <w:sz w:val="22"/>
    </w:rPr>
  </w:style>
  <w:style w:type="character" w:customStyle="1" w:styleId="SectionHeadingCharChar">
    <w:name w:val="Section Heading Char Char"/>
    <w:basedOn w:val="DefaultParagraphFont"/>
    <w:link w:val="SectionHeading"/>
    <w:rsid w:val="00D74E25"/>
    <w:rPr>
      <w:rFonts w:ascii="Cambria" w:eastAsia="Times New Roman" w:hAnsi="Cambria" w:cs="Times New Roman"/>
      <w:b/>
      <w:caps/>
      <w:snapToGrid w:val="0"/>
      <w:kern w:val="16"/>
      <w:szCs w:val="24"/>
    </w:rPr>
  </w:style>
  <w:style w:type="character" w:styleId="Emphasis">
    <w:name w:val="Emphasis"/>
    <w:basedOn w:val="DefaultParagraphFont"/>
    <w:uiPriority w:val="20"/>
    <w:qFormat/>
    <w:rsid w:val="00D74E25"/>
    <w:rPr>
      <w:i/>
      <w:iCs/>
    </w:rPr>
  </w:style>
  <w:style w:type="paragraph" w:customStyle="1" w:styleId="TextTi12">
    <w:name w:val="Text:Ti12"/>
    <w:basedOn w:val="Normal"/>
    <w:link w:val="TextTi12Char1"/>
    <w:rsid w:val="00D74E25"/>
    <w:pPr>
      <w:spacing w:before="0" w:after="170" w:line="280" w:lineRule="atLeast"/>
      <w:jc w:val="both"/>
    </w:pPr>
    <w:rPr>
      <w:rFonts w:ascii="Times New Roman" w:eastAsia="Times New Roman" w:hAnsi="Times New Roman"/>
      <w:sz w:val="24"/>
      <w:szCs w:val="20"/>
      <w:lang w:val="en-US" w:eastAsia="ja-JP"/>
    </w:rPr>
  </w:style>
  <w:style w:type="character" w:customStyle="1" w:styleId="TextTi12Char1">
    <w:name w:val="Text:Ti12 Char1"/>
    <w:link w:val="TextTi12"/>
    <w:rsid w:val="00D74E25"/>
    <w:rPr>
      <w:rFonts w:ascii="Times New Roman" w:eastAsia="Times New Roman" w:hAnsi="Times New Roman" w:cs="Times New Roman"/>
      <w:sz w:val="24"/>
      <w:szCs w:val="20"/>
      <w:lang w:val="en-US" w:eastAsia="ja-JP"/>
    </w:rPr>
  </w:style>
  <w:style w:type="paragraph" w:customStyle="1" w:styleId="Paragraph">
    <w:name w:val="Paragraph"/>
    <w:basedOn w:val="Normal"/>
    <w:link w:val="ParagraphChar"/>
    <w:rsid w:val="00457B63"/>
    <w:pPr>
      <w:spacing w:before="0" w:after="250" w:line="300" w:lineRule="atLeast"/>
    </w:pPr>
    <w:rPr>
      <w:rFonts w:ascii="Arial" w:eastAsia="SimSun" w:hAnsi="Arial"/>
      <w:szCs w:val="24"/>
      <w:lang w:val="en-US" w:eastAsia="zh-CN"/>
    </w:rPr>
  </w:style>
  <w:style w:type="character" w:customStyle="1" w:styleId="ParagraphChar">
    <w:name w:val="Paragraph Char"/>
    <w:link w:val="Paragraph"/>
    <w:rsid w:val="00457B63"/>
    <w:rPr>
      <w:rFonts w:ascii="Arial" w:eastAsia="SimSun" w:hAnsi="Arial" w:cs="Times New Roman"/>
      <w:szCs w:val="24"/>
      <w:lang w:val="en-US" w:eastAsia="zh-CN"/>
    </w:rPr>
  </w:style>
  <w:style w:type="paragraph" w:customStyle="1" w:styleId="ParagraphList">
    <w:name w:val="Paragraph List"/>
    <w:basedOn w:val="Paragraph"/>
    <w:next w:val="Paragraph"/>
    <w:rsid w:val="00457B63"/>
    <w:pPr>
      <w:keepNext/>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91541">
      <w:bodyDiv w:val="1"/>
      <w:marLeft w:val="0"/>
      <w:marRight w:val="0"/>
      <w:marTop w:val="0"/>
      <w:marBottom w:val="0"/>
      <w:divBdr>
        <w:top w:val="none" w:sz="0" w:space="0" w:color="auto"/>
        <w:left w:val="none" w:sz="0" w:space="0" w:color="auto"/>
        <w:bottom w:val="none" w:sz="0" w:space="0" w:color="auto"/>
        <w:right w:val="none" w:sz="0" w:space="0" w:color="auto"/>
      </w:divBdr>
    </w:div>
    <w:div w:id="287855505">
      <w:bodyDiv w:val="1"/>
      <w:marLeft w:val="0"/>
      <w:marRight w:val="0"/>
      <w:marTop w:val="0"/>
      <w:marBottom w:val="0"/>
      <w:divBdr>
        <w:top w:val="none" w:sz="0" w:space="0" w:color="auto"/>
        <w:left w:val="none" w:sz="0" w:space="0" w:color="auto"/>
        <w:bottom w:val="none" w:sz="0" w:space="0" w:color="auto"/>
        <w:right w:val="none" w:sz="0" w:space="0" w:color="auto"/>
      </w:divBdr>
    </w:div>
    <w:div w:id="343018822">
      <w:bodyDiv w:val="1"/>
      <w:marLeft w:val="0"/>
      <w:marRight w:val="0"/>
      <w:marTop w:val="0"/>
      <w:marBottom w:val="0"/>
      <w:divBdr>
        <w:top w:val="none" w:sz="0" w:space="0" w:color="auto"/>
        <w:left w:val="none" w:sz="0" w:space="0" w:color="auto"/>
        <w:bottom w:val="none" w:sz="0" w:space="0" w:color="auto"/>
        <w:right w:val="none" w:sz="0" w:space="0" w:color="auto"/>
      </w:divBdr>
    </w:div>
    <w:div w:id="478576326">
      <w:bodyDiv w:val="1"/>
      <w:marLeft w:val="0"/>
      <w:marRight w:val="0"/>
      <w:marTop w:val="0"/>
      <w:marBottom w:val="0"/>
      <w:divBdr>
        <w:top w:val="none" w:sz="0" w:space="0" w:color="auto"/>
        <w:left w:val="none" w:sz="0" w:space="0" w:color="auto"/>
        <w:bottom w:val="none" w:sz="0" w:space="0" w:color="auto"/>
        <w:right w:val="none" w:sz="0" w:space="0" w:color="auto"/>
      </w:divBdr>
    </w:div>
    <w:div w:id="585499846">
      <w:bodyDiv w:val="1"/>
      <w:marLeft w:val="0"/>
      <w:marRight w:val="0"/>
      <w:marTop w:val="0"/>
      <w:marBottom w:val="0"/>
      <w:divBdr>
        <w:top w:val="none" w:sz="0" w:space="0" w:color="auto"/>
        <w:left w:val="none" w:sz="0" w:space="0" w:color="auto"/>
        <w:bottom w:val="none" w:sz="0" w:space="0" w:color="auto"/>
        <w:right w:val="none" w:sz="0" w:space="0" w:color="auto"/>
      </w:divBdr>
    </w:div>
    <w:div w:id="980503043">
      <w:bodyDiv w:val="1"/>
      <w:marLeft w:val="0"/>
      <w:marRight w:val="0"/>
      <w:marTop w:val="0"/>
      <w:marBottom w:val="0"/>
      <w:divBdr>
        <w:top w:val="none" w:sz="0" w:space="0" w:color="auto"/>
        <w:left w:val="none" w:sz="0" w:space="0" w:color="auto"/>
        <w:bottom w:val="none" w:sz="0" w:space="0" w:color="auto"/>
        <w:right w:val="none" w:sz="0" w:space="0" w:color="auto"/>
      </w:divBdr>
    </w:div>
    <w:div w:id="1091656769">
      <w:bodyDiv w:val="1"/>
      <w:marLeft w:val="0"/>
      <w:marRight w:val="0"/>
      <w:marTop w:val="0"/>
      <w:marBottom w:val="0"/>
      <w:divBdr>
        <w:top w:val="none" w:sz="0" w:space="0" w:color="auto"/>
        <w:left w:val="none" w:sz="0" w:space="0" w:color="auto"/>
        <w:bottom w:val="none" w:sz="0" w:space="0" w:color="auto"/>
        <w:right w:val="none" w:sz="0" w:space="0" w:color="auto"/>
      </w:divBdr>
    </w:div>
    <w:div w:id="1424033296">
      <w:bodyDiv w:val="1"/>
      <w:marLeft w:val="0"/>
      <w:marRight w:val="0"/>
      <w:marTop w:val="0"/>
      <w:marBottom w:val="0"/>
      <w:divBdr>
        <w:top w:val="none" w:sz="0" w:space="0" w:color="auto"/>
        <w:left w:val="none" w:sz="0" w:space="0" w:color="auto"/>
        <w:bottom w:val="none" w:sz="0" w:space="0" w:color="auto"/>
        <w:right w:val="none" w:sz="0" w:space="0" w:color="auto"/>
      </w:divBdr>
    </w:div>
    <w:div w:id="1524854206">
      <w:bodyDiv w:val="1"/>
      <w:marLeft w:val="0"/>
      <w:marRight w:val="0"/>
      <w:marTop w:val="0"/>
      <w:marBottom w:val="0"/>
      <w:divBdr>
        <w:top w:val="none" w:sz="0" w:space="0" w:color="auto"/>
        <w:left w:val="none" w:sz="0" w:space="0" w:color="auto"/>
        <w:bottom w:val="none" w:sz="0" w:space="0" w:color="auto"/>
        <w:right w:val="none" w:sz="0" w:space="0" w:color="auto"/>
      </w:divBdr>
    </w:div>
    <w:div w:id="1574973368">
      <w:bodyDiv w:val="1"/>
      <w:marLeft w:val="0"/>
      <w:marRight w:val="0"/>
      <w:marTop w:val="0"/>
      <w:marBottom w:val="0"/>
      <w:divBdr>
        <w:top w:val="none" w:sz="0" w:space="0" w:color="auto"/>
        <w:left w:val="none" w:sz="0" w:space="0" w:color="auto"/>
        <w:bottom w:val="none" w:sz="0" w:space="0" w:color="auto"/>
        <w:right w:val="none" w:sz="0" w:space="0" w:color="auto"/>
      </w:divBdr>
    </w:div>
    <w:div w:id="1648778564">
      <w:bodyDiv w:val="1"/>
      <w:marLeft w:val="0"/>
      <w:marRight w:val="0"/>
      <w:marTop w:val="0"/>
      <w:marBottom w:val="0"/>
      <w:divBdr>
        <w:top w:val="none" w:sz="0" w:space="0" w:color="auto"/>
        <w:left w:val="none" w:sz="0" w:space="0" w:color="auto"/>
        <w:bottom w:val="none" w:sz="0" w:space="0" w:color="auto"/>
        <w:right w:val="none" w:sz="0" w:space="0" w:color="auto"/>
      </w:divBdr>
    </w:div>
    <w:div w:id="1885025741">
      <w:bodyDiv w:val="1"/>
      <w:marLeft w:val="0"/>
      <w:marRight w:val="0"/>
      <w:marTop w:val="0"/>
      <w:marBottom w:val="0"/>
      <w:divBdr>
        <w:top w:val="none" w:sz="0" w:space="0" w:color="auto"/>
        <w:left w:val="none" w:sz="0" w:space="0" w:color="auto"/>
        <w:bottom w:val="none" w:sz="0" w:space="0" w:color="auto"/>
        <w:right w:val="none" w:sz="0" w:space="0" w:color="auto"/>
      </w:divBdr>
    </w:div>
    <w:div w:id="1954702789">
      <w:bodyDiv w:val="1"/>
      <w:marLeft w:val="0"/>
      <w:marRight w:val="0"/>
      <w:marTop w:val="0"/>
      <w:marBottom w:val="0"/>
      <w:divBdr>
        <w:top w:val="none" w:sz="0" w:space="0" w:color="auto"/>
        <w:left w:val="none" w:sz="0" w:space="0" w:color="auto"/>
        <w:bottom w:val="none" w:sz="0" w:space="0" w:color="auto"/>
        <w:right w:val="none" w:sz="0" w:space="0" w:color="auto"/>
      </w:divBdr>
    </w:div>
    <w:div w:id="205765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tga.gov.au/product-information-pi"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s://www.tga.gov.au" TargetMode="External"/><Relationship Id="rId28" Type="http://schemas.openxmlformats.org/officeDocument/2006/relationships/footer" Target="footer4.xml"/><Relationship Id="rId10" Type="http://schemas.openxmlformats.org/officeDocument/2006/relationships/hyperlink" Target="mailto:tga.copyright@tga.gov.a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4648\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98ABD-6E9D-48CA-97AA-ADBB982E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492</TotalTime>
  <Pages>53</Pages>
  <Words>21354</Words>
  <Characters>121721</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Australian Public Assessment Report for Bevacizumab </vt:lpstr>
    </vt:vector>
  </TitlesOfParts>
  <Company>Department of Health Therapeutic Goods Administration</Company>
  <LinksUpToDate>false</LinksUpToDate>
  <CharactersWithSpaces>142790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Bevacizumab </dc:title>
  <dc:subject>prescription medicine regulation</dc:subject>
  <dc:creator>Therapeutic Goods Administration</dc:creator>
  <cp:keywords>auspar, prescription, medicine, assessment, regulation, australia, bevacizumab, avastin, roche, products</cp:keywords>
  <cp:lastModifiedBy>Dixon, Jenna</cp:lastModifiedBy>
  <cp:revision>11</cp:revision>
  <cp:lastPrinted>2010-12-20T22:59:00Z</cp:lastPrinted>
  <dcterms:created xsi:type="dcterms:W3CDTF">2015-03-11T01:58:00Z</dcterms:created>
  <dcterms:modified xsi:type="dcterms:W3CDTF">2015-03-31T23:46:00Z</dcterms:modified>
  <cp:category>external publication</cp:category>
</cp:coreProperties>
</file>